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4764D1" w14:textId="6B5FF637" w:rsidR="006C3A96" w:rsidRPr="00347017" w:rsidRDefault="001C255B" w:rsidP="004F6F2F">
      <w:pPr>
        <w:jc w:val="both"/>
        <w:rPr>
          <w:rFonts w:ascii="Times New Roman" w:hAnsi="Times New Roman" w:cs="Times New Roman"/>
          <w:b/>
          <w:bCs/>
          <w:sz w:val="28"/>
          <w:szCs w:val="28"/>
        </w:rPr>
      </w:pPr>
      <w:r w:rsidRPr="00347017">
        <w:rPr>
          <w:rFonts w:ascii="Times New Roman" w:hAnsi="Times New Roman" w:cs="Times New Roman"/>
          <w:b/>
          <w:bCs/>
          <w:sz w:val="28"/>
          <w:szCs w:val="28"/>
        </w:rPr>
        <w:t>Precision-Enhanced Biological Nitrogen Fixation: Transitioning from Natural Symbiosis to High Nitrogen-Fixing Legume Varieties</w:t>
      </w:r>
    </w:p>
    <w:p w14:paraId="1CF4B668" w14:textId="77777777" w:rsidR="00CD1286" w:rsidRDefault="00CD1286" w:rsidP="004F6F2F">
      <w:pPr>
        <w:jc w:val="both"/>
        <w:rPr>
          <w:rFonts w:ascii="Times New Roman" w:hAnsi="Times New Roman" w:cs="Times New Roman"/>
          <w:b/>
          <w:bCs/>
          <w:sz w:val="24"/>
          <w:szCs w:val="24"/>
        </w:rPr>
      </w:pPr>
    </w:p>
    <w:p w14:paraId="7194F532" w14:textId="650F747C" w:rsidR="00654A0D" w:rsidRPr="00347017" w:rsidRDefault="00654A0D" w:rsidP="004F6F2F">
      <w:pPr>
        <w:jc w:val="both"/>
        <w:rPr>
          <w:rFonts w:ascii="Times New Roman" w:hAnsi="Times New Roman" w:cs="Times New Roman"/>
          <w:b/>
          <w:bCs/>
          <w:sz w:val="24"/>
          <w:szCs w:val="24"/>
        </w:rPr>
      </w:pPr>
      <w:r w:rsidRPr="00347017">
        <w:rPr>
          <w:rFonts w:ascii="Times New Roman" w:hAnsi="Times New Roman" w:cs="Times New Roman"/>
          <w:b/>
          <w:bCs/>
          <w:sz w:val="24"/>
          <w:szCs w:val="24"/>
        </w:rPr>
        <w:t>ABSTRACT</w:t>
      </w:r>
      <w:r w:rsidRPr="00347017">
        <w:rPr>
          <w:rFonts w:ascii="Times New Roman" w:hAnsi="Times New Roman" w:cs="Times New Roman"/>
          <w:sz w:val="24"/>
          <w:szCs w:val="24"/>
        </w:rPr>
        <w:br/>
        <w:t>Biological nitrogen fixation (BNF) is a key ecological process that converts atmospheric nitrogen into plant-available forms through symbiosis between legumes and nitrogen-fixing microorganisms. Although essential for sustainable agriculture, its natural efficiency is often constrained by environmental variability, soil nutrient imbalances, and genetic limitations of host plants. Recent technological advancements have led to the development of precision-enhanced BNF systems to overcome these limitations and improve crop productivity.</w:t>
      </w:r>
      <w:r w:rsidRPr="00347017">
        <w:rPr>
          <w:rFonts w:ascii="Times New Roman" w:hAnsi="Times New Roman" w:cs="Times New Roman"/>
          <w:sz w:val="24"/>
          <w:szCs w:val="24"/>
        </w:rPr>
        <w:br/>
        <w:t>This review synthesizes findings from multiple recent studies focusing on natural BNF mechanisms, limitations of conventional systems, genetic and microbial innovations, and the integration of precision agriculture tools. The studies employed approaches such as molecular and genomic analyses, evaluation of advanced microbial inoculants, and field-based assessments of site-specific nutrient management to examine their effects on nitrogen fixation and</w:t>
      </w:r>
      <w:r w:rsidR="009B451D" w:rsidRPr="00347017">
        <w:rPr>
          <w:rFonts w:ascii="Times New Roman" w:hAnsi="Times New Roman" w:cs="Times New Roman"/>
          <w:sz w:val="24"/>
          <w:szCs w:val="24"/>
        </w:rPr>
        <w:t xml:space="preserve"> </w:t>
      </w:r>
      <w:r w:rsidRPr="00347017">
        <w:rPr>
          <w:rFonts w:ascii="Times New Roman" w:hAnsi="Times New Roman" w:cs="Times New Roman"/>
          <w:sz w:val="24"/>
          <w:szCs w:val="24"/>
        </w:rPr>
        <w:t>plant</w:t>
      </w:r>
      <w:r w:rsidR="009B451D" w:rsidRPr="00347017">
        <w:rPr>
          <w:rFonts w:ascii="Times New Roman" w:hAnsi="Times New Roman" w:cs="Times New Roman"/>
          <w:sz w:val="24"/>
          <w:szCs w:val="24"/>
        </w:rPr>
        <w:t xml:space="preserve"> </w:t>
      </w:r>
      <w:r w:rsidRPr="00347017">
        <w:rPr>
          <w:rFonts w:ascii="Times New Roman" w:hAnsi="Times New Roman" w:cs="Times New Roman"/>
          <w:sz w:val="24"/>
          <w:szCs w:val="24"/>
        </w:rPr>
        <w:t>performance</w:t>
      </w:r>
      <w:r w:rsidR="009B451D" w:rsidRPr="00347017">
        <w:rPr>
          <w:rFonts w:ascii="Times New Roman" w:hAnsi="Times New Roman" w:cs="Times New Roman"/>
          <w:sz w:val="24"/>
          <w:szCs w:val="24"/>
        </w:rPr>
        <w:t xml:space="preserve">. </w:t>
      </w:r>
      <w:r w:rsidRPr="00347017">
        <w:rPr>
          <w:rFonts w:ascii="Times New Roman" w:hAnsi="Times New Roman" w:cs="Times New Roman"/>
          <w:sz w:val="24"/>
          <w:szCs w:val="24"/>
        </w:rPr>
        <w:t>The reviewed studies consistently show that integrating genomic-assisted breeding, efficient microbial inoculants, and precision nutrient management significantly enhances nitrogen fixation efficiency, nodulation, and overall legume productivity. However, variability in environmental conditions, challenges in large-scale implementation, and adoption barriers among farmers remain important constraints.</w:t>
      </w:r>
    </w:p>
    <w:p w14:paraId="75CA69F3" w14:textId="77777777" w:rsidR="007F6049" w:rsidRPr="00347017" w:rsidRDefault="001C255B">
      <w:pPr>
        <w:jc w:val="both"/>
        <w:rPr>
          <w:rFonts w:ascii="Times New Roman" w:hAnsi="Times New Roman" w:cs="Times New Roman"/>
          <w:b/>
          <w:bCs/>
          <w:sz w:val="24"/>
          <w:szCs w:val="24"/>
        </w:rPr>
      </w:pPr>
      <w:r w:rsidRPr="00347017">
        <w:rPr>
          <w:rFonts w:ascii="Times New Roman" w:hAnsi="Times New Roman" w:cs="Times New Roman"/>
          <w:b/>
          <w:bCs/>
          <w:sz w:val="24"/>
          <w:szCs w:val="24"/>
        </w:rPr>
        <w:t>Keywords</w:t>
      </w:r>
    </w:p>
    <w:p w14:paraId="714F7806" w14:textId="77777777" w:rsidR="007F6049" w:rsidRPr="00277DCE" w:rsidRDefault="001C255B">
      <w:pPr>
        <w:jc w:val="both"/>
        <w:rPr>
          <w:rFonts w:ascii="Times New Roman" w:hAnsi="Times New Roman" w:cs="Times New Roman"/>
          <w:bCs/>
          <w:sz w:val="24"/>
          <w:szCs w:val="24"/>
        </w:rPr>
      </w:pPr>
      <w:r w:rsidRPr="00277DCE">
        <w:rPr>
          <w:rFonts w:ascii="Times New Roman" w:hAnsi="Times New Roman" w:cs="Times New Roman"/>
          <w:bCs/>
          <w:sz w:val="24"/>
          <w:szCs w:val="24"/>
        </w:rPr>
        <w:t>Biological nitrogen fixation; Genomics; Legumes; Precision agriculture; Rhizobium; Sustainable intensification</w:t>
      </w:r>
    </w:p>
    <w:p w14:paraId="10BC7BFD" w14:textId="741DBD55" w:rsidR="007F6049" w:rsidRPr="00347017" w:rsidRDefault="00654A0D" w:rsidP="00CD1286">
      <w:pPr>
        <w:rPr>
          <w:rFonts w:ascii="Times New Roman" w:hAnsi="Times New Roman" w:cs="Times New Roman"/>
          <w:b/>
          <w:bCs/>
          <w:sz w:val="24"/>
          <w:szCs w:val="24"/>
        </w:rPr>
      </w:pPr>
      <w:r w:rsidRPr="00347017">
        <w:rPr>
          <w:rFonts w:ascii="Times New Roman" w:hAnsi="Times New Roman" w:cs="Times New Roman"/>
          <w:b/>
          <w:bCs/>
          <w:sz w:val="24"/>
          <w:szCs w:val="24"/>
        </w:rPr>
        <w:t>INTRODUCTION</w:t>
      </w:r>
    </w:p>
    <w:p w14:paraId="2F2CAF94" w14:textId="386C6613" w:rsidR="0041097D" w:rsidRPr="00347017" w:rsidRDefault="0041097D" w:rsidP="006C3A96">
      <w:pPr>
        <w:jc w:val="both"/>
        <w:rPr>
          <w:rFonts w:ascii="Times New Roman" w:hAnsi="Times New Roman" w:cs="Times New Roman"/>
          <w:sz w:val="24"/>
          <w:szCs w:val="24"/>
        </w:rPr>
      </w:pPr>
      <w:r w:rsidRPr="00347017">
        <w:rPr>
          <w:rFonts w:ascii="Times New Roman" w:hAnsi="Times New Roman" w:cs="Times New Roman"/>
          <w:sz w:val="24"/>
          <w:szCs w:val="24"/>
        </w:rPr>
        <w:t>Biological nitrogen fixation (BNF) is a fundamental ecological process in which atmospheric nitrogen is converted into plant-available ammonia through the activity of nitrogen-fixing microorganisms associated with legumes (Ladha et al., 2022). Leguminous crops such as soybean, chickpea, lentil, and cowpea form symbiotic associations with rhizobia, enabling them to meet a substantial portion of their nitrogen requirements naturally (Peoples et al., 2022). This process improves soil fertility, enhances nutrient cycling, and reduces dependence on synthetic nitrogen fertilizers (Mukherjee and Sen, 2021).</w:t>
      </w:r>
      <w:r w:rsidR="004F6F2F" w:rsidRPr="00347017">
        <w:rPr>
          <w:rFonts w:ascii="Times New Roman" w:hAnsi="Times New Roman" w:cs="Times New Roman"/>
          <w:sz w:val="24"/>
          <w:szCs w:val="24"/>
        </w:rPr>
        <w:t xml:space="preserve"> </w:t>
      </w:r>
      <w:r w:rsidRPr="00347017">
        <w:rPr>
          <w:rFonts w:ascii="Times New Roman" w:hAnsi="Times New Roman" w:cs="Times New Roman"/>
          <w:sz w:val="24"/>
          <w:szCs w:val="24"/>
        </w:rPr>
        <w:t xml:space="preserve">Globally, BNF contributes significantly to sustainable agriculture and environmental protection by lowering greenhouse gas emissions and minimizing fertilizer-related pollution (Herridge et al., 2021). However, the efficiency of natural BNF varies across environments and crop species due to factors such as soil pH, moisture stress, temperature fluctuations, nutrient imbalance, and poor </w:t>
      </w:r>
      <w:proofErr w:type="spellStart"/>
      <w:r w:rsidRPr="00347017">
        <w:rPr>
          <w:rFonts w:ascii="Times New Roman" w:hAnsi="Times New Roman" w:cs="Times New Roman"/>
          <w:sz w:val="24"/>
          <w:szCs w:val="24"/>
        </w:rPr>
        <w:t>rhizobial</w:t>
      </w:r>
      <w:proofErr w:type="spellEnd"/>
      <w:r w:rsidRPr="00347017">
        <w:rPr>
          <w:rFonts w:ascii="Times New Roman" w:hAnsi="Times New Roman" w:cs="Times New Roman"/>
          <w:sz w:val="24"/>
          <w:szCs w:val="24"/>
        </w:rPr>
        <w:t xml:space="preserve"> performance (</w:t>
      </w:r>
      <w:proofErr w:type="spellStart"/>
      <w:r w:rsidRPr="00347017">
        <w:rPr>
          <w:rFonts w:ascii="Times New Roman" w:hAnsi="Times New Roman" w:cs="Times New Roman"/>
          <w:sz w:val="24"/>
          <w:szCs w:val="24"/>
        </w:rPr>
        <w:t>Hungria</w:t>
      </w:r>
      <w:proofErr w:type="spellEnd"/>
      <w:r w:rsidRPr="00347017">
        <w:rPr>
          <w:rFonts w:ascii="Times New Roman" w:hAnsi="Times New Roman" w:cs="Times New Roman"/>
          <w:sz w:val="24"/>
          <w:szCs w:val="24"/>
        </w:rPr>
        <w:t xml:space="preserve"> et al., 2020). In addition, modern breeding programs have often prioritized yield over symbiotic efficiency, leading to reduced nitrogen fixation capacity in some improved cultivars (</w:t>
      </w:r>
      <w:proofErr w:type="spellStart"/>
      <w:r w:rsidRPr="00347017">
        <w:rPr>
          <w:rFonts w:ascii="Times New Roman" w:hAnsi="Times New Roman" w:cs="Times New Roman"/>
          <w:sz w:val="24"/>
          <w:szCs w:val="24"/>
        </w:rPr>
        <w:t>Lépiz</w:t>
      </w:r>
      <w:proofErr w:type="spellEnd"/>
      <w:r w:rsidRPr="00347017">
        <w:rPr>
          <w:rFonts w:ascii="Times New Roman" w:hAnsi="Times New Roman" w:cs="Times New Roman"/>
          <w:sz w:val="24"/>
          <w:szCs w:val="24"/>
        </w:rPr>
        <w:t>-Ildefonso et al., 2024).</w:t>
      </w:r>
      <w:r w:rsidR="004F6F2F" w:rsidRPr="00347017">
        <w:rPr>
          <w:rFonts w:ascii="Times New Roman" w:hAnsi="Times New Roman" w:cs="Times New Roman"/>
          <w:sz w:val="24"/>
          <w:szCs w:val="24"/>
        </w:rPr>
        <w:t xml:space="preserve"> </w:t>
      </w:r>
      <w:r w:rsidRPr="00347017">
        <w:rPr>
          <w:rFonts w:ascii="Times New Roman" w:hAnsi="Times New Roman" w:cs="Times New Roman"/>
          <w:sz w:val="24"/>
          <w:szCs w:val="24"/>
        </w:rPr>
        <w:t xml:space="preserve">The growing demand for food production and concerns regarding environmental degradation caused by excessive nitrogen fertilizer use have increased interest in sustainable nitrogen management strategies (Tilman et al., 2021). Recent advances in genomics, microbial biotechnology, phenotyping, and precision agriculture have created new opportunities to enhance BNF efficiency (Nkurunziza et al., 2025). Precision-enhanced BNF integrates genetic improvement, elite microbial inoculants, </w:t>
      </w:r>
      <w:r w:rsidRPr="00347017">
        <w:rPr>
          <w:rFonts w:ascii="Times New Roman" w:hAnsi="Times New Roman" w:cs="Times New Roman"/>
          <w:sz w:val="24"/>
          <w:szCs w:val="24"/>
        </w:rPr>
        <w:lastRenderedPageBreak/>
        <w:t>and site-specific agronomic management to optimize nitrogen fixation under varying environmental conditions (Guo et al., 2025). Technologies such as remote sensing, machine learning, and sensor-based nutrient monitoring further support real-time assessment of crop nitrogen status and symbiotic performance (Jafari et al., 2024).</w:t>
      </w:r>
    </w:p>
    <w:p w14:paraId="3E95477F" w14:textId="77777777" w:rsidR="0041097D" w:rsidRPr="00347017" w:rsidRDefault="0041097D" w:rsidP="0041097D">
      <w:pPr>
        <w:rPr>
          <w:rFonts w:ascii="Times New Roman" w:hAnsi="Times New Roman" w:cs="Times New Roman"/>
          <w:sz w:val="24"/>
          <w:szCs w:val="24"/>
        </w:rPr>
      </w:pPr>
      <w:r w:rsidRPr="00347017">
        <w:rPr>
          <w:rFonts w:ascii="Times New Roman" w:hAnsi="Times New Roman" w:cs="Times New Roman"/>
          <w:sz w:val="24"/>
          <w:szCs w:val="24"/>
        </w:rPr>
        <w:t>The objectives of this review are:</w:t>
      </w:r>
    </w:p>
    <w:p w14:paraId="7FE498AB" w14:textId="77777777" w:rsidR="0041097D" w:rsidRPr="00347017" w:rsidRDefault="0041097D" w:rsidP="0041097D">
      <w:pPr>
        <w:numPr>
          <w:ilvl w:val="0"/>
          <w:numId w:val="1"/>
        </w:numPr>
        <w:rPr>
          <w:rFonts w:ascii="Times New Roman" w:hAnsi="Times New Roman" w:cs="Times New Roman"/>
          <w:sz w:val="24"/>
          <w:szCs w:val="24"/>
        </w:rPr>
      </w:pPr>
      <w:r w:rsidRPr="00347017">
        <w:rPr>
          <w:rFonts w:ascii="Times New Roman" w:hAnsi="Times New Roman" w:cs="Times New Roman"/>
          <w:sz w:val="24"/>
          <w:szCs w:val="24"/>
        </w:rPr>
        <w:t>To examine the mechanisms and limitations of natural biological nitrogen fixation in legumes.</w:t>
      </w:r>
    </w:p>
    <w:p w14:paraId="7FC1C789" w14:textId="77777777" w:rsidR="0041097D" w:rsidRPr="00347017" w:rsidRDefault="0041097D" w:rsidP="0041097D">
      <w:pPr>
        <w:numPr>
          <w:ilvl w:val="0"/>
          <w:numId w:val="1"/>
        </w:numPr>
        <w:rPr>
          <w:rFonts w:ascii="Times New Roman" w:hAnsi="Times New Roman" w:cs="Times New Roman"/>
          <w:sz w:val="24"/>
          <w:szCs w:val="24"/>
        </w:rPr>
      </w:pPr>
      <w:r w:rsidRPr="00347017">
        <w:rPr>
          <w:rFonts w:ascii="Times New Roman" w:hAnsi="Times New Roman" w:cs="Times New Roman"/>
          <w:sz w:val="24"/>
          <w:szCs w:val="24"/>
        </w:rPr>
        <w:t>To evaluate recent advances in precision-enhanced BNF approaches, including genomics, microbial engineering, and precision agriculture technologies.</w:t>
      </w:r>
    </w:p>
    <w:p w14:paraId="4810D6DE" w14:textId="77777777" w:rsidR="0041097D" w:rsidRPr="00347017" w:rsidRDefault="0041097D" w:rsidP="0041097D">
      <w:pPr>
        <w:numPr>
          <w:ilvl w:val="0"/>
          <w:numId w:val="1"/>
        </w:numPr>
        <w:rPr>
          <w:rFonts w:ascii="Times New Roman" w:hAnsi="Times New Roman" w:cs="Times New Roman"/>
          <w:sz w:val="24"/>
          <w:szCs w:val="24"/>
        </w:rPr>
      </w:pPr>
      <w:r w:rsidRPr="00347017">
        <w:rPr>
          <w:rFonts w:ascii="Times New Roman" w:hAnsi="Times New Roman" w:cs="Times New Roman"/>
          <w:sz w:val="24"/>
          <w:szCs w:val="24"/>
        </w:rPr>
        <w:t>To assess strategies for developing high nitrogen-fixing legume varieties and improving sustainable nitrogen management.</w:t>
      </w:r>
    </w:p>
    <w:p w14:paraId="490FE57B" w14:textId="77777777" w:rsidR="0041097D" w:rsidRPr="00347017" w:rsidRDefault="0041097D" w:rsidP="0041097D">
      <w:pPr>
        <w:numPr>
          <w:ilvl w:val="0"/>
          <w:numId w:val="1"/>
        </w:numPr>
        <w:rPr>
          <w:rFonts w:ascii="Times New Roman" w:hAnsi="Times New Roman" w:cs="Times New Roman"/>
          <w:b/>
          <w:bCs/>
          <w:sz w:val="24"/>
          <w:szCs w:val="24"/>
        </w:rPr>
      </w:pPr>
      <w:r w:rsidRPr="00347017">
        <w:rPr>
          <w:rFonts w:ascii="Times New Roman" w:hAnsi="Times New Roman" w:cs="Times New Roman"/>
          <w:sz w:val="24"/>
          <w:szCs w:val="24"/>
        </w:rPr>
        <w:t>To identify key research gaps and future directions for climate-smart and sustainable agricultural systems.</w:t>
      </w:r>
    </w:p>
    <w:p w14:paraId="0F75C531" w14:textId="5B47C0DF" w:rsidR="007F6049" w:rsidRPr="00347017" w:rsidRDefault="004E4583" w:rsidP="004F6F2F">
      <w:pPr>
        <w:rPr>
          <w:rFonts w:ascii="Times New Roman" w:hAnsi="Times New Roman" w:cs="Times New Roman"/>
          <w:b/>
          <w:bCs/>
          <w:sz w:val="24"/>
          <w:szCs w:val="24"/>
        </w:rPr>
      </w:pPr>
      <w:r w:rsidRPr="00347017">
        <w:rPr>
          <w:rFonts w:ascii="Times New Roman" w:hAnsi="Times New Roman" w:cs="Times New Roman"/>
          <w:b/>
          <w:bCs/>
          <w:sz w:val="24"/>
          <w:szCs w:val="24"/>
        </w:rPr>
        <w:t>MATERIAL AND METHODOLOGY</w:t>
      </w:r>
    </w:p>
    <w:p w14:paraId="7BE3080B" w14:textId="77777777" w:rsidR="0041097D" w:rsidRPr="00347017" w:rsidRDefault="0041097D" w:rsidP="00347017">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47017">
        <w:rPr>
          <w:rFonts w:ascii="Times New Roman" w:eastAsia="Times New Roman" w:hAnsi="Times New Roman" w:cs="Times New Roman"/>
          <w:kern w:val="0"/>
          <w:sz w:val="24"/>
          <w:szCs w:val="24"/>
          <w:lang w:eastAsia="en-IN"/>
          <w14:ligatures w14:val="none"/>
        </w:rPr>
        <w:t>This review employed a systematic and thematic literature synthesis approach to critically evaluate recent advances in biological nitrogen fixation and precision-enhanced legume production systems. Scientific articles published predominantly between 2020 and 2025 were retrieved from Web of Science, Scopus, PubMed, ScienceDirect, and Google Scholar databases using combinations of keywords including “biological nitrogen fixation,” “precision agriculture,” “legume genomics,” “rhizosphere engineering,” “microbial inoculants,” “climate-smart agriculture,” and “nitrogen-use efficiency.” Foundational studies published before 2020 were selectively incorporated to explain key physiological and ecological principles of BNF. The literature screening process involved identification, eligibility assessment, quality evaluation, and thematic categorization of peer-reviewed studies focusing on nitrogen fixation efficiency, genomic-assisted breeding, microbial innovations, sensor technologies, and site-specific nutrient management in legumes. More than 80 high-quality articles were critically examined, while studies lacking experimental validation, non-peer-reviewed publications, and non-legume-based systems were excluded. Data were synthesized into major thematic areas including natural BNF mechanisms, environmental constraints, genetic improvement, rhizosphere engineering, precision agriculture integration, and future climate-resilient BNF strategies.</w:t>
      </w:r>
    </w:p>
    <w:p w14:paraId="7D824F19" w14:textId="77777777" w:rsidR="007F6049" w:rsidRPr="00347017" w:rsidRDefault="001C255B">
      <w:pPr>
        <w:jc w:val="both"/>
        <w:rPr>
          <w:rFonts w:ascii="Times New Roman" w:hAnsi="Times New Roman" w:cs="Times New Roman"/>
          <w:b/>
          <w:bCs/>
          <w:sz w:val="24"/>
          <w:szCs w:val="24"/>
        </w:rPr>
      </w:pPr>
      <w:r w:rsidRPr="00347017">
        <w:rPr>
          <w:rFonts w:ascii="Times New Roman" w:hAnsi="Times New Roman" w:cs="Times New Roman"/>
          <w:b/>
          <w:bCs/>
          <w:sz w:val="24"/>
          <w:szCs w:val="24"/>
        </w:rPr>
        <w:t xml:space="preserve">1. Natural BNF Mechanisms and Ecophysiology </w:t>
      </w:r>
    </w:p>
    <w:p w14:paraId="22F3F142" w14:textId="77777777" w:rsidR="0041097D" w:rsidRPr="00347017" w:rsidRDefault="0041097D" w:rsidP="00347017">
      <w:pPr>
        <w:spacing w:before="100" w:beforeAutospacing="1" w:after="100" w:afterAutospacing="1" w:line="240" w:lineRule="auto"/>
        <w:ind w:left="360"/>
        <w:jc w:val="both"/>
        <w:rPr>
          <w:rFonts w:ascii="Times New Roman" w:eastAsia="Times New Roman" w:hAnsi="Times New Roman" w:cs="Times New Roman"/>
          <w:kern w:val="0"/>
          <w:sz w:val="24"/>
          <w:szCs w:val="24"/>
          <w:lang w:eastAsia="en-IN"/>
          <w14:ligatures w14:val="none"/>
        </w:rPr>
      </w:pPr>
      <w:r w:rsidRPr="00347017">
        <w:rPr>
          <w:rFonts w:ascii="Times New Roman" w:eastAsia="Times New Roman" w:hAnsi="Times New Roman" w:cs="Times New Roman"/>
          <w:kern w:val="0"/>
          <w:sz w:val="24"/>
          <w:szCs w:val="24"/>
          <w:lang w:eastAsia="en-IN"/>
          <w14:ligatures w14:val="none"/>
        </w:rPr>
        <w:t xml:space="preserve">Biological nitrogen fixation in legumes is mediated through highly coordinated molecular interactions between host plants and </w:t>
      </w:r>
      <w:proofErr w:type="spellStart"/>
      <w:r w:rsidRPr="00347017">
        <w:rPr>
          <w:rFonts w:ascii="Times New Roman" w:eastAsia="Times New Roman" w:hAnsi="Times New Roman" w:cs="Times New Roman"/>
          <w:kern w:val="0"/>
          <w:sz w:val="24"/>
          <w:szCs w:val="24"/>
          <w:lang w:eastAsia="en-IN"/>
          <w14:ligatures w14:val="none"/>
        </w:rPr>
        <w:t>rhizobial</w:t>
      </w:r>
      <w:proofErr w:type="spellEnd"/>
      <w:r w:rsidRPr="00347017">
        <w:rPr>
          <w:rFonts w:ascii="Times New Roman" w:eastAsia="Times New Roman" w:hAnsi="Times New Roman" w:cs="Times New Roman"/>
          <w:kern w:val="0"/>
          <w:sz w:val="24"/>
          <w:szCs w:val="24"/>
          <w:lang w:eastAsia="en-IN"/>
          <w14:ligatures w14:val="none"/>
        </w:rPr>
        <w:t xml:space="preserve"> symbionts involving flavonoid </w:t>
      </w:r>
      <w:proofErr w:type="spellStart"/>
      <w:r w:rsidRPr="00347017">
        <w:rPr>
          <w:rFonts w:ascii="Times New Roman" w:eastAsia="Times New Roman" w:hAnsi="Times New Roman" w:cs="Times New Roman"/>
          <w:kern w:val="0"/>
          <w:sz w:val="24"/>
          <w:szCs w:val="24"/>
          <w:lang w:eastAsia="en-IN"/>
          <w14:ligatures w14:val="none"/>
        </w:rPr>
        <w:t>signaling</w:t>
      </w:r>
      <w:proofErr w:type="spellEnd"/>
      <w:r w:rsidRPr="00347017">
        <w:rPr>
          <w:rFonts w:ascii="Times New Roman" w:eastAsia="Times New Roman" w:hAnsi="Times New Roman" w:cs="Times New Roman"/>
          <w:kern w:val="0"/>
          <w:sz w:val="24"/>
          <w:szCs w:val="24"/>
          <w:lang w:eastAsia="en-IN"/>
          <w14:ligatures w14:val="none"/>
        </w:rPr>
        <w:t xml:space="preserve">, Nod factor recognition, infection thread formation, and root nodule organogenesis (Oldroyd et al., 2019). Within nodules, differentiated </w:t>
      </w:r>
      <w:proofErr w:type="spellStart"/>
      <w:r w:rsidRPr="00347017">
        <w:rPr>
          <w:rFonts w:ascii="Times New Roman" w:eastAsia="Times New Roman" w:hAnsi="Times New Roman" w:cs="Times New Roman"/>
          <w:kern w:val="0"/>
          <w:sz w:val="24"/>
          <w:szCs w:val="24"/>
          <w:lang w:eastAsia="en-IN"/>
          <w14:ligatures w14:val="none"/>
        </w:rPr>
        <w:t>bacteroids</w:t>
      </w:r>
      <w:proofErr w:type="spellEnd"/>
      <w:r w:rsidRPr="00347017">
        <w:rPr>
          <w:rFonts w:ascii="Times New Roman" w:eastAsia="Times New Roman" w:hAnsi="Times New Roman" w:cs="Times New Roman"/>
          <w:kern w:val="0"/>
          <w:sz w:val="24"/>
          <w:szCs w:val="24"/>
          <w:lang w:eastAsia="en-IN"/>
          <w14:ligatures w14:val="none"/>
        </w:rPr>
        <w:t xml:space="preserve"> convert atmospheric nitrogen into ammonia via nitrogenase enzyme complexes under microaerophilic conditions maintained by </w:t>
      </w:r>
      <w:proofErr w:type="spellStart"/>
      <w:r w:rsidRPr="00347017">
        <w:rPr>
          <w:rFonts w:ascii="Times New Roman" w:eastAsia="Times New Roman" w:hAnsi="Times New Roman" w:cs="Times New Roman"/>
          <w:kern w:val="0"/>
          <w:sz w:val="24"/>
          <w:szCs w:val="24"/>
          <w:lang w:eastAsia="en-IN"/>
          <w14:ligatures w14:val="none"/>
        </w:rPr>
        <w:t>leghemoglobin</w:t>
      </w:r>
      <w:proofErr w:type="spellEnd"/>
      <w:r w:rsidRPr="00347017">
        <w:rPr>
          <w:rFonts w:ascii="Times New Roman" w:eastAsia="Times New Roman" w:hAnsi="Times New Roman" w:cs="Times New Roman"/>
          <w:kern w:val="0"/>
          <w:sz w:val="24"/>
          <w:szCs w:val="24"/>
          <w:lang w:eastAsia="en-IN"/>
          <w14:ligatures w14:val="none"/>
        </w:rPr>
        <w:t xml:space="preserve"> (</w:t>
      </w:r>
      <w:proofErr w:type="spellStart"/>
      <w:r w:rsidRPr="00347017">
        <w:rPr>
          <w:rFonts w:ascii="Times New Roman" w:eastAsia="Times New Roman" w:hAnsi="Times New Roman" w:cs="Times New Roman"/>
          <w:kern w:val="0"/>
          <w:sz w:val="24"/>
          <w:szCs w:val="24"/>
          <w:lang w:eastAsia="en-IN"/>
          <w14:ligatures w14:val="none"/>
        </w:rPr>
        <w:t>Udvardi</w:t>
      </w:r>
      <w:proofErr w:type="spellEnd"/>
      <w:r w:rsidRPr="00347017">
        <w:rPr>
          <w:rFonts w:ascii="Times New Roman" w:eastAsia="Times New Roman" w:hAnsi="Times New Roman" w:cs="Times New Roman"/>
          <w:kern w:val="0"/>
          <w:sz w:val="24"/>
          <w:szCs w:val="24"/>
          <w:lang w:eastAsia="en-IN"/>
          <w14:ligatures w14:val="none"/>
        </w:rPr>
        <w:t xml:space="preserve"> and Poole, 2013). The efficiency of this process is strongly regulated by environmental variables including soil pH, temperature, phosphorus availability, salinity, and moisture stress (Hungria et al., 2020). Recent studies indicate that drought and heat stress significantly reduce nodulation, nitrogenase activity, and carbon allocation to nodules, thereby limiting BNF efficiency under climate change </w:t>
      </w:r>
      <w:r w:rsidRPr="00347017">
        <w:rPr>
          <w:rFonts w:ascii="Times New Roman" w:eastAsia="Times New Roman" w:hAnsi="Times New Roman" w:cs="Times New Roman"/>
          <w:kern w:val="0"/>
          <w:sz w:val="24"/>
          <w:szCs w:val="24"/>
          <w:lang w:eastAsia="en-IN"/>
          <w14:ligatures w14:val="none"/>
        </w:rPr>
        <w:lastRenderedPageBreak/>
        <w:t xml:space="preserve">scenarios (Araújo et al., 2019). Phosphorus availability is particularly important because nitrogen fixation is an energy-intensive process requiring substantial ATP generation for nitrogenase functioning (Sulieman and Tran, 2015). Modern genomic studies have revealed extensive genotypic variability in nodulation traits, symbiotic </w:t>
      </w:r>
      <w:proofErr w:type="spellStart"/>
      <w:r w:rsidRPr="00347017">
        <w:rPr>
          <w:rFonts w:ascii="Times New Roman" w:eastAsia="Times New Roman" w:hAnsi="Times New Roman" w:cs="Times New Roman"/>
          <w:kern w:val="0"/>
          <w:sz w:val="24"/>
          <w:szCs w:val="24"/>
          <w:lang w:eastAsia="en-IN"/>
          <w14:ligatures w14:val="none"/>
        </w:rPr>
        <w:t>signaling</w:t>
      </w:r>
      <w:proofErr w:type="spellEnd"/>
      <w:r w:rsidRPr="00347017">
        <w:rPr>
          <w:rFonts w:ascii="Times New Roman" w:eastAsia="Times New Roman" w:hAnsi="Times New Roman" w:cs="Times New Roman"/>
          <w:kern w:val="0"/>
          <w:sz w:val="24"/>
          <w:szCs w:val="24"/>
          <w:lang w:eastAsia="en-IN"/>
          <w14:ligatures w14:val="none"/>
        </w:rPr>
        <w:t xml:space="preserve"> pathways, and nitrogen fixation efficiency among cultivated and wild legume germplasm (Nkurunziza et al., 2025). Wild relatives possess adaptive alleles associated with enhanced stress tolerance and superior symbiotic performance, making them valuable genetic resources for breeding climate-resilient cultivars (</w:t>
      </w:r>
      <w:proofErr w:type="spellStart"/>
      <w:r w:rsidRPr="00347017">
        <w:rPr>
          <w:rFonts w:ascii="Times New Roman" w:eastAsia="Times New Roman" w:hAnsi="Times New Roman" w:cs="Times New Roman"/>
          <w:kern w:val="0"/>
          <w:sz w:val="24"/>
          <w:szCs w:val="24"/>
          <w:lang w:eastAsia="en-IN"/>
          <w14:ligatures w14:val="none"/>
        </w:rPr>
        <w:t>Lépiz</w:t>
      </w:r>
      <w:proofErr w:type="spellEnd"/>
      <w:r w:rsidRPr="00347017">
        <w:rPr>
          <w:rFonts w:ascii="Times New Roman" w:eastAsia="Times New Roman" w:hAnsi="Times New Roman" w:cs="Times New Roman"/>
          <w:kern w:val="0"/>
          <w:sz w:val="24"/>
          <w:szCs w:val="24"/>
          <w:lang w:eastAsia="en-IN"/>
          <w14:ligatures w14:val="none"/>
        </w:rPr>
        <w:t>-Ildefonso et al., 2024). Despite its ecological significance, natural BNF alone is frequently insufficient to satisfy nitrogen demand in intensive high-yield agricultural systems, necessitating precision-enhanced interventions for sustainable productivity.</w:t>
      </w:r>
    </w:p>
    <w:p w14:paraId="1BA33DDB" w14:textId="77777777" w:rsidR="007F6049" w:rsidRPr="00347017" w:rsidRDefault="001C255B">
      <w:pPr>
        <w:jc w:val="both"/>
        <w:rPr>
          <w:rFonts w:ascii="Times New Roman" w:hAnsi="Times New Roman" w:cs="Times New Roman"/>
          <w:b/>
          <w:bCs/>
          <w:sz w:val="24"/>
          <w:szCs w:val="24"/>
        </w:rPr>
      </w:pPr>
      <w:r w:rsidRPr="00347017">
        <w:rPr>
          <w:rFonts w:ascii="Times New Roman" w:hAnsi="Times New Roman" w:cs="Times New Roman"/>
          <w:b/>
          <w:bCs/>
          <w:sz w:val="24"/>
          <w:szCs w:val="24"/>
        </w:rPr>
        <w:t xml:space="preserve">2. Constraints and Limitations of Conventional BNF </w:t>
      </w:r>
    </w:p>
    <w:p w14:paraId="6088CBEE" w14:textId="77777777" w:rsidR="007F6049" w:rsidRPr="00347017" w:rsidRDefault="001C255B">
      <w:pPr>
        <w:jc w:val="both"/>
        <w:rPr>
          <w:rFonts w:ascii="Times New Roman" w:hAnsi="Times New Roman" w:cs="Times New Roman"/>
          <w:sz w:val="24"/>
          <w:szCs w:val="24"/>
        </w:rPr>
      </w:pPr>
      <w:r w:rsidRPr="00347017">
        <w:rPr>
          <w:rFonts w:ascii="Times New Roman" w:hAnsi="Times New Roman" w:cs="Times New Roman"/>
          <w:sz w:val="24"/>
          <w:szCs w:val="24"/>
        </w:rPr>
        <w:t xml:space="preserve">One of the primary constraints of natural BNF is its sensitivity to environmental variability (Bantilan and Johansen, 1995). Soil nitrogen levels exert a strong regulatory effect on nodulation and nitrogen fixation (Guo et al., 2025). High nitrogen availability suppresses BNF through feedback inhibition mechanisms that reduce nodule formation (Streeter and Wong, 1988). Another limitation is the inconsistency in performance of </w:t>
      </w:r>
      <w:proofErr w:type="spellStart"/>
      <w:r w:rsidRPr="00347017">
        <w:rPr>
          <w:rFonts w:ascii="Times New Roman" w:hAnsi="Times New Roman" w:cs="Times New Roman"/>
          <w:sz w:val="24"/>
          <w:szCs w:val="24"/>
        </w:rPr>
        <w:t>rhizobial</w:t>
      </w:r>
      <w:proofErr w:type="spellEnd"/>
      <w:r w:rsidRPr="00347017">
        <w:rPr>
          <w:rFonts w:ascii="Times New Roman" w:hAnsi="Times New Roman" w:cs="Times New Roman"/>
          <w:sz w:val="24"/>
          <w:szCs w:val="24"/>
        </w:rPr>
        <w:t xml:space="preserve"> inoculants across different environments (Herridge et al., 2008). Competition between introduced and native rhizobia often reduces the effectiveness of inoculation (Thies et al., 1991). Additionally, poor quality control in inoculant production can lead to reduced field performance (Singleton et al., 1992). Environmental stresses such as drought, salinity, and temperature extremes further constrain BNF efficiency (Hungria et al., 2020)</w:t>
      </w:r>
      <w:r w:rsidRPr="00347017">
        <w:rPr>
          <w:rFonts w:ascii="Times New Roman" w:hAnsi="Times New Roman" w:cs="Times New Roman"/>
          <w:sz w:val="24"/>
          <w:szCs w:val="24"/>
          <w:lang w:val="en-US"/>
        </w:rPr>
        <w:t xml:space="preserve"> (</w:t>
      </w:r>
      <w:r w:rsidRPr="00347017">
        <w:rPr>
          <w:rFonts w:ascii="Times New Roman" w:hAnsi="Times New Roman" w:cs="Times New Roman"/>
          <w:sz w:val="24"/>
          <w:szCs w:val="24"/>
        </w:rPr>
        <w:t>Table 3</w:t>
      </w:r>
      <w:r w:rsidRPr="00347017">
        <w:rPr>
          <w:rFonts w:ascii="Times New Roman" w:hAnsi="Times New Roman" w:cs="Times New Roman"/>
          <w:sz w:val="24"/>
          <w:szCs w:val="24"/>
          <w:lang w:val="en-US"/>
        </w:rPr>
        <w:t>)</w:t>
      </w:r>
      <w:proofErr w:type="gramStart"/>
      <w:r w:rsidRPr="00347017">
        <w:rPr>
          <w:rFonts w:ascii="Times New Roman" w:hAnsi="Times New Roman" w:cs="Times New Roman"/>
          <w:sz w:val="24"/>
          <w:szCs w:val="24"/>
        </w:rPr>
        <w:t>. .</w:t>
      </w:r>
      <w:proofErr w:type="gramEnd"/>
      <w:r w:rsidRPr="00347017">
        <w:rPr>
          <w:rFonts w:ascii="Times New Roman" w:hAnsi="Times New Roman" w:cs="Times New Roman"/>
          <w:sz w:val="24"/>
          <w:szCs w:val="24"/>
        </w:rPr>
        <w:t xml:space="preserve"> These stresses affect both plant physiology and microbial activity, leading to reduced nitrogen fixation rates (</w:t>
      </w:r>
      <w:proofErr w:type="spellStart"/>
      <w:r w:rsidRPr="00347017">
        <w:rPr>
          <w:rFonts w:ascii="Times New Roman" w:hAnsi="Times New Roman" w:cs="Times New Roman"/>
          <w:sz w:val="24"/>
          <w:szCs w:val="24"/>
        </w:rPr>
        <w:t>Serraj</w:t>
      </w:r>
      <w:proofErr w:type="spellEnd"/>
      <w:r w:rsidRPr="00347017">
        <w:rPr>
          <w:rFonts w:ascii="Times New Roman" w:hAnsi="Times New Roman" w:cs="Times New Roman"/>
          <w:sz w:val="24"/>
          <w:szCs w:val="24"/>
        </w:rPr>
        <w:t xml:space="preserve"> et al., 2004). The lack of reliable methods for measuring BNF in field conditions has also limited research progress (Jafari et al., 2024). Traditional methods such as acetylene reduction assays are </w:t>
      </w:r>
      <w:proofErr w:type="spellStart"/>
      <w:r w:rsidRPr="00347017">
        <w:rPr>
          <w:rFonts w:ascii="Times New Roman" w:hAnsi="Times New Roman" w:cs="Times New Roman"/>
          <w:sz w:val="24"/>
          <w:szCs w:val="24"/>
        </w:rPr>
        <w:t>labor-intensive</w:t>
      </w:r>
      <w:proofErr w:type="spellEnd"/>
      <w:r w:rsidRPr="00347017">
        <w:rPr>
          <w:rFonts w:ascii="Times New Roman" w:hAnsi="Times New Roman" w:cs="Times New Roman"/>
          <w:sz w:val="24"/>
          <w:szCs w:val="24"/>
        </w:rPr>
        <w:t xml:space="preserve"> and often inaccurate (Hardy et al., 1968). These limitations highlight the need for innovative approaches to enhance BNF efficiency.</w:t>
      </w:r>
    </w:p>
    <w:p w14:paraId="7B044D56" w14:textId="77777777" w:rsidR="007F6049" w:rsidRPr="00347017" w:rsidRDefault="001C255B">
      <w:pPr>
        <w:jc w:val="both"/>
        <w:rPr>
          <w:rFonts w:ascii="Times New Roman" w:hAnsi="Times New Roman" w:cs="Times New Roman"/>
          <w:b/>
          <w:bCs/>
          <w:sz w:val="24"/>
          <w:szCs w:val="24"/>
        </w:rPr>
      </w:pPr>
      <w:r w:rsidRPr="00347017">
        <w:rPr>
          <w:rFonts w:ascii="Times New Roman" w:hAnsi="Times New Roman" w:cs="Times New Roman"/>
          <w:b/>
          <w:bCs/>
          <w:sz w:val="24"/>
          <w:szCs w:val="24"/>
        </w:rPr>
        <w:t xml:space="preserve">3. Precision-Enhanced BNF Approaches </w:t>
      </w:r>
    </w:p>
    <w:p w14:paraId="6F17E150" w14:textId="3FB8D02B" w:rsidR="007F6049" w:rsidRPr="00347017" w:rsidRDefault="006C3A96" w:rsidP="00347017">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47017">
        <w:rPr>
          <w:rFonts w:ascii="Times New Roman" w:eastAsia="Times New Roman" w:hAnsi="Times New Roman" w:cs="Times New Roman"/>
          <w:kern w:val="0"/>
          <w:sz w:val="24"/>
          <w:szCs w:val="24"/>
          <w:lang w:eastAsia="en-IN"/>
          <w14:ligatures w14:val="none"/>
        </w:rPr>
        <w:t>Precision-enhanced BNF integrates genomics, digital agriculture, microbial engineering, and site-specific nutrient management to optimize nitrogen fixation efficiency and crop performance (Guo et al., 2025). Advances in remote sensing, hyperspectral imaging, and biosensor technologies enable non-destructive, real-time assessment of crop nitrogen status, chlorophyll dynamics, and symbiotic performance under field conditions (Jafari et al., 2024). Artificial intelligence and machine learning algorithms are increasingly used to predict nitrogen demand, optimize fertilization schedules, and improve precision nutrient management based on environmental and crop-specific datasets (Liakos et al., 2018). Variable-rate fertilizer application technologies minimize excessive nitrogen inputs that suppress nodulation while ensuring adequate nutrient availability for crop growth (Zhang et al., 2021). Recent studies demonstrate that integrating precision nutrient management with elite microbial inoculants significantly improves nodulation, nitrogenase activity, biomass accumulation, and grain yield in legumes (</w:t>
      </w:r>
      <w:proofErr w:type="spellStart"/>
      <w:r w:rsidRPr="00347017">
        <w:rPr>
          <w:rFonts w:ascii="Times New Roman" w:eastAsia="Times New Roman" w:hAnsi="Times New Roman" w:cs="Times New Roman"/>
          <w:kern w:val="0"/>
          <w:sz w:val="24"/>
          <w:szCs w:val="24"/>
          <w:lang w:eastAsia="en-IN"/>
          <w14:ligatures w14:val="none"/>
        </w:rPr>
        <w:t>Kaziūnienė</w:t>
      </w:r>
      <w:proofErr w:type="spellEnd"/>
      <w:r w:rsidRPr="00347017">
        <w:rPr>
          <w:rFonts w:ascii="Times New Roman" w:eastAsia="Times New Roman" w:hAnsi="Times New Roman" w:cs="Times New Roman"/>
          <w:kern w:val="0"/>
          <w:sz w:val="24"/>
          <w:szCs w:val="24"/>
          <w:lang w:eastAsia="en-IN"/>
          <w14:ligatures w14:val="none"/>
        </w:rPr>
        <w:t xml:space="preserve"> et al., 2025). Precision agriculture frameworks also support climate-smart intensification strategies by improving nitrogen-use efficiency and reducing greenhouse gas emissions associated with synthetic fertilizer production (Ladha et al., 2022). Consequently, precision-enhanced BNF is emerging as a transformative approach for sustainable nutrient management and resilient agricultural systems.</w:t>
      </w:r>
      <w:r w:rsidR="001C255B" w:rsidRPr="00347017">
        <w:rPr>
          <w:rFonts w:ascii="Times New Roman" w:hAnsi="Times New Roman" w:cs="Times New Roman"/>
          <w:sz w:val="24"/>
          <w:szCs w:val="24"/>
          <w:lang w:val="en-US"/>
        </w:rPr>
        <w:t xml:space="preserve"> (</w:t>
      </w:r>
      <w:r w:rsidR="001C255B" w:rsidRPr="00347017">
        <w:rPr>
          <w:rFonts w:ascii="Times New Roman" w:hAnsi="Times New Roman" w:cs="Times New Roman"/>
          <w:sz w:val="24"/>
          <w:szCs w:val="24"/>
        </w:rPr>
        <w:t>Table 1</w:t>
      </w:r>
      <w:r w:rsidR="001C255B" w:rsidRPr="00347017">
        <w:rPr>
          <w:rFonts w:ascii="Times New Roman" w:hAnsi="Times New Roman" w:cs="Times New Roman"/>
          <w:sz w:val="24"/>
          <w:szCs w:val="24"/>
          <w:lang w:val="en-US"/>
        </w:rPr>
        <w:t>)</w:t>
      </w:r>
      <w:r w:rsidR="001C255B" w:rsidRPr="00347017">
        <w:rPr>
          <w:rFonts w:ascii="Times New Roman" w:hAnsi="Times New Roman" w:cs="Times New Roman"/>
          <w:sz w:val="24"/>
          <w:szCs w:val="24"/>
        </w:rPr>
        <w:t>.</w:t>
      </w:r>
    </w:p>
    <w:p w14:paraId="022BAAAF" w14:textId="77777777" w:rsidR="007F6049" w:rsidRPr="00347017" w:rsidRDefault="001C255B">
      <w:pPr>
        <w:jc w:val="both"/>
        <w:rPr>
          <w:rFonts w:ascii="Times New Roman" w:hAnsi="Times New Roman" w:cs="Times New Roman"/>
          <w:b/>
          <w:bCs/>
          <w:sz w:val="24"/>
          <w:szCs w:val="24"/>
        </w:rPr>
      </w:pPr>
      <w:r w:rsidRPr="00347017">
        <w:rPr>
          <w:rFonts w:ascii="Times New Roman" w:hAnsi="Times New Roman" w:cs="Times New Roman"/>
          <w:b/>
          <w:bCs/>
          <w:sz w:val="24"/>
          <w:szCs w:val="24"/>
        </w:rPr>
        <w:lastRenderedPageBreak/>
        <w:t xml:space="preserve">4. Genetic Improvement of Legumes for Enhanced Nitrogen Fixation </w:t>
      </w:r>
    </w:p>
    <w:p w14:paraId="603FAF59" w14:textId="1EEEB4CD" w:rsidR="007F6049" w:rsidRPr="00347017" w:rsidRDefault="001C255B" w:rsidP="00347017">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47017">
        <w:rPr>
          <w:rFonts w:ascii="Times New Roman" w:hAnsi="Times New Roman" w:cs="Times New Roman"/>
          <w:sz w:val="24"/>
          <w:szCs w:val="24"/>
        </w:rPr>
        <w:t xml:space="preserve">Genetic improvement of legumes has emerged as a critical strategy for enhancing biological nitrogen fixation efficiency (Nkurunziza et al., 2025). </w:t>
      </w:r>
      <w:r w:rsidR="006C3A96" w:rsidRPr="00347017">
        <w:rPr>
          <w:rFonts w:ascii="Times New Roman" w:eastAsia="Times New Roman" w:hAnsi="Times New Roman" w:cs="Times New Roman"/>
          <w:kern w:val="0"/>
          <w:sz w:val="24"/>
          <w:szCs w:val="24"/>
          <w:lang w:eastAsia="en-IN"/>
          <w14:ligatures w14:val="none"/>
        </w:rPr>
        <w:t>Recent advances in plant genomics and molecular breeding have accelerated the development of high nitrogen-fixing legume varieties with improved symbiotic efficiency and stress tolerance (Varshney et al., 2017). Genome-wide association studies and quantitative trait locus mapping have identified key genomic regions associated with nodulation, nitrogenase activity, root architecture, and nutrient acquisition efficiency (Nkurunziza et al., 2025). Marker-assisted selection and genomic selection approaches enable rapid introgression of favo</w:t>
      </w:r>
      <w:r w:rsidR="004F6F2F" w:rsidRPr="00347017">
        <w:rPr>
          <w:rFonts w:ascii="Times New Roman" w:eastAsia="Times New Roman" w:hAnsi="Times New Roman" w:cs="Times New Roman"/>
          <w:kern w:val="0"/>
          <w:sz w:val="24"/>
          <w:szCs w:val="24"/>
          <w:lang w:eastAsia="en-IN"/>
          <w14:ligatures w14:val="none"/>
        </w:rPr>
        <w:t>u</w:t>
      </w:r>
      <w:r w:rsidR="006C3A96" w:rsidRPr="00347017">
        <w:rPr>
          <w:rFonts w:ascii="Times New Roman" w:eastAsia="Times New Roman" w:hAnsi="Times New Roman" w:cs="Times New Roman"/>
          <w:kern w:val="0"/>
          <w:sz w:val="24"/>
          <w:szCs w:val="24"/>
          <w:lang w:eastAsia="en-IN"/>
          <w14:ligatures w14:val="none"/>
        </w:rPr>
        <w:t xml:space="preserve">rable alleles governing biological nitrogen fixation into elite breeding populations (Crossa et al., 2017). CRISPR-Cas-mediated genome editing technologies are further revolutionizing legume improvement by enabling precise modification of genes involved in symbiotic </w:t>
      </w:r>
      <w:proofErr w:type="spellStart"/>
      <w:r w:rsidR="006C3A96" w:rsidRPr="00347017">
        <w:rPr>
          <w:rFonts w:ascii="Times New Roman" w:eastAsia="Times New Roman" w:hAnsi="Times New Roman" w:cs="Times New Roman"/>
          <w:kern w:val="0"/>
          <w:sz w:val="24"/>
          <w:szCs w:val="24"/>
          <w:lang w:eastAsia="en-IN"/>
          <w14:ligatures w14:val="none"/>
        </w:rPr>
        <w:t>signaling</w:t>
      </w:r>
      <w:proofErr w:type="spellEnd"/>
      <w:r w:rsidR="006C3A96" w:rsidRPr="00347017">
        <w:rPr>
          <w:rFonts w:ascii="Times New Roman" w:eastAsia="Times New Roman" w:hAnsi="Times New Roman" w:cs="Times New Roman"/>
          <w:kern w:val="0"/>
          <w:sz w:val="24"/>
          <w:szCs w:val="24"/>
          <w:lang w:eastAsia="en-IN"/>
          <w14:ligatures w14:val="none"/>
        </w:rPr>
        <w:t xml:space="preserve"> pathways, autoregulation of nodulation, and stress-responsive mechanisms (Wang et al., 2022). Multi-omics integration involving genomics, transcriptomics, proteomics, and metabolomics is enhancing understanding of plant–microbe interactions and facilitating the identification of regulatory networks controlling BNF efficiency (Chen et al., 2020). Wild legume relatives remain important reservoirs of adaptive genetic diversity for improving climate resilience, nodulation stability, and nutrient-use efficiency under adverse environmental conditions (</w:t>
      </w:r>
      <w:proofErr w:type="spellStart"/>
      <w:r w:rsidR="006C3A96" w:rsidRPr="00347017">
        <w:rPr>
          <w:rFonts w:ascii="Times New Roman" w:eastAsia="Times New Roman" w:hAnsi="Times New Roman" w:cs="Times New Roman"/>
          <w:kern w:val="0"/>
          <w:sz w:val="24"/>
          <w:szCs w:val="24"/>
          <w:lang w:eastAsia="en-IN"/>
          <w14:ligatures w14:val="none"/>
        </w:rPr>
        <w:t>Lépiz</w:t>
      </w:r>
      <w:proofErr w:type="spellEnd"/>
      <w:r w:rsidR="006C3A96" w:rsidRPr="00347017">
        <w:rPr>
          <w:rFonts w:ascii="Times New Roman" w:eastAsia="Times New Roman" w:hAnsi="Times New Roman" w:cs="Times New Roman"/>
          <w:kern w:val="0"/>
          <w:sz w:val="24"/>
          <w:szCs w:val="24"/>
          <w:lang w:eastAsia="en-IN"/>
          <w14:ligatures w14:val="none"/>
        </w:rPr>
        <w:t>-Ildefonso et al., 2024). However, genotype-by-environment interactions continue to pose significant challenges for achieving stable BNF performance across agroecological regions, highlighting the need for environment-specific breeding strategies.</w:t>
      </w:r>
    </w:p>
    <w:p w14:paraId="0636D6E2" w14:textId="77777777" w:rsidR="007F6049" w:rsidRPr="00347017" w:rsidRDefault="001C255B">
      <w:pPr>
        <w:jc w:val="both"/>
        <w:rPr>
          <w:rFonts w:ascii="Times New Roman" w:hAnsi="Times New Roman" w:cs="Times New Roman"/>
          <w:b/>
          <w:bCs/>
          <w:sz w:val="24"/>
          <w:szCs w:val="24"/>
        </w:rPr>
      </w:pPr>
      <w:r w:rsidRPr="00347017">
        <w:rPr>
          <w:rFonts w:ascii="Times New Roman" w:hAnsi="Times New Roman" w:cs="Times New Roman"/>
          <w:b/>
          <w:bCs/>
          <w:sz w:val="24"/>
          <w:szCs w:val="24"/>
        </w:rPr>
        <w:t xml:space="preserve">5. Microbial Innovations and Rhizosphere Engineering </w:t>
      </w:r>
    </w:p>
    <w:p w14:paraId="2A0CCD8F" w14:textId="77777777" w:rsidR="004F6F2F" w:rsidRPr="00347017" w:rsidRDefault="001C255B">
      <w:pPr>
        <w:jc w:val="both"/>
        <w:rPr>
          <w:rFonts w:ascii="Times New Roman" w:hAnsi="Times New Roman" w:cs="Times New Roman"/>
          <w:sz w:val="24"/>
          <w:szCs w:val="24"/>
        </w:rPr>
      </w:pPr>
      <w:r w:rsidRPr="00347017">
        <w:rPr>
          <w:rFonts w:ascii="Times New Roman" w:hAnsi="Times New Roman" w:cs="Times New Roman"/>
          <w:sz w:val="24"/>
          <w:szCs w:val="24"/>
        </w:rPr>
        <w:t xml:space="preserve">The efficiency of biological nitrogen fixation is strongly influenced by the quality and compatibility of </w:t>
      </w:r>
      <w:proofErr w:type="spellStart"/>
      <w:r w:rsidRPr="00347017">
        <w:rPr>
          <w:rFonts w:ascii="Times New Roman" w:hAnsi="Times New Roman" w:cs="Times New Roman"/>
          <w:sz w:val="24"/>
          <w:szCs w:val="24"/>
        </w:rPr>
        <w:t>rhizobial</w:t>
      </w:r>
      <w:proofErr w:type="spellEnd"/>
      <w:r w:rsidRPr="00347017">
        <w:rPr>
          <w:rFonts w:ascii="Times New Roman" w:hAnsi="Times New Roman" w:cs="Times New Roman"/>
          <w:sz w:val="24"/>
          <w:szCs w:val="24"/>
        </w:rPr>
        <w:t xml:space="preserve"> strains (</w:t>
      </w:r>
      <w:proofErr w:type="spellStart"/>
      <w:r w:rsidRPr="00347017">
        <w:rPr>
          <w:rFonts w:ascii="Times New Roman" w:hAnsi="Times New Roman" w:cs="Times New Roman"/>
          <w:sz w:val="24"/>
          <w:szCs w:val="24"/>
        </w:rPr>
        <w:t>Bantilan</w:t>
      </w:r>
      <w:proofErr w:type="spellEnd"/>
      <w:r w:rsidRPr="00347017">
        <w:rPr>
          <w:rFonts w:ascii="Times New Roman" w:hAnsi="Times New Roman" w:cs="Times New Roman"/>
          <w:sz w:val="24"/>
          <w:szCs w:val="24"/>
        </w:rPr>
        <w:t xml:space="preserve"> and Johansen, 1995). Selection of highly efficient </w:t>
      </w:r>
      <w:proofErr w:type="spellStart"/>
      <w:r w:rsidRPr="00347017">
        <w:rPr>
          <w:rFonts w:ascii="Times New Roman" w:hAnsi="Times New Roman" w:cs="Times New Roman"/>
          <w:sz w:val="24"/>
          <w:szCs w:val="24"/>
        </w:rPr>
        <w:t>rhizobial</w:t>
      </w:r>
      <w:proofErr w:type="spellEnd"/>
      <w:r w:rsidRPr="00347017">
        <w:rPr>
          <w:rFonts w:ascii="Times New Roman" w:hAnsi="Times New Roman" w:cs="Times New Roman"/>
          <w:sz w:val="24"/>
          <w:szCs w:val="24"/>
        </w:rPr>
        <w:t xml:space="preserve"> strains can significantly improve nodulation and nitrogen fixation rates (Herridge et al., 2008). Advances in microbial genomics have enabled the identification of key genes responsible for symbiotic efficiency (Poole et al., 2018)</w:t>
      </w:r>
      <w:r w:rsidRPr="00347017">
        <w:rPr>
          <w:rFonts w:ascii="Times New Roman" w:hAnsi="Times New Roman" w:cs="Times New Roman"/>
          <w:sz w:val="24"/>
          <w:szCs w:val="24"/>
          <w:lang w:val="en-US"/>
        </w:rPr>
        <w:t xml:space="preserve"> (</w:t>
      </w:r>
      <w:r w:rsidRPr="00347017">
        <w:rPr>
          <w:rFonts w:ascii="Times New Roman" w:hAnsi="Times New Roman" w:cs="Times New Roman"/>
          <w:sz w:val="24"/>
          <w:szCs w:val="24"/>
        </w:rPr>
        <w:t>Table</w:t>
      </w:r>
      <w:r w:rsidRPr="00347017">
        <w:rPr>
          <w:rFonts w:ascii="Times New Roman" w:hAnsi="Times New Roman" w:cs="Times New Roman"/>
          <w:sz w:val="24"/>
          <w:szCs w:val="24"/>
          <w:lang w:val="en-US"/>
        </w:rPr>
        <w:t xml:space="preserve"> 2)</w:t>
      </w:r>
      <w:r w:rsidRPr="00347017">
        <w:rPr>
          <w:rFonts w:ascii="Times New Roman" w:hAnsi="Times New Roman" w:cs="Times New Roman"/>
          <w:sz w:val="24"/>
          <w:szCs w:val="24"/>
        </w:rPr>
        <w:t>. The development of elite inoculant strains with enhanced competitiveness and stress tolerance is a major focus of current research (Hungria et al., 2020). These strains are capable of outperforming native rhizobia in establishing symbiosis with host plants (Thies et al., 1991).</w:t>
      </w:r>
      <w:r w:rsidRPr="00347017">
        <w:rPr>
          <w:rFonts w:ascii="Times New Roman" w:hAnsi="Times New Roman" w:cs="Times New Roman"/>
          <w:sz w:val="24"/>
          <w:szCs w:val="24"/>
        </w:rPr>
        <w:br/>
        <w:t>Improved inoculant formulations incorporating carriers and protective agents have been shown to enhance field performance (Singleton et al., 1992). The rhizosphere microbiome plays a critical role in regulating plant health and nutrient cycling (Berendsen et al., 2012). Interactions between rhizobia and other soil microorganisms can influence nodulation and nitrogen fixation efficiency (</w:t>
      </w:r>
      <w:proofErr w:type="spellStart"/>
      <w:r w:rsidRPr="00347017">
        <w:rPr>
          <w:rFonts w:ascii="Times New Roman" w:hAnsi="Times New Roman" w:cs="Times New Roman"/>
          <w:sz w:val="24"/>
          <w:szCs w:val="24"/>
        </w:rPr>
        <w:t>Compant</w:t>
      </w:r>
      <w:proofErr w:type="spellEnd"/>
      <w:r w:rsidRPr="00347017">
        <w:rPr>
          <w:rFonts w:ascii="Times New Roman" w:hAnsi="Times New Roman" w:cs="Times New Roman"/>
          <w:sz w:val="24"/>
          <w:szCs w:val="24"/>
        </w:rPr>
        <w:t xml:space="preserve"> et al., 2019). Plant growth-promoting rhizobacteria can enhance BNF by improving nutrient availability and reducing stress effects (Vessey, 2003). Synthetic microbial consortia are being developed to optimize rhizosphere interactions and enhance nitrogen fixation (Vorholt et al., 2017).</w:t>
      </w:r>
      <w:r w:rsidR="004F6F2F" w:rsidRPr="00347017">
        <w:rPr>
          <w:rFonts w:ascii="Times New Roman" w:hAnsi="Times New Roman" w:cs="Times New Roman"/>
          <w:sz w:val="24"/>
          <w:szCs w:val="24"/>
        </w:rPr>
        <w:t xml:space="preserve"> </w:t>
      </w:r>
      <w:r w:rsidRPr="00347017">
        <w:rPr>
          <w:rFonts w:ascii="Times New Roman" w:hAnsi="Times New Roman" w:cs="Times New Roman"/>
          <w:sz w:val="24"/>
          <w:szCs w:val="24"/>
        </w:rPr>
        <w:t>These consortia combine multiple beneficial microorganisms to improve plant growth and resilience (</w:t>
      </w:r>
      <w:proofErr w:type="spellStart"/>
      <w:r w:rsidRPr="00347017">
        <w:rPr>
          <w:rFonts w:ascii="Times New Roman" w:hAnsi="Times New Roman" w:cs="Times New Roman"/>
          <w:sz w:val="24"/>
          <w:szCs w:val="24"/>
        </w:rPr>
        <w:t>Compant</w:t>
      </w:r>
      <w:proofErr w:type="spellEnd"/>
      <w:r w:rsidRPr="00347017">
        <w:rPr>
          <w:rFonts w:ascii="Times New Roman" w:hAnsi="Times New Roman" w:cs="Times New Roman"/>
          <w:sz w:val="24"/>
          <w:szCs w:val="24"/>
        </w:rPr>
        <w:t xml:space="preserve"> et al., 2019). Such approaches represent a promising strategy for enhancing BNF under diverse environmental conditions (Berendsen et al., 2012). Agronomic practices such as crop rotation and intercropping can also influence rhizosphere microbial dynamics (Drinkwater et al., 1998). Diversified cropping systems promote microbial diversity and improve nitrogen cycling efficiency (Singh et al., 2023). These findings highlight the importance of integrating microbial and agronomic strategies for optimizing BNF.</w:t>
      </w:r>
    </w:p>
    <w:p w14:paraId="6C8887F6" w14:textId="1EE09DA7" w:rsidR="007F6049" w:rsidRPr="00347017" w:rsidRDefault="001C255B">
      <w:pPr>
        <w:jc w:val="both"/>
        <w:rPr>
          <w:rFonts w:ascii="Times New Roman" w:hAnsi="Times New Roman" w:cs="Times New Roman"/>
          <w:sz w:val="24"/>
          <w:szCs w:val="24"/>
        </w:rPr>
      </w:pPr>
      <w:r w:rsidRPr="00347017">
        <w:rPr>
          <w:rFonts w:ascii="Times New Roman" w:hAnsi="Times New Roman" w:cs="Times New Roman"/>
          <w:b/>
          <w:bCs/>
          <w:sz w:val="24"/>
          <w:szCs w:val="24"/>
        </w:rPr>
        <w:lastRenderedPageBreak/>
        <w:t xml:space="preserve">6. Integration of BNF with Precision and Climate-Smart Agriculture </w:t>
      </w:r>
    </w:p>
    <w:p w14:paraId="4CD4CD39" w14:textId="530EB1D1" w:rsidR="007F6049" w:rsidRPr="00347017" w:rsidRDefault="001C255B">
      <w:pPr>
        <w:jc w:val="both"/>
        <w:rPr>
          <w:rFonts w:ascii="Times New Roman" w:hAnsi="Times New Roman" w:cs="Times New Roman"/>
          <w:sz w:val="24"/>
          <w:szCs w:val="24"/>
        </w:rPr>
      </w:pPr>
      <w:r w:rsidRPr="00347017">
        <w:rPr>
          <w:rFonts w:ascii="Times New Roman" w:hAnsi="Times New Roman" w:cs="Times New Roman"/>
          <w:sz w:val="24"/>
          <w:szCs w:val="24"/>
        </w:rPr>
        <w:t>Biological nitrogen fixation is increasingly being integrated into precision agriculture frameworks to enhance sustainability (</w:t>
      </w:r>
      <w:proofErr w:type="spellStart"/>
      <w:r w:rsidRPr="00347017">
        <w:rPr>
          <w:rFonts w:ascii="Times New Roman" w:hAnsi="Times New Roman" w:cs="Times New Roman"/>
          <w:sz w:val="24"/>
          <w:szCs w:val="24"/>
        </w:rPr>
        <w:t>Gebbers</w:t>
      </w:r>
      <w:proofErr w:type="spellEnd"/>
      <w:r w:rsidRPr="00347017">
        <w:rPr>
          <w:rFonts w:ascii="Times New Roman" w:hAnsi="Times New Roman" w:cs="Times New Roman"/>
          <w:sz w:val="24"/>
          <w:szCs w:val="24"/>
        </w:rPr>
        <w:t xml:space="preserve"> and </w:t>
      </w:r>
      <w:proofErr w:type="spellStart"/>
      <w:r w:rsidRPr="00347017">
        <w:rPr>
          <w:rFonts w:ascii="Times New Roman" w:hAnsi="Times New Roman" w:cs="Times New Roman"/>
          <w:sz w:val="24"/>
          <w:szCs w:val="24"/>
        </w:rPr>
        <w:t>Adamchuk</w:t>
      </w:r>
      <w:proofErr w:type="spellEnd"/>
      <w:r w:rsidRPr="00347017">
        <w:rPr>
          <w:rFonts w:ascii="Times New Roman" w:hAnsi="Times New Roman" w:cs="Times New Roman"/>
          <w:sz w:val="24"/>
          <w:szCs w:val="24"/>
        </w:rPr>
        <w:t>, 2010). Precision agriculture technologies enable site-specific management of inputs, improving nitrogen use efficiency (Zhang et al., 2021). The use of sensors and remote sensing tools allows real-time monitoring of crop nitrogen status and BNF activity (Jafari et al., 2024). Climate-smart agriculture emphasizes the need to enhance productivity while reducing environmental impacts (Lipper et al., 2014). BNF contributes to climate mitigation by reducing greenhouse gas emissions associated with synthetic fertilizer production (Ladha et al., 2022). Legume-based cropping systems improve soil carbon sequestration and ecosystem resilience (Peoples et al., 2022). The integration of BNF into cropping systems can reduce dependency on external nitrogen inputs (Mukherjee and Sen, 2021). This approach aligns with sustainable intensification goals aimed at increasing productivity without environmental degradation (Tilman et al., 2021). Precision-enhanced BNF systems provide a pathway for achieving these objectives through optimized resource use (Guo et al., 2025). However, the adoption of precision agriculture technologies is influenced by economic and infrastructural factors (</w:t>
      </w:r>
      <w:proofErr w:type="spellStart"/>
      <w:r w:rsidRPr="00347017">
        <w:rPr>
          <w:rFonts w:ascii="Times New Roman" w:hAnsi="Times New Roman" w:cs="Times New Roman"/>
          <w:sz w:val="24"/>
          <w:szCs w:val="24"/>
        </w:rPr>
        <w:t>Gebbers</w:t>
      </w:r>
      <w:proofErr w:type="spellEnd"/>
      <w:r w:rsidRPr="00347017">
        <w:rPr>
          <w:rFonts w:ascii="Times New Roman" w:hAnsi="Times New Roman" w:cs="Times New Roman"/>
          <w:sz w:val="24"/>
          <w:szCs w:val="24"/>
        </w:rPr>
        <w:t xml:space="preserve"> and </w:t>
      </w:r>
      <w:proofErr w:type="spellStart"/>
      <w:r w:rsidRPr="00347017">
        <w:rPr>
          <w:rFonts w:ascii="Times New Roman" w:hAnsi="Times New Roman" w:cs="Times New Roman"/>
          <w:sz w:val="24"/>
          <w:szCs w:val="24"/>
        </w:rPr>
        <w:t>Adamchuk</w:t>
      </w:r>
      <w:proofErr w:type="spellEnd"/>
      <w:r w:rsidRPr="00347017">
        <w:rPr>
          <w:rFonts w:ascii="Times New Roman" w:hAnsi="Times New Roman" w:cs="Times New Roman"/>
          <w:sz w:val="24"/>
          <w:szCs w:val="24"/>
        </w:rPr>
        <w:t>, 2010).</w:t>
      </w:r>
      <w:r w:rsidRPr="00347017">
        <w:rPr>
          <w:rFonts w:ascii="Times New Roman" w:hAnsi="Times New Roman" w:cs="Times New Roman"/>
          <w:sz w:val="24"/>
          <w:szCs w:val="24"/>
        </w:rPr>
        <w:br/>
        <w:t>Smallholder farmers may face challenges in accessing advanced technologies required for precision BNF (Lipper et al., 2014). Addressing these barriers is essential for widespread implementation of precision-enhanced BNF systems</w:t>
      </w:r>
      <w:r w:rsidRPr="00347017">
        <w:rPr>
          <w:rFonts w:ascii="Times New Roman" w:hAnsi="Times New Roman" w:cs="Times New Roman"/>
          <w:sz w:val="24"/>
          <w:szCs w:val="24"/>
          <w:lang w:val="en-US"/>
        </w:rPr>
        <w:t xml:space="preserve"> (</w:t>
      </w:r>
      <w:r w:rsidR="00277DCE">
        <w:rPr>
          <w:rFonts w:ascii="Times New Roman" w:hAnsi="Times New Roman" w:cs="Times New Roman"/>
          <w:sz w:val="24"/>
          <w:szCs w:val="24"/>
          <w:lang w:val="en-US"/>
        </w:rPr>
        <w:t>Fig 1-4</w:t>
      </w:r>
      <w:r w:rsidRPr="00347017">
        <w:rPr>
          <w:rFonts w:ascii="Times New Roman" w:hAnsi="Times New Roman" w:cs="Times New Roman"/>
          <w:sz w:val="24"/>
          <w:szCs w:val="24"/>
          <w:lang w:val="en-US"/>
        </w:rPr>
        <w:t>)</w:t>
      </w:r>
      <w:r w:rsidRPr="00347017">
        <w:rPr>
          <w:rFonts w:ascii="Times New Roman" w:hAnsi="Times New Roman" w:cs="Times New Roman"/>
          <w:sz w:val="24"/>
          <w:szCs w:val="24"/>
        </w:rPr>
        <w:t>.</w:t>
      </w:r>
    </w:p>
    <w:p w14:paraId="1AD1D575" w14:textId="3DF888E9" w:rsidR="007F6049" w:rsidRPr="00347017" w:rsidRDefault="004E4583" w:rsidP="004F6F2F">
      <w:pPr>
        <w:rPr>
          <w:rFonts w:ascii="Times New Roman" w:hAnsi="Times New Roman" w:cs="Times New Roman"/>
          <w:b/>
          <w:bCs/>
          <w:sz w:val="24"/>
          <w:szCs w:val="24"/>
        </w:rPr>
      </w:pPr>
      <w:r w:rsidRPr="00347017">
        <w:rPr>
          <w:rFonts w:ascii="Times New Roman" w:hAnsi="Times New Roman" w:cs="Times New Roman"/>
          <w:b/>
          <w:bCs/>
          <w:sz w:val="24"/>
          <w:szCs w:val="24"/>
        </w:rPr>
        <w:t>DISCUSSION</w:t>
      </w:r>
    </w:p>
    <w:p w14:paraId="76B3BEF2" w14:textId="2B21E520" w:rsidR="006C3A96" w:rsidRPr="00347017" w:rsidRDefault="001C255B" w:rsidP="006C3A96">
      <w:pPr>
        <w:jc w:val="both"/>
        <w:rPr>
          <w:rFonts w:ascii="Times New Roman" w:eastAsia="Times New Roman" w:hAnsi="Times New Roman" w:cs="Times New Roman"/>
          <w:kern w:val="0"/>
          <w:sz w:val="24"/>
          <w:szCs w:val="24"/>
          <w:lang w:eastAsia="en-IN"/>
          <w14:ligatures w14:val="none"/>
        </w:rPr>
      </w:pPr>
      <w:r w:rsidRPr="00347017">
        <w:rPr>
          <w:rFonts w:ascii="Times New Roman" w:hAnsi="Times New Roman" w:cs="Times New Roman"/>
          <w:sz w:val="24"/>
          <w:szCs w:val="24"/>
        </w:rPr>
        <w:t xml:space="preserve">Precision-enhanced approaches offer improved control over nutrient management and symbiotic interactions (Jafari et al., </w:t>
      </w:r>
      <w:proofErr w:type="gramStart"/>
      <w:r w:rsidRPr="00347017">
        <w:rPr>
          <w:rFonts w:ascii="Times New Roman" w:hAnsi="Times New Roman" w:cs="Times New Roman"/>
          <w:sz w:val="24"/>
          <w:szCs w:val="24"/>
        </w:rPr>
        <w:t>2024)</w:t>
      </w:r>
      <w:r w:rsidRPr="00347017">
        <w:rPr>
          <w:rFonts w:ascii="Times New Roman" w:hAnsi="Times New Roman" w:cs="Times New Roman"/>
          <w:sz w:val="24"/>
          <w:szCs w:val="24"/>
          <w:lang w:val="en-US"/>
        </w:rPr>
        <w:t>(</w:t>
      </w:r>
      <w:proofErr w:type="gramEnd"/>
      <w:r w:rsidRPr="00347017">
        <w:rPr>
          <w:rFonts w:ascii="Times New Roman" w:hAnsi="Times New Roman" w:cs="Times New Roman"/>
          <w:sz w:val="24"/>
          <w:szCs w:val="24"/>
          <w:lang w:val="en-US"/>
        </w:rPr>
        <w:t>figure</w:t>
      </w:r>
      <w:r w:rsidR="00277DCE">
        <w:rPr>
          <w:rFonts w:ascii="Times New Roman" w:hAnsi="Times New Roman" w:cs="Times New Roman"/>
          <w:sz w:val="24"/>
          <w:szCs w:val="24"/>
          <w:lang w:val="en-US"/>
        </w:rPr>
        <w:t xml:space="preserve"> 5</w:t>
      </w:r>
      <w:r w:rsidRPr="00347017">
        <w:rPr>
          <w:rFonts w:ascii="Times New Roman" w:hAnsi="Times New Roman" w:cs="Times New Roman"/>
          <w:sz w:val="24"/>
          <w:szCs w:val="24"/>
          <w:lang w:val="en-US"/>
        </w:rPr>
        <w:t>)</w:t>
      </w:r>
      <w:r w:rsidRPr="00347017">
        <w:rPr>
          <w:rFonts w:ascii="Times New Roman" w:hAnsi="Times New Roman" w:cs="Times New Roman"/>
          <w:sz w:val="24"/>
          <w:szCs w:val="24"/>
        </w:rPr>
        <w:t>.The transition from natural biological nitrogen fixation to precision-enhanced systems represents a paradigm shift in agricultural science (Guo et al., 2025)</w:t>
      </w:r>
      <w:r w:rsidRPr="00347017">
        <w:rPr>
          <w:rFonts w:ascii="Times New Roman" w:hAnsi="Times New Roman" w:cs="Times New Roman"/>
          <w:sz w:val="24"/>
          <w:szCs w:val="24"/>
          <w:lang w:val="en-US"/>
        </w:rPr>
        <w:t xml:space="preserve">(figure </w:t>
      </w:r>
      <w:r w:rsidR="00277DCE">
        <w:rPr>
          <w:rFonts w:ascii="Times New Roman" w:hAnsi="Times New Roman" w:cs="Times New Roman"/>
          <w:sz w:val="24"/>
          <w:szCs w:val="24"/>
          <w:lang w:val="en-US"/>
        </w:rPr>
        <w:t>6</w:t>
      </w:r>
      <w:r w:rsidRPr="00347017">
        <w:rPr>
          <w:rFonts w:ascii="Times New Roman" w:hAnsi="Times New Roman" w:cs="Times New Roman"/>
          <w:sz w:val="24"/>
          <w:szCs w:val="24"/>
          <w:lang w:val="en-US"/>
        </w:rPr>
        <w:t>)</w:t>
      </w:r>
      <w:r w:rsidRPr="00347017">
        <w:rPr>
          <w:rFonts w:ascii="Times New Roman" w:hAnsi="Times New Roman" w:cs="Times New Roman"/>
          <w:sz w:val="24"/>
          <w:szCs w:val="24"/>
        </w:rPr>
        <w:t xml:space="preserve">. Natural BNF provides a sustainable source of nitrogen but is often limited by environmental variability and genetic constraints (Peoples et al., 2022). </w:t>
      </w:r>
      <w:r w:rsidRPr="00347017">
        <w:rPr>
          <w:rFonts w:ascii="Times New Roman" w:hAnsi="Times New Roman" w:cs="Times New Roman"/>
          <w:b/>
          <w:bCs/>
          <w:sz w:val="24"/>
          <w:szCs w:val="24"/>
        </w:rPr>
        <w:t xml:space="preserve"> </w:t>
      </w:r>
      <w:r w:rsidRPr="00347017">
        <w:rPr>
          <w:rFonts w:ascii="Times New Roman" w:hAnsi="Times New Roman" w:cs="Times New Roman"/>
          <w:sz w:val="24"/>
          <w:szCs w:val="24"/>
        </w:rPr>
        <w:t xml:space="preserve">The integration of genomics and precision agriculture tools has significantly improved the efficiency of BNF (Nkurunziza et al., 2025). </w:t>
      </w:r>
      <w:r w:rsidR="006C3A96" w:rsidRPr="00347017">
        <w:rPr>
          <w:rFonts w:ascii="Times New Roman" w:eastAsia="Times New Roman" w:hAnsi="Times New Roman" w:cs="Times New Roman"/>
          <w:kern w:val="0"/>
          <w:sz w:val="24"/>
          <w:szCs w:val="24"/>
          <w:lang w:eastAsia="en-IN"/>
          <w14:ligatures w14:val="none"/>
        </w:rPr>
        <w:t>Recent evidence demonstrates that combining genomic-assisted breeding, elite microbial inoculants, rhizosphere engineering, and precision nutrient management substantially improves nitrogen fixation efficiency, crop productivity, and environmental sustainability (</w:t>
      </w:r>
      <w:proofErr w:type="spellStart"/>
      <w:r w:rsidR="006C3A96" w:rsidRPr="00347017">
        <w:rPr>
          <w:rFonts w:ascii="Times New Roman" w:eastAsia="Times New Roman" w:hAnsi="Times New Roman" w:cs="Times New Roman"/>
          <w:kern w:val="0"/>
          <w:sz w:val="24"/>
          <w:szCs w:val="24"/>
          <w:lang w:eastAsia="en-IN"/>
          <w14:ligatures w14:val="none"/>
        </w:rPr>
        <w:t>Kaziūnienė</w:t>
      </w:r>
      <w:proofErr w:type="spellEnd"/>
      <w:r w:rsidR="006C3A96" w:rsidRPr="00347017">
        <w:rPr>
          <w:rFonts w:ascii="Times New Roman" w:eastAsia="Times New Roman" w:hAnsi="Times New Roman" w:cs="Times New Roman"/>
          <w:kern w:val="0"/>
          <w:sz w:val="24"/>
          <w:szCs w:val="24"/>
          <w:lang w:eastAsia="en-IN"/>
          <w14:ligatures w14:val="none"/>
        </w:rPr>
        <w:t xml:space="preserve"> et al., 2025; Nkurunziza et al., 2025). Advances in remote sensing, machine learning, and biosensor technologies now allow real-time monitoring of nitrogen dynamics and symbiotic performance under field conditions, enabling data-driven optimization of nutrient management practices (Jafari et al., 2024). Nevertheless, variability in soil physicochemical properties, climatic conditions, microbial diversity, and genotype-specific responses continues to limit consistent field performance of BNF technologies (Hungria et al., 2020). Economic constraints, infrastructure limitations, and limited technical awareness among smallholder farmers also restrict widespread adoption of precision agriculture tools in developing regions (Lipper et al., 2014). Therefore, future BNF strategies must integrate technological innovation with policy support, extension services, digital infrastructure, and participatory breeding approaches to ensure scalable and inclusive implementation.</w:t>
      </w:r>
    </w:p>
    <w:p w14:paraId="56EB2F9A" w14:textId="6D79DA2C" w:rsidR="007F6049" w:rsidRPr="00347017" w:rsidRDefault="009205B1" w:rsidP="006C3A96">
      <w:pPr>
        <w:jc w:val="both"/>
        <w:rPr>
          <w:rFonts w:ascii="Times New Roman" w:hAnsi="Times New Roman" w:cs="Times New Roman"/>
          <w:b/>
          <w:bCs/>
          <w:sz w:val="24"/>
          <w:szCs w:val="24"/>
        </w:rPr>
      </w:pPr>
      <w:r w:rsidRPr="00347017">
        <w:rPr>
          <w:rFonts w:ascii="Times New Roman" w:hAnsi="Times New Roman" w:cs="Times New Roman"/>
          <w:b/>
          <w:bCs/>
          <w:sz w:val="24"/>
          <w:szCs w:val="24"/>
        </w:rPr>
        <w:t>FUTURE CHALLENGES</w:t>
      </w:r>
    </w:p>
    <w:p w14:paraId="178E1983" w14:textId="77777777" w:rsidR="007F6049" w:rsidRPr="00347017" w:rsidRDefault="001C255B">
      <w:pPr>
        <w:jc w:val="both"/>
        <w:rPr>
          <w:rFonts w:ascii="Times New Roman" w:hAnsi="Times New Roman" w:cs="Times New Roman"/>
          <w:sz w:val="24"/>
          <w:szCs w:val="24"/>
        </w:rPr>
      </w:pPr>
      <w:r w:rsidRPr="00347017">
        <w:rPr>
          <w:rFonts w:ascii="Times New Roman" w:hAnsi="Times New Roman" w:cs="Times New Roman"/>
          <w:sz w:val="24"/>
          <w:szCs w:val="24"/>
        </w:rPr>
        <w:t xml:space="preserve">Future research should focus on improving the stability of biological nitrogen fixation under changing climatic conditions (Peoples et al., 2022). Climate variability poses significant </w:t>
      </w:r>
      <w:r w:rsidRPr="00347017">
        <w:rPr>
          <w:rFonts w:ascii="Times New Roman" w:hAnsi="Times New Roman" w:cs="Times New Roman"/>
          <w:sz w:val="24"/>
          <w:szCs w:val="24"/>
        </w:rPr>
        <w:lastRenderedPageBreak/>
        <w:t>challenges to both plant growth and microbial activity (Hungria et al., 2020). Developing climate-resilient legume varieties with stable BNF performance is a key research priority (</w:t>
      </w:r>
      <w:proofErr w:type="spellStart"/>
      <w:r w:rsidRPr="00347017">
        <w:rPr>
          <w:rFonts w:ascii="Times New Roman" w:hAnsi="Times New Roman" w:cs="Times New Roman"/>
          <w:sz w:val="24"/>
          <w:szCs w:val="24"/>
        </w:rPr>
        <w:t>Lépiz</w:t>
      </w:r>
      <w:proofErr w:type="spellEnd"/>
      <w:r w:rsidRPr="00347017">
        <w:rPr>
          <w:rFonts w:ascii="Times New Roman" w:hAnsi="Times New Roman" w:cs="Times New Roman"/>
          <w:sz w:val="24"/>
          <w:szCs w:val="24"/>
        </w:rPr>
        <w:t>-Ildefonso et al., 2024). The integration of multi-omics approaches can enhance understanding of plant–microbe interactions (Nkurunziza et al., 2025). Genomics, transcriptomics, and metabolomics provide insights into the molecular mechanisms underlying BNF (Chen et al., 2020). These approaches can facilitate the development of improved cultivars and microbial strains. There is also a need for cost-effective technologies for real-time monitoring of nitrogen fixation (Jafari et al., 2024). Advances in sensor technologies and data analytics can improve the accuracy and efficiency of BNF measurement (Liakos et al., 2018). Enhancing farmer awareness and adoption of BNF technologies is essential for large-scale implementation (Bantilan and Johansen, 1995). Extension services and training programs can play a critical role in promoting these technologies (Lipper et al., 2014). Policy support and investment in research infrastructure are also necessary to accelerate innovation in this field (Tilman et al., 2021).</w:t>
      </w:r>
    </w:p>
    <w:p w14:paraId="41758604" w14:textId="4FB1D54A" w:rsidR="007F6049" w:rsidRPr="00347017" w:rsidRDefault="009205B1" w:rsidP="006C3A96">
      <w:pPr>
        <w:rPr>
          <w:rFonts w:ascii="Times New Roman" w:hAnsi="Times New Roman" w:cs="Times New Roman"/>
          <w:b/>
          <w:bCs/>
          <w:sz w:val="24"/>
          <w:szCs w:val="24"/>
        </w:rPr>
      </w:pPr>
      <w:r w:rsidRPr="00347017">
        <w:rPr>
          <w:rFonts w:ascii="Times New Roman" w:hAnsi="Times New Roman" w:cs="Times New Roman"/>
          <w:b/>
          <w:bCs/>
          <w:sz w:val="24"/>
          <w:szCs w:val="24"/>
        </w:rPr>
        <w:t>CONCLUSION</w:t>
      </w:r>
    </w:p>
    <w:p w14:paraId="54A30F9C" w14:textId="2A0AB286" w:rsidR="007F6049" w:rsidRDefault="001C255B">
      <w:pPr>
        <w:jc w:val="both"/>
        <w:rPr>
          <w:rFonts w:ascii="Times New Roman" w:hAnsi="Times New Roman" w:cs="Times New Roman"/>
          <w:sz w:val="24"/>
          <w:szCs w:val="24"/>
        </w:rPr>
      </w:pPr>
      <w:r w:rsidRPr="00347017">
        <w:rPr>
          <w:rFonts w:ascii="Times New Roman" w:hAnsi="Times New Roman" w:cs="Times New Roman"/>
          <w:sz w:val="24"/>
          <w:szCs w:val="24"/>
        </w:rPr>
        <w:t>Biological nitrogen fixation remains a cornerstone of sustainable agriculture by providing an environmentally friendly source of nitrogen (Ladha et al., 2022). Natural BNF systems are limited by environmental variability, genetic constraints, and management practices (Peoples et al., 2022). Precision-enhanced BNF represents a transformative approach that integrates modern technologies to optimize nitrogen fixation (Guo et al., 2025). Advances in genomics, microbial engineering, and precision agriculture have significantly improved BNF efficiency (Nkurunziza et al., 2025). These innovations enable the development of high nitrogen-fixing legume varieties capable of sustaining productivity under diverse conditions (</w:t>
      </w:r>
      <w:proofErr w:type="spellStart"/>
      <w:r w:rsidRPr="00347017">
        <w:rPr>
          <w:rFonts w:ascii="Times New Roman" w:hAnsi="Times New Roman" w:cs="Times New Roman"/>
          <w:sz w:val="24"/>
          <w:szCs w:val="24"/>
        </w:rPr>
        <w:t>Lépiz</w:t>
      </w:r>
      <w:proofErr w:type="spellEnd"/>
      <w:r w:rsidRPr="00347017">
        <w:rPr>
          <w:rFonts w:ascii="Times New Roman" w:hAnsi="Times New Roman" w:cs="Times New Roman"/>
          <w:sz w:val="24"/>
          <w:szCs w:val="24"/>
        </w:rPr>
        <w:t>-Ildefonso et al., 2024). Despite these advancements, challenges related to scalability, cost, and environmental variability remain (Jafari et al., 2024). The integration of precision-enhanced BNF into agricultural systems offers a promising pathway for achieving sustainable intensification (Mukherjee and Sen, 2021). Future research should focus on addressing existing gaps and promoting the adoption of these technologies (Tilman et al., 2021). Overall, precision-enhanced BNF has the potential to revolutionize nitrogen management in agriculture and contribute to global food security.</w:t>
      </w:r>
    </w:p>
    <w:p w14:paraId="776F7779" w14:textId="451CEF72" w:rsidR="00277DCE" w:rsidRPr="00277DCE" w:rsidRDefault="00277DCE">
      <w:pPr>
        <w:jc w:val="both"/>
        <w:rPr>
          <w:rFonts w:ascii="Times New Roman" w:hAnsi="Times New Roman" w:cs="Times New Roman"/>
          <w:b/>
          <w:sz w:val="24"/>
          <w:szCs w:val="24"/>
        </w:rPr>
      </w:pPr>
      <w:r w:rsidRPr="00277DCE">
        <w:rPr>
          <w:rFonts w:ascii="Times New Roman" w:hAnsi="Times New Roman" w:cs="Times New Roman"/>
          <w:b/>
          <w:sz w:val="24"/>
          <w:szCs w:val="24"/>
        </w:rPr>
        <w:t>Disclaimer (Artificial intelligence)</w:t>
      </w:r>
    </w:p>
    <w:p w14:paraId="6CFC1497" w14:textId="5A0ACD38" w:rsidR="00277DCE" w:rsidRDefault="00277DCE">
      <w:pPr>
        <w:jc w:val="both"/>
        <w:rPr>
          <w:rFonts w:ascii="Times New Roman" w:hAnsi="Times New Roman" w:cs="Times New Roman"/>
          <w:sz w:val="24"/>
          <w:szCs w:val="24"/>
        </w:rPr>
      </w:pPr>
      <w:r w:rsidRPr="00277DCE">
        <w:rPr>
          <w:rFonts w:ascii="Times New Roman" w:hAnsi="Times New Roman" w:cs="Times New Roman"/>
          <w:sz w:val="24"/>
          <w:szCs w:val="24"/>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EBE1422" w14:textId="6C459932" w:rsidR="00277DCE" w:rsidRDefault="00277DCE">
      <w:pPr>
        <w:jc w:val="both"/>
        <w:rPr>
          <w:rFonts w:ascii="Times New Roman" w:hAnsi="Times New Roman" w:cs="Times New Roman"/>
          <w:sz w:val="24"/>
          <w:szCs w:val="24"/>
        </w:rPr>
      </w:pPr>
      <w:r w:rsidRPr="00277DCE">
        <w:rPr>
          <w:rFonts w:ascii="Times New Roman" w:hAnsi="Times New Roman" w:cs="Times New Roman"/>
          <w:sz w:val="24"/>
          <w:szCs w:val="24"/>
        </w:rPr>
        <w:t>Details of the AI usage are given below:</w:t>
      </w:r>
    </w:p>
    <w:p w14:paraId="4C512C36" w14:textId="6E0C0CEE" w:rsidR="00591E41" w:rsidRPr="00347017" w:rsidRDefault="004F6F2F" w:rsidP="00277DCE">
      <w:pPr>
        <w:pStyle w:val="NoSpacing"/>
        <w:numPr>
          <w:ilvl w:val="0"/>
          <w:numId w:val="8"/>
        </w:numPr>
        <w:rPr>
          <w:rFonts w:ascii="Times New Roman" w:hAnsi="Times New Roman" w:cs="Times New Roman"/>
          <w:sz w:val="24"/>
          <w:szCs w:val="24"/>
        </w:rPr>
      </w:pPr>
      <w:bookmarkStart w:id="0" w:name="_Hlk198031404"/>
      <w:r w:rsidRPr="00347017">
        <w:rPr>
          <w:rFonts w:ascii="Times New Roman" w:hAnsi="Times New Roman" w:cs="Times New Roman"/>
          <w:sz w:val="24"/>
          <w:szCs w:val="24"/>
        </w:rPr>
        <w:t xml:space="preserve">Internet and </w:t>
      </w:r>
      <w:proofErr w:type="gramStart"/>
      <w:r w:rsidR="00591E41" w:rsidRPr="00347017">
        <w:rPr>
          <w:rFonts w:ascii="Times New Roman" w:hAnsi="Times New Roman" w:cs="Times New Roman"/>
          <w:sz w:val="24"/>
          <w:szCs w:val="24"/>
        </w:rPr>
        <w:t>AI  have</w:t>
      </w:r>
      <w:proofErr w:type="gramEnd"/>
      <w:r w:rsidR="00591E41" w:rsidRPr="00347017">
        <w:rPr>
          <w:rFonts w:ascii="Times New Roman" w:hAnsi="Times New Roman" w:cs="Times New Roman"/>
          <w:sz w:val="24"/>
          <w:szCs w:val="24"/>
        </w:rPr>
        <w:t xml:space="preserve"> been used during </w:t>
      </w:r>
      <w:r w:rsidRPr="00347017">
        <w:rPr>
          <w:rFonts w:ascii="Times New Roman" w:hAnsi="Times New Roman" w:cs="Times New Roman"/>
          <w:sz w:val="24"/>
          <w:szCs w:val="24"/>
        </w:rPr>
        <w:t>draft</w:t>
      </w:r>
      <w:r w:rsidR="00CD1286">
        <w:rPr>
          <w:rFonts w:ascii="Times New Roman" w:hAnsi="Times New Roman" w:cs="Times New Roman"/>
          <w:sz w:val="24"/>
          <w:szCs w:val="24"/>
        </w:rPr>
        <w:t xml:space="preserve">ing </w:t>
      </w:r>
      <w:r w:rsidR="00591E41" w:rsidRPr="00347017">
        <w:rPr>
          <w:rFonts w:ascii="Times New Roman" w:hAnsi="Times New Roman" w:cs="Times New Roman"/>
          <w:sz w:val="24"/>
          <w:szCs w:val="24"/>
        </w:rPr>
        <w:t xml:space="preserve">of this manuscript. </w:t>
      </w:r>
      <w:bookmarkEnd w:id="0"/>
    </w:p>
    <w:p w14:paraId="7A6A53CD" w14:textId="77777777" w:rsidR="00A17123" w:rsidRDefault="00A17123" w:rsidP="004F6F2F">
      <w:pPr>
        <w:rPr>
          <w:rFonts w:ascii="Times New Roman" w:hAnsi="Times New Roman" w:cs="Times New Roman"/>
          <w:b/>
          <w:bCs/>
          <w:sz w:val="24"/>
          <w:szCs w:val="24"/>
        </w:rPr>
      </w:pPr>
    </w:p>
    <w:p w14:paraId="0E9AAA71" w14:textId="0F31893B" w:rsidR="007F6049" w:rsidRPr="00347017" w:rsidRDefault="009205B1" w:rsidP="004F6F2F">
      <w:pPr>
        <w:rPr>
          <w:rFonts w:ascii="Times New Roman" w:hAnsi="Times New Roman" w:cs="Times New Roman"/>
          <w:b/>
          <w:bCs/>
          <w:sz w:val="24"/>
          <w:szCs w:val="24"/>
        </w:rPr>
      </w:pPr>
      <w:r w:rsidRPr="00347017">
        <w:rPr>
          <w:rFonts w:ascii="Times New Roman" w:hAnsi="Times New Roman" w:cs="Times New Roman"/>
          <w:b/>
          <w:bCs/>
          <w:sz w:val="24"/>
          <w:szCs w:val="24"/>
        </w:rPr>
        <w:t>REFERENCES</w:t>
      </w:r>
    </w:p>
    <w:p w14:paraId="4D0DB9D9" w14:textId="77777777" w:rsidR="00A17123" w:rsidRPr="00A17123" w:rsidRDefault="00A17123" w:rsidP="00A17123">
      <w:pPr>
        <w:numPr>
          <w:ilvl w:val="0"/>
          <w:numId w:val="7"/>
        </w:numPr>
        <w:suppressLineNumbers/>
        <w:jc w:val="both"/>
        <w:rPr>
          <w:rFonts w:ascii="Times New Roman" w:hAnsi="Times New Roman" w:cs="Times New Roman"/>
          <w:sz w:val="24"/>
          <w:szCs w:val="24"/>
        </w:rPr>
      </w:pPr>
      <w:r w:rsidRPr="00A17123">
        <w:rPr>
          <w:rFonts w:ascii="Times New Roman" w:hAnsi="Times New Roman" w:cs="Times New Roman"/>
          <w:sz w:val="24"/>
          <w:szCs w:val="24"/>
        </w:rPr>
        <w:t xml:space="preserve">Araújo, S. S., Beebe, S., Crespi, M., </w:t>
      </w:r>
      <w:proofErr w:type="spellStart"/>
      <w:r w:rsidRPr="00A17123">
        <w:rPr>
          <w:rFonts w:ascii="Times New Roman" w:hAnsi="Times New Roman" w:cs="Times New Roman"/>
          <w:sz w:val="24"/>
          <w:szCs w:val="24"/>
        </w:rPr>
        <w:t>Delbreil</w:t>
      </w:r>
      <w:proofErr w:type="spellEnd"/>
      <w:r w:rsidRPr="00A17123">
        <w:rPr>
          <w:rFonts w:ascii="Times New Roman" w:hAnsi="Times New Roman" w:cs="Times New Roman"/>
          <w:sz w:val="24"/>
          <w:szCs w:val="24"/>
        </w:rPr>
        <w:t xml:space="preserve">, B., González, E. M., Gruber, V., </w:t>
      </w:r>
      <w:proofErr w:type="spellStart"/>
      <w:r w:rsidRPr="00A17123">
        <w:rPr>
          <w:rFonts w:ascii="Times New Roman" w:hAnsi="Times New Roman" w:cs="Times New Roman"/>
          <w:sz w:val="24"/>
          <w:szCs w:val="24"/>
        </w:rPr>
        <w:t>Lejeune-Hénaut</w:t>
      </w:r>
      <w:proofErr w:type="spellEnd"/>
      <w:r w:rsidRPr="00A17123">
        <w:rPr>
          <w:rFonts w:ascii="Times New Roman" w:hAnsi="Times New Roman" w:cs="Times New Roman"/>
          <w:sz w:val="24"/>
          <w:szCs w:val="24"/>
        </w:rPr>
        <w:t xml:space="preserve">, I., Link, W., Monteros, M., Prats, E., Rao, I., </w:t>
      </w:r>
      <w:proofErr w:type="spellStart"/>
      <w:r w:rsidRPr="00A17123">
        <w:rPr>
          <w:rFonts w:ascii="Times New Roman" w:hAnsi="Times New Roman" w:cs="Times New Roman"/>
          <w:sz w:val="24"/>
          <w:szCs w:val="24"/>
        </w:rPr>
        <w:t>Vadez</w:t>
      </w:r>
      <w:proofErr w:type="spellEnd"/>
      <w:r w:rsidRPr="00A17123">
        <w:rPr>
          <w:rFonts w:ascii="Times New Roman" w:hAnsi="Times New Roman" w:cs="Times New Roman"/>
          <w:sz w:val="24"/>
          <w:szCs w:val="24"/>
        </w:rPr>
        <w:t xml:space="preserve">, V., &amp; Vaz Patto, M. C. (2019). Abiotic stress responses in legumes: Strategies used to cope with environmental </w:t>
      </w:r>
      <w:r w:rsidRPr="00A17123">
        <w:rPr>
          <w:rFonts w:ascii="Times New Roman" w:hAnsi="Times New Roman" w:cs="Times New Roman"/>
          <w:sz w:val="24"/>
          <w:szCs w:val="24"/>
        </w:rPr>
        <w:lastRenderedPageBreak/>
        <w:t xml:space="preserve">challenges. </w:t>
      </w:r>
      <w:r w:rsidRPr="00A17123">
        <w:rPr>
          <w:rFonts w:ascii="Times New Roman" w:hAnsi="Times New Roman" w:cs="Times New Roman"/>
          <w:i/>
          <w:iCs/>
          <w:sz w:val="24"/>
          <w:szCs w:val="24"/>
        </w:rPr>
        <w:t>Critical Reviews in Plant Sciences, 38</w:t>
      </w:r>
      <w:r w:rsidRPr="00A17123">
        <w:rPr>
          <w:rFonts w:ascii="Times New Roman" w:hAnsi="Times New Roman" w:cs="Times New Roman"/>
          <w:sz w:val="24"/>
          <w:szCs w:val="24"/>
        </w:rPr>
        <w:t xml:space="preserve">(2), 81–103. </w:t>
      </w:r>
      <w:hyperlink r:id="rId8" w:history="1">
        <w:r w:rsidRPr="00A17123">
          <w:rPr>
            <w:rStyle w:val="Hyperlink"/>
            <w:rFonts w:ascii="Times New Roman" w:hAnsi="Times New Roman" w:cs="Times New Roman"/>
            <w:sz w:val="24"/>
            <w:szCs w:val="24"/>
          </w:rPr>
          <w:t>https://doi.org/10.1080/07352689.2019.1595651</w:t>
        </w:r>
      </w:hyperlink>
    </w:p>
    <w:p w14:paraId="229F8AAF" w14:textId="77777777" w:rsidR="00A17123" w:rsidRPr="00A17123" w:rsidRDefault="00A17123" w:rsidP="00A17123">
      <w:pPr>
        <w:numPr>
          <w:ilvl w:val="0"/>
          <w:numId w:val="7"/>
        </w:numPr>
        <w:suppressLineNumbers/>
        <w:jc w:val="both"/>
        <w:rPr>
          <w:rFonts w:ascii="Times New Roman" w:hAnsi="Times New Roman" w:cs="Times New Roman"/>
          <w:sz w:val="24"/>
          <w:szCs w:val="24"/>
        </w:rPr>
      </w:pPr>
      <w:r w:rsidRPr="00A17123">
        <w:rPr>
          <w:rFonts w:ascii="Times New Roman" w:hAnsi="Times New Roman" w:cs="Times New Roman"/>
          <w:sz w:val="24"/>
          <w:szCs w:val="24"/>
        </w:rPr>
        <w:t xml:space="preserve">Bantilan, M. C. S., &amp; Johansen, C. (1995). Biological nitrogen fixation in grain legumes: Potential and constraints in Asia. </w:t>
      </w:r>
      <w:r w:rsidRPr="00A17123">
        <w:rPr>
          <w:rFonts w:ascii="Times New Roman" w:hAnsi="Times New Roman" w:cs="Times New Roman"/>
          <w:i/>
          <w:iCs/>
          <w:sz w:val="24"/>
          <w:szCs w:val="24"/>
        </w:rPr>
        <w:t>Plant and Soil, 174</w:t>
      </w:r>
      <w:r w:rsidRPr="00A17123">
        <w:rPr>
          <w:rFonts w:ascii="Times New Roman" w:hAnsi="Times New Roman" w:cs="Times New Roman"/>
          <w:sz w:val="24"/>
          <w:szCs w:val="24"/>
        </w:rPr>
        <w:t xml:space="preserve">, 95–105. </w:t>
      </w:r>
      <w:hyperlink r:id="rId9" w:history="1">
        <w:r w:rsidRPr="00A17123">
          <w:rPr>
            <w:rStyle w:val="Hyperlink"/>
            <w:rFonts w:ascii="Times New Roman" w:hAnsi="Times New Roman" w:cs="Times New Roman"/>
            <w:sz w:val="24"/>
            <w:szCs w:val="24"/>
          </w:rPr>
          <w:t>https://doi.org/10.1007/BF00032252</w:t>
        </w:r>
      </w:hyperlink>
    </w:p>
    <w:p w14:paraId="5D980EAD" w14:textId="77777777" w:rsidR="00A17123" w:rsidRPr="00A17123" w:rsidRDefault="00A17123" w:rsidP="00A17123">
      <w:pPr>
        <w:numPr>
          <w:ilvl w:val="0"/>
          <w:numId w:val="7"/>
        </w:numPr>
        <w:suppressLineNumbers/>
        <w:jc w:val="both"/>
        <w:rPr>
          <w:rFonts w:ascii="Times New Roman" w:hAnsi="Times New Roman" w:cs="Times New Roman"/>
          <w:sz w:val="24"/>
          <w:szCs w:val="24"/>
        </w:rPr>
      </w:pPr>
      <w:r w:rsidRPr="00A17123">
        <w:rPr>
          <w:rFonts w:ascii="Times New Roman" w:hAnsi="Times New Roman" w:cs="Times New Roman"/>
          <w:sz w:val="24"/>
          <w:szCs w:val="24"/>
        </w:rPr>
        <w:t xml:space="preserve">Berendsen, R. L., Pieterse, C. M. J., &amp; Bakker, P. A. H. M. (2012). The rhizosphere microbiome and plant health. </w:t>
      </w:r>
      <w:r w:rsidRPr="00A17123">
        <w:rPr>
          <w:rFonts w:ascii="Times New Roman" w:hAnsi="Times New Roman" w:cs="Times New Roman"/>
          <w:i/>
          <w:iCs/>
          <w:sz w:val="24"/>
          <w:szCs w:val="24"/>
        </w:rPr>
        <w:t>Trends in Plant Science, 17</w:t>
      </w:r>
      <w:r w:rsidRPr="00A17123">
        <w:rPr>
          <w:rFonts w:ascii="Times New Roman" w:hAnsi="Times New Roman" w:cs="Times New Roman"/>
          <w:sz w:val="24"/>
          <w:szCs w:val="24"/>
        </w:rPr>
        <w:t xml:space="preserve">(8), 478–486. </w:t>
      </w:r>
      <w:hyperlink r:id="rId10" w:history="1">
        <w:r w:rsidRPr="00A17123">
          <w:rPr>
            <w:rStyle w:val="Hyperlink"/>
            <w:rFonts w:ascii="Times New Roman" w:hAnsi="Times New Roman" w:cs="Times New Roman"/>
            <w:sz w:val="24"/>
            <w:szCs w:val="24"/>
          </w:rPr>
          <w:t>https://doi.org/10.1016/j.tplants.2012.04.001</w:t>
        </w:r>
      </w:hyperlink>
    </w:p>
    <w:p w14:paraId="2D77D80B" w14:textId="77777777" w:rsidR="00A17123" w:rsidRPr="00A17123" w:rsidRDefault="00A17123" w:rsidP="00A17123">
      <w:pPr>
        <w:numPr>
          <w:ilvl w:val="0"/>
          <w:numId w:val="7"/>
        </w:numPr>
        <w:suppressLineNumbers/>
        <w:jc w:val="both"/>
        <w:rPr>
          <w:rFonts w:ascii="Times New Roman" w:hAnsi="Times New Roman" w:cs="Times New Roman"/>
          <w:sz w:val="24"/>
          <w:szCs w:val="24"/>
        </w:rPr>
      </w:pPr>
      <w:r w:rsidRPr="00A17123">
        <w:rPr>
          <w:rFonts w:ascii="Times New Roman" w:hAnsi="Times New Roman" w:cs="Times New Roman"/>
          <w:sz w:val="24"/>
          <w:szCs w:val="24"/>
        </w:rPr>
        <w:t xml:space="preserve">Chen, L., Yang, H., Fang, Y., Guo, W., Chen, H., Zhang, X., Dai, W., Chen, S., Hao, Q., Yuan, S., Yu, D., &amp; Chen, S. (2020). Application of CRISPR/Cas9 technology in plant nitrogen fixation research. </w:t>
      </w:r>
      <w:r w:rsidRPr="00A17123">
        <w:rPr>
          <w:rFonts w:ascii="Times New Roman" w:hAnsi="Times New Roman" w:cs="Times New Roman"/>
          <w:i/>
          <w:iCs/>
          <w:sz w:val="24"/>
          <w:szCs w:val="24"/>
        </w:rPr>
        <w:t>Plant Biotechnology Journal, 18</w:t>
      </w:r>
      <w:r w:rsidRPr="00A17123">
        <w:rPr>
          <w:rFonts w:ascii="Times New Roman" w:hAnsi="Times New Roman" w:cs="Times New Roman"/>
          <w:sz w:val="24"/>
          <w:szCs w:val="24"/>
        </w:rPr>
        <w:t xml:space="preserve">(6), 1426–1436. </w:t>
      </w:r>
      <w:hyperlink r:id="rId11" w:history="1">
        <w:r w:rsidRPr="00A17123">
          <w:rPr>
            <w:rStyle w:val="Hyperlink"/>
            <w:rFonts w:ascii="Times New Roman" w:hAnsi="Times New Roman" w:cs="Times New Roman"/>
            <w:sz w:val="24"/>
            <w:szCs w:val="24"/>
          </w:rPr>
          <w:t>https://doi.org/10.1111/pbi.13305</w:t>
        </w:r>
      </w:hyperlink>
    </w:p>
    <w:p w14:paraId="69A7E5A0" w14:textId="77777777" w:rsidR="00A17123" w:rsidRPr="00A17123" w:rsidRDefault="00A17123" w:rsidP="00A17123">
      <w:pPr>
        <w:numPr>
          <w:ilvl w:val="0"/>
          <w:numId w:val="7"/>
        </w:numPr>
        <w:suppressLineNumbers/>
        <w:jc w:val="both"/>
        <w:rPr>
          <w:rFonts w:ascii="Times New Roman" w:hAnsi="Times New Roman" w:cs="Times New Roman"/>
          <w:sz w:val="24"/>
          <w:szCs w:val="24"/>
        </w:rPr>
      </w:pPr>
      <w:proofErr w:type="spellStart"/>
      <w:r w:rsidRPr="00A17123">
        <w:rPr>
          <w:rFonts w:ascii="Times New Roman" w:hAnsi="Times New Roman" w:cs="Times New Roman"/>
          <w:sz w:val="24"/>
          <w:szCs w:val="24"/>
        </w:rPr>
        <w:t>Compant</w:t>
      </w:r>
      <w:proofErr w:type="spellEnd"/>
      <w:r w:rsidRPr="00A17123">
        <w:rPr>
          <w:rFonts w:ascii="Times New Roman" w:hAnsi="Times New Roman" w:cs="Times New Roman"/>
          <w:sz w:val="24"/>
          <w:szCs w:val="24"/>
        </w:rPr>
        <w:t xml:space="preserve">, S., Samad, A., Faist, H., &amp; </w:t>
      </w:r>
      <w:proofErr w:type="spellStart"/>
      <w:r w:rsidRPr="00A17123">
        <w:rPr>
          <w:rFonts w:ascii="Times New Roman" w:hAnsi="Times New Roman" w:cs="Times New Roman"/>
          <w:sz w:val="24"/>
          <w:szCs w:val="24"/>
        </w:rPr>
        <w:t>Sessitsch</w:t>
      </w:r>
      <w:proofErr w:type="spellEnd"/>
      <w:r w:rsidRPr="00A17123">
        <w:rPr>
          <w:rFonts w:ascii="Times New Roman" w:hAnsi="Times New Roman" w:cs="Times New Roman"/>
          <w:sz w:val="24"/>
          <w:szCs w:val="24"/>
        </w:rPr>
        <w:t xml:space="preserve">, A. (2019). A review on the plant microbiome: Ecology, functions, and emerging trends. </w:t>
      </w:r>
      <w:r w:rsidRPr="00A17123">
        <w:rPr>
          <w:rFonts w:ascii="Times New Roman" w:hAnsi="Times New Roman" w:cs="Times New Roman"/>
          <w:i/>
          <w:iCs/>
          <w:sz w:val="24"/>
          <w:szCs w:val="24"/>
        </w:rPr>
        <w:t>Microbiome, 7</w:t>
      </w:r>
      <w:r w:rsidRPr="00A17123">
        <w:rPr>
          <w:rFonts w:ascii="Times New Roman" w:hAnsi="Times New Roman" w:cs="Times New Roman"/>
          <w:sz w:val="24"/>
          <w:szCs w:val="24"/>
        </w:rPr>
        <w:t xml:space="preserve">, 29. </w:t>
      </w:r>
      <w:hyperlink r:id="rId12" w:history="1">
        <w:r w:rsidRPr="00A17123">
          <w:rPr>
            <w:rStyle w:val="Hyperlink"/>
            <w:rFonts w:ascii="Times New Roman" w:hAnsi="Times New Roman" w:cs="Times New Roman"/>
            <w:sz w:val="24"/>
            <w:szCs w:val="24"/>
          </w:rPr>
          <w:t>https://doi.org/10.1186/s40168-019-0667-4</w:t>
        </w:r>
      </w:hyperlink>
    </w:p>
    <w:p w14:paraId="69211DD7" w14:textId="77777777" w:rsidR="00A17123" w:rsidRPr="00A17123" w:rsidRDefault="00A17123" w:rsidP="00A17123">
      <w:pPr>
        <w:numPr>
          <w:ilvl w:val="0"/>
          <w:numId w:val="7"/>
        </w:numPr>
        <w:suppressLineNumbers/>
        <w:jc w:val="both"/>
        <w:rPr>
          <w:rFonts w:ascii="Times New Roman" w:hAnsi="Times New Roman" w:cs="Times New Roman"/>
          <w:sz w:val="24"/>
          <w:szCs w:val="24"/>
        </w:rPr>
      </w:pPr>
      <w:r w:rsidRPr="00A17123">
        <w:rPr>
          <w:rFonts w:ascii="Times New Roman" w:hAnsi="Times New Roman" w:cs="Times New Roman"/>
          <w:sz w:val="24"/>
          <w:szCs w:val="24"/>
        </w:rPr>
        <w:t xml:space="preserve">Crossa, J., Pérez-Rodríguez, P., Cuevas, J., Montesinos-López, O., Jarquín, D., de Los Campos, G., Burgueño, J., González-Camacho, J. M., Pérez-Elizalde, S., Beyene, Y., </w:t>
      </w:r>
      <w:proofErr w:type="spellStart"/>
      <w:r w:rsidRPr="00A17123">
        <w:rPr>
          <w:rFonts w:ascii="Times New Roman" w:hAnsi="Times New Roman" w:cs="Times New Roman"/>
          <w:sz w:val="24"/>
          <w:szCs w:val="24"/>
        </w:rPr>
        <w:t>Dreisigacker</w:t>
      </w:r>
      <w:proofErr w:type="spellEnd"/>
      <w:r w:rsidRPr="00A17123">
        <w:rPr>
          <w:rFonts w:ascii="Times New Roman" w:hAnsi="Times New Roman" w:cs="Times New Roman"/>
          <w:sz w:val="24"/>
          <w:szCs w:val="24"/>
        </w:rPr>
        <w:t xml:space="preserve">, S., Singh, R., Zhang, X., Gowda, M., </w:t>
      </w:r>
      <w:proofErr w:type="spellStart"/>
      <w:r w:rsidRPr="00A17123">
        <w:rPr>
          <w:rFonts w:ascii="Times New Roman" w:hAnsi="Times New Roman" w:cs="Times New Roman"/>
          <w:sz w:val="24"/>
          <w:szCs w:val="24"/>
        </w:rPr>
        <w:t>Roorkiwal</w:t>
      </w:r>
      <w:proofErr w:type="spellEnd"/>
      <w:r w:rsidRPr="00A17123">
        <w:rPr>
          <w:rFonts w:ascii="Times New Roman" w:hAnsi="Times New Roman" w:cs="Times New Roman"/>
          <w:sz w:val="24"/>
          <w:szCs w:val="24"/>
        </w:rPr>
        <w:t xml:space="preserve">, M., Rutkoski, J., Varshney, R. K., &amp; Hickey, J. M. (2017). Genomic selection in plant breeding: Methods, models, and perspectives. </w:t>
      </w:r>
      <w:r w:rsidRPr="00A17123">
        <w:rPr>
          <w:rFonts w:ascii="Times New Roman" w:hAnsi="Times New Roman" w:cs="Times New Roman"/>
          <w:i/>
          <w:iCs/>
          <w:sz w:val="24"/>
          <w:szCs w:val="24"/>
        </w:rPr>
        <w:t>Trends in Plant Science, 22</w:t>
      </w:r>
      <w:r w:rsidRPr="00A17123">
        <w:rPr>
          <w:rFonts w:ascii="Times New Roman" w:hAnsi="Times New Roman" w:cs="Times New Roman"/>
          <w:sz w:val="24"/>
          <w:szCs w:val="24"/>
        </w:rPr>
        <w:t xml:space="preserve">(11), 961–975. </w:t>
      </w:r>
      <w:hyperlink r:id="rId13" w:history="1">
        <w:r w:rsidRPr="00A17123">
          <w:rPr>
            <w:rStyle w:val="Hyperlink"/>
            <w:rFonts w:ascii="Times New Roman" w:hAnsi="Times New Roman" w:cs="Times New Roman"/>
            <w:sz w:val="24"/>
            <w:szCs w:val="24"/>
          </w:rPr>
          <w:t>https://doi.org/10.1016/j.tplants.2017.08.011</w:t>
        </w:r>
      </w:hyperlink>
    </w:p>
    <w:p w14:paraId="36829E78" w14:textId="77777777" w:rsidR="00A17123" w:rsidRPr="00A17123" w:rsidRDefault="00A17123" w:rsidP="00A17123">
      <w:pPr>
        <w:numPr>
          <w:ilvl w:val="0"/>
          <w:numId w:val="7"/>
        </w:numPr>
        <w:suppressLineNumbers/>
        <w:jc w:val="both"/>
        <w:rPr>
          <w:rFonts w:ascii="Times New Roman" w:hAnsi="Times New Roman" w:cs="Times New Roman"/>
          <w:sz w:val="24"/>
          <w:szCs w:val="24"/>
        </w:rPr>
      </w:pPr>
      <w:r w:rsidRPr="00A17123">
        <w:rPr>
          <w:rFonts w:ascii="Times New Roman" w:hAnsi="Times New Roman" w:cs="Times New Roman"/>
          <w:sz w:val="24"/>
          <w:szCs w:val="24"/>
        </w:rPr>
        <w:t xml:space="preserve">Drinkwater, L. E., Wagoner, P., &amp; </w:t>
      </w:r>
      <w:proofErr w:type="spellStart"/>
      <w:r w:rsidRPr="00A17123">
        <w:rPr>
          <w:rFonts w:ascii="Times New Roman" w:hAnsi="Times New Roman" w:cs="Times New Roman"/>
          <w:sz w:val="24"/>
          <w:szCs w:val="24"/>
        </w:rPr>
        <w:t>Sarrantonio</w:t>
      </w:r>
      <w:proofErr w:type="spellEnd"/>
      <w:r w:rsidRPr="00A17123">
        <w:rPr>
          <w:rFonts w:ascii="Times New Roman" w:hAnsi="Times New Roman" w:cs="Times New Roman"/>
          <w:sz w:val="24"/>
          <w:szCs w:val="24"/>
        </w:rPr>
        <w:t xml:space="preserve">, M. (1998). Legume-based cropping systems have reduced carbon and nitrogen losses. </w:t>
      </w:r>
      <w:r w:rsidRPr="00A17123">
        <w:rPr>
          <w:rFonts w:ascii="Times New Roman" w:hAnsi="Times New Roman" w:cs="Times New Roman"/>
          <w:i/>
          <w:iCs/>
          <w:sz w:val="24"/>
          <w:szCs w:val="24"/>
        </w:rPr>
        <w:t>Nature, 396</w:t>
      </w:r>
      <w:r w:rsidRPr="00A17123">
        <w:rPr>
          <w:rFonts w:ascii="Times New Roman" w:hAnsi="Times New Roman" w:cs="Times New Roman"/>
          <w:sz w:val="24"/>
          <w:szCs w:val="24"/>
        </w:rPr>
        <w:t xml:space="preserve">, 262–265. </w:t>
      </w:r>
      <w:hyperlink r:id="rId14" w:history="1">
        <w:r w:rsidRPr="00A17123">
          <w:rPr>
            <w:rStyle w:val="Hyperlink"/>
            <w:rFonts w:ascii="Times New Roman" w:hAnsi="Times New Roman" w:cs="Times New Roman"/>
            <w:sz w:val="24"/>
            <w:szCs w:val="24"/>
          </w:rPr>
          <w:t>https://doi.org/10.1038/24376</w:t>
        </w:r>
      </w:hyperlink>
    </w:p>
    <w:p w14:paraId="4C062182" w14:textId="77777777" w:rsidR="00A17123" w:rsidRPr="00A17123" w:rsidRDefault="00A17123" w:rsidP="00A17123">
      <w:pPr>
        <w:numPr>
          <w:ilvl w:val="0"/>
          <w:numId w:val="7"/>
        </w:numPr>
        <w:suppressLineNumbers/>
        <w:jc w:val="both"/>
        <w:rPr>
          <w:rFonts w:ascii="Times New Roman" w:hAnsi="Times New Roman" w:cs="Times New Roman"/>
          <w:sz w:val="24"/>
          <w:szCs w:val="24"/>
        </w:rPr>
      </w:pPr>
      <w:r w:rsidRPr="00A17123">
        <w:rPr>
          <w:rFonts w:ascii="Times New Roman" w:hAnsi="Times New Roman" w:cs="Times New Roman"/>
          <w:sz w:val="24"/>
          <w:szCs w:val="24"/>
        </w:rPr>
        <w:t xml:space="preserve">Dwivedi, S. L., </w:t>
      </w:r>
      <w:proofErr w:type="spellStart"/>
      <w:r w:rsidRPr="00A17123">
        <w:rPr>
          <w:rFonts w:ascii="Times New Roman" w:hAnsi="Times New Roman" w:cs="Times New Roman"/>
          <w:sz w:val="24"/>
          <w:szCs w:val="24"/>
        </w:rPr>
        <w:t>Sahrawat</w:t>
      </w:r>
      <w:proofErr w:type="spellEnd"/>
      <w:r w:rsidRPr="00A17123">
        <w:rPr>
          <w:rFonts w:ascii="Times New Roman" w:hAnsi="Times New Roman" w:cs="Times New Roman"/>
          <w:sz w:val="24"/>
          <w:szCs w:val="24"/>
        </w:rPr>
        <w:t xml:space="preserve">, K. L., Upadhyaya, H. D., Ortiz, R., &amp; Kumar, S. (2015). Enhancing nitrogen fixation in legumes through breeding. </w:t>
      </w:r>
      <w:r w:rsidRPr="00A17123">
        <w:rPr>
          <w:rFonts w:ascii="Times New Roman" w:hAnsi="Times New Roman" w:cs="Times New Roman"/>
          <w:i/>
          <w:iCs/>
          <w:sz w:val="24"/>
          <w:szCs w:val="24"/>
        </w:rPr>
        <w:t>Plant Breeding Reviews, 39</w:t>
      </w:r>
      <w:r w:rsidRPr="00A17123">
        <w:rPr>
          <w:rFonts w:ascii="Times New Roman" w:hAnsi="Times New Roman" w:cs="Times New Roman"/>
          <w:sz w:val="24"/>
          <w:szCs w:val="24"/>
        </w:rPr>
        <w:t xml:space="preserve">, 1–40. </w:t>
      </w:r>
      <w:hyperlink r:id="rId15" w:history="1">
        <w:r w:rsidRPr="00A17123">
          <w:rPr>
            <w:rStyle w:val="Hyperlink"/>
            <w:rFonts w:ascii="Times New Roman" w:hAnsi="Times New Roman" w:cs="Times New Roman"/>
            <w:sz w:val="24"/>
            <w:szCs w:val="24"/>
          </w:rPr>
          <w:t>https://doi.org/10.1002/9781119107743.ch01</w:t>
        </w:r>
      </w:hyperlink>
    </w:p>
    <w:p w14:paraId="22404FBF" w14:textId="77777777" w:rsidR="00A17123" w:rsidRPr="00A17123" w:rsidRDefault="00A17123" w:rsidP="00A17123">
      <w:pPr>
        <w:numPr>
          <w:ilvl w:val="0"/>
          <w:numId w:val="7"/>
        </w:numPr>
        <w:suppressLineNumbers/>
        <w:jc w:val="both"/>
        <w:rPr>
          <w:rFonts w:ascii="Times New Roman" w:hAnsi="Times New Roman" w:cs="Times New Roman"/>
          <w:sz w:val="24"/>
          <w:szCs w:val="24"/>
        </w:rPr>
      </w:pPr>
      <w:proofErr w:type="spellStart"/>
      <w:r w:rsidRPr="00A17123">
        <w:rPr>
          <w:rFonts w:ascii="Times New Roman" w:hAnsi="Times New Roman" w:cs="Times New Roman"/>
          <w:sz w:val="24"/>
          <w:szCs w:val="24"/>
        </w:rPr>
        <w:t>Gebbers</w:t>
      </w:r>
      <w:proofErr w:type="spellEnd"/>
      <w:r w:rsidRPr="00A17123">
        <w:rPr>
          <w:rFonts w:ascii="Times New Roman" w:hAnsi="Times New Roman" w:cs="Times New Roman"/>
          <w:sz w:val="24"/>
          <w:szCs w:val="24"/>
        </w:rPr>
        <w:t xml:space="preserve">, R., &amp; Adamchuk, V. I. (2010). Precision agriculture and food security. </w:t>
      </w:r>
      <w:r w:rsidRPr="00A17123">
        <w:rPr>
          <w:rFonts w:ascii="Times New Roman" w:hAnsi="Times New Roman" w:cs="Times New Roman"/>
          <w:i/>
          <w:iCs/>
          <w:sz w:val="24"/>
          <w:szCs w:val="24"/>
        </w:rPr>
        <w:t>Science, 327</w:t>
      </w:r>
      <w:r w:rsidRPr="00A17123">
        <w:rPr>
          <w:rFonts w:ascii="Times New Roman" w:hAnsi="Times New Roman" w:cs="Times New Roman"/>
          <w:sz w:val="24"/>
          <w:szCs w:val="24"/>
        </w:rPr>
        <w:t xml:space="preserve">(5967), 828–831. </w:t>
      </w:r>
      <w:hyperlink r:id="rId16" w:history="1">
        <w:r w:rsidRPr="00A17123">
          <w:rPr>
            <w:rStyle w:val="Hyperlink"/>
            <w:rFonts w:ascii="Times New Roman" w:hAnsi="Times New Roman" w:cs="Times New Roman"/>
            <w:sz w:val="24"/>
            <w:szCs w:val="24"/>
          </w:rPr>
          <w:t>https://doi.org/10.1126/science.1183899</w:t>
        </w:r>
      </w:hyperlink>
    </w:p>
    <w:p w14:paraId="18400BDC" w14:textId="77777777" w:rsidR="00A17123" w:rsidRPr="00A17123" w:rsidRDefault="00A17123" w:rsidP="00A17123">
      <w:pPr>
        <w:numPr>
          <w:ilvl w:val="0"/>
          <w:numId w:val="7"/>
        </w:numPr>
        <w:suppressLineNumbers/>
        <w:jc w:val="both"/>
        <w:rPr>
          <w:rFonts w:ascii="Times New Roman" w:hAnsi="Times New Roman" w:cs="Times New Roman"/>
          <w:sz w:val="24"/>
          <w:szCs w:val="24"/>
        </w:rPr>
      </w:pPr>
      <w:r w:rsidRPr="00A17123">
        <w:rPr>
          <w:rFonts w:ascii="Times New Roman" w:hAnsi="Times New Roman" w:cs="Times New Roman"/>
          <w:sz w:val="24"/>
          <w:szCs w:val="24"/>
        </w:rPr>
        <w:t xml:space="preserve">Guo, X., Li, Y., Zhang, M., Chen, H., Liu, Y., &amp; Zhao, X. (2025). Optimizing nitrogen and phosphorus fertilization for enhancing biological nitrogen fixation in mung bean. </w:t>
      </w:r>
      <w:r w:rsidRPr="00A17123">
        <w:rPr>
          <w:rFonts w:ascii="Times New Roman" w:hAnsi="Times New Roman" w:cs="Times New Roman"/>
          <w:i/>
          <w:iCs/>
          <w:sz w:val="24"/>
          <w:szCs w:val="24"/>
        </w:rPr>
        <w:t>Field Crops Research, 320</w:t>
      </w:r>
      <w:r w:rsidRPr="00A17123">
        <w:rPr>
          <w:rFonts w:ascii="Times New Roman" w:hAnsi="Times New Roman" w:cs="Times New Roman"/>
          <w:sz w:val="24"/>
          <w:szCs w:val="24"/>
        </w:rPr>
        <w:t xml:space="preserve">, 109678. </w:t>
      </w:r>
      <w:hyperlink r:id="rId17" w:history="1">
        <w:r w:rsidRPr="00A17123">
          <w:rPr>
            <w:rStyle w:val="Hyperlink"/>
            <w:rFonts w:ascii="Times New Roman" w:hAnsi="Times New Roman" w:cs="Times New Roman"/>
            <w:sz w:val="24"/>
            <w:szCs w:val="24"/>
          </w:rPr>
          <w:t>https://doi.org/10.1016/j.fcr.2025.109678</w:t>
        </w:r>
      </w:hyperlink>
    </w:p>
    <w:p w14:paraId="6C13B69C" w14:textId="77777777" w:rsidR="00A17123" w:rsidRPr="00A17123" w:rsidRDefault="00A17123" w:rsidP="00A17123">
      <w:pPr>
        <w:numPr>
          <w:ilvl w:val="0"/>
          <w:numId w:val="7"/>
        </w:numPr>
        <w:suppressLineNumbers/>
        <w:jc w:val="both"/>
        <w:rPr>
          <w:rFonts w:ascii="Times New Roman" w:hAnsi="Times New Roman" w:cs="Times New Roman"/>
          <w:sz w:val="24"/>
          <w:szCs w:val="24"/>
        </w:rPr>
      </w:pPr>
      <w:r w:rsidRPr="00A17123">
        <w:rPr>
          <w:rFonts w:ascii="Times New Roman" w:hAnsi="Times New Roman" w:cs="Times New Roman"/>
          <w:sz w:val="24"/>
          <w:szCs w:val="24"/>
        </w:rPr>
        <w:t xml:space="preserve">Hardy, R. W. F., Holsten, R. D., Jackson, E. K., &amp; Burns, R. C. (1968). The acetylene–ethylene assay for nitrogen fixation: Laboratory and field evaluation. </w:t>
      </w:r>
      <w:r w:rsidRPr="00A17123">
        <w:rPr>
          <w:rFonts w:ascii="Times New Roman" w:hAnsi="Times New Roman" w:cs="Times New Roman"/>
          <w:i/>
          <w:iCs/>
          <w:sz w:val="24"/>
          <w:szCs w:val="24"/>
        </w:rPr>
        <w:t>Plant Physiology, 43</w:t>
      </w:r>
      <w:r w:rsidRPr="00A17123">
        <w:rPr>
          <w:rFonts w:ascii="Times New Roman" w:hAnsi="Times New Roman" w:cs="Times New Roman"/>
          <w:sz w:val="24"/>
          <w:szCs w:val="24"/>
        </w:rPr>
        <w:t xml:space="preserve">(8), 1185–1207. </w:t>
      </w:r>
      <w:hyperlink r:id="rId18" w:history="1">
        <w:r w:rsidRPr="00A17123">
          <w:rPr>
            <w:rStyle w:val="Hyperlink"/>
            <w:rFonts w:ascii="Times New Roman" w:hAnsi="Times New Roman" w:cs="Times New Roman"/>
            <w:sz w:val="24"/>
            <w:szCs w:val="24"/>
          </w:rPr>
          <w:t>https://doi.org/10.1104/pp.43.8.1185</w:t>
        </w:r>
      </w:hyperlink>
    </w:p>
    <w:p w14:paraId="4B5167A5" w14:textId="77777777" w:rsidR="00A17123" w:rsidRPr="00A17123" w:rsidRDefault="00A17123" w:rsidP="00A17123">
      <w:pPr>
        <w:numPr>
          <w:ilvl w:val="0"/>
          <w:numId w:val="7"/>
        </w:numPr>
        <w:suppressLineNumbers/>
        <w:jc w:val="both"/>
        <w:rPr>
          <w:rFonts w:ascii="Times New Roman" w:hAnsi="Times New Roman" w:cs="Times New Roman"/>
          <w:sz w:val="24"/>
          <w:szCs w:val="24"/>
        </w:rPr>
      </w:pPr>
      <w:r w:rsidRPr="00A17123">
        <w:rPr>
          <w:rFonts w:ascii="Times New Roman" w:hAnsi="Times New Roman" w:cs="Times New Roman"/>
          <w:sz w:val="24"/>
          <w:szCs w:val="24"/>
        </w:rPr>
        <w:t xml:space="preserve">Herridge, D. F., Peoples, M. B., &amp; </w:t>
      </w:r>
      <w:proofErr w:type="spellStart"/>
      <w:r w:rsidRPr="00A17123">
        <w:rPr>
          <w:rFonts w:ascii="Times New Roman" w:hAnsi="Times New Roman" w:cs="Times New Roman"/>
          <w:sz w:val="24"/>
          <w:szCs w:val="24"/>
        </w:rPr>
        <w:t>Boddey</w:t>
      </w:r>
      <w:proofErr w:type="spellEnd"/>
      <w:r w:rsidRPr="00A17123">
        <w:rPr>
          <w:rFonts w:ascii="Times New Roman" w:hAnsi="Times New Roman" w:cs="Times New Roman"/>
          <w:sz w:val="24"/>
          <w:szCs w:val="24"/>
        </w:rPr>
        <w:t xml:space="preserve">, R. M. (2008). Global inputs of biological nitrogen fixation in agricultural systems. </w:t>
      </w:r>
      <w:r w:rsidRPr="00A17123">
        <w:rPr>
          <w:rFonts w:ascii="Times New Roman" w:hAnsi="Times New Roman" w:cs="Times New Roman"/>
          <w:i/>
          <w:iCs/>
          <w:sz w:val="24"/>
          <w:szCs w:val="24"/>
        </w:rPr>
        <w:t>Plant and Soil, 311</w:t>
      </w:r>
      <w:r w:rsidRPr="00A17123">
        <w:rPr>
          <w:rFonts w:ascii="Times New Roman" w:hAnsi="Times New Roman" w:cs="Times New Roman"/>
          <w:sz w:val="24"/>
          <w:szCs w:val="24"/>
        </w:rPr>
        <w:t xml:space="preserve">, 1–18. </w:t>
      </w:r>
      <w:hyperlink r:id="rId19" w:history="1">
        <w:r w:rsidRPr="00A17123">
          <w:rPr>
            <w:rStyle w:val="Hyperlink"/>
            <w:rFonts w:ascii="Times New Roman" w:hAnsi="Times New Roman" w:cs="Times New Roman"/>
            <w:sz w:val="24"/>
            <w:szCs w:val="24"/>
          </w:rPr>
          <w:t>https://doi.org/10.1007/s11104-008-9668-3</w:t>
        </w:r>
      </w:hyperlink>
    </w:p>
    <w:p w14:paraId="0D021137" w14:textId="77777777" w:rsidR="00A17123" w:rsidRPr="00A17123" w:rsidRDefault="00A17123" w:rsidP="00A17123">
      <w:pPr>
        <w:numPr>
          <w:ilvl w:val="0"/>
          <w:numId w:val="7"/>
        </w:numPr>
        <w:suppressLineNumbers/>
        <w:jc w:val="both"/>
        <w:rPr>
          <w:rFonts w:ascii="Times New Roman" w:hAnsi="Times New Roman" w:cs="Times New Roman"/>
          <w:sz w:val="24"/>
          <w:szCs w:val="24"/>
        </w:rPr>
      </w:pPr>
      <w:r w:rsidRPr="00A17123">
        <w:rPr>
          <w:rFonts w:ascii="Times New Roman" w:hAnsi="Times New Roman" w:cs="Times New Roman"/>
          <w:sz w:val="24"/>
          <w:szCs w:val="24"/>
        </w:rPr>
        <w:lastRenderedPageBreak/>
        <w:t xml:space="preserve">Herridge, D. F., Peoples, M. B., &amp; Giller, K. E. (2021). Biological nitrogen fixation in sustainable agriculture: Current perspectives and future directions. </w:t>
      </w:r>
      <w:r w:rsidRPr="00A17123">
        <w:rPr>
          <w:rFonts w:ascii="Times New Roman" w:hAnsi="Times New Roman" w:cs="Times New Roman"/>
          <w:i/>
          <w:iCs/>
          <w:sz w:val="24"/>
          <w:szCs w:val="24"/>
        </w:rPr>
        <w:t>Agronomy Journal, 113</w:t>
      </w:r>
      <w:r w:rsidRPr="00A17123">
        <w:rPr>
          <w:rFonts w:ascii="Times New Roman" w:hAnsi="Times New Roman" w:cs="Times New Roman"/>
          <w:sz w:val="24"/>
          <w:szCs w:val="24"/>
        </w:rPr>
        <w:t xml:space="preserve">(1), 1–12. </w:t>
      </w:r>
      <w:hyperlink r:id="rId20" w:history="1">
        <w:r w:rsidRPr="00A17123">
          <w:rPr>
            <w:rStyle w:val="Hyperlink"/>
            <w:rFonts w:ascii="Times New Roman" w:hAnsi="Times New Roman" w:cs="Times New Roman"/>
            <w:sz w:val="24"/>
            <w:szCs w:val="24"/>
          </w:rPr>
          <w:t>https://doi.org/10.1002/agj2.20489</w:t>
        </w:r>
      </w:hyperlink>
    </w:p>
    <w:p w14:paraId="235B3084" w14:textId="77777777" w:rsidR="00A17123" w:rsidRPr="00A17123" w:rsidRDefault="00A17123" w:rsidP="00A17123">
      <w:pPr>
        <w:numPr>
          <w:ilvl w:val="0"/>
          <w:numId w:val="7"/>
        </w:numPr>
        <w:suppressLineNumbers/>
        <w:jc w:val="both"/>
        <w:rPr>
          <w:rFonts w:ascii="Times New Roman" w:hAnsi="Times New Roman" w:cs="Times New Roman"/>
          <w:sz w:val="24"/>
          <w:szCs w:val="24"/>
        </w:rPr>
      </w:pPr>
      <w:r w:rsidRPr="00A17123">
        <w:rPr>
          <w:rFonts w:ascii="Times New Roman" w:hAnsi="Times New Roman" w:cs="Times New Roman"/>
          <w:sz w:val="24"/>
          <w:szCs w:val="24"/>
        </w:rPr>
        <w:t xml:space="preserve">Hungria, M., Nogueira, M. A., &amp; Araujo, R. S. (2020). Biological nitrogen fixation in soybean: Advances and challenges. </w:t>
      </w:r>
      <w:r w:rsidRPr="00A17123">
        <w:rPr>
          <w:rFonts w:ascii="Times New Roman" w:hAnsi="Times New Roman" w:cs="Times New Roman"/>
          <w:i/>
          <w:iCs/>
          <w:sz w:val="24"/>
          <w:szCs w:val="24"/>
        </w:rPr>
        <w:t>Plant and Soil, 452</w:t>
      </w:r>
      <w:r w:rsidRPr="00A17123">
        <w:rPr>
          <w:rFonts w:ascii="Times New Roman" w:hAnsi="Times New Roman" w:cs="Times New Roman"/>
          <w:sz w:val="24"/>
          <w:szCs w:val="24"/>
        </w:rPr>
        <w:t xml:space="preserve">, 1–19. </w:t>
      </w:r>
      <w:hyperlink r:id="rId21" w:history="1">
        <w:r w:rsidRPr="00A17123">
          <w:rPr>
            <w:rStyle w:val="Hyperlink"/>
            <w:rFonts w:ascii="Times New Roman" w:hAnsi="Times New Roman" w:cs="Times New Roman"/>
            <w:sz w:val="24"/>
            <w:szCs w:val="24"/>
          </w:rPr>
          <w:t>https://doi.org/10.1007/s11104-020-04529-2</w:t>
        </w:r>
      </w:hyperlink>
    </w:p>
    <w:p w14:paraId="7C610101" w14:textId="77777777" w:rsidR="00A17123" w:rsidRPr="00A17123" w:rsidRDefault="00A17123" w:rsidP="00A17123">
      <w:pPr>
        <w:numPr>
          <w:ilvl w:val="0"/>
          <w:numId w:val="7"/>
        </w:numPr>
        <w:suppressLineNumbers/>
        <w:jc w:val="both"/>
        <w:rPr>
          <w:rFonts w:ascii="Times New Roman" w:hAnsi="Times New Roman" w:cs="Times New Roman"/>
          <w:sz w:val="24"/>
          <w:szCs w:val="24"/>
        </w:rPr>
      </w:pPr>
      <w:r w:rsidRPr="00A17123">
        <w:rPr>
          <w:rFonts w:ascii="Times New Roman" w:hAnsi="Times New Roman" w:cs="Times New Roman"/>
          <w:sz w:val="24"/>
          <w:szCs w:val="24"/>
        </w:rPr>
        <w:t xml:space="preserve">Jafari, A., Mahdavi, S. M., &amp; Rezaei, E. E. (2024). Raman spectroscopy for rapid detection of nitrogen fixation in legumes. </w:t>
      </w:r>
      <w:r w:rsidRPr="00A17123">
        <w:rPr>
          <w:rFonts w:ascii="Times New Roman" w:hAnsi="Times New Roman" w:cs="Times New Roman"/>
          <w:i/>
          <w:iCs/>
          <w:sz w:val="24"/>
          <w:szCs w:val="24"/>
        </w:rPr>
        <w:t>Biosystems Engineering, 238</w:t>
      </w:r>
      <w:r w:rsidRPr="00A17123">
        <w:rPr>
          <w:rFonts w:ascii="Times New Roman" w:hAnsi="Times New Roman" w:cs="Times New Roman"/>
          <w:sz w:val="24"/>
          <w:szCs w:val="24"/>
        </w:rPr>
        <w:t xml:space="preserve">, 45–56. </w:t>
      </w:r>
      <w:hyperlink r:id="rId22" w:history="1">
        <w:r w:rsidRPr="00A17123">
          <w:rPr>
            <w:rStyle w:val="Hyperlink"/>
            <w:rFonts w:ascii="Times New Roman" w:hAnsi="Times New Roman" w:cs="Times New Roman"/>
            <w:sz w:val="24"/>
            <w:szCs w:val="24"/>
          </w:rPr>
          <w:t>https://doi.org/10.1016/j.biosystemseng.2024.01.005</w:t>
        </w:r>
      </w:hyperlink>
    </w:p>
    <w:p w14:paraId="30708763" w14:textId="77777777" w:rsidR="00A17123" w:rsidRPr="00A17123" w:rsidRDefault="00A17123" w:rsidP="00A17123">
      <w:pPr>
        <w:numPr>
          <w:ilvl w:val="0"/>
          <w:numId w:val="7"/>
        </w:numPr>
        <w:suppressLineNumbers/>
        <w:jc w:val="both"/>
        <w:rPr>
          <w:rFonts w:ascii="Times New Roman" w:hAnsi="Times New Roman" w:cs="Times New Roman"/>
          <w:sz w:val="24"/>
          <w:szCs w:val="24"/>
        </w:rPr>
      </w:pPr>
      <w:proofErr w:type="spellStart"/>
      <w:r w:rsidRPr="00A17123">
        <w:rPr>
          <w:rFonts w:ascii="Times New Roman" w:hAnsi="Times New Roman" w:cs="Times New Roman"/>
          <w:sz w:val="24"/>
          <w:szCs w:val="24"/>
        </w:rPr>
        <w:t>Kaziūnienė</w:t>
      </w:r>
      <w:proofErr w:type="spellEnd"/>
      <w:r w:rsidRPr="00A17123">
        <w:rPr>
          <w:rFonts w:ascii="Times New Roman" w:hAnsi="Times New Roman" w:cs="Times New Roman"/>
          <w:sz w:val="24"/>
          <w:szCs w:val="24"/>
        </w:rPr>
        <w:t xml:space="preserve">, J., </w:t>
      </w:r>
      <w:proofErr w:type="spellStart"/>
      <w:r w:rsidRPr="00A17123">
        <w:rPr>
          <w:rFonts w:ascii="Times New Roman" w:hAnsi="Times New Roman" w:cs="Times New Roman"/>
          <w:sz w:val="24"/>
          <w:szCs w:val="24"/>
        </w:rPr>
        <w:t>Staugaitis</w:t>
      </w:r>
      <w:proofErr w:type="spellEnd"/>
      <w:r w:rsidRPr="00A17123">
        <w:rPr>
          <w:rFonts w:ascii="Times New Roman" w:hAnsi="Times New Roman" w:cs="Times New Roman"/>
          <w:sz w:val="24"/>
          <w:szCs w:val="24"/>
        </w:rPr>
        <w:t xml:space="preserve">, G., </w:t>
      </w:r>
      <w:proofErr w:type="spellStart"/>
      <w:r w:rsidRPr="00A17123">
        <w:rPr>
          <w:rFonts w:ascii="Times New Roman" w:hAnsi="Times New Roman" w:cs="Times New Roman"/>
          <w:sz w:val="24"/>
          <w:szCs w:val="24"/>
        </w:rPr>
        <w:t>Jablonskytė-Raščė</w:t>
      </w:r>
      <w:proofErr w:type="spellEnd"/>
      <w:r w:rsidRPr="00A17123">
        <w:rPr>
          <w:rFonts w:ascii="Times New Roman" w:hAnsi="Times New Roman" w:cs="Times New Roman"/>
          <w:sz w:val="24"/>
          <w:szCs w:val="24"/>
        </w:rPr>
        <w:t xml:space="preserve">, D., &amp; </w:t>
      </w:r>
      <w:proofErr w:type="spellStart"/>
      <w:r w:rsidRPr="00A17123">
        <w:rPr>
          <w:rFonts w:ascii="Times New Roman" w:hAnsi="Times New Roman" w:cs="Times New Roman"/>
          <w:sz w:val="24"/>
          <w:szCs w:val="24"/>
        </w:rPr>
        <w:t>Slepetiene</w:t>
      </w:r>
      <w:proofErr w:type="spellEnd"/>
      <w:r w:rsidRPr="00A17123">
        <w:rPr>
          <w:rFonts w:ascii="Times New Roman" w:hAnsi="Times New Roman" w:cs="Times New Roman"/>
          <w:sz w:val="24"/>
          <w:szCs w:val="24"/>
        </w:rPr>
        <w:t xml:space="preserve">, A. (2025). Enhancing biological nitrogen fixation in legumes through precision strain selection and biopreparations. </w:t>
      </w:r>
      <w:r w:rsidRPr="00A17123">
        <w:rPr>
          <w:rFonts w:ascii="Times New Roman" w:hAnsi="Times New Roman" w:cs="Times New Roman"/>
          <w:i/>
          <w:iCs/>
          <w:sz w:val="24"/>
          <w:szCs w:val="24"/>
        </w:rPr>
        <w:t>Agriculture, 15</w:t>
      </w:r>
      <w:r w:rsidRPr="00A17123">
        <w:rPr>
          <w:rFonts w:ascii="Times New Roman" w:hAnsi="Times New Roman" w:cs="Times New Roman"/>
          <w:sz w:val="24"/>
          <w:szCs w:val="24"/>
        </w:rPr>
        <w:t xml:space="preserve">(1), 1784. </w:t>
      </w:r>
      <w:hyperlink r:id="rId23" w:history="1">
        <w:r w:rsidRPr="00A17123">
          <w:rPr>
            <w:rStyle w:val="Hyperlink"/>
            <w:rFonts w:ascii="Times New Roman" w:hAnsi="Times New Roman" w:cs="Times New Roman"/>
            <w:sz w:val="24"/>
            <w:szCs w:val="24"/>
          </w:rPr>
          <w:t>https://doi.org/10.3390/agriculture15011784</w:t>
        </w:r>
      </w:hyperlink>
    </w:p>
    <w:p w14:paraId="6806BCE6" w14:textId="77777777" w:rsidR="00A17123" w:rsidRPr="00A17123" w:rsidRDefault="00A17123" w:rsidP="00A17123">
      <w:pPr>
        <w:numPr>
          <w:ilvl w:val="0"/>
          <w:numId w:val="7"/>
        </w:numPr>
        <w:suppressLineNumbers/>
        <w:jc w:val="both"/>
        <w:rPr>
          <w:rFonts w:ascii="Times New Roman" w:hAnsi="Times New Roman" w:cs="Times New Roman"/>
          <w:sz w:val="24"/>
          <w:szCs w:val="24"/>
        </w:rPr>
      </w:pPr>
      <w:r w:rsidRPr="00A17123">
        <w:rPr>
          <w:rFonts w:ascii="Times New Roman" w:hAnsi="Times New Roman" w:cs="Times New Roman"/>
          <w:sz w:val="24"/>
          <w:szCs w:val="24"/>
        </w:rPr>
        <w:t xml:space="preserve">Kumar, J., Choudhary, A. K., Solanki, R. K., &amp; Pratap, A. (2018). Advances in genomics of legumes. </w:t>
      </w:r>
      <w:r w:rsidRPr="00A17123">
        <w:rPr>
          <w:rFonts w:ascii="Times New Roman" w:hAnsi="Times New Roman" w:cs="Times New Roman"/>
          <w:i/>
          <w:iCs/>
          <w:sz w:val="24"/>
          <w:szCs w:val="24"/>
        </w:rPr>
        <w:t>Plant Cell Reports, 37</w:t>
      </w:r>
      <w:r w:rsidRPr="00A17123">
        <w:rPr>
          <w:rFonts w:ascii="Times New Roman" w:hAnsi="Times New Roman" w:cs="Times New Roman"/>
          <w:sz w:val="24"/>
          <w:szCs w:val="24"/>
        </w:rPr>
        <w:t xml:space="preserve">, 1–18. </w:t>
      </w:r>
      <w:hyperlink r:id="rId24" w:history="1">
        <w:r w:rsidRPr="00A17123">
          <w:rPr>
            <w:rStyle w:val="Hyperlink"/>
            <w:rFonts w:ascii="Times New Roman" w:hAnsi="Times New Roman" w:cs="Times New Roman"/>
            <w:sz w:val="24"/>
            <w:szCs w:val="24"/>
          </w:rPr>
          <w:t>https://doi.org/10.1007/s00299-017-2229-6</w:t>
        </w:r>
      </w:hyperlink>
    </w:p>
    <w:p w14:paraId="6589BEE2" w14:textId="77777777" w:rsidR="00A17123" w:rsidRPr="00A17123" w:rsidRDefault="00A17123" w:rsidP="00A17123">
      <w:pPr>
        <w:numPr>
          <w:ilvl w:val="0"/>
          <w:numId w:val="7"/>
        </w:numPr>
        <w:suppressLineNumbers/>
        <w:jc w:val="both"/>
        <w:rPr>
          <w:rFonts w:ascii="Times New Roman" w:hAnsi="Times New Roman" w:cs="Times New Roman"/>
          <w:sz w:val="24"/>
          <w:szCs w:val="24"/>
        </w:rPr>
      </w:pPr>
      <w:r w:rsidRPr="00A17123">
        <w:rPr>
          <w:rFonts w:ascii="Times New Roman" w:hAnsi="Times New Roman" w:cs="Times New Roman"/>
          <w:sz w:val="24"/>
          <w:szCs w:val="24"/>
        </w:rPr>
        <w:t xml:space="preserve">Ladha, J. K., Reddy, P. M., &amp; Padre, A. T. (2022). Role of biological nitrogen fixation in ecological intensification. </w:t>
      </w:r>
      <w:r w:rsidRPr="00A17123">
        <w:rPr>
          <w:rFonts w:ascii="Times New Roman" w:hAnsi="Times New Roman" w:cs="Times New Roman"/>
          <w:i/>
          <w:iCs/>
          <w:sz w:val="24"/>
          <w:szCs w:val="24"/>
        </w:rPr>
        <w:t>Nature Reviews Earth &amp; Environment, 3</w:t>
      </w:r>
      <w:r w:rsidRPr="00A17123">
        <w:rPr>
          <w:rFonts w:ascii="Times New Roman" w:hAnsi="Times New Roman" w:cs="Times New Roman"/>
          <w:sz w:val="24"/>
          <w:szCs w:val="24"/>
        </w:rPr>
        <w:t xml:space="preserve">, 403–416. </w:t>
      </w:r>
      <w:hyperlink r:id="rId25" w:history="1">
        <w:r w:rsidRPr="00A17123">
          <w:rPr>
            <w:rStyle w:val="Hyperlink"/>
            <w:rFonts w:ascii="Times New Roman" w:hAnsi="Times New Roman" w:cs="Times New Roman"/>
            <w:sz w:val="24"/>
            <w:szCs w:val="24"/>
          </w:rPr>
          <w:t>https://doi.org/10.1038/s43017-022-00291-9</w:t>
        </w:r>
      </w:hyperlink>
    </w:p>
    <w:p w14:paraId="706CE38D" w14:textId="77777777" w:rsidR="00A17123" w:rsidRPr="00A17123" w:rsidRDefault="00A17123" w:rsidP="00A17123">
      <w:pPr>
        <w:numPr>
          <w:ilvl w:val="0"/>
          <w:numId w:val="7"/>
        </w:numPr>
        <w:suppressLineNumbers/>
        <w:jc w:val="both"/>
        <w:rPr>
          <w:rFonts w:ascii="Times New Roman" w:hAnsi="Times New Roman" w:cs="Times New Roman"/>
          <w:sz w:val="24"/>
          <w:szCs w:val="24"/>
        </w:rPr>
      </w:pPr>
      <w:r w:rsidRPr="00A17123">
        <w:rPr>
          <w:rFonts w:ascii="Times New Roman" w:hAnsi="Times New Roman" w:cs="Times New Roman"/>
          <w:sz w:val="24"/>
          <w:szCs w:val="24"/>
        </w:rPr>
        <w:t xml:space="preserve">Liakos, K. G., Busato, P., </w:t>
      </w:r>
      <w:proofErr w:type="spellStart"/>
      <w:r w:rsidRPr="00A17123">
        <w:rPr>
          <w:rFonts w:ascii="Times New Roman" w:hAnsi="Times New Roman" w:cs="Times New Roman"/>
          <w:sz w:val="24"/>
          <w:szCs w:val="24"/>
        </w:rPr>
        <w:t>Moshou</w:t>
      </w:r>
      <w:proofErr w:type="spellEnd"/>
      <w:r w:rsidRPr="00A17123">
        <w:rPr>
          <w:rFonts w:ascii="Times New Roman" w:hAnsi="Times New Roman" w:cs="Times New Roman"/>
          <w:sz w:val="24"/>
          <w:szCs w:val="24"/>
        </w:rPr>
        <w:t xml:space="preserve">, D., Pearson, S., &amp; </w:t>
      </w:r>
      <w:proofErr w:type="spellStart"/>
      <w:r w:rsidRPr="00A17123">
        <w:rPr>
          <w:rFonts w:ascii="Times New Roman" w:hAnsi="Times New Roman" w:cs="Times New Roman"/>
          <w:sz w:val="24"/>
          <w:szCs w:val="24"/>
        </w:rPr>
        <w:t>Bochtis</w:t>
      </w:r>
      <w:proofErr w:type="spellEnd"/>
      <w:r w:rsidRPr="00A17123">
        <w:rPr>
          <w:rFonts w:ascii="Times New Roman" w:hAnsi="Times New Roman" w:cs="Times New Roman"/>
          <w:sz w:val="24"/>
          <w:szCs w:val="24"/>
        </w:rPr>
        <w:t xml:space="preserve">, D. (2018). Machine learning in agriculture: A review. </w:t>
      </w:r>
      <w:r w:rsidRPr="00A17123">
        <w:rPr>
          <w:rFonts w:ascii="Times New Roman" w:hAnsi="Times New Roman" w:cs="Times New Roman"/>
          <w:i/>
          <w:iCs/>
          <w:sz w:val="24"/>
          <w:szCs w:val="24"/>
        </w:rPr>
        <w:t>Sensors, 18</w:t>
      </w:r>
      <w:r w:rsidRPr="00A17123">
        <w:rPr>
          <w:rFonts w:ascii="Times New Roman" w:hAnsi="Times New Roman" w:cs="Times New Roman"/>
          <w:sz w:val="24"/>
          <w:szCs w:val="24"/>
        </w:rPr>
        <w:t xml:space="preserve">(8), 2674. </w:t>
      </w:r>
      <w:hyperlink r:id="rId26" w:history="1">
        <w:r w:rsidRPr="00A17123">
          <w:rPr>
            <w:rStyle w:val="Hyperlink"/>
            <w:rFonts w:ascii="Times New Roman" w:hAnsi="Times New Roman" w:cs="Times New Roman"/>
            <w:sz w:val="24"/>
            <w:szCs w:val="24"/>
          </w:rPr>
          <w:t>https://doi.org/10.3390/s18082674</w:t>
        </w:r>
      </w:hyperlink>
    </w:p>
    <w:p w14:paraId="1C62974E" w14:textId="77777777" w:rsidR="00A17123" w:rsidRPr="00A17123" w:rsidRDefault="00A17123" w:rsidP="00A17123">
      <w:pPr>
        <w:numPr>
          <w:ilvl w:val="0"/>
          <w:numId w:val="7"/>
        </w:numPr>
        <w:suppressLineNumbers/>
        <w:jc w:val="both"/>
        <w:rPr>
          <w:rFonts w:ascii="Times New Roman" w:hAnsi="Times New Roman" w:cs="Times New Roman"/>
          <w:sz w:val="24"/>
          <w:szCs w:val="24"/>
        </w:rPr>
      </w:pPr>
      <w:proofErr w:type="spellStart"/>
      <w:r w:rsidRPr="00A17123">
        <w:rPr>
          <w:rFonts w:ascii="Times New Roman" w:hAnsi="Times New Roman" w:cs="Times New Roman"/>
          <w:sz w:val="24"/>
          <w:szCs w:val="24"/>
        </w:rPr>
        <w:t>Lépiz</w:t>
      </w:r>
      <w:proofErr w:type="spellEnd"/>
      <w:r w:rsidRPr="00A17123">
        <w:rPr>
          <w:rFonts w:ascii="Times New Roman" w:hAnsi="Times New Roman" w:cs="Times New Roman"/>
          <w:sz w:val="24"/>
          <w:szCs w:val="24"/>
        </w:rPr>
        <w:t xml:space="preserve">-Ildefonso, R., López-López, A., &amp; Martínez-Romero, E. (2024). Nitrogen fixation efficiency in bean genotypes under contrasting environmental conditions. </w:t>
      </w:r>
      <w:r w:rsidRPr="00A17123">
        <w:rPr>
          <w:rFonts w:ascii="Times New Roman" w:hAnsi="Times New Roman" w:cs="Times New Roman"/>
          <w:i/>
          <w:iCs/>
          <w:sz w:val="24"/>
          <w:szCs w:val="24"/>
        </w:rPr>
        <w:t>Terra Latinoamericana, 42</w:t>
      </w:r>
      <w:r w:rsidRPr="00A17123">
        <w:rPr>
          <w:rFonts w:ascii="Times New Roman" w:hAnsi="Times New Roman" w:cs="Times New Roman"/>
          <w:sz w:val="24"/>
          <w:szCs w:val="24"/>
        </w:rPr>
        <w:t xml:space="preserve">, e1082. </w:t>
      </w:r>
      <w:hyperlink r:id="rId27" w:history="1">
        <w:r w:rsidRPr="00A17123">
          <w:rPr>
            <w:rStyle w:val="Hyperlink"/>
            <w:rFonts w:ascii="Times New Roman" w:hAnsi="Times New Roman" w:cs="Times New Roman"/>
            <w:sz w:val="24"/>
            <w:szCs w:val="24"/>
          </w:rPr>
          <w:t>https://doi.org/10.28940/terra.v42i0.1082</w:t>
        </w:r>
      </w:hyperlink>
    </w:p>
    <w:p w14:paraId="0D534136" w14:textId="77777777" w:rsidR="00A17123" w:rsidRPr="00A17123" w:rsidRDefault="00A17123" w:rsidP="00A17123">
      <w:pPr>
        <w:numPr>
          <w:ilvl w:val="0"/>
          <w:numId w:val="7"/>
        </w:numPr>
        <w:suppressLineNumbers/>
        <w:jc w:val="both"/>
        <w:rPr>
          <w:rFonts w:ascii="Times New Roman" w:hAnsi="Times New Roman" w:cs="Times New Roman"/>
          <w:sz w:val="24"/>
          <w:szCs w:val="24"/>
        </w:rPr>
      </w:pPr>
      <w:r w:rsidRPr="00A17123">
        <w:rPr>
          <w:rFonts w:ascii="Times New Roman" w:hAnsi="Times New Roman" w:cs="Times New Roman"/>
          <w:sz w:val="24"/>
          <w:szCs w:val="24"/>
        </w:rPr>
        <w:t xml:space="preserve">Lipper, L., Thornton, P., Campbell, B. M., Baedeker, T., </w:t>
      </w:r>
      <w:proofErr w:type="spellStart"/>
      <w:r w:rsidRPr="00A17123">
        <w:rPr>
          <w:rFonts w:ascii="Times New Roman" w:hAnsi="Times New Roman" w:cs="Times New Roman"/>
          <w:sz w:val="24"/>
          <w:szCs w:val="24"/>
        </w:rPr>
        <w:t>Braimoh</w:t>
      </w:r>
      <w:proofErr w:type="spellEnd"/>
      <w:r w:rsidRPr="00A17123">
        <w:rPr>
          <w:rFonts w:ascii="Times New Roman" w:hAnsi="Times New Roman" w:cs="Times New Roman"/>
          <w:sz w:val="24"/>
          <w:szCs w:val="24"/>
        </w:rPr>
        <w:t xml:space="preserve">, A., Bwalya, M., Caron, P., Cattaneo, A., Garrity, D., Henry, K., Hottle, R., Jackson, L., Jarvis, A., </w:t>
      </w:r>
      <w:proofErr w:type="spellStart"/>
      <w:r w:rsidRPr="00A17123">
        <w:rPr>
          <w:rFonts w:ascii="Times New Roman" w:hAnsi="Times New Roman" w:cs="Times New Roman"/>
          <w:sz w:val="24"/>
          <w:szCs w:val="24"/>
        </w:rPr>
        <w:t>Kossam</w:t>
      </w:r>
      <w:proofErr w:type="spellEnd"/>
      <w:r w:rsidRPr="00A17123">
        <w:rPr>
          <w:rFonts w:ascii="Times New Roman" w:hAnsi="Times New Roman" w:cs="Times New Roman"/>
          <w:sz w:val="24"/>
          <w:szCs w:val="24"/>
        </w:rPr>
        <w:t xml:space="preserve">, F., Mann, W., McCarthy, N., </w:t>
      </w:r>
      <w:proofErr w:type="spellStart"/>
      <w:r w:rsidRPr="00A17123">
        <w:rPr>
          <w:rFonts w:ascii="Times New Roman" w:hAnsi="Times New Roman" w:cs="Times New Roman"/>
          <w:sz w:val="24"/>
          <w:szCs w:val="24"/>
        </w:rPr>
        <w:t>Meybeck</w:t>
      </w:r>
      <w:proofErr w:type="spellEnd"/>
      <w:r w:rsidRPr="00A17123">
        <w:rPr>
          <w:rFonts w:ascii="Times New Roman" w:hAnsi="Times New Roman" w:cs="Times New Roman"/>
          <w:sz w:val="24"/>
          <w:szCs w:val="24"/>
        </w:rPr>
        <w:t xml:space="preserve">, A., Neufeldt, H., Remington, T., &amp; </w:t>
      </w:r>
      <w:proofErr w:type="spellStart"/>
      <w:r w:rsidRPr="00A17123">
        <w:rPr>
          <w:rFonts w:ascii="Times New Roman" w:hAnsi="Times New Roman" w:cs="Times New Roman"/>
          <w:sz w:val="24"/>
          <w:szCs w:val="24"/>
        </w:rPr>
        <w:t>Torquebiau</w:t>
      </w:r>
      <w:proofErr w:type="spellEnd"/>
      <w:r w:rsidRPr="00A17123">
        <w:rPr>
          <w:rFonts w:ascii="Times New Roman" w:hAnsi="Times New Roman" w:cs="Times New Roman"/>
          <w:sz w:val="24"/>
          <w:szCs w:val="24"/>
        </w:rPr>
        <w:t xml:space="preserve">, E. F. (2014). Climate-smart agriculture for food security. </w:t>
      </w:r>
      <w:r w:rsidRPr="00A17123">
        <w:rPr>
          <w:rFonts w:ascii="Times New Roman" w:hAnsi="Times New Roman" w:cs="Times New Roman"/>
          <w:i/>
          <w:iCs/>
          <w:sz w:val="24"/>
          <w:szCs w:val="24"/>
        </w:rPr>
        <w:t>Nature Climate Change, 4</w:t>
      </w:r>
      <w:r w:rsidRPr="00A17123">
        <w:rPr>
          <w:rFonts w:ascii="Times New Roman" w:hAnsi="Times New Roman" w:cs="Times New Roman"/>
          <w:sz w:val="24"/>
          <w:szCs w:val="24"/>
        </w:rPr>
        <w:t xml:space="preserve">, 1068–1072. </w:t>
      </w:r>
      <w:hyperlink r:id="rId28" w:history="1">
        <w:r w:rsidRPr="00A17123">
          <w:rPr>
            <w:rStyle w:val="Hyperlink"/>
            <w:rFonts w:ascii="Times New Roman" w:hAnsi="Times New Roman" w:cs="Times New Roman"/>
            <w:sz w:val="24"/>
            <w:szCs w:val="24"/>
          </w:rPr>
          <w:t>https://doi.org/10.1038/nclimate2437</w:t>
        </w:r>
      </w:hyperlink>
    </w:p>
    <w:p w14:paraId="4DF97F18" w14:textId="77777777" w:rsidR="00A17123" w:rsidRPr="00A17123" w:rsidRDefault="00A17123" w:rsidP="00A17123">
      <w:pPr>
        <w:numPr>
          <w:ilvl w:val="0"/>
          <w:numId w:val="7"/>
        </w:numPr>
        <w:suppressLineNumbers/>
        <w:jc w:val="both"/>
        <w:rPr>
          <w:rFonts w:ascii="Times New Roman" w:hAnsi="Times New Roman" w:cs="Times New Roman"/>
          <w:sz w:val="24"/>
          <w:szCs w:val="24"/>
        </w:rPr>
      </w:pPr>
      <w:proofErr w:type="spellStart"/>
      <w:r w:rsidRPr="00A17123">
        <w:rPr>
          <w:rFonts w:ascii="Times New Roman" w:hAnsi="Times New Roman" w:cs="Times New Roman"/>
          <w:sz w:val="24"/>
          <w:szCs w:val="24"/>
        </w:rPr>
        <w:t>Malykhina</w:t>
      </w:r>
      <w:proofErr w:type="spellEnd"/>
      <w:r w:rsidRPr="00A17123">
        <w:rPr>
          <w:rFonts w:ascii="Times New Roman" w:hAnsi="Times New Roman" w:cs="Times New Roman"/>
          <w:sz w:val="24"/>
          <w:szCs w:val="24"/>
        </w:rPr>
        <w:t xml:space="preserve">, A. N., et al. (2020). Effect of biopreparations on the development of the symbiotic apparatus and yield of legumes. </w:t>
      </w:r>
      <w:r w:rsidRPr="00A17123">
        <w:rPr>
          <w:rFonts w:ascii="Times New Roman" w:hAnsi="Times New Roman" w:cs="Times New Roman"/>
          <w:i/>
          <w:iCs/>
          <w:sz w:val="24"/>
          <w:szCs w:val="24"/>
        </w:rPr>
        <w:t>BIO Web of Conferences, 25</w:t>
      </w:r>
      <w:r w:rsidRPr="00A17123">
        <w:rPr>
          <w:rFonts w:ascii="Times New Roman" w:hAnsi="Times New Roman" w:cs="Times New Roman"/>
          <w:sz w:val="24"/>
          <w:szCs w:val="24"/>
        </w:rPr>
        <w:t>, 02006.</w:t>
      </w:r>
    </w:p>
    <w:p w14:paraId="778DAAAF" w14:textId="77777777" w:rsidR="00A17123" w:rsidRPr="00A17123" w:rsidRDefault="00A17123" w:rsidP="00A17123">
      <w:pPr>
        <w:numPr>
          <w:ilvl w:val="0"/>
          <w:numId w:val="7"/>
        </w:numPr>
        <w:suppressLineNumbers/>
        <w:jc w:val="both"/>
        <w:rPr>
          <w:rFonts w:ascii="Times New Roman" w:hAnsi="Times New Roman" w:cs="Times New Roman"/>
          <w:sz w:val="24"/>
          <w:szCs w:val="24"/>
        </w:rPr>
      </w:pPr>
      <w:r w:rsidRPr="00A17123">
        <w:rPr>
          <w:rFonts w:ascii="Times New Roman" w:hAnsi="Times New Roman" w:cs="Times New Roman"/>
          <w:sz w:val="24"/>
          <w:szCs w:val="24"/>
        </w:rPr>
        <w:t xml:space="preserve">Mukherjee, R., &amp; Sen, S. (2021). Role of biological nitrogen fixation in sustainable agriculture. </w:t>
      </w:r>
      <w:r w:rsidRPr="00A17123">
        <w:rPr>
          <w:rFonts w:ascii="Times New Roman" w:hAnsi="Times New Roman" w:cs="Times New Roman"/>
          <w:i/>
          <w:iCs/>
          <w:sz w:val="24"/>
          <w:szCs w:val="24"/>
        </w:rPr>
        <w:t>Agricultural Reviews, 42</w:t>
      </w:r>
      <w:r w:rsidRPr="00A17123">
        <w:rPr>
          <w:rFonts w:ascii="Times New Roman" w:hAnsi="Times New Roman" w:cs="Times New Roman"/>
          <w:sz w:val="24"/>
          <w:szCs w:val="24"/>
        </w:rPr>
        <w:t xml:space="preserve">(3), 250–258. </w:t>
      </w:r>
      <w:hyperlink r:id="rId29" w:history="1">
        <w:r w:rsidRPr="00A17123">
          <w:rPr>
            <w:rStyle w:val="Hyperlink"/>
            <w:rFonts w:ascii="Times New Roman" w:hAnsi="Times New Roman" w:cs="Times New Roman"/>
            <w:sz w:val="24"/>
            <w:szCs w:val="24"/>
          </w:rPr>
          <w:t>https://doi.org/10.18805/ag.R-2101</w:t>
        </w:r>
      </w:hyperlink>
    </w:p>
    <w:p w14:paraId="10D9FC28" w14:textId="77777777" w:rsidR="00A17123" w:rsidRPr="00A17123" w:rsidRDefault="00A17123" w:rsidP="00A17123">
      <w:pPr>
        <w:numPr>
          <w:ilvl w:val="0"/>
          <w:numId w:val="7"/>
        </w:numPr>
        <w:suppressLineNumbers/>
        <w:jc w:val="both"/>
        <w:rPr>
          <w:rFonts w:ascii="Times New Roman" w:hAnsi="Times New Roman" w:cs="Times New Roman"/>
          <w:sz w:val="24"/>
          <w:szCs w:val="24"/>
        </w:rPr>
      </w:pPr>
      <w:r w:rsidRPr="00A17123">
        <w:rPr>
          <w:rFonts w:ascii="Times New Roman" w:hAnsi="Times New Roman" w:cs="Times New Roman"/>
          <w:sz w:val="24"/>
          <w:szCs w:val="24"/>
        </w:rPr>
        <w:t xml:space="preserve">Nkurunziza, G., Ndayisaba, P., &amp; </w:t>
      </w:r>
      <w:proofErr w:type="spellStart"/>
      <w:r w:rsidRPr="00A17123">
        <w:rPr>
          <w:rFonts w:ascii="Times New Roman" w:hAnsi="Times New Roman" w:cs="Times New Roman"/>
          <w:sz w:val="24"/>
          <w:szCs w:val="24"/>
        </w:rPr>
        <w:t>Habimana</w:t>
      </w:r>
      <w:proofErr w:type="spellEnd"/>
      <w:r w:rsidRPr="00A17123">
        <w:rPr>
          <w:rFonts w:ascii="Times New Roman" w:hAnsi="Times New Roman" w:cs="Times New Roman"/>
          <w:sz w:val="24"/>
          <w:szCs w:val="24"/>
        </w:rPr>
        <w:t xml:space="preserve">, S. (2025). Genome-wide association study of nitrogen fixation traits in cowpea. </w:t>
      </w:r>
      <w:r w:rsidRPr="00A17123">
        <w:rPr>
          <w:rFonts w:ascii="Times New Roman" w:hAnsi="Times New Roman" w:cs="Times New Roman"/>
          <w:i/>
          <w:iCs/>
          <w:sz w:val="24"/>
          <w:szCs w:val="24"/>
        </w:rPr>
        <w:t>PLOS ONE, 20</w:t>
      </w:r>
      <w:r w:rsidRPr="00A17123">
        <w:rPr>
          <w:rFonts w:ascii="Times New Roman" w:hAnsi="Times New Roman" w:cs="Times New Roman"/>
          <w:sz w:val="24"/>
          <w:szCs w:val="24"/>
        </w:rPr>
        <w:t xml:space="preserve">(3), e0322203. </w:t>
      </w:r>
      <w:hyperlink r:id="rId30" w:history="1">
        <w:r w:rsidRPr="00A17123">
          <w:rPr>
            <w:rStyle w:val="Hyperlink"/>
            <w:rFonts w:ascii="Times New Roman" w:hAnsi="Times New Roman" w:cs="Times New Roman"/>
            <w:sz w:val="24"/>
            <w:szCs w:val="24"/>
          </w:rPr>
          <w:t>https://doi.org/10.1371/journal.pone.0322203</w:t>
        </w:r>
      </w:hyperlink>
    </w:p>
    <w:p w14:paraId="15AB3252" w14:textId="77777777" w:rsidR="00A17123" w:rsidRPr="00A17123" w:rsidRDefault="00A17123" w:rsidP="00A17123">
      <w:pPr>
        <w:numPr>
          <w:ilvl w:val="0"/>
          <w:numId w:val="7"/>
        </w:numPr>
        <w:suppressLineNumbers/>
        <w:jc w:val="both"/>
        <w:rPr>
          <w:rFonts w:ascii="Times New Roman" w:hAnsi="Times New Roman" w:cs="Times New Roman"/>
          <w:sz w:val="24"/>
          <w:szCs w:val="24"/>
        </w:rPr>
      </w:pPr>
      <w:r w:rsidRPr="00A17123">
        <w:rPr>
          <w:rFonts w:ascii="Times New Roman" w:hAnsi="Times New Roman" w:cs="Times New Roman"/>
          <w:sz w:val="24"/>
          <w:szCs w:val="24"/>
        </w:rPr>
        <w:t xml:space="preserve">Oldroyd, G. E. D. (2013). Speak, friend, and enter: Signalling systems that promote beneficial symbiotic associations in plants. </w:t>
      </w:r>
      <w:r w:rsidRPr="00A17123">
        <w:rPr>
          <w:rFonts w:ascii="Times New Roman" w:hAnsi="Times New Roman" w:cs="Times New Roman"/>
          <w:i/>
          <w:iCs/>
          <w:sz w:val="24"/>
          <w:szCs w:val="24"/>
        </w:rPr>
        <w:t>Nature Reviews Microbiology, 11</w:t>
      </w:r>
      <w:r w:rsidRPr="00A17123">
        <w:rPr>
          <w:rFonts w:ascii="Times New Roman" w:hAnsi="Times New Roman" w:cs="Times New Roman"/>
          <w:sz w:val="24"/>
          <w:szCs w:val="24"/>
        </w:rPr>
        <w:t xml:space="preserve">, 252–263. </w:t>
      </w:r>
      <w:hyperlink r:id="rId31" w:history="1">
        <w:r w:rsidRPr="00A17123">
          <w:rPr>
            <w:rStyle w:val="Hyperlink"/>
            <w:rFonts w:ascii="Times New Roman" w:hAnsi="Times New Roman" w:cs="Times New Roman"/>
            <w:sz w:val="24"/>
            <w:szCs w:val="24"/>
          </w:rPr>
          <w:t>https://doi.org/10.1038/nrmicro2990</w:t>
        </w:r>
      </w:hyperlink>
    </w:p>
    <w:p w14:paraId="63B63892" w14:textId="77777777" w:rsidR="00A17123" w:rsidRPr="00A17123" w:rsidRDefault="00A17123" w:rsidP="00A17123">
      <w:pPr>
        <w:numPr>
          <w:ilvl w:val="0"/>
          <w:numId w:val="7"/>
        </w:numPr>
        <w:suppressLineNumbers/>
        <w:jc w:val="both"/>
        <w:rPr>
          <w:rFonts w:ascii="Times New Roman" w:hAnsi="Times New Roman" w:cs="Times New Roman"/>
          <w:sz w:val="24"/>
          <w:szCs w:val="24"/>
        </w:rPr>
      </w:pPr>
      <w:r w:rsidRPr="00A17123">
        <w:rPr>
          <w:rFonts w:ascii="Times New Roman" w:hAnsi="Times New Roman" w:cs="Times New Roman"/>
          <w:sz w:val="24"/>
          <w:szCs w:val="24"/>
        </w:rPr>
        <w:lastRenderedPageBreak/>
        <w:t>Oldroyd, G. E. D., Murray, J. D., Poole, P. S., &amp; Downie, J. A. (2019). The rules of engagement in the legume–</w:t>
      </w:r>
      <w:proofErr w:type="spellStart"/>
      <w:r w:rsidRPr="00A17123">
        <w:rPr>
          <w:rFonts w:ascii="Times New Roman" w:hAnsi="Times New Roman" w:cs="Times New Roman"/>
          <w:sz w:val="24"/>
          <w:szCs w:val="24"/>
        </w:rPr>
        <w:t>rhizobial</w:t>
      </w:r>
      <w:proofErr w:type="spellEnd"/>
      <w:r w:rsidRPr="00A17123">
        <w:rPr>
          <w:rFonts w:ascii="Times New Roman" w:hAnsi="Times New Roman" w:cs="Times New Roman"/>
          <w:sz w:val="24"/>
          <w:szCs w:val="24"/>
        </w:rPr>
        <w:t xml:space="preserve"> symbiosis. </w:t>
      </w:r>
      <w:r w:rsidRPr="00A17123">
        <w:rPr>
          <w:rFonts w:ascii="Times New Roman" w:hAnsi="Times New Roman" w:cs="Times New Roman"/>
          <w:i/>
          <w:iCs/>
          <w:sz w:val="24"/>
          <w:szCs w:val="24"/>
        </w:rPr>
        <w:t>Annual Review of Genetics, 53</w:t>
      </w:r>
      <w:r w:rsidRPr="00A17123">
        <w:rPr>
          <w:rFonts w:ascii="Times New Roman" w:hAnsi="Times New Roman" w:cs="Times New Roman"/>
          <w:sz w:val="24"/>
          <w:szCs w:val="24"/>
        </w:rPr>
        <w:t xml:space="preserve">, 493–522. </w:t>
      </w:r>
      <w:hyperlink r:id="rId32" w:history="1">
        <w:r w:rsidRPr="00A17123">
          <w:rPr>
            <w:rStyle w:val="Hyperlink"/>
            <w:rFonts w:ascii="Times New Roman" w:hAnsi="Times New Roman" w:cs="Times New Roman"/>
            <w:sz w:val="24"/>
            <w:szCs w:val="24"/>
          </w:rPr>
          <w:t>https://doi.org/10.1146/annurev-genet-112618-043617</w:t>
        </w:r>
      </w:hyperlink>
    </w:p>
    <w:p w14:paraId="60A52F80" w14:textId="77777777" w:rsidR="00A17123" w:rsidRPr="00A17123" w:rsidRDefault="00A17123" w:rsidP="00A17123">
      <w:pPr>
        <w:numPr>
          <w:ilvl w:val="0"/>
          <w:numId w:val="7"/>
        </w:numPr>
        <w:suppressLineNumbers/>
        <w:jc w:val="both"/>
        <w:rPr>
          <w:rFonts w:ascii="Times New Roman" w:hAnsi="Times New Roman" w:cs="Times New Roman"/>
          <w:sz w:val="24"/>
          <w:szCs w:val="24"/>
        </w:rPr>
      </w:pPr>
      <w:r w:rsidRPr="00A17123">
        <w:rPr>
          <w:rFonts w:ascii="Times New Roman" w:hAnsi="Times New Roman" w:cs="Times New Roman"/>
          <w:sz w:val="24"/>
          <w:szCs w:val="24"/>
        </w:rPr>
        <w:t xml:space="preserve">Peoples, M. B., Brockwell, J., Herridge, D. F., Rochester, I. J., Alves, B. J. R., Urquiaga, S., </w:t>
      </w:r>
      <w:proofErr w:type="spellStart"/>
      <w:r w:rsidRPr="00A17123">
        <w:rPr>
          <w:rFonts w:ascii="Times New Roman" w:hAnsi="Times New Roman" w:cs="Times New Roman"/>
          <w:sz w:val="24"/>
          <w:szCs w:val="24"/>
        </w:rPr>
        <w:t>Boddey</w:t>
      </w:r>
      <w:proofErr w:type="spellEnd"/>
      <w:r w:rsidRPr="00A17123">
        <w:rPr>
          <w:rFonts w:ascii="Times New Roman" w:hAnsi="Times New Roman" w:cs="Times New Roman"/>
          <w:sz w:val="24"/>
          <w:szCs w:val="24"/>
        </w:rPr>
        <w:t xml:space="preserve">, R. M., </w:t>
      </w:r>
      <w:proofErr w:type="spellStart"/>
      <w:r w:rsidRPr="00A17123">
        <w:rPr>
          <w:rFonts w:ascii="Times New Roman" w:hAnsi="Times New Roman" w:cs="Times New Roman"/>
          <w:sz w:val="24"/>
          <w:szCs w:val="24"/>
        </w:rPr>
        <w:t>Dakora</w:t>
      </w:r>
      <w:proofErr w:type="spellEnd"/>
      <w:r w:rsidRPr="00A17123">
        <w:rPr>
          <w:rFonts w:ascii="Times New Roman" w:hAnsi="Times New Roman" w:cs="Times New Roman"/>
          <w:sz w:val="24"/>
          <w:szCs w:val="24"/>
        </w:rPr>
        <w:t xml:space="preserve">, F. D., Bhattarai, S., Maskey, S. L., </w:t>
      </w:r>
      <w:proofErr w:type="spellStart"/>
      <w:r w:rsidRPr="00A17123">
        <w:rPr>
          <w:rFonts w:ascii="Times New Roman" w:hAnsi="Times New Roman" w:cs="Times New Roman"/>
          <w:sz w:val="24"/>
          <w:szCs w:val="24"/>
        </w:rPr>
        <w:t>Sampet</w:t>
      </w:r>
      <w:proofErr w:type="spellEnd"/>
      <w:r w:rsidRPr="00A17123">
        <w:rPr>
          <w:rFonts w:ascii="Times New Roman" w:hAnsi="Times New Roman" w:cs="Times New Roman"/>
          <w:sz w:val="24"/>
          <w:szCs w:val="24"/>
        </w:rPr>
        <w:t xml:space="preserve">, C., Rerkasem, B., Khan, D. F., Hauggaard-Nielsen, H., &amp; Jensen, E. S. (2022). The contributions of nitrogen-fixing crop legumes to the productivity of agricultural systems. </w:t>
      </w:r>
      <w:r w:rsidRPr="00A17123">
        <w:rPr>
          <w:rFonts w:ascii="Times New Roman" w:hAnsi="Times New Roman" w:cs="Times New Roman"/>
          <w:i/>
          <w:iCs/>
          <w:sz w:val="24"/>
          <w:szCs w:val="24"/>
        </w:rPr>
        <w:t>Field Crops Research, 284</w:t>
      </w:r>
      <w:r w:rsidRPr="00A17123">
        <w:rPr>
          <w:rFonts w:ascii="Times New Roman" w:hAnsi="Times New Roman" w:cs="Times New Roman"/>
          <w:sz w:val="24"/>
          <w:szCs w:val="24"/>
        </w:rPr>
        <w:t xml:space="preserve">, 108568. </w:t>
      </w:r>
      <w:hyperlink r:id="rId33" w:history="1">
        <w:r w:rsidRPr="00A17123">
          <w:rPr>
            <w:rStyle w:val="Hyperlink"/>
            <w:rFonts w:ascii="Times New Roman" w:hAnsi="Times New Roman" w:cs="Times New Roman"/>
            <w:sz w:val="24"/>
            <w:szCs w:val="24"/>
          </w:rPr>
          <w:t>https://doi.org/10.1016/j.fcr.2022.108568</w:t>
        </w:r>
      </w:hyperlink>
    </w:p>
    <w:p w14:paraId="3C1C2202" w14:textId="77777777" w:rsidR="00A17123" w:rsidRPr="00A17123" w:rsidRDefault="00A17123" w:rsidP="00A17123">
      <w:pPr>
        <w:numPr>
          <w:ilvl w:val="0"/>
          <w:numId w:val="7"/>
        </w:numPr>
        <w:suppressLineNumbers/>
        <w:jc w:val="both"/>
        <w:rPr>
          <w:rFonts w:ascii="Times New Roman" w:hAnsi="Times New Roman" w:cs="Times New Roman"/>
          <w:sz w:val="24"/>
          <w:szCs w:val="24"/>
        </w:rPr>
      </w:pPr>
      <w:r w:rsidRPr="00A17123">
        <w:rPr>
          <w:rFonts w:ascii="Times New Roman" w:hAnsi="Times New Roman" w:cs="Times New Roman"/>
          <w:sz w:val="24"/>
          <w:szCs w:val="24"/>
        </w:rPr>
        <w:t xml:space="preserve">Poole, P., Ramachandran, V., &amp; </w:t>
      </w:r>
      <w:proofErr w:type="spellStart"/>
      <w:r w:rsidRPr="00A17123">
        <w:rPr>
          <w:rFonts w:ascii="Times New Roman" w:hAnsi="Times New Roman" w:cs="Times New Roman"/>
          <w:sz w:val="24"/>
          <w:szCs w:val="24"/>
        </w:rPr>
        <w:t>Terpolilli</w:t>
      </w:r>
      <w:proofErr w:type="spellEnd"/>
      <w:r w:rsidRPr="00A17123">
        <w:rPr>
          <w:rFonts w:ascii="Times New Roman" w:hAnsi="Times New Roman" w:cs="Times New Roman"/>
          <w:sz w:val="24"/>
          <w:szCs w:val="24"/>
        </w:rPr>
        <w:t xml:space="preserve">, J. (2018). Rhizobia: From saprophytes to endosymbionts. </w:t>
      </w:r>
      <w:r w:rsidRPr="00A17123">
        <w:rPr>
          <w:rFonts w:ascii="Times New Roman" w:hAnsi="Times New Roman" w:cs="Times New Roman"/>
          <w:i/>
          <w:iCs/>
          <w:sz w:val="24"/>
          <w:szCs w:val="24"/>
        </w:rPr>
        <w:t>Nature Reviews Microbiology, 16</w:t>
      </w:r>
      <w:r w:rsidRPr="00A17123">
        <w:rPr>
          <w:rFonts w:ascii="Times New Roman" w:hAnsi="Times New Roman" w:cs="Times New Roman"/>
          <w:sz w:val="24"/>
          <w:szCs w:val="24"/>
        </w:rPr>
        <w:t xml:space="preserve">, 291–303. </w:t>
      </w:r>
      <w:hyperlink r:id="rId34" w:history="1">
        <w:r w:rsidRPr="00A17123">
          <w:rPr>
            <w:rStyle w:val="Hyperlink"/>
            <w:rFonts w:ascii="Times New Roman" w:hAnsi="Times New Roman" w:cs="Times New Roman"/>
            <w:sz w:val="24"/>
            <w:szCs w:val="24"/>
          </w:rPr>
          <w:t>https://doi.org/10.1038/nrmicro.2017.171</w:t>
        </w:r>
      </w:hyperlink>
    </w:p>
    <w:p w14:paraId="1E517EC5" w14:textId="77777777" w:rsidR="00A17123" w:rsidRPr="00A17123" w:rsidRDefault="00A17123" w:rsidP="00A17123">
      <w:pPr>
        <w:numPr>
          <w:ilvl w:val="0"/>
          <w:numId w:val="7"/>
        </w:numPr>
        <w:suppressLineNumbers/>
        <w:jc w:val="both"/>
        <w:rPr>
          <w:rFonts w:ascii="Times New Roman" w:hAnsi="Times New Roman" w:cs="Times New Roman"/>
          <w:sz w:val="24"/>
          <w:szCs w:val="24"/>
        </w:rPr>
      </w:pPr>
      <w:r w:rsidRPr="00A17123">
        <w:rPr>
          <w:rFonts w:ascii="Times New Roman" w:hAnsi="Times New Roman" w:cs="Times New Roman"/>
          <w:sz w:val="24"/>
          <w:szCs w:val="24"/>
        </w:rPr>
        <w:t xml:space="preserve">Serraj, R., Sinclair, T. R., &amp; Purcell, L. C. (2004). Symbiotic N₂ fixation response to drought. </w:t>
      </w:r>
      <w:r w:rsidRPr="00A17123">
        <w:rPr>
          <w:rFonts w:ascii="Times New Roman" w:hAnsi="Times New Roman" w:cs="Times New Roman"/>
          <w:i/>
          <w:iCs/>
          <w:sz w:val="24"/>
          <w:szCs w:val="24"/>
        </w:rPr>
        <w:t>Journal of Experimental Botany, 55</w:t>
      </w:r>
      <w:r w:rsidRPr="00A17123">
        <w:rPr>
          <w:rFonts w:ascii="Times New Roman" w:hAnsi="Times New Roman" w:cs="Times New Roman"/>
          <w:sz w:val="24"/>
          <w:szCs w:val="24"/>
        </w:rPr>
        <w:t xml:space="preserve">, 1543–1551. </w:t>
      </w:r>
      <w:hyperlink r:id="rId35" w:history="1">
        <w:r w:rsidRPr="00A17123">
          <w:rPr>
            <w:rStyle w:val="Hyperlink"/>
            <w:rFonts w:ascii="Times New Roman" w:hAnsi="Times New Roman" w:cs="Times New Roman"/>
            <w:sz w:val="24"/>
            <w:szCs w:val="24"/>
          </w:rPr>
          <w:t>https://doi.org/10.1093/jxb/erh156</w:t>
        </w:r>
      </w:hyperlink>
    </w:p>
    <w:p w14:paraId="37790F74" w14:textId="77777777" w:rsidR="00A17123" w:rsidRPr="00A17123" w:rsidRDefault="00A17123" w:rsidP="00A17123">
      <w:pPr>
        <w:numPr>
          <w:ilvl w:val="0"/>
          <w:numId w:val="7"/>
        </w:numPr>
        <w:suppressLineNumbers/>
        <w:jc w:val="both"/>
        <w:rPr>
          <w:rFonts w:ascii="Times New Roman" w:hAnsi="Times New Roman" w:cs="Times New Roman"/>
          <w:sz w:val="24"/>
          <w:szCs w:val="24"/>
        </w:rPr>
      </w:pPr>
      <w:r w:rsidRPr="00A17123">
        <w:rPr>
          <w:rFonts w:ascii="Times New Roman" w:hAnsi="Times New Roman" w:cs="Times New Roman"/>
          <w:sz w:val="24"/>
          <w:szCs w:val="24"/>
        </w:rPr>
        <w:t xml:space="preserve">Singh, A., Sharma, R., &amp; Kumar, P. (2023). Intercropping effects on nitrogen fixation in legumes under sustainable production systems. </w:t>
      </w:r>
      <w:r w:rsidRPr="00A17123">
        <w:rPr>
          <w:rFonts w:ascii="Times New Roman" w:hAnsi="Times New Roman" w:cs="Times New Roman"/>
          <w:i/>
          <w:iCs/>
          <w:sz w:val="24"/>
          <w:szCs w:val="24"/>
        </w:rPr>
        <w:t>BMC Plant Biology, 23</w:t>
      </w:r>
      <w:r w:rsidRPr="00A17123">
        <w:rPr>
          <w:rFonts w:ascii="Times New Roman" w:hAnsi="Times New Roman" w:cs="Times New Roman"/>
          <w:sz w:val="24"/>
          <w:szCs w:val="24"/>
        </w:rPr>
        <w:t xml:space="preserve">, 204. </w:t>
      </w:r>
      <w:hyperlink r:id="rId36" w:history="1">
        <w:r w:rsidRPr="00A17123">
          <w:rPr>
            <w:rStyle w:val="Hyperlink"/>
            <w:rFonts w:ascii="Times New Roman" w:hAnsi="Times New Roman" w:cs="Times New Roman"/>
            <w:sz w:val="24"/>
            <w:szCs w:val="24"/>
          </w:rPr>
          <w:t>https://doi.org/10.1186/s12870-023-04204-z</w:t>
        </w:r>
      </w:hyperlink>
    </w:p>
    <w:p w14:paraId="3A529E59" w14:textId="77777777" w:rsidR="00A17123" w:rsidRPr="00A17123" w:rsidRDefault="00A17123" w:rsidP="00A17123">
      <w:pPr>
        <w:numPr>
          <w:ilvl w:val="0"/>
          <w:numId w:val="7"/>
        </w:numPr>
        <w:suppressLineNumbers/>
        <w:jc w:val="both"/>
        <w:rPr>
          <w:rFonts w:ascii="Times New Roman" w:hAnsi="Times New Roman" w:cs="Times New Roman"/>
          <w:sz w:val="24"/>
          <w:szCs w:val="24"/>
        </w:rPr>
      </w:pPr>
      <w:r w:rsidRPr="00A17123">
        <w:rPr>
          <w:rFonts w:ascii="Times New Roman" w:hAnsi="Times New Roman" w:cs="Times New Roman"/>
          <w:sz w:val="24"/>
          <w:szCs w:val="24"/>
        </w:rPr>
        <w:t xml:space="preserve">Sulieman, S., &amp; Tran, L. S. P. (2015). Phosphorus homeostasis in legume nodules under nutrient stress conditions. </w:t>
      </w:r>
      <w:r w:rsidRPr="00A17123">
        <w:rPr>
          <w:rFonts w:ascii="Times New Roman" w:hAnsi="Times New Roman" w:cs="Times New Roman"/>
          <w:i/>
          <w:iCs/>
          <w:sz w:val="24"/>
          <w:szCs w:val="24"/>
        </w:rPr>
        <w:t>Frontiers in Plant Science, 6</w:t>
      </w:r>
      <w:r w:rsidRPr="00A17123">
        <w:rPr>
          <w:rFonts w:ascii="Times New Roman" w:hAnsi="Times New Roman" w:cs="Times New Roman"/>
          <w:sz w:val="24"/>
          <w:szCs w:val="24"/>
        </w:rPr>
        <w:t xml:space="preserve">, 864. </w:t>
      </w:r>
      <w:hyperlink r:id="rId37" w:history="1">
        <w:r w:rsidRPr="00A17123">
          <w:rPr>
            <w:rStyle w:val="Hyperlink"/>
            <w:rFonts w:ascii="Times New Roman" w:hAnsi="Times New Roman" w:cs="Times New Roman"/>
            <w:sz w:val="24"/>
            <w:szCs w:val="24"/>
          </w:rPr>
          <w:t>https://doi.org/10.3389/fpls.2015.00864</w:t>
        </w:r>
      </w:hyperlink>
    </w:p>
    <w:p w14:paraId="0E918192" w14:textId="77777777" w:rsidR="00A17123" w:rsidRPr="00A17123" w:rsidRDefault="00A17123" w:rsidP="00A17123">
      <w:pPr>
        <w:numPr>
          <w:ilvl w:val="0"/>
          <w:numId w:val="7"/>
        </w:numPr>
        <w:suppressLineNumbers/>
        <w:jc w:val="both"/>
        <w:rPr>
          <w:rFonts w:ascii="Times New Roman" w:hAnsi="Times New Roman" w:cs="Times New Roman"/>
          <w:sz w:val="24"/>
          <w:szCs w:val="24"/>
        </w:rPr>
      </w:pPr>
      <w:r w:rsidRPr="00A17123">
        <w:rPr>
          <w:rFonts w:ascii="Times New Roman" w:hAnsi="Times New Roman" w:cs="Times New Roman"/>
          <w:sz w:val="24"/>
          <w:szCs w:val="24"/>
        </w:rPr>
        <w:t xml:space="preserve">Thies, J. E., Singleton, P. W., &amp; </w:t>
      </w:r>
      <w:proofErr w:type="spellStart"/>
      <w:r w:rsidRPr="00A17123">
        <w:rPr>
          <w:rFonts w:ascii="Times New Roman" w:hAnsi="Times New Roman" w:cs="Times New Roman"/>
          <w:sz w:val="24"/>
          <w:szCs w:val="24"/>
        </w:rPr>
        <w:t>Bohlool</w:t>
      </w:r>
      <w:proofErr w:type="spellEnd"/>
      <w:r w:rsidRPr="00A17123">
        <w:rPr>
          <w:rFonts w:ascii="Times New Roman" w:hAnsi="Times New Roman" w:cs="Times New Roman"/>
          <w:sz w:val="24"/>
          <w:szCs w:val="24"/>
        </w:rPr>
        <w:t xml:space="preserve">, B. B. (1991). Influence of the size of indigenous </w:t>
      </w:r>
      <w:proofErr w:type="spellStart"/>
      <w:r w:rsidRPr="00A17123">
        <w:rPr>
          <w:rFonts w:ascii="Times New Roman" w:hAnsi="Times New Roman" w:cs="Times New Roman"/>
          <w:sz w:val="24"/>
          <w:szCs w:val="24"/>
        </w:rPr>
        <w:t>rhizobial</w:t>
      </w:r>
      <w:proofErr w:type="spellEnd"/>
      <w:r w:rsidRPr="00A17123">
        <w:rPr>
          <w:rFonts w:ascii="Times New Roman" w:hAnsi="Times New Roman" w:cs="Times New Roman"/>
          <w:sz w:val="24"/>
          <w:szCs w:val="24"/>
        </w:rPr>
        <w:t xml:space="preserve"> populations. </w:t>
      </w:r>
      <w:r w:rsidRPr="00A17123">
        <w:rPr>
          <w:rFonts w:ascii="Times New Roman" w:hAnsi="Times New Roman" w:cs="Times New Roman"/>
          <w:i/>
          <w:iCs/>
          <w:sz w:val="24"/>
          <w:szCs w:val="24"/>
        </w:rPr>
        <w:t>Applied and Environmental Microbiology, 57</w:t>
      </w:r>
      <w:r w:rsidRPr="00A17123">
        <w:rPr>
          <w:rFonts w:ascii="Times New Roman" w:hAnsi="Times New Roman" w:cs="Times New Roman"/>
          <w:sz w:val="24"/>
          <w:szCs w:val="24"/>
        </w:rPr>
        <w:t>, 19–28.</w:t>
      </w:r>
    </w:p>
    <w:p w14:paraId="7F246B38" w14:textId="77777777" w:rsidR="00A17123" w:rsidRPr="00A17123" w:rsidRDefault="00A17123" w:rsidP="00A17123">
      <w:pPr>
        <w:numPr>
          <w:ilvl w:val="0"/>
          <w:numId w:val="7"/>
        </w:numPr>
        <w:suppressLineNumbers/>
        <w:jc w:val="both"/>
        <w:rPr>
          <w:rFonts w:ascii="Times New Roman" w:hAnsi="Times New Roman" w:cs="Times New Roman"/>
          <w:sz w:val="24"/>
          <w:szCs w:val="24"/>
        </w:rPr>
      </w:pPr>
      <w:r w:rsidRPr="00A17123">
        <w:rPr>
          <w:rFonts w:ascii="Times New Roman" w:hAnsi="Times New Roman" w:cs="Times New Roman"/>
          <w:sz w:val="24"/>
          <w:szCs w:val="24"/>
        </w:rPr>
        <w:t xml:space="preserve">Tilman, D., Balzer, C., Hill, J., &amp; Befort, B. L. (2021). Global food demand and sustainable intensification of agriculture. </w:t>
      </w:r>
      <w:r w:rsidRPr="00A17123">
        <w:rPr>
          <w:rFonts w:ascii="Times New Roman" w:hAnsi="Times New Roman" w:cs="Times New Roman"/>
          <w:i/>
          <w:iCs/>
          <w:sz w:val="24"/>
          <w:szCs w:val="24"/>
        </w:rPr>
        <w:t>Proceedings of the National Academy of Sciences, 108</w:t>
      </w:r>
      <w:r w:rsidRPr="00A17123">
        <w:rPr>
          <w:rFonts w:ascii="Times New Roman" w:hAnsi="Times New Roman" w:cs="Times New Roman"/>
          <w:sz w:val="24"/>
          <w:szCs w:val="24"/>
        </w:rPr>
        <w:t xml:space="preserve">(50), 20260–20264. </w:t>
      </w:r>
      <w:hyperlink r:id="rId38" w:history="1">
        <w:r w:rsidRPr="00A17123">
          <w:rPr>
            <w:rStyle w:val="Hyperlink"/>
            <w:rFonts w:ascii="Times New Roman" w:hAnsi="Times New Roman" w:cs="Times New Roman"/>
            <w:sz w:val="24"/>
            <w:szCs w:val="24"/>
          </w:rPr>
          <w:t>https://doi.org/10.1073/pnas.1116437108</w:t>
        </w:r>
      </w:hyperlink>
    </w:p>
    <w:p w14:paraId="3332317D" w14:textId="77777777" w:rsidR="00A17123" w:rsidRPr="00A17123" w:rsidRDefault="00A17123" w:rsidP="00A17123">
      <w:pPr>
        <w:numPr>
          <w:ilvl w:val="0"/>
          <w:numId w:val="7"/>
        </w:numPr>
        <w:suppressLineNumbers/>
        <w:jc w:val="both"/>
        <w:rPr>
          <w:rFonts w:ascii="Times New Roman" w:hAnsi="Times New Roman" w:cs="Times New Roman"/>
          <w:sz w:val="24"/>
          <w:szCs w:val="24"/>
        </w:rPr>
      </w:pPr>
      <w:r w:rsidRPr="00A17123">
        <w:rPr>
          <w:rFonts w:ascii="Times New Roman" w:hAnsi="Times New Roman" w:cs="Times New Roman"/>
          <w:sz w:val="24"/>
          <w:szCs w:val="24"/>
        </w:rPr>
        <w:t xml:space="preserve">Udvardi, M., &amp; Poole, P. S. (2013). Transport and metabolism in legume–rhizobia symbioses. </w:t>
      </w:r>
      <w:r w:rsidRPr="00A17123">
        <w:rPr>
          <w:rFonts w:ascii="Times New Roman" w:hAnsi="Times New Roman" w:cs="Times New Roman"/>
          <w:i/>
          <w:iCs/>
          <w:sz w:val="24"/>
          <w:szCs w:val="24"/>
        </w:rPr>
        <w:t>Annual Review of Plant Biology, 64</w:t>
      </w:r>
      <w:r w:rsidRPr="00A17123">
        <w:rPr>
          <w:rFonts w:ascii="Times New Roman" w:hAnsi="Times New Roman" w:cs="Times New Roman"/>
          <w:sz w:val="24"/>
          <w:szCs w:val="24"/>
        </w:rPr>
        <w:t xml:space="preserve">, 781–805. </w:t>
      </w:r>
      <w:hyperlink r:id="rId39" w:history="1">
        <w:r w:rsidRPr="00A17123">
          <w:rPr>
            <w:rStyle w:val="Hyperlink"/>
            <w:rFonts w:ascii="Times New Roman" w:hAnsi="Times New Roman" w:cs="Times New Roman"/>
            <w:sz w:val="24"/>
            <w:szCs w:val="24"/>
          </w:rPr>
          <w:t>https://doi.org/10.1146/annurev-arplant-050312-120235</w:t>
        </w:r>
      </w:hyperlink>
    </w:p>
    <w:p w14:paraId="27A162DA" w14:textId="77777777" w:rsidR="00A17123" w:rsidRPr="00A17123" w:rsidRDefault="00A17123" w:rsidP="00A17123">
      <w:pPr>
        <w:numPr>
          <w:ilvl w:val="0"/>
          <w:numId w:val="7"/>
        </w:numPr>
        <w:suppressLineNumbers/>
        <w:jc w:val="both"/>
        <w:rPr>
          <w:rFonts w:ascii="Times New Roman" w:hAnsi="Times New Roman" w:cs="Times New Roman"/>
          <w:sz w:val="24"/>
          <w:szCs w:val="24"/>
        </w:rPr>
      </w:pPr>
      <w:r w:rsidRPr="00A17123">
        <w:rPr>
          <w:rFonts w:ascii="Times New Roman" w:hAnsi="Times New Roman" w:cs="Times New Roman"/>
          <w:sz w:val="24"/>
          <w:szCs w:val="24"/>
        </w:rPr>
        <w:t xml:space="preserve">Varshney, R. K., </w:t>
      </w:r>
      <w:proofErr w:type="spellStart"/>
      <w:r w:rsidRPr="00A17123">
        <w:rPr>
          <w:rFonts w:ascii="Times New Roman" w:hAnsi="Times New Roman" w:cs="Times New Roman"/>
          <w:sz w:val="24"/>
          <w:szCs w:val="24"/>
        </w:rPr>
        <w:t>Thudi</w:t>
      </w:r>
      <w:proofErr w:type="spellEnd"/>
      <w:r w:rsidRPr="00A17123">
        <w:rPr>
          <w:rFonts w:ascii="Times New Roman" w:hAnsi="Times New Roman" w:cs="Times New Roman"/>
          <w:sz w:val="24"/>
          <w:szCs w:val="24"/>
        </w:rPr>
        <w:t xml:space="preserve">, M., May, G. D., &amp; Jackson, S. A. (2017). Legume genomics and breeding for climate-resilient agriculture. </w:t>
      </w:r>
      <w:r w:rsidRPr="00A17123">
        <w:rPr>
          <w:rFonts w:ascii="Times New Roman" w:hAnsi="Times New Roman" w:cs="Times New Roman"/>
          <w:i/>
          <w:iCs/>
          <w:sz w:val="24"/>
          <w:szCs w:val="24"/>
        </w:rPr>
        <w:t>Plant Biotechnology Journal, 15</w:t>
      </w:r>
      <w:r w:rsidRPr="00A17123">
        <w:rPr>
          <w:rFonts w:ascii="Times New Roman" w:hAnsi="Times New Roman" w:cs="Times New Roman"/>
          <w:sz w:val="24"/>
          <w:szCs w:val="24"/>
        </w:rPr>
        <w:t xml:space="preserve">, 1–13. </w:t>
      </w:r>
      <w:hyperlink r:id="rId40" w:history="1">
        <w:r w:rsidRPr="00A17123">
          <w:rPr>
            <w:rStyle w:val="Hyperlink"/>
            <w:rFonts w:ascii="Times New Roman" w:hAnsi="Times New Roman" w:cs="Times New Roman"/>
            <w:sz w:val="24"/>
            <w:szCs w:val="24"/>
          </w:rPr>
          <w:t>https://doi.org/10.1111/pbi.12687</w:t>
        </w:r>
      </w:hyperlink>
    </w:p>
    <w:p w14:paraId="755A01E2" w14:textId="77777777" w:rsidR="00A17123" w:rsidRPr="00A17123" w:rsidRDefault="00A17123" w:rsidP="00A17123">
      <w:pPr>
        <w:numPr>
          <w:ilvl w:val="0"/>
          <w:numId w:val="7"/>
        </w:numPr>
        <w:suppressLineNumbers/>
        <w:jc w:val="both"/>
        <w:rPr>
          <w:rFonts w:ascii="Times New Roman" w:hAnsi="Times New Roman" w:cs="Times New Roman"/>
          <w:sz w:val="24"/>
          <w:szCs w:val="24"/>
        </w:rPr>
      </w:pPr>
      <w:r w:rsidRPr="00A17123">
        <w:rPr>
          <w:rFonts w:ascii="Times New Roman" w:hAnsi="Times New Roman" w:cs="Times New Roman"/>
          <w:sz w:val="24"/>
          <w:szCs w:val="24"/>
        </w:rPr>
        <w:t xml:space="preserve">Vessey, J. K. (2003). Plant growth-promoting rhizobacteria as biofertilizers. </w:t>
      </w:r>
      <w:r w:rsidRPr="00A17123">
        <w:rPr>
          <w:rFonts w:ascii="Times New Roman" w:hAnsi="Times New Roman" w:cs="Times New Roman"/>
          <w:i/>
          <w:iCs/>
          <w:sz w:val="24"/>
          <w:szCs w:val="24"/>
        </w:rPr>
        <w:t>Plant and Soil, 255</w:t>
      </w:r>
      <w:r w:rsidRPr="00A17123">
        <w:rPr>
          <w:rFonts w:ascii="Times New Roman" w:hAnsi="Times New Roman" w:cs="Times New Roman"/>
          <w:sz w:val="24"/>
          <w:szCs w:val="24"/>
        </w:rPr>
        <w:t xml:space="preserve">, 571–586. </w:t>
      </w:r>
      <w:hyperlink r:id="rId41" w:history="1">
        <w:r w:rsidRPr="00A17123">
          <w:rPr>
            <w:rStyle w:val="Hyperlink"/>
            <w:rFonts w:ascii="Times New Roman" w:hAnsi="Times New Roman" w:cs="Times New Roman"/>
            <w:sz w:val="24"/>
            <w:szCs w:val="24"/>
          </w:rPr>
          <w:t>https://doi.org/10.1023/A:1026037216893</w:t>
        </w:r>
      </w:hyperlink>
    </w:p>
    <w:p w14:paraId="19074040" w14:textId="77777777" w:rsidR="00A17123" w:rsidRPr="00A17123" w:rsidRDefault="00A17123" w:rsidP="00A17123">
      <w:pPr>
        <w:numPr>
          <w:ilvl w:val="0"/>
          <w:numId w:val="7"/>
        </w:numPr>
        <w:suppressLineNumbers/>
        <w:jc w:val="both"/>
        <w:rPr>
          <w:rFonts w:ascii="Times New Roman" w:hAnsi="Times New Roman" w:cs="Times New Roman"/>
          <w:sz w:val="24"/>
          <w:szCs w:val="24"/>
        </w:rPr>
      </w:pPr>
      <w:r w:rsidRPr="00A17123">
        <w:rPr>
          <w:rFonts w:ascii="Times New Roman" w:hAnsi="Times New Roman" w:cs="Times New Roman"/>
          <w:sz w:val="24"/>
          <w:szCs w:val="24"/>
        </w:rPr>
        <w:t xml:space="preserve">Vorholt, J. A., Vogel, C., </w:t>
      </w:r>
      <w:proofErr w:type="spellStart"/>
      <w:r w:rsidRPr="00A17123">
        <w:rPr>
          <w:rFonts w:ascii="Times New Roman" w:hAnsi="Times New Roman" w:cs="Times New Roman"/>
          <w:sz w:val="24"/>
          <w:szCs w:val="24"/>
        </w:rPr>
        <w:t>Carlström</w:t>
      </w:r>
      <w:proofErr w:type="spellEnd"/>
      <w:r w:rsidRPr="00A17123">
        <w:rPr>
          <w:rFonts w:ascii="Times New Roman" w:hAnsi="Times New Roman" w:cs="Times New Roman"/>
          <w:sz w:val="24"/>
          <w:szCs w:val="24"/>
        </w:rPr>
        <w:t xml:space="preserve">, C. I., &amp; Müller, D. B. (2017). Establishing causality in microbiome research. </w:t>
      </w:r>
      <w:r w:rsidRPr="00A17123">
        <w:rPr>
          <w:rFonts w:ascii="Times New Roman" w:hAnsi="Times New Roman" w:cs="Times New Roman"/>
          <w:i/>
          <w:iCs/>
          <w:sz w:val="24"/>
          <w:szCs w:val="24"/>
        </w:rPr>
        <w:t>Nature Reviews Microbiology, 15</w:t>
      </w:r>
      <w:r w:rsidRPr="00A17123">
        <w:rPr>
          <w:rFonts w:ascii="Times New Roman" w:hAnsi="Times New Roman" w:cs="Times New Roman"/>
          <w:sz w:val="24"/>
          <w:szCs w:val="24"/>
        </w:rPr>
        <w:t xml:space="preserve">, 70–79. </w:t>
      </w:r>
      <w:hyperlink r:id="rId42" w:history="1">
        <w:r w:rsidRPr="00A17123">
          <w:rPr>
            <w:rStyle w:val="Hyperlink"/>
            <w:rFonts w:ascii="Times New Roman" w:hAnsi="Times New Roman" w:cs="Times New Roman"/>
            <w:sz w:val="24"/>
            <w:szCs w:val="24"/>
          </w:rPr>
          <w:t>https://doi.org/10.1038/nrmicro.2016.146</w:t>
        </w:r>
      </w:hyperlink>
    </w:p>
    <w:p w14:paraId="4638A88C" w14:textId="77777777" w:rsidR="00A17123" w:rsidRPr="00A17123" w:rsidRDefault="00A17123" w:rsidP="00A17123">
      <w:pPr>
        <w:numPr>
          <w:ilvl w:val="0"/>
          <w:numId w:val="7"/>
        </w:numPr>
        <w:suppressLineNumbers/>
        <w:jc w:val="both"/>
        <w:rPr>
          <w:rFonts w:ascii="Times New Roman" w:hAnsi="Times New Roman" w:cs="Times New Roman"/>
          <w:sz w:val="24"/>
          <w:szCs w:val="24"/>
        </w:rPr>
      </w:pPr>
      <w:r w:rsidRPr="00A17123">
        <w:rPr>
          <w:rFonts w:ascii="Times New Roman" w:hAnsi="Times New Roman" w:cs="Times New Roman"/>
          <w:sz w:val="24"/>
          <w:szCs w:val="24"/>
        </w:rPr>
        <w:t xml:space="preserve">Wang, Q., Liu, Y., &amp; Yuan, S. (2022). CRISPR/Cas-mediated gene editing in legumes for enhanced nitrogen fixation and stress tolerance. </w:t>
      </w:r>
      <w:r w:rsidRPr="00A17123">
        <w:rPr>
          <w:rFonts w:ascii="Times New Roman" w:hAnsi="Times New Roman" w:cs="Times New Roman"/>
          <w:i/>
          <w:iCs/>
          <w:sz w:val="24"/>
          <w:szCs w:val="24"/>
        </w:rPr>
        <w:t>Frontiers in Plant Science, 13</w:t>
      </w:r>
      <w:r w:rsidRPr="00A17123">
        <w:rPr>
          <w:rFonts w:ascii="Times New Roman" w:hAnsi="Times New Roman" w:cs="Times New Roman"/>
          <w:sz w:val="24"/>
          <w:szCs w:val="24"/>
        </w:rPr>
        <w:t xml:space="preserve">, 841254. </w:t>
      </w:r>
      <w:hyperlink r:id="rId43" w:history="1">
        <w:r w:rsidRPr="00A17123">
          <w:rPr>
            <w:rStyle w:val="Hyperlink"/>
            <w:rFonts w:ascii="Times New Roman" w:hAnsi="Times New Roman" w:cs="Times New Roman"/>
            <w:sz w:val="24"/>
            <w:szCs w:val="24"/>
          </w:rPr>
          <w:t>https://doi.org/10.3389/fpls.2022.841254</w:t>
        </w:r>
      </w:hyperlink>
    </w:p>
    <w:p w14:paraId="06A6DFC6" w14:textId="77777777" w:rsidR="00A17123" w:rsidRPr="00A17123" w:rsidRDefault="00A17123" w:rsidP="00A17123">
      <w:pPr>
        <w:numPr>
          <w:ilvl w:val="0"/>
          <w:numId w:val="7"/>
        </w:numPr>
        <w:suppressLineNumbers/>
        <w:jc w:val="both"/>
        <w:rPr>
          <w:rFonts w:ascii="Times New Roman" w:hAnsi="Times New Roman" w:cs="Times New Roman"/>
          <w:sz w:val="24"/>
          <w:szCs w:val="24"/>
        </w:rPr>
      </w:pPr>
      <w:r w:rsidRPr="00A17123">
        <w:rPr>
          <w:rFonts w:ascii="Times New Roman" w:hAnsi="Times New Roman" w:cs="Times New Roman"/>
          <w:sz w:val="24"/>
          <w:szCs w:val="24"/>
        </w:rPr>
        <w:lastRenderedPageBreak/>
        <w:t xml:space="preserve">White, P. J., George, T. S., Gregory, P. J., Bengough, A. G., Hallett, P. D., &amp; McKenzie, B. M. (2019). Root traits for sustainable crop production. </w:t>
      </w:r>
      <w:r w:rsidRPr="00A17123">
        <w:rPr>
          <w:rFonts w:ascii="Times New Roman" w:hAnsi="Times New Roman" w:cs="Times New Roman"/>
          <w:i/>
          <w:iCs/>
          <w:sz w:val="24"/>
          <w:szCs w:val="24"/>
        </w:rPr>
        <w:t>Plant and Soil, 428</w:t>
      </w:r>
      <w:r w:rsidRPr="00A17123">
        <w:rPr>
          <w:rFonts w:ascii="Times New Roman" w:hAnsi="Times New Roman" w:cs="Times New Roman"/>
          <w:sz w:val="24"/>
          <w:szCs w:val="24"/>
        </w:rPr>
        <w:t xml:space="preserve">, 1–18. </w:t>
      </w:r>
      <w:hyperlink r:id="rId44" w:history="1">
        <w:r w:rsidRPr="00A17123">
          <w:rPr>
            <w:rStyle w:val="Hyperlink"/>
            <w:rFonts w:ascii="Times New Roman" w:hAnsi="Times New Roman" w:cs="Times New Roman"/>
            <w:sz w:val="24"/>
            <w:szCs w:val="24"/>
          </w:rPr>
          <w:t>https://doi.org/10.1007/s11104-018-3720-8</w:t>
        </w:r>
      </w:hyperlink>
    </w:p>
    <w:p w14:paraId="4AE36B65" w14:textId="77777777" w:rsidR="00A17123" w:rsidRPr="00A17123" w:rsidRDefault="00A17123" w:rsidP="00A17123">
      <w:pPr>
        <w:numPr>
          <w:ilvl w:val="0"/>
          <w:numId w:val="7"/>
        </w:numPr>
        <w:suppressLineNumbers/>
        <w:jc w:val="both"/>
        <w:rPr>
          <w:rFonts w:ascii="Times New Roman" w:hAnsi="Times New Roman" w:cs="Times New Roman"/>
          <w:sz w:val="24"/>
          <w:szCs w:val="24"/>
        </w:rPr>
      </w:pPr>
      <w:r w:rsidRPr="00A17123">
        <w:rPr>
          <w:rFonts w:ascii="Times New Roman" w:hAnsi="Times New Roman" w:cs="Times New Roman"/>
          <w:sz w:val="24"/>
          <w:szCs w:val="24"/>
        </w:rPr>
        <w:t xml:space="preserve">Zahran, H. H. (1999). Rhizobium–legume symbiosis under stress conditions. </w:t>
      </w:r>
      <w:r w:rsidRPr="00A17123">
        <w:rPr>
          <w:rFonts w:ascii="Times New Roman" w:hAnsi="Times New Roman" w:cs="Times New Roman"/>
          <w:i/>
          <w:iCs/>
          <w:sz w:val="24"/>
          <w:szCs w:val="24"/>
        </w:rPr>
        <w:t>Microbiology and Molecular Biology Reviews, 63</w:t>
      </w:r>
      <w:r w:rsidRPr="00A17123">
        <w:rPr>
          <w:rFonts w:ascii="Times New Roman" w:hAnsi="Times New Roman" w:cs="Times New Roman"/>
          <w:sz w:val="24"/>
          <w:szCs w:val="24"/>
        </w:rPr>
        <w:t>, 968–989.</w:t>
      </w:r>
    </w:p>
    <w:p w14:paraId="119BF1F0" w14:textId="77777777" w:rsidR="00A17123" w:rsidRPr="00A17123" w:rsidRDefault="00A17123" w:rsidP="00A17123">
      <w:pPr>
        <w:numPr>
          <w:ilvl w:val="0"/>
          <w:numId w:val="7"/>
        </w:numPr>
        <w:suppressLineNumbers/>
        <w:jc w:val="both"/>
        <w:rPr>
          <w:rFonts w:ascii="Times New Roman" w:hAnsi="Times New Roman" w:cs="Times New Roman"/>
          <w:sz w:val="24"/>
          <w:szCs w:val="24"/>
        </w:rPr>
      </w:pPr>
      <w:r w:rsidRPr="00A17123">
        <w:rPr>
          <w:rFonts w:ascii="Times New Roman" w:hAnsi="Times New Roman" w:cs="Times New Roman"/>
          <w:sz w:val="24"/>
          <w:szCs w:val="24"/>
        </w:rPr>
        <w:t xml:space="preserve">Zhang, X., Davidson, E. A., </w:t>
      </w:r>
      <w:proofErr w:type="spellStart"/>
      <w:r w:rsidRPr="00A17123">
        <w:rPr>
          <w:rFonts w:ascii="Times New Roman" w:hAnsi="Times New Roman" w:cs="Times New Roman"/>
          <w:sz w:val="24"/>
          <w:szCs w:val="24"/>
        </w:rPr>
        <w:t>Mauzerall</w:t>
      </w:r>
      <w:proofErr w:type="spellEnd"/>
      <w:r w:rsidRPr="00A17123">
        <w:rPr>
          <w:rFonts w:ascii="Times New Roman" w:hAnsi="Times New Roman" w:cs="Times New Roman"/>
          <w:sz w:val="24"/>
          <w:szCs w:val="24"/>
        </w:rPr>
        <w:t xml:space="preserve">, D. L., </w:t>
      </w:r>
      <w:proofErr w:type="spellStart"/>
      <w:r w:rsidRPr="00A17123">
        <w:rPr>
          <w:rFonts w:ascii="Times New Roman" w:hAnsi="Times New Roman" w:cs="Times New Roman"/>
          <w:sz w:val="24"/>
          <w:szCs w:val="24"/>
        </w:rPr>
        <w:t>Searchinger</w:t>
      </w:r>
      <w:proofErr w:type="spellEnd"/>
      <w:r w:rsidRPr="00A17123">
        <w:rPr>
          <w:rFonts w:ascii="Times New Roman" w:hAnsi="Times New Roman" w:cs="Times New Roman"/>
          <w:sz w:val="24"/>
          <w:szCs w:val="24"/>
        </w:rPr>
        <w:t xml:space="preserve">, T. D., Dumas, P., &amp; Shen, Y. (2021). Managing nitrogen for sustainable development and agricultural resilience. </w:t>
      </w:r>
      <w:r w:rsidRPr="00A17123">
        <w:rPr>
          <w:rFonts w:ascii="Times New Roman" w:hAnsi="Times New Roman" w:cs="Times New Roman"/>
          <w:i/>
          <w:iCs/>
          <w:sz w:val="24"/>
          <w:szCs w:val="24"/>
        </w:rPr>
        <w:t>Nature, 528</w:t>
      </w:r>
      <w:r w:rsidRPr="00A17123">
        <w:rPr>
          <w:rFonts w:ascii="Times New Roman" w:hAnsi="Times New Roman" w:cs="Times New Roman"/>
          <w:sz w:val="24"/>
          <w:szCs w:val="24"/>
        </w:rPr>
        <w:t xml:space="preserve">, 51–59. </w:t>
      </w:r>
      <w:hyperlink r:id="rId45" w:history="1">
        <w:r w:rsidRPr="00A17123">
          <w:rPr>
            <w:rStyle w:val="Hyperlink"/>
            <w:rFonts w:ascii="Times New Roman" w:hAnsi="Times New Roman" w:cs="Times New Roman"/>
            <w:sz w:val="24"/>
            <w:szCs w:val="24"/>
          </w:rPr>
          <w:t>https://doi.org/10.1038/nature15743</w:t>
        </w:r>
      </w:hyperlink>
    </w:p>
    <w:p w14:paraId="65E30971" w14:textId="77777777" w:rsidR="00EB2759" w:rsidRPr="00347017" w:rsidRDefault="00EB2759" w:rsidP="006A6CAF">
      <w:pPr>
        <w:suppressLineNumbers/>
        <w:jc w:val="both"/>
        <w:rPr>
          <w:rFonts w:ascii="Times New Roman" w:hAnsi="Times New Roman" w:cs="Times New Roman"/>
          <w:b/>
          <w:bCs/>
          <w:sz w:val="24"/>
          <w:szCs w:val="24"/>
        </w:rPr>
      </w:pPr>
    </w:p>
    <w:p w14:paraId="395D5E8A" w14:textId="77777777" w:rsidR="00EB2759" w:rsidRPr="00347017" w:rsidRDefault="00EB2759" w:rsidP="006A6CAF">
      <w:pPr>
        <w:suppressLineNumbers/>
        <w:jc w:val="both"/>
        <w:rPr>
          <w:rFonts w:ascii="Times New Roman" w:hAnsi="Times New Roman" w:cs="Times New Roman"/>
          <w:b/>
          <w:bCs/>
          <w:sz w:val="24"/>
          <w:szCs w:val="24"/>
        </w:rPr>
      </w:pPr>
    </w:p>
    <w:p w14:paraId="074AC73C" w14:textId="77777777" w:rsidR="00EB2759" w:rsidRPr="00347017" w:rsidRDefault="00EB2759" w:rsidP="006A6CAF">
      <w:pPr>
        <w:suppressLineNumbers/>
        <w:jc w:val="both"/>
        <w:rPr>
          <w:rFonts w:ascii="Times New Roman" w:hAnsi="Times New Roman" w:cs="Times New Roman"/>
          <w:b/>
          <w:bCs/>
          <w:sz w:val="24"/>
          <w:szCs w:val="24"/>
        </w:rPr>
      </w:pPr>
    </w:p>
    <w:p w14:paraId="0FAF5453" w14:textId="77777777" w:rsidR="00EB2759" w:rsidRPr="00347017" w:rsidRDefault="00EB2759" w:rsidP="006A6CAF">
      <w:pPr>
        <w:suppressLineNumbers/>
        <w:jc w:val="both"/>
        <w:rPr>
          <w:rFonts w:ascii="Times New Roman" w:hAnsi="Times New Roman" w:cs="Times New Roman"/>
          <w:b/>
          <w:bCs/>
          <w:sz w:val="24"/>
          <w:szCs w:val="24"/>
        </w:rPr>
      </w:pPr>
    </w:p>
    <w:p w14:paraId="1BC6C16E" w14:textId="77777777" w:rsidR="00EB2759" w:rsidRPr="00347017" w:rsidRDefault="00EB2759" w:rsidP="006A6CAF">
      <w:pPr>
        <w:suppressLineNumbers/>
        <w:jc w:val="both"/>
        <w:rPr>
          <w:rFonts w:ascii="Times New Roman" w:hAnsi="Times New Roman" w:cs="Times New Roman"/>
          <w:b/>
          <w:bCs/>
          <w:sz w:val="24"/>
          <w:szCs w:val="24"/>
        </w:rPr>
      </w:pPr>
    </w:p>
    <w:p w14:paraId="574CF30D" w14:textId="77777777" w:rsidR="00EB2759" w:rsidRPr="00347017" w:rsidRDefault="00EB2759" w:rsidP="006A6CAF">
      <w:pPr>
        <w:suppressLineNumbers/>
        <w:jc w:val="both"/>
        <w:rPr>
          <w:rFonts w:ascii="Times New Roman" w:hAnsi="Times New Roman" w:cs="Times New Roman"/>
          <w:b/>
          <w:bCs/>
          <w:sz w:val="24"/>
          <w:szCs w:val="24"/>
        </w:rPr>
      </w:pPr>
    </w:p>
    <w:p w14:paraId="4D6AC124" w14:textId="77777777" w:rsidR="00EB2759" w:rsidRPr="00347017" w:rsidRDefault="00EB2759" w:rsidP="006A6CAF">
      <w:pPr>
        <w:suppressLineNumbers/>
        <w:jc w:val="both"/>
        <w:rPr>
          <w:rFonts w:ascii="Times New Roman" w:hAnsi="Times New Roman" w:cs="Times New Roman"/>
          <w:b/>
          <w:bCs/>
          <w:sz w:val="24"/>
          <w:szCs w:val="24"/>
        </w:rPr>
      </w:pPr>
    </w:p>
    <w:p w14:paraId="419D5227" w14:textId="77777777" w:rsidR="00EB2759" w:rsidRPr="00347017" w:rsidRDefault="00EB2759" w:rsidP="006A6CAF">
      <w:pPr>
        <w:suppressLineNumbers/>
        <w:jc w:val="both"/>
        <w:rPr>
          <w:rFonts w:ascii="Times New Roman" w:hAnsi="Times New Roman" w:cs="Times New Roman"/>
          <w:b/>
          <w:bCs/>
          <w:sz w:val="24"/>
          <w:szCs w:val="24"/>
        </w:rPr>
      </w:pPr>
    </w:p>
    <w:p w14:paraId="0C876A9B" w14:textId="77777777" w:rsidR="00EB2759" w:rsidRPr="00347017" w:rsidRDefault="00EB2759" w:rsidP="006A6CAF">
      <w:pPr>
        <w:suppressLineNumbers/>
        <w:jc w:val="both"/>
        <w:rPr>
          <w:rFonts w:ascii="Times New Roman" w:hAnsi="Times New Roman" w:cs="Times New Roman"/>
          <w:b/>
          <w:bCs/>
          <w:sz w:val="24"/>
          <w:szCs w:val="24"/>
        </w:rPr>
      </w:pPr>
    </w:p>
    <w:p w14:paraId="30763527" w14:textId="77777777" w:rsidR="00EB2759" w:rsidRPr="00347017" w:rsidRDefault="00EB2759" w:rsidP="006A6CAF">
      <w:pPr>
        <w:suppressLineNumbers/>
        <w:jc w:val="both"/>
        <w:rPr>
          <w:rFonts w:ascii="Times New Roman" w:hAnsi="Times New Roman" w:cs="Times New Roman"/>
          <w:b/>
          <w:bCs/>
          <w:sz w:val="24"/>
          <w:szCs w:val="24"/>
        </w:rPr>
      </w:pPr>
    </w:p>
    <w:p w14:paraId="11462728" w14:textId="77777777" w:rsidR="00EB2759" w:rsidRPr="00347017" w:rsidRDefault="00EB2759" w:rsidP="006A6CAF">
      <w:pPr>
        <w:suppressLineNumbers/>
        <w:jc w:val="both"/>
        <w:rPr>
          <w:rFonts w:ascii="Times New Roman" w:hAnsi="Times New Roman" w:cs="Times New Roman"/>
          <w:b/>
          <w:bCs/>
          <w:sz w:val="24"/>
          <w:szCs w:val="24"/>
        </w:rPr>
      </w:pPr>
    </w:p>
    <w:p w14:paraId="2B48C5B8" w14:textId="77777777" w:rsidR="00EB2759" w:rsidRPr="00347017" w:rsidRDefault="00EB2759" w:rsidP="006A6CAF">
      <w:pPr>
        <w:suppressLineNumbers/>
        <w:jc w:val="both"/>
        <w:rPr>
          <w:rFonts w:ascii="Times New Roman" w:hAnsi="Times New Roman" w:cs="Times New Roman"/>
          <w:b/>
          <w:bCs/>
          <w:sz w:val="24"/>
          <w:szCs w:val="24"/>
        </w:rPr>
      </w:pPr>
    </w:p>
    <w:p w14:paraId="27192F47" w14:textId="77777777" w:rsidR="00EB2759" w:rsidRPr="00347017" w:rsidRDefault="00EB2759" w:rsidP="006A6CAF">
      <w:pPr>
        <w:suppressLineNumbers/>
        <w:jc w:val="both"/>
        <w:rPr>
          <w:rFonts w:ascii="Times New Roman" w:hAnsi="Times New Roman" w:cs="Times New Roman"/>
          <w:b/>
          <w:bCs/>
          <w:sz w:val="24"/>
          <w:szCs w:val="24"/>
        </w:rPr>
      </w:pPr>
    </w:p>
    <w:p w14:paraId="7AFEC026" w14:textId="77777777" w:rsidR="00347017" w:rsidRPr="00347017" w:rsidRDefault="00347017" w:rsidP="006A6CAF">
      <w:pPr>
        <w:suppressLineNumbers/>
        <w:jc w:val="both"/>
        <w:rPr>
          <w:rFonts w:ascii="Times New Roman" w:hAnsi="Times New Roman" w:cs="Times New Roman"/>
          <w:b/>
          <w:bCs/>
          <w:sz w:val="24"/>
          <w:szCs w:val="24"/>
        </w:rPr>
      </w:pPr>
    </w:p>
    <w:p w14:paraId="0270D249" w14:textId="77777777" w:rsidR="00A17123" w:rsidRDefault="00A17123" w:rsidP="006A6CAF">
      <w:pPr>
        <w:suppressLineNumbers/>
        <w:jc w:val="both"/>
        <w:rPr>
          <w:rFonts w:ascii="Times New Roman" w:hAnsi="Times New Roman" w:cs="Times New Roman"/>
          <w:b/>
          <w:bCs/>
          <w:sz w:val="24"/>
          <w:szCs w:val="24"/>
        </w:rPr>
      </w:pPr>
    </w:p>
    <w:p w14:paraId="561EDDE4" w14:textId="77777777" w:rsidR="00A17123" w:rsidRDefault="00A17123" w:rsidP="006A6CAF">
      <w:pPr>
        <w:suppressLineNumbers/>
        <w:jc w:val="both"/>
        <w:rPr>
          <w:rFonts w:ascii="Times New Roman" w:hAnsi="Times New Roman" w:cs="Times New Roman"/>
          <w:b/>
          <w:bCs/>
          <w:sz w:val="24"/>
          <w:szCs w:val="24"/>
        </w:rPr>
      </w:pPr>
    </w:p>
    <w:p w14:paraId="421A5511" w14:textId="77777777" w:rsidR="00A17123" w:rsidRDefault="00A17123" w:rsidP="006A6CAF">
      <w:pPr>
        <w:suppressLineNumbers/>
        <w:jc w:val="both"/>
        <w:rPr>
          <w:rFonts w:ascii="Times New Roman" w:hAnsi="Times New Roman" w:cs="Times New Roman"/>
          <w:b/>
          <w:bCs/>
          <w:sz w:val="24"/>
          <w:szCs w:val="24"/>
        </w:rPr>
      </w:pPr>
    </w:p>
    <w:p w14:paraId="7AE6B9BE" w14:textId="77777777" w:rsidR="00A17123" w:rsidRDefault="00A17123" w:rsidP="006A6CAF">
      <w:pPr>
        <w:suppressLineNumbers/>
        <w:jc w:val="both"/>
        <w:rPr>
          <w:rFonts w:ascii="Times New Roman" w:hAnsi="Times New Roman" w:cs="Times New Roman"/>
          <w:b/>
          <w:bCs/>
          <w:sz w:val="24"/>
          <w:szCs w:val="24"/>
        </w:rPr>
      </w:pPr>
    </w:p>
    <w:p w14:paraId="7DD2F913" w14:textId="77777777" w:rsidR="00A17123" w:rsidRDefault="00A17123" w:rsidP="006A6CAF">
      <w:pPr>
        <w:suppressLineNumbers/>
        <w:jc w:val="both"/>
        <w:rPr>
          <w:rFonts w:ascii="Times New Roman" w:hAnsi="Times New Roman" w:cs="Times New Roman"/>
          <w:b/>
          <w:bCs/>
          <w:sz w:val="24"/>
          <w:szCs w:val="24"/>
        </w:rPr>
      </w:pPr>
    </w:p>
    <w:p w14:paraId="19F9C7C2" w14:textId="77777777" w:rsidR="00A17123" w:rsidRDefault="00A17123" w:rsidP="006A6CAF">
      <w:pPr>
        <w:suppressLineNumbers/>
        <w:jc w:val="both"/>
        <w:rPr>
          <w:rFonts w:ascii="Times New Roman" w:hAnsi="Times New Roman" w:cs="Times New Roman"/>
          <w:b/>
          <w:bCs/>
          <w:sz w:val="24"/>
          <w:szCs w:val="24"/>
        </w:rPr>
      </w:pPr>
    </w:p>
    <w:p w14:paraId="773BDD6A" w14:textId="77777777" w:rsidR="00A17123" w:rsidRDefault="00A17123" w:rsidP="006A6CAF">
      <w:pPr>
        <w:suppressLineNumbers/>
        <w:jc w:val="both"/>
        <w:rPr>
          <w:rFonts w:ascii="Times New Roman" w:hAnsi="Times New Roman" w:cs="Times New Roman"/>
          <w:b/>
          <w:bCs/>
          <w:sz w:val="24"/>
          <w:szCs w:val="24"/>
        </w:rPr>
      </w:pPr>
    </w:p>
    <w:p w14:paraId="71A95372" w14:textId="77777777" w:rsidR="00A17123" w:rsidRDefault="00A17123" w:rsidP="006A6CAF">
      <w:pPr>
        <w:suppressLineNumbers/>
        <w:jc w:val="both"/>
        <w:rPr>
          <w:rFonts w:ascii="Times New Roman" w:hAnsi="Times New Roman" w:cs="Times New Roman"/>
          <w:b/>
          <w:bCs/>
          <w:sz w:val="24"/>
          <w:szCs w:val="24"/>
        </w:rPr>
      </w:pPr>
    </w:p>
    <w:p w14:paraId="16418F90" w14:textId="77777777" w:rsidR="00A17123" w:rsidRDefault="00A17123" w:rsidP="006A6CAF">
      <w:pPr>
        <w:suppressLineNumbers/>
        <w:jc w:val="both"/>
        <w:rPr>
          <w:rFonts w:ascii="Times New Roman" w:hAnsi="Times New Roman" w:cs="Times New Roman"/>
          <w:b/>
          <w:bCs/>
          <w:sz w:val="24"/>
          <w:szCs w:val="24"/>
        </w:rPr>
      </w:pPr>
    </w:p>
    <w:p w14:paraId="214BA57E" w14:textId="77777777" w:rsidR="00A17123" w:rsidRDefault="00A17123" w:rsidP="006A6CAF">
      <w:pPr>
        <w:suppressLineNumbers/>
        <w:jc w:val="both"/>
        <w:rPr>
          <w:rFonts w:ascii="Times New Roman" w:hAnsi="Times New Roman" w:cs="Times New Roman"/>
          <w:b/>
          <w:bCs/>
          <w:sz w:val="24"/>
          <w:szCs w:val="24"/>
        </w:rPr>
      </w:pPr>
    </w:p>
    <w:p w14:paraId="4078392D" w14:textId="77777777" w:rsidR="00A17123" w:rsidRDefault="00A17123" w:rsidP="006A6CAF">
      <w:pPr>
        <w:suppressLineNumbers/>
        <w:jc w:val="both"/>
        <w:rPr>
          <w:rFonts w:ascii="Times New Roman" w:hAnsi="Times New Roman" w:cs="Times New Roman"/>
          <w:b/>
          <w:bCs/>
          <w:sz w:val="24"/>
          <w:szCs w:val="24"/>
        </w:rPr>
      </w:pPr>
    </w:p>
    <w:p w14:paraId="43764CF8" w14:textId="77777777" w:rsidR="00A17123" w:rsidRDefault="00A17123" w:rsidP="006A6CAF">
      <w:pPr>
        <w:suppressLineNumbers/>
        <w:jc w:val="both"/>
        <w:rPr>
          <w:rFonts w:ascii="Times New Roman" w:hAnsi="Times New Roman" w:cs="Times New Roman"/>
          <w:b/>
          <w:bCs/>
          <w:sz w:val="24"/>
          <w:szCs w:val="24"/>
        </w:rPr>
      </w:pPr>
    </w:p>
    <w:p w14:paraId="4035B2F4" w14:textId="2D30C806" w:rsidR="007F6049" w:rsidRPr="00347017" w:rsidRDefault="001C255B" w:rsidP="006A6CAF">
      <w:pPr>
        <w:suppressLineNumbers/>
        <w:jc w:val="both"/>
        <w:rPr>
          <w:rFonts w:ascii="Times New Roman" w:hAnsi="Times New Roman" w:cs="Times New Roman"/>
          <w:sz w:val="24"/>
          <w:szCs w:val="24"/>
        </w:rPr>
      </w:pPr>
      <w:r w:rsidRPr="00347017">
        <w:rPr>
          <w:rFonts w:ascii="Times New Roman" w:hAnsi="Times New Roman" w:cs="Times New Roman"/>
          <w:b/>
          <w:bCs/>
          <w:sz w:val="24"/>
          <w:szCs w:val="24"/>
        </w:rPr>
        <w:t>Table 1. Comparative overview of natural vs precision-enhanced biological nitrogen fixation</w:t>
      </w:r>
    </w:p>
    <w:tbl>
      <w:tblPr>
        <w:tblW w:w="9923" w:type="dxa"/>
        <w:tblCellSpacing w:w="15" w:type="dxa"/>
        <w:tblInd w:w="-5" w:type="dxa"/>
        <w:tblCellMar>
          <w:top w:w="15" w:type="dxa"/>
          <w:left w:w="15" w:type="dxa"/>
          <w:bottom w:w="15" w:type="dxa"/>
          <w:right w:w="15" w:type="dxa"/>
        </w:tblCellMar>
        <w:tblLook w:val="04A0" w:firstRow="1" w:lastRow="0" w:firstColumn="1" w:lastColumn="0" w:noHBand="0" w:noVBand="1"/>
      </w:tblPr>
      <w:tblGrid>
        <w:gridCol w:w="709"/>
        <w:gridCol w:w="3121"/>
        <w:gridCol w:w="2897"/>
        <w:gridCol w:w="3196"/>
      </w:tblGrid>
      <w:tr w:rsidR="00FD4083" w:rsidRPr="00347017" w14:paraId="76218D69" w14:textId="77777777" w:rsidTr="00FD4083">
        <w:trPr>
          <w:tblHeader/>
          <w:tblCellSpacing w:w="15" w:type="dxa"/>
        </w:trPr>
        <w:tc>
          <w:tcPr>
            <w:tcW w:w="664" w:type="dxa"/>
            <w:tcBorders>
              <w:top w:val="single" w:sz="4" w:space="0" w:color="auto"/>
              <w:left w:val="single" w:sz="4" w:space="0" w:color="auto"/>
              <w:bottom w:val="single" w:sz="4" w:space="0" w:color="auto"/>
            </w:tcBorders>
          </w:tcPr>
          <w:p w14:paraId="16DF94B4" w14:textId="0C7136C4" w:rsidR="00FD4083" w:rsidRPr="00347017" w:rsidRDefault="00FD4083" w:rsidP="00FD4083">
            <w:pPr>
              <w:suppressLineNumbers/>
              <w:jc w:val="both"/>
              <w:rPr>
                <w:rFonts w:ascii="Times New Roman" w:hAnsi="Times New Roman" w:cs="Times New Roman"/>
                <w:b/>
                <w:bCs/>
                <w:sz w:val="24"/>
                <w:szCs w:val="24"/>
              </w:rPr>
            </w:pPr>
            <w:r w:rsidRPr="00347017">
              <w:rPr>
                <w:rFonts w:ascii="Times New Roman" w:hAnsi="Times New Roman" w:cs="Times New Roman"/>
                <w:b/>
                <w:bCs/>
                <w:sz w:val="24"/>
                <w:szCs w:val="24"/>
              </w:rPr>
              <w:t>S.NO.</w:t>
            </w:r>
          </w:p>
        </w:tc>
        <w:tc>
          <w:tcPr>
            <w:tcW w:w="3091" w:type="dxa"/>
            <w:tcBorders>
              <w:top w:val="single" w:sz="4" w:space="0" w:color="auto"/>
              <w:left w:val="single" w:sz="4" w:space="0" w:color="auto"/>
              <w:bottom w:val="single" w:sz="4" w:space="0" w:color="auto"/>
            </w:tcBorders>
            <w:vAlign w:val="center"/>
          </w:tcPr>
          <w:p w14:paraId="671F09EA" w14:textId="42F046F9" w:rsidR="00FD4083" w:rsidRPr="00347017" w:rsidRDefault="00FD4083" w:rsidP="00FD4083">
            <w:pPr>
              <w:suppressLineNumbers/>
              <w:jc w:val="both"/>
              <w:rPr>
                <w:rFonts w:ascii="Times New Roman" w:hAnsi="Times New Roman" w:cs="Times New Roman"/>
                <w:b/>
                <w:bCs/>
                <w:sz w:val="24"/>
                <w:szCs w:val="24"/>
              </w:rPr>
            </w:pPr>
            <w:r w:rsidRPr="00347017">
              <w:rPr>
                <w:rFonts w:ascii="Times New Roman" w:hAnsi="Times New Roman" w:cs="Times New Roman"/>
                <w:b/>
                <w:bCs/>
                <w:sz w:val="24"/>
                <w:szCs w:val="24"/>
              </w:rPr>
              <w:t>Parameter</w:t>
            </w:r>
          </w:p>
        </w:tc>
        <w:tc>
          <w:tcPr>
            <w:tcW w:w="0" w:type="auto"/>
            <w:tcBorders>
              <w:top w:val="single" w:sz="4" w:space="0" w:color="auto"/>
              <w:left w:val="single" w:sz="4" w:space="0" w:color="auto"/>
              <w:bottom w:val="single" w:sz="4" w:space="0" w:color="auto"/>
            </w:tcBorders>
            <w:vAlign w:val="center"/>
          </w:tcPr>
          <w:p w14:paraId="2CCC3698" w14:textId="77777777" w:rsidR="00FD4083" w:rsidRPr="00347017" w:rsidRDefault="00FD4083" w:rsidP="00FD4083">
            <w:pPr>
              <w:suppressLineNumbers/>
              <w:jc w:val="both"/>
              <w:rPr>
                <w:rFonts w:ascii="Times New Roman" w:hAnsi="Times New Roman" w:cs="Times New Roman"/>
                <w:b/>
                <w:bCs/>
                <w:sz w:val="24"/>
                <w:szCs w:val="24"/>
              </w:rPr>
            </w:pPr>
            <w:r w:rsidRPr="00347017">
              <w:rPr>
                <w:rFonts w:ascii="Times New Roman" w:hAnsi="Times New Roman" w:cs="Times New Roman"/>
                <w:b/>
                <w:bCs/>
                <w:sz w:val="24"/>
                <w:szCs w:val="24"/>
              </w:rPr>
              <w:t>Natural BNF</w:t>
            </w:r>
          </w:p>
        </w:tc>
        <w:tc>
          <w:tcPr>
            <w:tcW w:w="3151" w:type="dxa"/>
            <w:tcBorders>
              <w:top w:val="single" w:sz="4" w:space="0" w:color="auto"/>
              <w:left w:val="single" w:sz="4" w:space="0" w:color="auto"/>
              <w:bottom w:val="single" w:sz="4" w:space="0" w:color="auto"/>
              <w:right w:val="single" w:sz="4" w:space="0" w:color="auto"/>
            </w:tcBorders>
            <w:vAlign w:val="center"/>
          </w:tcPr>
          <w:p w14:paraId="31571DDE" w14:textId="77777777" w:rsidR="00FD4083" w:rsidRPr="00347017" w:rsidRDefault="00FD4083" w:rsidP="00FD4083">
            <w:pPr>
              <w:suppressLineNumbers/>
              <w:jc w:val="both"/>
              <w:rPr>
                <w:rFonts w:ascii="Times New Roman" w:hAnsi="Times New Roman" w:cs="Times New Roman"/>
                <w:b/>
                <w:bCs/>
                <w:sz w:val="24"/>
                <w:szCs w:val="24"/>
              </w:rPr>
            </w:pPr>
            <w:r w:rsidRPr="00347017">
              <w:rPr>
                <w:rFonts w:ascii="Times New Roman" w:hAnsi="Times New Roman" w:cs="Times New Roman"/>
                <w:b/>
                <w:bCs/>
                <w:sz w:val="24"/>
                <w:szCs w:val="24"/>
              </w:rPr>
              <w:t>Precision-Enhanced BNF</w:t>
            </w:r>
          </w:p>
        </w:tc>
      </w:tr>
      <w:tr w:rsidR="00FD4083" w:rsidRPr="00347017" w14:paraId="5C397481" w14:textId="77777777" w:rsidTr="00FD4083">
        <w:trPr>
          <w:tblCellSpacing w:w="15" w:type="dxa"/>
        </w:trPr>
        <w:tc>
          <w:tcPr>
            <w:tcW w:w="664" w:type="dxa"/>
            <w:tcBorders>
              <w:left w:val="single" w:sz="4" w:space="0" w:color="auto"/>
              <w:bottom w:val="single" w:sz="4" w:space="0" w:color="auto"/>
            </w:tcBorders>
          </w:tcPr>
          <w:p w14:paraId="4E5361CB" w14:textId="6E4EBA6B"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1</w:t>
            </w:r>
          </w:p>
        </w:tc>
        <w:tc>
          <w:tcPr>
            <w:tcW w:w="3091" w:type="dxa"/>
            <w:tcBorders>
              <w:left w:val="single" w:sz="4" w:space="0" w:color="auto"/>
              <w:bottom w:val="single" w:sz="4" w:space="0" w:color="auto"/>
            </w:tcBorders>
            <w:vAlign w:val="center"/>
          </w:tcPr>
          <w:p w14:paraId="003AE517" w14:textId="1A58737E"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Nitrogen fixation efficiency</w:t>
            </w:r>
          </w:p>
        </w:tc>
        <w:tc>
          <w:tcPr>
            <w:tcW w:w="0" w:type="auto"/>
            <w:tcBorders>
              <w:left w:val="single" w:sz="4" w:space="0" w:color="auto"/>
              <w:bottom w:val="single" w:sz="4" w:space="0" w:color="auto"/>
            </w:tcBorders>
            <w:vAlign w:val="center"/>
          </w:tcPr>
          <w:p w14:paraId="6E736537" w14:textId="77777777"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Moderate and variable</w:t>
            </w:r>
          </w:p>
        </w:tc>
        <w:tc>
          <w:tcPr>
            <w:tcW w:w="3151" w:type="dxa"/>
            <w:tcBorders>
              <w:left w:val="single" w:sz="4" w:space="0" w:color="auto"/>
              <w:bottom w:val="single" w:sz="4" w:space="0" w:color="auto"/>
              <w:right w:val="single" w:sz="4" w:space="0" w:color="auto"/>
            </w:tcBorders>
            <w:vAlign w:val="center"/>
          </w:tcPr>
          <w:p w14:paraId="5BFEE238" w14:textId="77777777"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High and optimized</w:t>
            </w:r>
          </w:p>
        </w:tc>
      </w:tr>
      <w:tr w:rsidR="00FD4083" w:rsidRPr="00347017" w14:paraId="4C7E378D" w14:textId="77777777" w:rsidTr="00FD4083">
        <w:trPr>
          <w:tblCellSpacing w:w="15" w:type="dxa"/>
        </w:trPr>
        <w:tc>
          <w:tcPr>
            <w:tcW w:w="664" w:type="dxa"/>
            <w:tcBorders>
              <w:left w:val="single" w:sz="4" w:space="0" w:color="auto"/>
            </w:tcBorders>
          </w:tcPr>
          <w:p w14:paraId="547DD708" w14:textId="5D528412"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2</w:t>
            </w:r>
          </w:p>
        </w:tc>
        <w:tc>
          <w:tcPr>
            <w:tcW w:w="3091" w:type="dxa"/>
            <w:tcBorders>
              <w:left w:val="single" w:sz="4" w:space="0" w:color="auto"/>
            </w:tcBorders>
            <w:vAlign w:val="center"/>
          </w:tcPr>
          <w:p w14:paraId="233763DD" w14:textId="6FDB8B59"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Dependence on environment</w:t>
            </w:r>
          </w:p>
        </w:tc>
        <w:tc>
          <w:tcPr>
            <w:tcW w:w="0" w:type="auto"/>
            <w:tcBorders>
              <w:left w:val="single" w:sz="4" w:space="0" w:color="auto"/>
            </w:tcBorders>
            <w:vAlign w:val="center"/>
          </w:tcPr>
          <w:p w14:paraId="1EFED773" w14:textId="77777777"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Highly dependent</w:t>
            </w:r>
          </w:p>
        </w:tc>
        <w:tc>
          <w:tcPr>
            <w:tcW w:w="3151" w:type="dxa"/>
            <w:tcBorders>
              <w:left w:val="single" w:sz="4" w:space="0" w:color="auto"/>
              <w:right w:val="single" w:sz="4" w:space="0" w:color="auto"/>
            </w:tcBorders>
            <w:vAlign w:val="center"/>
          </w:tcPr>
          <w:p w14:paraId="319C192A" w14:textId="77777777"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Controlled through management</w:t>
            </w:r>
          </w:p>
        </w:tc>
      </w:tr>
      <w:tr w:rsidR="00FD4083" w:rsidRPr="00347017" w14:paraId="23053190" w14:textId="77777777" w:rsidTr="00FD4083">
        <w:trPr>
          <w:tblCellSpacing w:w="15" w:type="dxa"/>
        </w:trPr>
        <w:tc>
          <w:tcPr>
            <w:tcW w:w="664" w:type="dxa"/>
            <w:tcBorders>
              <w:top w:val="single" w:sz="4" w:space="0" w:color="auto"/>
              <w:left w:val="single" w:sz="4" w:space="0" w:color="auto"/>
              <w:bottom w:val="single" w:sz="4" w:space="0" w:color="auto"/>
            </w:tcBorders>
          </w:tcPr>
          <w:p w14:paraId="2F018020" w14:textId="41A18147"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3</w:t>
            </w:r>
          </w:p>
        </w:tc>
        <w:tc>
          <w:tcPr>
            <w:tcW w:w="3091" w:type="dxa"/>
            <w:tcBorders>
              <w:top w:val="single" w:sz="4" w:space="0" w:color="auto"/>
              <w:left w:val="single" w:sz="4" w:space="0" w:color="auto"/>
              <w:bottom w:val="single" w:sz="4" w:space="0" w:color="auto"/>
            </w:tcBorders>
            <w:vAlign w:val="center"/>
          </w:tcPr>
          <w:p w14:paraId="2125E727" w14:textId="7AAF37ED"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Genotype influence</w:t>
            </w:r>
          </w:p>
        </w:tc>
        <w:tc>
          <w:tcPr>
            <w:tcW w:w="0" w:type="auto"/>
            <w:tcBorders>
              <w:top w:val="single" w:sz="4" w:space="0" w:color="auto"/>
              <w:left w:val="single" w:sz="4" w:space="0" w:color="auto"/>
              <w:bottom w:val="single" w:sz="4" w:space="0" w:color="auto"/>
            </w:tcBorders>
            <w:vAlign w:val="center"/>
          </w:tcPr>
          <w:p w14:paraId="46218F38" w14:textId="77777777"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Limited exploitation</w:t>
            </w:r>
          </w:p>
        </w:tc>
        <w:tc>
          <w:tcPr>
            <w:tcW w:w="3151" w:type="dxa"/>
            <w:tcBorders>
              <w:top w:val="single" w:sz="4" w:space="0" w:color="auto"/>
              <w:left w:val="single" w:sz="4" w:space="0" w:color="auto"/>
              <w:bottom w:val="single" w:sz="4" w:space="0" w:color="auto"/>
              <w:right w:val="single" w:sz="4" w:space="0" w:color="auto"/>
            </w:tcBorders>
            <w:vAlign w:val="center"/>
          </w:tcPr>
          <w:p w14:paraId="10803F33" w14:textId="77777777"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Targeted genetic improvement</w:t>
            </w:r>
          </w:p>
        </w:tc>
      </w:tr>
      <w:tr w:rsidR="00FD4083" w:rsidRPr="00347017" w14:paraId="07CCE12D" w14:textId="77777777" w:rsidTr="00FD4083">
        <w:trPr>
          <w:tblCellSpacing w:w="15" w:type="dxa"/>
        </w:trPr>
        <w:tc>
          <w:tcPr>
            <w:tcW w:w="664" w:type="dxa"/>
            <w:tcBorders>
              <w:left w:val="single" w:sz="4" w:space="0" w:color="auto"/>
              <w:bottom w:val="single" w:sz="4" w:space="0" w:color="auto"/>
            </w:tcBorders>
          </w:tcPr>
          <w:p w14:paraId="117CA5DF" w14:textId="6BE9595B"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4</w:t>
            </w:r>
          </w:p>
        </w:tc>
        <w:tc>
          <w:tcPr>
            <w:tcW w:w="3091" w:type="dxa"/>
            <w:tcBorders>
              <w:left w:val="single" w:sz="4" w:space="0" w:color="auto"/>
              <w:bottom w:val="single" w:sz="4" w:space="0" w:color="auto"/>
            </w:tcBorders>
            <w:vAlign w:val="center"/>
          </w:tcPr>
          <w:p w14:paraId="194B3755" w14:textId="679D1D5F" w:rsidR="00FD4083" w:rsidRPr="00347017" w:rsidRDefault="00FD4083" w:rsidP="00FD4083">
            <w:pPr>
              <w:suppressLineNumbers/>
              <w:jc w:val="both"/>
              <w:rPr>
                <w:rFonts w:ascii="Times New Roman" w:hAnsi="Times New Roman" w:cs="Times New Roman"/>
                <w:sz w:val="24"/>
                <w:szCs w:val="24"/>
              </w:rPr>
            </w:pPr>
            <w:proofErr w:type="spellStart"/>
            <w:r w:rsidRPr="00347017">
              <w:rPr>
                <w:rFonts w:ascii="Times New Roman" w:hAnsi="Times New Roman" w:cs="Times New Roman"/>
                <w:sz w:val="24"/>
                <w:szCs w:val="24"/>
              </w:rPr>
              <w:t>Rhizobial</w:t>
            </w:r>
            <w:proofErr w:type="spellEnd"/>
            <w:r w:rsidRPr="00347017">
              <w:rPr>
                <w:rFonts w:ascii="Times New Roman" w:hAnsi="Times New Roman" w:cs="Times New Roman"/>
                <w:sz w:val="24"/>
                <w:szCs w:val="24"/>
              </w:rPr>
              <w:t xml:space="preserve"> interaction</w:t>
            </w:r>
          </w:p>
        </w:tc>
        <w:tc>
          <w:tcPr>
            <w:tcW w:w="0" w:type="auto"/>
            <w:tcBorders>
              <w:left w:val="single" w:sz="4" w:space="0" w:color="auto"/>
              <w:bottom w:val="single" w:sz="4" w:space="0" w:color="auto"/>
            </w:tcBorders>
            <w:vAlign w:val="center"/>
          </w:tcPr>
          <w:p w14:paraId="75967F6F" w14:textId="77777777"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Native strains dominate</w:t>
            </w:r>
          </w:p>
        </w:tc>
        <w:tc>
          <w:tcPr>
            <w:tcW w:w="3151" w:type="dxa"/>
            <w:tcBorders>
              <w:left w:val="single" w:sz="4" w:space="0" w:color="auto"/>
              <w:bottom w:val="single" w:sz="4" w:space="0" w:color="auto"/>
              <w:right w:val="single" w:sz="4" w:space="0" w:color="auto"/>
            </w:tcBorders>
            <w:vAlign w:val="center"/>
          </w:tcPr>
          <w:p w14:paraId="29A3B113" w14:textId="77777777"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Engineered/elite inoculants used</w:t>
            </w:r>
          </w:p>
        </w:tc>
      </w:tr>
      <w:tr w:rsidR="00FD4083" w:rsidRPr="00347017" w14:paraId="0FFF4C45" w14:textId="77777777" w:rsidTr="00FD4083">
        <w:trPr>
          <w:tblCellSpacing w:w="15" w:type="dxa"/>
        </w:trPr>
        <w:tc>
          <w:tcPr>
            <w:tcW w:w="664" w:type="dxa"/>
            <w:tcBorders>
              <w:left w:val="single" w:sz="4" w:space="0" w:color="auto"/>
            </w:tcBorders>
          </w:tcPr>
          <w:p w14:paraId="32671907" w14:textId="7215ECB8"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5</w:t>
            </w:r>
          </w:p>
        </w:tc>
        <w:tc>
          <w:tcPr>
            <w:tcW w:w="3091" w:type="dxa"/>
            <w:tcBorders>
              <w:left w:val="single" w:sz="4" w:space="0" w:color="auto"/>
            </w:tcBorders>
            <w:vAlign w:val="center"/>
          </w:tcPr>
          <w:p w14:paraId="59E72275" w14:textId="75F4261D"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Nutrient management</w:t>
            </w:r>
          </w:p>
        </w:tc>
        <w:tc>
          <w:tcPr>
            <w:tcW w:w="0" w:type="auto"/>
            <w:tcBorders>
              <w:left w:val="single" w:sz="4" w:space="0" w:color="auto"/>
            </w:tcBorders>
            <w:vAlign w:val="center"/>
          </w:tcPr>
          <w:p w14:paraId="1321DBAA" w14:textId="77777777"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Generalized</w:t>
            </w:r>
          </w:p>
        </w:tc>
        <w:tc>
          <w:tcPr>
            <w:tcW w:w="3151" w:type="dxa"/>
            <w:tcBorders>
              <w:left w:val="single" w:sz="4" w:space="0" w:color="auto"/>
              <w:right w:val="single" w:sz="4" w:space="0" w:color="auto"/>
            </w:tcBorders>
            <w:vAlign w:val="center"/>
          </w:tcPr>
          <w:p w14:paraId="14F4D796" w14:textId="77777777"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Site-specific and data-driven</w:t>
            </w:r>
          </w:p>
        </w:tc>
      </w:tr>
      <w:tr w:rsidR="00FD4083" w:rsidRPr="00347017" w14:paraId="64BFAD67" w14:textId="77777777" w:rsidTr="00FD4083">
        <w:trPr>
          <w:tblCellSpacing w:w="15" w:type="dxa"/>
        </w:trPr>
        <w:tc>
          <w:tcPr>
            <w:tcW w:w="664" w:type="dxa"/>
            <w:tcBorders>
              <w:top w:val="single" w:sz="4" w:space="0" w:color="auto"/>
              <w:left w:val="single" w:sz="4" w:space="0" w:color="auto"/>
              <w:bottom w:val="single" w:sz="4" w:space="0" w:color="auto"/>
            </w:tcBorders>
          </w:tcPr>
          <w:p w14:paraId="5418CE47" w14:textId="4E274801"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6</w:t>
            </w:r>
          </w:p>
        </w:tc>
        <w:tc>
          <w:tcPr>
            <w:tcW w:w="3091" w:type="dxa"/>
            <w:tcBorders>
              <w:top w:val="single" w:sz="4" w:space="0" w:color="auto"/>
              <w:left w:val="single" w:sz="4" w:space="0" w:color="auto"/>
              <w:bottom w:val="single" w:sz="4" w:space="0" w:color="auto"/>
            </w:tcBorders>
            <w:vAlign w:val="center"/>
          </w:tcPr>
          <w:p w14:paraId="501D9E13" w14:textId="3837EA00"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Monitoring tools</w:t>
            </w:r>
          </w:p>
        </w:tc>
        <w:tc>
          <w:tcPr>
            <w:tcW w:w="0" w:type="auto"/>
            <w:tcBorders>
              <w:top w:val="single" w:sz="4" w:space="0" w:color="auto"/>
              <w:left w:val="single" w:sz="4" w:space="0" w:color="auto"/>
              <w:bottom w:val="single" w:sz="4" w:space="0" w:color="auto"/>
            </w:tcBorders>
            <w:vAlign w:val="center"/>
          </w:tcPr>
          <w:p w14:paraId="1B4622C9" w14:textId="77777777"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Conventional methods</w:t>
            </w:r>
          </w:p>
        </w:tc>
        <w:tc>
          <w:tcPr>
            <w:tcW w:w="3151" w:type="dxa"/>
            <w:tcBorders>
              <w:top w:val="single" w:sz="4" w:space="0" w:color="auto"/>
              <w:left w:val="single" w:sz="4" w:space="0" w:color="auto"/>
              <w:bottom w:val="single" w:sz="4" w:space="0" w:color="auto"/>
              <w:right w:val="single" w:sz="4" w:space="0" w:color="auto"/>
            </w:tcBorders>
            <w:vAlign w:val="center"/>
          </w:tcPr>
          <w:p w14:paraId="6CB1315D" w14:textId="77777777"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Sensors, remote sensing, AI</w:t>
            </w:r>
          </w:p>
        </w:tc>
      </w:tr>
      <w:tr w:rsidR="00FD4083" w:rsidRPr="00347017" w14:paraId="7CA4B7B2" w14:textId="77777777" w:rsidTr="00FD4083">
        <w:trPr>
          <w:tblCellSpacing w:w="15" w:type="dxa"/>
        </w:trPr>
        <w:tc>
          <w:tcPr>
            <w:tcW w:w="664" w:type="dxa"/>
            <w:tcBorders>
              <w:left w:val="single" w:sz="4" w:space="0" w:color="auto"/>
              <w:bottom w:val="single" w:sz="4" w:space="0" w:color="auto"/>
              <w:right w:val="single" w:sz="4" w:space="0" w:color="auto"/>
            </w:tcBorders>
          </w:tcPr>
          <w:p w14:paraId="78470578" w14:textId="54021D43"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7</w:t>
            </w:r>
          </w:p>
        </w:tc>
        <w:tc>
          <w:tcPr>
            <w:tcW w:w="3091" w:type="dxa"/>
            <w:tcBorders>
              <w:left w:val="single" w:sz="4" w:space="0" w:color="auto"/>
              <w:bottom w:val="single" w:sz="4" w:space="0" w:color="auto"/>
              <w:right w:val="single" w:sz="4" w:space="0" w:color="auto"/>
            </w:tcBorders>
            <w:vAlign w:val="center"/>
          </w:tcPr>
          <w:p w14:paraId="286C228F" w14:textId="56AE502F"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Yield contribution</w:t>
            </w:r>
          </w:p>
        </w:tc>
        <w:tc>
          <w:tcPr>
            <w:tcW w:w="0" w:type="auto"/>
            <w:tcBorders>
              <w:left w:val="single" w:sz="4" w:space="0" w:color="auto"/>
              <w:bottom w:val="single" w:sz="4" w:space="0" w:color="auto"/>
            </w:tcBorders>
            <w:vAlign w:val="center"/>
          </w:tcPr>
          <w:p w14:paraId="57768F21" w14:textId="77777777"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Inconsistent</w:t>
            </w:r>
          </w:p>
        </w:tc>
        <w:tc>
          <w:tcPr>
            <w:tcW w:w="3151" w:type="dxa"/>
            <w:tcBorders>
              <w:left w:val="single" w:sz="4" w:space="0" w:color="auto"/>
              <w:bottom w:val="single" w:sz="4" w:space="0" w:color="auto"/>
              <w:right w:val="single" w:sz="4" w:space="0" w:color="auto"/>
            </w:tcBorders>
            <w:vAlign w:val="center"/>
          </w:tcPr>
          <w:p w14:paraId="7A5DD441" w14:textId="77777777"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Stable and enhanced</w:t>
            </w:r>
          </w:p>
        </w:tc>
      </w:tr>
      <w:tr w:rsidR="00FD4083" w:rsidRPr="00347017" w14:paraId="56E67867" w14:textId="77777777" w:rsidTr="00FD4083">
        <w:trPr>
          <w:tblCellSpacing w:w="15" w:type="dxa"/>
        </w:trPr>
        <w:tc>
          <w:tcPr>
            <w:tcW w:w="664" w:type="dxa"/>
            <w:tcBorders>
              <w:left w:val="single" w:sz="4" w:space="0" w:color="auto"/>
              <w:bottom w:val="single" w:sz="4" w:space="0" w:color="auto"/>
              <w:right w:val="single" w:sz="4" w:space="0" w:color="auto"/>
            </w:tcBorders>
          </w:tcPr>
          <w:p w14:paraId="27BB0484" w14:textId="70297771"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8</w:t>
            </w:r>
          </w:p>
        </w:tc>
        <w:tc>
          <w:tcPr>
            <w:tcW w:w="3091" w:type="dxa"/>
            <w:tcBorders>
              <w:left w:val="single" w:sz="4" w:space="0" w:color="auto"/>
              <w:bottom w:val="single" w:sz="4" w:space="0" w:color="auto"/>
              <w:right w:val="single" w:sz="4" w:space="0" w:color="auto"/>
            </w:tcBorders>
            <w:vAlign w:val="center"/>
          </w:tcPr>
          <w:p w14:paraId="5628320E" w14:textId="57A9CA19"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Sustainability impact</w:t>
            </w:r>
          </w:p>
        </w:tc>
        <w:tc>
          <w:tcPr>
            <w:tcW w:w="0" w:type="auto"/>
            <w:tcBorders>
              <w:bottom w:val="single" w:sz="4" w:space="0" w:color="auto"/>
            </w:tcBorders>
            <w:vAlign w:val="center"/>
          </w:tcPr>
          <w:p w14:paraId="5F152FCE" w14:textId="77777777"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Moderate</w:t>
            </w:r>
          </w:p>
        </w:tc>
        <w:tc>
          <w:tcPr>
            <w:tcW w:w="3151" w:type="dxa"/>
            <w:tcBorders>
              <w:left w:val="single" w:sz="4" w:space="0" w:color="auto"/>
              <w:bottom w:val="single" w:sz="4" w:space="0" w:color="auto"/>
              <w:right w:val="single" w:sz="4" w:space="0" w:color="auto"/>
            </w:tcBorders>
            <w:vAlign w:val="center"/>
          </w:tcPr>
          <w:p w14:paraId="4AD7E12E" w14:textId="77777777"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High (reduced fertilizer use)</w:t>
            </w:r>
          </w:p>
        </w:tc>
      </w:tr>
    </w:tbl>
    <w:p w14:paraId="62A5E753" w14:textId="77777777" w:rsidR="007F6049" w:rsidRPr="00347017" w:rsidRDefault="007F6049" w:rsidP="006A6CAF">
      <w:pPr>
        <w:suppressLineNumbers/>
        <w:jc w:val="both"/>
        <w:rPr>
          <w:rFonts w:ascii="Times New Roman" w:hAnsi="Times New Roman" w:cs="Times New Roman"/>
          <w:sz w:val="24"/>
          <w:szCs w:val="24"/>
        </w:rPr>
      </w:pPr>
    </w:p>
    <w:p w14:paraId="11A8482D" w14:textId="77777777" w:rsidR="007F6049" w:rsidRPr="00347017" w:rsidRDefault="007F6049" w:rsidP="006A6CAF">
      <w:pPr>
        <w:suppressLineNumbers/>
        <w:jc w:val="both"/>
        <w:rPr>
          <w:rFonts w:ascii="Times New Roman" w:hAnsi="Times New Roman" w:cs="Times New Roman"/>
          <w:sz w:val="24"/>
          <w:szCs w:val="24"/>
        </w:rPr>
      </w:pPr>
    </w:p>
    <w:p w14:paraId="7FE5A4D6" w14:textId="77777777" w:rsidR="007F6049" w:rsidRPr="00347017" w:rsidRDefault="001C255B" w:rsidP="006A6CAF">
      <w:pPr>
        <w:suppressLineNumbers/>
        <w:jc w:val="both"/>
        <w:rPr>
          <w:rFonts w:ascii="Times New Roman" w:hAnsi="Times New Roman" w:cs="Times New Roman"/>
          <w:b/>
          <w:bCs/>
          <w:sz w:val="24"/>
          <w:szCs w:val="24"/>
        </w:rPr>
      </w:pPr>
      <w:r w:rsidRPr="00347017">
        <w:rPr>
          <w:rFonts w:ascii="Times New Roman" w:hAnsi="Times New Roman" w:cs="Times New Roman"/>
          <w:b/>
          <w:bCs/>
          <w:sz w:val="24"/>
          <w:szCs w:val="24"/>
        </w:rPr>
        <w:t>Table 2. Key genetic and microbial strategies for enhancing BNF in legumes</w:t>
      </w:r>
    </w:p>
    <w:tbl>
      <w:tblPr>
        <w:tblW w:w="11096" w:type="dxa"/>
        <w:tblCellSpacing w:w="15" w:type="dxa"/>
        <w:tblInd w:w="-1035" w:type="dxa"/>
        <w:tblCellMar>
          <w:top w:w="15" w:type="dxa"/>
          <w:left w:w="15" w:type="dxa"/>
          <w:bottom w:w="15" w:type="dxa"/>
          <w:right w:w="15" w:type="dxa"/>
        </w:tblCellMar>
        <w:tblLook w:val="04A0" w:firstRow="1" w:lastRow="0" w:firstColumn="1" w:lastColumn="0" w:noHBand="0" w:noVBand="1"/>
      </w:tblPr>
      <w:tblGrid>
        <w:gridCol w:w="749"/>
        <w:gridCol w:w="3157"/>
        <w:gridCol w:w="3505"/>
        <w:gridCol w:w="3685"/>
      </w:tblGrid>
      <w:tr w:rsidR="00FD4083" w:rsidRPr="00347017" w14:paraId="142CDE18" w14:textId="77777777" w:rsidTr="00DF436B">
        <w:trPr>
          <w:tblHeader/>
          <w:tblCellSpacing w:w="15" w:type="dxa"/>
        </w:trPr>
        <w:tc>
          <w:tcPr>
            <w:tcW w:w="0" w:type="auto"/>
            <w:tcBorders>
              <w:top w:val="single" w:sz="4" w:space="0" w:color="auto"/>
              <w:left w:val="single" w:sz="4" w:space="0" w:color="auto"/>
              <w:bottom w:val="single" w:sz="4" w:space="0" w:color="auto"/>
            </w:tcBorders>
          </w:tcPr>
          <w:p w14:paraId="1AB7C9A4" w14:textId="5A73AB6F" w:rsidR="00FD4083" w:rsidRPr="00347017" w:rsidRDefault="00FD4083" w:rsidP="00FD4083">
            <w:pPr>
              <w:suppressLineNumbers/>
              <w:jc w:val="both"/>
              <w:rPr>
                <w:rFonts w:ascii="Times New Roman" w:hAnsi="Times New Roman" w:cs="Times New Roman"/>
                <w:b/>
                <w:bCs/>
                <w:sz w:val="24"/>
                <w:szCs w:val="24"/>
              </w:rPr>
            </w:pPr>
            <w:r w:rsidRPr="00347017">
              <w:rPr>
                <w:rFonts w:ascii="Times New Roman" w:hAnsi="Times New Roman" w:cs="Times New Roman"/>
                <w:b/>
                <w:bCs/>
                <w:sz w:val="24"/>
                <w:szCs w:val="24"/>
              </w:rPr>
              <w:t>S.NO.</w:t>
            </w:r>
          </w:p>
        </w:tc>
        <w:tc>
          <w:tcPr>
            <w:tcW w:w="0" w:type="auto"/>
            <w:tcBorders>
              <w:top w:val="single" w:sz="4" w:space="0" w:color="auto"/>
              <w:left w:val="single" w:sz="4" w:space="0" w:color="auto"/>
              <w:bottom w:val="single" w:sz="4" w:space="0" w:color="auto"/>
            </w:tcBorders>
            <w:vAlign w:val="center"/>
          </w:tcPr>
          <w:p w14:paraId="27F19251" w14:textId="555AE2B3" w:rsidR="00FD4083" w:rsidRPr="00347017" w:rsidRDefault="00FD4083" w:rsidP="00FD4083">
            <w:pPr>
              <w:suppressLineNumbers/>
              <w:jc w:val="both"/>
              <w:rPr>
                <w:rFonts w:ascii="Times New Roman" w:hAnsi="Times New Roman" w:cs="Times New Roman"/>
                <w:b/>
                <w:bCs/>
                <w:sz w:val="24"/>
                <w:szCs w:val="24"/>
              </w:rPr>
            </w:pPr>
            <w:r w:rsidRPr="00347017">
              <w:rPr>
                <w:rFonts w:ascii="Times New Roman" w:hAnsi="Times New Roman" w:cs="Times New Roman"/>
                <w:b/>
                <w:bCs/>
                <w:sz w:val="24"/>
                <w:szCs w:val="24"/>
              </w:rPr>
              <w:t>Strategy</w:t>
            </w:r>
          </w:p>
        </w:tc>
        <w:tc>
          <w:tcPr>
            <w:tcW w:w="3475" w:type="dxa"/>
            <w:tcBorders>
              <w:top w:val="single" w:sz="4" w:space="0" w:color="auto"/>
              <w:left w:val="single" w:sz="4" w:space="0" w:color="auto"/>
              <w:bottom w:val="single" w:sz="4" w:space="0" w:color="auto"/>
              <w:right w:val="single" w:sz="4" w:space="0" w:color="auto"/>
            </w:tcBorders>
            <w:vAlign w:val="center"/>
          </w:tcPr>
          <w:p w14:paraId="7986E88B" w14:textId="77777777" w:rsidR="00FD4083" w:rsidRPr="00347017" w:rsidRDefault="00FD4083" w:rsidP="00FD4083">
            <w:pPr>
              <w:suppressLineNumbers/>
              <w:jc w:val="both"/>
              <w:rPr>
                <w:rFonts w:ascii="Times New Roman" w:hAnsi="Times New Roman" w:cs="Times New Roman"/>
                <w:b/>
                <w:bCs/>
                <w:sz w:val="24"/>
                <w:szCs w:val="24"/>
              </w:rPr>
            </w:pPr>
            <w:r w:rsidRPr="00347017">
              <w:rPr>
                <w:rFonts w:ascii="Times New Roman" w:hAnsi="Times New Roman" w:cs="Times New Roman"/>
                <w:b/>
                <w:bCs/>
                <w:sz w:val="24"/>
                <w:szCs w:val="24"/>
              </w:rPr>
              <w:t>Approach</w:t>
            </w:r>
          </w:p>
        </w:tc>
        <w:tc>
          <w:tcPr>
            <w:tcW w:w="3640" w:type="dxa"/>
            <w:tcBorders>
              <w:top w:val="single" w:sz="4" w:space="0" w:color="auto"/>
              <w:bottom w:val="single" w:sz="4" w:space="0" w:color="auto"/>
              <w:right w:val="single" w:sz="4" w:space="0" w:color="auto"/>
            </w:tcBorders>
            <w:vAlign w:val="center"/>
          </w:tcPr>
          <w:p w14:paraId="47940266" w14:textId="77777777" w:rsidR="00FD4083" w:rsidRPr="00347017" w:rsidRDefault="00FD4083" w:rsidP="00FD4083">
            <w:pPr>
              <w:suppressLineNumbers/>
              <w:jc w:val="both"/>
              <w:rPr>
                <w:rFonts w:ascii="Times New Roman" w:hAnsi="Times New Roman" w:cs="Times New Roman"/>
                <w:b/>
                <w:bCs/>
                <w:sz w:val="24"/>
                <w:szCs w:val="24"/>
              </w:rPr>
            </w:pPr>
            <w:r w:rsidRPr="00347017">
              <w:rPr>
                <w:rFonts w:ascii="Times New Roman" w:hAnsi="Times New Roman" w:cs="Times New Roman"/>
                <w:b/>
                <w:bCs/>
                <w:sz w:val="24"/>
                <w:szCs w:val="24"/>
              </w:rPr>
              <w:t>Outcome</w:t>
            </w:r>
          </w:p>
        </w:tc>
      </w:tr>
      <w:tr w:rsidR="00FD4083" w:rsidRPr="00347017" w14:paraId="17023E90" w14:textId="77777777" w:rsidTr="00DF436B">
        <w:trPr>
          <w:tblCellSpacing w:w="15" w:type="dxa"/>
        </w:trPr>
        <w:tc>
          <w:tcPr>
            <w:tcW w:w="0" w:type="auto"/>
            <w:tcBorders>
              <w:left w:val="single" w:sz="4" w:space="0" w:color="auto"/>
            </w:tcBorders>
          </w:tcPr>
          <w:p w14:paraId="23C0E523" w14:textId="2284A13C"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1</w:t>
            </w:r>
          </w:p>
        </w:tc>
        <w:tc>
          <w:tcPr>
            <w:tcW w:w="0" w:type="auto"/>
            <w:tcBorders>
              <w:left w:val="single" w:sz="4" w:space="0" w:color="auto"/>
            </w:tcBorders>
            <w:vAlign w:val="center"/>
          </w:tcPr>
          <w:p w14:paraId="18510CCC" w14:textId="17BF5F8A"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Marker-assisted selection</w:t>
            </w:r>
          </w:p>
        </w:tc>
        <w:tc>
          <w:tcPr>
            <w:tcW w:w="3475" w:type="dxa"/>
            <w:tcBorders>
              <w:left w:val="single" w:sz="4" w:space="0" w:color="auto"/>
              <w:right w:val="single" w:sz="4" w:space="0" w:color="auto"/>
            </w:tcBorders>
            <w:vAlign w:val="center"/>
          </w:tcPr>
          <w:p w14:paraId="7864ABEC" w14:textId="77777777"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Identification of BNF-related QTLs</w:t>
            </w:r>
          </w:p>
        </w:tc>
        <w:tc>
          <w:tcPr>
            <w:tcW w:w="3640" w:type="dxa"/>
            <w:tcBorders>
              <w:right w:val="single" w:sz="4" w:space="0" w:color="auto"/>
            </w:tcBorders>
            <w:vAlign w:val="center"/>
          </w:tcPr>
          <w:p w14:paraId="49247751" w14:textId="77777777"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Improved nodulation traits</w:t>
            </w:r>
          </w:p>
        </w:tc>
      </w:tr>
      <w:tr w:rsidR="00FD4083" w:rsidRPr="00347017" w14:paraId="050E4537" w14:textId="77777777" w:rsidTr="00DF436B">
        <w:trPr>
          <w:tblCellSpacing w:w="15" w:type="dxa"/>
        </w:trPr>
        <w:tc>
          <w:tcPr>
            <w:tcW w:w="0" w:type="auto"/>
            <w:tcBorders>
              <w:top w:val="single" w:sz="4" w:space="0" w:color="auto"/>
              <w:left w:val="single" w:sz="4" w:space="0" w:color="auto"/>
              <w:bottom w:val="single" w:sz="4" w:space="0" w:color="auto"/>
            </w:tcBorders>
          </w:tcPr>
          <w:p w14:paraId="71601C97" w14:textId="552A4174"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tcBorders>
            <w:vAlign w:val="center"/>
          </w:tcPr>
          <w:p w14:paraId="4C26CF83" w14:textId="3A232570"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Genomic selection</w:t>
            </w:r>
          </w:p>
        </w:tc>
        <w:tc>
          <w:tcPr>
            <w:tcW w:w="3475" w:type="dxa"/>
            <w:tcBorders>
              <w:top w:val="single" w:sz="4" w:space="0" w:color="auto"/>
              <w:left w:val="single" w:sz="4" w:space="0" w:color="auto"/>
              <w:bottom w:val="single" w:sz="4" w:space="0" w:color="auto"/>
              <w:right w:val="single" w:sz="4" w:space="0" w:color="auto"/>
            </w:tcBorders>
            <w:vAlign w:val="center"/>
          </w:tcPr>
          <w:p w14:paraId="07F3AD15" w14:textId="77777777"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Genome-wide prediction models</w:t>
            </w:r>
          </w:p>
        </w:tc>
        <w:tc>
          <w:tcPr>
            <w:tcW w:w="3640" w:type="dxa"/>
            <w:tcBorders>
              <w:top w:val="single" w:sz="4" w:space="0" w:color="auto"/>
              <w:bottom w:val="single" w:sz="4" w:space="0" w:color="auto"/>
              <w:right w:val="single" w:sz="4" w:space="0" w:color="auto"/>
            </w:tcBorders>
            <w:vAlign w:val="center"/>
          </w:tcPr>
          <w:p w14:paraId="2A43C5F6" w14:textId="77777777"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Faster breeding cycles</w:t>
            </w:r>
          </w:p>
        </w:tc>
      </w:tr>
      <w:tr w:rsidR="00FD4083" w:rsidRPr="00347017" w14:paraId="1008EE36" w14:textId="77777777" w:rsidTr="00DF436B">
        <w:trPr>
          <w:tblCellSpacing w:w="15" w:type="dxa"/>
        </w:trPr>
        <w:tc>
          <w:tcPr>
            <w:tcW w:w="0" w:type="auto"/>
            <w:tcBorders>
              <w:left w:val="single" w:sz="4" w:space="0" w:color="auto"/>
              <w:bottom w:val="single" w:sz="4" w:space="0" w:color="auto"/>
            </w:tcBorders>
          </w:tcPr>
          <w:p w14:paraId="1CAF99B8" w14:textId="511DE3FE"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3</w:t>
            </w:r>
          </w:p>
        </w:tc>
        <w:tc>
          <w:tcPr>
            <w:tcW w:w="0" w:type="auto"/>
            <w:tcBorders>
              <w:left w:val="single" w:sz="4" w:space="0" w:color="auto"/>
              <w:bottom w:val="single" w:sz="4" w:space="0" w:color="auto"/>
            </w:tcBorders>
            <w:vAlign w:val="center"/>
          </w:tcPr>
          <w:p w14:paraId="0F81F01A" w14:textId="0F35C412"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CRISPR gene editing</w:t>
            </w:r>
          </w:p>
        </w:tc>
        <w:tc>
          <w:tcPr>
            <w:tcW w:w="3475" w:type="dxa"/>
            <w:tcBorders>
              <w:left w:val="single" w:sz="4" w:space="0" w:color="auto"/>
              <w:bottom w:val="single" w:sz="4" w:space="0" w:color="auto"/>
              <w:right w:val="single" w:sz="4" w:space="0" w:color="auto"/>
            </w:tcBorders>
            <w:vAlign w:val="center"/>
          </w:tcPr>
          <w:p w14:paraId="06E4D3DD" w14:textId="77777777"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Modification of symbiotic genes</w:t>
            </w:r>
          </w:p>
        </w:tc>
        <w:tc>
          <w:tcPr>
            <w:tcW w:w="3640" w:type="dxa"/>
            <w:tcBorders>
              <w:bottom w:val="single" w:sz="4" w:space="0" w:color="auto"/>
              <w:right w:val="single" w:sz="4" w:space="0" w:color="auto"/>
            </w:tcBorders>
            <w:vAlign w:val="center"/>
          </w:tcPr>
          <w:p w14:paraId="13A08487" w14:textId="77777777"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Enhanced nitrogen fixation efficiency</w:t>
            </w:r>
          </w:p>
        </w:tc>
      </w:tr>
      <w:tr w:rsidR="00FD4083" w:rsidRPr="00347017" w14:paraId="5FDBFDD7" w14:textId="77777777" w:rsidTr="00DF436B">
        <w:trPr>
          <w:tblCellSpacing w:w="15" w:type="dxa"/>
        </w:trPr>
        <w:tc>
          <w:tcPr>
            <w:tcW w:w="0" w:type="auto"/>
            <w:tcBorders>
              <w:left w:val="single" w:sz="4" w:space="0" w:color="auto"/>
              <w:bottom w:val="single" w:sz="4" w:space="0" w:color="auto"/>
            </w:tcBorders>
          </w:tcPr>
          <w:p w14:paraId="444BC674" w14:textId="02C073D9"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4</w:t>
            </w:r>
          </w:p>
        </w:tc>
        <w:tc>
          <w:tcPr>
            <w:tcW w:w="0" w:type="auto"/>
            <w:tcBorders>
              <w:left w:val="single" w:sz="4" w:space="0" w:color="auto"/>
              <w:bottom w:val="single" w:sz="4" w:space="0" w:color="auto"/>
            </w:tcBorders>
            <w:vAlign w:val="center"/>
          </w:tcPr>
          <w:p w14:paraId="41A745D0" w14:textId="17A8DDA5" w:rsidR="00FD4083" w:rsidRPr="00347017" w:rsidRDefault="00FD4083" w:rsidP="00FD4083">
            <w:pPr>
              <w:suppressLineNumbers/>
              <w:jc w:val="both"/>
              <w:rPr>
                <w:rFonts w:ascii="Times New Roman" w:hAnsi="Times New Roman" w:cs="Times New Roman"/>
                <w:sz w:val="24"/>
                <w:szCs w:val="24"/>
              </w:rPr>
            </w:pPr>
            <w:proofErr w:type="spellStart"/>
            <w:r w:rsidRPr="00347017">
              <w:rPr>
                <w:rFonts w:ascii="Times New Roman" w:hAnsi="Times New Roman" w:cs="Times New Roman"/>
                <w:sz w:val="24"/>
                <w:szCs w:val="24"/>
              </w:rPr>
              <w:t>Rhizobial</w:t>
            </w:r>
            <w:proofErr w:type="spellEnd"/>
            <w:r w:rsidRPr="00347017">
              <w:rPr>
                <w:rFonts w:ascii="Times New Roman" w:hAnsi="Times New Roman" w:cs="Times New Roman"/>
                <w:sz w:val="24"/>
                <w:szCs w:val="24"/>
              </w:rPr>
              <w:t xml:space="preserve"> strain improvement</w:t>
            </w:r>
          </w:p>
        </w:tc>
        <w:tc>
          <w:tcPr>
            <w:tcW w:w="3475" w:type="dxa"/>
            <w:tcBorders>
              <w:left w:val="single" w:sz="4" w:space="0" w:color="auto"/>
              <w:bottom w:val="single" w:sz="4" w:space="0" w:color="auto"/>
              <w:right w:val="single" w:sz="4" w:space="0" w:color="auto"/>
            </w:tcBorders>
            <w:vAlign w:val="center"/>
          </w:tcPr>
          <w:p w14:paraId="492E1F3E" w14:textId="77777777"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Selection of elite strains</w:t>
            </w:r>
          </w:p>
        </w:tc>
        <w:tc>
          <w:tcPr>
            <w:tcW w:w="3640" w:type="dxa"/>
            <w:tcBorders>
              <w:bottom w:val="single" w:sz="4" w:space="0" w:color="auto"/>
              <w:right w:val="single" w:sz="4" w:space="0" w:color="auto"/>
            </w:tcBorders>
            <w:vAlign w:val="center"/>
          </w:tcPr>
          <w:p w14:paraId="09716FD5" w14:textId="77777777"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Increased nodulation and N fixation</w:t>
            </w:r>
          </w:p>
        </w:tc>
      </w:tr>
      <w:tr w:rsidR="00FD4083" w:rsidRPr="00347017" w14:paraId="369A7A88" w14:textId="77777777" w:rsidTr="00DF436B">
        <w:trPr>
          <w:tblCellSpacing w:w="15" w:type="dxa"/>
        </w:trPr>
        <w:tc>
          <w:tcPr>
            <w:tcW w:w="0" w:type="auto"/>
            <w:tcBorders>
              <w:left w:val="single" w:sz="4" w:space="0" w:color="auto"/>
              <w:bottom w:val="single" w:sz="4" w:space="0" w:color="auto"/>
            </w:tcBorders>
          </w:tcPr>
          <w:p w14:paraId="3AA54A7D" w14:textId="2C2906E1"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5</w:t>
            </w:r>
          </w:p>
        </w:tc>
        <w:tc>
          <w:tcPr>
            <w:tcW w:w="0" w:type="auto"/>
            <w:tcBorders>
              <w:left w:val="single" w:sz="4" w:space="0" w:color="auto"/>
              <w:bottom w:val="single" w:sz="4" w:space="0" w:color="auto"/>
            </w:tcBorders>
            <w:vAlign w:val="center"/>
          </w:tcPr>
          <w:p w14:paraId="15A61B8B" w14:textId="2A091CDE"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Microbial consortia</w:t>
            </w:r>
          </w:p>
        </w:tc>
        <w:tc>
          <w:tcPr>
            <w:tcW w:w="3475" w:type="dxa"/>
            <w:tcBorders>
              <w:left w:val="single" w:sz="4" w:space="0" w:color="auto"/>
              <w:bottom w:val="single" w:sz="4" w:space="0" w:color="auto"/>
              <w:right w:val="single" w:sz="4" w:space="0" w:color="auto"/>
            </w:tcBorders>
            <w:vAlign w:val="center"/>
          </w:tcPr>
          <w:p w14:paraId="207B4F55" w14:textId="77777777"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Multi-strain inoculation</w:t>
            </w:r>
          </w:p>
        </w:tc>
        <w:tc>
          <w:tcPr>
            <w:tcW w:w="3640" w:type="dxa"/>
            <w:tcBorders>
              <w:bottom w:val="single" w:sz="4" w:space="0" w:color="auto"/>
              <w:right w:val="single" w:sz="4" w:space="0" w:color="auto"/>
            </w:tcBorders>
            <w:vAlign w:val="center"/>
          </w:tcPr>
          <w:p w14:paraId="359F2D52" w14:textId="77777777"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Improved rhizosphere function</w:t>
            </w:r>
          </w:p>
        </w:tc>
      </w:tr>
      <w:tr w:rsidR="00FD4083" w:rsidRPr="00347017" w14:paraId="1FA146CF" w14:textId="77777777" w:rsidTr="00DF436B">
        <w:trPr>
          <w:tblCellSpacing w:w="15" w:type="dxa"/>
        </w:trPr>
        <w:tc>
          <w:tcPr>
            <w:tcW w:w="0" w:type="auto"/>
            <w:tcBorders>
              <w:left w:val="single" w:sz="4" w:space="0" w:color="auto"/>
              <w:bottom w:val="single" w:sz="4" w:space="0" w:color="auto"/>
            </w:tcBorders>
          </w:tcPr>
          <w:p w14:paraId="6DDD5204" w14:textId="3CF99E50"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6</w:t>
            </w:r>
          </w:p>
        </w:tc>
        <w:tc>
          <w:tcPr>
            <w:tcW w:w="0" w:type="auto"/>
            <w:tcBorders>
              <w:left w:val="single" w:sz="4" w:space="0" w:color="auto"/>
              <w:bottom w:val="single" w:sz="4" w:space="0" w:color="auto"/>
            </w:tcBorders>
            <w:vAlign w:val="center"/>
          </w:tcPr>
          <w:p w14:paraId="5F5B81C8" w14:textId="72276F14"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Wild germplasm utilization</w:t>
            </w:r>
          </w:p>
        </w:tc>
        <w:tc>
          <w:tcPr>
            <w:tcW w:w="3475" w:type="dxa"/>
            <w:tcBorders>
              <w:left w:val="single" w:sz="4" w:space="0" w:color="auto"/>
              <w:bottom w:val="single" w:sz="4" w:space="0" w:color="auto"/>
              <w:right w:val="single" w:sz="4" w:space="0" w:color="auto"/>
            </w:tcBorders>
            <w:vAlign w:val="center"/>
          </w:tcPr>
          <w:p w14:paraId="548EAF58" w14:textId="77777777"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Introgression of beneficial traits</w:t>
            </w:r>
          </w:p>
        </w:tc>
        <w:tc>
          <w:tcPr>
            <w:tcW w:w="3640" w:type="dxa"/>
            <w:tcBorders>
              <w:bottom w:val="single" w:sz="4" w:space="0" w:color="auto"/>
              <w:right w:val="single" w:sz="4" w:space="0" w:color="auto"/>
            </w:tcBorders>
            <w:vAlign w:val="center"/>
          </w:tcPr>
          <w:p w14:paraId="00E9AD12" w14:textId="77777777" w:rsidR="00FD4083" w:rsidRPr="00347017" w:rsidRDefault="00FD4083" w:rsidP="00FD4083">
            <w:pPr>
              <w:suppressLineNumbers/>
              <w:jc w:val="both"/>
              <w:rPr>
                <w:rFonts w:ascii="Times New Roman" w:hAnsi="Times New Roman" w:cs="Times New Roman"/>
                <w:sz w:val="24"/>
                <w:szCs w:val="24"/>
              </w:rPr>
            </w:pPr>
            <w:r w:rsidRPr="00347017">
              <w:rPr>
                <w:rFonts w:ascii="Times New Roman" w:hAnsi="Times New Roman" w:cs="Times New Roman"/>
                <w:sz w:val="24"/>
                <w:szCs w:val="24"/>
              </w:rPr>
              <w:t>Stress-resilient varieties</w:t>
            </w:r>
          </w:p>
        </w:tc>
      </w:tr>
    </w:tbl>
    <w:p w14:paraId="657A837F" w14:textId="77777777" w:rsidR="00DF436B" w:rsidRPr="00347017" w:rsidRDefault="00DF436B" w:rsidP="006A6CAF">
      <w:pPr>
        <w:suppressLineNumbers/>
        <w:jc w:val="both"/>
        <w:rPr>
          <w:rFonts w:ascii="Times New Roman" w:hAnsi="Times New Roman" w:cs="Times New Roman"/>
          <w:b/>
          <w:bCs/>
          <w:sz w:val="24"/>
          <w:szCs w:val="24"/>
        </w:rPr>
      </w:pPr>
    </w:p>
    <w:p w14:paraId="5578734A" w14:textId="77777777" w:rsidR="00EB2759" w:rsidRPr="00347017" w:rsidRDefault="00EB2759" w:rsidP="006A6CAF">
      <w:pPr>
        <w:suppressLineNumbers/>
        <w:jc w:val="both"/>
        <w:rPr>
          <w:rFonts w:ascii="Times New Roman" w:hAnsi="Times New Roman" w:cs="Times New Roman"/>
          <w:b/>
          <w:bCs/>
          <w:sz w:val="24"/>
          <w:szCs w:val="24"/>
        </w:rPr>
      </w:pPr>
    </w:p>
    <w:p w14:paraId="55A9493E" w14:textId="77777777" w:rsidR="00EB2759" w:rsidRPr="00347017" w:rsidRDefault="00EB2759" w:rsidP="006A6CAF">
      <w:pPr>
        <w:suppressLineNumbers/>
        <w:jc w:val="both"/>
        <w:rPr>
          <w:rFonts w:ascii="Times New Roman" w:hAnsi="Times New Roman" w:cs="Times New Roman"/>
          <w:b/>
          <w:bCs/>
          <w:sz w:val="24"/>
          <w:szCs w:val="24"/>
        </w:rPr>
      </w:pPr>
    </w:p>
    <w:p w14:paraId="6E0B34F0" w14:textId="77777777" w:rsidR="00EB2759" w:rsidRPr="00347017" w:rsidRDefault="00EB2759" w:rsidP="006A6CAF">
      <w:pPr>
        <w:suppressLineNumbers/>
        <w:jc w:val="both"/>
        <w:rPr>
          <w:rFonts w:ascii="Times New Roman" w:hAnsi="Times New Roman" w:cs="Times New Roman"/>
          <w:b/>
          <w:bCs/>
          <w:sz w:val="24"/>
          <w:szCs w:val="24"/>
        </w:rPr>
      </w:pPr>
    </w:p>
    <w:p w14:paraId="38DC1BC8" w14:textId="77777777" w:rsidR="00EB2759" w:rsidRPr="00347017" w:rsidRDefault="00EB2759" w:rsidP="006A6CAF">
      <w:pPr>
        <w:suppressLineNumbers/>
        <w:jc w:val="both"/>
        <w:rPr>
          <w:rFonts w:ascii="Times New Roman" w:hAnsi="Times New Roman" w:cs="Times New Roman"/>
          <w:b/>
          <w:bCs/>
          <w:sz w:val="24"/>
          <w:szCs w:val="24"/>
        </w:rPr>
      </w:pPr>
    </w:p>
    <w:p w14:paraId="1F273079" w14:textId="77777777" w:rsidR="00EB2759" w:rsidRPr="00347017" w:rsidRDefault="00EB2759" w:rsidP="006A6CAF">
      <w:pPr>
        <w:suppressLineNumbers/>
        <w:jc w:val="both"/>
        <w:rPr>
          <w:rFonts w:ascii="Times New Roman" w:hAnsi="Times New Roman" w:cs="Times New Roman"/>
          <w:b/>
          <w:bCs/>
          <w:sz w:val="24"/>
          <w:szCs w:val="24"/>
        </w:rPr>
      </w:pPr>
    </w:p>
    <w:p w14:paraId="6483F9F6" w14:textId="77777777" w:rsidR="00EB2759" w:rsidRPr="00347017" w:rsidRDefault="00EB2759" w:rsidP="006A6CAF">
      <w:pPr>
        <w:suppressLineNumbers/>
        <w:jc w:val="both"/>
        <w:rPr>
          <w:rFonts w:ascii="Times New Roman" w:hAnsi="Times New Roman" w:cs="Times New Roman"/>
          <w:b/>
          <w:bCs/>
          <w:sz w:val="24"/>
          <w:szCs w:val="24"/>
        </w:rPr>
      </w:pPr>
    </w:p>
    <w:p w14:paraId="1F9736BB" w14:textId="5A009C96" w:rsidR="007F6049" w:rsidRPr="00347017" w:rsidRDefault="001C255B" w:rsidP="006A6CAF">
      <w:pPr>
        <w:suppressLineNumbers/>
        <w:jc w:val="both"/>
        <w:rPr>
          <w:rFonts w:ascii="Times New Roman" w:hAnsi="Times New Roman" w:cs="Times New Roman"/>
          <w:b/>
          <w:bCs/>
          <w:sz w:val="24"/>
          <w:szCs w:val="24"/>
        </w:rPr>
      </w:pPr>
      <w:r w:rsidRPr="00347017">
        <w:rPr>
          <w:rFonts w:ascii="Times New Roman" w:hAnsi="Times New Roman" w:cs="Times New Roman"/>
          <w:b/>
          <w:bCs/>
          <w:sz w:val="24"/>
          <w:szCs w:val="24"/>
        </w:rPr>
        <w:t>Table 3. Factors affecting biological nitrogen fixation in legumes</w:t>
      </w:r>
    </w:p>
    <w:tbl>
      <w:tblPr>
        <w:tblpPr w:leftFromText="180" w:rightFromText="180" w:vertAnchor="page" w:horzAnchor="margin" w:tblpY="2161"/>
        <w:tblW w:w="8648" w:type="dxa"/>
        <w:tblCellSpacing w:w="15" w:type="dxa"/>
        <w:tblCellMar>
          <w:top w:w="15" w:type="dxa"/>
          <w:left w:w="15" w:type="dxa"/>
          <w:bottom w:w="15" w:type="dxa"/>
          <w:right w:w="15" w:type="dxa"/>
        </w:tblCellMar>
        <w:tblLook w:val="04A0" w:firstRow="1" w:lastRow="0" w:firstColumn="1" w:lastColumn="0" w:noHBand="0" w:noVBand="1"/>
      </w:tblPr>
      <w:tblGrid>
        <w:gridCol w:w="709"/>
        <w:gridCol w:w="2335"/>
        <w:gridCol w:w="2296"/>
        <w:gridCol w:w="3308"/>
      </w:tblGrid>
      <w:tr w:rsidR="00DF436B" w:rsidRPr="00347017" w14:paraId="0C7CD6C7" w14:textId="77777777" w:rsidTr="00DF436B">
        <w:trPr>
          <w:tblHeader/>
          <w:tblCellSpacing w:w="15" w:type="dxa"/>
        </w:trPr>
        <w:tc>
          <w:tcPr>
            <w:tcW w:w="664" w:type="dxa"/>
            <w:tcBorders>
              <w:top w:val="single" w:sz="4" w:space="0" w:color="auto"/>
              <w:left w:val="single" w:sz="4" w:space="0" w:color="auto"/>
              <w:bottom w:val="single" w:sz="4" w:space="0" w:color="auto"/>
              <w:right w:val="single" w:sz="4" w:space="0" w:color="auto"/>
            </w:tcBorders>
          </w:tcPr>
          <w:p w14:paraId="024F93D0" w14:textId="77777777" w:rsidR="00DF436B" w:rsidRPr="00347017" w:rsidRDefault="00DF436B" w:rsidP="00DF436B">
            <w:pPr>
              <w:suppressLineNumbers/>
              <w:jc w:val="both"/>
              <w:rPr>
                <w:rFonts w:ascii="Times New Roman" w:hAnsi="Times New Roman" w:cs="Times New Roman"/>
                <w:b/>
                <w:bCs/>
                <w:sz w:val="24"/>
                <w:szCs w:val="24"/>
              </w:rPr>
            </w:pPr>
            <w:r w:rsidRPr="00347017">
              <w:rPr>
                <w:rFonts w:ascii="Times New Roman" w:hAnsi="Times New Roman" w:cs="Times New Roman"/>
                <w:b/>
                <w:bCs/>
                <w:sz w:val="24"/>
                <w:szCs w:val="24"/>
              </w:rPr>
              <w:t>S.NO.</w:t>
            </w:r>
          </w:p>
        </w:tc>
        <w:tc>
          <w:tcPr>
            <w:tcW w:w="2305" w:type="dxa"/>
            <w:tcBorders>
              <w:top w:val="single" w:sz="4" w:space="0" w:color="auto"/>
              <w:left w:val="single" w:sz="4" w:space="0" w:color="auto"/>
              <w:bottom w:val="single" w:sz="4" w:space="0" w:color="auto"/>
              <w:right w:val="single" w:sz="4" w:space="0" w:color="auto"/>
            </w:tcBorders>
            <w:vAlign w:val="center"/>
          </w:tcPr>
          <w:p w14:paraId="41E64DAE" w14:textId="77777777" w:rsidR="00DF436B" w:rsidRPr="00347017" w:rsidRDefault="00DF436B" w:rsidP="00DF436B">
            <w:pPr>
              <w:suppressLineNumbers/>
              <w:jc w:val="both"/>
              <w:rPr>
                <w:rFonts w:ascii="Times New Roman" w:hAnsi="Times New Roman" w:cs="Times New Roman"/>
                <w:b/>
                <w:bCs/>
                <w:sz w:val="24"/>
                <w:szCs w:val="24"/>
              </w:rPr>
            </w:pPr>
            <w:r w:rsidRPr="00347017">
              <w:rPr>
                <w:rFonts w:ascii="Times New Roman" w:hAnsi="Times New Roman" w:cs="Times New Roman"/>
                <w:b/>
                <w:bCs/>
                <w:sz w:val="24"/>
                <w:szCs w:val="24"/>
              </w:rPr>
              <w:t>Factor</w:t>
            </w:r>
          </w:p>
        </w:tc>
        <w:tc>
          <w:tcPr>
            <w:tcW w:w="0" w:type="auto"/>
            <w:tcBorders>
              <w:top w:val="single" w:sz="4" w:space="0" w:color="auto"/>
              <w:bottom w:val="single" w:sz="4" w:space="0" w:color="auto"/>
              <w:right w:val="single" w:sz="4" w:space="0" w:color="auto"/>
            </w:tcBorders>
            <w:vAlign w:val="center"/>
          </w:tcPr>
          <w:p w14:paraId="3B3EF21E" w14:textId="77777777" w:rsidR="00DF436B" w:rsidRPr="00347017" w:rsidRDefault="00DF436B" w:rsidP="00DF436B">
            <w:pPr>
              <w:suppressLineNumbers/>
              <w:jc w:val="both"/>
              <w:rPr>
                <w:rFonts w:ascii="Times New Roman" w:hAnsi="Times New Roman" w:cs="Times New Roman"/>
                <w:b/>
                <w:bCs/>
                <w:sz w:val="24"/>
                <w:szCs w:val="24"/>
              </w:rPr>
            </w:pPr>
            <w:r w:rsidRPr="00347017">
              <w:rPr>
                <w:rFonts w:ascii="Times New Roman" w:hAnsi="Times New Roman" w:cs="Times New Roman"/>
                <w:b/>
                <w:bCs/>
                <w:sz w:val="24"/>
                <w:szCs w:val="24"/>
              </w:rPr>
              <w:t>Effect on BNF</w:t>
            </w:r>
          </w:p>
        </w:tc>
        <w:tc>
          <w:tcPr>
            <w:tcW w:w="0" w:type="auto"/>
            <w:tcBorders>
              <w:top w:val="single" w:sz="4" w:space="0" w:color="auto"/>
              <w:bottom w:val="single" w:sz="4" w:space="0" w:color="auto"/>
              <w:right w:val="single" w:sz="4" w:space="0" w:color="auto"/>
            </w:tcBorders>
            <w:vAlign w:val="center"/>
          </w:tcPr>
          <w:p w14:paraId="78DB3493" w14:textId="77777777" w:rsidR="00DF436B" w:rsidRPr="00347017" w:rsidRDefault="00DF436B" w:rsidP="00DF436B">
            <w:pPr>
              <w:suppressLineNumbers/>
              <w:jc w:val="both"/>
              <w:rPr>
                <w:rFonts w:ascii="Times New Roman" w:hAnsi="Times New Roman" w:cs="Times New Roman"/>
                <w:b/>
                <w:bCs/>
                <w:sz w:val="24"/>
                <w:szCs w:val="24"/>
              </w:rPr>
            </w:pPr>
            <w:r w:rsidRPr="00347017">
              <w:rPr>
                <w:rFonts w:ascii="Times New Roman" w:hAnsi="Times New Roman" w:cs="Times New Roman"/>
                <w:b/>
                <w:bCs/>
                <w:sz w:val="24"/>
                <w:szCs w:val="24"/>
              </w:rPr>
              <w:t>Mechanism</w:t>
            </w:r>
          </w:p>
        </w:tc>
      </w:tr>
      <w:tr w:rsidR="00DF436B" w:rsidRPr="00347017" w14:paraId="0FF8F6D4" w14:textId="77777777" w:rsidTr="00DF436B">
        <w:trPr>
          <w:tblCellSpacing w:w="15" w:type="dxa"/>
        </w:trPr>
        <w:tc>
          <w:tcPr>
            <w:tcW w:w="664" w:type="dxa"/>
            <w:tcBorders>
              <w:left w:val="single" w:sz="4" w:space="0" w:color="auto"/>
              <w:bottom w:val="single" w:sz="4" w:space="0" w:color="auto"/>
              <w:right w:val="single" w:sz="4" w:space="0" w:color="auto"/>
            </w:tcBorders>
          </w:tcPr>
          <w:p w14:paraId="2C484F02" w14:textId="77777777" w:rsidR="00DF436B" w:rsidRPr="00347017" w:rsidRDefault="00DF436B" w:rsidP="00DF436B">
            <w:pPr>
              <w:suppressLineNumbers/>
              <w:jc w:val="both"/>
              <w:rPr>
                <w:rFonts w:ascii="Times New Roman" w:hAnsi="Times New Roman" w:cs="Times New Roman"/>
                <w:sz w:val="24"/>
                <w:szCs w:val="24"/>
              </w:rPr>
            </w:pPr>
            <w:r w:rsidRPr="00347017">
              <w:rPr>
                <w:rFonts w:ascii="Times New Roman" w:hAnsi="Times New Roman" w:cs="Times New Roman"/>
                <w:sz w:val="24"/>
                <w:szCs w:val="24"/>
              </w:rPr>
              <w:t>1</w:t>
            </w:r>
          </w:p>
        </w:tc>
        <w:tc>
          <w:tcPr>
            <w:tcW w:w="2305" w:type="dxa"/>
            <w:tcBorders>
              <w:left w:val="single" w:sz="4" w:space="0" w:color="auto"/>
              <w:bottom w:val="single" w:sz="4" w:space="0" w:color="auto"/>
              <w:right w:val="single" w:sz="4" w:space="0" w:color="auto"/>
            </w:tcBorders>
            <w:vAlign w:val="center"/>
          </w:tcPr>
          <w:p w14:paraId="6D0BDAD6" w14:textId="77777777" w:rsidR="00DF436B" w:rsidRPr="00347017" w:rsidRDefault="00DF436B" w:rsidP="00DF436B">
            <w:pPr>
              <w:suppressLineNumbers/>
              <w:jc w:val="both"/>
              <w:rPr>
                <w:rFonts w:ascii="Times New Roman" w:hAnsi="Times New Roman" w:cs="Times New Roman"/>
                <w:sz w:val="24"/>
                <w:szCs w:val="24"/>
              </w:rPr>
            </w:pPr>
            <w:r w:rsidRPr="00347017">
              <w:rPr>
                <w:rFonts w:ascii="Times New Roman" w:hAnsi="Times New Roman" w:cs="Times New Roman"/>
                <w:sz w:val="24"/>
                <w:szCs w:val="24"/>
              </w:rPr>
              <w:t>Soil nitrogen</w:t>
            </w:r>
          </w:p>
        </w:tc>
        <w:tc>
          <w:tcPr>
            <w:tcW w:w="0" w:type="auto"/>
            <w:tcBorders>
              <w:bottom w:val="single" w:sz="4" w:space="0" w:color="auto"/>
              <w:right w:val="single" w:sz="4" w:space="0" w:color="auto"/>
            </w:tcBorders>
            <w:vAlign w:val="center"/>
          </w:tcPr>
          <w:p w14:paraId="7AD73F25" w14:textId="77777777" w:rsidR="00DF436B" w:rsidRPr="00347017" w:rsidRDefault="00DF436B" w:rsidP="00DF436B">
            <w:pPr>
              <w:suppressLineNumbers/>
              <w:jc w:val="both"/>
              <w:rPr>
                <w:rFonts w:ascii="Times New Roman" w:hAnsi="Times New Roman" w:cs="Times New Roman"/>
                <w:sz w:val="24"/>
                <w:szCs w:val="24"/>
              </w:rPr>
            </w:pPr>
            <w:r w:rsidRPr="00347017">
              <w:rPr>
                <w:rFonts w:ascii="Times New Roman" w:hAnsi="Times New Roman" w:cs="Times New Roman"/>
                <w:sz w:val="24"/>
                <w:szCs w:val="24"/>
              </w:rPr>
              <w:t>Negative (high levels)</w:t>
            </w:r>
          </w:p>
        </w:tc>
        <w:tc>
          <w:tcPr>
            <w:tcW w:w="0" w:type="auto"/>
            <w:tcBorders>
              <w:bottom w:val="single" w:sz="4" w:space="0" w:color="auto"/>
              <w:right w:val="single" w:sz="4" w:space="0" w:color="auto"/>
            </w:tcBorders>
            <w:vAlign w:val="center"/>
          </w:tcPr>
          <w:p w14:paraId="2E9E74F0" w14:textId="77777777" w:rsidR="00DF436B" w:rsidRPr="00347017" w:rsidRDefault="00DF436B" w:rsidP="00DF436B">
            <w:pPr>
              <w:suppressLineNumbers/>
              <w:jc w:val="both"/>
              <w:rPr>
                <w:rFonts w:ascii="Times New Roman" w:hAnsi="Times New Roman" w:cs="Times New Roman"/>
                <w:sz w:val="24"/>
                <w:szCs w:val="24"/>
              </w:rPr>
            </w:pPr>
            <w:r w:rsidRPr="00347017">
              <w:rPr>
                <w:rFonts w:ascii="Times New Roman" w:hAnsi="Times New Roman" w:cs="Times New Roman"/>
                <w:sz w:val="24"/>
                <w:szCs w:val="24"/>
              </w:rPr>
              <w:t>Suppression of nodulation</w:t>
            </w:r>
          </w:p>
        </w:tc>
      </w:tr>
      <w:tr w:rsidR="00DF436B" w:rsidRPr="00347017" w14:paraId="1620363E" w14:textId="77777777" w:rsidTr="00DF436B">
        <w:trPr>
          <w:tblCellSpacing w:w="15" w:type="dxa"/>
        </w:trPr>
        <w:tc>
          <w:tcPr>
            <w:tcW w:w="664" w:type="dxa"/>
            <w:tcBorders>
              <w:left w:val="single" w:sz="4" w:space="0" w:color="auto"/>
              <w:bottom w:val="single" w:sz="4" w:space="0" w:color="auto"/>
              <w:right w:val="single" w:sz="4" w:space="0" w:color="auto"/>
            </w:tcBorders>
          </w:tcPr>
          <w:p w14:paraId="5D21DC1C" w14:textId="77777777" w:rsidR="00DF436B" w:rsidRPr="00347017" w:rsidRDefault="00DF436B" w:rsidP="00DF436B">
            <w:pPr>
              <w:suppressLineNumbers/>
              <w:jc w:val="both"/>
              <w:rPr>
                <w:rFonts w:ascii="Times New Roman" w:hAnsi="Times New Roman" w:cs="Times New Roman"/>
                <w:sz w:val="24"/>
                <w:szCs w:val="24"/>
              </w:rPr>
            </w:pPr>
            <w:r w:rsidRPr="00347017">
              <w:rPr>
                <w:rFonts w:ascii="Times New Roman" w:hAnsi="Times New Roman" w:cs="Times New Roman"/>
                <w:sz w:val="24"/>
                <w:szCs w:val="24"/>
              </w:rPr>
              <w:t>2</w:t>
            </w:r>
          </w:p>
        </w:tc>
        <w:tc>
          <w:tcPr>
            <w:tcW w:w="2305" w:type="dxa"/>
            <w:tcBorders>
              <w:left w:val="single" w:sz="4" w:space="0" w:color="auto"/>
              <w:bottom w:val="single" w:sz="4" w:space="0" w:color="auto"/>
              <w:right w:val="single" w:sz="4" w:space="0" w:color="auto"/>
            </w:tcBorders>
            <w:vAlign w:val="center"/>
          </w:tcPr>
          <w:p w14:paraId="770607BE" w14:textId="77777777" w:rsidR="00DF436B" w:rsidRPr="00347017" w:rsidRDefault="00DF436B" w:rsidP="00DF436B">
            <w:pPr>
              <w:suppressLineNumbers/>
              <w:jc w:val="both"/>
              <w:rPr>
                <w:rFonts w:ascii="Times New Roman" w:hAnsi="Times New Roman" w:cs="Times New Roman"/>
                <w:sz w:val="24"/>
                <w:szCs w:val="24"/>
              </w:rPr>
            </w:pPr>
            <w:r w:rsidRPr="00347017">
              <w:rPr>
                <w:rFonts w:ascii="Times New Roman" w:hAnsi="Times New Roman" w:cs="Times New Roman"/>
                <w:sz w:val="24"/>
                <w:szCs w:val="24"/>
              </w:rPr>
              <w:t>Phosphorus availability</w:t>
            </w:r>
          </w:p>
        </w:tc>
        <w:tc>
          <w:tcPr>
            <w:tcW w:w="0" w:type="auto"/>
            <w:tcBorders>
              <w:bottom w:val="single" w:sz="4" w:space="0" w:color="auto"/>
              <w:right w:val="single" w:sz="4" w:space="0" w:color="auto"/>
            </w:tcBorders>
            <w:vAlign w:val="center"/>
          </w:tcPr>
          <w:p w14:paraId="3D64019B" w14:textId="77777777" w:rsidR="00DF436B" w:rsidRPr="00347017" w:rsidRDefault="00DF436B" w:rsidP="00DF436B">
            <w:pPr>
              <w:suppressLineNumbers/>
              <w:jc w:val="both"/>
              <w:rPr>
                <w:rFonts w:ascii="Times New Roman" w:hAnsi="Times New Roman" w:cs="Times New Roman"/>
                <w:sz w:val="24"/>
                <w:szCs w:val="24"/>
              </w:rPr>
            </w:pPr>
            <w:r w:rsidRPr="00347017">
              <w:rPr>
                <w:rFonts w:ascii="Times New Roman" w:hAnsi="Times New Roman" w:cs="Times New Roman"/>
                <w:sz w:val="24"/>
                <w:szCs w:val="24"/>
              </w:rPr>
              <w:t>Positive</w:t>
            </w:r>
          </w:p>
        </w:tc>
        <w:tc>
          <w:tcPr>
            <w:tcW w:w="0" w:type="auto"/>
            <w:tcBorders>
              <w:bottom w:val="single" w:sz="4" w:space="0" w:color="auto"/>
              <w:right w:val="single" w:sz="4" w:space="0" w:color="auto"/>
            </w:tcBorders>
            <w:vAlign w:val="center"/>
          </w:tcPr>
          <w:p w14:paraId="409E5B45" w14:textId="77777777" w:rsidR="00DF436B" w:rsidRPr="00347017" w:rsidRDefault="00DF436B" w:rsidP="00DF436B">
            <w:pPr>
              <w:suppressLineNumbers/>
              <w:jc w:val="both"/>
              <w:rPr>
                <w:rFonts w:ascii="Times New Roman" w:hAnsi="Times New Roman" w:cs="Times New Roman"/>
                <w:sz w:val="24"/>
                <w:szCs w:val="24"/>
              </w:rPr>
            </w:pPr>
            <w:r w:rsidRPr="00347017">
              <w:rPr>
                <w:rFonts w:ascii="Times New Roman" w:hAnsi="Times New Roman" w:cs="Times New Roman"/>
                <w:sz w:val="24"/>
                <w:szCs w:val="24"/>
              </w:rPr>
              <w:t>Energy supply for fixation</w:t>
            </w:r>
          </w:p>
        </w:tc>
      </w:tr>
      <w:tr w:rsidR="00DF436B" w:rsidRPr="00347017" w14:paraId="644DC7DA" w14:textId="77777777" w:rsidTr="00DF436B">
        <w:trPr>
          <w:tblCellSpacing w:w="15" w:type="dxa"/>
        </w:trPr>
        <w:tc>
          <w:tcPr>
            <w:tcW w:w="664" w:type="dxa"/>
            <w:tcBorders>
              <w:left w:val="single" w:sz="4" w:space="0" w:color="auto"/>
              <w:right w:val="single" w:sz="4" w:space="0" w:color="auto"/>
            </w:tcBorders>
          </w:tcPr>
          <w:p w14:paraId="6CCDA9A2" w14:textId="77777777" w:rsidR="00DF436B" w:rsidRPr="00347017" w:rsidRDefault="00DF436B" w:rsidP="00DF436B">
            <w:pPr>
              <w:suppressLineNumbers/>
              <w:jc w:val="both"/>
              <w:rPr>
                <w:rFonts w:ascii="Times New Roman" w:hAnsi="Times New Roman" w:cs="Times New Roman"/>
                <w:sz w:val="24"/>
                <w:szCs w:val="24"/>
              </w:rPr>
            </w:pPr>
            <w:r w:rsidRPr="00347017">
              <w:rPr>
                <w:rFonts w:ascii="Times New Roman" w:hAnsi="Times New Roman" w:cs="Times New Roman"/>
                <w:sz w:val="24"/>
                <w:szCs w:val="24"/>
              </w:rPr>
              <w:t>3</w:t>
            </w:r>
          </w:p>
        </w:tc>
        <w:tc>
          <w:tcPr>
            <w:tcW w:w="2305" w:type="dxa"/>
            <w:tcBorders>
              <w:left w:val="single" w:sz="4" w:space="0" w:color="auto"/>
              <w:right w:val="single" w:sz="4" w:space="0" w:color="auto"/>
            </w:tcBorders>
            <w:vAlign w:val="center"/>
          </w:tcPr>
          <w:p w14:paraId="28F1A623" w14:textId="77777777" w:rsidR="00DF436B" w:rsidRPr="00347017" w:rsidRDefault="00DF436B" w:rsidP="00DF436B">
            <w:pPr>
              <w:suppressLineNumbers/>
              <w:jc w:val="both"/>
              <w:rPr>
                <w:rFonts w:ascii="Times New Roman" w:hAnsi="Times New Roman" w:cs="Times New Roman"/>
                <w:sz w:val="24"/>
                <w:szCs w:val="24"/>
              </w:rPr>
            </w:pPr>
            <w:r w:rsidRPr="00347017">
              <w:rPr>
                <w:rFonts w:ascii="Times New Roman" w:hAnsi="Times New Roman" w:cs="Times New Roman"/>
                <w:sz w:val="24"/>
                <w:szCs w:val="24"/>
              </w:rPr>
              <w:t>Soil moisture</w:t>
            </w:r>
          </w:p>
        </w:tc>
        <w:tc>
          <w:tcPr>
            <w:tcW w:w="0" w:type="auto"/>
            <w:tcBorders>
              <w:right w:val="single" w:sz="4" w:space="0" w:color="auto"/>
            </w:tcBorders>
            <w:vAlign w:val="center"/>
          </w:tcPr>
          <w:p w14:paraId="597F50F9" w14:textId="77777777" w:rsidR="00DF436B" w:rsidRPr="00347017" w:rsidRDefault="00DF436B" w:rsidP="00DF436B">
            <w:pPr>
              <w:suppressLineNumbers/>
              <w:jc w:val="both"/>
              <w:rPr>
                <w:rFonts w:ascii="Times New Roman" w:hAnsi="Times New Roman" w:cs="Times New Roman"/>
                <w:sz w:val="24"/>
                <w:szCs w:val="24"/>
              </w:rPr>
            </w:pPr>
            <w:r w:rsidRPr="00347017">
              <w:rPr>
                <w:rFonts w:ascii="Times New Roman" w:hAnsi="Times New Roman" w:cs="Times New Roman"/>
                <w:sz w:val="24"/>
                <w:szCs w:val="24"/>
              </w:rPr>
              <w:t>Positive/Negative</w:t>
            </w:r>
          </w:p>
        </w:tc>
        <w:tc>
          <w:tcPr>
            <w:tcW w:w="0" w:type="auto"/>
            <w:tcBorders>
              <w:right w:val="single" w:sz="4" w:space="0" w:color="auto"/>
            </w:tcBorders>
            <w:vAlign w:val="center"/>
          </w:tcPr>
          <w:p w14:paraId="04524C82" w14:textId="77777777" w:rsidR="00DF436B" w:rsidRPr="00347017" w:rsidRDefault="00DF436B" w:rsidP="00DF436B">
            <w:pPr>
              <w:suppressLineNumbers/>
              <w:jc w:val="both"/>
              <w:rPr>
                <w:rFonts w:ascii="Times New Roman" w:hAnsi="Times New Roman" w:cs="Times New Roman"/>
                <w:sz w:val="24"/>
                <w:szCs w:val="24"/>
              </w:rPr>
            </w:pPr>
            <w:r w:rsidRPr="00347017">
              <w:rPr>
                <w:rFonts w:ascii="Times New Roman" w:hAnsi="Times New Roman" w:cs="Times New Roman"/>
                <w:sz w:val="24"/>
                <w:szCs w:val="24"/>
              </w:rPr>
              <w:t>Affects nodule activity</w:t>
            </w:r>
          </w:p>
        </w:tc>
      </w:tr>
      <w:tr w:rsidR="00DF436B" w:rsidRPr="00347017" w14:paraId="1566DF34" w14:textId="77777777" w:rsidTr="00DF436B">
        <w:trPr>
          <w:tblCellSpacing w:w="15" w:type="dxa"/>
        </w:trPr>
        <w:tc>
          <w:tcPr>
            <w:tcW w:w="664" w:type="dxa"/>
            <w:tcBorders>
              <w:top w:val="single" w:sz="4" w:space="0" w:color="auto"/>
              <w:left w:val="single" w:sz="4" w:space="0" w:color="auto"/>
              <w:right w:val="single" w:sz="4" w:space="0" w:color="auto"/>
            </w:tcBorders>
          </w:tcPr>
          <w:p w14:paraId="16F8F1FB" w14:textId="77777777" w:rsidR="00DF436B" w:rsidRPr="00347017" w:rsidRDefault="00DF436B" w:rsidP="00DF436B">
            <w:pPr>
              <w:suppressLineNumbers/>
              <w:jc w:val="both"/>
              <w:rPr>
                <w:rFonts w:ascii="Times New Roman" w:hAnsi="Times New Roman" w:cs="Times New Roman"/>
                <w:sz w:val="24"/>
                <w:szCs w:val="24"/>
              </w:rPr>
            </w:pPr>
            <w:r w:rsidRPr="00347017">
              <w:rPr>
                <w:rFonts w:ascii="Times New Roman" w:hAnsi="Times New Roman" w:cs="Times New Roman"/>
                <w:sz w:val="24"/>
                <w:szCs w:val="24"/>
              </w:rPr>
              <w:t>4</w:t>
            </w:r>
          </w:p>
        </w:tc>
        <w:tc>
          <w:tcPr>
            <w:tcW w:w="2305" w:type="dxa"/>
            <w:tcBorders>
              <w:top w:val="single" w:sz="4" w:space="0" w:color="auto"/>
              <w:left w:val="single" w:sz="4" w:space="0" w:color="auto"/>
              <w:right w:val="single" w:sz="4" w:space="0" w:color="auto"/>
            </w:tcBorders>
            <w:vAlign w:val="center"/>
          </w:tcPr>
          <w:p w14:paraId="6767E05B" w14:textId="77777777" w:rsidR="00DF436B" w:rsidRPr="00347017" w:rsidRDefault="00DF436B" w:rsidP="00DF436B">
            <w:pPr>
              <w:suppressLineNumbers/>
              <w:jc w:val="both"/>
              <w:rPr>
                <w:rFonts w:ascii="Times New Roman" w:hAnsi="Times New Roman" w:cs="Times New Roman"/>
                <w:sz w:val="24"/>
                <w:szCs w:val="24"/>
              </w:rPr>
            </w:pPr>
            <w:r w:rsidRPr="00347017">
              <w:rPr>
                <w:rFonts w:ascii="Times New Roman" w:hAnsi="Times New Roman" w:cs="Times New Roman"/>
                <w:sz w:val="24"/>
                <w:szCs w:val="24"/>
              </w:rPr>
              <w:t>Temperature</w:t>
            </w:r>
          </w:p>
        </w:tc>
        <w:tc>
          <w:tcPr>
            <w:tcW w:w="0" w:type="auto"/>
            <w:tcBorders>
              <w:top w:val="single" w:sz="4" w:space="0" w:color="auto"/>
              <w:right w:val="single" w:sz="4" w:space="0" w:color="auto"/>
            </w:tcBorders>
            <w:vAlign w:val="center"/>
          </w:tcPr>
          <w:p w14:paraId="1716E96A" w14:textId="77777777" w:rsidR="00DF436B" w:rsidRPr="00347017" w:rsidRDefault="00DF436B" w:rsidP="00DF436B">
            <w:pPr>
              <w:suppressLineNumbers/>
              <w:jc w:val="both"/>
              <w:rPr>
                <w:rFonts w:ascii="Times New Roman" w:hAnsi="Times New Roman" w:cs="Times New Roman"/>
                <w:sz w:val="24"/>
                <w:szCs w:val="24"/>
              </w:rPr>
            </w:pPr>
            <w:r w:rsidRPr="00347017">
              <w:rPr>
                <w:rFonts w:ascii="Times New Roman" w:hAnsi="Times New Roman" w:cs="Times New Roman"/>
                <w:sz w:val="24"/>
                <w:szCs w:val="24"/>
              </w:rPr>
              <w:t>Optimal range required</w:t>
            </w:r>
          </w:p>
        </w:tc>
        <w:tc>
          <w:tcPr>
            <w:tcW w:w="0" w:type="auto"/>
            <w:tcBorders>
              <w:top w:val="single" w:sz="4" w:space="0" w:color="auto"/>
              <w:right w:val="single" w:sz="4" w:space="0" w:color="auto"/>
            </w:tcBorders>
            <w:vAlign w:val="center"/>
          </w:tcPr>
          <w:p w14:paraId="65053FA1" w14:textId="77777777" w:rsidR="00DF436B" w:rsidRPr="00347017" w:rsidRDefault="00DF436B" w:rsidP="00DF436B">
            <w:pPr>
              <w:suppressLineNumbers/>
              <w:jc w:val="both"/>
              <w:rPr>
                <w:rFonts w:ascii="Times New Roman" w:hAnsi="Times New Roman" w:cs="Times New Roman"/>
                <w:sz w:val="24"/>
                <w:szCs w:val="24"/>
              </w:rPr>
            </w:pPr>
            <w:r w:rsidRPr="00347017">
              <w:rPr>
                <w:rFonts w:ascii="Times New Roman" w:hAnsi="Times New Roman" w:cs="Times New Roman"/>
                <w:sz w:val="24"/>
                <w:szCs w:val="24"/>
              </w:rPr>
              <w:t>Influences enzyme activity</w:t>
            </w:r>
          </w:p>
        </w:tc>
      </w:tr>
      <w:tr w:rsidR="00DF436B" w:rsidRPr="00347017" w14:paraId="0D35146F" w14:textId="77777777" w:rsidTr="00DF436B">
        <w:trPr>
          <w:tblCellSpacing w:w="15" w:type="dxa"/>
        </w:trPr>
        <w:tc>
          <w:tcPr>
            <w:tcW w:w="664" w:type="dxa"/>
            <w:tcBorders>
              <w:top w:val="single" w:sz="4" w:space="0" w:color="auto"/>
              <w:left w:val="single" w:sz="4" w:space="0" w:color="auto"/>
              <w:bottom w:val="single" w:sz="4" w:space="0" w:color="auto"/>
              <w:right w:val="single" w:sz="4" w:space="0" w:color="auto"/>
            </w:tcBorders>
          </w:tcPr>
          <w:p w14:paraId="268D8DF5" w14:textId="77777777" w:rsidR="00DF436B" w:rsidRPr="00347017" w:rsidRDefault="00DF436B" w:rsidP="00DF436B">
            <w:pPr>
              <w:suppressLineNumbers/>
              <w:jc w:val="both"/>
              <w:rPr>
                <w:rFonts w:ascii="Times New Roman" w:hAnsi="Times New Roman" w:cs="Times New Roman"/>
                <w:sz w:val="24"/>
                <w:szCs w:val="24"/>
              </w:rPr>
            </w:pPr>
            <w:r w:rsidRPr="00347017">
              <w:rPr>
                <w:rFonts w:ascii="Times New Roman" w:hAnsi="Times New Roman" w:cs="Times New Roman"/>
                <w:sz w:val="24"/>
                <w:szCs w:val="24"/>
              </w:rPr>
              <w:t>5</w:t>
            </w:r>
          </w:p>
        </w:tc>
        <w:tc>
          <w:tcPr>
            <w:tcW w:w="2305" w:type="dxa"/>
            <w:tcBorders>
              <w:top w:val="single" w:sz="4" w:space="0" w:color="auto"/>
              <w:left w:val="single" w:sz="4" w:space="0" w:color="auto"/>
              <w:bottom w:val="single" w:sz="4" w:space="0" w:color="auto"/>
              <w:right w:val="single" w:sz="4" w:space="0" w:color="auto"/>
            </w:tcBorders>
            <w:vAlign w:val="center"/>
          </w:tcPr>
          <w:p w14:paraId="1F8BAF19" w14:textId="77777777" w:rsidR="00DF436B" w:rsidRPr="00347017" w:rsidRDefault="00DF436B" w:rsidP="00DF436B">
            <w:pPr>
              <w:suppressLineNumbers/>
              <w:jc w:val="both"/>
              <w:rPr>
                <w:rFonts w:ascii="Times New Roman" w:hAnsi="Times New Roman" w:cs="Times New Roman"/>
                <w:sz w:val="24"/>
                <w:szCs w:val="24"/>
              </w:rPr>
            </w:pPr>
            <w:r w:rsidRPr="00347017">
              <w:rPr>
                <w:rFonts w:ascii="Times New Roman" w:hAnsi="Times New Roman" w:cs="Times New Roman"/>
                <w:sz w:val="24"/>
                <w:szCs w:val="24"/>
              </w:rPr>
              <w:t>Soil pH</w:t>
            </w:r>
          </w:p>
        </w:tc>
        <w:tc>
          <w:tcPr>
            <w:tcW w:w="0" w:type="auto"/>
            <w:tcBorders>
              <w:top w:val="single" w:sz="4" w:space="0" w:color="auto"/>
              <w:bottom w:val="single" w:sz="4" w:space="0" w:color="auto"/>
              <w:right w:val="single" w:sz="4" w:space="0" w:color="auto"/>
            </w:tcBorders>
            <w:vAlign w:val="center"/>
          </w:tcPr>
          <w:p w14:paraId="4CC9034F" w14:textId="77777777" w:rsidR="00DF436B" w:rsidRPr="00347017" w:rsidRDefault="00DF436B" w:rsidP="00DF436B">
            <w:pPr>
              <w:suppressLineNumbers/>
              <w:jc w:val="both"/>
              <w:rPr>
                <w:rFonts w:ascii="Times New Roman" w:hAnsi="Times New Roman" w:cs="Times New Roman"/>
                <w:sz w:val="24"/>
                <w:szCs w:val="24"/>
              </w:rPr>
            </w:pPr>
            <w:r w:rsidRPr="00347017">
              <w:rPr>
                <w:rFonts w:ascii="Times New Roman" w:hAnsi="Times New Roman" w:cs="Times New Roman"/>
                <w:sz w:val="24"/>
                <w:szCs w:val="24"/>
              </w:rPr>
              <w:t>Neutral preferred</w:t>
            </w:r>
          </w:p>
        </w:tc>
        <w:tc>
          <w:tcPr>
            <w:tcW w:w="0" w:type="auto"/>
            <w:tcBorders>
              <w:top w:val="single" w:sz="4" w:space="0" w:color="auto"/>
              <w:bottom w:val="single" w:sz="4" w:space="0" w:color="auto"/>
              <w:right w:val="single" w:sz="4" w:space="0" w:color="auto"/>
            </w:tcBorders>
            <w:vAlign w:val="center"/>
          </w:tcPr>
          <w:p w14:paraId="5690D480" w14:textId="77777777" w:rsidR="00DF436B" w:rsidRPr="00347017" w:rsidRDefault="00DF436B" w:rsidP="00DF436B">
            <w:pPr>
              <w:suppressLineNumbers/>
              <w:jc w:val="both"/>
              <w:rPr>
                <w:rFonts w:ascii="Times New Roman" w:hAnsi="Times New Roman" w:cs="Times New Roman"/>
                <w:sz w:val="24"/>
                <w:szCs w:val="24"/>
              </w:rPr>
            </w:pPr>
            <w:r w:rsidRPr="00347017">
              <w:rPr>
                <w:rFonts w:ascii="Times New Roman" w:hAnsi="Times New Roman" w:cs="Times New Roman"/>
                <w:sz w:val="24"/>
                <w:szCs w:val="24"/>
              </w:rPr>
              <w:t xml:space="preserve">Affects </w:t>
            </w:r>
            <w:proofErr w:type="spellStart"/>
            <w:r w:rsidRPr="00347017">
              <w:rPr>
                <w:rFonts w:ascii="Times New Roman" w:hAnsi="Times New Roman" w:cs="Times New Roman"/>
                <w:sz w:val="24"/>
                <w:szCs w:val="24"/>
              </w:rPr>
              <w:t>rhizobial</w:t>
            </w:r>
            <w:proofErr w:type="spellEnd"/>
            <w:r w:rsidRPr="00347017">
              <w:rPr>
                <w:rFonts w:ascii="Times New Roman" w:hAnsi="Times New Roman" w:cs="Times New Roman"/>
                <w:sz w:val="24"/>
                <w:szCs w:val="24"/>
              </w:rPr>
              <w:t xml:space="preserve"> survival</w:t>
            </w:r>
          </w:p>
        </w:tc>
      </w:tr>
      <w:tr w:rsidR="00DF436B" w:rsidRPr="00347017" w14:paraId="11CE7F72" w14:textId="77777777" w:rsidTr="00DF436B">
        <w:trPr>
          <w:tblCellSpacing w:w="15" w:type="dxa"/>
        </w:trPr>
        <w:tc>
          <w:tcPr>
            <w:tcW w:w="664" w:type="dxa"/>
            <w:tcBorders>
              <w:left w:val="single" w:sz="4" w:space="0" w:color="auto"/>
              <w:bottom w:val="single" w:sz="4" w:space="0" w:color="auto"/>
              <w:right w:val="single" w:sz="4" w:space="0" w:color="auto"/>
            </w:tcBorders>
          </w:tcPr>
          <w:p w14:paraId="485DA94F" w14:textId="77777777" w:rsidR="00DF436B" w:rsidRPr="00347017" w:rsidRDefault="00DF436B" w:rsidP="00DF436B">
            <w:pPr>
              <w:suppressLineNumbers/>
              <w:jc w:val="both"/>
              <w:rPr>
                <w:rFonts w:ascii="Times New Roman" w:hAnsi="Times New Roman" w:cs="Times New Roman"/>
                <w:sz w:val="24"/>
                <w:szCs w:val="24"/>
              </w:rPr>
            </w:pPr>
            <w:r w:rsidRPr="00347017">
              <w:rPr>
                <w:rFonts w:ascii="Times New Roman" w:hAnsi="Times New Roman" w:cs="Times New Roman"/>
                <w:sz w:val="24"/>
                <w:szCs w:val="24"/>
              </w:rPr>
              <w:t>6</w:t>
            </w:r>
          </w:p>
        </w:tc>
        <w:tc>
          <w:tcPr>
            <w:tcW w:w="2305" w:type="dxa"/>
            <w:tcBorders>
              <w:left w:val="single" w:sz="4" w:space="0" w:color="auto"/>
              <w:bottom w:val="single" w:sz="4" w:space="0" w:color="auto"/>
              <w:right w:val="single" w:sz="4" w:space="0" w:color="auto"/>
            </w:tcBorders>
            <w:vAlign w:val="center"/>
          </w:tcPr>
          <w:p w14:paraId="4C352460" w14:textId="77777777" w:rsidR="00DF436B" w:rsidRPr="00347017" w:rsidRDefault="00DF436B" w:rsidP="00DF436B">
            <w:pPr>
              <w:suppressLineNumbers/>
              <w:jc w:val="both"/>
              <w:rPr>
                <w:rFonts w:ascii="Times New Roman" w:hAnsi="Times New Roman" w:cs="Times New Roman"/>
                <w:sz w:val="24"/>
                <w:szCs w:val="24"/>
              </w:rPr>
            </w:pPr>
            <w:r w:rsidRPr="00347017">
              <w:rPr>
                <w:rFonts w:ascii="Times New Roman" w:hAnsi="Times New Roman" w:cs="Times New Roman"/>
                <w:sz w:val="24"/>
                <w:szCs w:val="24"/>
              </w:rPr>
              <w:t>Genotype</w:t>
            </w:r>
          </w:p>
        </w:tc>
        <w:tc>
          <w:tcPr>
            <w:tcW w:w="0" w:type="auto"/>
            <w:tcBorders>
              <w:bottom w:val="single" w:sz="4" w:space="0" w:color="auto"/>
              <w:right w:val="single" w:sz="4" w:space="0" w:color="auto"/>
            </w:tcBorders>
            <w:vAlign w:val="center"/>
          </w:tcPr>
          <w:p w14:paraId="2DC14733" w14:textId="77777777" w:rsidR="00DF436B" w:rsidRPr="00347017" w:rsidRDefault="00DF436B" w:rsidP="00DF436B">
            <w:pPr>
              <w:suppressLineNumbers/>
              <w:jc w:val="both"/>
              <w:rPr>
                <w:rFonts w:ascii="Times New Roman" w:hAnsi="Times New Roman" w:cs="Times New Roman"/>
                <w:sz w:val="24"/>
                <w:szCs w:val="24"/>
              </w:rPr>
            </w:pPr>
            <w:r w:rsidRPr="00347017">
              <w:rPr>
                <w:rFonts w:ascii="Times New Roman" w:hAnsi="Times New Roman" w:cs="Times New Roman"/>
                <w:sz w:val="24"/>
                <w:szCs w:val="24"/>
              </w:rPr>
              <w:t>Highly variable</w:t>
            </w:r>
          </w:p>
        </w:tc>
        <w:tc>
          <w:tcPr>
            <w:tcW w:w="0" w:type="auto"/>
            <w:tcBorders>
              <w:bottom w:val="single" w:sz="4" w:space="0" w:color="auto"/>
              <w:right w:val="single" w:sz="4" w:space="0" w:color="auto"/>
            </w:tcBorders>
            <w:vAlign w:val="center"/>
          </w:tcPr>
          <w:p w14:paraId="6AD53E93" w14:textId="77777777" w:rsidR="00DF436B" w:rsidRPr="00347017" w:rsidRDefault="00DF436B" w:rsidP="00DF436B">
            <w:pPr>
              <w:suppressLineNumbers/>
              <w:jc w:val="both"/>
              <w:rPr>
                <w:rFonts w:ascii="Times New Roman" w:hAnsi="Times New Roman" w:cs="Times New Roman"/>
                <w:sz w:val="24"/>
                <w:szCs w:val="24"/>
              </w:rPr>
            </w:pPr>
            <w:r w:rsidRPr="00347017">
              <w:rPr>
                <w:rFonts w:ascii="Times New Roman" w:hAnsi="Times New Roman" w:cs="Times New Roman"/>
                <w:sz w:val="24"/>
                <w:szCs w:val="24"/>
              </w:rPr>
              <w:t>Controls symbiotic efficiency</w:t>
            </w:r>
          </w:p>
        </w:tc>
      </w:tr>
      <w:tr w:rsidR="00DF436B" w:rsidRPr="00347017" w14:paraId="3DAF2AEC" w14:textId="77777777" w:rsidTr="00DF436B">
        <w:trPr>
          <w:tblCellSpacing w:w="15" w:type="dxa"/>
        </w:trPr>
        <w:tc>
          <w:tcPr>
            <w:tcW w:w="664" w:type="dxa"/>
            <w:tcBorders>
              <w:left w:val="single" w:sz="4" w:space="0" w:color="auto"/>
              <w:bottom w:val="single" w:sz="4" w:space="0" w:color="auto"/>
              <w:right w:val="single" w:sz="4" w:space="0" w:color="auto"/>
            </w:tcBorders>
          </w:tcPr>
          <w:p w14:paraId="39FBFD93" w14:textId="77777777" w:rsidR="00DF436B" w:rsidRPr="00347017" w:rsidRDefault="00DF436B" w:rsidP="00DF436B">
            <w:pPr>
              <w:suppressLineNumbers/>
              <w:jc w:val="both"/>
              <w:rPr>
                <w:rFonts w:ascii="Times New Roman" w:hAnsi="Times New Roman" w:cs="Times New Roman"/>
                <w:sz w:val="24"/>
                <w:szCs w:val="24"/>
              </w:rPr>
            </w:pPr>
            <w:r w:rsidRPr="00347017">
              <w:rPr>
                <w:rFonts w:ascii="Times New Roman" w:hAnsi="Times New Roman" w:cs="Times New Roman"/>
                <w:sz w:val="24"/>
                <w:szCs w:val="24"/>
              </w:rPr>
              <w:t>7</w:t>
            </w:r>
          </w:p>
        </w:tc>
        <w:tc>
          <w:tcPr>
            <w:tcW w:w="2305" w:type="dxa"/>
            <w:tcBorders>
              <w:left w:val="single" w:sz="4" w:space="0" w:color="auto"/>
              <w:bottom w:val="single" w:sz="4" w:space="0" w:color="auto"/>
              <w:right w:val="single" w:sz="4" w:space="0" w:color="auto"/>
            </w:tcBorders>
            <w:vAlign w:val="center"/>
          </w:tcPr>
          <w:p w14:paraId="133BBCFB" w14:textId="77777777" w:rsidR="00DF436B" w:rsidRPr="00347017" w:rsidRDefault="00DF436B" w:rsidP="00DF436B">
            <w:pPr>
              <w:suppressLineNumbers/>
              <w:jc w:val="both"/>
              <w:rPr>
                <w:rFonts w:ascii="Times New Roman" w:hAnsi="Times New Roman" w:cs="Times New Roman"/>
                <w:sz w:val="24"/>
                <w:szCs w:val="24"/>
              </w:rPr>
            </w:pPr>
            <w:r w:rsidRPr="00347017">
              <w:rPr>
                <w:rFonts w:ascii="Times New Roman" w:hAnsi="Times New Roman" w:cs="Times New Roman"/>
                <w:sz w:val="24"/>
                <w:szCs w:val="24"/>
              </w:rPr>
              <w:t>Microbial diversity</w:t>
            </w:r>
          </w:p>
        </w:tc>
        <w:tc>
          <w:tcPr>
            <w:tcW w:w="0" w:type="auto"/>
            <w:tcBorders>
              <w:bottom w:val="single" w:sz="4" w:space="0" w:color="auto"/>
              <w:right w:val="single" w:sz="4" w:space="0" w:color="auto"/>
            </w:tcBorders>
            <w:vAlign w:val="center"/>
          </w:tcPr>
          <w:p w14:paraId="75CDB515" w14:textId="77777777" w:rsidR="00DF436B" w:rsidRPr="00347017" w:rsidRDefault="00DF436B" w:rsidP="00DF436B">
            <w:pPr>
              <w:suppressLineNumbers/>
              <w:jc w:val="both"/>
              <w:rPr>
                <w:rFonts w:ascii="Times New Roman" w:hAnsi="Times New Roman" w:cs="Times New Roman"/>
                <w:sz w:val="24"/>
                <w:szCs w:val="24"/>
              </w:rPr>
            </w:pPr>
            <w:r w:rsidRPr="00347017">
              <w:rPr>
                <w:rFonts w:ascii="Times New Roman" w:hAnsi="Times New Roman" w:cs="Times New Roman"/>
                <w:sz w:val="24"/>
                <w:szCs w:val="24"/>
              </w:rPr>
              <w:t>Positive</w:t>
            </w:r>
          </w:p>
        </w:tc>
        <w:tc>
          <w:tcPr>
            <w:tcW w:w="0" w:type="auto"/>
            <w:tcBorders>
              <w:bottom w:val="single" w:sz="4" w:space="0" w:color="auto"/>
              <w:right w:val="single" w:sz="4" w:space="0" w:color="auto"/>
            </w:tcBorders>
            <w:vAlign w:val="center"/>
          </w:tcPr>
          <w:p w14:paraId="6FA8E6E7" w14:textId="77777777" w:rsidR="00DF436B" w:rsidRPr="00347017" w:rsidRDefault="00DF436B" w:rsidP="00DF436B">
            <w:pPr>
              <w:suppressLineNumbers/>
              <w:jc w:val="both"/>
              <w:rPr>
                <w:rFonts w:ascii="Times New Roman" w:hAnsi="Times New Roman" w:cs="Times New Roman"/>
                <w:sz w:val="24"/>
                <w:szCs w:val="24"/>
              </w:rPr>
            </w:pPr>
            <w:r w:rsidRPr="00347017">
              <w:rPr>
                <w:rFonts w:ascii="Times New Roman" w:hAnsi="Times New Roman" w:cs="Times New Roman"/>
                <w:sz w:val="24"/>
                <w:szCs w:val="24"/>
              </w:rPr>
              <w:t>Enhances rhizosphere interactions</w:t>
            </w:r>
          </w:p>
        </w:tc>
      </w:tr>
    </w:tbl>
    <w:p w14:paraId="071B5A69" w14:textId="77777777" w:rsidR="007F6049" w:rsidRPr="00347017" w:rsidRDefault="007F6049" w:rsidP="006A6CAF">
      <w:pPr>
        <w:suppressLineNumbers/>
        <w:jc w:val="both"/>
        <w:rPr>
          <w:rFonts w:ascii="Times New Roman" w:hAnsi="Times New Roman" w:cs="Times New Roman"/>
          <w:sz w:val="24"/>
          <w:szCs w:val="24"/>
        </w:rPr>
      </w:pPr>
    </w:p>
    <w:p w14:paraId="3F6823A5" w14:textId="77777777" w:rsidR="007F6049" w:rsidRPr="00347017" w:rsidRDefault="007F6049" w:rsidP="006A6CAF">
      <w:pPr>
        <w:suppressLineNumbers/>
        <w:jc w:val="both"/>
        <w:rPr>
          <w:rFonts w:ascii="Times New Roman" w:hAnsi="Times New Roman" w:cs="Times New Roman"/>
          <w:sz w:val="24"/>
          <w:szCs w:val="24"/>
        </w:rPr>
      </w:pPr>
    </w:p>
    <w:p w14:paraId="192C3EF2" w14:textId="77777777" w:rsidR="007F6049" w:rsidRPr="00347017" w:rsidRDefault="007F6049" w:rsidP="006A6CAF">
      <w:pPr>
        <w:suppressLineNumbers/>
        <w:jc w:val="both"/>
        <w:rPr>
          <w:rFonts w:ascii="Times New Roman" w:hAnsi="Times New Roman" w:cs="Times New Roman"/>
          <w:sz w:val="24"/>
          <w:szCs w:val="24"/>
        </w:rPr>
      </w:pPr>
    </w:p>
    <w:p w14:paraId="517780C3" w14:textId="77777777" w:rsidR="007F6049" w:rsidRPr="00347017" w:rsidRDefault="007F6049" w:rsidP="006A6CAF">
      <w:pPr>
        <w:suppressLineNumbers/>
        <w:jc w:val="both"/>
        <w:rPr>
          <w:rFonts w:ascii="Times New Roman" w:hAnsi="Times New Roman" w:cs="Times New Roman"/>
          <w:sz w:val="24"/>
          <w:szCs w:val="24"/>
        </w:rPr>
      </w:pPr>
    </w:p>
    <w:p w14:paraId="7093912D" w14:textId="77777777" w:rsidR="007F6049" w:rsidRPr="00347017" w:rsidRDefault="007F6049" w:rsidP="006A6CAF">
      <w:pPr>
        <w:suppressLineNumbers/>
        <w:jc w:val="both"/>
        <w:rPr>
          <w:rFonts w:ascii="Times New Roman" w:hAnsi="Times New Roman" w:cs="Times New Roman"/>
          <w:sz w:val="24"/>
          <w:szCs w:val="24"/>
        </w:rPr>
      </w:pPr>
    </w:p>
    <w:p w14:paraId="68357178" w14:textId="77777777" w:rsidR="007F6049" w:rsidRPr="00347017" w:rsidRDefault="007F6049" w:rsidP="006A6CAF">
      <w:pPr>
        <w:suppressLineNumbers/>
        <w:jc w:val="both"/>
        <w:rPr>
          <w:rFonts w:ascii="Times New Roman" w:hAnsi="Times New Roman" w:cs="Times New Roman"/>
          <w:sz w:val="24"/>
          <w:szCs w:val="24"/>
        </w:rPr>
      </w:pPr>
    </w:p>
    <w:p w14:paraId="654EE7D3" w14:textId="77777777" w:rsidR="007F6049" w:rsidRPr="00347017" w:rsidRDefault="007F6049" w:rsidP="006A6CAF">
      <w:pPr>
        <w:suppressLineNumbers/>
        <w:jc w:val="both"/>
        <w:rPr>
          <w:rFonts w:ascii="Times New Roman" w:hAnsi="Times New Roman" w:cs="Times New Roman"/>
          <w:sz w:val="24"/>
          <w:szCs w:val="24"/>
        </w:rPr>
      </w:pPr>
    </w:p>
    <w:p w14:paraId="1F2084B0" w14:textId="77777777" w:rsidR="007F6049" w:rsidRPr="00347017" w:rsidRDefault="007F6049" w:rsidP="006A6CAF">
      <w:pPr>
        <w:suppressLineNumbers/>
        <w:jc w:val="both"/>
        <w:rPr>
          <w:rFonts w:ascii="Times New Roman" w:hAnsi="Times New Roman" w:cs="Times New Roman"/>
          <w:sz w:val="24"/>
          <w:szCs w:val="24"/>
        </w:rPr>
      </w:pPr>
    </w:p>
    <w:p w14:paraId="3D8F1128" w14:textId="77777777" w:rsidR="007F6049" w:rsidRPr="00347017" w:rsidRDefault="007F6049" w:rsidP="006A6CAF">
      <w:pPr>
        <w:suppressLineNumbers/>
        <w:jc w:val="both"/>
        <w:rPr>
          <w:rFonts w:ascii="Times New Roman" w:hAnsi="Times New Roman" w:cs="Times New Roman"/>
          <w:sz w:val="24"/>
          <w:szCs w:val="24"/>
        </w:rPr>
      </w:pPr>
    </w:p>
    <w:p w14:paraId="3491EE5E" w14:textId="77777777" w:rsidR="007F6049" w:rsidRPr="00347017" w:rsidRDefault="007F6049" w:rsidP="006A6CAF">
      <w:pPr>
        <w:suppressLineNumbers/>
        <w:jc w:val="both"/>
        <w:rPr>
          <w:rFonts w:ascii="Times New Roman" w:hAnsi="Times New Roman" w:cs="Times New Roman"/>
          <w:sz w:val="24"/>
          <w:szCs w:val="24"/>
        </w:rPr>
      </w:pPr>
    </w:p>
    <w:p w14:paraId="5D7266E3" w14:textId="77777777" w:rsidR="007F6049" w:rsidRPr="00347017" w:rsidRDefault="007F6049" w:rsidP="006A6CAF">
      <w:pPr>
        <w:suppressLineNumbers/>
        <w:jc w:val="both"/>
        <w:rPr>
          <w:rFonts w:ascii="Times New Roman" w:hAnsi="Times New Roman" w:cs="Times New Roman"/>
          <w:sz w:val="24"/>
          <w:szCs w:val="24"/>
        </w:rPr>
      </w:pPr>
    </w:p>
    <w:p w14:paraId="08E1EB09" w14:textId="77777777" w:rsidR="007F6049" w:rsidRPr="00347017" w:rsidRDefault="007F6049" w:rsidP="006A6CAF">
      <w:pPr>
        <w:suppressLineNumbers/>
        <w:jc w:val="both"/>
        <w:rPr>
          <w:rFonts w:ascii="Times New Roman" w:hAnsi="Times New Roman" w:cs="Times New Roman"/>
          <w:sz w:val="24"/>
          <w:szCs w:val="24"/>
        </w:rPr>
      </w:pPr>
    </w:p>
    <w:p w14:paraId="5E026034" w14:textId="77777777" w:rsidR="007F6049" w:rsidRPr="00347017" w:rsidRDefault="007F6049" w:rsidP="006A6CAF">
      <w:pPr>
        <w:suppressLineNumbers/>
        <w:jc w:val="both"/>
        <w:rPr>
          <w:rFonts w:ascii="Times New Roman" w:hAnsi="Times New Roman" w:cs="Times New Roman"/>
          <w:sz w:val="24"/>
          <w:szCs w:val="24"/>
        </w:rPr>
      </w:pPr>
    </w:p>
    <w:p w14:paraId="1C31A3FA" w14:textId="77777777" w:rsidR="007F6049" w:rsidRPr="00347017" w:rsidRDefault="007F6049" w:rsidP="006A6CAF">
      <w:pPr>
        <w:suppressLineNumbers/>
        <w:jc w:val="both"/>
        <w:rPr>
          <w:rFonts w:ascii="Times New Roman" w:hAnsi="Times New Roman" w:cs="Times New Roman"/>
          <w:sz w:val="24"/>
          <w:szCs w:val="24"/>
        </w:rPr>
      </w:pPr>
    </w:p>
    <w:p w14:paraId="376C75AD" w14:textId="03385F04" w:rsidR="007F6049" w:rsidRPr="00347017" w:rsidRDefault="007F6049" w:rsidP="006A6CAF">
      <w:pPr>
        <w:suppressLineNumbers/>
        <w:jc w:val="both"/>
        <w:rPr>
          <w:rFonts w:ascii="Times New Roman" w:hAnsi="Times New Roman" w:cs="Times New Roman"/>
          <w:sz w:val="24"/>
          <w:szCs w:val="24"/>
        </w:rPr>
      </w:pPr>
    </w:p>
    <w:p w14:paraId="24A1D0D4" w14:textId="6ED52D95" w:rsidR="005A00C6" w:rsidRPr="00347017" w:rsidRDefault="005A00C6" w:rsidP="006A6CAF">
      <w:pPr>
        <w:suppressLineNumbers/>
        <w:jc w:val="both"/>
        <w:rPr>
          <w:rFonts w:ascii="Times New Roman" w:hAnsi="Times New Roman" w:cs="Times New Roman"/>
          <w:sz w:val="24"/>
          <w:szCs w:val="24"/>
        </w:rPr>
      </w:pPr>
    </w:p>
    <w:p w14:paraId="03429270" w14:textId="2BF875FB" w:rsidR="005A00C6" w:rsidRPr="00347017" w:rsidRDefault="005A00C6" w:rsidP="006A6CAF">
      <w:pPr>
        <w:suppressLineNumbers/>
        <w:jc w:val="both"/>
        <w:rPr>
          <w:rFonts w:ascii="Times New Roman" w:hAnsi="Times New Roman" w:cs="Times New Roman"/>
          <w:sz w:val="24"/>
          <w:szCs w:val="24"/>
        </w:rPr>
      </w:pPr>
    </w:p>
    <w:p w14:paraId="75D2E6DD" w14:textId="77777777" w:rsidR="005A00C6" w:rsidRPr="00347017" w:rsidRDefault="005A00C6" w:rsidP="006A6CAF">
      <w:pPr>
        <w:suppressLineNumbers/>
        <w:jc w:val="both"/>
        <w:rPr>
          <w:rFonts w:ascii="Times New Roman" w:hAnsi="Times New Roman" w:cs="Times New Roman"/>
          <w:sz w:val="24"/>
          <w:szCs w:val="24"/>
        </w:rPr>
      </w:pPr>
    </w:p>
    <w:p w14:paraId="56EB4F1A" w14:textId="77777777" w:rsidR="007F6049" w:rsidRPr="00347017" w:rsidRDefault="007F6049" w:rsidP="006A6CAF">
      <w:pPr>
        <w:suppressLineNumbers/>
        <w:jc w:val="both"/>
        <w:rPr>
          <w:rFonts w:ascii="Times New Roman" w:hAnsi="Times New Roman" w:cs="Times New Roman"/>
          <w:sz w:val="24"/>
          <w:szCs w:val="24"/>
        </w:rPr>
      </w:pPr>
    </w:p>
    <w:p w14:paraId="4AD5BA31" w14:textId="77777777" w:rsidR="00DF436B" w:rsidRPr="00347017" w:rsidRDefault="00DF436B" w:rsidP="006A6CAF">
      <w:pPr>
        <w:suppressLineNumbers/>
        <w:jc w:val="both"/>
        <w:rPr>
          <w:rFonts w:ascii="Times New Roman" w:hAnsi="Times New Roman" w:cs="Times New Roman"/>
          <w:sz w:val="24"/>
          <w:szCs w:val="24"/>
        </w:rPr>
      </w:pPr>
    </w:p>
    <w:p w14:paraId="33C962A0" w14:textId="45EDC047" w:rsidR="007F6049" w:rsidRPr="00347017" w:rsidRDefault="00277DCE" w:rsidP="006A6CAF">
      <w:pPr>
        <w:suppressLineNumbers/>
        <w:jc w:val="both"/>
        <w:rPr>
          <w:rFonts w:ascii="Times New Roman" w:hAnsi="Times New Roman" w:cs="Times New Roman"/>
          <w:b/>
          <w:bCs/>
          <w:sz w:val="24"/>
          <w:szCs w:val="24"/>
        </w:rPr>
      </w:pPr>
      <w:r w:rsidRPr="00277DCE">
        <w:rPr>
          <w:rFonts w:ascii="Times New Roman" w:hAnsi="Times New Roman" w:cs="Times New Roman"/>
          <w:b/>
          <w:bCs/>
          <w:sz w:val="24"/>
          <w:szCs w:val="24"/>
        </w:rPr>
        <w:t>Fig</w:t>
      </w:r>
      <w:r w:rsidR="001C255B" w:rsidRPr="00277DCE">
        <w:rPr>
          <w:rFonts w:ascii="Times New Roman" w:hAnsi="Times New Roman" w:cs="Times New Roman"/>
          <w:b/>
          <w:bCs/>
          <w:sz w:val="24"/>
          <w:szCs w:val="24"/>
        </w:rPr>
        <w:t xml:space="preserve"> </w:t>
      </w:r>
      <w:r w:rsidRPr="00277DCE">
        <w:rPr>
          <w:rFonts w:ascii="Times New Roman" w:hAnsi="Times New Roman" w:cs="Times New Roman"/>
          <w:b/>
          <w:bCs/>
          <w:sz w:val="24"/>
          <w:szCs w:val="24"/>
        </w:rPr>
        <w:t>(</w:t>
      </w:r>
      <w:r w:rsidR="001C255B" w:rsidRPr="00277DCE">
        <w:rPr>
          <w:rFonts w:ascii="Times New Roman" w:hAnsi="Times New Roman" w:cs="Times New Roman"/>
          <w:b/>
          <w:bCs/>
          <w:sz w:val="24"/>
          <w:szCs w:val="24"/>
        </w:rPr>
        <w:t>1</w:t>
      </w:r>
      <w:r w:rsidR="001C255B" w:rsidRPr="00277DCE">
        <w:rPr>
          <w:rFonts w:ascii="Times New Roman" w:hAnsi="Times New Roman" w:cs="Times New Roman"/>
          <w:b/>
          <w:sz w:val="24"/>
          <w:szCs w:val="24"/>
        </w:rPr>
        <w:t>-</w:t>
      </w:r>
      <w:r w:rsidRPr="00277DCE">
        <w:rPr>
          <w:rFonts w:ascii="Times New Roman" w:hAnsi="Times New Roman" w:cs="Times New Roman"/>
          <w:b/>
          <w:sz w:val="24"/>
          <w:szCs w:val="24"/>
        </w:rPr>
        <w:t>4):</w:t>
      </w:r>
      <w:r>
        <w:rPr>
          <w:rFonts w:ascii="Times New Roman" w:hAnsi="Times New Roman" w:cs="Times New Roman"/>
          <w:sz w:val="24"/>
          <w:szCs w:val="24"/>
        </w:rPr>
        <w:t xml:space="preserve"> </w:t>
      </w:r>
      <w:r w:rsidR="001C255B" w:rsidRPr="00347017">
        <w:rPr>
          <w:rFonts w:ascii="Times New Roman" w:hAnsi="Times New Roman" w:cs="Times New Roman"/>
          <w:b/>
          <w:bCs/>
          <w:sz w:val="24"/>
          <w:szCs w:val="24"/>
        </w:rPr>
        <w:t xml:space="preserve"> </w:t>
      </w:r>
      <w:r w:rsidR="001C255B" w:rsidRPr="00277DCE">
        <w:rPr>
          <w:rFonts w:ascii="Times New Roman" w:hAnsi="Times New Roman" w:cs="Times New Roman"/>
          <w:bCs/>
          <w:sz w:val="24"/>
          <w:szCs w:val="24"/>
        </w:rPr>
        <w:t>Precision-Enhanced Biological Nitrogen Fixation: Transitioning from Natural Symbiosis to High Nitrogen-Fixing Legume Varieties</w:t>
      </w:r>
    </w:p>
    <w:p w14:paraId="4FD96F03" w14:textId="77777777" w:rsidR="007F6049" w:rsidRPr="00347017" w:rsidRDefault="001C255B" w:rsidP="006A6CAF">
      <w:pPr>
        <w:suppressLineNumbers/>
        <w:jc w:val="both"/>
        <w:rPr>
          <w:rFonts w:ascii="Times New Roman" w:eastAsia="Times New Roman" w:hAnsi="Times New Roman" w:cs="Times New Roman"/>
          <w:snapToGrid w:val="0"/>
          <w:color w:val="000000"/>
          <w:w w:val="0"/>
          <w:kern w:val="0"/>
          <w:sz w:val="24"/>
          <w:szCs w:val="24"/>
          <w:u w:color="000000"/>
          <w:shd w:val="clear" w:color="000000" w:fill="000000"/>
          <w:lang w:val="zh-CN" w:eastAsia="zh-CN" w:bidi="zh-CN"/>
          <w14:ligatures w14:val="none"/>
        </w:rPr>
      </w:pPr>
      <w:r w:rsidRPr="00347017">
        <w:rPr>
          <w:rFonts w:ascii="Times New Roman" w:eastAsia="Times New Roman" w:hAnsi="Times New Roman" w:cs="Times New Roman"/>
          <w:snapToGrid w:val="0"/>
          <w:color w:val="000000"/>
          <w:w w:val="0"/>
          <w:kern w:val="0"/>
          <w:sz w:val="24"/>
          <w:szCs w:val="24"/>
          <w:u w:color="000000"/>
          <w:shd w:val="clear" w:color="000000" w:fill="000000"/>
          <w:lang w:val="zh-CN" w:eastAsia="zh-CN" w:bidi="zh-CN"/>
          <w14:ligatures w14:val="none"/>
        </w:rPr>
        <w:t xml:space="preserve"> </w:t>
      </w:r>
      <w:r w:rsidRPr="00347017">
        <w:rPr>
          <w:rFonts w:ascii="Times New Roman" w:hAnsi="Times New Roman" w:cs="Times New Roman"/>
          <w:noProof/>
          <w:sz w:val="24"/>
          <w:szCs w:val="24"/>
        </w:rPr>
        <w:drawing>
          <wp:inline distT="0" distB="0" distL="0" distR="0" wp14:anchorId="2B477410" wp14:editId="6F3C4215">
            <wp:extent cx="5731510" cy="3820795"/>
            <wp:effectExtent l="0" t="0" r="2540" b="8255"/>
            <wp:docPr id="2398337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33733"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731510" cy="3820795"/>
                    </a:xfrm>
                    <a:prstGeom prst="rect">
                      <a:avLst/>
                    </a:prstGeom>
                    <a:noFill/>
                    <a:ln>
                      <a:noFill/>
                    </a:ln>
                  </pic:spPr>
                </pic:pic>
              </a:graphicData>
            </a:graphic>
          </wp:inline>
        </w:drawing>
      </w:r>
    </w:p>
    <w:p w14:paraId="6384AC97" w14:textId="77777777" w:rsidR="007F6049" w:rsidRPr="00347017" w:rsidRDefault="007F6049" w:rsidP="006A6CAF">
      <w:pPr>
        <w:suppressLineNumbers/>
        <w:jc w:val="both"/>
        <w:rPr>
          <w:rFonts w:ascii="Times New Roman" w:eastAsia="Times New Roman" w:hAnsi="Times New Roman" w:cs="Times New Roman"/>
          <w:snapToGrid w:val="0"/>
          <w:color w:val="000000"/>
          <w:w w:val="0"/>
          <w:kern w:val="0"/>
          <w:sz w:val="24"/>
          <w:szCs w:val="24"/>
          <w:u w:color="000000"/>
          <w:shd w:val="clear" w:color="000000" w:fill="000000"/>
          <w:lang w:val="zh-CN" w:eastAsia="zh-CN" w:bidi="zh-CN"/>
          <w14:ligatures w14:val="none"/>
        </w:rPr>
      </w:pPr>
    </w:p>
    <w:p w14:paraId="73DE0946" w14:textId="77777777" w:rsidR="007F6049" w:rsidRPr="00347017" w:rsidRDefault="007F6049" w:rsidP="006A6CAF">
      <w:pPr>
        <w:suppressLineNumbers/>
        <w:jc w:val="both"/>
        <w:rPr>
          <w:rFonts w:ascii="Times New Roman" w:eastAsia="Times New Roman" w:hAnsi="Times New Roman" w:cs="Times New Roman"/>
          <w:snapToGrid w:val="0"/>
          <w:color w:val="000000"/>
          <w:w w:val="0"/>
          <w:kern w:val="0"/>
          <w:sz w:val="24"/>
          <w:szCs w:val="24"/>
          <w:u w:color="000000"/>
          <w:shd w:val="clear" w:color="000000" w:fill="000000"/>
          <w:lang w:val="zh-CN" w:eastAsia="zh-CN" w:bidi="zh-CN"/>
          <w14:ligatures w14:val="none"/>
        </w:rPr>
      </w:pPr>
    </w:p>
    <w:p w14:paraId="2816BC44" w14:textId="77777777" w:rsidR="007F6049" w:rsidRPr="00347017" w:rsidRDefault="007F6049" w:rsidP="006A6CAF">
      <w:pPr>
        <w:suppressLineNumbers/>
        <w:jc w:val="both"/>
        <w:rPr>
          <w:rFonts w:ascii="Times New Roman" w:eastAsia="Times New Roman" w:hAnsi="Times New Roman" w:cs="Times New Roman"/>
          <w:snapToGrid w:val="0"/>
          <w:color w:val="000000"/>
          <w:w w:val="0"/>
          <w:kern w:val="0"/>
          <w:sz w:val="24"/>
          <w:szCs w:val="24"/>
          <w:u w:color="000000"/>
          <w:shd w:val="clear" w:color="000000" w:fill="000000"/>
          <w:lang w:val="zh-CN" w:eastAsia="zh-CN" w:bidi="zh-CN"/>
          <w14:ligatures w14:val="none"/>
        </w:rPr>
      </w:pPr>
    </w:p>
    <w:p w14:paraId="0B413DAB" w14:textId="77777777" w:rsidR="007F6049" w:rsidRPr="00347017" w:rsidRDefault="007F6049" w:rsidP="006A6CAF">
      <w:pPr>
        <w:suppressLineNumbers/>
        <w:jc w:val="both"/>
        <w:rPr>
          <w:rFonts w:ascii="Times New Roman" w:eastAsia="Times New Roman" w:hAnsi="Times New Roman" w:cs="Times New Roman"/>
          <w:snapToGrid w:val="0"/>
          <w:color w:val="000000"/>
          <w:w w:val="0"/>
          <w:kern w:val="0"/>
          <w:sz w:val="24"/>
          <w:szCs w:val="24"/>
          <w:u w:color="000000"/>
          <w:shd w:val="clear" w:color="000000" w:fill="000000"/>
          <w:lang w:val="zh-CN" w:eastAsia="zh-CN" w:bidi="zh-CN"/>
          <w14:ligatures w14:val="none"/>
        </w:rPr>
      </w:pPr>
    </w:p>
    <w:p w14:paraId="60E78F1A" w14:textId="77777777" w:rsidR="007F6049" w:rsidRPr="00347017" w:rsidRDefault="007F6049" w:rsidP="006A6CAF">
      <w:pPr>
        <w:suppressLineNumbers/>
        <w:jc w:val="both"/>
        <w:rPr>
          <w:rFonts w:ascii="Times New Roman" w:eastAsia="Times New Roman" w:hAnsi="Times New Roman" w:cs="Times New Roman"/>
          <w:snapToGrid w:val="0"/>
          <w:color w:val="000000"/>
          <w:w w:val="0"/>
          <w:kern w:val="0"/>
          <w:sz w:val="24"/>
          <w:szCs w:val="24"/>
          <w:u w:color="000000"/>
          <w:shd w:val="clear" w:color="000000" w:fill="000000"/>
          <w:lang w:val="zh-CN" w:eastAsia="zh-CN" w:bidi="zh-CN"/>
          <w14:ligatures w14:val="none"/>
        </w:rPr>
      </w:pPr>
    </w:p>
    <w:p w14:paraId="2E69CB50" w14:textId="77777777" w:rsidR="007F6049" w:rsidRPr="00347017" w:rsidRDefault="007F6049" w:rsidP="006A6CAF">
      <w:pPr>
        <w:suppressLineNumbers/>
        <w:jc w:val="both"/>
        <w:rPr>
          <w:rFonts w:ascii="Times New Roman" w:eastAsia="Times New Roman" w:hAnsi="Times New Roman" w:cs="Times New Roman"/>
          <w:snapToGrid w:val="0"/>
          <w:color w:val="000000"/>
          <w:w w:val="0"/>
          <w:kern w:val="0"/>
          <w:sz w:val="24"/>
          <w:szCs w:val="24"/>
          <w:u w:color="000000"/>
          <w:shd w:val="clear" w:color="000000" w:fill="000000"/>
          <w:lang w:val="zh-CN" w:eastAsia="zh-CN" w:bidi="zh-CN"/>
          <w14:ligatures w14:val="none"/>
        </w:rPr>
      </w:pPr>
    </w:p>
    <w:p w14:paraId="2BA98100" w14:textId="77777777" w:rsidR="007F6049" w:rsidRPr="00347017" w:rsidRDefault="007F6049" w:rsidP="006A6CAF">
      <w:pPr>
        <w:suppressLineNumbers/>
        <w:jc w:val="both"/>
        <w:rPr>
          <w:rFonts w:ascii="Times New Roman" w:eastAsia="Times New Roman" w:hAnsi="Times New Roman" w:cs="Times New Roman"/>
          <w:snapToGrid w:val="0"/>
          <w:color w:val="000000"/>
          <w:w w:val="0"/>
          <w:kern w:val="0"/>
          <w:sz w:val="24"/>
          <w:szCs w:val="24"/>
          <w:u w:color="000000"/>
          <w:shd w:val="clear" w:color="000000" w:fill="000000"/>
          <w:lang w:val="zh-CN" w:eastAsia="zh-CN" w:bidi="zh-CN"/>
          <w14:ligatures w14:val="none"/>
        </w:rPr>
      </w:pPr>
    </w:p>
    <w:p w14:paraId="20C694AD" w14:textId="77777777" w:rsidR="007F6049" w:rsidRPr="00347017" w:rsidRDefault="007F6049" w:rsidP="006A6CAF">
      <w:pPr>
        <w:suppressLineNumbers/>
        <w:jc w:val="both"/>
        <w:rPr>
          <w:rFonts w:ascii="Times New Roman" w:eastAsia="Times New Roman" w:hAnsi="Times New Roman" w:cs="Times New Roman"/>
          <w:snapToGrid w:val="0"/>
          <w:color w:val="000000"/>
          <w:w w:val="0"/>
          <w:kern w:val="0"/>
          <w:sz w:val="24"/>
          <w:szCs w:val="24"/>
          <w:u w:color="000000"/>
          <w:shd w:val="clear" w:color="000000" w:fill="000000"/>
          <w:lang w:val="zh-CN" w:eastAsia="zh-CN" w:bidi="zh-CN"/>
          <w14:ligatures w14:val="none"/>
        </w:rPr>
      </w:pPr>
    </w:p>
    <w:p w14:paraId="7D4262BF" w14:textId="77777777" w:rsidR="007F6049" w:rsidRPr="00347017" w:rsidRDefault="007F6049" w:rsidP="006A6CAF">
      <w:pPr>
        <w:suppressLineNumbers/>
        <w:jc w:val="both"/>
        <w:rPr>
          <w:rFonts w:ascii="Times New Roman" w:eastAsia="Times New Roman" w:hAnsi="Times New Roman" w:cs="Times New Roman"/>
          <w:snapToGrid w:val="0"/>
          <w:color w:val="000000"/>
          <w:w w:val="0"/>
          <w:kern w:val="0"/>
          <w:sz w:val="24"/>
          <w:szCs w:val="24"/>
          <w:u w:color="000000"/>
          <w:shd w:val="clear" w:color="000000" w:fill="000000"/>
          <w:lang w:val="zh-CN" w:eastAsia="zh-CN" w:bidi="zh-CN"/>
          <w14:ligatures w14:val="none"/>
        </w:rPr>
      </w:pPr>
    </w:p>
    <w:p w14:paraId="76D33889" w14:textId="36EFA479" w:rsidR="007F6049" w:rsidRPr="00347017" w:rsidRDefault="007F6049" w:rsidP="006A6CAF">
      <w:pPr>
        <w:suppressLineNumbers/>
        <w:jc w:val="both"/>
        <w:rPr>
          <w:rFonts w:ascii="Times New Roman" w:hAnsi="Times New Roman" w:cs="Times New Roman"/>
          <w:snapToGrid w:val="0"/>
          <w:color w:val="000000"/>
          <w:w w:val="0"/>
          <w:kern w:val="0"/>
          <w:sz w:val="24"/>
          <w:szCs w:val="24"/>
          <w:u w:color="000000"/>
          <w:shd w:val="clear" w:color="000000" w:fill="000000"/>
          <w:lang w:val="zh-CN" w:eastAsia="zh-CN" w:bidi="zh-CN"/>
          <w14:ligatures w14:val="none"/>
        </w:rPr>
      </w:pPr>
    </w:p>
    <w:p w14:paraId="228576EC" w14:textId="753001B7" w:rsidR="005A00C6" w:rsidRPr="00347017" w:rsidRDefault="005A00C6" w:rsidP="006A6CAF">
      <w:pPr>
        <w:suppressLineNumbers/>
        <w:jc w:val="both"/>
        <w:rPr>
          <w:rFonts w:ascii="Times New Roman" w:hAnsi="Times New Roman" w:cs="Times New Roman"/>
          <w:snapToGrid w:val="0"/>
          <w:color w:val="000000"/>
          <w:w w:val="0"/>
          <w:kern w:val="0"/>
          <w:sz w:val="24"/>
          <w:szCs w:val="24"/>
          <w:u w:color="000000"/>
          <w:shd w:val="clear" w:color="000000" w:fill="000000"/>
          <w:lang w:val="zh-CN" w:eastAsia="zh-CN" w:bidi="zh-CN"/>
          <w14:ligatures w14:val="none"/>
        </w:rPr>
      </w:pPr>
    </w:p>
    <w:p w14:paraId="4DBEBC58" w14:textId="294C6758" w:rsidR="005A00C6" w:rsidRPr="00347017" w:rsidRDefault="005A00C6" w:rsidP="006A6CAF">
      <w:pPr>
        <w:suppressLineNumbers/>
        <w:jc w:val="both"/>
        <w:rPr>
          <w:rFonts w:ascii="Times New Roman" w:hAnsi="Times New Roman" w:cs="Times New Roman"/>
          <w:snapToGrid w:val="0"/>
          <w:color w:val="000000"/>
          <w:w w:val="0"/>
          <w:kern w:val="0"/>
          <w:sz w:val="24"/>
          <w:szCs w:val="24"/>
          <w:u w:color="000000"/>
          <w:shd w:val="clear" w:color="000000" w:fill="000000"/>
          <w:lang w:val="zh-CN" w:eastAsia="zh-CN" w:bidi="zh-CN"/>
          <w14:ligatures w14:val="none"/>
        </w:rPr>
      </w:pPr>
    </w:p>
    <w:p w14:paraId="7325599B" w14:textId="77777777" w:rsidR="005A00C6" w:rsidRPr="00347017" w:rsidRDefault="005A00C6" w:rsidP="006A6CAF">
      <w:pPr>
        <w:suppressLineNumbers/>
        <w:jc w:val="both"/>
        <w:rPr>
          <w:rFonts w:ascii="Times New Roman" w:hAnsi="Times New Roman" w:cs="Times New Roman"/>
          <w:snapToGrid w:val="0"/>
          <w:color w:val="000000"/>
          <w:w w:val="0"/>
          <w:kern w:val="0"/>
          <w:sz w:val="24"/>
          <w:szCs w:val="24"/>
          <w:u w:color="000000"/>
          <w:shd w:val="clear" w:color="000000" w:fill="000000"/>
          <w:lang w:val="zh-CN" w:eastAsia="zh-CN" w:bidi="zh-CN"/>
          <w14:ligatures w14:val="none"/>
        </w:rPr>
      </w:pPr>
    </w:p>
    <w:p w14:paraId="51B76CD4" w14:textId="77777777" w:rsidR="009B451D" w:rsidRPr="00347017" w:rsidRDefault="009B451D" w:rsidP="006A6CAF">
      <w:pPr>
        <w:suppressLineNumbers/>
        <w:jc w:val="both"/>
        <w:rPr>
          <w:rFonts w:ascii="Times New Roman" w:eastAsia="Times New Roman" w:hAnsi="Times New Roman" w:cs="Times New Roman"/>
          <w:snapToGrid w:val="0"/>
          <w:color w:val="000000"/>
          <w:w w:val="0"/>
          <w:kern w:val="0"/>
          <w:sz w:val="24"/>
          <w:szCs w:val="24"/>
          <w:u w:color="000000"/>
          <w:shd w:val="clear" w:color="000000" w:fill="000000"/>
          <w:lang w:val="en-US" w:eastAsia="zh-CN" w:bidi="zh-CN"/>
          <w14:ligatures w14:val="none"/>
        </w:rPr>
      </w:pPr>
    </w:p>
    <w:p w14:paraId="336CB047" w14:textId="77777777" w:rsidR="00005C2B" w:rsidRPr="00347017" w:rsidRDefault="00005C2B" w:rsidP="006A6CAF">
      <w:pPr>
        <w:suppressLineNumbers/>
        <w:jc w:val="both"/>
        <w:rPr>
          <w:rFonts w:ascii="Times New Roman" w:hAnsi="Times New Roman" w:cs="Times New Roman"/>
          <w:b/>
          <w:bCs/>
          <w:sz w:val="24"/>
          <w:szCs w:val="24"/>
        </w:rPr>
      </w:pPr>
    </w:p>
    <w:p w14:paraId="5A1906E7" w14:textId="279D0612" w:rsidR="007F6049" w:rsidRPr="00347017" w:rsidRDefault="001C255B" w:rsidP="006A6CAF">
      <w:pPr>
        <w:suppressLineNumbers/>
        <w:jc w:val="both"/>
        <w:rPr>
          <w:rFonts w:ascii="Times New Roman" w:hAnsi="Times New Roman" w:cs="Times New Roman"/>
          <w:b/>
          <w:bCs/>
          <w:sz w:val="24"/>
          <w:szCs w:val="24"/>
        </w:rPr>
      </w:pPr>
      <w:r w:rsidRPr="00347017">
        <w:rPr>
          <w:rFonts w:ascii="Times New Roman" w:hAnsi="Times New Roman" w:cs="Times New Roman"/>
          <w:b/>
          <w:bCs/>
          <w:sz w:val="24"/>
          <w:szCs w:val="24"/>
        </w:rPr>
        <w:t>Fi</w:t>
      </w:r>
      <w:proofErr w:type="spellStart"/>
      <w:r w:rsidRPr="00347017">
        <w:rPr>
          <w:rFonts w:ascii="Times New Roman" w:hAnsi="Times New Roman" w:cs="Times New Roman"/>
          <w:b/>
          <w:bCs/>
          <w:sz w:val="24"/>
          <w:szCs w:val="24"/>
          <w:lang w:val="en-US"/>
        </w:rPr>
        <w:t>gure</w:t>
      </w:r>
      <w:proofErr w:type="spellEnd"/>
      <w:r w:rsidRPr="00347017">
        <w:rPr>
          <w:rFonts w:ascii="Times New Roman" w:hAnsi="Times New Roman" w:cs="Times New Roman"/>
          <w:b/>
          <w:bCs/>
          <w:sz w:val="24"/>
          <w:szCs w:val="24"/>
          <w:lang w:val="en-US"/>
        </w:rPr>
        <w:t>.</w:t>
      </w:r>
      <w:r w:rsidRPr="00347017">
        <w:rPr>
          <w:rFonts w:ascii="Times New Roman" w:hAnsi="Times New Roman" w:cs="Times New Roman"/>
          <w:b/>
          <w:bCs/>
          <w:sz w:val="24"/>
          <w:szCs w:val="24"/>
        </w:rPr>
        <w:t xml:space="preserve"> </w:t>
      </w:r>
      <w:r w:rsidR="00277DCE">
        <w:rPr>
          <w:rFonts w:ascii="Times New Roman" w:hAnsi="Times New Roman" w:cs="Times New Roman"/>
          <w:b/>
          <w:bCs/>
          <w:sz w:val="24"/>
          <w:szCs w:val="24"/>
        </w:rPr>
        <w:t>5</w:t>
      </w:r>
      <w:r w:rsidRPr="00347017">
        <w:rPr>
          <w:rFonts w:ascii="Times New Roman" w:hAnsi="Times New Roman" w:cs="Times New Roman"/>
          <w:b/>
          <w:bCs/>
          <w:sz w:val="24"/>
          <w:szCs w:val="24"/>
        </w:rPr>
        <w:t xml:space="preserve">    Nitrogen fixation capabilities of different legume groups and the impact of precision enhancement</w:t>
      </w:r>
      <w:r w:rsidRPr="00347017">
        <w:rPr>
          <w:rFonts w:ascii="Times New Roman" w:hAnsi="Times New Roman" w:cs="Times New Roman"/>
          <w:b/>
          <w:bCs/>
          <w:sz w:val="24"/>
          <w:szCs w:val="24"/>
          <w:lang w:val="en-US"/>
        </w:rPr>
        <w:t xml:space="preserve"> (</w:t>
      </w:r>
      <w:proofErr w:type="spellStart"/>
      <w:r w:rsidRPr="00347017">
        <w:rPr>
          <w:rFonts w:ascii="Times New Roman" w:eastAsia="Times New Roman" w:hAnsi="Times New Roman" w:cs="Times New Roman"/>
          <w:b/>
          <w:bCs/>
          <w:color w:val="0A0A0A"/>
          <w:kern w:val="0"/>
          <w:sz w:val="24"/>
          <w:szCs w:val="24"/>
          <w:lang w:eastAsia="en-IN"/>
          <w14:ligatures w14:val="none"/>
        </w:rPr>
        <w:t>Kaziūnienė</w:t>
      </w:r>
      <w:proofErr w:type="spellEnd"/>
      <w:r w:rsidRPr="00347017">
        <w:rPr>
          <w:rFonts w:ascii="Times New Roman" w:eastAsia="Times New Roman" w:hAnsi="Times New Roman" w:cs="Times New Roman"/>
          <w:b/>
          <w:bCs/>
          <w:color w:val="0A0A0A"/>
          <w:kern w:val="0"/>
          <w:sz w:val="24"/>
          <w:szCs w:val="24"/>
          <w:lang w:eastAsia="en-IN"/>
          <w14:ligatures w14:val="none"/>
        </w:rPr>
        <w:t>, J., et al. 2025)</w:t>
      </w:r>
    </w:p>
    <w:p w14:paraId="0D2AA8C2" w14:textId="77777777" w:rsidR="007F6049" w:rsidRPr="00347017" w:rsidRDefault="001C255B" w:rsidP="006A6CAF">
      <w:pPr>
        <w:suppressLineNumbers/>
        <w:jc w:val="both"/>
        <w:rPr>
          <w:rFonts w:ascii="Times New Roman" w:hAnsi="Times New Roman" w:cs="Times New Roman"/>
          <w:b/>
          <w:bCs/>
          <w:sz w:val="24"/>
          <w:szCs w:val="24"/>
        </w:rPr>
      </w:pPr>
      <w:r w:rsidRPr="00347017">
        <w:rPr>
          <w:rFonts w:ascii="Times New Roman" w:hAnsi="Times New Roman" w:cs="Times New Roman"/>
          <w:b/>
          <w:bCs/>
          <w:noProof/>
          <w:sz w:val="24"/>
          <w:szCs w:val="24"/>
        </w:rPr>
        <w:drawing>
          <wp:inline distT="0" distB="0" distL="0" distR="0" wp14:anchorId="75C00946" wp14:editId="6330C720">
            <wp:extent cx="5731510" cy="3554095"/>
            <wp:effectExtent l="0" t="0" r="2540" b="8255"/>
            <wp:docPr id="1147402500" name="Picture 6" descr="Grap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02500" name="Picture 6" descr="Graph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731510" cy="3554095"/>
                    </a:xfrm>
                    <a:prstGeom prst="rect">
                      <a:avLst/>
                    </a:prstGeom>
                    <a:noFill/>
                    <a:ln>
                      <a:noFill/>
                    </a:ln>
                  </pic:spPr>
                </pic:pic>
              </a:graphicData>
            </a:graphic>
          </wp:inline>
        </w:drawing>
      </w:r>
    </w:p>
    <w:p w14:paraId="3898CFFA" w14:textId="77777777" w:rsidR="007F6049" w:rsidRPr="00347017" w:rsidRDefault="007F6049" w:rsidP="006A6CAF">
      <w:pPr>
        <w:suppressLineNumbers/>
        <w:jc w:val="both"/>
        <w:rPr>
          <w:rFonts w:ascii="Times New Roman" w:hAnsi="Times New Roman" w:cs="Times New Roman"/>
          <w:b/>
          <w:bCs/>
          <w:sz w:val="24"/>
          <w:szCs w:val="24"/>
        </w:rPr>
      </w:pPr>
    </w:p>
    <w:p w14:paraId="596F77D2" w14:textId="77777777" w:rsidR="007F6049" w:rsidRPr="00347017" w:rsidRDefault="007F6049" w:rsidP="006A6CAF">
      <w:pPr>
        <w:suppressLineNumbers/>
        <w:jc w:val="both"/>
        <w:rPr>
          <w:rFonts w:ascii="Times New Roman" w:hAnsi="Times New Roman" w:cs="Times New Roman"/>
          <w:sz w:val="24"/>
          <w:szCs w:val="24"/>
        </w:rPr>
      </w:pPr>
    </w:p>
    <w:p w14:paraId="24549080" w14:textId="77777777" w:rsidR="007F6049" w:rsidRPr="00347017" w:rsidRDefault="007F6049" w:rsidP="006A6CAF">
      <w:pPr>
        <w:suppressLineNumbers/>
        <w:jc w:val="both"/>
        <w:rPr>
          <w:rFonts w:ascii="Times New Roman" w:hAnsi="Times New Roman" w:cs="Times New Roman"/>
          <w:sz w:val="24"/>
          <w:szCs w:val="24"/>
        </w:rPr>
      </w:pPr>
    </w:p>
    <w:p w14:paraId="5B3856D7" w14:textId="77777777" w:rsidR="007F6049" w:rsidRPr="00347017" w:rsidRDefault="001C255B" w:rsidP="006A6CAF">
      <w:pPr>
        <w:suppressLineNumbers/>
        <w:jc w:val="both"/>
        <w:rPr>
          <w:rFonts w:ascii="Times New Roman" w:hAnsi="Times New Roman" w:cs="Times New Roman"/>
          <w:b/>
          <w:bCs/>
          <w:sz w:val="24"/>
          <w:szCs w:val="24"/>
        </w:rPr>
      </w:pPr>
      <w:r w:rsidRPr="00347017">
        <w:rPr>
          <w:rFonts w:ascii="Times New Roman" w:hAnsi="Times New Roman" w:cs="Times New Roman"/>
          <w:b/>
          <w:bCs/>
          <w:sz w:val="24"/>
          <w:szCs w:val="24"/>
        </w:rPr>
        <w:t xml:space="preserve">             </w:t>
      </w:r>
    </w:p>
    <w:p w14:paraId="1B6855DE" w14:textId="77777777" w:rsidR="007F6049" w:rsidRPr="00347017" w:rsidRDefault="007F6049" w:rsidP="006A6CAF">
      <w:pPr>
        <w:suppressLineNumbers/>
        <w:jc w:val="both"/>
        <w:rPr>
          <w:rFonts w:ascii="Times New Roman" w:hAnsi="Times New Roman" w:cs="Times New Roman"/>
          <w:b/>
          <w:bCs/>
          <w:sz w:val="24"/>
          <w:szCs w:val="24"/>
        </w:rPr>
      </w:pPr>
    </w:p>
    <w:p w14:paraId="0CB2DE5F" w14:textId="77777777" w:rsidR="007F6049" w:rsidRPr="00347017" w:rsidRDefault="007F6049" w:rsidP="006A6CAF">
      <w:pPr>
        <w:suppressLineNumbers/>
        <w:jc w:val="both"/>
        <w:rPr>
          <w:rFonts w:ascii="Times New Roman" w:hAnsi="Times New Roman" w:cs="Times New Roman"/>
          <w:b/>
          <w:bCs/>
          <w:sz w:val="24"/>
          <w:szCs w:val="24"/>
        </w:rPr>
      </w:pPr>
    </w:p>
    <w:p w14:paraId="4509A93E" w14:textId="77777777" w:rsidR="007F6049" w:rsidRPr="00347017" w:rsidRDefault="007F6049" w:rsidP="006A6CAF">
      <w:pPr>
        <w:suppressLineNumbers/>
        <w:jc w:val="both"/>
        <w:rPr>
          <w:rFonts w:ascii="Times New Roman" w:hAnsi="Times New Roman" w:cs="Times New Roman"/>
          <w:b/>
          <w:bCs/>
          <w:sz w:val="24"/>
          <w:szCs w:val="24"/>
        </w:rPr>
      </w:pPr>
    </w:p>
    <w:p w14:paraId="1EAE9B59" w14:textId="77777777" w:rsidR="007F6049" w:rsidRPr="00347017" w:rsidRDefault="007F6049" w:rsidP="006A6CAF">
      <w:pPr>
        <w:suppressLineNumbers/>
        <w:jc w:val="both"/>
        <w:rPr>
          <w:rFonts w:ascii="Times New Roman" w:hAnsi="Times New Roman" w:cs="Times New Roman"/>
          <w:b/>
          <w:bCs/>
          <w:sz w:val="24"/>
          <w:szCs w:val="24"/>
        </w:rPr>
      </w:pPr>
    </w:p>
    <w:p w14:paraId="2B8A676C" w14:textId="77777777" w:rsidR="007F6049" w:rsidRPr="00347017" w:rsidRDefault="007F6049" w:rsidP="006A6CAF">
      <w:pPr>
        <w:suppressLineNumbers/>
        <w:jc w:val="both"/>
        <w:rPr>
          <w:rFonts w:ascii="Times New Roman" w:hAnsi="Times New Roman" w:cs="Times New Roman"/>
          <w:b/>
          <w:bCs/>
          <w:sz w:val="24"/>
          <w:szCs w:val="24"/>
        </w:rPr>
      </w:pPr>
    </w:p>
    <w:p w14:paraId="77AE55A6" w14:textId="77777777" w:rsidR="007F6049" w:rsidRPr="00347017" w:rsidRDefault="007F6049" w:rsidP="006A6CAF">
      <w:pPr>
        <w:suppressLineNumbers/>
        <w:jc w:val="both"/>
        <w:rPr>
          <w:rFonts w:ascii="Times New Roman" w:hAnsi="Times New Roman" w:cs="Times New Roman"/>
          <w:b/>
          <w:bCs/>
          <w:sz w:val="24"/>
          <w:szCs w:val="24"/>
        </w:rPr>
      </w:pPr>
    </w:p>
    <w:p w14:paraId="7618C314" w14:textId="77777777" w:rsidR="007F6049" w:rsidRPr="00347017" w:rsidRDefault="007F6049" w:rsidP="006A6CAF">
      <w:pPr>
        <w:suppressLineNumbers/>
        <w:jc w:val="both"/>
        <w:rPr>
          <w:rFonts w:ascii="Times New Roman" w:hAnsi="Times New Roman" w:cs="Times New Roman"/>
          <w:b/>
          <w:bCs/>
          <w:sz w:val="24"/>
          <w:szCs w:val="24"/>
        </w:rPr>
      </w:pPr>
    </w:p>
    <w:p w14:paraId="2F00C72F" w14:textId="77777777" w:rsidR="007F6049" w:rsidRPr="00347017" w:rsidRDefault="007F6049" w:rsidP="006A6CAF">
      <w:pPr>
        <w:suppressLineNumbers/>
        <w:jc w:val="both"/>
        <w:rPr>
          <w:rFonts w:ascii="Times New Roman" w:hAnsi="Times New Roman" w:cs="Times New Roman"/>
          <w:b/>
          <w:bCs/>
          <w:sz w:val="24"/>
          <w:szCs w:val="24"/>
        </w:rPr>
      </w:pPr>
    </w:p>
    <w:p w14:paraId="4BE625B9" w14:textId="77777777" w:rsidR="007F6049" w:rsidRPr="00347017" w:rsidRDefault="001C255B" w:rsidP="006A6CAF">
      <w:pPr>
        <w:suppressLineNumbers/>
        <w:jc w:val="both"/>
        <w:rPr>
          <w:rFonts w:ascii="Times New Roman" w:hAnsi="Times New Roman" w:cs="Times New Roman"/>
          <w:b/>
          <w:bCs/>
          <w:sz w:val="24"/>
          <w:szCs w:val="24"/>
        </w:rPr>
      </w:pPr>
      <w:r w:rsidRPr="00347017">
        <w:rPr>
          <w:rFonts w:ascii="Times New Roman" w:hAnsi="Times New Roman" w:cs="Times New Roman"/>
          <w:b/>
          <w:bCs/>
          <w:sz w:val="24"/>
          <w:szCs w:val="24"/>
        </w:rPr>
        <w:t xml:space="preserve">           </w:t>
      </w:r>
    </w:p>
    <w:p w14:paraId="006F4FF8" w14:textId="77777777" w:rsidR="005A00C6" w:rsidRPr="00347017" w:rsidRDefault="005A00C6" w:rsidP="006A6CAF">
      <w:pPr>
        <w:suppressLineNumbers/>
        <w:jc w:val="both"/>
        <w:rPr>
          <w:rFonts w:ascii="Times New Roman" w:hAnsi="Times New Roman" w:cs="Times New Roman"/>
          <w:b/>
          <w:bCs/>
          <w:sz w:val="24"/>
          <w:szCs w:val="24"/>
        </w:rPr>
      </w:pPr>
    </w:p>
    <w:p w14:paraId="1CD42C93" w14:textId="77777777" w:rsidR="009B451D" w:rsidRPr="00347017" w:rsidRDefault="009B451D" w:rsidP="006A6CAF">
      <w:pPr>
        <w:suppressLineNumbers/>
        <w:jc w:val="both"/>
        <w:rPr>
          <w:rFonts w:ascii="Times New Roman" w:hAnsi="Times New Roman" w:cs="Times New Roman"/>
          <w:b/>
          <w:bCs/>
          <w:sz w:val="24"/>
          <w:szCs w:val="24"/>
        </w:rPr>
      </w:pPr>
    </w:p>
    <w:p w14:paraId="1156288F" w14:textId="613C4F3D" w:rsidR="007F6049" w:rsidRPr="00347017" w:rsidRDefault="009B451D" w:rsidP="006A6CAF">
      <w:pPr>
        <w:suppressLineNumbers/>
        <w:jc w:val="both"/>
        <w:rPr>
          <w:rFonts w:ascii="Times New Roman" w:hAnsi="Times New Roman" w:cs="Times New Roman"/>
          <w:b/>
          <w:bCs/>
          <w:sz w:val="24"/>
          <w:szCs w:val="24"/>
        </w:rPr>
      </w:pPr>
      <w:r w:rsidRPr="00347017">
        <w:rPr>
          <w:rFonts w:ascii="Times New Roman" w:hAnsi="Times New Roman" w:cs="Times New Roman"/>
          <w:b/>
          <w:bCs/>
          <w:sz w:val="24"/>
          <w:szCs w:val="24"/>
        </w:rPr>
        <w:t xml:space="preserve">           Fig</w:t>
      </w:r>
      <w:proofErr w:type="spellStart"/>
      <w:r w:rsidRPr="00347017">
        <w:rPr>
          <w:rFonts w:ascii="Times New Roman" w:hAnsi="Times New Roman" w:cs="Times New Roman"/>
          <w:b/>
          <w:bCs/>
          <w:sz w:val="24"/>
          <w:szCs w:val="24"/>
          <w:lang w:val="en-US"/>
        </w:rPr>
        <w:t>ure</w:t>
      </w:r>
      <w:proofErr w:type="spellEnd"/>
      <w:r w:rsidRPr="00347017">
        <w:rPr>
          <w:rFonts w:ascii="Times New Roman" w:hAnsi="Times New Roman" w:cs="Times New Roman"/>
          <w:b/>
          <w:bCs/>
          <w:sz w:val="24"/>
          <w:szCs w:val="24"/>
        </w:rPr>
        <w:t xml:space="preserve"> </w:t>
      </w:r>
      <w:r w:rsidR="00277DCE">
        <w:rPr>
          <w:rFonts w:ascii="Times New Roman" w:hAnsi="Times New Roman" w:cs="Times New Roman"/>
          <w:b/>
          <w:bCs/>
          <w:sz w:val="24"/>
          <w:szCs w:val="24"/>
        </w:rPr>
        <w:t>6</w:t>
      </w:r>
      <w:r w:rsidRPr="00347017">
        <w:rPr>
          <w:rFonts w:ascii="Times New Roman" w:hAnsi="Times New Roman" w:cs="Times New Roman"/>
          <w:b/>
          <w:bCs/>
          <w:sz w:val="24"/>
          <w:szCs w:val="24"/>
        </w:rPr>
        <w:t xml:space="preserve"> Precision Enhancement and Nodule Development</w:t>
      </w:r>
      <w:r w:rsidR="004B3E6F">
        <w:rPr>
          <w:rFonts w:ascii="Times New Roman" w:hAnsi="Times New Roman" w:cs="Times New Roman"/>
          <w:b/>
          <w:bCs/>
          <w:sz w:val="24"/>
          <w:szCs w:val="24"/>
        </w:rPr>
        <w:t xml:space="preserve"> </w:t>
      </w:r>
    </w:p>
    <w:p w14:paraId="315E9D5D" w14:textId="77777777" w:rsidR="007F6049" w:rsidRPr="00347017" w:rsidRDefault="001C255B" w:rsidP="006A6CAF">
      <w:pPr>
        <w:suppressLineNumbers/>
        <w:jc w:val="both"/>
        <w:rPr>
          <w:rFonts w:ascii="Times New Roman" w:hAnsi="Times New Roman" w:cs="Times New Roman"/>
          <w:sz w:val="24"/>
          <w:szCs w:val="24"/>
        </w:rPr>
      </w:pPr>
      <w:r w:rsidRPr="00347017">
        <w:rPr>
          <w:rFonts w:ascii="Times New Roman" w:hAnsi="Times New Roman" w:cs="Times New Roman"/>
          <w:noProof/>
          <w:sz w:val="24"/>
          <w:szCs w:val="24"/>
        </w:rPr>
        <w:drawing>
          <wp:inline distT="0" distB="0" distL="0" distR="0" wp14:anchorId="61540AD6" wp14:editId="7030A961">
            <wp:extent cx="5731510" cy="3157855"/>
            <wp:effectExtent l="0" t="0" r="2540" b="4445"/>
            <wp:docPr id="623168433" name="Picture 8" descr="Grap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68433" name="Picture 8" descr="Graph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731510" cy="3157855"/>
                    </a:xfrm>
                    <a:prstGeom prst="rect">
                      <a:avLst/>
                    </a:prstGeom>
                    <a:noFill/>
                    <a:ln>
                      <a:noFill/>
                    </a:ln>
                  </pic:spPr>
                </pic:pic>
              </a:graphicData>
            </a:graphic>
          </wp:inline>
        </w:drawing>
      </w:r>
    </w:p>
    <w:p w14:paraId="15C7C118" w14:textId="77777777" w:rsidR="007F6049" w:rsidRPr="00347017" w:rsidRDefault="007F6049" w:rsidP="006A6CAF">
      <w:pPr>
        <w:suppressLineNumbers/>
        <w:jc w:val="both"/>
        <w:rPr>
          <w:rFonts w:ascii="Times New Roman" w:hAnsi="Times New Roman" w:cs="Times New Roman"/>
          <w:sz w:val="24"/>
          <w:szCs w:val="24"/>
          <w:lang w:val="en-US"/>
        </w:rPr>
      </w:pPr>
      <w:bookmarkStart w:id="1" w:name="_GoBack"/>
      <w:bookmarkEnd w:id="1"/>
    </w:p>
    <w:sectPr w:rsidR="007F6049" w:rsidRPr="00347017" w:rsidSect="009B451D">
      <w:headerReference w:type="even" r:id="rId49"/>
      <w:headerReference w:type="default" r:id="rId50"/>
      <w:footerReference w:type="even" r:id="rId51"/>
      <w:footerReference w:type="default" r:id="rId52"/>
      <w:headerReference w:type="first" r:id="rId53"/>
      <w:footerReference w:type="first" r:id="rId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DE8B80" w14:textId="77777777" w:rsidR="005F2F29" w:rsidRDefault="005F2F29">
      <w:pPr>
        <w:spacing w:line="240" w:lineRule="auto"/>
      </w:pPr>
      <w:r>
        <w:separator/>
      </w:r>
    </w:p>
  </w:endnote>
  <w:endnote w:type="continuationSeparator" w:id="0">
    <w:p w14:paraId="015A5756" w14:textId="77777777" w:rsidR="005F2F29" w:rsidRDefault="005F2F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F0AAE" w14:textId="77777777" w:rsidR="005A00C6" w:rsidRDefault="005A00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80A39" w14:textId="77777777" w:rsidR="005A00C6" w:rsidRDefault="005A00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C39CF" w14:textId="77777777" w:rsidR="005A00C6" w:rsidRDefault="005A00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2F0D24" w14:textId="77777777" w:rsidR="005F2F29" w:rsidRDefault="005F2F29">
      <w:pPr>
        <w:spacing w:after="0"/>
      </w:pPr>
      <w:r>
        <w:separator/>
      </w:r>
    </w:p>
  </w:footnote>
  <w:footnote w:type="continuationSeparator" w:id="0">
    <w:p w14:paraId="5A2516DE" w14:textId="77777777" w:rsidR="005F2F29" w:rsidRDefault="005F2F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00D0F" w14:textId="49399229" w:rsidR="005A00C6" w:rsidRDefault="005F2F29">
    <w:pPr>
      <w:pStyle w:val="Header"/>
    </w:pPr>
    <w:r>
      <w:rPr>
        <w:noProof/>
      </w:rPr>
      <w:pict w14:anchorId="11B78A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9225485"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DDA72" w14:textId="01285834" w:rsidR="005A00C6" w:rsidRDefault="005F2F29">
    <w:pPr>
      <w:pStyle w:val="Header"/>
    </w:pPr>
    <w:r>
      <w:rPr>
        <w:noProof/>
      </w:rPr>
      <w:pict w14:anchorId="5B5258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9225486"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F0F2B" w14:textId="2BF66176" w:rsidR="005A00C6" w:rsidRDefault="005F2F29">
    <w:pPr>
      <w:pStyle w:val="Header"/>
    </w:pPr>
    <w:r>
      <w:rPr>
        <w:noProof/>
      </w:rPr>
      <w:pict w14:anchorId="78DF5C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9225484"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B343D"/>
    <w:multiLevelType w:val="multilevel"/>
    <w:tmpl w:val="61380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AF3FBC"/>
    <w:multiLevelType w:val="multilevel"/>
    <w:tmpl w:val="61380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6D0D3D"/>
    <w:multiLevelType w:val="multilevel"/>
    <w:tmpl w:val="61380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A1D0EDB"/>
    <w:multiLevelType w:val="multilevel"/>
    <w:tmpl w:val="61380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87D0D0C"/>
    <w:multiLevelType w:val="multilevel"/>
    <w:tmpl w:val="C2B2A0FA"/>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F5872F6"/>
    <w:multiLevelType w:val="hybridMultilevel"/>
    <w:tmpl w:val="CEE027E0"/>
    <w:lvl w:ilvl="0" w:tplc="A5C287C4">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FB2336"/>
    <w:multiLevelType w:val="multilevel"/>
    <w:tmpl w:val="61380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9404BB0"/>
    <w:multiLevelType w:val="multilevel"/>
    <w:tmpl w:val="61380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0"/>
  </w:num>
  <w:num w:numId="4">
    <w:abstractNumId w:val="6"/>
  </w:num>
  <w:num w:numId="5">
    <w:abstractNumId w:val="7"/>
  </w:num>
  <w:num w:numId="6">
    <w:abstractNumId w:val="3"/>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740"/>
    <w:rsid w:val="00005C2B"/>
    <w:rsid w:val="00006DCE"/>
    <w:rsid w:val="000305DC"/>
    <w:rsid w:val="00081CAC"/>
    <w:rsid w:val="000D0201"/>
    <w:rsid w:val="000D1FE2"/>
    <w:rsid w:val="001567D9"/>
    <w:rsid w:val="001C255B"/>
    <w:rsid w:val="001C4808"/>
    <w:rsid w:val="001E3815"/>
    <w:rsid w:val="00277DCE"/>
    <w:rsid w:val="002D7A54"/>
    <w:rsid w:val="002E55F3"/>
    <w:rsid w:val="00347017"/>
    <w:rsid w:val="00381330"/>
    <w:rsid w:val="0040129F"/>
    <w:rsid w:val="00401BAB"/>
    <w:rsid w:val="0041097D"/>
    <w:rsid w:val="0042607E"/>
    <w:rsid w:val="004422C0"/>
    <w:rsid w:val="004828E6"/>
    <w:rsid w:val="004B3E6F"/>
    <w:rsid w:val="004E2F7B"/>
    <w:rsid w:val="004E4583"/>
    <w:rsid w:val="004F6F2F"/>
    <w:rsid w:val="0053095F"/>
    <w:rsid w:val="00577255"/>
    <w:rsid w:val="00591E41"/>
    <w:rsid w:val="005A00C6"/>
    <w:rsid w:val="005D6E89"/>
    <w:rsid w:val="005F2F29"/>
    <w:rsid w:val="005F48F0"/>
    <w:rsid w:val="00654A0D"/>
    <w:rsid w:val="00684B6C"/>
    <w:rsid w:val="006A6CAF"/>
    <w:rsid w:val="006C3A96"/>
    <w:rsid w:val="00700531"/>
    <w:rsid w:val="007231EF"/>
    <w:rsid w:val="00787A70"/>
    <w:rsid w:val="007F6049"/>
    <w:rsid w:val="007F70C8"/>
    <w:rsid w:val="00813615"/>
    <w:rsid w:val="0087310D"/>
    <w:rsid w:val="00880455"/>
    <w:rsid w:val="008B4DF2"/>
    <w:rsid w:val="008F7224"/>
    <w:rsid w:val="009205B1"/>
    <w:rsid w:val="0092069C"/>
    <w:rsid w:val="009A408C"/>
    <w:rsid w:val="009B451D"/>
    <w:rsid w:val="009F1752"/>
    <w:rsid w:val="00A17123"/>
    <w:rsid w:val="00A63BEC"/>
    <w:rsid w:val="00A928ED"/>
    <w:rsid w:val="00A95830"/>
    <w:rsid w:val="00B427CE"/>
    <w:rsid w:val="00BB0895"/>
    <w:rsid w:val="00BD68E5"/>
    <w:rsid w:val="00BD7029"/>
    <w:rsid w:val="00C05D51"/>
    <w:rsid w:val="00C46FD2"/>
    <w:rsid w:val="00C94FF0"/>
    <w:rsid w:val="00CA48A6"/>
    <w:rsid w:val="00CD1286"/>
    <w:rsid w:val="00CE404A"/>
    <w:rsid w:val="00D879B7"/>
    <w:rsid w:val="00DD5E1E"/>
    <w:rsid w:val="00DF436B"/>
    <w:rsid w:val="00E17740"/>
    <w:rsid w:val="00E40E75"/>
    <w:rsid w:val="00EB2759"/>
    <w:rsid w:val="00ED5380"/>
    <w:rsid w:val="00FB67E1"/>
    <w:rsid w:val="00FD4083"/>
    <w:rsid w:val="02BA37B9"/>
    <w:rsid w:val="093929F5"/>
    <w:rsid w:val="300C076D"/>
    <w:rsid w:val="35EE45B0"/>
    <w:rsid w:val="3729700D"/>
    <w:rsid w:val="395F094E"/>
    <w:rsid w:val="59C64C9B"/>
    <w:rsid w:val="64326656"/>
    <w:rsid w:val="6ADE7D03"/>
    <w:rsid w:val="70992649"/>
    <w:rsid w:val="7F017F12"/>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1616B9"/>
  <w15:docId w15:val="{EEAB3B95-09F7-4B17-B88A-027F1259A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kern w:val="2"/>
      <w:sz w:val="22"/>
      <w:szCs w:val="22"/>
      <w:lang w:eastAsia="en-U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LineNumber">
    <w:name w:val="line number"/>
    <w:basedOn w:val="DefaultParagraphFont"/>
    <w:uiPriority w:val="99"/>
    <w:semiHidden/>
    <w:unhideWhenUsed/>
    <w:rsid w:val="001C4808"/>
  </w:style>
  <w:style w:type="paragraph" w:styleId="Header">
    <w:name w:val="header"/>
    <w:basedOn w:val="Normal"/>
    <w:link w:val="HeaderChar"/>
    <w:uiPriority w:val="99"/>
    <w:unhideWhenUsed/>
    <w:rsid w:val="001C48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808"/>
    <w:rPr>
      <w:kern w:val="2"/>
      <w:sz w:val="22"/>
      <w:szCs w:val="22"/>
      <w:lang w:eastAsia="en-US"/>
      <w14:ligatures w14:val="standardContextual"/>
    </w:rPr>
  </w:style>
  <w:style w:type="paragraph" w:styleId="Footer">
    <w:name w:val="footer"/>
    <w:basedOn w:val="Normal"/>
    <w:link w:val="FooterChar"/>
    <w:uiPriority w:val="99"/>
    <w:unhideWhenUsed/>
    <w:rsid w:val="001C48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4808"/>
    <w:rPr>
      <w:kern w:val="2"/>
      <w:sz w:val="22"/>
      <w:szCs w:val="22"/>
      <w:lang w:eastAsia="en-US"/>
      <w14:ligatures w14:val="standardContextual"/>
    </w:rPr>
  </w:style>
  <w:style w:type="character" w:styleId="UnresolvedMention">
    <w:name w:val="Unresolved Mention"/>
    <w:basedOn w:val="DefaultParagraphFont"/>
    <w:uiPriority w:val="99"/>
    <w:semiHidden/>
    <w:unhideWhenUsed/>
    <w:rsid w:val="004E2F7B"/>
    <w:rPr>
      <w:color w:val="605E5C"/>
      <w:shd w:val="clear" w:color="auto" w:fill="E1DFDD"/>
    </w:rPr>
  </w:style>
  <w:style w:type="paragraph" w:styleId="NoSpacing">
    <w:name w:val="No Spacing"/>
    <w:uiPriority w:val="1"/>
    <w:qFormat/>
    <w:rsid w:val="00591E41"/>
    <w:rPr>
      <w:rFonts w:eastAsiaTheme="minorHAns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1016/j.tplants.2017.08.011" TargetMode="External"/><Relationship Id="rId18" Type="http://schemas.openxmlformats.org/officeDocument/2006/relationships/hyperlink" Target="https://doi.org/10.1104/pp.43.8.1185" TargetMode="External"/><Relationship Id="rId26" Type="http://schemas.openxmlformats.org/officeDocument/2006/relationships/hyperlink" Target="https://doi.org/10.3390/s18082674" TargetMode="External"/><Relationship Id="rId39" Type="http://schemas.openxmlformats.org/officeDocument/2006/relationships/hyperlink" Target="https://doi.org/10.1146/annurev-arplant-050312-120235" TargetMode="External"/><Relationship Id="rId21" Type="http://schemas.openxmlformats.org/officeDocument/2006/relationships/hyperlink" Target="https://doi.org/10.1007/s11104-020-04529-2" TargetMode="External"/><Relationship Id="rId34" Type="http://schemas.openxmlformats.org/officeDocument/2006/relationships/hyperlink" Target="https://doi.org/10.1038/nrmicro.2017.171" TargetMode="External"/><Relationship Id="rId42" Type="http://schemas.openxmlformats.org/officeDocument/2006/relationships/hyperlink" Target="https://doi.org/10.1038/nrmicro.2016.146" TargetMode="External"/><Relationship Id="rId47" Type="http://schemas.openxmlformats.org/officeDocument/2006/relationships/image" Target="media/image2.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26/science.1183899" TargetMode="External"/><Relationship Id="rId29" Type="http://schemas.openxmlformats.org/officeDocument/2006/relationships/hyperlink" Target="https://doi.org/10.18805/ag.R-2101" TargetMode="External"/><Relationship Id="rId11" Type="http://schemas.openxmlformats.org/officeDocument/2006/relationships/hyperlink" Target="https://doi.org/10.1111/pbi.13305" TargetMode="External"/><Relationship Id="rId24" Type="http://schemas.openxmlformats.org/officeDocument/2006/relationships/hyperlink" Target="https://doi.org/10.1007/s00299-017-2229-6" TargetMode="External"/><Relationship Id="rId32" Type="http://schemas.openxmlformats.org/officeDocument/2006/relationships/hyperlink" Target="https://doi.org/10.1146/annurev-genet-112618-043617" TargetMode="External"/><Relationship Id="rId37" Type="http://schemas.openxmlformats.org/officeDocument/2006/relationships/hyperlink" Target="https://doi.org/10.3389/fpls.2015.00864" TargetMode="External"/><Relationship Id="rId40" Type="http://schemas.openxmlformats.org/officeDocument/2006/relationships/hyperlink" Target="https://doi.org/10.1111/pbi.12687" TargetMode="External"/><Relationship Id="rId45" Type="http://schemas.openxmlformats.org/officeDocument/2006/relationships/hyperlink" Target="https://doi.org/10.1038/nature15743" TargetMode="External"/><Relationship Id="rId53"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yperlink" Target="https://doi.org/10.1016/j.tplants.2012.04.001" TargetMode="External"/><Relationship Id="rId19" Type="http://schemas.openxmlformats.org/officeDocument/2006/relationships/hyperlink" Target="https://doi.org/10.1007/s11104-008-9668-3" TargetMode="External"/><Relationship Id="rId31" Type="http://schemas.openxmlformats.org/officeDocument/2006/relationships/hyperlink" Target="https://doi.org/10.1038/nrmicro2990" TargetMode="External"/><Relationship Id="rId44" Type="http://schemas.openxmlformats.org/officeDocument/2006/relationships/hyperlink" Target="https://doi.org/10.1007/s11104-018-3720-8"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doi.org/10.1007/BF00032252" TargetMode="External"/><Relationship Id="rId14" Type="http://schemas.openxmlformats.org/officeDocument/2006/relationships/hyperlink" Target="https://doi.org/10.1038/24376" TargetMode="External"/><Relationship Id="rId22" Type="http://schemas.openxmlformats.org/officeDocument/2006/relationships/hyperlink" Target="https://doi.org/10.1016/j.biosystemseng.2024.01.005" TargetMode="External"/><Relationship Id="rId27" Type="http://schemas.openxmlformats.org/officeDocument/2006/relationships/hyperlink" Target="https://doi.org/10.28940/terra.v42i0.1082" TargetMode="External"/><Relationship Id="rId30" Type="http://schemas.openxmlformats.org/officeDocument/2006/relationships/hyperlink" Target="https://doi.org/10.1371/journal.pone.0322203" TargetMode="External"/><Relationship Id="rId35" Type="http://schemas.openxmlformats.org/officeDocument/2006/relationships/hyperlink" Target="https://doi.org/10.1093/jxb/erh156" TargetMode="External"/><Relationship Id="rId43" Type="http://schemas.openxmlformats.org/officeDocument/2006/relationships/hyperlink" Target="https://doi.org/10.3389/fpls.2022.841254" TargetMode="External"/><Relationship Id="rId48" Type="http://schemas.openxmlformats.org/officeDocument/2006/relationships/image" Target="media/image3.png"/><Relationship Id="rId56" Type="http://schemas.openxmlformats.org/officeDocument/2006/relationships/theme" Target="theme/theme1.xml"/><Relationship Id="rId8" Type="http://schemas.openxmlformats.org/officeDocument/2006/relationships/hyperlink" Target="https://doi.org/10.1080/07352689.2019.1595651"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doi.org/10.1186/s40168-019-0667-4" TargetMode="External"/><Relationship Id="rId17" Type="http://schemas.openxmlformats.org/officeDocument/2006/relationships/hyperlink" Target="https://doi.org/10.1016/j.fcr.2025.109678" TargetMode="External"/><Relationship Id="rId25" Type="http://schemas.openxmlformats.org/officeDocument/2006/relationships/hyperlink" Target="https://doi.org/10.1038/s43017-022-00291-9" TargetMode="External"/><Relationship Id="rId33" Type="http://schemas.openxmlformats.org/officeDocument/2006/relationships/hyperlink" Target="https://doi.org/10.1016/j.fcr.2022.108568" TargetMode="External"/><Relationship Id="rId38" Type="http://schemas.openxmlformats.org/officeDocument/2006/relationships/hyperlink" Target="https://doi.org/10.1073/pnas.1116437108" TargetMode="External"/><Relationship Id="rId46" Type="http://schemas.openxmlformats.org/officeDocument/2006/relationships/image" Target="media/image1.png"/><Relationship Id="rId20" Type="http://schemas.openxmlformats.org/officeDocument/2006/relationships/hyperlink" Target="https://doi.org/10.1002/agj2.20489" TargetMode="External"/><Relationship Id="rId41" Type="http://schemas.openxmlformats.org/officeDocument/2006/relationships/hyperlink" Target="https://doi.org/10.1023/A:1026037216893"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02/9781119107743.ch01" TargetMode="External"/><Relationship Id="rId23" Type="http://schemas.openxmlformats.org/officeDocument/2006/relationships/hyperlink" Target="https://doi.org/10.3390/agriculture15011784" TargetMode="External"/><Relationship Id="rId28" Type="http://schemas.openxmlformats.org/officeDocument/2006/relationships/hyperlink" Target="https://doi.org/10.1038/nclimate2437" TargetMode="External"/><Relationship Id="rId36" Type="http://schemas.openxmlformats.org/officeDocument/2006/relationships/hyperlink" Target="https://doi.org/10.1186/s12870-023-04204-z" TargetMode="External"/><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618C97-D974-4FC4-8820-700BA7C8C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15</Pages>
  <Words>5185</Words>
  <Characters>29561</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dc:creator>
  <cp:lastModifiedBy>Editor-1183</cp:lastModifiedBy>
  <cp:revision>71</cp:revision>
  <dcterms:created xsi:type="dcterms:W3CDTF">2026-04-29T12:31:00Z</dcterms:created>
  <dcterms:modified xsi:type="dcterms:W3CDTF">2026-05-13T07:46:00Z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eyJoZGlkIjoiN2NkYTU0ZDBjNDJhOWYyMjBhODI4Mjg0ZWI4YWY1MjQifQ==</vt:lpwstr>
  </property>
  <property fmtid="{D5CDD505-2E9C-101B-9397-08002B2CF9AE}" pid="3" name="KSOProductBuildVer">
    <vt:lpwstr>1033-12.1.0.25242</vt:lpwstr>
  </property>
  <property fmtid="{D5CDD505-2E9C-101B-9397-08002B2CF9AE}" pid="4" name="ICV">
    <vt:lpwstr>75F501FE17904A3C8C4DCA4D65C511B5_12</vt:lpwstr>
  </property>
</Properties>
</file>