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F27AA" w14:textId="77777777" w:rsidR="00626704" w:rsidRDefault="00626704" w:rsidP="00626704">
      <w:pPr>
        <w:spacing w:line="240" w:lineRule="auto"/>
        <w:jc w:val="both"/>
        <w:rPr>
          <w:rFonts w:ascii="Times New Roman" w:hAnsi="Times New Roman" w:cs="Times New Roman"/>
          <w:b/>
          <w:bCs/>
          <w:szCs w:val="24"/>
        </w:rPr>
      </w:pPr>
      <w:r>
        <w:rPr>
          <w:rFonts w:ascii="Calibri" w:hAnsi="Calibri" w:cs="Calibri"/>
          <w:sz w:val="22"/>
          <w:szCs w:val="22"/>
        </w:rPr>
        <w:t>Original Research Article</w:t>
      </w:r>
      <w:r w:rsidRPr="00AA42EC">
        <w:rPr>
          <w:rFonts w:ascii="Times New Roman" w:hAnsi="Times New Roman" w:cs="Times New Roman"/>
          <w:b/>
          <w:bCs/>
          <w:szCs w:val="24"/>
        </w:rPr>
        <w:t xml:space="preserve"> </w:t>
      </w:r>
    </w:p>
    <w:p w14:paraId="45119500" w14:textId="723C56F6" w:rsidR="00626704" w:rsidRPr="008C56D2" w:rsidRDefault="00626704" w:rsidP="00626704">
      <w:pPr>
        <w:spacing w:line="240" w:lineRule="auto"/>
        <w:jc w:val="both"/>
        <w:rPr>
          <w:rFonts w:ascii="Times New Roman" w:hAnsi="Times New Roman" w:cs="Times New Roman"/>
          <w:b/>
          <w:bCs/>
          <w:color w:val="FFC000"/>
          <w:szCs w:val="24"/>
        </w:rPr>
      </w:pPr>
      <w:r w:rsidRPr="008C56D2">
        <w:rPr>
          <w:rStyle w:val="Strong"/>
          <w:rFonts w:ascii="Times New Roman" w:eastAsia="Arial Unicode MS" w:hAnsi="Times New Roman" w:cs="Times New Roman"/>
          <w:szCs w:val="24"/>
        </w:rPr>
        <w:t>Soil Properties and Wheat Yield under STCR-Based Nutrient Application in an Inceptisol</w:t>
      </w:r>
    </w:p>
    <w:p w14:paraId="3872550E" w14:textId="6F38F295" w:rsidR="00626704" w:rsidRDefault="00825897" w:rsidP="00626704">
      <w:pPr>
        <w:spacing w:line="240" w:lineRule="auto"/>
        <w:jc w:val="both"/>
        <w:rPr>
          <w:rFonts w:ascii="Times New Roman" w:hAnsi="Times New Roman" w:cs="Times New Roman"/>
          <w:b/>
          <w:bCs/>
          <w:szCs w:val="24"/>
        </w:rPr>
      </w:pPr>
      <w:r>
        <w:rPr>
          <w:rFonts w:ascii="Times New Roman" w:hAnsi="Times New Roman" w:cs="Times New Roman"/>
          <w:b/>
          <w:bCs/>
          <w:szCs w:val="24"/>
        </w:rPr>
        <w:t>ABSTRACT</w:t>
      </w:r>
    </w:p>
    <w:p w14:paraId="1535BD00" w14:textId="496215BC" w:rsidR="00626704" w:rsidRPr="001C1E3C" w:rsidRDefault="00626704" w:rsidP="00626704">
      <w:pPr>
        <w:spacing w:line="240" w:lineRule="auto"/>
        <w:jc w:val="both"/>
        <w:rPr>
          <w:rFonts w:ascii="Times New Roman" w:hAnsi="Times New Roman" w:cs="Times New Roman"/>
          <w:szCs w:val="24"/>
        </w:rPr>
      </w:pPr>
      <w:r w:rsidRPr="001C1E3C">
        <w:rPr>
          <w:rFonts w:ascii="Times New Roman" w:hAnsi="Times New Roman" w:cs="Times New Roman"/>
          <w:color w:val="000000" w:themeColor="text1"/>
          <w:szCs w:val="24"/>
        </w:rPr>
        <w:t>A field experiment was conducted during Rabi season of 2020-21 and 2021-22 on sandy loam soil</w:t>
      </w:r>
      <w:r w:rsidR="00E204BC" w:rsidRPr="001C1E3C">
        <w:rPr>
          <w:rFonts w:ascii="Times New Roman" w:hAnsi="Times New Roman" w:cs="Times New Roman"/>
          <w:color w:val="000000" w:themeColor="text1"/>
          <w:szCs w:val="24"/>
        </w:rPr>
        <w:t xml:space="preserve"> texture</w:t>
      </w:r>
      <w:r w:rsidRPr="001C1E3C">
        <w:rPr>
          <w:rFonts w:ascii="Times New Roman" w:hAnsi="Times New Roman" w:cs="Times New Roman"/>
          <w:color w:val="000000" w:themeColor="text1"/>
          <w:szCs w:val="24"/>
        </w:rPr>
        <w:t xml:space="preserve"> at the </w:t>
      </w:r>
      <w:r w:rsidRPr="001C1E3C">
        <w:rPr>
          <w:rFonts w:ascii="Times New Roman" w:eastAsiaTheme="minorEastAsia" w:hAnsi="Times New Roman" w:cs="Times New Roman"/>
          <w:color w:val="000000" w:themeColor="text1"/>
          <w:szCs w:val="24"/>
        </w:rPr>
        <w:t>Soil Science Research farm, Department of Soil Science, Sam Higginbottom University of Agriculture, Technology and Sciences, Prayagraj, (U.P.). The treatments were replicated thrice in a randomized block design (RBD). The central objective of this trial was to evaluate the involvement of utilize a Soil Test Crop Response (STCR) plan for fertilizer application and its consequent impact on beneficial energetic within the situation of Inceptisol soil type, with an attentive importance on wheat (</w:t>
      </w:r>
      <w:r w:rsidRPr="001C1E3C">
        <w:rPr>
          <w:rFonts w:ascii="Times New Roman" w:eastAsiaTheme="minorEastAsia" w:hAnsi="Times New Roman" w:cs="Times New Roman"/>
          <w:i/>
          <w:iCs/>
          <w:color w:val="000000" w:themeColor="text1"/>
          <w:szCs w:val="24"/>
        </w:rPr>
        <w:t>Triticum aestivum</w:t>
      </w:r>
      <w:r w:rsidRPr="001C1E3C">
        <w:rPr>
          <w:rFonts w:ascii="Times New Roman" w:eastAsiaTheme="minorEastAsia" w:hAnsi="Times New Roman" w:cs="Times New Roman"/>
          <w:color w:val="000000" w:themeColor="text1"/>
          <w:szCs w:val="24"/>
        </w:rPr>
        <w:t xml:space="preserve"> L.) cultivation within the Prayagraj location.</w:t>
      </w:r>
      <w:r w:rsidRPr="001C1E3C">
        <w:rPr>
          <w:rFonts w:ascii="Times New Roman" w:hAnsi="Times New Roman" w:cs="Times New Roman"/>
          <w:color w:val="000000" w:themeColor="text1"/>
          <w:szCs w:val="24"/>
        </w:rPr>
        <w:t xml:space="preserve"> The Soil Test Crop Response (STCR) approach has emerged as a scientific and reliable method for determining the optimum quantity of fertilizers required for achieving targeted crop yields. It establishes a strong relationship between soil test values and crop response, thereby enabling precise fertilizer recommendations. The application of NPK nutrients in combination with FYM within the treatment T</w:t>
      </w:r>
      <w:r w:rsidRPr="001C1E3C">
        <w:rPr>
          <w:rFonts w:ascii="Times New Roman" w:hAnsi="Times New Roman" w:cs="Times New Roman"/>
          <w:color w:val="000000" w:themeColor="text1"/>
          <w:szCs w:val="24"/>
          <w:vertAlign w:val="subscript"/>
        </w:rPr>
        <w:t>9</w:t>
      </w:r>
      <w:r w:rsidRPr="001C1E3C">
        <w:rPr>
          <w:rFonts w:ascii="Times New Roman" w:hAnsi="Times New Roman" w:cs="Times New Roman"/>
          <w:color w:val="000000" w:themeColor="text1"/>
          <w:szCs w:val="24"/>
        </w:rPr>
        <w:t xml:space="preserve"> </w:t>
      </w:r>
      <w:r w:rsidRPr="001C1E3C">
        <w:rPr>
          <w:rFonts w:ascii="Times New Roman" w:eastAsiaTheme="minorEastAsia" w:hAnsi="Times New Roman" w:cs="Times New Roman"/>
          <w:color w:val="000000" w:themeColor="text1"/>
          <w:szCs w:val="24"/>
        </w:rPr>
        <w:t>(100:75:50 NPK kg /ha + FYM 15 t/ha) show the most essential improvement in both physical and chemical characteristic of the soil and wheat yield.</w:t>
      </w:r>
      <w:r w:rsidRPr="001C1E3C">
        <w:rPr>
          <w:rFonts w:ascii="Times New Roman" w:hAnsi="Times New Roman" w:cs="Times New Roman"/>
          <w:szCs w:val="24"/>
        </w:rPr>
        <w:t xml:space="preserve"> In this context, the integrated use of organic and inorganic nutrient sources has gained importance. Different nutrient sources—such as chemical fertilizers, organic manures, or their combination—have distinct nutrient release patterns and varying effects on soil properties. STCR performed better in terms of soil properties and wheat yield. The application of NPK and FYM exhibited outstanding development in soil quality, yield parameters, and the overall output of the wheat crop. </w:t>
      </w:r>
    </w:p>
    <w:p w14:paraId="49A06458" w14:textId="0B27DBAF" w:rsidR="00626704" w:rsidRPr="001C1E3C" w:rsidRDefault="00825897" w:rsidP="00626704">
      <w:pPr>
        <w:spacing w:line="240" w:lineRule="auto"/>
        <w:jc w:val="both"/>
        <w:rPr>
          <w:rFonts w:ascii="Times New Roman" w:hAnsi="Times New Roman" w:cs="Times New Roman"/>
          <w:b/>
          <w:bCs/>
          <w:szCs w:val="24"/>
        </w:rPr>
      </w:pPr>
      <w:r w:rsidRPr="001C1E3C">
        <w:rPr>
          <w:rFonts w:ascii="Times New Roman" w:hAnsi="Times New Roman" w:cs="Times New Roman"/>
          <w:b/>
          <w:bCs/>
          <w:szCs w:val="24"/>
        </w:rPr>
        <w:t>KEYWORDS:</w:t>
      </w:r>
      <w:r w:rsidR="00626704" w:rsidRPr="001C1E3C">
        <w:rPr>
          <w:rFonts w:ascii="Times New Roman" w:hAnsi="Times New Roman" w:cs="Times New Roman"/>
          <w:b/>
          <w:bCs/>
          <w:szCs w:val="24"/>
        </w:rPr>
        <w:t xml:space="preserve"> </w:t>
      </w:r>
      <w:r w:rsidR="00626704" w:rsidRPr="001C1E3C">
        <w:rPr>
          <w:rFonts w:ascii="Times New Roman" w:hAnsi="Times New Roman" w:cs="Times New Roman"/>
          <w:szCs w:val="24"/>
        </w:rPr>
        <w:t>STCR, Wheat, Soil Properties, Yield</w:t>
      </w:r>
    </w:p>
    <w:p w14:paraId="2936586A" w14:textId="2B8475C0" w:rsidR="00626704" w:rsidRPr="00B468FB" w:rsidRDefault="00825897" w:rsidP="00626704">
      <w:pPr>
        <w:spacing w:after="119" w:line="360" w:lineRule="auto"/>
        <w:ind w:right="15"/>
        <w:jc w:val="both"/>
        <w:rPr>
          <w:rFonts w:ascii="Times New Roman" w:hAnsi="Times New Roman" w:cs="Times New Roman"/>
          <w:b/>
          <w:szCs w:val="24"/>
        </w:rPr>
      </w:pPr>
      <w:r w:rsidRPr="00B468FB">
        <w:rPr>
          <w:rFonts w:ascii="Times New Roman" w:hAnsi="Times New Roman" w:cs="Times New Roman"/>
          <w:b/>
          <w:szCs w:val="24"/>
        </w:rPr>
        <w:t>INTRODUCTION</w:t>
      </w:r>
    </w:p>
    <w:p w14:paraId="24EAA92F" w14:textId="77777777" w:rsidR="00626704" w:rsidRPr="001C1E3C" w:rsidRDefault="00626704" w:rsidP="00626704">
      <w:pPr>
        <w:spacing w:after="119" w:line="240" w:lineRule="auto"/>
        <w:ind w:right="14"/>
        <w:jc w:val="both"/>
        <w:rPr>
          <w:rFonts w:ascii="Times New Roman" w:hAnsi="Times New Roman" w:cs="Times New Roman"/>
          <w:bCs/>
          <w:szCs w:val="24"/>
        </w:rPr>
      </w:pPr>
      <w:r w:rsidRPr="001C1E3C">
        <w:rPr>
          <w:rFonts w:ascii="Times New Roman" w:hAnsi="Times New Roman" w:cs="Times New Roman"/>
          <w:bCs/>
          <w:szCs w:val="24"/>
        </w:rPr>
        <w:t>The effect of land use on soil properties provides an important basis for evaluating the sustainability of different land use systems. Soil is the foundation of all terrestrial life and represents one of the most vital and valuable natural resources. However, it is essentially non-renewable within a short time frame, making its conservation and proper management crucial for long-term productivity and environmental stability (Sannappa &amp; Manjunath, 2013).</w:t>
      </w:r>
    </w:p>
    <w:p w14:paraId="59693F46" w14:textId="77777777" w:rsidR="00626704" w:rsidRPr="001C1E3C" w:rsidRDefault="00626704" w:rsidP="00626704">
      <w:pPr>
        <w:spacing w:after="119" w:line="240" w:lineRule="auto"/>
        <w:ind w:right="14"/>
        <w:jc w:val="both"/>
        <w:rPr>
          <w:rFonts w:ascii="Times New Roman" w:hAnsi="Times New Roman" w:cs="Times New Roman"/>
          <w:bCs/>
          <w:szCs w:val="24"/>
        </w:rPr>
      </w:pPr>
      <w:r w:rsidRPr="001C1E3C">
        <w:rPr>
          <w:rFonts w:ascii="Times New Roman" w:hAnsi="Times New Roman" w:cs="Times New Roman"/>
          <w:bCs/>
          <w:szCs w:val="24"/>
        </w:rPr>
        <w:t>Wheat, being a staple food crop, holds a paramount position in global agriculture due to its high nutritional value, particularly its carbohydrate content and moderate protein levels (10–15%). It serves as a vital dietary component worldwide. India has emerged as a significant player in the global wheat scenario, ranking second in wheat production with an annual output exceeding 100 million tonnes (Food and Agriculture Organization; Agricultural Statistics at a Glance, 2018).</w:t>
      </w:r>
    </w:p>
    <w:p w14:paraId="35AD3A0B" w14:textId="77777777" w:rsidR="00626704" w:rsidRPr="001C1E3C" w:rsidRDefault="00626704" w:rsidP="00626704">
      <w:pPr>
        <w:spacing w:after="119" w:line="240" w:lineRule="auto"/>
        <w:ind w:right="14"/>
        <w:jc w:val="both"/>
        <w:rPr>
          <w:rFonts w:ascii="Times New Roman" w:hAnsi="Times New Roman" w:cs="Times New Roman"/>
          <w:bCs/>
          <w:szCs w:val="24"/>
        </w:rPr>
      </w:pPr>
      <w:r w:rsidRPr="001C1E3C">
        <w:rPr>
          <w:rFonts w:ascii="Times New Roman" w:hAnsi="Times New Roman" w:cs="Times New Roman"/>
          <w:bCs/>
          <w:szCs w:val="24"/>
        </w:rPr>
        <w:t>In contrast, the ICAR soil test crop response (STCR) approach employs multiple regression techniques to establish quantitative relationships among crop yield, soil test values, and fertilizer inputs. This method enables the estimation of soil nutrient-supplying capacity, crop response to applied nutrients, and the development of fertilizer prescription equations for targeted yields within a scientific soil testing framework (Ramamoorthy et al., 1967).</w:t>
      </w:r>
    </w:p>
    <w:p w14:paraId="2F728651" w14:textId="61AD2F50" w:rsidR="00B468FB" w:rsidRPr="001C1E3C" w:rsidRDefault="00626704" w:rsidP="001C1E3C">
      <w:pPr>
        <w:spacing w:after="119" w:line="240" w:lineRule="auto"/>
        <w:ind w:right="14"/>
        <w:jc w:val="both"/>
        <w:rPr>
          <w:rFonts w:ascii="Times New Roman" w:hAnsi="Times New Roman" w:cs="Times New Roman"/>
          <w:bCs/>
          <w:szCs w:val="24"/>
        </w:rPr>
      </w:pPr>
      <w:r w:rsidRPr="001C1E3C">
        <w:rPr>
          <w:rFonts w:ascii="Times New Roman" w:hAnsi="Times New Roman" w:cs="Times New Roman"/>
          <w:bCs/>
          <w:szCs w:val="24"/>
        </w:rPr>
        <w:t xml:space="preserve">Soil test-based nutrient application represents an efficient strategy for optimizing fertilizer use by aligning nutrient application with soil fertility status, thereby enhancing productivity while maintaining long-term soil fertility (Regar &amp; Singh, 2014). The STCR method ensures a balanced supply of nutrients to crops, preventing both excessive and insufficient fertilizer application. This approach helps protect the environment while enhancing economic returns </w:t>
      </w:r>
      <w:r w:rsidRPr="001C1E3C">
        <w:rPr>
          <w:rFonts w:ascii="Times New Roman" w:hAnsi="Times New Roman" w:cs="Times New Roman"/>
          <w:bCs/>
          <w:szCs w:val="24"/>
        </w:rPr>
        <w:lastRenderedPageBreak/>
        <w:t>by meeting crop nutrient requirements for optimal yield and quality. By avoiding nutrient imbalances, the STCR method promotes sustainable agriculture (Boldea et al., 2015). Furthermore, it benefits farmers by optimizing fertilizer management and enabling yield targets to be aligned with their economic conditions (Bhatt et al., 2021; Kumar et al., 2022; Kumar et al., 2023).</w:t>
      </w:r>
    </w:p>
    <w:p w14:paraId="66840060" w14:textId="40CA6431" w:rsidR="00626704" w:rsidRPr="00B468FB" w:rsidRDefault="008C4D28" w:rsidP="00626704">
      <w:pPr>
        <w:spacing w:line="360" w:lineRule="auto"/>
        <w:jc w:val="both"/>
        <w:rPr>
          <w:rFonts w:ascii="Times New Roman" w:eastAsiaTheme="minorEastAsia" w:hAnsi="Times New Roman" w:cs="Times New Roman"/>
          <w:b/>
          <w:bCs/>
          <w:sz w:val="22"/>
          <w:szCs w:val="22"/>
        </w:rPr>
      </w:pPr>
      <w:r w:rsidRPr="00B468FB">
        <w:rPr>
          <w:rFonts w:ascii="Times New Roman" w:eastAsiaTheme="minorEastAsia" w:hAnsi="Times New Roman" w:cs="Times New Roman"/>
          <w:b/>
          <w:bCs/>
          <w:sz w:val="22"/>
          <w:szCs w:val="22"/>
        </w:rPr>
        <w:t>OBJECTI</w:t>
      </w:r>
      <w:r w:rsidR="00825897" w:rsidRPr="00B468FB">
        <w:rPr>
          <w:rFonts w:ascii="Times New Roman" w:eastAsiaTheme="minorEastAsia" w:hAnsi="Times New Roman" w:cs="Times New Roman"/>
          <w:b/>
          <w:bCs/>
          <w:sz w:val="22"/>
          <w:szCs w:val="22"/>
        </w:rPr>
        <w:t>VES:</w:t>
      </w:r>
      <w:r w:rsidR="00626704" w:rsidRPr="00B468FB">
        <w:rPr>
          <w:rFonts w:ascii="Times New Roman" w:eastAsiaTheme="minorEastAsia" w:hAnsi="Times New Roman" w:cs="Times New Roman"/>
          <w:b/>
          <w:bCs/>
          <w:sz w:val="22"/>
          <w:szCs w:val="22"/>
        </w:rPr>
        <w:t xml:space="preserve"> </w:t>
      </w:r>
    </w:p>
    <w:p w14:paraId="710F5656" w14:textId="77777777" w:rsidR="00626704" w:rsidRPr="00B468FB" w:rsidRDefault="00626704" w:rsidP="004B0C63">
      <w:pPr>
        <w:spacing w:line="240" w:lineRule="auto"/>
        <w:jc w:val="both"/>
        <w:rPr>
          <w:rFonts w:ascii="Times New Roman" w:eastAsiaTheme="minorEastAsia" w:hAnsi="Times New Roman" w:cs="Times New Roman"/>
          <w:sz w:val="22"/>
          <w:szCs w:val="22"/>
        </w:rPr>
      </w:pPr>
      <w:r w:rsidRPr="00B468FB">
        <w:rPr>
          <w:rFonts w:ascii="Times New Roman" w:eastAsiaTheme="minorEastAsia" w:hAnsi="Times New Roman" w:cs="Times New Roman"/>
          <w:sz w:val="22"/>
          <w:szCs w:val="22"/>
        </w:rPr>
        <w:t xml:space="preserve">1.To evaluate the soil properties for wheat cultivation. </w:t>
      </w:r>
    </w:p>
    <w:p w14:paraId="74701DEC" w14:textId="77777777" w:rsidR="00626704" w:rsidRPr="00B468FB" w:rsidRDefault="00626704" w:rsidP="004B0C63">
      <w:pPr>
        <w:spacing w:line="240" w:lineRule="auto"/>
        <w:jc w:val="both"/>
        <w:rPr>
          <w:rFonts w:ascii="Times New Roman" w:eastAsiaTheme="minorEastAsia" w:hAnsi="Times New Roman" w:cs="Times New Roman"/>
          <w:sz w:val="22"/>
          <w:szCs w:val="22"/>
        </w:rPr>
      </w:pPr>
      <w:r w:rsidRPr="00B468FB">
        <w:rPr>
          <w:rFonts w:ascii="Times New Roman" w:eastAsiaTheme="minorEastAsia" w:hAnsi="Times New Roman" w:cs="Times New Roman"/>
          <w:sz w:val="22"/>
          <w:szCs w:val="22"/>
        </w:rPr>
        <w:t xml:space="preserve">2.To assess the effect of integrated application of chemical fertilizers and FYM on wheat yield. </w:t>
      </w:r>
    </w:p>
    <w:p w14:paraId="0C38CA2B" w14:textId="77777777" w:rsidR="00626704" w:rsidRPr="00B468FB" w:rsidRDefault="00626704" w:rsidP="004B0C63">
      <w:pPr>
        <w:spacing w:line="240" w:lineRule="auto"/>
        <w:jc w:val="both"/>
        <w:rPr>
          <w:rFonts w:ascii="Times New Roman" w:eastAsiaTheme="minorEastAsia" w:hAnsi="Times New Roman" w:cs="Times New Roman"/>
          <w:b/>
          <w:bCs/>
          <w:sz w:val="22"/>
          <w:szCs w:val="22"/>
        </w:rPr>
      </w:pPr>
      <w:r w:rsidRPr="00B468FB">
        <w:rPr>
          <w:rFonts w:ascii="Times New Roman" w:eastAsiaTheme="minorEastAsia" w:hAnsi="Times New Roman" w:cs="Times New Roman"/>
          <w:sz w:val="22"/>
          <w:szCs w:val="22"/>
        </w:rPr>
        <w:t xml:space="preserve">3.To evaluate soil properties and crop response in Inceptisols. </w:t>
      </w:r>
    </w:p>
    <w:p w14:paraId="79B08898" w14:textId="21A3A03B" w:rsidR="00626704" w:rsidRPr="00B468FB" w:rsidRDefault="008C4D28" w:rsidP="00626704">
      <w:pPr>
        <w:spacing w:line="240" w:lineRule="auto"/>
        <w:jc w:val="both"/>
        <w:rPr>
          <w:rFonts w:ascii="Times New Roman" w:eastAsiaTheme="minorEastAsia" w:hAnsi="Times New Roman" w:cs="Times New Roman"/>
          <w:b/>
          <w:bCs/>
          <w:sz w:val="22"/>
          <w:szCs w:val="22"/>
        </w:rPr>
      </w:pPr>
      <w:r w:rsidRPr="00B468FB">
        <w:rPr>
          <w:rFonts w:ascii="Times New Roman" w:eastAsiaTheme="minorEastAsia" w:hAnsi="Times New Roman" w:cs="Times New Roman"/>
          <w:b/>
          <w:bCs/>
          <w:sz w:val="22"/>
          <w:szCs w:val="22"/>
        </w:rPr>
        <w:t>MATERIALS AND METHODS:</w:t>
      </w:r>
    </w:p>
    <w:p w14:paraId="303A8652" w14:textId="7F6C170A" w:rsidR="004D442D" w:rsidRPr="00B468FB" w:rsidRDefault="004D442D" w:rsidP="00626704">
      <w:pPr>
        <w:spacing w:line="240" w:lineRule="auto"/>
        <w:jc w:val="both"/>
        <w:rPr>
          <w:rFonts w:ascii="Times New Roman" w:eastAsiaTheme="minorEastAsia" w:hAnsi="Times New Roman" w:cs="Times New Roman"/>
          <w:b/>
          <w:bCs/>
          <w:sz w:val="22"/>
          <w:szCs w:val="22"/>
        </w:rPr>
      </w:pPr>
      <w:r w:rsidRPr="00B468FB">
        <w:rPr>
          <w:rFonts w:ascii="Times New Roman" w:eastAsiaTheme="minorEastAsia" w:hAnsi="Times New Roman" w:cs="Times New Roman"/>
          <w:b/>
          <w:bCs/>
          <w:sz w:val="22"/>
          <w:szCs w:val="22"/>
        </w:rPr>
        <w:t>Experimental Site</w:t>
      </w:r>
    </w:p>
    <w:p w14:paraId="1607ADCE" w14:textId="77777777" w:rsidR="004D442D" w:rsidRPr="001C1E3C" w:rsidRDefault="00626704" w:rsidP="00626704">
      <w:pPr>
        <w:spacing w:line="240" w:lineRule="auto"/>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 xml:space="preserve">The field experiment was conducted during the rabi seasons of 2020-2021 and 2021-2022, at the Soil Science Research farm, Department of Soil Science, Sam Higginbottom University of Agriculture, Technology and Sciences, Prayagraj, (U.P.). </w:t>
      </w:r>
    </w:p>
    <w:p w14:paraId="7D75156B" w14:textId="040AD915" w:rsidR="004D442D" w:rsidRPr="00B468FB" w:rsidRDefault="004D442D" w:rsidP="00626704">
      <w:pPr>
        <w:spacing w:line="240" w:lineRule="auto"/>
        <w:jc w:val="both"/>
        <w:rPr>
          <w:rFonts w:ascii="Times New Roman" w:eastAsiaTheme="minorEastAsia" w:hAnsi="Times New Roman" w:cs="Times New Roman"/>
          <w:b/>
          <w:bCs/>
          <w:sz w:val="22"/>
          <w:szCs w:val="22"/>
        </w:rPr>
      </w:pPr>
      <w:r w:rsidRPr="00B468FB">
        <w:rPr>
          <w:rFonts w:ascii="Times New Roman" w:eastAsiaTheme="minorEastAsia" w:hAnsi="Times New Roman" w:cs="Times New Roman"/>
          <w:b/>
          <w:bCs/>
          <w:sz w:val="22"/>
          <w:szCs w:val="22"/>
        </w:rPr>
        <w:t>Climatic Condition</w:t>
      </w:r>
    </w:p>
    <w:p w14:paraId="1070ECBE" w14:textId="77777777" w:rsidR="004B0C63" w:rsidRPr="001C1E3C" w:rsidRDefault="00626704" w:rsidP="00626704">
      <w:pPr>
        <w:spacing w:line="240" w:lineRule="auto"/>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The area of research farm is situated on the South of Prayagraj on the right side of the River Yamuna on the South of Rewa road at a distance of about 6.5 Km from Prayagraj city. It is situated at 25</w:t>
      </w:r>
      <w:r w:rsidRPr="001C1E3C">
        <w:rPr>
          <w:rFonts w:ascii="Times New Roman" w:eastAsiaTheme="minorEastAsia" w:hAnsi="Times New Roman" w:cs="Times New Roman"/>
          <w:szCs w:val="24"/>
          <w:vertAlign w:val="superscript"/>
        </w:rPr>
        <w:t>0</w:t>
      </w:r>
      <w:r w:rsidRPr="001C1E3C">
        <w:rPr>
          <w:rFonts w:ascii="Times New Roman" w:eastAsiaTheme="minorEastAsia" w:hAnsi="Times New Roman" w:cs="Times New Roman"/>
          <w:szCs w:val="24"/>
        </w:rPr>
        <w:t>24’30” North latitude, 81</w:t>
      </w:r>
      <w:r w:rsidRPr="001C1E3C">
        <w:rPr>
          <w:rFonts w:ascii="Times New Roman" w:eastAsiaTheme="minorEastAsia" w:hAnsi="Times New Roman" w:cs="Times New Roman"/>
          <w:szCs w:val="24"/>
          <w:vertAlign w:val="superscript"/>
        </w:rPr>
        <w:t>0</w:t>
      </w:r>
      <w:r w:rsidRPr="001C1E3C">
        <w:rPr>
          <w:rFonts w:ascii="Times New Roman" w:eastAsiaTheme="minorEastAsia" w:hAnsi="Times New Roman" w:cs="Times New Roman"/>
          <w:szCs w:val="24"/>
        </w:rPr>
        <w:t>51’10” East longitude and 98.0 meter above the sea-level. Argo- climatically, Prayagraj District</w:t>
      </w:r>
      <w:r w:rsidRPr="001C1E3C">
        <w:rPr>
          <w:rFonts w:ascii="Times New Roman" w:hAnsi="Times New Roman" w:cs="Times New Roman"/>
          <w:szCs w:val="24"/>
        </w:rPr>
        <w:t xml:space="preserve"> </w:t>
      </w:r>
      <w:r w:rsidRPr="001C1E3C">
        <w:rPr>
          <w:rFonts w:ascii="Times New Roman" w:eastAsiaTheme="minorEastAsia" w:hAnsi="Times New Roman" w:cs="Times New Roman"/>
          <w:szCs w:val="24"/>
        </w:rPr>
        <w:t>represents the subtropical belt of the South East of Uttar Pradesh, and is endowed with extremely hot in summer and fairly cold in winter seasons. The maximum temperature of the location ranges between 46</w:t>
      </w:r>
      <w:r w:rsidRPr="001C1E3C">
        <w:rPr>
          <w:rFonts w:ascii="Times New Roman" w:eastAsiaTheme="minorEastAsia" w:hAnsi="Times New Roman" w:cs="Times New Roman"/>
          <w:szCs w:val="24"/>
          <w:vertAlign w:val="superscript"/>
        </w:rPr>
        <w:t>0</w:t>
      </w:r>
      <w:r w:rsidRPr="001C1E3C">
        <w:rPr>
          <w:rFonts w:ascii="Times New Roman" w:eastAsiaTheme="minorEastAsia" w:hAnsi="Times New Roman" w:cs="Times New Roman"/>
          <w:szCs w:val="24"/>
        </w:rPr>
        <w:t>C and seldom falls below 4</w:t>
      </w:r>
      <w:r w:rsidRPr="001C1E3C">
        <w:rPr>
          <w:rFonts w:ascii="Times New Roman" w:eastAsiaTheme="minorEastAsia" w:hAnsi="Times New Roman" w:cs="Times New Roman"/>
          <w:szCs w:val="24"/>
          <w:vertAlign w:val="superscript"/>
        </w:rPr>
        <w:t>0</w:t>
      </w:r>
      <w:r w:rsidRPr="001C1E3C">
        <w:rPr>
          <w:rFonts w:ascii="Times New Roman" w:eastAsiaTheme="minorEastAsia" w:hAnsi="Times New Roman" w:cs="Times New Roman"/>
          <w:szCs w:val="24"/>
        </w:rPr>
        <w:t>C-5</w:t>
      </w:r>
      <w:r w:rsidRPr="001C1E3C">
        <w:rPr>
          <w:rFonts w:ascii="Times New Roman" w:eastAsiaTheme="minorEastAsia" w:hAnsi="Times New Roman" w:cs="Times New Roman"/>
          <w:szCs w:val="24"/>
          <w:vertAlign w:val="superscript"/>
        </w:rPr>
        <w:t>0</w:t>
      </w:r>
      <w:r w:rsidRPr="001C1E3C">
        <w:rPr>
          <w:rFonts w:ascii="Times New Roman" w:eastAsiaTheme="minorEastAsia" w:hAnsi="Times New Roman" w:cs="Times New Roman"/>
          <w:szCs w:val="24"/>
        </w:rPr>
        <w:t>C. The relative humidity ranges between 30-94%. The average rainfall of this area is around1100.00 mm annually.</w:t>
      </w:r>
    </w:p>
    <w:p w14:paraId="5DACCEC4" w14:textId="1B75D1A6" w:rsidR="004B0C63" w:rsidRPr="00B468FB" w:rsidRDefault="004B0C63" w:rsidP="00626704">
      <w:pPr>
        <w:spacing w:line="240" w:lineRule="auto"/>
        <w:jc w:val="both"/>
        <w:rPr>
          <w:rFonts w:ascii="Times New Roman" w:eastAsiaTheme="minorEastAsia" w:hAnsi="Times New Roman" w:cs="Times New Roman"/>
          <w:b/>
          <w:bCs/>
          <w:sz w:val="22"/>
          <w:szCs w:val="22"/>
        </w:rPr>
      </w:pPr>
      <w:r w:rsidRPr="00B468FB">
        <w:rPr>
          <w:rFonts w:ascii="Times New Roman" w:eastAsiaTheme="minorEastAsia" w:hAnsi="Times New Roman" w:cs="Times New Roman"/>
          <w:b/>
          <w:bCs/>
          <w:sz w:val="22"/>
          <w:szCs w:val="22"/>
        </w:rPr>
        <w:t>Collection of Soil Sample</w:t>
      </w:r>
      <w:r w:rsidR="00626704" w:rsidRPr="00B468FB">
        <w:rPr>
          <w:rFonts w:ascii="Times New Roman" w:eastAsiaTheme="minorEastAsia" w:hAnsi="Times New Roman" w:cs="Times New Roman"/>
          <w:b/>
          <w:bCs/>
          <w:sz w:val="22"/>
          <w:szCs w:val="22"/>
        </w:rPr>
        <w:t xml:space="preserve"> </w:t>
      </w:r>
    </w:p>
    <w:p w14:paraId="0475192C" w14:textId="6F46D319" w:rsidR="00626704" w:rsidRPr="001C1E3C" w:rsidRDefault="00626704" w:rsidP="00626704">
      <w:pPr>
        <w:spacing w:line="240" w:lineRule="auto"/>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 xml:space="preserve">The Soil sample were collected randomly from five spots of the experimental farm at two depths (0-15 cm and 15-30 cm) just before laying out the experiment. The experiment was analyzed for physical and chemical properties, after air dried and passed through 2.0 mm size and size of sample reduced by coning and quartering. The soil data revealed that the soil belongs to the Inceptisols order, has a sandy loam texture, and exhibits a neutral </w:t>
      </w:r>
      <w:r w:rsidR="002E347A" w:rsidRPr="001C1E3C">
        <w:rPr>
          <w:rFonts w:ascii="Times New Roman" w:eastAsiaTheme="minorEastAsia" w:hAnsi="Times New Roman" w:cs="Times New Roman"/>
          <w:szCs w:val="24"/>
        </w:rPr>
        <w:t>soil reaction (pH 7.3 to 7.4).</w:t>
      </w:r>
    </w:p>
    <w:p w14:paraId="0537CCEB" w14:textId="4D315CCB" w:rsidR="004B0C63" w:rsidRPr="00B468FB" w:rsidRDefault="004B0C63" w:rsidP="00626704">
      <w:pPr>
        <w:spacing w:line="240" w:lineRule="auto"/>
        <w:jc w:val="both"/>
        <w:rPr>
          <w:rFonts w:ascii="Times New Roman" w:eastAsiaTheme="minorEastAsia" w:hAnsi="Times New Roman" w:cs="Times New Roman"/>
          <w:b/>
          <w:bCs/>
          <w:sz w:val="22"/>
          <w:szCs w:val="22"/>
        </w:rPr>
      </w:pPr>
      <w:r w:rsidRPr="00B468FB">
        <w:rPr>
          <w:rFonts w:ascii="Times New Roman" w:eastAsiaTheme="minorEastAsia" w:hAnsi="Times New Roman" w:cs="Times New Roman"/>
          <w:b/>
          <w:bCs/>
          <w:sz w:val="22"/>
          <w:szCs w:val="22"/>
        </w:rPr>
        <w:t>Initial soil status of the experiment field during 2021</w:t>
      </w:r>
    </w:p>
    <w:p w14:paraId="17229507" w14:textId="77777777" w:rsidR="004B0C63" w:rsidRPr="001C1E3C" w:rsidRDefault="00626704" w:rsidP="00626704">
      <w:pPr>
        <w:spacing w:line="240" w:lineRule="auto"/>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 xml:space="preserve">The initial soil status of the experimental field was assessed prior to the commencement of the experiment during the pre-sowing period (2021-22). Soil characteristics: Soil depth (0-15), Soil pH (7.15), Electrical conductivity (0.29 dS/m), Organic carbon (0.63 %), Available nitrogen (229 kg/ha), Available phosphorus (23.51 kg/ha), Available potassium (219.35 kg/ha). </w:t>
      </w:r>
    </w:p>
    <w:p w14:paraId="59E4A9C2" w14:textId="1A4C8BF1" w:rsidR="004B0C63" w:rsidRPr="00B468FB" w:rsidRDefault="00626704" w:rsidP="00626704">
      <w:pPr>
        <w:spacing w:line="240" w:lineRule="auto"/>
        <w:jc w:val="both"/>
        <w:rPr>
          <w:rFonts w:ascii="Times New Roman" w:eastAsiaTheme="minorEastAsia" w:hAnsi="Times New Roman" w:cs="Times New Roman"/>
          <w:b/>
          <w:bCs/>
          <w:sz w:val="22"/>
          <w:szCs w:val="22"/>
        </w:rPr>
      </w:pPr>
      <w:r w:rsidRPr="00B468FB">
        <w:rPr>
          <w:rFonts w:ascii="Times New Roman" w:eastAsiaTheme="minorEastAsia" w:hAnsi="Times New Roman" w:cs="Times New Roman"/>
          <w:b/>
          <w:bCs/>
          <w:sz w:val="22"/>
          <w:szCs w:val="22"/>
        </w:rPr>
        <w:t>Treatment details</w:t>
      </w:r>
    </w:p>
    <w:p w14:paraId="1B535A78" w14:textId="24BBF64D" w:rsidR="00626704" w:rsidRPr="001C1E3C" w:rsidRDefault="00626704" w:rsidP="00626704">
      <w:pPr>
        <w:spacing w:line="240" w:lineRule="auto"/>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The experiment was laid out in a Randomized block design (RBD) with three replication and nine treatments. The wheat variety PBW-343 was grown during the two experiment years 2020-2021 and 2021-2022 respectively.</w:t>
      </w:r>
    </w:p>
    <w:p w14:paraId="13F023AA" w14:textId="77777777" w:rsidR="001C1E3C" w:rsidRDefault="001C1E3C" w:rsidP="00626704">
      <w:pPr>
        <w:spacing w:after="194" w:line="276" w:lineRule="auto"/>
        <w:rPr>
          <w:rFonts w:ascii="Times New Roman" w:hAnsi="Times New Roman" w:cs="Times New Roman"/>
          <w:b/>
          <w:bCs/>
          <w:sz w:val="22"/>
          <w:szCs w:val="22"/>
        </w:rPr>
      </w:pPr>
    </w:p>
    <w:p w14:paraId="3035ACC8" w14:textId="77777777" w:rsidR="001C1E3C" w:rsidRDefault="001C1E3C" w:rsidP="00626704">
      <w:pPr>
        <w:spacing w:after="194" w:line="276" w:lineRule="auto"/>
        <w:rPr>
          <w:rFonts w:ascii="Times New Roman" w:hAnsi="Times New Roman" w:cs="Times New Roman"/>
          <w:b/>
          <w:bCs/>
          <w:sz w:val="22"/>
          <w:szCs w:val="22"/>
        </w:rPr>
      </w:pPr>
    </w:p>
    <w:p w14:paraId="67C26AE2" w14:textId="7E94DED6" w:rsidR="00626704" w:rsidRPr="00B468FB" w:rsidRDefault="00626704" w:rsidP="00626704">
      <w:pPr>
        <w:spacing w:after="194" w:line="276" w:lineRule="auto"/>
        <w:rPr>
          <w:rFonts w:ascii="Times New Roman" w:hAnsi="Times New Roman" w:cs="Times New Roman"/>
          <w:sz w:val="22"/>
          <w:szCs w:val="22"/>
        </w:rPr>
      </w:pPr>
      <w:r w:rsidRPr="00B468FB">
        <w:rPr>
          <w:rFonts w:ascii="Times New Roman" w:hAnsi="Times New Roman" w:cs="Times New Roman"/>
          <w:b/>
          <w:bCs/>
          <w:sz w:val="22"/>
          <w:szCs w:val="22"/>
        </w:rPr>
        <w:lastRenderedPageBreak/>
        <w:t>list 1-</w:t>
      </w:r>
      <w:r w:rsidR="004B0C63" w:rsidRPr="00B468FB">
        <w:rPr>
          <w:rFonts w:ascii="Times New Roman" w:hAnsi="Times New Roman" w:cs="Times New Roman"/>
          <w:b/>
          <w:bCs/>
          <w:sz w:val="22"/>
          <w:szCs w:val="22"/>
        </w:rPr>
        <w:t>List of treatment combinations used for the study</w:t>
      </w:r>
    </w:p>
    <w:tbl>
      <w:tblPr>
        <w:tblStyle w:val="TableGrid"/>
        <w:tblW w:w="9540" w:type="dxa"/>
        <w:tblInd w:w="-185" w:type="dxa"/>
        <w:tblLook w:val="04A0" w:firstRow="1" w:lastRow="0" w:firstColumn="1" w:lastColumn="0" w:noHBand="0" w:noVBand="1"/>
      </w:tblPr>
      <w:tblGrid>
        <w:gridCol w:w="2430"/>
        <w:gridCol w:w="7110"/>
      </w:tblGrid>
      <w:tr w:rsidR="00626704" w:rsidRPr="00B468FB" w14:paraId="42B23B84" w14:textId="77777777" w:rsidTr="000C6CCC">
        <w:tc>
          <w:tcPr>
            <w:tcW w:w="2430" w:type="dxa"/>
          </w:tcPr>
          <w:p w14:paraId="288B5045"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Treatment</w:t>
            </w:r>
          </w:p>
        </w:tc>
        <w:tc>
          <w:tcPr>
            <w:tcW w:w="7110" w:type="dxa"/>
          </w:tcPr>
          <w:p w14:paraId="03933DB0"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Treatment combination</w:t>
            </w:r>
          </w:p>
        </w:tc>
      </w:tr>
      <w:tr w:rsidR="00626704" w:rsidRPr="00B468FB" w14:paraId="7EA5773C" w14:textId="77777777" w:rsidTr="000C6CCC">
        <w:tc>
          <w:tcPr>
            <w:tcW w:w="2430" w:type="dxa"/>
          </w:tcPr>
          <w:p w14:paraId="4AA201BB"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w:t>
            </w:r>
            <w:r w:rsidRPr="001C1E3C">
              <w:rPr>
                <w:rFonts w:ascii="Times New Roman" w:eastAsiaTheme="minorEastAsia" w:hAnsi="Times New Roman" w:cs="Times New Roman"/>
                <w:szCs w:val="24"/>
                <w:vertAlign w:val="subscript"/>
              </w:rPr>
              <w:t>1</w:t>
            </w:r>
          </w:p>
        </w:tc>
        <w:tc>
          <w:tcPr>
            <w:tcW w:w="7110" w:type="dxa"/>
          </w:tcPr>
          <w:p w14:paraId="4429476A"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Farmers practice (60:40:40 NPK kg /ha)</w:t>
            </w:r>
          </w:p>
        </w:tc>
      </w:tr>
      <w:tr w:rsidR="00626704" w:rsidRPr="00B468FB" w14:paraId="166CEC9E" w14:textId="77777777" w:rsidTr="000C6CCC">
        <w:tc>
          <w:tcPr>
            <w:tcW w:w="2430" w:type="dxa"/>
          </w:tcPr>
          <w:p w14:paraId="2CDC2ECF"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w:t>
            </w:r>
            <w:r w:rsidRPr="001C1E3C">
              <w:rPr>
                <w:rFonts w:ascii="Times New Roman" w:eastAsiaTheme="minorEastAsia" w:hAnsi="Times New Roman" w:cs="Times New Roman"/>
                <w:szCs w:val="24"/>
                <w:vertAlign w:val="subscript"/>
              </w:rPr>
              <w:t>2</w:t>
            </w:r>
          </w:p>
        </w:tc>
        <w:tc>
          <w:tcPr>
            <w:tcW w:w="7110" w:type="dxa"/>
          </w:tcPr>
          <w:p w14:paraId="15FC9857"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 xml:space="preserve">General recommended fertilizer dose (GRD) (120:60:40 NPK kg /ha) </w:t>
            </w:r>
          </w:p>
        </w:tc>
      </w:tr>
      <w:tr w:rsidR="00626704" w:rsidRPr="00B468FB" w14:paraId="6D660618" w14:textId="77777777" w:rsidTr="000C6CCC">
        <w:tc>
          <w:tcPr>
            <w:tcW w:w="2430" w:type="dxa"/>
          </w:tcPr>
          <w:p w14:paraId="6BBE26EA"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w:t>
            </w:r>
            <w:r w:rsidRPr="001C1E3C">
              <w:rPr>
                <w:rFonts w:ascii="Times New Roman" w:eastAsiaTheme="minorEastAsia" w:hAnsi="Times New Roman" w:cs="Times New Roman"/>
                <w:szCs w:val="24"/>
                <w:vertAlign w:val="subscript"/>
              </w:rPr>
              <w:t>3</w:t>
            </w:r>
          </w:p>
        </w:tc>
        <w:tc>
          <w:tcPr>
            <w:tcW w:w="7110" w:type="dxa"/>
          </w:tcPr>
          <w:p w14:paraId="78E7BDB7"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GRD + FYM 5 t /ha</w:t>
            </w:r>
          </w:p>
        </w:tc>
      </w:tr>
      <w:tr w:rsidR="00626704" w:rsidRPr="00B468FB" w14:paraId="0DA17FAF" w14:textId="77777777" w:rsidTr="000C6CCC">
        <w:tc>
          <w:tcPr>
            <w:tcW w:w="2430" w:type="dxa"/>
          </w:tcPr>
          <w:p w14:paraId="7E04C738"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w:t>
            </w:r>
            <w:r w:rsidRPr="001C1E3C">
              <w:rPr>
                <w:rFonts w:ascii="Times New Roman" w:eastAsiaTheme="minorEastAsia" w:hAnsi="Times New Roman" w:cs="Times New Roman"/>
                <w:szCs w:val="24"/>
                <w:vertAlign w:val="subscript"/>
              </w:rPr>
              <w:t>4</w:t>
            </w:r>
          </w:p>
        </w:tc>
        <w:tc>
          <w:tcPr>
            <w:tcW w:w="7110" w:type="dxa"/>
          </w:tcPr>
          <w:p w14:paraId="185B9CF7"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GRD + FYM 10 t /ha</w:t>
            </w:r>
          </w:p>
        </w:tc>
      </w:tr>
      <w:tr w:rsidR="00626704" w:rsidRPr="00B468FB" w14:paraId="55CBA0AF" w14:textId="77777777" w:rsidTr="000C6CCC">
        <w:tc>
          <w:tcPr>
            <w:tcW w:w="2430" w:type="dxa"/>
          </w:tcPr>
          <w:p w14:paraId="07AC08C9"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w:t>
            </w:r>
            <w:r w:rsidRPr="001C1E3C">
              <w:rPr>
                <w:rFonts w:ascii="Times New Roman" w:eastAsiaTheme="minorEastAsia" w:hAnsi="Times New Roman" w:cs="Times New Roman"/>
                <w:szCs w:val="24"/>
                <w:vertAlign w:val="subscript"/>
              </w:rPr>
              <w:t>5</w:t>
            </w:r>
          </w:p>
        </w:tc>
        <w:tc>
          <w:tcPr>
            <w:tcW w:w="7110" w:type="dxa"/>
          </w:tcPr>
          <w:p w14:paraId="6DD9C0F0"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GRD + FYM 15 t /ha</w:t>
            </w:r>
          </w:p>
        </w:tc>
      </w:tr>
      <w:tr w:rsidR="00626704" w:rsidRPr="00B468FB" w14:paraId="1A870344" w14:textId="77777777" w:rsidTr="000C6CCC">
        <w:tc>
          <w:tcPr>
            <w:tcW w:w="2430" w:type="dxa"/>
          </w:tcPr>
          <w:p w14:paraId="7FE0502F"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w:t>
            </w:r>
            <w:r w:rsidRPr="001C1E3C">
              <w:rPr>
                <w:rFonts w:ascii="Times New Roman" w:eastAsiaTheme="minorEastAsia" w:hAnsi="Times New Roman" w:cs="Times New Roman"/>
                <w:szCs w:val="24"/>
                <w:vertAlign w:val="subscript"/>
              </w:rPr>
              <w:t>6</w:t>
            </w:r>
          </w:p>
        </w:tc>
        <w:tc>
          <w:tcPr>
            <w:tcW w:w="7110" w:type="dxa"/>
          </w:tcPr>
          <w:p w14:paraId="5B710984"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Soil test-based fertilizer dose (STB) (100:75:50 NPK kg /ha)</w:t>
            </w:r>
          </w:p>
        </w:tc>
      </w:tr>
      <w:tr w:rsidR="00626704" w:rsidRPr="00B468FB" w14:paraId="61B6629D" w14:textId="77777777" w:rsidTr="000C6CCC">
        <w:tc>
          <w:tcPr>
            <w:tcW w:w="2430" w:type="dxa"/>
          </w:tcPr>
          <w:p w14:paraId="48951A46"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w:t>
            </w:r>
            <w:r w:rsidRPr="001C1E3C">
              <w:rPr>
                <w:rFonts w:ascii="Times New Roman" w:eastAsiaTheme="minorEastAsia" w:hAnsi="Times New Roman" w:cs="Times New Roman"/>
                <w:szCs w:val="24"/>
                <w:vertAlign w:val="subscript"/>
              </w:rPr>
              <w:t>7</w:t>
            </w:r>
          </w:p>
        </w:tc>
        <w:tc>
          <w:tcPr>
            <w:tcW w:w="7110" w:type="dxa"/>
          </w:tcPr>
          <w:p w14:paraId="1B1DCFB7"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STB+ 5 t/ha t/ha</w:t>
            </w:r>
          </w:p>
        </w:tc>
      </w:tr>
      <w:tr w:rsidR="00626704" w:rsidRPr="00B468FB" w14:paraId="3CC8BCC4" w14:textId="77777777" w:rsidTr="000C6CCC">
        <w:tc>
          <w:tcPr>
            <w:tcW w:w="2430" w:type="dxa"/>
          </w:tcPr>
          <w:p w14:paraId="2CF217A6"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w:t>
            </w:r>
            <w:r w:rsidRPr="001C1E3C">
              <w:rPr>
                <w:rFonts w:ascii="Times New Roman" w:eastAsiaTheme="minorEastAsia" w:hAnsi="Times New Roman" w:cs="Times New Roman"/>
                <w:szCs w:val="24"/>
                <w:vertAlign w:val="subscript"/>
              </w:rPr>
              <w:t>8</w:t>
            </w:r>
          </w:p>
        </w:tc>
        <w:tc>
          <w:tcPr>
            <w:tcW w:w="7110" w:type="dxa"/>
          </w:tcPr>
          <w:p w14:paraId="5E820362"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STB+ FYM 10 t/ha</w:t>
            </w:r>
          </w:p>
        </w:tc>
      </w:tr>
      <w:tr w:rsidR="00626704" w:rsidRPr="00B468FB" w14:paraId="2B421288" w14:textId="77777777" w:rsidTr="000C6CCC">
        <w:tc>
          <w:tcPr>
            <w:tcW w:w="2430" w:type="dxa"/>
          </w:tcPr>
          <w:p w14:paraId="7BFE6FD6"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w:t>
            </w:r>
            <w:r w:rsidRPr="001C1E3C">
              <w:rPr>
                <w:rFonts w:ascii="Times New Roman" w:eastAsiaTheme="minorEastAsia" w:hAnsi="Times New Roman" w:cs="Times New Roman"/>
                <w:szCs w:val="24"/>
                <w:vertAlign w:val="subscript"/>
              </w:rPr>
              <w:t>9</w:t>
            </w:r>
          </w:p>
        </w:tc>
        <w:tc>
          <w:tcPr>
            <w:tcW w:w="7110" w:type="dxa"/>
          </w:tcPr>
          <w:p w14:paraId="6B154D44" w14:textId="77777777" w:rsidR="00626704" w:rsidRPr="001C1E3C" w:rsidRDefault="00626704" w:rsidP="000C6CCC">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 xml:space="preserve">STB+FYM 15 t/ha </w:t>
            </w:r>
          </w:p>
        </w:tc>
      </w:tr>
    </w:tbl>
    <w:p w14:paraId="20CDA361" w14:textId="7E772144" w:rsidR="00626704" w:rsidRPr="00B468FB" w:rsidRDefault="008C4D28" w:rsidP="00626704">
      <w:pPr>
        <w:spacing w:line="240" w:lineRule="auto"/>
        <w:jc w:val="both"/>
        <w:rPr>
          <w:rFonts w:ascii="Times New Roman" w:eastAsiaTheme="minorEastAsia" w:hAnsi="Times New Roman" w:cs="Times New Roman"/>
          <w:b/>
          <w:bCs/>
          <w:szCs w:val="24"/>
        </w:rPr>
      </w:pPr>
      <w:r w:rsidRPr="00B468FB">
        <w:rPr>
          <w:rFonts w:ascii="Times New Roman" w:eastAsiaTheme="minorEastAsia" w:hAnsi="Times New Roman" w:cs="Times New Roman"/>
          <w:b/>
          <w:bCs/>
          <w:szCs w:val="24"/>
        </w:rPr>
        <w:t>RESULTS AND DISCUSSION</w:t>
      </w:r>
      <w:r w:rsidR="00626704" w:rsidRPr="00B468FB">
        <w:rPr>
          <w:rFonts w:ascii="Times New Roman" w:eastAsiaTheme="minorEastAsia" w:hAnsi="Times New Roman" w:cs="Times New Roman"/>
          <w:b/>
          <w:bCs/>
          <w:szCs w:val="24"/>
        </w:rPr>
        <w:t xml:space="preserve"> </w:t>
      </w:r>
    </w:p>
    <w:p w14:paraId="185C00E8" w14:textId="107CC626" w:rsidR="00DF5F49" w:rsidRPr="00DC0AAE" w:rsidRDefault="00DF5F49" w:rsidP="00626704">
      <w:pPr>
        <w:spacing w:line="240" w:lineRule="auto"/>
        <w:jc w:val="both"/>
        <w:rPr>
          <w:rFonts w:ascii="Times New Roman" w:eastAsiaTheme="minorEastAsia" w:hAnsi="Times New Roman" w:cs="Times New Roman"/>
          <w:szCs w:val="24"/>
        </w:rPr>
      </w:pPr>
      <w:r w:rsidRPr="00DC0AAE">
        <w:rPr>
          <w:rStyle w:val="Strong"/>
          <w:rFonts w:ascii="Times New Roman" w:eastAsia="Arial Unicode MS" w:hAnsi="Times New Roman" w:cs="Times New Roman"/>
          <w:szCs w:val="24"/>
        </w:rPr>
        <w:t xml:space="preserve">Soil </w:t>
      </w:r>
      <w:r w:rsidR="00DC0AAE" w:rsidRPr="00DC0AAE">
        <w:rPr>
          <w:rStyle w:val="Strong"/>
          <w:rFonts w:ascii="Times New Roman" w:eastAsia="Arial Unicode MS" w:hAnsi="Times New Roman" w:cs="Times New Roman"/>
          <w:szCs w:val="24"/>
        </w:rPr>
        <w:t>Property</w:t>
      </w:r>
      <w:r w:rsidR="008E78B8" w:rsidRPr="00DC0AAE">
        <w:rPr>
          <w:rStyle w:val="Strong"/>
          <w:rFonts w:ascii="Times New Roman" w:eastAsia="Arial Unicode MS" w:hAnsi="Times New Roman" w:cs="Times New Roman"/>
          <w:szCs w:val="24"/>
        </w:rPr>
        <w:t xml:space="preserve"> (Bulk density)</w:t>
      </w:r>
      <w:r w:rsidRPr="00DC0AAE">
        <w:rPr>
          <w:rStyle w:val="Strong"/>
          <w:rFonts w:ascii="Times New Roman" w:eastAsia="Arial Unicode MS" w:hAnsi="Times New Roman" w:cs="Times New Roman"/>
          <w:szCs w:val="24"/>
        </w:rPr>
        <w:t xml:space="preserve"> under STCR-Based Nutrient Application in an Inceptisol </w:t>
      </w:r>
    </w:p>
    <w:p w14:paraId="1F5F5917" w14:textId="75EC3A0E" w:rsidR="008D2D6B" w:rsidRPr="00B468FB" w:rsidRDefault="002B1550" w:rsidP="008D2D6B">
      <w:pPr>
        <w:spacing w:line="240" w:lineRule="auto"/>
        <w:jc w:val="both"/>
        <w:rPr>
          <w:rFonts w:ascii="Times New Roman" w:eastAsiaTheme="minorEastAsia" w:hAnsi="Times New Roman" w:cs="Times New Roman"/>
          <w:szCs w:val="24"/>
        </w:rPr>
      </w:pPr>
      <w:r w:rsidRPr="00B468FB">
        <w:rPr>
          <w:rFonts w:ascii="Times New Roman" w:eastAsiaTheme="minorEastAsia" w:hAnsi="Times New Roman" w:cs="Times New Roman"/>
          <w:szCs w:val="24"/>
        </w:rPr>
        <w:t>Non - significant impact was observed on bulk density, which varied between 1.11 Mg m</w:t>
      </w:r>
      <w:r w:rsidRPr="00B468FB">
        <w:rPr>
          <w:rFonts w:ascii="Times New Roman" w:eastAsiaTheme="minorEastAsia" w:hAnsi="Times New Roman" w:cs="Times New Roman"/>
          <w:szCs w:val="24"/>
          <w:vertAlign w:val="superscript"/>
        </w:rPr>
        <w:t>-3</w:t>
      </w:r>
      <w:r w:rsidRPr="00B468FB">
        <w:rPr>
          <w:rFonts w:ascii="Times New Roman" w:eastAsiaTheme="minorEastAsia" w:hAnsi="Times New Roman" w:cs="Times New Roman"/>
          <w:szCs w:val="24"/>
        </w:rPr>
        <w:t xml:space="preserve"> to 1.32 Mg m</w:t>
      </w:r>
      <w:r w:rsidRPr="00B468FB">
        <w:rPr>
          <w:rFonts w:ascii="Times New Roman" w:eastAsiaTheme="minorEastAsia" w:hAnsi="Times New Roman" w:cs="Times New Roman"/>
          <w:szCs w:val="24"/>
          <w:vertAlign w:val="superscript"/>
        </w:rPr>
        <w:t>-3</w:t>
      </w:r>
      <w:r w:rsidRPr="00B468FB">
        <w:rPr>
          <w:rFonts w:ascii="Times New Roman" w:eastAsiaTheme="minorEastAsia" w:hAnsi="Times New Roman" w:cs="Times New Roman"/>
          <w:szCs w:val="24"/>
        </w:rPr>
        <w:t xml:space="preserve"> for the respective years and pooled data</w:t>
      </w:r>
      <w:r w:rsidR="00806BB5" w:rsidRPr="00B468FB">
        <w:rPr>
          <w:rFonts w:ascii="Times New Roman" w:eastAsiaTheme="minorEastAsia" w:hAnsi="Times New Roman" w:cs="Times New Roman"/>
          <w:szCs w:val="24"/>
        </w:rPr>
        <w:t>, bulk density is the best under combined application of FYM and NPK.</w:t>
      </w:r>
      <w:r w:rsidR="00211F36" w:rsidRPr="00B468FB">
        <w:rPr>
          <w:rFonts w:ascii="Times New Roman" w:eastAsiaTheme="minorEastAsia" w:hAnsi="Times New Roman" w:cs="Times New Roman"/>
          <w:szCs w:val="24"/>
        </w:rPr>
        <w:t xml:space="preserve"> The reduction in bulk density may be attributed to the addition of FYM (Table 1</w:t>
      </w:r>
      <w:r w:rsidR="002E347A" w:rsidRPr="00B468FB">
        <w:rPr>
          <w:rFonts w:ascii="Times New Roman" w:eastAsiaTheme="minorEastAsia" w:hAnsi="Times New Roman" w:cs="Times New Roman"/>
          <w:szCs w:val="24"/>
        </w:rPr>
        <w:t>). The</w:t>
      </w:r>
      <w:r w:rsidR="008D2D6B" w:rsidRPr="00B468FB">
        <w:rPr>
          <w:rFonts w:ascii="Times New Roman" w:eastAsiaTheme="minorEastAsia" w:hAnsi="Times New Roman" w:cs="Times New Roman"/>
          <w:szCs w:val="24"/>
        </w:rPr>
        <w:t xml:space="preserve"> findings are in accordance with the results reported by Binjola et al., (2018) the data on soil bulk density under different treatments revealed that the combined application of FYM and NPK resulted in a reduction in bulk density, which ranged from 1.47-1.43 Mg m</w:t>
      </w:r>
      <w:r w:rsidR="008D2D6B" w:rsidRPr="00B468FB">
        <w:rPr>
          <w:rFonts w:ascii="Times New Roman" w:eastAsiaTheme="minorEastAsia" w:hAnsi="Times New Roman" w:cs="Times New Roman"/>
          <w:szCs w:val="24"/>
          <w:vertAlign w:val="superscript"/>
        </w:rPr>
        <w:t>-3</w:t>
      </w:r>
      <w:r w:rsidR="008D2D6B" w:rsidRPr="00B468FB">
        <w:rPr>
          <w:rFonts w:ascii="Times New Roman" w:eastAsiaTheme="minorEastAsia" w:hAnsi="Times New Roman" w:cs="Times New Roman"/>
          <w:szCs w:val="24"/>
        </w:rPr>
        <w:t>.</w:t>
      </w:r>
    </w:p>
    <w:p w14:paraId="20AF51E7" w14:textId="786AC5FC" w:rsidR="00DF5F49" w:rsidRPr="00DC0AAE" w:rsidRDefault="00DF5F49" w:rsidP="008D2D6B">
      <w:pPr>
        <w:spacing w:line="240" w:lineRule="auto"/>
        <w:jc w:val="both"/>
        <w:rPr>
          <w:rFonts w:ascii="Times New Roman" w:eastAsiaTheme="minorEastAsia" w:hAnsi="Times New Roman" w:cs="Times New Roman"/>
          <w:szCs w:val="24"/>
        </w:rPr>
      </w:pPr>
      <w:r w:rsidRPr="00DC0AAE">
        <w:rPr>
          <w:rStyle w:val="Strong"/>
          <w:rFonts w:ascii="Times New Roman" w:eastAsia="Arial Unicode MS" w:hAnsi="Times New Roman" w:cs="Times New Roman"/>
          <w:szCs w:val="24"/>
        </w:rPr>
        <w:t xml:space="preserve">Soil </w:t>
      </w:r>
      <w:r w:rsidR="00DC0AAE" w:rsidRPr="00DC0AAE">
        <w:rPr>
          <w:rStyle w:val="Strong"/>
          <w:rFonts w:ascii="Times New Roman" w:eastAsia="Arial Unicode MS" w:hAnsi="Times New Roman" w:cs="Times New Roman"/>
          <w:szCs w:val="24"/>
        </w:rPr>
        <w:t>Property</w:t>
      </w:r>
      <w:r w:rsidR="008E78B8" w:rsidRPr="00DC0AAE">
        <w:rPr>
          <w:rStyle w:val="Strong"/>
          <w:rFonts w:ascii="Times New Roman" w:eastAsia="Arial Unicode MS" w:hAnsi="Times New Roman" w:cs="Times New Roman"/>
          <w:szCs w:val="24"/>
        </w:rPr>
        <w:t xml:space="preserve"> (</w:t>
      </w:r>
      <w:r w:rsidR="008E78B8" w:rsidRPr="00DC0AAE">
        <w:rPr>
          <w:rFonts w:ascii="Times New Roman" w:eastAsiaTheme="minorEastAsia" w:hAnsi="Times New Roman" w:cs="Times New Roman"/>
          <w:b/>
          <w:bCs/>
          <w:szCs w:val="24"/>
        </w:rPr>
        <w:t>Particle density)</w:t>
      </w:r>
      <w:r w:rsidR="008E78B8" w:rsidRPr="00DC0AAE">
        <w:rPr>
          <w:rStyle w:val="Strong"/>
          <w:rFonts w:ascii="Times New Roman" w:eastAsia="Arial Unicode MS" w:hAnsi="Times New Roman" w:cs="Times New Roman"/>
          <w:szCs w:val="24"/>
        </w:rPr>
        <w:t xml:space="preserve"> under</w:t>
      </w:r>
      <w:r w:rsidRPr="00DC0AAE">
        <w:rPr>
          <w:rStyle w:val="Strong"/>
          <w:rFonts w:ascii="Times New Roman" w:eastAsia="Arial Unicode MS" w:hAnsi="Times New Roman" w:cs="Times New Roman"/>
          <w:szCs w:val="24"/>
        </w:rPr>
        <w:t xml:space="preserve"> STCR-Based Nutrient Application in an Inceptisol</w:t>
      </w:r>
    </w:p>
    <w:p w14:paraId="0EBA7481" w14:textId="1968DB93" w:rsidR="008D2D6B" w:rsidRPr="001C1E3C" w:rsidRDefault="005B44D1" w:rsidP="008D2D6B">
      <w:pPr>
        <w:spacing w:line="240" w:lineRule="auto"/>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P</w:t>
      </w:r>
      <w:r w:rsidR="00A9440B" w:rsidRPr="001C1E3C">
        <w:rPr>
          <w:rFonts w:ascii="Times New Roman" w:eastAsiaTheme="minorEastAsia" w:hAnsi="Times New Roman" w:cs="Times New Roman"/>
          <w:szCs w:val="24"/>
        </w:rPr>
        <w:t>article density showed non-significant differences,</w:t>
      </w:r>
      <w:r w:rsidR="00DE1C85" w:rsidRPr="001C1E3C">
        <w:rPr>
          <w:rFonts w:ascii="Times New Roman" w:eastAsiaTheme="minorEastAsia" w:hAnsi="Times New Roman" w:cs="Times New Roman"/>
          <w:szCs w:val="24"/>
        </w:rPr>
        <w:t xml:space="preserve"> </w:t>
      </w:r>
      <w:r w:rsidR="00A9440B" w:rsidRPr="001C1E3C">
        <w:rPr>
          <w:rFonts w:ascii="Times New Roman" w:eastAsiaTheme="minorEastAsia" w:hAnsi="Times New Roman" w:cs="Times New Roman"/>
          <w:szCs w:val="24"/>
        </w:rPr>
        <w:t>ranging from 2.65</w:t>
      </w:r>
      <w:r w:rsidR="00DE1C85" w:rsidRPr="001C1E3C">
        <w:rPr>
          <w:rFonts w:ascii="Times New Roman" w:eastAsiaTheme="minorEastAsia" w:hAnsi="Times New Roman" w:cs="Times New Roman"/>
          <w:szCs w:val="24"/>
        </w:rPr>
        <w:t xml:space="preserve"> Mg m</w:t>
      </w:r>
      <w:r w:rsidR="00DE1C85" w:rsidRPr="001C1E3C">
        <w:rPr>
          <w:rFonts w:ascii="Times New Roman" w:eastAsiaTheme="minorEastAsia" w:hAnsi="Times New Roman" w:cs="Times New Roman"/>
          <w:szCs w:val="24"/>
          <w:vertAlign w:val="superscript"/>
        </w:rPr>
        <w:t>-3</w:t>
      </w:r>
      <w:r w:rsidR="00DE1C85" w:rsidRPr="001C1E3C">
        <w:rPr>
          <w:rFonts w:ascii="Times New Roman" w:eastAsiaTheme="minorEastAsia" w:hAnsi="Times New Roman" w:cs="Times New Roman"/>
          <w:szCs w:val="24"/>
        </w:rPr>
        <w:t xml:space="preserve"> to</w:t>
      </w:r>
      <w:r w:rsidR="00A9440B" w:rsidRPr="001C1E3C">
        <w:rPr>
          <w:rFonts w:ascii="Times New Roman" w:eastAsiaTheme="minorEastAsia" w:hAnsi="Times New Roman" w:cs="Times New Roman"/>
          <w:szCs w:val="24"/>
        </w:rPr>
        <w:t xml:space="preserve"> 2.66 Mg m</w:t>
      </w:r>
      <w:r w:rsidR="00A9440B" w:rsidRPr="001C1E3C">
        <w:rPr>
          <w:rFonts w:ascii="Times New Roman" w:eastAsiaTheme="minorEastAsia" w:hAnsi="Times New Roman" w:cs="Times New Roman"/>
          <w:szCs w:val="24"/>
          <w:vertAlign w:val="superscript"/>
        </w:rPr>
        <w:t>-3</w:t>
      </w:r>
      <w:r w:rsidR="00A9440B" w:rsidRPr="001C1E3C">
        <w:rPr>
          <w:rFonts w:ascii="Times New Roman" w:eastAsiaTheme="minorEastAsia" w:hAnsi="Times New Roman" w:cs="Times New Roman"/>
          <w:szCs w:val="24"/>
        </w:rPr>
        <w:t xml:space="preserve"> during pooled years data</w:t>
      </w:r>
      <w:r w:rsidR="00D95F14" w:rsidRPr="001C1E3C">
        <w:rPr>
          <w:rFonts w:ascii="Times New Roman" w:eastAsiaTheme="minorEastAsia" w:hAnsi="Times New Roman" w:cs="Times New Roman"/>
          <w:szCs w:val="24"/>
        </w:rPr>
        <w:t>,</w:t>
      </w:r>
      <w:r w:rsidR="00211F36" w:rsidRPr="001C1E3C">
        <w:rPr>
          <w:rFonts w:ascii="Times New Roman" w:eastAsiaTheme="minorEastAsia" w:hAnsi="Times New Roman" w:cs="Times New Roman"/>
          <w:szCs w:val="24"/>
        </w:rPr>
        <w:t xml:space="preserve"> the application of STCR-based fertilizers and manure resulted in statistically non-significant variation in particle density in pooled data (Table 1). </w:t>
      </w:r>
      <w:r w:rsidR="00D95F14" w:rsidRPr="001C1E3C">
        <w:rPr>
          <w:rFonts w:ascii="Times New Roman" w:eastAsiaTheme="minorEastAsia" w:hAnsi="Times New Roman" w:cs="Times New Roman"/>
          <w:szCs w:val="24"/>
        </w:rPr>
        <w:t xml:space="preserve"> particle density did not show any significant change due to continuous application </w:t>
      </w:r>
      <w:r w:rsidR="00806BB5" w:rsidRPr="001C1E3C">
        <w:rPr>
          <w:rFonts w:ascii="Times New Roman" w:eastAsiaTheme="minorEastAsia" w:hAnsi="Times New Roman" w:cs="Times New Roman"/>
          <w:szCs w:val="24"/>
        </w:rPr>
        <w:t>of fertilizer</w:t>
      </w:r>
      <w:r w:rsidR="00D95F14" w:rsidRPr="001C1E3C">
        <w:rPr>
          <w:rFonts w:ascii="Times New Roman" w:eastAsiaTheme="minorEastAsia" w:hAnsi="Times New Roman" w:cs="Times New Roman"/>
          <w:szCs w:val="24"/>
        </w:rPr>
        <w:t xml:space="preserve"> and organic manure</w:t>
      </w:r>
      <w:r w:rsidR="008D2D6B" w:rsidRPr="001C1E3C">
        <w:rPr>
          <w:rFonts w:ascii="Times New Roman" w:eastAsiaTheme="minorEastAsia" w:hAnsi="Times New Roman" w:cs="Times New Roman"/>
          <w:szCs w:val="24"/>
        </w:rPr>
        <w:t xml:space="preserve">, similar findings have also been reported by Nandapure et al., (2011) and Ram et al., (2010). </w:t>
      </w:r>
    </w:p>
    <w:p w14:paraId="17C17131" w14:textId="49E6BC1C" w:rsidR="00DF5F49" w:rsidRPr="00DC0AAE" w:rsidRDefault="00DF5F49" w:rsidP="008D2D6B">
      <w:pPr>
        <w:spacing w:line="240" w:lineRule="auto"/>
        <w:jc w:val="both"/>
        <w:rPr>
          <w:rFonts w:ascii="Times New Roman" w:eastAsiaTheme="minorEastAsia" w:hAnsi="Times New Roman" w:cs="Times New Roman"/>
          <w:szCs w:val="24"/>
        </w:rPr>
      </w:pPr>
      <w:r w:rsidRPr="00DC0AAE">
        <w:rPr>
          <w:rStyle w:val="Strong"/>
          <w:rFonts w:ascii="Times New Roman" w:eastAsia="Arial Unicode MS" w:hAnsi="Times New Roman" w:cs="Times New Roman"/>
          <w:szCs w:val="24"/>
        </w:rPr>
        <w:t xml:space="preserve">Soil </w:t>
      </w:r>
      <w:r w:rsidR="008E78B8" w:rsidRPr="00DC0AAE">
        <w:rPr>
          <w:rStyle w:val="Strong"/>
          <w:rFonts w:ascii="Times New Roman" w:eastAsia="Arial Unicode MS" w:hAnsi="Times New Roman" w:cs="Times New Roman"/>
          <w:szCs w:val="24"/>
        </w:rPr>
        <w:t>Propert</w:t>
      </w:r>
      <w:r w:rsidR="00DC0AAE" w:rsidRPr="00DC0AAE">
        <w:rPr>
          <w:rStyle w:val="Strong"/>
          <w:rFonts w:ascii="Times New Roman" w:eastAsia="Arial Unicode MS" w:hAnsi="Times New Roman" w:cs="Times New Roman"/>
          <w:szCs w:val="24"/>
        </w:rPr>
        <w:t>y</w:t>
      </w:r>
      <w:r w:rsidR="008E78B8" w:rsidRPr="00DC0AAE">
        <w:rPr>
          <w:rStyle w:val="Strong"/>
          <w:rFonts w:ascii="Times New Roman" w:eastAsia="Arial Unicode MS" w:hAnsi="Times New Roman" w:cs="Times New Roman"/>
          <w:szCs w:val="24"/>
        </w:rPr>
        <w:t xml:space="preserve"> (</w:t>
      </w:r>
      <w:r w:rsidR="008E78B8" w:rsidRPr="00DC0AAE">
        <w:rPr>
          <w:rFonts w:ascii="Times New Roman" w:eastAsiaTheme="minorEastAsia" w:hAnsi="Times New Roman" w:cs="Times New Roman"/>
          <w:b/>
          <w:bCs/>
          <w:szCs w:val="24"/>
        </w:rPr>
        <w:t>pH)</w:t>
      </w:r>
      <w:r w:rsidR="008E78B8" w:rsidRPr="00DC0AAE">
        <w:rPr>
          <w:rStyle w:val="Strong"/>
          <w:rFonts w:ascii="Times New Roman" w:eastAsia="Arial Unicode MS" w:hAnsi="Times New Roman" w:cs="Times New Roman"/>
          <w:szCs w:val="24"/>
        </w:rPr>
        <w:t xml:space="preserve"> under</w:t>
      </w:r>
      <w:r w:rsidRPr="00DC0AAE">
        <w:rPr>
          <w:rStyle w:val="Strong"/>
          <w:rFonts w:ascii="Times New Roman" w:eastAsia="Arial Unicode MS" w:hAnsi="Times New Roman" w:cs="Times New Roman"/>
          <w:szCs w:val="24"/>
        </w:rPr>
        <w:t xml:space="preserve"> STCR-Based Nutrient Application in an Inceptisol</w:t>
      </w:r>
    </w:p>
    <w:p w14:paraId="032B675F" w14:textId="719019E7" w:rsidR="008C4D28" w:rsidRPr="001C1E3C" w:rsidRDefault="00A9440B" w:rsidP="00626704">
      <w:pPr>
        <w:spacing w:line="240" w:lineRule="auto"/>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 xml:space="preserve">The variations in soil </w:t>
      </w:r>
      <w:r w:rsidR="00DE1C85" w:rsidRPr="001C1E3C">
        <w:rPr>
          <w:rFonts w:ascii="Times New Roman" w:eastAsiaTheme="minorEastAsia" w:hAnsi="Times New Roman" w:cs="Times New Roman"/>
          <w:szCs w:val="24"/>
        </w:rPr>
        <w:t>pH</w:t>
      </w:r>
      <w:r w:rsidRPr="001C1E3C">
        <w:rPr>
          <w:rFonts w:ascii="Times New Roman" w:eastAsiaTheme="minorEastAsia" w:hAnsi="Times New Roman" w:cs="Times New Roman"/>
          <w:szCs w:val="24"/>
        </w:rPr>
        <w:t xml:space="preserve"> among different treatments were non-significant,</w:t>
      </w:r>
      <w:r w:rsidR="00DE1C85" w:rsidRPr="001C1E3C">
        <w:rPr>
          <w:rFonts w:ascii="Times New Roman" w:eastAsiaTheme="minorEastAsia" w:hAnsi="Times New Roman" w:cs="Times New Roman"/>
          <w:szCs w:val="24"/>
        </w:rPr>
        <w:t xml:space="preserve"> </w:t>
      </w:r>
      <w:r w:rsidRPr="001C1E3C">
        <w:rPr>
          <w:rFonts w:ascii="Times New Roman" w:eastAsiaTheme="minorEastAsia" w:hAnsi="Times New Roman" w:cs="Times New Roman"/>
          <w:szCs w:val="24"/>
        </w:rPr>
        <w:t>with values ranging from 7.3 to 7.4</w:t>
      </w:r>
      <w:r w:rsidR="00DE1C85" w:rsidRPr="001C1E3C">
        <w:rPr>
          <w:rFonts w:ascii="Times New Roman" w:eastAsiaTheme="minorEastAsia" w:hAnsi="Times New Roman" w:cs="Times New Roman"/>
          <w:szCs w:val="24"/>
        </w:rPr>
        <w:t xml:space="preserve"> for the respective years and pooled </w:t>
      </w:r>
      <w:r w:rsidR="00D95F14" w:rsidRPr="001C1E3C">
        <w:rPr>
          <w:rFonts w:ascii="Times New Roman" w:eastAsiaTheme="minorEastAsia" w:hAnsi="Times New Roman" w:cs="Times New Roman"/>
          <w:szCs w:val="24"/>
        </w:rPr>
        <w:t xml:space="preserve">basis, these results were neutral in soil pH due to addition of </w:t>
      </w:r>
      <w:r w:rsidR="002E347A" w:rsidRPr="001C1E3C">
        <w:rPr>
          <w:rFonts w:ascii="Times New Roman" w:eastAsiaTheme="minorEastAsia" w:hAnsi="Times New Roman" w:cs="Times New Roman"/>
          <w:szCs w:val="24"/>
        </w:rPr>
        <w:t>FYM (Table 1)</w:t>
      </w:r>
      <w:r w:rsidR="00D95F14" w:rsidRPr="001C1E3C">
        <w:rPr>
          <w:rFonts w:ascii="Times New Roman" w:eastAsiaTheme="minorEastAsia" w:hAnsi="Times New Roman" w:cs="Times New Roman"/>
          <w:szCs w:val="24"/>
        </w:rPr>
        <w:t>.</w:t>
      </w:r>
      <w:r w:rsidR="00122D16" w:rsidRPr="001C1E3C">
        <w:rPr>
          <w:rFonts w:ascii="Times New Roman" w:eastAsiaTheme="minorEastAsia" w:hAnsi="Times New Roman" w:cs="Times New Roman"/>
          <w:szCs w:val="24"/>
        </w:rPr>
        <w:t xml:space="preserve"> The soil pH is an important parameter which analyzed to help in the identification of the chemical nature of the soil </w:t>
      </w:r>
      <w:r w:rsidR="00D77A4E" w:rsidRPr="001C1E3C">
        <w:rPr>
          <w:rFonts w:ascii="Times New Roman" w:eastAsiaTheme="minorEastAsia" w:hAnsi="Times New Roman" w:cs="Times New Roman"/>
          <w:szCs w:val="24"/>
        </w:rPr>
        <w:t>reaction (</w:t>
      </w:r>
      <w:r w:rsidR="00122D16" w:rsidRPr="001C1E3C">
        <w:rPr>
          <w:rFonts w:ascii="Times New Roman" w:eastAsiaTheme="minorEastAsia" w:hAnsi="Times New Roman" w:cs="Times New Roman"/>
          <w:szCs w:val="24"/>
        </w:rPr>
        <w:t>Meena et al.,2023</w:t>
      </w:r>
      <w:r w:rsidR="007A3B68" w:rsidRPr="001C1E3C">
        <w:rPr>
          <w:rFonts w:ascii="Times New Roman" w:eastAsiaTheme="minorEastAsia" w:hAnsi="Times New Roman" w:cs="Times New Roman"/>
          <w:szCs w:val="24"/>
        </w:rPr>
        <w:t xml:space="preserve"> and Bhatt et al.,2017</w:t>
      </w:r>
      <w:r w:rsidR="00122D16" w:rsidRPr="001C1E3C">
        <w:rPr>
          <w:rFonts w:ascii="Times New Roman" w:eastAsiaTheme="minorEastAsia" w:hAnsi="Times New Roman" w:cs="Times New Roman"/>
          <w:szCs w:val="24"/>
        </w:rPr>
        <w:t>)</w:t>
      </w:r>
      <w:r w:rsidR="007A3B68" w:rsidRPr="001C1E3C">
        <w:rPr>
          <w:rFonts w:ascii="Times New Roman" w:eastAsiaTheme="minorEastAsia" w:hAnsi="Times New Roman" w:cs="Times New Roman"/>
          <w:szCs w:val="24"/>
        </w:rPr>
        <w:t>.</w:t>
      </w:r>
      <w:r w:rsidR="00DE1C85" w:rsidRPr="001C1E3C">
        <w:rPr>
          <w:rFonts w:ascii="Times New Roman" w:eastAsiaTheme="minorEastAsia" w:hAnsi="Times New Roman" w:cs="Times New Roman"/>
          <w:szCs w:val="24"/>
        </w:rPr>
        <w:t xml:space="preserve"> </w:t>
      </w:r>
    </w:p>
    <w:p w14:paraId="137986D3" w14:textId="78CB64C8" w:rsidR="008C4D28" w:rsidRPr="00DC0AAE" w:rsidRDefault="008C4D28" w:rsidP="00626704">
      <w:pPr>
        <w:spacing w:line="240" w:lineRule="auto"/>
        <w:jc w:val="both"/>
        <w:rPr>
          <w:rFonts w:ascii="Times New Roman" w:eastAsiaTheme="minorEastAsia" w:hAnsi="Times New Roman" w:cs="Times New Roman"/>
          <w:szCs w:val="24"/>
        </w:rPr>
      </w:pPr>
      <w:r w:rsidRPr="00DC0AAE">
        <w:rPr>
          <w:rStyle w:val="Strong"/>
          <w:rFonts w:ascii="Times New Roman" w:eastAsia="Arial Unicode MS" w:hAnsi="Times New Roman" w:cs="Times New Roman"/>
          <w:szCs w:val="24"/>
        </w:rPr>
        <w:t>Soil Propert</w:t>
      </w:r>
      <w:r w:rsidR="00DC0AAE" w:rsidRPr="00DC0AAE">
        <w:rPr>
          <w:rStyle w:val="Strong"/>
          <w:rFonts w:ascii="Times New Roman" w:eastAsia="Arial Unicode MS" w:hAnsi="Times New Roman" w:cs="Times New Roman"/>
          <w:szCs w:val="24"/>
        </w:rPr>
        <w:t>y</w:t>
      </w:r>
      <w:r w:rsidR="008E78B8" w:rsidRPr="00DC0AAE">
        <w:rPr>
          <w:rStyle w:val="Strong"/>
          <w:rFonts w:ascii="Times New Roman" w:eastAsia="Arial Unicode MS" w:hAnsi="Times New Roman" w:cs="Times New Roman"/>
          <w:szCs w:val="24"/>
        </w:rPr>
        <w:t xml:space="preserve"> (Organic carbon)</w:t>
      </w:r>
      <w:r w:rsidRPr="00DC0AAE">
        <w:rPr>
          <w:rStyle w:val="Strong"/>
          <w:rFonts w:ascii="Times New Roman" w:eastAsia="Arial Unicode MS" w:hAnsi="Times New Roman" w:cs="Times New Roman"/>
          <w:szCs w:val="24"/>
        </w:rPr>
        <w:t xml:space="preserve"> under STCR-Based Nutrient Application in an Inceptisol</w:t>
      </w:r>
    </w:p>
    <w:p w14:paraId="78F98724" w14:textId="351F0C66" w:rsidR="002B1550" w:rsidRPr="00B468FB" w:rsidRDefault="00DE1C85" w:rsidP="00626704">
      <w:pPr>
        <w:spacing w:line="240" w:lineRule="auto"/>
        <w:jc w:val="both"/>
        <w:rPr>
          <w:rFonts w:ascii="Times New Roman" w:eastAsiaTheme="minorEastAsia" w:hAnsi="Times New Roman" w:cs="Times New Roman"/>
          <w:szCs w:val="24"/>
        </w:rPr>
      </w:pPr>
      <w:r w:rsidRPr="00B468FB">
        <w:rPr>
          <w:rFonts w:ascii="Times New Roman" w:eastAsiaTheme="minorEastAsia" w:hAnsi="Times New Roman" w:cs="Times New Roman"/>
          <w:szCs w:val="24"/>
        </w:rPr>
        <w:t xml:space="preserve">The data indicated significantly higher organic carbon content, varying from 0.53 to 0.77 % for the respective years and pooled </w:t>
      </w:r>
      <w:r w:rsidR="00D77A4E" w:rsidRPr="00B468FB">
        <w:rPr>
          <w:rFonts w:ascii="Times New Roman" w:eastAsiaTheme="minorEastAsia" w:hAnsi="Times New Roman" w:cs="Times New Roman"/>
          <w:szCs w:val="24"/>
        </w:rPr>
        <w:t>basis (Table 1)</w:t>
      </w:r>
      <w:r w:rsidR="009F4DA0" w:rsidRPr="00B468FB">
        <w:rPr>
          <w:rFonts w:ascii="Times New Roman" w:eastAsiaTheme="minorEastAsia" w:hAnsi="Times New Roman" w:cs="Times New Roman"/>
          <w:szCs w:val="24"/>
        </w:rPr>
        <w:t>.</w:t>
      </w:r>
      <w:r w:rsidR="00D422D6" w:rsidRPr="00B468FB">
        <w:rPr>
          <w:rFonts w:ascii="Times New Roman" w:hAnsi="Times New Roman" w:cs="Times New Roman"/>
        </w:rPr>
        <w:t xml:space="preserve"> </w:t>
      </w:r>
      <w:r w:rsidR="00D422D6" w:rsidRPr="00B468FB">
        <w:rPr>
          <w:rFonts w:ascii="Times New Roman" w:eastAsiaTheme="minorEastAsia" w:hAnsi="Times New Roman" w:cs="Times New Roman"/>
          <w:szCs w:val="24"/>
        </w:rPr>
        <w:t>It was indicated that content of soil OC was decreased at consecutive increase in soil depths. Earlier, similar work of Singh (2012),</w:t>
      </w:r>
      <w:r w:rsidR="00D422D6" w:rsidRPr="00B468FB">
        <w:rPr>
          <w:rFonts w:ascii="Times New Roman" w:hAnsi="Times New Roman" w:cs="Times New Roman"/>
        </w:rPr>
        <w:t xml:space="preserve"> </w:t>
      </w:r>
      <w:r w:rsidR="00D422D6" w:rsidRPr="00B468FB">
        <w:rPr>
          <w:rFonts w:ascii="Times New Roman" w:eastAsiaTheme="minorEastAsia" w:hAnsi="Times New Roman" w:cs="Times New Roman"/>
          <w:szCs w:val="24"/>
        </w:rPr>
        <w:t>who studied the depth wise distribution of organic carbon and reported that soil organic carbon content decreased with increase in soil depth.</w:t>
      </w:r>
    </w:p>
    <w:p w14:paraId="7E1CC300" w14:textId="5B728478" w:rsidR="00816955" w:rsidRPr="00DC0AAE" w:rsidRDefault="00DF5F49" w:rsidP="00626704">
      <w:pPr>
        <w:spacing w:line="240" w:lineRule="auto"/>
        <w:jc w:val="both"/>
        <w:rPr>
          <w:rFonts w:ascii="Times New Roman" w:eastAsiaTheme="minorEastAsia" w:hAnsi="Times New Roman" w:cs="Times New Roman"/>
          <w:szCs w:val="24"/>
        </w:rPr>
      </w:pPr>
      <w:r w:rsidRPr="00DC0AAE">
        <w:rPr>
          <w:rStyle w:val="Strong"/>
          <w:rFonts w:ascii="Times New Roman" w:eastAsia="Arial Unicode MS" w:hAnsi="Times New Roman" w:cs="Times New Roman"/>
          <w:szCs w:val="24"/>
        </w:rPr>
        <w:t>Wheat</w:t>
      </w:r>
      <w:r w:rsidR="008E78B8" w:rsidRPr="00DC0AAE">
        <w:rPr>
          <w:rStyle w:val="Strong"/>
          <w:rFonts w:ascii="Times New Roman" w:eastAsia="Arial Unicode MS" w:hAnsi="Times New Roman" w:cs="Times New Roman"/>
          <w:szCs w:val="24"/>
        </w:rPr>
        <w:t xml:space="preserve"> </w:t>
      </w:r>
      <w:r w:rsidR="005F7598">
        <w:rPr>
          <w:rStyle w:val="Strong"/>
          <w:rFonts w:ascii="Times New Roman" w:eastAsia="Arial Unicode MS" w:hAnsi="Times New Roman" w:cs="Times New Roman"/>
          <w:szCs w:val="24"/>
        </w:rPr>
        <w:t>(S</w:t>
      </w:r>
      <w:r w:rsidR="008E78B8" w:rsidRPr="00DC0AAE">
        <w:rPr>
          <w:rStyle w:val="Strong"/>
          <w:rFonts w:ascii="Times New Roman" w:eastAsia="Arial Unicode MS" w:hAnsi="Times New Roman" w:cs="Times New Roman"/>
          <w:szCs w:val="24"/>
        </w:rPr>
        <w:t>traw</w:t>
      </w:r>
      <w:r w:rsidRPr="00DC0AAE">
        <w:rPr>
          <w:rStyle w:val="Strong"/>
          <w:rFonts w:ascii="Times New Roman" w:eastAsia="Arial Unicode MS" w:hAnsi="Times New Roman" w:cs="Times New Roman"/>
          <w:szCs w:val="24"/>
        </w:rPr>
        <w:t xml:space="preserve"> Yield</w:t>
      </w:r>
      <w:r w:rsidR="005F7598">
        <w:rPr>
          <w:rStyle w:val="Strong"/>
          <w:rFonts w:ascii="Times New Roman" w:eastAsia="Arial Unicode MS" w:hAnsi="Times New Roman" w:cs="Times New Roman"/>
          <w:szCs w:val="24"/>
        </w:rPr>
        <w:t>)</w:t>
      </w:r>
      <w:r w:rsidRPr="00DC0AAE">
        <w:rPr>
          <w:rStyle w:val="Strong"/>
          <w:rFonts w:ascii="Times New Roman" w:eastAsia="Arial Unicode MS" w:hAnsi="Times New Roman" w:cs="Times New Roman"/>
          <w:szCs w:val="24"/>
        </w:rPr>
        <w:t xml:space="preserve"> under STCR-Based Nutrient Application in an Inceptisol</w:t>
      </w:r>
    </w:p>
    <w:p w14:paraId="3EB4F11C" w14:textId="1F057194" w:rsidR="0065544F" w:rsidRPr="001C1E3C" w:rsidRDefault="00816955" w:rsidP="0065544F">
      <w:pPr>
        <w:spacing w:line="240" w:lineRule="auto"/>
        <w:jc w:val="both"/>
        <w:rPr>
          <w:rFonts w:ascii="Times New Roman" w:eastAsiaTheme="minorEastAsia" w:hAnsi="Times New Roman" w:cs="Times New Roman"/>
          <w:szCs w:val="24"/>
        </w:rPr>
      </w:pPr>
      <w:r w:rsidRPr="001C1E3C">
        <w:rPr>
          <w:rFonts w:ascii="Times New Roman" w:hAnsi="Times New Roman" w:cs="Times New Roman"/>
          <w:szCs w:val="24"/>
        </w:rPr>
        <w:t xml:space="preserve">Notably, treatment </w:t>
      </w:r>
      <w:r w:rsidR="004171AC" w:rsidRPr="001C1E3C">
        <w:rPr>
          <w:rFonts w:ascii="Times New Roman" w:hAnsi="Times New Roman" w:cs="Times New Roman"/>
          <w:szCs w:val="24"/>
        </w:rPr>
        <w:t>(</w:t>
      </w:r>
      <w:r w:rsidRPr="001C1E3C">
        <w:rPr>
          <w:rFonts w:ascii="Times New Roman" w:hAnsi="Times New Roman" w:cs="Times New Roman"/>
          <w:szCs w:val="24"/>
        </w:rPr>
        <w:t>T</w:t>
      </w:r>
      <w:r w:rsidR="00EC4EFC" w:rsidRPr="001C1E3C">
        <w:rPr>
          <w:rFonts w:ascii="Times New Roman" w:hAnsi="Times New Roman" w:cs="Times New Roman"/>
          <w:szCs w:val="24"/>
          <w:vertAlign w:val="subscript"/>
        </w:rPr>
        <w:t>9</w:t>
      </w:r>
      <w:r w:rsidR="004171AC" w:rsidRPr="001C1E3C">
        <w:rPr>
          <w:rFonts w:ascii="Times New Roman" w:hAnsi="Times New Roman" w:cs="Times New Roman"/>
          <w:szCs w:val="24"/>
        </w:rPr>
        <w:t>)</w:t>
      </w:r>
      <w:r w:rsidRPr="001C1E3C">
        <w:rPr>
          <w:rFonts w:ascii="Times New Roman" w:hAnsi="Times New Roman" w:cs="Times New Roman"/>
          <w:szCs w:val="24"/>
        </w:rPr>
        <w:t xml:space="preserve"> exhibited a markedly higher </w:t>
      </w:r>
      <w:r w:rsidR="00FE184F" w:rsidRPr="001C1E3C">
        <w:rPr>
          <w:rFonts w:ascii="Times New Roman" w:hAnsi="Times New Roman" w:cs="Times New Roman"/>
          <w:szCs w:val="24"/>
        </w:rPr>
        <w:t>straw yield</w:t>
      </w:r>
      <w:r w:rsidRPr="001C1E3C">
        <w:rPr>
          <w:rFonts w:ascii="Times New Roman" w:hAnsi="Times New Roman" w:cs="Times New Roman"/>
          <w:szCs w:val="24"/>
        </w:rPr>
        <w:t xml:space="preserve">, recording values of </w:t>
      </w:r>
      <w:r w:rsidR="00EC4EFC" w:rsidRPr="001C1E3C">
        <w:rPr>
          <w:rFonts w:ascii="Times New Roman" w:hAnsi="Times New Roman" w:cs="Times New Roman"/>
          <w:szCs w:val="24"/>
        </w:rPr>
        <w:t>7.8</w:t>
      </w:r>
      <w:r w:rsidR="00D77A4E" w:rsidRPr="001C1E3C">
        <w:rPr>
          <w:rFonts w:ascii="Times New Roman" w:hAnsi="Times New Roman" w:cs="Times New Roman"/>
          <w:szCs w:val="24"/>
        </w:rPr>
        <w:t>0</w:t>
      </w:r>
      <w:r w:rsidR="00EC4EFC" w:rsidRPr="001C1E3C">
        <w:rPr>
          <w:rFonts w:ascii="Times New Roman" w:hAnsi="Times New Roman" w:cs="Times New Roman"/>
          <w:szCs w:val="24"/>
        </w:rPr>
        <w:t xml:space="preserve"> t ha</w:t>
      </w:r>
      <w:r w:rsidR="00EC4EFC" w:rsidRPr="001C1E3C">
        <w:rPr>
          <w:rFonts w:ascii="Times New Roman" w:hAnsi="Times New Roman" w:cs="Times New Roman"/>
          <w:szCs w:val="24"/>
          <w:vertAlign w:val="superscript"/>
        </w:rPr>
        <w:t>-</w:t>
      </w:r>
      <w:r w:rsidR="00DE1C85" w:rsidRPr="001C1E3C">
        <w:rPr>
          <w:rFonts w:ascii="Times New Roman" w:hAnsi="Times New Roman" w:cs="Times New Roman"/>
          <w:szCs w:val="24"/>
          <w:vertAlign w:val="superscript"/>
        </w:rPr>
        <w:t>1</w:t>
      </w:r>
      <w:r w:rsidR="00DE1C85" w:rsidRPr="001C1E3C">
        <w:rPr>
          <w:rFonts w:ascii="Times New Roman" w:hAnsi="Times New Roman" w:cs="Times New Roman"/>
          <w:szCs w:val="24"/>
        </w:rPr>
        <w:t xml:space="preserve"> respectively</w:t>
      </w:r>
      <w:r w:rsidRPr="001C1E3C">
        <w:rPr>
          <w:rFonts w:ascii="Times New Roman" w:hAnsi="Times New Roman" w:cs="Times New Roman"/>
          <w:szCs w:val="24"/>
        </w:rPr>
        <w:t xml:space="preserve"> followed by T</w:t>
      </w:r>
      <w:r w:rsidR="00EC4EFC" w:rsidRPr="001C1E3C">
        <w:rPr>
          <w:rFonts w:ascii="Times New Roman" w:hAnsi="Times New Roman" w:cs="Times New Roman"/>
          <w:szCs w:val="24"/>
          <w:vertAlign w:val="subscript"/>
        </w:rPr>
        <w:t>8</w:t>
      </w:r>
      <w:r w:rsidRPr="001C1E3C">
        <w:rPr>
          <w:rFonts w:ascii="Times New Roman" w:hAnsi="Times New Roman" w:cs="Times New Roman"/>
          <w:szCs w:val="24"/>
        </w:rPr>
        <w:t xml:space="preserve"> (</w:t>
      </w:r>
      <w:r w:rsidR="00EC4EFC" w:rsidRPr="001C1E3C">
        <w:rPr>
          <w:rFonts w:ascii="Times New Roman" w:hAnsi="Times New Roman" w:cs="Times New Roman"/>
          <w:szCs w:val="24"/>
        </w:rPr>
        <w:t>7.7</w:t>
      </w:r>
      <w:r w:rsidR="00D77A4E" w:rsidRPr="001C1E3C">
        <w:rPr>
          <w:rFonts w:ascii="Times New Roman" w:hAnsi="Times New Roman" w:cs="Times New Roman"/>
          <w:szCs w:val="24"/>
        </w:rPr>
        <w:t>6</w:t>
      </w:r>
      <w:r w:rsidR="00EC4EFC" w:rsidRPr="001C1E3C">
        <w:rPr>
          <w:rFonts w:ascii="Times New Roman" w:hAnsi="Times New Roman" w:cs="Times New Roman"/>
          <w:szCs w:val="24"/>
        </w:rPr>
        <w:t xml:space="preserve"> t ha</w:t>
      </w:r>
      <w:r w:rsidR="00EC4EFC" w:rsidRPr="001C1E3C">
        <w:rPr>
          <w:rFonts w:ascii="Times New Roman" w:hAnsi="Times New Roman" w:cs="Times New Roman"/>
          <w:szCs w:val="24"/>
          <w:vertAlign w:val="superscript"/>
        </w:rPr>
        <w:t>-</w:t>
      </w:r>
      <w:r w:rsidR="008D2D6B" w:rsidRPr="001C1E3C">
        <w:rPr>
          <w:rFonts w:ascii="Times New Roman" w:hAnsi="Times New Roman" w:cs="Times New Roman"/>
          <w:szCs w:val="24"/>
          <w:vertAlign w:val="superscript"/>
        </w:rPr>
        <w:t>1</w:t>
      </w:r>
      <w:r w:rsidR="008D2D6B" w:rsidRPr="001C1E3C">
        <w:rPr>
          <w:rFonts w:ascii="Times New Roman" w:hAnsi="Times New Roman" w:cs="Times New Roman"/>
          <w:szCs w:val="24"/>
        </w:rPr>
        <w:t>)</w:t>
      </w:r>
      <w:r w:rsidRPr="001C1E3C">
        <w:rPr>
          <w:rFonts w:ascii="Times New Roman" w:hAnsi="Times New Roman" w:cs="Times New Roman"/>
          <w:szCs w:val="24"/>
        </w:rPr>
        <w:t xml:space="preserve"> for both years of cropping as well as in the overall pooled </w:t>
      </w:r>
      <w:r w:rsidR="00E52780" w:rsidRPr="001C1E3C">
        <w:rPr>
          <w:rFonts w:ascii="Times New Roman" w:hAnsi="Times New Roman" w:cs="Times New Roman"/>
          <w:szCs w:val="24"/>
        </w:rPr>
        <w:t>data</w:t>
      </w:r>
      <w:r w:rsidR="00D77A4E" w:rsidRPr="001C1E3C">
        <w:rPr>
          <w:rFonts w:ascii="Times New Roman" w:hAnsi="Times New Roman" w:cs="Times New Roman"/>
          <w:szCs w:val="24"/>
        </w:rPr>
        <w:t xml:space="preserve"> (Table 1)</w:t>
      </w:r>
      <w:r w:rsidR="00E52780" w:rsidRPr="001C1E3C">
        <w:rPr>
          <w:rFonts w:ascii="Times New Roman" w:hAnsi="Times New Roman" w:cs="Times New Roman"/>
          <w:szCs w:val="24"/>
        </w:rPr>
        <w:t xml:space="preserve"> These finding resonate with the observations of</w:t>
      </w:r>
      <w:r w:rsidR="00E52780" w:rsidRPr="001C1E3C">
        <w:rPr>
          <w:rFonts w:ascii="Times New Roman" w:eastAsiaTheme="minorEastAsia" w:hAnsi="Times New Roman" w:cs="Times New Roman"/>
          <w:szCs w:val="24"/>
        </w:rPr>
        <w:t xml:space="preserve"> Singh and Kaur (2004), </w:t>
      </w:r>
      <w:r w:rsidR="00DC61F1" w:rsidRPr="001C1E3C">
        <w:rPr>
          <w:rFonts w:ascii="Times New Roman" w:eastAsiaTheme="minorEastAsia" w:hAnsi="Times New Roman" w:cs="Times New Roman"/>
          <w:szCs w:val="24"/>
        </w:rPr>
        <w:lastRenderedPageBreak/>
        <w:t>founded that</w:t>
      </w:r>
      <w:r w:rsidR="00E52780" w:rsidRPr="001C1E3C">
        <w:rPr>
          <w:rFonts w:ascii="Times New Roman" w:eastAsiaTheme="minorEastAsia" w:hAnsi="Times New Roman" w:cs="Times New Roman"/>
          <w:szCs w:val="24"/>
        </w:rPr>
        <w:t xml:space="preserve"> increasing nitrogen levels along with and FYM application increased straw yield of wheat.</w:t>
      </w:r>
      <w:r w:rsidR="0065544F" w:rsidRPr="001C1E3C">
        <w:rPr>
          <w:rFonts w:ascii="Times New Roman" w:eastAsiaTheme="minorEastAsia" w:hAnsi="Times New Roman" w:cs="Times New Roman"/>
          <w:szCs w:val="24"/>
        </w:rPr>
        <w:t xml:space="preserve"> The increased yield of wheat appears to be the result of a combination of yield-attributing characters supported by a balanced supply of nutrients, as reported by Bangre et al., (2020) The findings of the present experiment confirmed the reported by Moharana et al., (2017).</w:t>
      </w:r>
    </w:p>
    <w:p w14:paraId="703782D9" w14:textId="1CCDBE67" w:rsidR="0065544F" w:rsidRPr="00DC0AAE" w:rsidRDefault="00DF5F49" w:rsidP="00DC61F1">
      <w:pPr>
        <w:spacing w:line="240" w:lineRule="auto"/>
        <w:jc w:val="both"/>
        <w:rPr>
          <w:rFonts w:ascii="Times New Roman" w:eastAsiaTheme="minorEastAsia" w:hAnsi="Times New Roman" w:cs="Times New Roman"/>
          <w:szCs w:val="24"/>
        </w:rPr>
      </w:pPr>
      <w:r w:rsidRPr="00DC0AAE">
        <w:rPr>
          <w:rStyle w:val="Strong"/>
          <w:rFonts w:ascii="Times New Roman" w:eastAsia="Arial Unicode MS" w:hAnsi="Times New Roman" w:cs="Times New Roman"/>
          <w:szCs w:val="24"/>
        </w:rPr>
        <w:t xml:space="preserve">Wheat </w:t>
      </w:r>
      <w:r w:rsidR="005F7598">
        <w:rPr>
          <w:rStyle w:val="Strong"/>
          <w:rFonts w:ascii="Times New Roman" w:eastAsia="Arial Unicode MS" w:hAnsi="Times New Roman" w:cs="Times New Roman"/>
          <w:szCs w:val="24"/>
        </w:rPr>
        <w:t>(G</w:t>
      </w:r>
      <w:r w:rsidR="008E78B8" w:rsidRPr="00DC0AAE">
        <w:rPr>
          <w:rStyle w:val="Strong"/>
          <w:rFonts w:ascii="Times New Roman" w:eastAsia="Arial Unicode MS" w:hAnsi="Times New Roman" w:cs="Times New Roman"/>
          <w:szCs w:val="24"/>
        </w:rPr>
        <w:t xml:space="preserve">rain </w:t>
      </w:r>
      <w:r w:rsidRPr="00DC0AAE">
        <w:rPr>
          <w:rStyle w:val="Strong"/>
          <w:rFonts w:ascii="Times New Roman" w:eastAsia="Arial Unicode MS" w:hAnsi="Times New Roman" w:cs="Times New Roman"/>
          <w:szCs w:val="24"/>
        </w:rPr>
        <w:t>Yield</w:t>
      </w:r>
      <w:r w:rsidR="005F7598">
        <w:rPr>
          <w:rStyle w:val="Strong"/>
          <w:rFonts w:ascii="Times New Roman" w:eastAsia="Arial Unicode MS" w:hAnsi="Times New Roman" w:cs="Times New Roman"/>
          <w:szCs w:val="24"/>
        </w:rPr>
        <w:t>)</w:t>
      </w:r>
      <w:r w:rsidRPr="00DC0AAE">
        <w:rPr>
          <w:rStyle w:val="Strong"/>
          <w:rFonts w:ascii="Times New Roman" w:eastAsia="Arial Unicode MS" w:hAnsi="Times New Roman" w:cs="Times New Roman"/>
          <w:szCs w:val="24"/>
        </w:rPr>
        <w:t xml:space="preserve"> under STCR-Based Nutrient Application in an Inceptisol</w:t>
      </w:r>
    </w:p>
    <w:p w14:paraId="522F623F" w14:textId="64871F13" w:rsidR="00816955" w:rsidRPr="001C1E3C" w:rsidRDefault="00E52780" w:rsidP="00DC61F1">
      <w:pPr>
        <w:spacing w:line="240" w:lineRule="auto"/>
        <w:jc w:val="both"/>
        <w:rPr>
          <w:rFonts w:ascii="Times New Roman" w:eastAsiaTheme="minorEastAsia" w:hAnsi="Times New Roman" w:cs="Times New Roman"/>
          <w:szCs w:val="24"/>
        </w:rPr>
      </w:pPr>
      <w:r w:rsidRPr="001C1E3C">
        <w:rPr>
          <w:rFonts w:ascii="Times New Roman" w:hAnsi="Times New Roman" w:cs="Times New Roman"/>
          <w:szCs w:val="24"/>
        </w:rPr>
        <w:t>Particularly</w:t>
      </w:r>
      <w:r w:rsidR="00816955" w:rsidRPr="001C1E3C">
        <w:rPr>
          <w:rFonts w:ascii="Times New Roman" w:hAnsi="Times New Roman" w:cs="Times New Roman"/>
          <w:szCs w:val="24"/>
        </w:rPr>
        <w:t>, Treatment (T</w:t>
      </w:r>
      <w:r w:rsidR="00816955" w:rsidRPr="001C1E3C">
        <w:rPr>
          <w:rFonts w:ascii="Times New Roman" w:hAnsi="Times New Roman" w:cs="Times New Roman"/>
          <w:szCs w:val="24"/>
          <w:vertAlign w:val="subscript"/>
        </w:rPr>
        <w:t>9</w:t>
      </w:r>
      <w:r w:rsidR="00816955" w:rsidRPr="001C1E3C">
        <w:rPr>
          <w:rFonts w:ascii="Times New Roman" w:hAnsi="Times New Roman" w:cs="Times New Roman"/>
          <w:szCs w:val="24"/>
        </w:rPr>
        <w:t xml:space="preserve">) emerges with a notably higher grain yield, achieving values of </w:t>
      </w:r>
      <w:r w:rsidR="00FE184F" w:rsidRPr="001C1E3C">
        <w:rPr>
          <w:rFonts w:ascii="Times New Roman" w:hAnsi="Times New Roman" w:cs="Times New Roman"/>
          <w:szCs w:val="24"/>
        </w:rPr>
        <w:t>6.5</w:t>
      </w:r>
      <w:r w:rsidR="001D24AF" w:rsidRPr="001C1E3C">
        <w:rPr>
          <w:rFonts w:ascii="Times New Roman" w:hAnsi="Times New Roman" w:cs="Times New Roman"/>
          <w:szCs w:val="24"/>
        </w:rPr>
        <w:t>0</w:t>
      </w:r>
      <w:r w:rsidR="00FE184F" w:rsidRPr="001C1E3C">
        <w:rPr>
          <w:rFonts w:ascii="Times New Roman" w:hAnsi="Times New Roman" w:cs="Times New Roman"/>
          <w:szCs w:val="24"/>
        </w:rPr>
        <w:t xml:space="preserve"> ton</w:t>
      </w:r>
      <w:r w:rsidR="00816955" w:rsidRPr="001C1E3C">
        <w:rPr>
          <w:rFonts w:ascii="Times New Roman" w:hAnsi="Times New Roman" w:cs="Times New Roman"/>
          <w:szCs w:val="24"/>
        </w:rPr>
        <w:t xml:space="preserve"> per hectare</w:t>
      </w:r>
      <w:r w:rsidR="00FE184F" w:rsidRPr="001C1E3C">
        <w:rPr>
          <w:rFonts w:ascii="Times New Roman" w:hAnsi="Times New Roman" w:cs="Times New Roman"/>
          <w:szCs w:val="24"/>
        </w:rPr>
        <w:t xml:space="preserve"> during the pooled</w:t>
      </w:r>
      <w:r w:rsidR="00933BC2" w:rsidRPr="001C1E3C">
        <w:rPr>
          <w:rFonts w:ascii="Times New Roman" w:hAnsi="Times New Roman" w:cs="Times New Roman"/>
          <w:szCs w:val="24"/>
        </w:rPr>
        <w:t xml:space="preserve"> years</w:t>
      </w:r>
      <w:r w:rsidR="00FE184F" w:rsidRPr="001C1E3C">
        <w:rPr>
          <w:rFonts w:ascii="Times New Roman" w:hAnsi="Times New Roman" w:cs="Times New Roman"/>
          <w:szCs w:val="24"/>
        </w:rPr>
        <w:t xml:space="preserve"> data.</w:t>
      </w:r>
      <w:r w:rsidR="00933BC2" w:rsidRPr="001C1E3C">
        <w:rPr>
          <w:rFonts w:ascii="Times New Roman" w:hAnsi="Times New Roman" w:cs="Times New Roman"/>
          <w:szCs w:val="24"/>
        </w:rPr>
        <w:t xml:space="preserve"> </w:t>
      </w:r>
      <w:r w:rsidR="00816955" w:rsidRPr="001C1E3C">
        <w:rPr>
          <w:rFonts w:ascii="Times New Roman" w:hAnsi="Times New Roman" w:cs="Times New Roman"/>
          <w:szCs w:val="24"/>
        </w:rPr>
        <w:t>Similarly, treatment (T</w:t>
      </w:r>
      <w:r w:rsidR="00816955" w:rsidRPr="001C1E3C">
        <w:rPr>
          <w:rFonts w:ascii="Times New Roman" w:hAnsi="Times New Roman" w:cs="Times New Roman"/>
          <w:szCs w:val="24"/>
          <w:vertAlign w:val="subscript"/>
        </w:rPr>
        <w:t>8</w:t>
      </w:r>
      <w:r w:rsidR="00816955" w:rsidRPr="001C1E3C">
        <w:rPr>
          <w:rFonts w:ascii="Times New Roman" w:hAnsi="Times New Roman" w:cs="Times New Roman"/>
          <w:szCs w:val="24"/>
        </w:rPr>
        <w:t>) demonstrated consistent grain yields of 6.4</w:t>
      </w:r>
      <w:r w:rsidR="001D24AF" w:rsidRPr="001C1E3C">
        <w:rPr>
          <w:rFonts w:ascii="Times New Roman" w:hAnsi="Times New Roman" w:cs="Times New Roman"/>
          <w:szCs w:val="24"/>
        </w:rPr>
        <w:t>7</w:t>
      </w:r>
      <w:r w:rsidR="00816955" w:rsidRPr="001C1E3C">
        <w:rPr>
          <w:rFonts w:ascii="Times New Roman" w:hAnsi="Times New Roman" w:cs="Times New Roman"/>
          <w:szCs w:val="24"/>
        </w:rPr>
        <w:t xml:space="preserve"> t</w:t>
      </w:r>
      <w:r w:rsidR="005B44D1" w:rsidRPr="001C1E3C">
        <w:rPr>
          <w:rFonts w:ascii="Times New Roman" w:hAnsi="Times New Roman" w:cs="Times New Roman"/>
          <w:szCs w:val="24"/>
        </w:rPr>
        <w:t xml:space="preserve"> </w:t>
      </w:r>
      <w:r w:rsidR="00816955" w:rsidRPr="001C1E3C">
        <w:rPr>
          <w:rFonts w:ascii="Times New Roman" w:hAnsi="Times New Roman" w:cs="Times New Roman"/>
          <w:szCs w:val="24"/>
        </w:rPr>
        <w:t>ha</w:t>
      </w:r>
      <w:r w:rsidR="00816955" w:rsidRPr="001C1E3C">
        <w:rPr>
          <w:rFonts w:ascii="Times New Roman" w:hAnsi="Times New Roman" w:cs="Times New Roman"/>
          <w:szCs w:val="24"/>
          <w:vertAlign w:val="superscript"/>
        </w:rPr>
        <w:t>-1</w:t>
      </w:r>
      <w:r w:rsidR="00816955" w:rsidRPr="001C1E3C">
        <w:rPr>
          <w:rFonts w:ascii="Times New Roman" w:hAnsi="Times New Roman" w:cs="Times New Roman"/>
          <w:szCs w:val="24"/>
        </w:rPr>
        <w:t xml:space="preserve"> across both years of cropping as well as when considering pooled data (</w:t>
      </w:r>
      <w:r w:rsidR="001D24AF" w:rsidRPr="001C1E3C">
        <w:rPr>
          <w:rFonts w:ascii="Times New Roman" w:hAnsi="Times New Roman" w:cs="Times New Roman"/>
          <w:szCs w:val="24"/>
        </w:rPr>
        <w:t xml:space="preserve">Table </w:t>
      </w:r>
      <w:r w:rsidR="0065544F" w:rsidRPr="001C1E3C">
        <w:rPr>
          <w:rFonts w:ascii="Times New Roman" w:hAnsi="Times New Roman" w:cs="Times New Roman"/>
          <w:szCs w:val="24"/>
        </w:rPr>
        <w:t>1)</w:t>
      </w:r>
      <w:r w:rsidR="00816955" w:rsidRPr="001C1E3C">
        <w:rPr>
          <w:rFonts w:ascii="Times New Roman" w:hAnsi="Times New Roman" w:cs="Times New Roman"/>
          <w:szCs w:val="24"/>
        </w:rPr>
        <w:t>. Highlighted the positive impact of applying fertilizers on the yield of wheat, they pointed out that best grain yield was achieved when applied a specific combination of nutrients: 120:60:</w:t>
      </w:r>
      <w:r w:rsidR="00933BC2" w:rsidRPr="001C1E3C">
        <w:rPr>
          <w:rFonts w:ascii="Times New Roman" w:hAnsi="Times New Roman" w:cs="Times New Roman"/>
          <w:szCs w:val="24"/>
        </w:rPr>
        <w:t>4</w:t>
      </w:r>
      <w:r w:rsidR="00816955" w:rsidRPr="001C1E3C">
        <w:rPr>
          <w:rFonts w:ascii="Times New Roman" w:hAnsi="Times New Roman" w:cs="Times New Roman"/>
          <w:szCs w:val="24"/>
        </w:rPr>
        <w:t>0 NPK kgha</w:t>
      </w:r>
      <w:r w:rsidR="00816955" w:rsidRPr="001C1E3C">
        <w:rPr>
          <w:rFonts w:ascii="Times New Roman" w:hAnsi="Times New Roman" w:cs="Times New Roman"/>
          <w:szCs w:val="24"/>
          <w:vertAlign w:val="superscript"/>
        </w:rPr>
        <w:t>-1</w:t>
      </w:r>
      <w:r w:rsidR="00CB4828" w:rsidRPr="001C1E3C">
        <w:rPr>
          <w:rFonts w:ascii="Times New Roman" w:hAnsi="Times New Roman" w:cs="Times New Roman"/>
          <w:szCs w:val="24"/>
        </w:rPr>
        <w:t>,</w:t>
      </w:r>
      <w:r w:rsidR="00CB4828" w:rsidRPr="001C1E3C">
        <w:rPr>
          <w:rFonts w:ascii="Times New Roman" w:hAnsi="Times New Roman" w:cs="Times New Roman"/>
          <w:szCs w:val="24"/>
          <w:lang w:val="en-US"/>
        </w:rPr>
        <w:t xml:space="preserve"> this observation finds resonance with the prior research conducted by</w:t>
      </w:r>
      <w:r w:rsidR="00EC4EFC" w:rsidRPr="001C1E3C">
        <w:rPr>
          <w:rFonts w:ascii="Times New Roman" w:eastAsiaTheme="minorEastAsia" w:hAnsi="Times New Roman" w:cs="Times New Roman"/>
          <w:szCs w:val="24"/>
          <w:lang w:val="en-US" w:bidi="ar-SA"/>
        </w:rPr>
        <w:t xml:space="preserve"> Laghari et al.,</w:t>
      </w:r>
      <w:r w:rsidR="00933BC2" w:rsidRPr="001C1E3C">
        <w:rPr>
          <w:rFonts w:ascii="Times New Roman" w:eastAsiaTheme="minorEastAsia" w:hAnsi="Times New Roman" w:cs="Times New Roman"/>
          <w:szCs w:val="24"/>
          <w:lang w:val="en-US" w:bidi="ar-SA"/>
        </w:rPr>
        <w:t xml:space="preserve"> (2010), Singh (2017), Aatif et al., (2017), </w:t>
      </w:r>
      <w:r w:rsidR="00933BC2" w:rsidRPr="001C1E3C">
        <w:rPr>
          <w:rFonts w:ascii="Times New Roman" w:eastAsiaTheme="minorEastAsia" w:hAnsi="Times New Roman" w:cs="Times New Roman"/>
          <w:szCs w:val="24"/>
        </w:rPr>
        <w:t>Shah et.al., (2006),</w:t>
      </w:r>
      <w:r w:rsidR="00816955" w:rsidRPr="001C1E3C">
        <w:rPr>
          <w:rFonts w:ascii="Times New Roman" w:hAnsi="Times New Roman" w:cs="Times New Roman"/>
          <w:szCs w:val="24"/>
        </w:rPr>
        <w:t xml:space="preserve"> </w:t>
      </w:r>
      <w:r w:rsidR="00933BC2" w:rsidRPr="001C1E3C">
        <w:rPr>
          <w:rFonts w:ascii="Times New Roman" w:eastAsiaTheme="minorEastAsia" w:hAnsi="Times New Roman" w:cs="Times New Roman"/>
          <w:szCs w:val="24"/>
        </w:rPr>
        <w:t>Tiwari et al., (2013), Sellamuthu et al., (2015), Singh et al., (2014), and Rai et al., (2016).</w:t>
      </w:r>
      <w:r w:rsidR="00933BC2" w:rsidRPr="001C1E3C">
        <w:rPr>
          <w:rFonts w:ascii="Times New Roman" w:eastAsia="Times New Roman" w:hAnsi="Times New Roman" w:cs="Times New Roman"/>
          <w:kern w:val="0"/>
          <w:szCs w:val="24"/>
          <w:lang w:eastAsia="en-IN"/>
          <w14:ligatures w14:val="none"/>
        </w:rPr>
        <w:t xml:space="preserve"> </w:t>
      </w:r>
      <w:r w:rsidR="00816955" w:rsidRPr="001C1E3C">
        <w:rPr>
          <w:rFonts w:ascii="Times New Roman" w:eastAsiaTheme="minorEastAsia" w:hAnsi="Times New Roman" w:cs="Times New Roman"/>
          <w:szCs w:val="24"/>
          <w:lang w:val="en-US" w:bidi="ar-SA"/>
        </w:rPr>
        <w:t>These findings align with the results of our own study.</w:t>
      </w:r>
    </w:p>
    <w:p w14:paraId="27FF5623" w14:textId="5D86DC9E" w:rsidR="00710FE8" w:rsidRPr="00B468FB" w:rsidRDefault="00710FE8" w:rsidP="00710FE8">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Table:</w:t>
      </w:r>
      <w:r w:rsidR="005D3568" w:rsidRPr="00B468FB">
        <w:rPr>
          <w:rFonts w:ascii="Times New Roman" w:hAnsi="Times New Roman" w:cs="Times New Roman"/>
          <w:b/>
          <w:bCs/>
          <w:szCs w:val="24"/>
          <w:lang w:val="en-US"/>
        </w:rPr>
        <w:t>1</w:t>
      </w:r>
      <w:r w:rsidRPr="00B468FB">
        <w:rPr>
          <w:rFonts w:ascii="Times New Roman" w:hAnsi="Times New Roman" w:cs="Times New Roman"/>
          <w:b/>
          <w:bCs/>
          <w:szCs w:val="24"/>
          <w:lang w:val="en-US"/>
        </w:rPr>
        <w:t xml:space="preserve"> Following characters observation recorded (2020-21 and 2021-22) in pooled basis.</w:t>
      </w:r>
    </w:p>
    <w:tbl>
      <w:tblPr>
        <w:tblStyle w:val="TableGrid"/>
        <w:tblW w:w="9067" w:type="dxa"/>
        <w:tblLook w:val="04A0" w:firstRow="1" w:lastRow="0" w:firstColumn="1" w:lastColumn="0" w:noHBand="0" w:noVBand="1"/>
      </w:tblPr>
      <w:tblGrid>
        <w:gridCol w:w="1381"/>
        <w:gridCol w:w="1211"/>
        <w:gridCol w:w="1351"/>
        <w:gridCol w:w="1114"/>
        <w:gridCol w:w="1215"/>
        <w:gridCol w:w="1398"/>
        <w:gridCol w:w="1397"/>
      </w:tblGrid>
      <w:tr w:rsidR="00710FE8" w:rsidRPr="00B468FB" w14:paraId="60CE253A" w14:textId="77777777" w:rsidTr="00DD68E8">
        <w:trPr>
          <w:trHeight w:val="1425"/>
        </w:trPr>
        <w:tc>
          <w:tcPr>
            <w:tcW w:w="1321" w:type="dxa"/>
          </w:tcPr>
          <w:p w14:paraId="099838D0" w14:textId="77777777" w:rsidR="00710FE8" w:rsidRPr="00B468FB" w:rsidRDefault="00710FE8" w:rsidP="000C6CCC">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Character Treatments</w:t>
            </w:r>
          </w:p>
        </w:tc>
        <w:tc>
          <w:tcPr>
            <w:tcW w:w="1218" w:type="dxa"/>
          </w:tcPr>
          <w:p w14:paraId="2D1721C6" w14:textId="71ECD8D3" w:rsidR="00710FE8" w:rsidRPr="00B468FB" w:rsidRDefault="00DD68E8" w:rsidP="00C50834">
            <w:pPr>
              <w:jc w:val="center"/>
              <w:rPr>
                <w:rFonts w:ascii="Times New Roman" w:hAnsi="Times New Roman" w:cs="Times New Roman"/>
                <w:b/>
                <w:bCs/>
                <w:szCs w:val="24"/>
                <w:lang w:val="en-US"/>
              </w:rPr>
            </w:pPr>
            <w:r w:rsidRPr="00B468FB">
              <w:rPr>
                <w:rFonts w:ascii="Times New Roman" w:eastAsiaTheme="minorEastAsia" w:hAnsi="Times New Roman" w:cs="Times New Roman"/>
                <w:b/>
                <w:bCs/>
                <w:szCs w:val="24"/>
              </w:rPr>
              <w:t>Bulk density (Mg m</w:t>
            </w:r>
            <w:r w:rsidRPr="00B468FB">
              <w:rPr>
                <w:rFonts w:ascii="Times New Roman" w:eastAsiaTheme="minorEastAsia" w:hAnsi="Times New Roman" w:cs="Times New Roman"/>
                <w:b/>
                <w:bCs/>
                <w:szCs w:val="24"/>
                <w:vertAlign w:val="superscript"/>
              </w:rPr>
              <w:t>-3</w:t>
            </w:r>
            <w:r w:rsidRPr="00B468FB">
              <w:rPr>
                <w:rFonts w:ascii="Times New Roman" w:eastAsiaTheme="minorEastAsia" w:hAnsi="Times New Roman" w:cs="Times New Roman"/>
                <w:b/>
                <w:bCs/>
                <w:szCs w:val="24"/>
              </w:rPr>
              <w:t>)</w:t>
            </w:r>
          </w:p>
        </w:tc>
        <w:tc>
          <w:tcPr>
            <w:tcW w:w="1360" w:type="dxa"/>
          </w:tcPr>
          <w:p w14:paraId="61D81D22" w14:textId="5E684636" w:rsidR="00710FE8" w:rsidRPr="00B468FB" w:rsidRDefault="00DD68E8" w:rsidP="00C50834">
            <w:pPr>
              <w:jc w:val="center"/>
              <w:rPr>
                <w:rFonts w:ascii="Times New Roman" w:hAnsi="Times New Roman" w:cs="Times New Roman"/>
                <w:b/>
                <w:bCs/>
                <w:szCs w:val="24"/>
                <w:lang w:val="en-US"/>
              </w:rPr>
            </w:pPr>
            <w:r w:rsidRPr="00B468FB">
              <w:rPr>
                <w:rFonts w:ascii="Times New Roman" w:eastAsiaTheme="minorEastAsia" w:hAnsi="Times New Roman" w:cs="Times New Roman"/>
                <w:b/>
                <w:bCs/>
                <w:szCs w:val="24"/>
              </w:rPr>
              <w:t>Particle density (Mg m</w:t>
            </w:r>
            <w:r w:rsidRPr="00B468FB">
              <w:rPr>
                <w:rFonts w:ascii="Times New Roman" w:eastAsiaTheme="minorEastAsia" w:hAnsi="Times New Roman" w:cs="Times New Roman"/>
                <w:b/>
                <w:bCs/>
                <w:szCs w:val="24"/>
                <w:vertAlign w:val="superscript"/>
              </w:rPr>
              <w:t>-3</w:t>
            </w:r>
            <w:r w:rsidRPr="00B468FB">
              <w:rPr>
                <w:rFonts w:ascii="Times New Roman" w:eastAsiaTheme="minorEastAsia" w:hAnsi="Times New Roman" w:cs="Times New Roman"/>
                <w:b/>
                <w:bCs/>
                <w:szCs w:val="24"/>
              </w:rPr>
              <w:t>)</w:t>
            </w:r>
          </w:p>
        </w:tc>
        <w:tc>
          <w:tcPr>
            <w:tcW w:w="1126" w:type="dxa"/>
          </w:tcPr>
          <w:p w14:paraId="22A49E89" w14:textId="02895F4A" w:rsidR="00710FE8" w:rsidRPr="00B468FB" w:rsidRDefault="00281274" w:rsidP="00281274">
            <w:pPr>
              <w:jc w:val="center"/>
              <w:rPr>
                <w:rFonts w:ascii="Times New Roman" w:hAnsi="Times New Roman" w:cs="Times New Roman"/>
                <w:b/>
                <w:bCs/>
                <w:szCs w:val="24"/>
                <w:lang w:val="en-US"/>
              </w:rPr>
            </w:pPr>
            <w:r w:rsidRPr="00B468FB">
              <w:rPr>
                <w:rFonts w:ascii="Times New Roman" w:hAnsi="Times New Roman" w:cs="Times New Roman"/>
                <w:b/>
                <w:bCs/>
                <w:szCs w:val="24"/>
                <w:lang w:val="en-US"/>
              </w:rPr>
              <w:t>pH</w:t>
            </w:r>
          </w:p>
        </w:tc>
        <w:tc>
          <w:tcPr>
            <w:tcW w:w="1219" w:type="dxa"/>
          </w:tcPr>
          <w:p w14:paraId="2062C25E" w14:textId="3C6D2E44" w:rsidR="00710FE8" w:rsidRPr="00B468FB" w:rsidRDefault="00281274" w:rsidP="00C50834">
            <w:pPr>
              <w:jc w:val="center"/>
              <w:rPr>
                <w:rFonts w:ascii="Times New Roman" w:hAnsi="Times New Roman" w:cs="Times New Roman"/>
                <w:b/>
                <w:bCs/>
                <w:szCs w:val="24"/>
                <w:lang w:val="en-US"/>
              </w:rPr>
            </w:pPr>
            <w:r w:rsidRPr="00B468FB">
              <w:rPr>
                <w:rFonts w:ascii="Times New Roman" w:hAnsi="Times New Roman" w:cs="Times New Roman"/>
                <w:b/>
                <w:bCs/>
                <w:szCs w:val="24"/>
              </w:rPr>
              <w:t>Organic carbon (%)</w:t>
            </w:r>
          </w:p>
        </w:tc>
        <w:tc>
          <w:tcPr>
            <w:tcW w:w="1412" w:type="dxa"/>
          </w:tcPr>
          <w:p w14:paraId="0130BF00" w14:textId="77777777" w:rsidR="00710FE8" w:rsidRPr="00B468FB" w:rsidRDefault="005D3568" w:rsidP="00C50834">
            <w:pPr>
              <w:jc w:val="center"/>
              <w:rPr>
                <w:rFonts w:ascii="Times New Roman" w:hAnsi="Times New Roman" w:cs="Times New Roman"/>
                <w:b/>
                <w:bCs/>
                <w:szCs w:val="24"/>
                <w:lang w:val="en-US"/>
              </w:rPr>
            </w:pPr>
            <w:r w:rsidRPr="00B468FB">
              <w:rPr>
                <w:rFonts w:ascii="Times New Roman" w:hAnsi="Times New Roman" w:cs="Times New Roman"/>
                <w:b/>
                <w:bCs/>
                <w:szCs w:val="24"/>
                <w:lang w:val="en-US"/>
              </w:rPr>
              <w:t>Straw yield</w:t>
            </w:r>
          </w:p>
          <w:p w14:paraId="07C74666" w14:textId="461C0ED5" w:rsidR="005D3568" w:rsidRPr="00B468FB" w:rsidRDefault="005D3568" w:rsidP="00C50834">
            <w:pPr>
              <w:jc w:val="center"/>
              <w:rPr>
                <w:rFonts w:ascii="Times New Roman" w:hAnsi="Times New Roman" w:cs="Times New Roman"/>
                <w:b/>
                <w:bCs/>
                <w:szCs w:val="24"/>
                <w:lang w:val="en-US"/>
              </w:rPr>
            </w:pPr>
            <w:r w:rsidRPr="00B468FB">
              <w:rPr>
                <w:rFonts w:ascii="Times New Roman" w:hAnsi="Times New Roman" w:cs="Times New Roman"/>
                <w:b/>
                <w:bCs/>
                <w:szCs w:val="24"/>
              </w:rPr>
              <w:t>(t ha</w:t>
            </w:r>
            <w:r w:rsidRPr="00B468FB">
              <w:rPr>
                <w:rFonts w:ascii="Times New Roman" w:hAnsi="Times New Roman" w:cs="Times New Roman"/>
                <w:b/>
                <w:bCs/>
                <w:szCs w:val="24"/>
                <w:vertAlign w:val="superscript"/>
              </w:rPr>
              <w:t>-1</w:t>
            </w:r>
            <w:r w:rsidRPr="00B468FB">
              <w:rPr>
                <w:rFonts w:ascii="Times New Roman" w:hAnsi="Times New Roman" w:cs="Times New Roman"/>
                <w:b/>
                <w:bCs/>
                <w:szCs w:val="24"/>
              </w:rPr>
              <w:t>)</w:t>
            </w:r>
          </w:p>
        </w:tc>
        <w:tc>
          <w:tcPr>
            <w:tcW w:w="1411" w:type="dxa"/>
          </w:tcPr>
          <w:p w14:paraId="02E47E04" w14:textId="77777777" w:rsidR="00710FE8" w:rsidRPr="00B468FB" w:rsidRDefault="00710FE8" w:rsidP="00C50834">
            <w:pPr>
              <w:jc w:val="center"/>
              <w:rPr>
                <w:rFonts w:ascii="Times New Roman" w:hAnsi="Times New Roman" w:cs="Times New Roman"/>
                <w:b/>
                <w:bCs/>
                <w:szCs w:val="24"/>
                <w:lang w:val="en-US"/>
              </w:rPr>
            </w:pPr>
            <w:r w:rsidRPr="00B468FB">
              <w:rPr>
                <w:rFonts w:ascii="Times New Roman" w:hAnsi="Times New Roman" w:cs="Times New Roman"/>
                <w:b/>
                <w:bCs/>
                <w:szCs w:val="24"/>
                <w:lang w:val="en-US"/>
              </w:rPr>
              <w:t>Grain yield</w:t>
            </w:r>
          </w:p>
          <w:p w14:paraId="12C31375" w14:textId="77777777" w:rsidR="00710FE8" w:rsidRPr="00B468FB" w:rsidRDefault="00710FE8" w:rsidP="00C50834">
            <w:pPr>
              <w:jc w:val="center"/>
              <w:rPr>
                <w:rFonts w:ascii="Times New Roman" w:hAnsi="Times New Roman" w:cs="Times New Roman"/>
                <w:szCs w:val="24"/>
                <w:lang w:val="en-US"/>
              </w:rPr>
            </w:pPr>
            <w:r w:rsidRPr="00B468FB">
              <w:rPr>
                <w:rFonts w:ascii="Times New Roman" w:hAnsi="Times New Roman" w:cs="Times New Roman"/>
                <w:b/>
                <w:bCs/>
                <w:szCs w:val="24"/>
              </w:rPr>
              <w:t>(t ha</w:t>
            </w:r>
            <w:r w:rsidRPr="00B468FB">
              <w:rPr>
                <w:rFonts w:ascii="Times New Roman" w:hAnsi="Times New Roman" w:cs="Times New Roman"/>
                <w:b/>
                <w:bCs/>
                <w:szCs w:val="24"/>
                <w:vertAlign w:val="superscript"/>
              </w:rPr>
              <w:t>-1</w:t>
            </w:r>
            <w:r w:rsidRPr="00B468FB">
              <w:rPr>
                <w:rFonts w:ascii="Times New Roman" w:hAnsi="Times New Roman" w:cs="Times New Roman"/>
                <w:b/>
                <w:bCs/>
                <w:szCs w:val="24"/>
              </w:rPr>
              <w:t>)</w:t>
            </w:r>
          </w:p>
        </w:tc>
      </w:tr>
      <w:tr w:rsidR="00281274" w:rsidRPr="00B468FB" w14:paraId="34120141" w14:textId="77777777" w:rsidTr="00DD68E8">
        <w:tc>
          <w:tcPr>
            <w:tcW w:w="1321" w:type="dxa"/>
          </w:tcPr>
          <w:p w14:paraId="5F771BFA" w14:textId="77777777" w:rsidR="00281274" w:rsidRPr="00B468FB" w:rsidRDefault="00281274" w:rsidP="00281274">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w:t>
            </w:r>
            <w:r w:rsidRPr="00B468FB">
              <w:rPr>
                <w:rFonts w:ascii="Times New Roman" w:hAnsi="Times New Roman" w:cs="Times New Roman"/>
                <w:b/>
                <w:bCs/>
                <w:szCs w:val="24"/>
                <w:vertAlign w:val="subscript"/>
                <w:lang w:val="en-US"/>
              </w:rPr>
              <w:t>1</w:t>
            </w:r>
          </w:p>
        </w:tc>
        <w:tc>
          <w:tcPr>
            <w:tcW w:w="1218" w:type="dxa"/>
          </w:tcPr>
          <w:p w14:paraId="777933F6" w14:textId="70ABDA07"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1.31</w:t>
            </w:r>
          </w:p>
        </w:tc>
        <w:tc>
          <w:tcPr>
            <w:tcW w:w="1360" w:type="dxa"/>
          </w:tcPr>
          <w:p w14:paraId="7FCB6504" w14:textId="74902602"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2.65</w:t>
            </w:r>
          </w:p>
        </w:tc>
        <w:tc>
          <w:tcPr>
            <w:tcW w:w="1126" w:type="dxa"/>
          </w:tcPr>
          <w:p w14:paraId="38EF4603" w14:textId="551E5842"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7.36</w:t>
            </w:r>
          </w:p>
        </w:tc>
        <w:tc>
          <w:tcPr>
            <w:tcW w:w="1219" w:type="dxa"/>
          </w:tcPr>
          <w:p w14:paraId="4E5DA8CC" w14:textId="38B9D0A3"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0.47</w:t>
            </w:r>
          </w:p>
        </w:tc>
        <w:tc>
          <w:tcPr>
            <w:tcW w:w="1412" w:type="dxa"/>
          </w:tcPr>
          <w:p w14:paraId="7A216D6D" w14:textId="0D0FB55C"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6.</w:t>
            </w:r>
            <w:r w:rsidR="00512389" w:rsidRPr="00B468FB">
              <w:rPr>
                <w:rFonts w:ascii="Times New Roman" w:hAnsi="Times New Roman" w:cs="Times New Roman"/>
                <w:szCs w:val="24"/>
                <w:lang w:val="en-US"/>
              </w:rPr>
              <w:t>78</w:t>
            </w:r>
          </w:p>
        </w:tc>
        <w:tc>
          <w:tcPr>
            <w:tcW w:w="1411" w:type="dxa"/>
          </w:tcPr>
          <w:p w14:paraId="6F6FEE33" w14:textId="6F97E5CC"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5.</w:t>
            </w:r>
            <w:r w:rsidR="00531B37" w:rsidRPr="00B468FB">
              <w:rPr>
                <w:rFonts w:ascii="Times New Roman" w:hAnsi="Times New Roman" w:cs="Times New Roman"/>
                <w:szCs w:val="24"/>
              </w:rPr>
              <w:t>65</w:t>
            </w:r>
          </w:p>
        </w:tc>
      </w:tr>
      <w:tr w:rsidR="00281274" w:rsidRPr="00B468FB" w14:paraId="53ACD5B1" w14:textId="77777777" w:rsidTr="00DD68E8">
        <w:tc>
          <w:tcPr>
            <w:tcW w:w="1321" w:type="dxa"/>
          </w:tcPr>
          <w:p w14:paraId="31C6F5A7" w14:textId="77777777" w:rsidR="00281274" w:rsidRPr="00B468FB" w:rsidRDefault="00281274" w:rsidP="00281274">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w:t>
            </w:r>
            <w:r w:rsidRPr="00B468FB">
              <w:rPr>
                <w:rFonts w:ascii="Times New Roman" w:hAnsi="Times New Roman" w:cs="Times New Roman"/>
                <w:b/>
                <w:bCs/>
                <w:szCs w:val="24"/>
                <w:vertAlign w:val="subscript"/>
                <w:lang w:val="en-US"/>
              </w:rPr>
              <w:t>2</w:t>
            </w:r>
          </w:p>
        </w:tc>
        <w:tc>
          <w:tcPr>
            <w:tcW w:w="1218" w:type="dxa"/>
          </w:tcPr>
          <w:p w14:paraId="38CAD5BE" w14:textId="0BD83AB4"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1.31</w:t>
            </w:r>
          </w:p>
        </w:tc>
        <w:tc>
          <w:tcPr>
            <w:tcW w:w="1360" w:type="dxa"/>
          </w:tcPr>
          <w:p w14:paraId="5876BE34" w14:textId="30C5CE06"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2.66</w:t>
            </w:r>
          </w:p>
        </w:tc>
        <w:tc>
          <w:tcPr>
            <w:tcW w:w="1126" w:type="dxa"/>
          </w:tcPr>
          <w:p w14:paraId="5E6BA51C" w14:textId="10181740"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7.42</w:t>
            </w:r>
          </w:p>
        </w:tc>
        <w:tc>
          <w:tcPr>
            <w:tcW w:w="1219" w:type="dxa"/>
          </w:tcPr>
          <w:p w14:paraId="62AA034E" w14:textId="1F57F3F7"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0.54</w:t>
            </w:r>
          </w:p>
        </w:tc>
        <w:tc>
          <w:tcPr>
            <w:tcW w:w="1412" w:type="dxa"/>
          </w:tcPr>
          <w:p w14:paraId="2F4DA2E6" w14:textId="6AE0CBB7" w:rsidR="00281274" w:rsidRPr="00B468FB" w:rsidRDefault="00512389"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7.14</w:t>
            </w:r>
          </w:p>
        </w:tc>
        <w:tc>
          <w:tcPr>
            <w:tcW w:w="1411" w:type="dxa"/>
          </w:tcPr>
          <w:p w14:paraId="506F2A0B" w14:textId="388CA996"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5.</w:t>
            </w:r>
            <w:r w:rsidR="00531B37" w:rsidRPr="00B468FB">
              <w:rPr>
                <w:rFonts w:ascii="Times New Roman" w:hAnsi="Times New Roman" w:cs="Times New Roman"/>
                <w:szCs w:val="24"/>
              </w:rPr>
              <w:t>95</w:t>
            </w:r>
          </w:p>
        </w:tc>
      </w:tr>
      <w:tr w:rsidR="00281274" w:rsidRPr="00B468FB" w14:paraId="56CD1C6F" w14:textId="77777777" w:rsidTr="00DD68E8">
        <w:tc>
          <w:tcPr>
            <w:tcW w:w="1321" w:type="dxa"/>
          </w:tcPr>
          <w:p w14:paraId="288EBE25" w14:textId="77777777" w:rsidR="00281274" w:rsidRPr="00B468FB" w:rsidRDefault="00281274" w:rsidP="00281274">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w:t>
            </w:r>
            <w:r w:rsidRPr="00B468FB">
              <w:rPr>
                <w:rFonts w:ascii="Times New Roman" w:hAnsi="Times New Roman" w:cs="Times New Roman"/>
                <w:b/>
                <w:bCs/>
                <w:szCs w:val="24"/>
                <w:vertAlign w:val="subscript"/>
                <w:lang w:val="en-US"/>
              </w:rPr>
              <w:t>3</w:t>
            </w:r>
          </w:p>
        </w:tc>
        <w:tc>
          <w:tcPr>
            <w:tcW w:w="1218" w:type="dxa"/>
          </w:tcPr>
          <w:p w14:paraId="072158ED" w14:textId="0150BE1F"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1.27</w:t>
            </w:r>
          </w:p>
        </w:tc>
        <w:tc>
          <w:tcPr>
            <w:tcW w:w="1360" w:type="dxa"/>
          </w:tcPr>
          <w:p w14:paraId="255D3A84" w14:textId="7D9E0A41"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2.66</w:t>
            </w:r>
          </w:p>
        </w:tc>
        <w:tc>
          <w:tcPr>
            <w:tcW w:w="1126" w:type="dxa"/>
          </w:tcPr>
          <w:p w14:paraId="049A9932" w14:textId="3C85A7CA"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7.38</w:t>
            </w:r>
          </w:p>
        </w:tc>
        <w:tc>
          <w:tcPr>
            <w:tcW w:w="1219" w:type="dxa"/>
          </w:tcPr>
          <w:p w14:paraId="39F3D254" w14:textId="1CA6638F"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0.44</w:t>
            </w:r>
          </w:p>
        </w:tc>
        <w:tc>
          <w:tcPr>
            <w:tcW w:w="1412" w:type="dxa"/>
          </w:tcPr>
          <w:p w14:paraId="59D8BF13" w14:textId="4C9EC9AD"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w:t>
            </w:r>
            <w:r w:rsidR="00512389" w:rsidRPr="00B468FB">
              <w:rPr>
                <w:rFonts w:ascii="Times New Roman" w:hAnsi="Times New Roman" w:cs="Times New Roman"/>
                <w:szCs w:val="24"/>
                <w:lang w:val="en-US"/>
              </w:rPr>
              <w:t>65</w:t>
            </w:r>
          </w:p>
        </w:tc>
        <w:tc>
          <w:tcPr>
            <w:tcW w:w="1411" w:type="dxa"/>
          </w:tcPr>
          <w:p w14:paraId="6B271E95" w14:textId="7E2C244E"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6.</w:t>
            </w:r>
            <w:r w:rsidR="00531B37" w:rsidRPr="00B468FB">
              <w:rPr>
                <w:rFonts w:ascii="Times New Roman" w:hAnsi="Times New Roman" w:cs="Times New Roman"/>
                <w:szCs w:val="24"/>
              </w:rPr>
              <w:t>38</w:t>
            </w:r>
          </w:p>
        </w:tc>
      </w:tr>
      <w:tr w:rsidR="00281274" w:rsidRPr="00B468FB" w14:paraId="4817028C" w14:textId="77777777" w:rsidTr="00DD68E8">
        <w:tc>
          <w:tcPr>
            <w:tcW w:w="1321" w:type="dxa"/>
          </w:tcPr>
          <w:p w14:paraId="15C8B428" w14:textId="77777777" w:rsidR="00281274" w:rsidRPr="00B468FB" w:rsidRDefault="00281274" w:rsidP="00281274">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w:t>
            </w:r>
            <w:r w:rsidRPr="00B468FB">
              <w:rPr>
                <w:rFonts w:ascii="Times New Roman" w:hAnsi="Times New Roman" w:cs="Times New Roman"/>
                <w:b/>
                <w:bCs/>
                <w:szCs w:val="24"/>
                <w:vertAlign w:val="subscript"/>
                <w:lang w:val="en-US"/>
              </w:rPr>
              <w:t>4</w:t>
            </w:r>
          </w:p>
        </w:tc>
        <w:tc>
          <w:tcPr>
            <w:tcW w:w="1218" w:type="dxa"/>
          </w:tcPr>
          <w:p w14:paraId="4FB4103D" w14:textId="119A5D9E"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1.22</w:t>
            </w:r>
          </w:p>
        </w:tc>
        <w:tc>
          <w:tcPr>
            <w:tcW w:w="1360" w:type="dxa"/>
          </w:tcPr>
          <w:p w14:paraId="49DFC65B" w14:textId="183F37E1"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2.66</w:t>
            </w:r>
          </w:p>
        </w:tc>
        <w:tc>
          <w:tcPr>
            <w:tcW w:w="1126" w:type="dxa"/>
          </w:tcPr>
          <w:p w14:paraId="28C974DD" w14:textId="229BD7B6"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7.42</w:t>
            </w:r>
          </w:p>
        </w:tc>
        <w:tc>
          <w:tcPr>
            <w:tcW w:w="1219" w:type="dxa"/>
          </w:tcPr>
          <w:p w14:paraId="53951A06" w14:textId="51171B5F"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0.53</w:t>
            </w:r>
          </w:p>
        </w:tc>
        <w:tc>
          <w:tcPr>
            <w:tcW w:w="1412" w:type="dxa"/>
          </w:tcPr>
          <w:p w14:paraId="1A144CEC" w14:textId="03119875"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w:t>
            </w:r>
            <w:r w:rsidR="00512389" w:rsidRPr="00B468FB">
              <w:rPr>
                <w:rFonts w:ascii="Times New Roman" w:hAnsi="Times New Roman" w:cs="Times New Roman"/>
                <w:szCs w:val="24"/>
                <w:lang w:val="en-US"/>
              </w:rPr>
              <w:t>45</w:t>
            </w:r>
          </w:p>
        </w:tc>
        <w:tc>
          <w:tcPr>
            <w:tcW w:w="1411" w:type="dxa"/>
          </w:tcPr>
          <w:p w14:paraId="17D7AD10" w14:textId="4C735480"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6.</w:t>
            </w:r>
            <w:r w:rsidR="00531B37" w:rsidRPr="00B468FB">
              <w:rPr>
                <w:rFonts w:ascii="Times New Roman" w:hAnsi="Times New Roman" w:cs="Times New Roman"/>
                <w:szCs w:val="24"/>
              </w:rPr>
              <w:t>21</w:t>
            </w:r>
          </w:p>
        </w:tc>
      </w:tr>
      <w:tr w:rsidR="00281274" w:rsidRPr="00B468FB" w14:paraId="79605F17" w14:textId="77777777" w:rsidTr="00DD68E8">
        <w:tc>
          <w:tcPr>
            <w:tcW w:w="1321" w:type="dxa"/>
          </w:tcPr>
          <w:p w14:paraId="35C9967E" w14:textId="77777777" w:rsidR="00281274" w:rsidRPr="00B468FB" w:rsidRDefault="00281274" w:rsidP="00281274">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w:t>
            </w:r>
            <w:r w:rsidRPr="00B468FB">
              <w:rPr>
                <w:rFonts w:ascii="Times New Roman" w:hAnsi="Times New Roman" w:cs="Times New Roman"/>
                <w:b/>
                <w:bCs/>
                <w:szCs w:val="24"/>
                <w:vertAlign w:val="subscript"/>
                <w:lang w:val="en-US"/>
              </w:rPr>
              <w:t>5</w:t>
            </w:r>
          </w:p>
        </w:tc>
        <w:tc>
          <w:tcPr>
            <w:tcW w:w="1218" w:type="dxa"/>
          </w:tcPr>
          <w:p w14:paraId="119F2D41" w14:textId="6A062C45"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1.12</w:t>
            </w:r>
          </w:p>
        </w:tc>
        <w:tc>
          <w:tcPr>
            <w:tcW w:w="1360" w:type="dxa"/>
          </w:tcPr>
          <w:p w14:paraId="2297C30C" w14:textId="1D0E3DC9"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2.66</w:t>
            </w:r>
          </w:p>
        </w:tc>
        <w:tc>
          <w:tcPr>
            <w:tcW w:w="1126" w:type="dxa"/>
          </w:tcPr>
          <w:p w14:paraId="3322722F" w14:textId="2B69A849"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7.35</w:t>
            </w:r>
          </w:p>
        </w:tc>
        <w:tc>
          <w:tcPr>
            <w:tcW w:w="1219" w:type="dxa"/>
          </w:tcPr>
          <w:p w14:paraId="4B835236" w14:textId="256F531D"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0.71</w:t>
            </w:r>
          </w:p>
        </w:tc>
        <w:tc>
          <w:tcPr>
            <w:tcW w:w="1412" w:type="dxa"/>
          </w:tcPr>
          <w:p w14:paraId="07F5B2FE" w14:textId="2CC5BAED"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7.39</w:t>
            </w:r>
          </w:p>
        </w:tc>
        <w:tc>
          <w:tcPr>
            <w:tcW w:w="1411" w:type="dxa"/>
          </w:tcPr>
          <w:p w14:paraId="77E077C9" w14:textId="0CB1CBF9"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6.1</w:t>
            </w:r>
            <w:r w:rsidR="00531B37" w:rsidRPr="00B468FB">
              <w:rPr>
                <w:rFonts w:ascii="Times New Roman" w:hAnsi="Times New Roman" w:cs="Times New Roman"/>
                <w:szCs w:val="24"/>
              </w:rPr>
              <w:t>6</w:t>
            </w:r>
          </w:p>
        </w:tc>
      </w:tr>
      <w:tr w:rsidR="00281274" w:rsidRPr="00B468FB" w14:paraId="3A56FE88" w14:textId="77777777" w:rsidTr="00DD68E8">
        <w:tc>
          <w:tcPr>
            <w:tcW w:w="1321" w:type="dxa"/>
          </w:tcPr>
          <w:p w14:paraId="012CE5FA" w14:textId="77777777" w:rsidR="00281274" w:rsidRPr="00B468FB" w:rsidRDefault="00281274" w:rsidP="00281274">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w:t>
            </w:r>
            <w:r w:rsidRPr="00B468FB">
              <w:rPr>
                <w:rFonts w:ascii="Times New Roman" w:hAnsi="Times New Roman" w:cs="Times New Roman"/>
                <w:b/>
                <w:bCs/>
                <w:szCs w:val="24"/>
                <w:vertAlign w:val="subscript"/>
                <w:lang w:val="en-US"/>
              </w:rPr>
              <w:t>6</w:t>
            </w:r>
          </w:p>
        </w:tc>
        <w:tc>
          <w:tcPr>
            <w:tcW w:w="1218" w:type="dxa"/>
          </w:tcPr>
          <w:p w14:paraId="327F5B99" w14:textId="09DD4F6A"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1.31</w:t>
            </w:r>
          </w:p>
        </w:tc>
        <w:tc>
          <w:tcPr>
            <w:tcW w:w="1360" w:type="dxa"/>
          </w:tcPr>
          <w:p w14:paraId="5AE9C3C4" w14:textId="2B9DE279"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2.65</w:t>
            </w:r>
          </w:p>
        </w:tc>
        <w:tc>
          <w:tcPr>
            <w:tcW w:w="1126" w:type="dxa"/>
          </w:tcPr>
          <w:p w14:paraId="55080A9C" w14:textId="180B6993"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7.35</w:t>
            </w:r>
          </w:p>
        </w:tc>
        <w:tc>
          <w:tcPr>
            <w:tcW w:w="1219" w:type="dxa"/>
          </w:tcPr>
          <w:p w14:paraId="308BE115" w14:textId="32994D2B"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0.68</w:t>
            </w:r>
          </w:p>
        </w:tc>
        <w:tc>
          <w:tcPr>
            <w:tcW w:w="1412" w:type="dxa"/>
          </w:tcPr>
          <w:p w14:paraId="0146B761" w14:textId="7D28DBE3"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w:t>
            </w:r>
            <w:r w:rsidR="00512389" w:rsidRPr="00B468FB">
              <w:rPr>
                <w:rFonts w:ascii="Times New Roman" w:hAnsi="Times New Roman" w:cs="Times New Roman"/>
                <w:szCs w:val="24"/>
                <w:lang w:val="en-US"/>
              </w:rPr>
              <w:t>56</w:t>
            </w:r>
          </w:p>
        </w:tc>
        <w:tc>
          <w:tcPr>
            <w:tcW w:w="1411" w:type="dxa"/>
          </w:tcPr>
          <w:p w14:paraId="10F5A210" w14:textId="194D909A"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6.3</w:t>
            </w:r>
            <w:r w:rsidR="00531B37" w:rsidRPr="00B468FB">
              <w:rPr>
                <w:rFonts w:ascii="Times New Roman" w:hAnsi="Times New Roman" w:cs="Times New Roman"/>
                <w:szCs w:val="24"/>
              </w:rPr>
              <w:t>0</w:t>
            </w:r>
          </w:p>
        </w:tc>
      </w:tr>
      <w:tr w:rsidR="00281274" w:rsidRPr="00B468FB" w14:paraId="5B71D2D4" w14:textId="77777777" w:rsidTr="00DD68E8">
        <w:tc>
          <w:tcPr>
            <w:tcW w:w="1321" w:type="dxa"/>
          </w:tcPr>
          <w:p w14:paraId="366F67A8" w14:textId="77777777" w:rsidR="00281274" w:rsidRPr="00B468FB" w:rsidRDefault="00281274" w:rsidP="00281274">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w:t>
            </w:r>
            <w:r w:rsidRPr="00B468FB">
              <w:rPr>
                <w:rFonts w:ascii="Times New Roman" w:hAnsi="Times New Roman" w:cs="Times New Roman"/>
                <w:b/>
                <w:bCs/>
                <w:szCs w:val="24"/>
                <w:vertAlign w:val="subscript"/>
                <w:lang w:val="en-US"/>
              </w:rPr>
              <w:t>7</w:t>
            </w:r>
          </w:p>
        </w:tc>
        <w:tc>
          <w:tcPr>
            <w:tcW w:w="1218" w:type="dxa"/>
          </w:tcPr>
          <w:p w14:paraId="6AE87BAF" w14:textId="0A3C465D"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1.32</w:t>
            </w:r>
          </w:p>
        </w:tc>
        <w:tc>
          <w:tcPr>
            <w:tcW w:w="1360" w:type="dxa"/>
          </w:tcPr>
          <w:p w14:paraId="73DDD8BD" w14:textId="79E9B703"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2.65</w:t>
            </w:r>
          </w:p>
        </w:tc>
        <w:tc>
          <w:tcPr>
            <w:tcW w:w="1126" w:type="dxa"/>
          </w:tcPr>
          <w:p w14:paraId="20D0C7B8" w14:textId="724ACABC"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7.35</w:t>
            </w:r>
          </w:p>
        </w:tc>
        <w:tc>
          <w:tcPr>
            <w:tcW w:w="1219" w:type="dxa"/>
          </w:tcPr>
          <w:p w14:paraId="048A9778" w14:textId="74D2B4ED"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0.59</w:t>
            </w:r>
          </w:p>
        </w:tc>
        <w:tc>
          <w:tcPr>
            <w:tcW w:w="1412" w:type="dxa"/>
          </w:tcPr>
          <w:p w14:paraId="53E17DDB" w14:textId="564049BD"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w:t>
            </w:r>
            <w:r w:rsidR="00512389" w:rsidRPr="00B468FB">
              <w:rPr>
                <w:rFonts w:ascii="Times New Roman" w:hAnsi="Times New Roman" w:cs="Times New Roman"/>
                <w:szCs w:val="24"/>
                <w:lang w:val="en-US"/>
              </w:rPr>
              <w:t>61</w:t>
            </w:r>
          </w:p>
        </w:tc>
        <w:tc>
          <w:tcPr>
            <w:tcW w:w="1411" w:type="dxa"/>
          </w:tcPr>
          <w:p w14:paraId="0CA61B4B" w14:textId="4F0BFBA9"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6.</w:t>
            </w:r>
            <w:r w:rsidR="00531B37" w:rsidRPr="00B468FB">
              <w:rPr>
                <w:rFonts w:ascii="Times New Roman" w:hAnsi="Times New Roman" w:cs="Times New Roman"/>
                <w:szCs w:val="24"/>
              </w:rPr>
              <w:t>34</w:t>
            </w:r>
          </w:p>
        </w:tc>
      </w:tr>
      <w:tr w:rsidR="00281274" w:rsidRPr="00B468FB" w14:paraId="43D0B65D" w14:textId="77777777" w:rsidTr="00DD68E8">
        <w:tc>
          <w:tcPr>
            <w:tcW w:w="1321" w:type="dxa"/>
          </w:tcPr>
          <w:p w14:paraId="38B1ECE7" w14:textId="77777777" w:rsidR="00281274" w:rsidRPr="00B468FB" w:rsidRDefault="00281274" w:rsidP="00281274">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w:t>
            </w:r>
            <w:r w:rsidRPr="00B468FB">
              <w:rPr>
                <w:rFonts w:ascii="Times New Roman" w:hAnsi="Times New Roman" w:cs="Times New Roman"/>
                <w:b/>
                <w:bCs/>
                <w:szCs w:val="24"/>
                <w:vertAlign w:val="subscript"/>
                <w:lang w:val="en-US"/>
              </w:rPr>
              <w:t>8</w:t>
            </w:r>
          </w:p>
        </w:tc>
        <w:tc>
          <w:tcPr>
            <w:tcW w:w="1218" w:type="dxa"/>
          </w:tcPr>
          <w:p w14:paraId="1CDA2440" w14:textId="456421BF"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1.25</w:t>
            </w:r>
          </w:p>
        </w:tc>
        <w:tc>
          <w:tcPr>
            <w:tcW w:w="1360" w:type="dxa"/>
          </w:tcPr>
          <w:p w14:paraId="77AD65EA" w14:textId="3C6EDBFF"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2.66</w:t>
            </w:r>
          </w:p>
        </w:tc>
        <w:tc>
          <w:tcPr>
            <w:tcW w:w="1126" w:type="dxa"/>
          </w:tcPr>
          <w:p w14:paraId="522BCAD3" w14:textId="6C00C8AE"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7.42</w:t>
            </w:r>
          </w:p>
        </w:tc>
        <w:tc>
          <w:tcPr>
            <w:tcW w:w="1219" w:type="dxa"/>
          </w:tcPr>
          <w:p w14:paraId="7510F490" w14:textId="428B63E6"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0.67</w:t>
            </w:r>
          </w:p>
        </w:tc>
        <w:tc>
          <w:tcPr>
            <w:tcW w:w="1412" w:type="dxa"/>
          </w:tcPr>
          <w:p w14:paraId="26833871" w14:textId="3D4892A9"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7.7</w:t>
            </w:r>
            <w:r w:rsidR="00512389" w:rsidRPr="00B468FB">
              <w:rPr>
                <w:rFonts w:ascii="Times New Roman" w:hAnsi="Times New Roman" w:cs="Times New Roman"/>
                <w:szCs w:val="24"/>
                <w:lang w:val="en-US"/>
              </w:rPr>
              <w:t>6</w:t>
            </w:r>
          </w:p>
        </w:tc>
        <w:tc>
          <w:tcPr>
            <w:tcW w:w="1411" w:type="dxa"/>
          </w:tcPr>
          <w:p w14:paraId="131911E8" w14:textId="4E81D0AD"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6.4</w:t>
            </w:r>
            <w:r w:rsidR="00531B37" w:rsidRPr="00B468FB">
              <w:rPr>
                <w:rFonts w:ascii="Times New Roman" w:hAnsi="Times New Roman" w:cs="Times New Roman"/>
                <w:szCs w:val="24"/>
              </w:rPr>
              <w:t>7</w:t>
            </w:r>
          </w:p>
        </w:tc>
      </w:tr>
      <w:tr w:rsidR="00281274" w:rsidRPr="00B468FB" w14:paraId="41FF04FF" w14:textId="77777777" w:rsidTr="00DD68E8">
        <w:tc>
          <w:tcPr>
            <w:tcW w:w="1321" w:type="dxa"/>
          </w:tcPr>
          <w:p w14:paraId="38F0F9C2" w14:textId="77777777" w:rsidR="00281274" w:rsidRPr="00B468FB" w:rsidRDefault="00281274" w:rsidP="00281274">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w:t>
            </w:r>
            <w:r w:rsidRPr="00B468FB">
              <w:rPr>
                <w:rFonts w:ascii="Times New Roman" w:hAnsi="Times New Roman" w:cs="Times New Roman"/>
                <w:b/>
                <w:bCs/>
                <w:szCs w:val="24"/>
                <w:vertAlign w:val="subscript"/>
                <w:lang w:val="en-US"/>
              </w:rPr>
              <w:t>9</w:t>
            </w:r>
          </w:p>
        </w:tc>
        <w:tc>
          <w:tcPr>
            <w:tcW w:w="1218" w:type="dxa"/>
          </w:tcPr>
          <w:p w14:paraId="0FAA5781" w14:textId="2D6F6C90"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1.11</w:t>
            </w:r>
          </w:p>
        </w:tc>
        <w:tc>
          <w:tcPr>
            <w:tcW w:w="1360" w:type="dxa"/>
          </w:tcPr>
          <w:p w14:paraId="14EBA30B" w14:textId="3E55190E"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2.65</w:t>
            </w:r>
          </w:p>
        </w:tc>
        <w:tc>
          <w:tcPr>
            <w:tcW w:w="1126" w:type="dxa"/>
          </w:tcPr>
          <w:p w14:paraId="2EDA92CC" w14:textId="513E27B3"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7.38</w:t>
            </w:r>
          </w:p>
        </w:tc>
        <w:tc>
          <w:tcPr>
            <w:tcW w:w="1219" w:type="dxa"/>
          </w:tcPr>
          <w:p w14:paraId="123E5F9F" w14:textId="754B661F"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0.77</w:t>
            </w:r>
          </w:p>
        </w:tc>
        <w:tc>
          <w:tcPr>
            <w:tcW w:w="1412" w:type="dxa"/>
          </w:tcPr>
          <w:p w14:paraId="7DE7237C" w14:textId="4238CC8A"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7.8</w:t>
            </w:r>
            <w:r w:rsidR="00512389" w:rsidRPr="00B468FB">
              <w:rPr>
                <w:rFonts w:ascii="Times New Roman" w:hAnsi="Times New Roman" w:cs="Times New Roman"/>
                <w:szCs w:val="24"/>
                <w:lang w:val="en-US"/>
              </w:rPr>
              <w:t>0</w:t>
            </w:r>
          </w:p>
        </w:tc>
        <w:tc>
          <w:tcPr>
            <w:tcW w:w="1411" w:type="dxa"/>
          </w:tcPr>
          <w:p w14:paraId="27494C40" w14:textId="67988784"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6.5</w:t>
            </w:r>
            <w:r w:rsidR="00531B37" w:rsidRPr="00B468FB">
              <w:rPr>
                <w:rFonts w:ascii="Times New Roman" w:hAnsi="Times New Roman" w:cs="Times New Roman"/>
                <w:szCs w:val="24"/>
              </w:rPr>
              <w:t>0</w:t>
            </w:r>
          </w:p>
        </w:tc>
      </w:tr>
      <w:tr w:rsidR="00281274" w:rsidRPr="00B468FB" w14:paraId="79B1B8A0" w14:textId="77777777" w:rsidTr="00DD68E8">
        <w:tc>
          <w:tcPr>
            <w:tcW w:w="1321" w:type="dxa"/>
          </w:tcPr>
          <w:p w14:paraId="6F6F8AFE" w14:textId="77777777" w:rsidR="00281274" w:rsidRPr="00B468FB" w:rsidRDefault="00281274" w:rsidP="00281274">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rPr>
              <w:t>F-test</w:t>
            </w:r>
          </w:p>
        </w:tc>
        <w:tc>
          <w:tcPr>
            <w:tcW w:w="1218" w:type="dxa"/>
          </w:tcPr>
          <w:p w14:paraId="253422BE" w14:textId="26A4916D"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NS</w:t>
            </w:r>
          </w:p>
        </w:tc>
        <w:tc>
          <w:tcPr>
            <w:tcW w:w="1360" w:type="dxa"/>
          </w:tcPr>
          <w:p w14:paraId="5C259F39" w14:textId="2D6AB8DF"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NS</w:t>
            </w:r>
          </w:p>
        </w:tc>
        <w:tc>
          <w:tcPr>
            <w:tcW w:w="1126" w:type="dxa"/>
          </w:tcPr>
          <w:p w14:paraId="2A5A437F" w14:textId="5885E80D"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NS</w:t>
            </w:r>
          </w:p>
        </w:tc>
        <w:tc>
          <w:tcPr>
            <w:tcW w:w="1219" w:type="dxa"/>
          </w:tcPr>
          <w:p w14:paraId="63DC274A" w14:textId="77777777"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S</w:t>
            </w:r>
          </w:p>
        </w:tc>
        <w:tc>
          <w:tcPr>
            <w:tcW w:w="1412" w:type="dxa"/>
          </w:tcPr>
          <w:p w14:paraId="0FDC3F04" w14:textId="77777777"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S</w:t>
            </w:r>
          </w:p>
        </w:tc>
        <w:tc>
          <w:tcPr>
            <w:tcW w:w="1411" w:type="dxa"/>
          </w:tcPr>
          <w:p w14:paraId="0F6A3CF8" w14:textId="77777777"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S</w:t>
            </w:r>
          </w:p>
        </w:tc>
      </w:tr>
      <w:tr w:rsidR="00281274" w:rsidRPr="00B468FB" w14:paraId="28E27581" w14:textId="77777777" w:rsidTr="00DD68E8">
        <w:tc>
          <w:tcPr>
            <w:tcW w:w="1321" w:type="dxa"/>
          </w:tcPr>
          <w:p w14:paraId="3204DDB8" w14:textId="77777777" w:rsidR="00281274" w:rsidRPr="00B468FB" w:rsidRDefault="00281274" w:rsidP="00281274">
            <w:pPr>
              <w:rPr>
                <w:rFonts w:ascii="Times New Roman" w:hAnsi="Times New Roman" w:cs="Times New Roman"/>
                <w:b/>
                <w:bCs/>
                <w:szCs w:val="24"/>
                <w:lang w:val="en-US"/>
              </w:rPr>
            </w:pPr>
            <w:r w:rsidRPr="00B468FB">
              <w:rPr>
                <w:rFonts w:ascii="Times New Roman" w:hAnsi="Times New Roman" w:cs="Times New Roman"/>
                <w:b/>
                <w:bCs/>
                <w:szCs w:val="24"/>
              </w:rPr>
              <w:t>C.D. Value 0.5%</w:t>
            </w:r>
          </w:p>
        </w:tc>
        <w:tc>
          <w:tcPr>
            <w:tcW w:w="1218" w:type="dxa"/>
          </w:tcPr>
          <w:p w14:paraId="7FBA9E9A" w14:textId="624349C4"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0.04</w:t>
            </w:r>
          </w:p>
        </w:tc>
        <w:tc>
          <w:tcPr>
            <w:tcW w:w="1360" w:type="dxa"/>
          </w:tcPr>
          <w:p w14:paraId="35637414" w14:textId="6EAAD9A4"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0.00</w:t>
            </w:r>
          </w:p>
        </w:tc>
        <w:tc>
          <w:tcPr>
            <w:tcW w:w="1126" w:type="dxa"/>
          </w:tcPr>
          <w:p w14:paraId="4369001A" w14:textId="11E994A5"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0.84</w:t>
            </w:r>
          </w:p>
        </w:tc>
        <w:tc>
          <w:tcPr>
            <w:tcW w:w="1219" w:type="dxa"/>
          </w:tcPr>
          <w:p w14:paraId="2E35C14F" w14:textId="4FA191DF" w:rsidR="00281274" w:rsidRPr="00B468FB" w:rsidRDefault="00281274" w:rsidP="00281274">
            <w:pPr>
              <w:jc w:val="both"/>
              <w:rPr>
                <w:rFonts w:ascii="Times New Roman" w:hAnsi="Times New Roman" w:cs="Times New Roman"/>
                <w:szCs w:val="24"/>
                <w:lang w:val="en-US"/>
              </w:rPr>
            </w:pPr>
            <w:r w:rsidRPr="00B468FB">
              <w:rPr>
                <w:rFonts w:ascii="Times New Roman" w:hAnsi="Times New Roman" w:cs="Times New Roman"/>
                <w:szCs w:val="24"/>
                <w:lang w:val="en-US"/>
              </w:rPr>
              <w:t>0.06</w:t>
            </w:r>
          </w:p>
        </w:tc>
        <w:tc>
          <w:tcPr>
            <w:tcW w:w="1412" w:type="dxa"/>
          </w:tcPr>
          <w:p w14:paraId="5F45C1B3" w14:textId="4A05F90C"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w:t>
            </w:r>
            <w:r w:rsidR="00512389" w:rsidRPr="00B468FB">
              <w:rPr>
                <w:rFonts w:ascii="Times New Roman" w:hAnsi="Times New Roman" w:cs="Times New Roman"/>
                <w:szCs w:val="24"/>
                <w:lang w:val="en-US"/>
              </w:rPr>
              <w:t>09</w:t>
            </w:r>
          </w:p>
        </w:tc>
        <w:tc>
          <w:tcPr>
            <w:tcW w:w="1411" w:type="dxa"/>
          </w:tcPr>
          <w:p w14:paraId="1224CD3E" w14:textId="154D7B04" w:rsidR="00281274" w:rsidRPr="00B468FB" w:rsidRDefault="00281274" w:rsidP="00281274">
            <w:pPr>
              <w:jc w:val="both"/>
              <w:rPr>
                <w:rFonts w:ascii="Times New Roman" w:hAnsi="Times New Roman" w:cs="Times New Roman"/>
                <w:szCs w:val="24"/>
                <w:lang w:val="en-US"/>
              </w:rPr>
            </w:pPr>
            <w:r w:rsidRPr="00B468FB">
              <w:rPr>
                <w:rFonts w:ascii="Times New Roman" w:hAnsi="Times New Roman" w:cs="Times New Roman"/>
                <w:szCs w:val="24"/>
              </w:rPr>
              <w:t>0.</w:t>
            </w:r>
            <w:r w:rsidR="00531B37" w:rsidRPr="00B468FB">
              <w:rPr>
                <w:rFonts w:ascii="Times New Roman" w:hAnsi="Times New Roman" w:cs="Times New Roman"/>
                <w:szCs w:val="24"/>
              </w:rPr>
              <w:t>07</w:t>
            </w:r>
          </w:p>
        </w:tc>
      </w:tr>
      <w:tr w:rsidR="00281274" w:rsidRPr="00B468FB" w14:paraId="0D2A7B41" w14:textId="77777777" w:rsidTr="00DD68E8">
        <w:tc>
          <w:tcPr>
            <w:tcW w:w="1321" w:type="dxa"/>
          </w:tcPr>
          <w:p w14:paraId="12C28F43" w14:textId="77777777" w:rsidR="00281274" w:rsidRPr="00B468FB" w:rsidRDefault="00281274" w:rsidP="00281274">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rPr>
              <w:t>S.Ed.(±)</w:t>
            </w:r>
          </w:p>
        </w:tc>
        <w:tc>
          <w:tcPr>
            <w:tcW w:w="1218" w:type="dxa"/>
          </w:tcPr>
          <w:p w14:paraId="4CFEB60F" w14:textId="2A27277A"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0.07</w:t>
            </w:r>
          </w:p>
        </w:tc>
        <w:tc>
          <w:tcPr>
            <w:tcW w:w="1360" w:type="dxa"/>
          </w:tcPr>
          <w:p w14:paraId="629B4A8B" w14:textId="7DFF7994"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0.01</w:t>
            </w:r>
          </w:p>
        </w:tc>
        <w:tc>
          <w:tcPr>
            <w:tcW w:w="1126" w:type="dxa"/>
          </w:tcPr>
          <w:p w14:paraId="7A87A251" w14:textId="4E94BAA7"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1.78</w:t>
            </w:r>
          </w:p>
        </w:tc>
        <w:tc>
          <w:tcPr>
            <w:tcW w:w="1219" w:type="dxa"/>
          </w:tcPr>
          <w:p w14:paraId="406AE5E0" w14:textId="7740D930"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0.13</w:t>
            </w:r>
          </w:p>
        </w:tc>
        <w:tc>
          <w:tcPr>
            <w:tcW w:w="1412" w:type="dxa"/>
          </w:tcPr>
          <w:p w14:paraId="6001A44E" w14:textId="4CCF2571"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w:t>
            </w:r>
            <w:r w:rsidR="00512389" w:rsidRPr="00B468FB">
              <w:rPr>
                <w:rFonts w:ascii="Times New Roman" w:hAnsi="Times New Roman" w:cs="Times New Roman"/>
                <w:szCs w:val="24"/>
                <w:lang w:val="en-US"/>
              </w:rPr>
              <w:t>18</w:t>
            </w:r>
          </w:p>
        </w:tc>
        <w:tc>
          <w:tcPr>
            <w:tcW w:w="1411" w:type="dxa"/>
          </w:tcPr>
          <w:p w14:paraId="3A092DB0" w14:textId="155AEB91" w:rsidR="00281274" w:rsidRPr="00B468FB" w:rsidRDefault="00281274" w:rsidP="00281274">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0.</w:t>
            </w:r>
            <w:r w:rsidR="00531B37" w:rsidRPr="00B468FB">
              <w:rPr>
                <w:rFonts w:ascii="Times New Roman" w:hAnsi="Times New Roman" w:cs="Times New Roman"/>
                <w:szCs w:val="24"/>
              </w:rPr>
              <w:t>15</w:t>
            </w:r>
          </w:p>
        </w:tc>
      </w:tr>
    </w:tbl>
    <w:p w14:paraId="1F57DAF1" w14:textId="0C0A1C18" w:rsidR="00875DD0" w:rsidRPr="001C1E3C" w:rsidRDefault="00626704" w:rsidP="00626704">
      <w:pPr>
        <w:spacing w:line="240" w:lineRule="auto"/>
        <w:jc w:val="both"/>
        <w:rPr>
          <w:rFonts w:ascii="Times New Roman" w:eastAsiaTheme="minorEastAsia" w:hAnsi="Times New Roman" w:cs="Times New Roman"/>
          <w:szCs w:val="24"/>
        </w:rPr>
      </w:pPr>
      <w:r w:rsidRPr="00B468FB">
        <w:rPr>
          <w:rFonts w:ascii="Times New Roman" w:hAnsi="Times New Roman" w:cs="Times New Roman"/>
          <w:noProof/>
          <w:szCs w:val="24"/>
          <w:lang w:eastAsia="en-IN" w:bidi="ar-SA"/>
        </w:rPr>
        <w:lastRenderedPageBreak/>
        <w:drawing>
          <wp:anchor distT="0" distB="0" distL="114300" distR="114300" simplePos="0" relativeHeight="251660288" behindDoc="1" locked="0" layoutInCell="1" allowOverlap="1" wp14:anchorId="3B761256" wp14:editId="03CA8983">
            <wp:simplePos x="0" y="0"/>
            <wp:positionH relativeFrom="column">
              <wp:posOffset>-590550</wp:posOffset>
            </wp:positionH>
            <wp:positionV relativeFrom="paragraph">
              <wp:posOffset>3175</wp:posOffset>
            </wp:positionV>
            <wp:extent cx="6238875" cy="2667000"/>
            <wp:effectExtent l="0" t="0" r="9525" b="0"/>
            <wp:wrapTight wrapText="bothSides">
              <wp:wrapPolygon edited="0">
                <wp:start x="0" y="0"/>
                <wp:lineTo x="0" y="21446"/>
                <wp:lineTo x="21567" y="21446"/>
                <wp:lineTo x="21567" y="0"/>
                <wp:lineTo x="0" y="0"/>
              </wp:wrapPolygon>
            </wp:wrapTight>
            <wp:docPr id="62" name="Chart 62">
              <a:extLst xmlns:a="http://schemas.openxmlformats.org/drawingml/2006/main">
                <a:ext uri="{FF2B5EF4-FFF2-40B4-BE49-F238E27FC236}">
                  <a16:creationId xmlns:a16="http://schemas.microsoft.com/office/drawing/2014/main" id="{8192BDCE-B971-071B-5619-6F33A42315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sidRPr="000957C5">
        <w:rPr>
          <w:rFonts w:ascii="Times New Roman" w:eastAsiaTheme="minorEastAsia" w:hAnsi="Times New Roman" w:cs="Times New Roman"/>
          <w:b/>
          <w:bCs/>
          <w:szCs w:val="24"/>
        </w:rPr>
        <w:t>Fig</w:t>
      </w:r>
      <w:r w:rsidR="00875DD0" w:rsidRPr="000957C5">
        <w:rPr>
          <w:rFonts w:ascii="Times New Roman" w:eastAsiaTheme="minorEastAsia" w:hAnsi="Times New Roman" w:cs="Times New Roman"/>
          <w:b/>
          <w:bCs/>
          <w:szCs w:val="24"/>
        </w:rPr>
        <w:t>.</w:t>
      </w:r>
      <w:r w:rsidRPr="000957C5">
        <w:rPr>
          <w:rFonts w:ascii="Times New Roman" w:eastAsiaTheme="minorEastAsia" w:hAnsi="Times New Roman" w:cs="Times New Roman"/>
          <w:b/>
          <w:bCs/>
          <w:szCs w:val="24"/>
        </w:rPr>
        <w:t xml:space="preserve"> </w:t>
      </w:r>
      <w:r w:rsidR="00B17435" w:rsidRPr="000957C5">
        <w:rPr>
          <w:rFonts w:ascii="Times New Roman" w:eastAsiaTheme="minorEastAsia" w:hAnsi="Times New Roman" w:cs="Times New Roman"/>
          <w:b/>
          <w:bCs/>
          <w:szCs w:val="24"/>
        </w:rPr>
        <w:t>1</w:t>
      </w:r>
      <w:r w:rsidRPr="000957C5">
        <w:rPr>
          <w:rFonts w:ascii="Times New Roman" w:eastAsiaTheme="minorEastAsia" w:hAnsi="Times New Roman" w:cs="Times New Roman"/>
          <w:b/>
          <w:bCs/>
          <w:szCs w:val="24"/>
        </w:rPr>
        <w:t>- Bar graph showing bulk density against different treatments</w:t>
      </w:r>
    </w:p>
    <w:p w14:paraId="0CF01370" w14:textId="77777777" w:rsidR="00B17435" w:rsidRPr="001C1E3C" w:rsidRDefault="00B17435" w:rsidP="00626704">
      <w:pPr>
        <w:spacing w:line="240" w:lineRule="auto"/>
        <w:jc w:val="both"/>
        <w:rPr>
          <w:rFonts w:ascii="Times New Roman" w:eastAsiaTheme="minorEastAsia" w:hAnsi="Times New Roman" w:cs="Times New Roman"/>
          <w:szCs w:val="24"/>
        </w:rPr>
      </w:pPr>
      <w:r w:rsidRPr="000957C5">
        <w:rPr>
          <w:rFonts w:ascii="Times New Roman" w:hAnsi="Times New Roman" w:cs="Times New Roman"/>
          <w:b/>
          <w:bCs/>
          <w:noProof/>
          <w:szCs w:val="24"/>
          <w:lang w:eastAsia="en-IN" w:bidi="ar-SA"/>
        </w:rPr>
        <w:drawing>
          <wp:anchor distT="0" distB="0" distL="114300" distR="114300" simplePos="0" relativeHeight="251669504" behindDoc="1" locked="0" layoutInCell="1" allowOverlap="1" wp14:anchorId="121CDF3D" wp14:editId="1959FBFC">
            <wp:simplePos x="0" y="0"/>
            <wp:positionH relativeFrom="margin">
              <wp:posOffset>-581025</wp:posOffset>
            </wp:positionH>
            <wp:positionV relativeFrom="paragraph">
              <wp:posOffset>3057525</wp:posOffset>
            </wp:positionV>
            <wp:extent cx="6153150" cy="2447925"/>
            <wp:effectExtent l="0" t="0" r="0" b="9525"/>
            <wp:wrapTight wrapText="bothSides">
              <wp:wrapPolygon edited="0">
                <wp:start x="0" y="0"/>
                <wp:lineTo x="0" y="21516"/>
                <wp:lineTo x="21533" y="21516"/>
                <wp:lineTo x="21533" y="0"/>
                <wp:lineTo x="0" y="0"/>
              </wp:wrapPolygon>
            </wp:wrapTight>
            <wp:docPr id="425366203" name="Chart 425366203">
              <a:extLst xmlns:a="http://schemas.openxmlformats.org/drawingml/2006/main">
                <a:ext uri="{FF2B5EF4-FFF2-40B4-BE49-F238E27FC236}">
                  <a16:creationId xmlns:a16="http://schemas.microsoft.com/office/drawing/2014/main" id="{B0C9EFCF-2F01-6E0F-B3CE-C0592A4A83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Pr="000957C5">
        <w:rPr>
          <w:rFonts w:ascii="Times New Roman" w:hAnsi="Times New Roman" w:cs="Times New Roman"/>
          <w:b/>
          <w:bCs/>
          <w:noProof/>
          <w:szCs w:val="24"/>
          <w:lang w:eastAsia="en-IN" w:bidi="ar-SA"/>
        </w:rPr>
        <w:drawing>
          <wp:anchor distT="0" distB="0" distL="114300" distR="114300" simplePos="0" relativeHeight="251665408" behindDoc="1" locked="0" layoutInCell="1" allowOverlap="1" wp14:anchorId="16E04E05" wp14:editId="0482617B">
            <wp:simplePos x="0" y="0"/>
            <wp:positionH relativeFrom="margin">
              <wp:posOffset>6107430</wp:posOffset>
            </wp:positionH>
            <wp:positionV relativeFrom="paragraph">
              <wp:posOffset>2202180</wp:posOffset>
            </wp:positionV>
            <wp:extent cx="45720" cy="45720"/>
            <wp:effectExtent l="0" t="0" r="11430" b="11430"/>
            <wp:wrapTight wrapText="bothSides">
              <wp:wrapPolygon edited="0">
                <wp:start x="0" y="0"/>
                <wp:lineTo x="0" y="18000"/>
                <wp:lineTo x="18000" y="18000"/>
                <wp:lineTo x="18000" y="0"/>
                <wp:lineTo x="0" y="0"/>
              </wp:wrapPolygon>
            </wp:wrapTight>
            <wp:docPr id="940215334" name="Chart 940215334">
              <a:extLst xmlns:a="http://schemas.openxmlformats.org/drawingml/2006/main">
                <a:ext uri="{FF2B5EF4-FFF2-40B4-BE49-F238E27FC236}">
                  <a16:creationId xmlns:a16="http://schemas.microsoft.com/office/drawing/2014/main" id="{B0C9EFCF-2F01-6E0F-B3CE-C0592A4A83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875DD0" w:rsidRPr="000957C5">
        <w:rPr>
          <w:rFonts w:ascii="Times New Roman" w:eastAsiaTheme="minorEastAsia" w:hAnsi="Times New Roman" w:cs="Times New Roman"/>
          <w:b/>
          <w:bCs/>
          <w:szCs w:val="24"/>
        </w:rPr>
        <w:t>Fig.</w:t>
      </w:r>
      <w:r w:rsidR="00626704" w:rsidRPr="000957C5">
        <w:rPr>
          <w:rFonts w:ascii="Times New Roman" w:hAnsi="Times New Roman" w:cs="Times New Roman"/>
          <w:b/>
          <w:bCs/>
          <w:noProof/>
          <w:szCs w:val="24"/>
          <w:lang w:eastAsia="en-IN" w:bidi="ar-SA"/>
        </w:rPr>
        <w:drawing>
          <wp:anchor distT="0" distB="0" distL="114300" distR="114300" simplePos="0" relativeHeight="251659264" behindDoc="1" locked="0" layoutInCell="1" allowOverlap="1" wp14:anchorId="0D592F1C" wp14:editId="3170EA30">
            <wp:simplePos x="0" y="0"/>
            <wp:positionH relativeFrom="column">
              <wp:posOffset>-628650</wp:posOffset>
            </wp:positionH>
            <wp:positionV relativeFrom="paragraph">
              <wp:posOffset>95250</wp:posOffset>
            </wp:positionV>
            <wp:extent cx="6296025" cy="2495550"/>
            <wp:effectExtent l="0" t="0" r="9525" b="0"/>
            <wp:wrapThrough wrapText="bothSides">
              <wp:wrapPolygon edited="0">
                <wp:start x="0" y="0"/>
                <wp:lineTo x="0" y="21435"/>
                <wp:lineTo x="21567" y="21435"/>
                <wp:lineTo x="21567" y="0"/>
                <wp:lineTo x="0" y="0"/>
              </wp:wrapPolygon>
            </wp:wrapThrough>
            <wp:docPr id="63" name="Chart 63">
              <a:extLst xmlns:a="http://schemas.openxmlformats.org/drawingml/2006/main">
                <a:ext uri="{FF2B5EF4-FFF2-40B4-BE49-F238E27FC236}">
                  <a16:creationId xmlns:a16="http://schemas.microsoft.com/office/drawing/2014/main" id="{B63C01C9-8D4D-1FCC-5C87-91D9552DC1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875DD0" w:rsidRPr="000957C5">
        <w:rPr>
          <w:rFonts w:ascii="Times New Roman" w:eastAsiaTheme="minorEastAsia" w:hAnsi="Times New Roman" w:cs="Times New Roman"/>
          <w:b/>
          <w:bCs/>
          <w:szCs w:val="24"/>
        </w:rPr>
        <w:t xml:space="preserve"> </w:t>
      </w:r>
      <w:r w:rsidRPr="000957C5">
        <w:rPr>
          <w:rFonts w:ascii="Times New Roman" w:eastAsiaTheme="minorEastAsia" w:hAnsi="Times New Roman" w:cs="Times New Roman"/>
          <w:b/>
          <w:bCs/>
          <w:szCs w:val="24"/>
        </w:rPr>
        <w:t>2</w:t>
      </w:r>
      <w:r w:rsidR="00626704" w:rsidRPr="000957C5">
        <w:rPr>
          <w:rFonts w:ascii="Times New Roman" w:eastAsiaTheme="minorEastAsia" w:hAnsi="Times New Roman" w:cs="Times New Roman"/>
          <w:b/>
          <w:bCs/>
          <w:szCs w:val="24"/>
        </w:rPr>
        <w:t>-</w:t>
      </w:r>
      <w:r w:rsidR="00626704" w:rsidRPr="00B468FB">
        <w:rPr>
          <w:rFonts w:ascii="Times New Roman" w:eastAsiaTheme="minorEastAsia" w:hAnsi="Times New Roman" w:cs="Times New Roman"/>
          <w:szCs w:val="24"/>
        </w:rPr>
        <w:t xml:space="preserve"> </w:t>
      </w:r>
      <w:r w:rsidR="00626704" w:rsidRPr="000957C5">
        <w:rPr>
          <w:rFonts w:ascii="Times New Roman" w:eastAsiaTheme="minorEastAsia" w:hAnsi="Times New Roman" w:cs="Times New Roman"/>
          <w:b/>
          <w:bCs/>
          <w:szCs w:val="24"/>
        </w:rPr>
        <w:t>Bar graph showing particle density against different treatments</w:t>
      </w:r>
    </w:p>
    <w:p w14:paraId="5D7686B1" w14:textId="71266196" w:rsidR="00B17435" w:rsidRPr="000957C5" w:rsidRDefault="00B17435" w:rsidP="00626704">
      <w:pPr>
        <w:spacing w:line="240" w:lineRule="auto"/>
        <w:jc w:val="both"/>
        <w:rPr>
          <w:rFonts w:ascii="Times New Roman" w:eastAsiaTheme="minorEastAsia" w:hAnsi="Times New Roman" w:cs="Times New Roman"/>
          <w:b/>
          <w:bCs/>
          <w:szCs w:val="24"/>
        </w:rPr>
      </w:pPr>
      <w:r w:rsidRPr="000957C5">
        <w:rPr>
          <w:rFonts w:ascii="Times New Roman" w:eastAsiaTheme="minorEastAsia" w:hAnsi="Times New Roman" w:cs="Times New Roman"/>
          <w:b/>
          <w:bCs/>
          <w:szCs w:val="24"/>
        </w:rPr>
        <w:t>Fig. 3-Bar graph showing grain yield against different treatments</w:t>
      </w:r>
    </w:p>
    <w:p w14:paraId="7E470204" w14:textId="356421EE" w:rsidR="00626704" w:rsidRPr="00DC0AAE" w:rsidRDefault="00626704" w:rsidP="00626704">
      <w:pPr>
        <w:spacing w:line="240" w:lineRule="auto"/>
        <w:jc w:val="both"/>
        <w:rPr>
          <w:rFonts w:ascii="Times New Roman" w:eastAsiaTheme="minorEastAsia" w:hAnsi="Times New Roman" w:cs="Times New Roman"/>
          <w:b/>
          <w:bCs/>
          <w:szCs w:val="24"/>
        </w:rPr>
      </w:pPr>
      <w:r w:rsidRPr="00DC0AAE">
        <w:rPr>
          <w:rFonts w:ascii="Times New Roman" w:eastAsiaTheme="minorEastAsia" w:hAnsi="Times New Roman" w:cs="Times New Roman"/>
          <w:b/>
          <w:bCs/>
          <w:szCs w:val="24"/>
        </w:rPr>
        <w:lastRenderedPageBreak/>
        <w:t>CONCLUSION</w:t>
      </w:r>
    </w:p>
    <w:p w14:paraId="052556F5" w14:textId="0926A5A1" w:rsidR="00626704" w:rsidRPr="00B468FB" w:rsidRDefault="00DF5F49" w:rsidP="00626704">
      <w:pPr>
        <w:spacing w:line="240" w:lineRule="auto"/>
        <w:jc w:val="both"/>
        <w:rPr>
          <w:rFonts w:ascii="Times New Roman" w:eastAsiaTheme="minorEastAsia" w:hAnsi="Times New Roman" w:cs="Times New Roman"/>
          <w:szCs w:val="24"/>
        </w:rPr>
      </w:pPr>
      <w:r w:rsidRPr="00B468FB">
        <w:rPr>
          <w:rFonts w:ascii="Times New Roman" w:eastAsiaTheme="minorEastAsia" w:hAnsi="Times New Roman" w:cs="Times New Roman"/>
          <w:szCs w:val="24"/>
        </w:rPr>
        <w:t>Based on the results of investigation,</w:t>
      </w:r>
      <w:r w:rsidR="00C53614" w:rsidRPr="00B468FB">
        <w:rPr>
          <w:rFonts w:ascii="Times New Roman" w:eastAsiaTheme="minorEastAsia" w:hAnsi="Times New Roman" w:cs="Times New Roman"/>
          <w:szCs w:val="24"/>
        </w:rPr>
        <w:t xml:space="preserve"> i</w:t>
      </w:r>
      <w:r w:rsidR="00626704" w:rsidRPr="00B468FB">
        <w:rPr>
          <w:rFonts w:ascii="Times New Roman" w:eastAsiaTheme="minorEastAsia" w:hAnsi="Times New Roman" w:cs="Times New Roman"/>
          <w:szCs w:val="24"/>
        </w:rPr>
        <w:t xml:space="preserve">t may be concluded that </w:t>
      </w:r>
      <w:r w:rsidR="005B44D1" w:rsidRPr="00B468FB">
        <w:rPr>
          <w:rFonts w:ascii="Times New Roman" w:eastAsiaTheme="minorEastAsia" w:hAnsi="Times New Roman" w:cs="Times New Roman"/>
          <w:szCs w:val="24"/>
        </w:rPr>
        <w:t>NPK (120</w:t>
      </w:r>
      <w:r w:rsidR="00A22564" w:rsidRPr="00B468FB">
        <w:rPr>
          <w:rFonts w:ascii="Times New Roman" w:eastAsiaTheme="minorEastAsia" w:hAnsi="Times New Roman" w:cs="Times New Roman"/>
          <w:szCs w:val="24"/>
        </w:rPr>
        <w:t xml:space="preserve">:60:40 kg /ha) </w:t>
      </w:r>
      <w:r w:rsidR="00626704" w:rsidRPr="00B468FB">
        <w:rPr>
          <w:rFonts w:ascii="Times New Roman" w:eastAsiaTheme="minorEastAsia" w:hAnsi="Times New Roman" w:cs="Times New Roman"/>
          <w:szCs w:val="24"/>
        </w:rPr>
        <w:t>application with FYM (10 t/ha)</w:t>
      </w:r>
      <w:r w:rsidR="001845A3" w:rsidRPr="00B468FB">
        <w:rPr>
          <w:rFonts w:ascii="Times New Roman" w:eastAsiaTheme="minorEastAsia" w:hAnsi="Times New Roman" w:cs="Times New Roman"/>
          <w:szCs w:val="24"/>
        </w:rPr>
        <w:t xml:space="preserve"> </w:t>
      </w:r>
      <w:r w:rsidR="008C56D2" w:rsidRPr="00B468FB">
        <w:rPr>
          <w:rFonts w:ascii="Times New Roman" w:eastAsiaTheme="minorEastAsia" w:hAnsi="Times New Roman" w:cs="Times New Roman"/>
          <w:szCs w:val="24"/>
        </w:rPr>
        <w:t>recorded good</w:t>
      </w:r>
      <w:r w:rsidR="005B44D1" w:rsidRPr="00B468FB">
        <w:rPr>
          <w:rFonts w:ascii="Times New Roman" w:eastAsiaTheme="minorEastAsia" w:hAnsi="Times New Roman" w:cs="Times New Roman"/>
          <w:szCs w:val="24"/>
        </w:rPr>
        <w:t xml:space="preserve"> in soil</w:t>
      </w:r>
      <w:r w:rsidR="00A22564" w:rsidRPr="00B468FB">
        <w:rPr>
          <w:rFonts w:ascii="Times New Roman" w:eastAsiaTheme="minorEastAsia" w:hAnsi="Times New Roman" w:cs="Times New Roman"/>
          <w:szCs w:val="24"/>
        </w:rPr>
        <w:t xml:space="preserve"> properties</w:t>
      </w:r>
      <w:r w:rsidR="00626704" w:rsidRPr="00B468FB">
        <w:rPr>
          <w:rFonts w:ascii="Times New Roman" w:eastAsiaTheme="minorEastAsia" w:hAnsi="Times New Roman" w:cs="Times New Roman"/>
          <w:szCs w:val="24"/>
        </w:rPr>
        <w:t xml:space="preserve"> and</w:t>
      </w:r>
      <w:r w:rsidR="001845A3" w:rsidRPr="00B468FB">
        <w:rPr>
          <w:rFonts w:ascii="Times New Roman" w:eastAsiaTheme="minorEastAsia" w:hAnsi="Times New Roman" w:cs="Times New Roman"/>
          <w:szCs w:val="24"/>
        </w:rPr>
        <w:t xml:space="preserve"> highest grain yield</w:t>
      </w:r>
      <w:r w:rsidR="00626704" w:rsidRPr="00B468FB">
        <w:rPr>
          <w:rFonts w:ascii="Times New Roman" w:eastAsiaTheme="minorEastAsia" w:hAnsi="Times New Roman" w:cs="Times New Roman"/>
          <w:szCs w:val="24"/>
        </w:rPr>
        <w:t xml:space="preserve"> </w:t>
      </w:r>
      <w:r w:rsidR="00C53614" w:rsidRPr="00B468FB">
        <w:rPr>
          <w:rFonts w:ascii="Times New Roman" w:eastAsiaTheme="minorEastAsia" w:hAnsi="Times New Roman" w:cs="Times New Roman"/>
          <w:szCs w:val="24"/>
        </w:rPr>
        <w:t>under</w:t>
      </w:r>
      <w:r w:rsidR="00626704" w:rsidRPr="00B468FB">
        <w:rPr>
          <w:rFonts w:ascii="Times New Roman" w:eastAsiaTheme="minorEastAsia" w:hAnsi="Times New Roman" w:cs="Times New Roman"/>
          <w:szCs w:val="24"/>
        </w:rPr>
        <w:t xml:space="preserve"> Inceptisol soils of Prayagraj </w:t>
      </w:r>
      <w:r w:rsidR="005B44D1" w:rsidRPr="00B468FB">
        <w:rPr>
          <w:rFonts w:ascii="Times New Roman" w:eastAsiaTheme="minorEastAsia" w:hAnsi="Times New Roman" w:cs="Times New Roman"/>
          <w:szCs w:val="24"/>
        </w:rPr>
        <w:t>regions.</w:t>
      </w:r>
    </w:p>
    <w:p w14:paraId="4C690976" w14:textId="77777777" w:rsidR="008D1D0D" w:rsidRDefault="00626704" w:rsidP="00626704">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FUTURE SCOPE OF THE STUDY</w:t>
      </w:r>
    </w:p>
    <w:p w14:paraId="0867874C" w14:textId="40DBD437" w:rsidR="00626704" w:rsidRPr="008D1D0D" w:rsidRDefault="00626704" w:rsidP="00626704">
      <w:pPr>
        <w:spacing w:line="360" w:lineRule="auto"/>
        <w:jc w:val="both"/>
        <w:rPr>
          <w:rFonts w:ascii="Times New Roman" w:hAnsi="Times New Roman" w:cs="Times New Roman"/>
          <w:b/>
          <w:bCs/>
          <w:szCs w:val="24"/>
          <w:lang w:val="en-US"/>
        </w:rPr>
      </w:pPr>
      <w:r w:rsidRPr="00B468FB">
        <w:rPr>
          <w:rFonts w:ascii="Times New Roman" w:hAnsi="Times New Roman" w:cs="Times New Roman"/>
          <w:szCs w:val="24"/>
        </w:rPr>
        <w:t>Soil management practices such as the inclusion of pulses in the cropping system, integrated nutrient management, and the application of organic manures, crop residues, sewage sludge, poultry manure, and night soil, along with the use of biofertilizers and vermicompost, play a vital role in improving soil properties and sustaining soil fertility for higher crop production.</w:t>
      </w:r>
    </w:p>
    <w:p w14:paraId="76DEC92B" w14:textId="491C07E0" w:rsidR="00093353" w:rsidRPr="00B468FB" w:rsidRDefault="00093353" w:rsidP="00093353">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ACKNOWLEDGEMENT</w:t>
      </w:r>
    </w:p>
    <w:p w14:paraId="3601CDC9" w14:textId="77777777" w:rsidR="00093353" w:rsidRPr="00B468FB" w:rsidRDefault="00093353" w:rsidP="00093353">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 xml:space="preserve">The corresponding author is grateful acknowledging to the department of Soil Science and Agricultural Chemistry, </w:t>
      </w:r>
      <w:r w:rsidRPr="00B468FB">
        <w:rPr>
          <w:rFonts w:ascii="Times New Roman" w:hAnsi="Times New Roman" w:cs="Times New Roman"/>
          <w:szCs w:val="22"/>
          <w:lang w:val="en-US"/>
        </w:rPr>
        <w:t>Sam Higginbottom University of Agriculture, Technology&amp; Sciences, Prayagraj,</w:t>
      </w:r>
      <w:r w:rsidRPr="00B468FB">
        <w:rPr>
          <w:rFonts w:ascii="Times New Roman" w:hAnsi="Times New Roman" w:cs="Times New Roman"/>
          <w:szCs w:val="24"/>
          <w:lang w:val="en-US"/>
        </w:rPr>
        <w:t xml:space="preserve"> for providing necessary facilities throughout the course of this studies and research. </w:t>
      </w:r>
    </w:p>
    <w:p w14:paraId="06BE1ECB" w14:textId="072B8C60" w:rsidR="00626704" w:rsidRPr="00B468FB" w:rsidRDefault="00626704" w:rsidP="00626704">
      <w:pPr>
        <w:spacing w:line="24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CONFLICT OF INTEREST</w:t>
      </w:r>
    </w:p>
    <w:p w14:paraId="46AFFD5B" w14:textId="77777777" w:rsidR="00626704" w:rsidRPr="001C1E3C" w:rsidRDefault="00626704" w:rsidP="00626704">
      <w:pPr>
        <w:spacing w:line="240" w:lineRule="auto"/>
        <w:jc w:val="both"/>
        <w:rPr>
          <w:rFonts w:ascii="Times New Roman" w:hAnsi="Times New Roman" w:cs="Times New Roman"/>
          <w:color w:val="0D0D0D" w:themeColor="text1" w:themeTint="F2"/>
          <w:szCs w:val="24"/>
        </w:rPr>
      </w:pPr>
      <w:r w:rsidRPr="001C1E3C">
        <w:rPr>
          <w:rFonts w:ascii="Times New Roman" w:hAnsi="Times New Roman" w:cs="Times New Roman"/>
          <w:color w:val="0D0D0D" w:themeColor="text1" w:themeTint="F2"/>
          <w:szCs w:val="24"/>
        </w:rPr>
        <w:t>The authors declare that there is no conflict of interest regarding the publication of this paper.</w:t>
      </w:r>
    </w:p>
    <w:p w14:paraId="2B8FD896" w14:textId="77777777" w:rsidR="001C1E3C" w:rsidRDefault="001C1E3C" w:rsidP="00626704">
      <w:pPr>
        <w:spacing w:line="240" w:lineRule="auto"/>
        <w:jc w:val="both"/>
        <w:rPr>
          <w:rFonts w:ascii="Times New Roman" w:eastAsiaTheme="minorEastAsia" w:hAnsi="Times New Roman" w:cs="Times New Roman"/>
          <w:b/>
          <w:bCs/>
          <w:szCs w:val="24"/>
        </w:rPr>
      </w:pPr>
    </w:p>
    <w:p w14:paraId="3B04D990" w14:textId="77777777" w:rsidR="00D04820" w:rsidRPr="00D04820" w:rsidRDefault="00D04820" w:rsidP="00D04820">
      <w:pPr>
        <w:spacing w:after="200" w:line="276" w:lineRule="auto"/>
        <w:rPr>
          <w:rFonts w:ascii="Calibri" w:eastAsia="Calibri" w:hAnsi="Calibri" w:cs="Times New Roman"/>
          <w:sz w:val="22"/>
          <w:szCs w:val="22"/>
          <w:highlight w:val="yellow"/>
          <w:lang w:val="en-US" w:bidi="ar-SA"/>
        </w:rPr>
      </w:pPr>
      <w:r w:rsidRPr="00D04820">
        <w:rPr>
          <w:rFonts w:ascii="Calibri" w:eastAsia="Calibri" w:hAnsi="Calibri" w:cs="Times New Roman"/>
          <w:sz w:val="22"/>
          <w:szCs w:val="22"/>
          <w:highlight w:val="yellow"/>
          <w:lang w:val="en-US" w:bidi="ar-SA"/>
        </w:rPr>
        <w:t>Disclaimer (Artificial intelligence)</w:t>
      </w:r>
    </w:p>
    <w:p w14:paraId="441B3B5C" w14:textId="77777777" w:rsidR="00D04820" w:rsidRPr="00D04820" w:rsidRDefault="00D04820" w:rsidP="00D04820">
      <w:pPr>
        <w:spacing w:after="200" w:line="276" w:lineRule="auto"/>
        <w:rPr>
          <w:rFonts w:ascii="Calibri" w:eastAsia="Calibri" w:hAnsi="Calibri" w:cs="Times New Roman"/>
          <w:sz w:val="22"/>
          <w:szCs w:val="22"/>
          <w:highlight w:val="yellow"/>
          <w:lang w:val="en-US" w:bidi="ar-SA"/>
        </w:rPr>
      </w:pPr>
      <w:r w:rsidRPr="00D04820">
        <w:rPr>
          <w:rFonts w:ascii="Calibri" w:eastAsia="Calibri" w:hAnsi="Calibri" w:cs="Times New Roman"/>
          <w:sz w:val="22"/>
          <w:szCs w:val="22"/>
          <w:highlight w:val="yellow"/>
          <w:lang w:val="en-US" w:bidi="ar-SA"/>
        </w:rPr>
        <w:t xml:space="preserve">Author(s) hereby </w:t>
      </w:r>
      <w:proofErr w:type="gramStart"/>
      <w:r w:rsidRPr="00D04820">
        <w:rPr>
          <w:rFonts w:ascii="Calibri" w:eastAsia="Calibri" w:hAnsi="Calibri" w:cs="Times New Roman"/>
          <w:sz w:val="22"/>
          <w:szCs w:val="22"/>
          <w:highlight w:val="yellow"/>
          <w:lang w:val="en-US" w:bidi="ar-SA"/>
        </w:rPr>
        <w:t>declare</w:t>
      </w:r>
      <w:proofErr w:type="gramEnd"/>
      <w:r w:rsidRPr="00D04820">
        <w:rPr>
          <w:rFonts w:ascii="Calibri" w:eastAsia="Calibri" w:hAnsi="Calibri" w:cs="Times New Roman"/>
          <w:sz w:val="22"/>
          <w:szCs w:val="22"/>
          <w:highlight w:val="yellow"/>
          <w:lang w:val="en-US" w:bidi="ar-SA"/>
        </w:rPr>
        <w:t xml:space="preserve"> that NO generative AI technologies such as Large Language Models (</w:t>
      </w:r>
      <w:proofErr w:type="spellStart"/>
      <w:r w:rsidRPr="00D04820">
        <w:rPr>
          <w:rFonts w:ascii="Calibri" w:eastAsia="Calibri" w:hAnsi="Calibri" w:cs="Times New Roman"/>
          <w:sz w:val="22"/>
          <w:szCs w:val="22"/>
          <w:highlight w:val="yellow"/>
          <w:lang w:val="en-US" w:bidi="ar-SA"/>
        </w:rPr>
        <w:t>ChatGPT</w:t>
      </w:r>
      <w:proofErr w:type="spellEnd"/>
      <w:r w:rsidRPr="00D04820">
        <w:rPr>
          <w:rFonts w:ascii="Calibri" w:eastAsia="Calibri" w:hAnsi="Calibri" w:cs="Times New Roman"/>
          <w:sz w:val="22"/>
          <w:szCs w:val="22"/>
          <w:highlight w:val="yellow"/>
          <w:lang w:val="en-US" w:bidi="ar-SA"/>
        </w:rPr>
        <w:t xml:space="preserve">, COPILOT, etc.) and text-to-image generators have been used during the writing or editing of this manuscript. </w:t>
      </w:r>
    </w:p>
    <w:p w14:paraId="63C10E4A" w14:textId="77777777" w:rsidR="00D04820" w:rsidRPr="00D04820" w:rsidRDefault="00D04820" w:rsidP="00D04820">
      <w:pPr>
        <w:spacing w:after="200" w:line="276" w:lineRule="auto"/>
        <w:rPr>
          <w:rFonts w:ascii="Calibri" w:eastAsia="Calibri" w:hAnsi="Calibri" w:cs="Times New Roman"/>
          <w:sz w:val="22"/>
          <w:szCs w:val="22"/>
          <w:lang w:val="en-US" w:bidi="ar-SA"/>
        </w:rPr>
      </w:pPr>
    </w:p>
    <w:p w14:paraId="3EC224BF" w14:textId="77777777" w:rsidR="001C1E3C" w:rsidRDefault="001C1E3C" w:rsidP="00626704">
      <w:pPr>
        <w:spacing w:line="240" w:lineRule="auto"/>
        <w:jc w:val="both"/>
        <w:rPr>
          <w:rFonts w:ascii="Times New Roman" w:eastAsiaTheme="minorEastAsia" w:hAnsi="Times New Roman" w:cs="Times New Roman"/>
          <w:b/>
          <w:bCs/>
          <w:szCs w:val="24"/>
        </w:rPr>
      </w:pPr>
    </w:p>
    <w:p w14:paraId="1A01A605" w14:textId="77777777" w:rsidR="001C1E3C" w:rsidRDefault="001C1E3C" w:rsidP="00626704">
      <w:pPr>
        <w:spacing w:line="240" w:lineRule="auto"/>
        <w:jc w:val="both"/>
        <w:rPr>
          <w:rFonts w:ascii="Times New Roman" w:eastAsiaTheme="minorEastAsia" w:hAnsi="Times New Roman" w:cs="Times New Roman"/>
          <w:b/>
          <w:bCs/>
          <w:szCs w:val="24"/>
        </w:rPr>
      </w:pPr>
    </w:p>
    <w:p w14:paraId="6A8FEFCC" w14:textId="77777777" w:rsidR="001C1E3C" w:rsidRDefault="001C1E3C" w:rsidP="00626704">
      <w:pPr>
        <w:spacing w:line="240" w:lineRule="auto"/>
        <w:jc w:val="both"/>
        <w:rPr>
          <w:rFonts w:ascii="Times New Roman" w:eastAsiaTheme="minorEastAsia" w:hAnsi="Times New Roman" w:cs="Times New Roman"/>
          <w:b/>
          <w:bCs/>
          <w:szCs w:val="24"/>
        </w:rPr>
      </w:pPr>
    </w:p>
    <w:p w14:paraId="2C8533FC" w14:textId="77777777" w:rsidR="001C1E3C" w:rsidRDefault="001C1E3C" w:rsidP="00626704">
      <w:pPr>
        <w:spacing w:line="240" w:lineRule="auto"/>
        <w:jc w:val="both"/>
        <w:rPr>
          <w:rFonts w:ascii="Times New Roman" w:eastAsiaTheme="minorEastAsia" w:hAnsi="Times New Roman" w:cs="Times New Roman"/>
          <w:b/>
          <w:bCs/>
          <w:szCs w:val="24"/>
        </w:rPr>
      </w:pPr>
    </w:p>
    <w:p w14:paraId="5482243E" w14:textId="77777777" w:rsidR="001C1E3C" w:rsidRDefault="001C1E3C" w:rsidP="00626704">
      <w:pPr>
        <w:spacing w:line="240" w:lineRule="auto"/>
        <w:jc w:val="both"/>
        <w:rPr>
          <w:rFonts w:ascii="Times New Roman" w:eastAsiaTheme="minorEastAsia" w:hAnsi="Times New Roman" w:cs="Times New Roman"/>
          <w:b/>
          <w:bCs/>
          <w:szCs w:val="24"/>
        </w:rPr>
      </w:pPr>
    </w:p>
    <w:p w14:paraId="0A61E9DE" w14:textId="77777777" w:rsidR="001C1E3C" w:rsidRDefault="001C1E3C" w:rsidP="00626704">
      <w:pPr>
        <w:spacing w:line="240" w:lineRule="auto"/>
        <w:jc w:val="both"/>
        <w:rPr>
          <w:rFonts w:ascii="Times New Roman" w:eastAsiaTheme="minorEastAsia" w:hAnsi="Times New Roman" w:cs="Times New Roman"/>
          <w:b/>
          <w:bCs/>
          <w:szCs w:val="24"/>
        </w:rPr>
      </w:pPr>
    </w:p>
    <w:p w14:paraId="171A480A" w14:textId="77777777" w:rsidR="001C1E3C" w:rsidRDefault="001C1E3C" w:rsidP="00626704">
      <w:pPr>
        <w:spacing w:line="240" w:lineRule="auto"/>
        <w:jc w:val="both"/>
        <w:rPr>
          <w:rFonts w:ascii="Times New Roman" w:eastAsiaTheme="minorEastAsia" w:hAnsi="Times New Roman" w:cs="Times New Roman"/>
          <w:b/>
          <w:bCs/>
          <w:szCs w:val="24"/>
        </w:rPr>
      </w:pPr>
    </w:p>
    <w:p w14:paraId="4CBB9CAC" w14:textId="77777777" w:rsidR="001C1E3C" w:rsidRDefault="001C1E3C" w:rsidP="00626704">
      <w:pPr>
        <w:spacing w:line="240" w:lineRule="auto"/>
        <w:jc w:val="both"/>
        <w:rPr>
          <w:rFonts w:ascii="Times New Roman" w:eastAsiaTheme="minorEastAsia" w:hAnsi="Times New Roman" w:cs="Times New Roman"/>
          <w:b/>
          <w:bCs/>
          <w:szCs w:val="24"/>
        </w:rPr>
      </w:pPr>
    </w:p>
    <w:p w14:paraId="5A3B13BC" w14:textId="77777777" w:rsidR="001C1E3C" w:rsidRDefault="001C1E3C" w:rsidP="00626704">
      <w:pPr>
        <w:spacing w:line="240" w:lineRule="auto"/>
        <w:jc w:val="both"/>
        <w:rPr>
          <w:rFonts w:ascii="Times New Roman" w:eastAsiaTheme="minorEastAsia" w:hAnsi="Times New Roman" w:cs="Times New Roman"/>
          <w:b/>
          <w:bCs/>
          <w:szCs w:val="24"/>
        </w:rPr>
      </w:pPr>
    </w:p>
    <w:p w14:paraId="35C7010A" w14:textId="77777777" w:rsidR="001C1E3C" w:rsidRDefault="001C1E3C" w:rsidP="00626704">
      <w:pPr>
        <w:spacing w:line="240" w:lineRule="auto"/>
        <w:jc w:val="both"/>
        <w:rPr>
          <w:rFonts w:ascii="Times New Roman" w:eastAsiaTheme="minorEastAsia" w:hAnsi="Times New Roman" w:cs="Times New Roman"/>
          <w:b/>
          <w:bCs/>
          <w:szCs w:val="24"/>
        </w:rPr>
      </w:pPr>
    </w:p>
    <w:p w14:paraId="717FF48B" w14:textId="77777777" w:rsidR="001C1E3C" w:rsidRDefault="001C1E3C" w:rsidP="00626704">
      <w:pPr>
        <w:spacing w:line="240" w:lineRule="auto"/>
        <w:jc w:val="both"/>
        <w:rPr>
          <w:rFonts w:ascii="Times New Roman" w:eastAsiaTheme="minorEastAsia" w:hAnsi="Times New Roman" w:cs="Times New Roman"/>
          <w:b/>
          <w:bCs/>
          <w:szCs w:val="24"/>
        </w:rPr>
      </w:pPr>
    </w:p>
    <w:p w14:paraId="1C78BD4B" w14:textId="77777777" w:rsidR="001C1E3C" w:rsidRDefault="001C1E3C" w:rsidP="00626704">
      <w:pPr>
        <w:spacing w:line="240" w:lineRule="auto"/>
        <w:jc w:val="both"/>
        <w:rPr>
          <w:rFonts w:ascii="Times New Roman" w:eastAsiaTheme="minorEastAsia" w:hAnsi="Times New Roman" w:cs="Times New Roman"/>
          <w:b/>
          <w:bCs/>
          <w:szCs w:val="24"/>
        </w:rPr>
      </w:pPr>
    </w:p>
    <w:p w14:paraId="0542982E" w14:textId="77777777" w:rsidR="001C1E3C" w:rsidRDefault="001C1E3C" w:rsidP="00626704">
      <w:pPr>
        <w:spacing w:line="240" w:lineRule="auto"/>
        <w:jc w:val="both"/>
        <w:rPr>
          <w:rFonts w:ascii="Times New Roman" w:eastAsiaTheme="minorEastAsia" w:hAnsi="Times New Roman" w:cs="Times New Roman"/>
          <w:b/>
          <w:bCs/>
          <w:szCs w:val="24"/>
        </w:rPr>
      </w:pPr>
    </w:p>
    <w:p w14:paraId="0D51F277" w14:textId="77777777" w:rsidR="001C1E3C" w:rsidRDefault="001C1E3C" w:rsidP="00626704">
      <w:pPr>
        <w:spacing w:line="240" w:lineRule="auto"/>
        <w:jc w:val="both"/>
        <w:rPr>
          <w:rFonts w:ascii="Times New Roman" w:eastAsiaTheme="minorEastAsia" w:hAnsi="Times New Roman" w:cs="Times New Roman"/>
          <w:b/>
          <w:bCs/>
          <w:szCs w:val="24"/>
        </w:rPr>
      </w:pPr>
    </w:p>
    <w:p w14:paraId="03085D8E" w14:textId="77777777" w:rsidR="001C1E3C" w:rsidRDefault="001C1E3C" w:rsidP="00626704">
      <w:pPr>
        <w:spacing w:line="240" w:lineRule="auto"/>
        <w:jc w:val="both"/>
        <w:rPr>
          <w:rFonts w:ascii="Times New Roman" w:eastAsiaTheme="minorEastAsia" w:hAnsi="Times New Roman" w:cs="Times New Roman"/>
          <w:b/>
          <w:bCs/>
          <w:szCs w:val="24"/>
        </w:rPr>
      </w:pPr>
    </w:p>
    <w:p w14:paraId="73E33FF9" w14:textId="77777777" w:rsidR="001C1E3C" w:rsidRDefault="001C1E3C" w:rsidP="00626704">
      <w:pPr>
        <w:spacing w:line="240" w:lineRule="auto"/>
        <w:jc w:val="both"/>
        <w:rPr>
          <w:rFonts w:ascii="Times New Roman" w:eastAsiaTheme="minorEastAsia" w:hAnsi="Times New Roman" w:cs="Times New Roman"/>
          <w:b/>
          <w:bCs/>
          <w:szCs w:val="24"/>
        </w:rPr>
      </w:pPr>
    </w:p>
    <w:p w14:paraId="3E5C0A98" w14:textId="72F9CABA" w:rsidR="00626704" w:rsidRPr="00B468FB" w:rsidRDefault="000957C5" w:rsidP="00626704">
      <w:pPr>
        <w:spacing w:line="240" w:lineRule="auto"/>
        <w:jc w:val="both"/>
        <w:rPr>
          <w:rFonts w:ascii="Times New Roman" w:eastAsiaTheme="minorEastAsia" w:hAnsi="Times New Roman" w:cs="Times New Roman"/>
          <w:b/>
          <w:bCs/>
          <w:szCs w:val="24"/>
        </w:rPr>
      </w:pPr>
      <w:r>
        <w:rPr>
          <w:rFonts w:ascii="Times New Roman" w:eastAsiaTheme="minorEastAsia" w:hAnsi="Times New Roman" w:cs="Times New Roman"/>
          <w:b/>
          <w:bCs/>
          <w:szCs w:val="24"/>
        </w:rPr>
        <w:t>REFERENCES</w:t>
      </w:r>
      <w:r w:rsidR="00626704" w:rsidRPr="00B468FB">
        <w:rPr>
          <w:rFonts w:ascii="Times New Roman" w:eastAsiaTheme="minorEastAsia" w:hAnsi="Times New Roman" w:cs="Times New Roman"/>
          <w:b/>
          <w:bCs/>
          <w:szCs w:val="24"/>
        </w:rPr>
        <w:t xml:space="preserve"> </w:t>
      </w:r>
    </w:p>
    <w:p w14:paraId="0267B323" w14:textId="77777777" w:rsidR="00845C3C" w:rsidRDefault="00626704" w:rsidP="00845C3C">
      <w:pPr>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 xml:space="preserve">Aatif, M., Khan, H., Anjum, M. M., Ali, N., &amp; Hamid (2017). Effect of farmyard manure and phosphorus levels on yield and yield components of wheat. </w:t>
      </w:r>
      <w:r w:rsidRPr="001C1E3C">
        <w:rPr>
          <w:rFonts w:ascii="Times New Roman" w:eastAsiaTheme="minorEastAsia" w:hAnsi="Times New Roman" w:cs="Times New Roman"/>
          <w:i/>
          <w:iCs/>
          <w:color w:val="0D0D0D" w:themeColor="text1" w:themeTint="F2"/>
          <w:szCs w:val="24"/>
        </w:rPr>
        <w:t>International Journal of Environmental Science and Natural Resources, 2</w:t>
      </w:r>
      <w:r w:rsidRPr="001C1E3C">
        <w:rPr>
          <w:rFonts w:ascii="Times New Roman" w:eastAsiaTheme="minorEastAsia" w:hAnsi="Times New Roman" w:cs="Times New Roman"/>
          <w:color w:val="0D0D0D" w:themeColor="text1" w:themeTint="F2"/>
          <w:szCs w:val="24"/>
        </w:rPr>
        <w:t xml:space="preserve">(4): 133–137. </w:t>
      </w:r>
    </w:p>
    <w:p w14:paraId="20DCE481" w14:textId="73B85A28" w:rsidR="00626704" w:rsidRPr="00845C3C" w:rsidRDefault="00626704" w:rsidP="00845C3C">
      <w:pPr>
        <w:numPr>
          <w:ilvl w:val="0"/>
          <w:numId w:val="1"/>
        </w:numPr>
        <w:spacing w:line="240" w:lineRule="auto"/>
        <w:jc w:val="both"/>
        <w:rPr>
          <w:rFonts w:ascii="Times New Roman" w:eastAsiaTheme="minorEastAsia" w:hAnsi="Times New Roman" w:cs="Times New Roman"/>
          <w:color w:val="0D0D0D" w:themeColor="text1" w:themeTint="F2"/>
          <w:szCs w:val="24"/>
        </w:rPr>
      </w:pPr>
      <w:r w:rsidRPr="00845C3C">
        <w:rPr>
          <w:rFonts w:ascii="Times New Roman" w:eastAsiaTheme="minorEastAsia" w:hAnsi="Times New Roman" w:cs="Times New Roman"/>
          <w:color w:val="0D0D0D" w:themeColor="text1" w:themeTint="F2"/>
          <w:szCs w:val="24"/>
        </w:rPr>
        <w:t xml:space="preserve">Agricultural Statistics at a Glance (2018). Directorate of Economics and Statistics, Government of India, Ministry of Agriculture, DAC, New Delhi. </w:t>
      </w:r>
    </w:p>
    <w:p w14:paraId="5536DBBD" w14:textId="77777777" w:rsidR="00626704" w:rsidRPr="001C1E3C" w:rsidRDefault="00626704" w:rsidP="008D1D0D">
      <w:pPr>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 xml:space="preserve">Bangre, J., Dwivedi, A. K., Mohanty, M., Dwivedi, S., &amp; Dwivedi, B. S. (2020). Effect of long -term fertilizer application on performance of wheat crop and soil properties in a Vertisol. </w:t>
      </w:r>
      <w:r w:rsidRPr="001C1E3C">
        <w:rPr>
          <w:rFonts w:ascii="Times New Roman" w:eastAsiaTheme="minorEastAsia" w:hAnsi="Times New Roman" w:cs="Times New Roman"/>
          <w:i/>
          <w:iCs/>
          <w:color w:val="0D0D0D" w:themeColor="text1" w:themeTint="F2"/>
          <w:szCs w:val="24"/>
        </w:rPr>
        <w:t>Indian Journal of Pure Applied Bioscience</w:t>
      </w:r>
      <w:r w:rsidRPr="001C1E3C">
        <w:rPr>
          <w:rFonts w:ascii="Times New Roman" w:eastAsiaTheme="minorEastAsia" w:hAnsi="Times New Roman" w:cs="Times New Roman"/>
          <w:color w:val="0D0D0D" w:themeColor="text1" w:themeTint="F2"/>
          <w:szCs w:val="24"/>
        </w:rPr>
        <w:t>,89(1):217-227.</w:t>
      </w:r>
    </w:p>
    <w:p w14:paraId="3A8A93E4" w14:textId="2F7168D0" w:rsidR="007A3B68" w:rsidRPr="001C1E3C" w:rsidRDefault="007A3B68" w:rsidP="008D1D0D">
      <w:pPr>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Bhatt,</w:t>
      </w:r>
      <w:r w:rsidR="00C27720"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M.</w:t>
      </w:r>
      <w:r w:rsidR="00C27720"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K.,</w:t>
      </w:r>
      <w:r w:rsidR="00C27720"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Labanya,</w:t>
      </w:r>
      <w:r w:rsidR="00C27720"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R.,</w:t>
      </w:r>
      <w:r w:rsidR="00C27720"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Joshi,</w:t>
      </w:r>
      <w:r w:rsidR="00C27720"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H.</w:t>
      </w:r>
      <w:r w:rsidR="00C27720"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C.,</w:t>
      </w:r>
      <w:r w:rsidR="00C27720"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Pareek,</w:t>
      </w:r>
      <w:r w:rsidR="00C27720"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N.,</w:t>
      </w:r>
      <w:r w:rsidR="00C27720"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Chandra,</w:t>
      </w:r>
      <w:r w:rsidR="00C27720"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R.and Raverkar,</w:t>
      </w:r>
      <w:r w:rsidR="00C27720"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K.</w:t>
      </w:r>
      <w:r w:rsidR="00C27720"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P.</w:t>
      </w:r>
      <w:r w:rsidR="00C27720"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(2017</w:t>
      </w:r>
      <w:r w:rsidR="00C27720" w:rsidRPr="001C1E3C">
        <w:rPr>
          <w:rFonts w:ascii="Times New Roman" w:eastAsiaTheme="minorEastAsia" w:hAnsi="Times New Roman" w:cs="Times New Roman"/>
          <w:color w:val="0D0D0D" w:themeColor="text1" w:themeTint="F2"/>
          <w:szCs w:val="24"/>
        </w:rPr>
        <w:t>). Long</w:t>
      </w:r>
      <w:r w:rsidRPr="001C1E3C">
        <w:rPr>
          <w:rFonts w:ascii="Times New Roman" w:eastAsiaTheme="minorEastAsia" w:hAnsi="Times New Roman" w:cs="Times New Roman"/>
          <w:color w:val="0D0D0D" w:themeColor="text1" w:themeTint="F2"/>
          <w:szCs w:val="24"/>
        </w:rPr>
        <w:t xml:space="preserve"> -term effects of inorganic fertilizers and FYM on soil chemical properties and yield of Wheat under rice-wheat cropping system.</w:t>
      </w:r>
      <w:r w:rsidR="00C27720"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i/>
          <w:iCs/>
          <w:color w:val="0D0D0D" w:themeColor="text1" w:themeTint="F2"/>
          <w:szCs w:val="24"/>
        </w:rPr>
        <w:t>Bulletin</w:t>
      </w:r>
      <w:r w:rsidR="00C27720" w:rsidRPr="001C1E3C">
        <w:rPr>
          <w:rFonts w:ascii="Times New Roman" w:eastAsiaTheme="minorEastAsia" w:hAnsi="Times New Roman" w:cs="Times New Roman"/>
          <w:i/>
          <w:iCs/>
          <w:color w:val="0D0D0D" w:themeColor="text1" w:themeTint="F2"/>
          <w:szCs w:val="24"/>
        </w:rPr>
        <w:t xml:space="preserve"> </w:t>
      </w:r>
      <w:r w:rsidRPr="001C1E3C">
        <w:rPr>
          <w:rFonts w:ascii="Times New Roman" w:eastAsiaTheme="minorEastAsia" w:hAnsi="Times New Roman" w:cs="Times New Roman"/>
          <w:i/>
          <w:iCs/>
          <w:color w:val="0D0D0D" w:themeColor="text1" w:themeTint="F2"/>
          <w:szCs w:val="24"/>
        </w:rPr>
        <w:t>Himalayan Ecology,</w:t>
      </w:r>
      <w:r w:rsidRPr="001C1E3C">
        <w:rPr>
          <w:rFonts w:ascii="Times New Roman" w:eastAsiaTheme="minorEastAsia" w:hAnsi="Times New Roman" w:cs="Times New Roman"/>
          <w:color w:val="0D0D0D" w:themeColor="text1" w:themeTint="F2"/>
          <w:szCs w:val="24"/>
        </w:rPr>
        <w:t>25:28-35.</w:t>
      </w:r>
    </w:p>
    <w:p w14:paraId="71B1402E" w14:textId="77777777" w:rsidR="008D1D0D" w:rsidRDefault="00626704" w:rsidP="008D1D0D">
      <w:pPr>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 xml:space="preserve">Bhatt, P., Singh, S., Pant, P. K., Chandra, R., Gautam, P., Bhatt, L., &amp; Alka, A. (2021). Assessment of nutrient requirement for spring brinjal through soil test crop response approach on North Indian Mollisol. </w:t>
      </w:r>
      <w:r w:rsidRPr="001C1E3C">
        <w:rPr>
          <w:rFonts w:ascii="Times New Roman" w:eastAsiaTheme="minorEastAsia" w:hAnsi="Times New Roman" w:cs="Times New Roman"/>
          <w:i/>
          <w:iCs/>
          <w:color w:val="0D0D0D" w:themeColor="text1" w:themeTint="F2"/>
          <w:szCs w:val="24"/>
        </w:rPr>
        <w:t>Journal of the Indian Society of Soil Science, 69</w:t>
      </w:r>
      <w:r w:rsidRPr="001C1E3C">
        <w:rPr>
          <w:rFonts w:ascii="Times New Roman" w:eastAsiaTheme="minorEastAsia" w:hAnsi="Times New Roman" w:cs="Times New Roman"/>
          <w:color w:val="0D0D0D" w:themeColor="text1" w:themeTint="F2"/>
          <w:szCs w:val="24"/>
        </w:rPr>
        <w:t xml:space="preserve">, 162–170. </w:t>
      </w:r>
    </w:p>
    <w:p w14:paraId="6449790E" w14:textId="1D6CCAEA" w:rsidR="00626704" w:rsidRPr="008D1D0D" w:rsidRDefault="00626704" w:rsidP="008D1D0D">
      <w:pPr>
        <w:numPr>
          <w:ilvl w:val="0"/>
          <w:numId w:val="1"/>
        </w:numPr>
        <w:spacing w:line="240" w:lineRule="auto"/>
        <w:jc w:val="both"/>
        <w:rPr>
          <w:rFonts w:ascii="Times New Roman" w:eastAsiaTheme="minorEastAsia" w:hAnsi="Times New Roman" w:cs="Times New Roman"/>
          <w:color w:val="0D0D0D" w:themeColor="text1" w:themeTint="F2"/>
          <w:szCs w:val="24"/>
        </w:rPr>
      </w:pPr>
      <w:r w:rsidRPr="008D1D0D">
        <w:rPr>
          <w:rFonts w:ascii="Times New Roman" w:eastAsiaTheme="minorEastAsia" w:hAnsi="Times New Roman" w:cs="Times New Roman"/>
          <w:color w:val="0D0D0D" w:themeColor="text1" w:themeTint="F2"/>
          <w:szCs w:val="24"/>
        </w:rPr>
        <w:t xml:space="preserve">Binjola, S., Grewal, K. S., &amp; Antil, R. S. (2018). Long-term effect of integrated nutrient management on soil physical properties under pearl millet–wheat cropping system. </w:t>
      </w:r>
      <w:r w:rsidRPr="008D1D0D">
        <w:rPr>
          <w:rFonts w:ascii="Times New Roman" w:eastAsiaTheme="minorEastAsia" w:hAnsi="Times New Roman" w:cs="Times New Roman"/>
          <w:i/>
          <w:iCs/>
          <w:color w:val="0D0D0D" w:themeColor="text1" w:themeTint="F2"/>
          <w:szCs w:val="24"/>
        </w:rPr>
        <w:t>Plant Archives, 18</w:t>
      </w:r>
      <w:r w:rsidRPr="008D1D0D">
        <w:rPr>
          <w:rFonts w:ascii="Times New Roman" w:eastAsiaTheme="minorEastAsia" w:hAnsi="Times New Roman" w:cs="Times New Roman"/>
          <w:color w:val="0D0D0D" w:themeColor="text1" w:themeTint="F2"/>
          <w:szCs w:val="24"/>
        </w:rPr>
        <w:t xml:space="preserve">, 153–156. </w:t>
      </w:r>
    </w:p>
    <w:p w14:paraId="71B5FFAD" w14:textId="77777777" w:rsidR="00626704" w:rsidRPr="001C1E3C" w:rsidRDefault="00626704" w:rsidP="008D1D0D">
      <w:pPr>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 xml:space="preserve">Boldea, M., Sala, F., Rawashdeh, H., &amp; Luchian, D. (2015). Evaluation of agricultural yield in relation to the doses of mineral fertilizer. </w:t>
      </w:r>
      <w:r w:rsidRPr="001C1E3C">
        <w:rPr>
          <w:rFonts w:ascii="Times New Roman" w:eastAsiaTheme="minorEastAsia" w:hAnsi="Times New Roman" w:cs="Times New Roman"/>
          <w:i/>
          <w:iCs/>
          <w:color w:val="0D0D0D" w:themeColor="text1" w:themeTint="F2"/>
          <w:szCs w:val="24"/>
        </w:rPr>
        <w:t>Journal of Central European Agriculture, 16</w:t>
      </w:r>
      <w:r w:rsidRPr="001C1E3C">
        <w:rPr>
          <w:rFonts w:ascii="Times New Roman" w:eastAsiaTheme="minorEastAsia" w:hAnsi="Times New Roman" w:cs="Times New Roman"/>
          <w:color w:val="0D0D0D" w:themeColor="text1" w:themeTint="F2"/>
          <w:szCs w:val="24"/>
        </w:rPr>
        <w:t xml:space="preserve">, 149–161. </w:t>
      </w:r>
    </w:p>
    <w:p w14:paraId="6E1E77C5" w14:textId="77777777" w:rsidR="00626704" w:rsidRPr="001C1E3C" w:rsidRDefault="00626704" w:rsidP="008D1D0D">
      <w:pPr>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 xml:space="preserve">Kumar, B., Thomas, T., &amp; David, A. A. (2023). Effect of STCR-based application of organic and inorganic fertilizers on growth, productivity and economics of wheat in Inceptisol of Prayagraj, India. </w:t>
      </w:r>
      <w:r w:rsidRPr="001C1E3C">
        <w:rPr>
          <w:rFonts w:ascii="Times New Roman" w:eastAsiaTheme="minorEastAsia" w:hAnsi="Times New Roman" w:cs="Times New Roman"/>
          <w:i/>
          <w:iCs/>
          <w:color w:val="0D0D0D" w:themeColor="text1" w:themeTint="F2"/>
          <w:szCs w:val="24"/>
        </w:rPr>
        <w:t>International Journal of Plant &amp; Soil Science, 35</w:t>
      </w:r>
      <w:r w:rsidRPr="001C1E3C">
        <w:rPr>
          <w:rFonts w:ascii="Times New Roman" w:eastAsiaTheme="minorEastAsia" w:hAnsi="Times New Roman" w:cs="Times New Roman"/>
          <w:color w:val="0D0D0D" w:themeColor="text1" w:themeTint="F2"/>
          <w:szCs w:val="24"/>
        </w:rPr>
        <w:t xml:space="preserve">(18): 801–807. </w:t>
      </w:r>
    </w:p>
    <w:p w14:paraId="6F8293F2" w14:textId="77777777" w:rsidR="0006143B" w:rsidRDefault="00626704" w:rsidP="008D1D0D">
      <w:pPr>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Kumar, B., &amp; Thomas, T. (2022). STCR-based manure and fertilizers application effect on performance of wheat (</w:t>
      </w:r>
      <w:r w:rsidRPr="001C1E3C">
        <w:rPr>
          <w:rFonts w:ascii="Times New Roman" w:eastAsiaTheme="minorEastAsia" w:hAnsi="Times New Roman" w:cs="Times New Roman"/>
          <w:i/>
          <w:iCs/>
          <w:color w:val="0D0D0D" w:themeColor="text1" w:themeTint="F2"/>
          <w:szCs w:val="24"/>
        </w:rPr>
        <w:t>Triticum aestivum</w:t>
      </w:r>
      <w:r w:rsidRPr="001C1E3C">
        <w:rPr>
          <w:rFonts w:ascii="Times New Roman" w:eastAsiaTheme="minorEastAsia" w:hAnsi="Times New Roman" w:cs="Times New Roman"/>
          <w:color w:val="0D0D0D" w:themeColor="text1" w:themeTint="F2"/>
          <w:szCs w:val="24"/>
        </w:rPr>
        <w:t xml:space="preserve"> L.) and physical properties in an Inceptisol. </w:t>
      </w:r>
      <w:r w:rsidRPr="001C1E3C">
        <w:rPr>
          <w:rFonts w:ascii="Times New Roman" w:eastAsiaTheme="minorEastAsia" w:hAnsi="Times New Roman" w:cs="Times New Roman"/>
          <w:i/>
          <w:iCs/>
          <w:color w:val="0D0D0D" w:themeColor="text1" w:themeTint="F2"/>
          <w:szCs w:val="24"/>
        </w:rPr>
        <w:t>Frontiers in Crop Improvement, 10</w:t>
      </w:r>
      <w:r w:rsidRPr="001C1E3C">
        <w:rPr>
          <w:rFonts w:ascii="Times New Roman" w:eastAsiaTheme="minorEastAsia" w:hAnsi="Times New Roman" w:cs="Times New Roman"/>
          <w:color w:val="0D0D0D" w:themeColor="text1" w:themeTint="F2"/>
          <w:szCs w:val="24"/>
        </w:rPr>
        <w:t>, 2284–2287. (Special Issue).</w:t>
      </w:r>
    </w:p>
    <w:p w14:paraId="07748FA9" w14:textId="77777777" w:rsidR="008D1D0D" w:rsidRDefault="005F7598" w:rsidP="008D1D0D">
      <w:pPr>
        <w:numPr>
          <w:ilvl w:val="0"/>
          <w:numId w:val="1"/>
        </w:numPr>
        <w:spacing w:line="240" w:lineRule="auto"/>
        <w:ind w:left="634"/>
        <w:jc w:val="both"/>
        <w:rPr>
          <w:rFonts w:ascii="Times New Roman" w:eastAsiaTheme="minorEastAsia" w:hAnsi="Times New Roman" w:cs="Times New Roman"/>
          <w:color w:val="0D0D0D" w:themeColor="text1" w:themeTint="F2"/>
          <w:szCs w:val="24"/>
        </w:rPr>
      </w:pPr>
      <w:r w:rsidRPr="0006143B">
        <w:rPr>
          <w:rFonts w:ascii="Times New Roman" w:eastAsiaTheme="minorEastAsia" w:hAnsi="Times New Roman" w:cs="Times New Roman"/>
          <w:szCs w:val="24"/>
          <w:lang w:val="en-US" w:bidi="ar-SA"/>
        </w:rPr>
        <w:t xml:space="preserve">Laghari, G. M., Oad, F. C., Tunio, S., Gandahi, A. W., Siddiqui, M. H., Jagirani, A. W. and Oad, S. M. (2010). Growth, yield and nutrient uptake of various wheat cultivars under different fertilizer </w:t>
      </w:r>
      <w:r w:rsidRPr="0006143B">
        <w:rPr>
          <w:rFonts w:ascii="Times New Roman" w:eastAsiaTheme="minorEastAsia" w:hAnsi="Times New Roman" w:cs="Times New Roman"/>
          <w:i/>
          <w:iCs/>
          <w:szCs w:val="24"/>
          <w:lang w:val="en-US" w:bidi="ar-SA"/>
        </w:rPr>
        <w:t>regimes</w:t>
      </w:r>
      <w:r w:rsidRPr="0006143B">
        <w:rPr>
          <w:rFonts w:ascii="Times New Roman" w:eastAsiaTheme="minorEastAsia" w:hAnsi="Times New Roman" w:cs="Times New Roman"/>
          <w:szCs w:val="24"/>
          <w:lang w:val="en-US" w:bidi="ar-SA"/>
        </w:rPr>
        <w:t xml:space="preserve">. </w:t>
      </w:r>
      <w:r w:rsidRPr="0006143B">
        <w:rPr>
          <w:rFonts w:ascii="Times New Roman" w:eastAsiaTheme="minorEastAsia" w:hAnsi="Times New Roman" w:cs="Times New Roman"/>
          <w:i/>
          <w:iCs/>
          <w:szCs w:val="24"/>
          <w:lang w:val="en-US" w:bidi="ar-SA"/>
        </w:rPr>
        <w:t xml:space="preserve">Sarhad J. Agric. </w:t>
      </w:r>
      <w:r w:rsidRPr="0006143B">
        <w:rPr>
          <w:rFonts w:ascii="Times New Roman" w:eastAsiaTheme="minorEastAsia" w:hAnsi="Times New Roman" w:cs="Times New Roman"/>
          <w:szCs w:val="24"/>
          <w:lang w:val="en-US" w:bidi="ar-SA"/>
        </w:rPr>
        <w:t>26 (4): 489-497</w:t>
      </w:r>
      <w:r w:rsidRPr="0006143B">
        <w:rPr>
          <w:rFonts w:ascii="Times New Roman" w:eastAsiaTheme="minorEastAsia" w:hAnsi="Times New Roman" w:cs="Times New Roman"/>
          <w:i/>
          <w:iCs/>
          <w:szCs w:val="24"/>
          <w:lang w:val="en-US" w:bidi="ar-SA"/>
        </w:rPr>
        <w:t>.</w:t>
      </w:r>
    </w:p>
    <w:p w14:paraId="5473433E" w14:textId="77777777" w:rsidR="008D1D0D" w:rsidRDefault="00122D16" w:rsidP="008D1D0D">
      <w:pPr>
        <w:numPr>
          <w:ilvl w:val="0"/>
          <w:numId w:val="1"/>
        </w:numPr>
        <w:spacing w:line="240" w:lineRule="auto"/>
        <w:ind w:left="634"/>
        <w:jc w:val="both"/>
        <w:rPr>
          <w:rFonts w:ascii="Times New Roman" w:eastAsiaTheme="minorEastAsia" w:hAnsi="Times New Roman" w:cs="Times New Roman"/>
          <w:color w:val="0D0D0D" w:themeColor="text1" w:themeTint="F2"/>
          <w:szCs w:val="24"/>
        </w:rPr>
      </w:pPr>
      <w:r w:rsidRPr="008D1D0D">
        <w:rPr>
          <w:rFonts w:ascii="Times New Roman" w:eastAsiaTheme="minorEastAsia" w:hAnsi="Times New Roman" w:cs="Times New Roman"/>
          <w:color w:val="0D0D0D" w:themeColor="text1" w:themeTint="F2"/>
          <w:szCs w:val="24"/>
        </w:rPr>
        <w:t>Meena,</w:t>
      </w:r>
      <w:r w:rsidR="008B16D1" w:rsidRPr="008D1D0D">
        <w:rPr>
          <w:rFonts w:ascii="Times New Roman" w:eastAsiaTheme="minorEastAsia" w:hAnsi="Times New Roman" w:cs="Times New Roman"/>
          <w:color w:val="0D0D0D" w:themeColor="text1" w:themeTint="F2"/>
          <w:szCs w:val="24"/>
        </w:rPr>
        <w:t xml:space="preserve"> </w:t>
      </w:r>
      <w:r w:rsidRPr="008D1D0D">
        <w:rPr>
          <w:rFonts w:ascii="Times New Roman" w:eastAsiaTheme="minorEastAsia" w:hAnsi="Times New Roman" w:cs="Times New Roman"/>
          <w:color w:val="0D0D0D" w:themeColor="text1" w:themeTint="F2"/>
          <w:szCs w:val="24"/>
        </w:rPr>
        <w:t>S.</w:t>
      </w:r>
      <w:r w:rsidR="008B16D1" w:rsidRPr="008D1D0D">
        <w:rPr>
          <w:rFonts w:ascii="Times New Roman" w:eastAsiaTheme="minorEastAsia" w:hAnsi="Times New Roman" w:cs="Times New Roman"/>
          <w:color w:val="0D0D0D" w:themeColor="text1" w:themeTint="F2"/>
          <w:szCs w:val="24"/>
        </w:rPr>
        <w:t xml:space="preserve"> </w:t>
      </w:r>
      <w:r w:rsidRPr="008D1D0D">
        <w:rPr>
          <w:rFonts w:ascii="Times New Roman" w:eastAsiaTheme="minorEastAsia" w:hAnsi="Times New Roman" w:cs="Times New Roman"/>
          <w:color w:val="0D0D0D" w:themeColor="text1" w:themeTint="F2"/>
          <w:szCs w:val="24"/>
        </w:rPr>
        <w:t>K.,</w:t>
      </w:r>
      <w:r w:rsidR="008B16D1" w:rsidRPr="008D1D0D">
        <w:rPr>
          <w:rFonts w:ascii="Times New Roman" w:eastAsiaTheme="minorEastAsia" w:hAnsi="Times New Roman" w:cs="Times New Roman"/>
          <w:color w:val="0D0D0D" w:themeColor="text1" w:themeTint="F2"/>
          <w:szCs w:val="24"/>
        </w:rPr>
        <w:t xml:space="preserve"> </w:t>
      </w:r>
      <w:r w:rsidRPr="008D1D0D">
        <w:rPr>
          <w:rFonts w:ascii="Times New Roman" w:eastAsiaTheme="minorEastAsia" w:hAnsi="Times New Roman" w:cs="Times New Roman"/>
          <w:color w:val="0D0D0D" w:themeColor="text1" w:themeTint="F2"/>
          <w:szCs w:val="24"/>
        </w:rPr>
        <w:t>Kumar,</w:t>
      </w:r>
      <w:r w:rsidR="008B16D1" w:rsidRPr="008D1D0D">
        <w:rPr>
          <w:rFonts w:ascii="Times New Roman" w:eastAsiaTheme="minorEastAsia" w:hAnsi="Times New Roman" w:cs="Times New Roman"/>
          <w:color w:val="0D0D0D" w:themeColor="text1" w:themeTint="F2"/>
          <w:szCs w:val="24"/>
        </w:rPr>
        <w:t xml:space="preserve"> </w:t>
      </w:r>
      <w:r w:rsidRPr="008D1D0D">
        <w:rPr>
          <w:rFonts w:ascii="Times New Roman" w:eastAsiaTheme="minorEastAsia" w:hAnsi="Times New Roman" w:cs="Times New Roman"/>
          <w:color w:val="0D0D0D" w:themeColor="text1" w:themeTint="F2"/>
          <w:szCs w:val="24"/>
        </w:rPr>
        <w:t>A.,</w:t>
      </w:r>
      <w:r w:rsidR="008B16D1" w:rsidRPr="008D1D0D">
        <w:rPr>
          <w:rFonts w:ascii="Times New Roman" w:eastAsiaTheme="minorEastAsia" w:hAnsi="Times New Roman" w:cs="Times New Roman"/>
          <w:color w:val="0D0D0D" w:themeColor="text1" w:themeTint="F2"/>
          <w:szCs w:val="24"/>
        </w:rPr>
        <w:t xml:space="preserve"> </w:t>
      </w:r>
      <w:r w:rsidRPr="008D1D0D">
        <w:rPr>
          <w:rFonts w:ascii="Times New Roman" w:eastAsiaTheme="minorEastAsia" w:hAnsi="Times New Roman" w:cs="Times New Roman"/>
          <w:color w:val="0D0D0D" w:themeColor="text1" w:themeTint="F2"/>
          <w:szCs w:val="24"/>
        </w:rPr>
        <w:t>Rana,</w:t>
      </w:r>
      <w:r w:rsidR="008B16D1" w:rsidRPr="008D1D0D">
        <w:rPr>
          <w:rFonts w:ascii="Times New Roman" w:eastAsiaTheme="minorEastAsia" w:hAnsi="Times New Roman" w:cs="Times New Roman"/>
          <w:color w:val="0D0D0D" w:themeColor="text1" w:themeTint="F2"/>
          <w:szCs w:val="24"/>
        </w:rPr>
        <w:t xml:space="preserve"> </w:t>
      </w:r>
      <w:r w:rsidRPr="008D1D0D">
        <w:rPr>
          <w:rFonts w:ascii="Times New Roman" w:eastAsiaTheme="minorEastAsia" w:hAnsi="Times New Roman" w:cs="Times New Roman"/>
          <w:color w:val="0D0D0D" w:themeColor="text1" w:themeTint="F2"/>
          <w:szCs w:val="24"/>
        </w:rPr>
        <w:t>L.,</w:t>
      </w:r>
      <w:r w:rsidR="008B16D1" w:rsidRPr="008D1D0D">
        <w:rPr>
          <w:rFonts w:ascii="Times New Roman" w:eastAsiaTheme="minorEastAsia" w:hAnsi="Times New Roman" w:cs="Times New Roman"/>
          <w:color w:val="0D0D0D" w:themeColor="text1" w:themeTint="F2"/>
          <w:szCs w:val="24"/>
        </w:rPr>
        <w:t xml:space="preserve"> </w:t>
      </w:r>
      <w:r w:rsidRPr="008D1D0D">
        <w:rPr>
          <w:rFonts w:ascii="Times New Roman" w:eastAsiaTheme="minorEastAsia" w:hAnsi="Times New Roman" w:cs="Times New Roman"/>
          <w:color w:val="0D0D0D" w:themeColor="text1" w:themeTint="F2"/>
          <w:szCs w:val="24"/>
        </w:rPr>
        <w:t>Suman,</w:t>
      </w:r>
      <w:r w:rsidR="008B16D1" w:rsidRPr="008D1D0D">
        <w:rPr>
          <w:rFonts w:ascii="Times New Roman" w:eastAsiaTheme="minorEastAsia" w:hAnsi="Times New Roman" w:cs="Times New Roman"/>
          <w:color w:val="0D0D0D" w:themeColor="text1" w:themeTint="F2"/>
          <w:szCs w:val="24"/>
        </w:rPr>
        <w:t xml:space="preserve"> </w:t>
      </w:r>
      <w:r w:rsidRPr="008D1D0D">
        <w:rPr>
          <w:rFonts w:ascii="Times New Roman" w:eastAsiaTheme="minorEastAsia" w:hAnsi="Times New Roman" w:cs="Times New Roman"/>
          <w:color w:val="0D0D0D" w:themeColor="text1" w:themeTint="F2"/>
          <w:szCs w:val="24"/>
        </w:rPr>
        <w:t>S.</w:t>
      </w:r>
      <w:r w:rsidR="008B16D1" w:rsidRPr="008D1D0D">
        <w:rPr>
          <w:rFonts w:ascii="Times New Roman" w:eastAsiaTheme="minorEastAsia" w:hAnsi="Times New Roman" w:cs="Times New Roman"/>
          <w:color w:val="0D0D0D" w:themeColor="text1" w:themeTint="F2"/>
          <w:szCs w:val="24"/>
        </w:rPr>
        <w:t xml:space="preserve"> </w:t>
      </w:r>
      <w:r w:rsidRPr="008D1D0D">
        <w:rPr>
          <w:rFonts w:ascii="Times New Roman" w:eastAsiaTheme="minorEastAsia" w:hAnsi="Times New Roman" w:cs="Times New Roman"/>
          <w:color w:val="0D0D0D" w:themeColor="text1" w:themeTint="F2"/>
          <w:szCs w:val="24"/>
        </w:rPr>
        <w:t>N.,</w:t>
      </w:r>
      <w:r w:rsidR="008B16D1" w:rsidRPr="008D1D0D">
        <w:rPr>
          <w:rFonts w:ascii="Times New Roman" w:eastAsiaTheme="minorEastAsia" w:hAnsi="Times New Roman" w:cs="Times New Roman"/>
          <w:color w:val="0D0D0D" w:themeColor="text1" w:themeTint="F2"/>
          <w:szCs w:val="24"/>
        </w:rPr>
        <w:t xml:space="preserve"> &amp; Singh, A. K. (2023). Strategies for</w:t>
      </w:r>
      <w:r w:rsidR="00156B09" w:rsidRPr="008D1D0D">
        <w:rPr>
          <w:rFonts w:ascii="Times New Roman" w:eastAsiaTheme="minorEastAsia" w:hAnsi="Times New Roman" w:cs="Times New Roman"/>
          <w:color w:val="0D0D0D" w:themeColor="text1" w:themeTint="F2"/>
          <w:szCs w:val="24"/>
        </w:rPr>
        <w:t xml:space="preserve"> </w:t>
      </w:r>
      <w:r w:rsidR="008B16D1" w:rsidRPr="008D1D0D">
        <w:rPr>
          <w:rFonts w:ascii="Times New Roman" w:eastAsiaTheme="minorEastAsia" w:hAnsi="Times New Roman" w:cs="Times New Roman"/>
          <w:color w:val="0D0D0D" w:themeColor="text1" w:themeTint="F2"/>
          <w:szCs w:val="24"/>
        </w:rPr>
        <w:t>effective fertilization and nutrient management in sugarcane: Integrated nutrient</w:t>
      </w:r>
      <w:r w:rsidR="00156B09" w:rsidRPr="008D1D0D">
        <w:rPr>
          <w:rFonts w:ascii="Times New Roman" w:eastAsiaTheme="minorEastAsia" w:hAnsi="Times New Roman" w:cs="Times New Roman"/>
          <w:color w:val="0D0D0D" w:themeColor="text1" w:themeTint="F2"/>
          <w:szCs w:val="24"/>
        </w:rPr>
        <w:t xml:space="preserve"> </w:t>
      </w:r>
      <w:r w:rsidR="008B16D1" w:rsidRPr="008D1D0D">
        <w:rPr>
          <w:rFonts w:ascii="Times New Roman" w:eastAsiaTheme="minorEastAsia" w:hAnsi="Times New Roman" w:cs="Times New Roman"/>
          <w:color w:val="0D0D0D" w:themeColor="text1" w:themeTint="F2"/>
          <w:szCs w:val="24"/>
        </w:rPr>
        <w:t xml:space="preserve">management. In Sustainable Sugarcane Production and </w:t>
      </w:r>
      <w:r w:rsidR="00F9144B" w:rsidRPr="008D1D0D">
        <w:rPr>
          <w:rFonts w:ascii="Times New Roman" w:eastAsiaTheme="minorEastAsia" w:hAnsi="Times New Roman" w:cs="Times New Roman"/>
          <w:color w:val="0D0D0D" w:themeColor="text1" w:themeTint="F2"/>
          <w:szCs w:val="24"/>
        </w:rPr>
        <w:t>Utilization: Issues</w:t>
      </w:r>
      <w:r w:rsidR="008B16D1" w:rsidRPr="008D1D0D">
        <w:rPr>
          <w:rFonts w:ascii="Times New Roman" w:eastAsiaTheme="minorEastAsia" w:hAnsi="Times New Roman" w:cs="Times New Roman"/>
          <w:color w:val="0D0D0D" w:themeColor="text1" w:themeTint="F2"/>
          <w:szCs w:val="24"/>
        </w:rPr>
        <w:t xml:space="preserve"> and </w:t>
      </w:r>
      <w:r w:rsidR="008B16D1" w:rsidRPr="008D1D0D">
        <w:rPr>
          <w:rFonts w:ascii="Times New Roman" w:eastAsiaTheme="minorEastAsia" w:hAnsi="Times New Roman" w:cs="Times New Roman"/>
          <w:color w:val="0D0D0D" w:themeColor="text1" w:themeTint="F2"/>
          <w:szCs w:val="24"/>
        </w:rPr>
        <w:lastRenderedPageBreak/>
        <w:t xml:space="preserve">Initiatives(pp.225-234). ISBN:978-81-966957-2-9. Annual Group Meet-2023, </w:t>
      </w:r>
      <w:r w:rsidR="008B16D1" w:rsidRPr="008D1D0D">
        <w:rPr>
          <w:rFonts w:ascii="Times New Roman" w:eastAsiaTheme="minorEastAsia" w:hAnsi="Times New Roman" w:cs="Times New Roman"/>
          <w:i/>
          <w:iCs/>
          <w:color w:val="0D0D0D" w:themeColor="text1" w:themeTint="F2"/>
          <w:szCs w:val="24"/>
        </w:rPr>
        <w:t>All India</w:t>
      </w:r>
      <w:r w:rsidR="00156B09" w:rsidRPr="008D1D0D">
        <w:rPr>
          <w:rFonts w:ascii="Times New Roman" w:eastAsiaTheme="minorEastAsia" w:hAnsi="Times New Roman" w:cs="Times New Roman"/>
          <w:i/>
          <w:iCs/>
          <w:color w:val="0D0D0D" w:themeColor="text1" w:themeTint="F2"/>
          <w:szCs w:val="24"/>
        </w:rPr>
        <w:t xml:space="preserve"> </w:t>
      </w:r>
      <w:r w:rsidR="008B16D1" w:rsidRPr="008D1D0D">
        <w:rPr>
          <w:rFonts w:ascii="Times New Roman" w:eastAsiaTheme="minorEastAsia" w:hAnsi="Times New Roman" w:cs="Times New Roman"/>
          <w:i/>
          <w:iCs/>
          <w:color w:val="0D0D0D" w:themeColor="text1" w:themeTint="F2"/>
          <w:szCs w:val="24"/>
        </w:rPr>
        <w:t>Coordinated Research Project on Sugarcane</w:t>
      </w:r>
      <w:r w:rsidR="008D1D0D">
        <w:rPr>
          <w:rFonts w:ascii="Times New Roman" w:eastAsiaTheme="minorEastAsia" w:hAnsi="Times New Roman" w:cs="Times New Roman"/>
          <w:i/>
          <w:iCs/>
          <w:color w:val="0D0D0D" w:themeColor="text1" w:themeTint="F2"/>
          <w:szCs w:val="24"/>
        </w:rPr>
        <w:t>.</w:t>
      </w:r>
    </w:p>
    <w:p w14:paraId="05C51B75" w14:textId="325726AB" w:rsidR="00626704" w:rsidRPr="008D1D0D" w:rsidRDefault="00626704" w:rsidP="008D1D0D">
      <w:pPr>
        <w:numPr>
          <w:ilvl w:val="0"/>
          <w:numId w:val="1"/>
        </w:numPr>
        <w:spacing w:line="240" w:lineRule="auto"/>
        <w:ind w:left="634"/>
        <w:jc w:val="both"/>
        <w:rPr>
          <w:rFonts w:ascii="Times New Roman" w:eastAsiaTheme="minorEastAsia" w:hAnsi="Times New Roman" w:cs="Times New Roman"/>
          <w:color w:val="0D0D0D" w:themeColor="text1" w:themeTint="F2"/>
          <w:szCs w:val="24"/>
        </w:rPr>
      </w:pPr>
      <w:r w:rsidRPr="008D1D0D">
        <w:rPr>
          <w:rFonts w:ascii="Times New Roman" w:eastAsiaTheme="minorEastAsia" w:hAnsi="Times New Roman" w:cs="Times New Roman"/>
          <w:color w:val="0D0D0D" w:themeColor="text1" w:themeTint="F2"/>
          <w:szCs w:val="24"/>
        </w:rPr>
        <w:t>Moharana, P.C., Sharma, B. M., Biswas, D.R. (2017). Changes in the soil properties and</w:t>
      </w:r>
      <w:r w:rsidR="00156B09" w:rsidRPr="008D1D0D">
        <w:rPr>
          <w:rFonts w:ascii="Times New Roman" w:eastAsiaTheme="minorEastAsia" w:hAnsi="Times New Roman" w:cs="Times New Roman"/>
          <w:color w:val="0D0D0D" w:themeColor="text1" w:themeTint="F2"/>
          <w:szCs w:val="24"/>
        </w:rPr>
        <w:t xml:space="preserve"> </w:t>
      </w:r>
      <w:r w:rsidRPr="008D1D0D">
        <w:rPr>
          <w:rFonts w:ascii="Times New Roman" w:eastAsiaTheme="minorEastAsia" w:hAnsi="Times New Roman" w:cs="Times New Roman"/>
          <w:color w:val="0D0D0D" w:themeColor="text1" w:themeTint="F2"/>
          <w:szCs w:val="24"/>
        </w:rPr>
        <w:t>availability of micronutrients after six -year application of organic and chemical</w:t>
      </w:r>
      <w:r w:rsidR="004171AC" w:rsidRPr="008D1D0D">
        <w:rPr>
          <w:rFonts w:ascii="Times New Roman" w:eastAsiaTheme="minorEastAsia" w:hAnsi="Times New Roman" w:cs="Times New Roman"/>
          <w:color w:val="0D0D0D" w:themeColor="text1" w:themeTint="F2"/>
          <w:szCs w:val="24"/>
        </w:rPr>
        <w:t xml:space="preserve"> </w:t>
      </w:r>
      <w:r w:rsidRPr="008D1D0D">
        <w:rPr>
          <w:rFonts w:ascii="Times New Roman" w:eastAsiaTheme="minorEastAsia" w:hAnsi="Times New Roman" w:cs="Times New Roman"/>
          <w:color w:val="0D0D0D" w:themeColor="text1" w:themeTint="F2"/>
          <w:szCs w:val="24"/>
        </w:rPr>
        <w:t>fertilizers</w:t>
      </w:r>
      <w:r w:rsidR="004171AC" w:rsidRPr="008D1D0D">
        <w:rPr>
          <w:rFonts w:ascii="Times New Roman" w:eastAsiaTheme="minorEastAsia" w:hAnsi="Times New Roman" w:cs="Times New Roman"/>
          <w:color w:val="0D0D0D" w:themeColor="text1" w:themeTint="F2"/>
          <w:szCs w:val="24"/>
        </w:rPr>
        <w:t xml:space="preserve"> </w:t>
      </w:r>
      <w:r w:rsidRPr="008D1D0D">
        <w:rPr>
          <w:rFonts w:ascii="Times New Roman" w:eastAsiaTheme="minorEastAsia" w:hAnsi="Times New Roman" w:cs="Times New Roman"/>
          <w:color w:val="0D0D0D" w:themeColor="text1" w:themeTint="F2"/>
          <w:szCs w:val="24"/>
        </w:rPr>
        <w:t>using STCR-based targeted yield equations under pearl millet-wheat cropping</w:t>
      </w:r>
      <w:r w:rsidR="00156B09" w:rsidRPr="008D1D0D">
        <w:rPr>
          <w:rFonts w:ascii="Times New Roman" w:eastAsiaTheme="minorEastAsia" w:hAnsi="Times New Roman" w:cs="Times New Roman"/>
          <w:color w:val="0D0D0D" w:themeColor="text1" w:themeTint="F2"/>
          <w:szCs w:val="24"/>
        </w:rPr>
        <w:t xml:space="preserve"> </w:t>
      </w:r>
      <w:r w:rsidRPr="008D1D0D">
        <w:rPr>
          <w:rFonts w:ascii="Times New Roman" w:eastAsiaTheme="minorEastAsia" w:hAnsi="Times New Roman" w:cs="Times New Roman"/>
          <w:color w:val="0D0D0D" w:themeColor="text1" w:themeTint="F2"/>
          <w:szCs w:val="24"/>
        </w:rPr>
        <w:t>system.</w:t>
      </w:r>
      <w:r w:rsidR="004171AC" w:rsidRPr="008D1D0D">
        <w:rPr>
          <w:rFonts w:ascii="Times New Roman" w:eastAsiaTheme="minorEastAsia" w:hAnsi="Times New Roman" w:cs="Times New Roman"/>
          <w:color w:val="0D0D0D" w:themeColor="text1" w:themeTint="F2"/>
          <w:szCs w:val="24"/>
        </w:rPr>
        <w:t xml:space="preserve"> </w:t>
      </w:r>
      <w:r w:rsidRPr="008D1D0D">
        <w:rPr>
          <w:rFonts w:ascii="Times New Roman" w:eastAsiaTheme="minorEastAsia" w:hAnsi="Times New Roman" w:cs="Times New Roman"/>
          <w:i/>
          <w:iCs/>
          <w:color w:val="0D0D0D" w:themeColor="text1" w:themeTint="F2"/>
          <w:szCs w:val="24"/>
        </w:rPr>
        <w:t>Journal of Plant Nutrition,</w:t>
      </w:r>
      <w:r w:rsidRPr="008D1D0D">
        <w:rPr>
          <w:rFonts w:ascii="Times New Roman" w:eastAsiaTheme="minorEastAsia" w:hAnsi="Times New Roman" w:cs="Times New Roman"/>
          <w:color w:val="0D0D0D" w:themeColor="text1" w:themeTint="F2"/>
          <w:szCs w:val="24"/>
        </w:rPr>
        <w:t>40(20):165-176.</w:t>
      </w:r>
    </w:p>
    <w:p w14:paraId="75BAFBEB" w14:textId="641CDA78" w:rsidR="00626704" w:rsidRPr="008D1D0D" w:rsidRDefault="00626704" w:rsidP="008D1D0D">
      <w:pPr>
        <w:pStyle w:val="ListParagraph"/>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Nandapure, S. P., Sonune, B. A., Gabhane, V. V., Katkar, R. N., &amp; Patil, R. T. (2011). Long-</w:t>
      </w:r>
      <w:r w:rsidR="00F9144B"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 xml:space="preserve">term effects of integrated nutrient management on soil physical properties and crop sequence in a Vertisol. </w:t>
      </w:r>
      <w:r w:rsidRPr="001C1E3C">
        <w:rPr>
          <w:rFonts w:ascii="Times New Roman" w:eastAsiaTheme="minorEastAsia" w:hAnsi="Times New Roman" w:cs="Times New Roman"/>
          <w:i/>
          <w:iCs/>
          <w:color w:val="0D0D0D" w:themeColor="text1" w:themeTint="F2"/>
          <w:szCs w:val="24"/>
        </w:rPr>
        <w:t>Indian Journal of Agricultural Research, 45</w:t>
      </w:r>
      <w:r w:rsidRPr="001C1E3C">
        <w:rPr>
          <w:rFonts w:ascii="Times New Roman" w:eastAsiaTheme="minorEastAsia" w:hAnsi="Times New Roman" w:cs="Times New Roman"/>
          <w:color w:val="0D0D0D" w:themeColor="text1" w:themeTint="F2"/>
          <w:szCs w:val="24"/>
        </w:rPr>
        <w:t>(4): 336–340.</w:t>
      </w:r>
    </w:p>
    <w:p w14:paraId="12497B51" w14:textId="5CDF4D49" w:rsidR="008D1D0D" w:rsidRPr="008D1D0D" w:rsidRDefault="00626704" w:rsidP="008D1D0D">
      <w:pPr>
        <w:pStyle w:val="ListParagraph"/>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Ram, D., Ram, T., &amp; Chand, S. (2010). Characterization and classification of flood-prone</w:t>
      </w:r>
      <w:r w:rsidR="004171AC"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 xml:space="preserve">soils of eastern plains Rajasthan for their corrective measures. </w:t>
      </w:r>
      <w:r w:rsidRPr="001C1E3C">
        <w:rPr>
          <w:rFonts w:ascii="Times New Roman" w:eastAsiaTheme="minorEastAsia" w:hAnsi="Times New Roman" w:cs="Times New Roman"/>
          <w:i/>
          <w:iCs/>
          <w:color w:val="0D0D0D" w:themeColor="text1" w:themeTint="F2"/>
          <w:szCs w:val="24"/>
        </w:rPr>
        <w:t>Journal of the Indian Society of Soil Science, 58</w:t>
      </w:r>
      <w:r w:rsidRPr="001C1E3C">
        <w:rPr>
          <w:rFonts w:ascii="Times New Roman" w:eastAsiaTheme="minorEastAsia" w:hAnsi="Times New Roman" w:cs="Times New Roman"/>
          <w:color w:val="0D0D0D" w:themeColor="text1" w:themeTint="F2"/>
          <w:szCs w:val="24"/>
        </w:rPr>
        <w:t>(2): 228–232.</w:t>
      </w:r>
    </w:p>
    <w:p w14:paraId="5FC75700" w14:textId="601B44CC" w:rsidR="00626704" w:rsidRPr="001C1E3C" w:rsidRDefault="00626704" w:rsidP="008D1D0D">
      <w:pPr>
        <w:pStyle w:val="ListParagraph"/>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Rai, H. K., Sachidanand, B., Baghel, S. S., &amp; Dey P. (2016). Evaluation of productivity and</w:t>
      </w:r>
      <w:r w:rsidR="004171AC"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 xml:space="preserve">economics of wheat under STCR based nutrient application with and without FYM in a Vertisol. </w:t>
      </w:r>
      <w:r w:rsidRPr="001C1E3C">
        <w:rPr>
          <w:rFonts w:ascii="Times New Roman" w:eastAsiaTheme="minorEastAsia" w:hAnsi="Times New Roman" w:cs="Times New Roman"/>
          <w:i/>
          <w:iCs/>
          <w:color w:val="0D0D0D" w:themeColor="text1" w:themeTint="F2"/>
          <w:szCs w:val="24"/>
        </w:rPr>
        <w:t>Eco. Env. and Cons.</w:t>
      </w:r>
      <w:r w:rsidRPr="001C1E3C">
        <w:rPr>
          <w:rFonts w:ascii="Times New Roman" w:eastAsiaTheme="minorEastAsia" w:hAnsi="Times New Roman" w:cs="Times New Roman"/>
          <w:color w:val="0D0D0D" w:themeColor="text1" w:themeTint="F2"/>
          <w:szCs w:val="24"/>
        </w:rPr>
        <w:t xml:space="preserve">22:S 107-S111. </w:t>
      </w:r>
    </w:p>
    <w:p w14:paraId="7D61719D" w14:textId="78758FAA" w:rsidR="00626704" w:rsidRPr="00156B09" w:rsidRDefault="00626704" w:rsidP="008D1D0D">
      <w:pPr>
        <w:pStyle w:val="ListParagraph"/>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Ramamoorthy, B., Narasimham, R. L., &amp; Dinesh, R. S. (1967). Fertilizer application for</w:t>
      </w:r>
      <w:r w:rsidR="00156B09">
        <w:rPr>
          <w:rFonts w:ascii="Times New Roman" w:eastAsiaTheme="minorEastAsia" w:hAnsi="Times New Roman" w:cs="Times New Roman"/>
          <w:color w:val="0D0D0D" w:themeColor="text1" w:themeTint="F2"/>
          <w:szCs w:val="24"/>
        </w:rPr>
        <w:t xml:space="preserve"> </w:t>
      </w:r>
      <w:r w:rsidRPr="00156B09">
        <w:rPr>
          <w:rFonts w:ascii="Times New Roman" w:eastAsiaTheme="minorEastAsia" w:hAnsi="Times New Roman" w:cs="Times New Roman"/>
          <w:color w:val="0D0D0D" w:themeColor="text1" w:themeTint="F2"/>
          <w:szCs w:val="24"/>
        </w:rPr>
        <w:t xml:space="preserve">specific yield targets on Sonora-64 (wheat). </w:t>
      </w:r>
      <w:r w:rsidRPr="00156B09">
        <w:rPr>
          <w:rFonts w:ascii="Times New Roman" w:eastAsiaTheme="minorEastAsia" w:hAnsi="Times New Roman" w:cs="Times New Roman"/>
          <w:i/>
          <w:iCs/>
          <w:color w:val="0D0D0D" w:themeColor="text1" w:themeTint="F2"/>
          <w:szCs w:val="24"/>
        </w:rPr>
        <w:t>Indian Farming, 17</w:t>
      </w:r>
      <w:r w:rsidRPr="00156B09">
        <w:rPr>
          <w:rFonts w:ascii="Times New Roman" w:eastAsiaTheme="minorEastAsia" w:hAnsi="Times New Roman" w:cs="Times New Roman"/>
          <w:color w:val="0D0D0D" w:themeColor="text1" w:themeTint="F2"/>
          <w:szCs w:val="24"/>
        </w:rPr>
        <w:t xml:space="preserve">(5): 43–45. </w:t>
      </w:r>
    </w:p>
    <w:p w14:paraId="1E509357" w14:textId="5AFAB9D8" w:rsidR="00626704" w:rsidRPr="00156B09" w:rsidRDefault="00626704" w:rsidP="008D1D0D">
      <w:pPr>
        <w:pStyle w:val="ListParagraph"/>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Regar, K. L., &amp; Singh, Y. V. (2014). Fertilizer recommendation based on soil testing for</w:t>
      </w:r>
      <w:r w:rsidR="004171AC" w:rsidRPr="00156B09">
        <w:rPr>
          <w:rFonts w:ascii="Times New Roman" w:eastAsiaTheme="minorEastAsia" w:hAnsi="Times New Roman" w:cs="Times New Roman"/>
          <w:color w:val="0D0D0D" w:themeColor="text1" w:themeTint="F2"/>
          <w:szCs w:val="24"/>
        </w:rPr>
        <w:t xml:space="preserve"> </w:t>
      </w:r>
      <w:r w:rsidRPr="00156B09">
        <w:rPr>
          <w:rFonts w:ascii="Times New Roman" w:eastAsiaTheme="minorEastAsia" w:hAnsi="Times New Roman" w:cs="Times New Roman"/>
          <w:color w:val="0D0D0D" w:themeColor="text1" w:themeTint="F2"/>
          <w:szCs w:val="24"/>
        </w:rPr>
        <w:t xml:space="preserve">target yield of rice in eastern plains zone of Uttar Pradesh. </w:t>
      </w:r>
      <w:r w:rsidRPr="00156B09">
        <w:rPr>
          <w:rFonts w:ascii="Times New Roman" w:eastAsiaTheme="minorEastAsia" w:hAnsi="Times New Roman" w:cs="Times New Roman"/>
          <w:i/>
          <w:iCs/>
          <w:color w:val="0D0D0D" w:themeColor="text1" w:themeTint="F2"/>
          <w:szCs w:val="24"/>
        </w:rPr>
        <w:t>The Bioscan, 9</w:t>
      </w:r>
      <w:r w:rsidRPr="00156B09">
        <w:rPr>
          <w:rFonts w:ascii="Times New Roman" w:eastAsiaTheme="minorEastAsia" w:hAnsi="Times New Roman" w:cs="Times New Roman"/>
          <w:color w:val="0D0D0D" w:themeColor="text1" w:themeTint="F2"/>
          <w:szCs w:val="24"/>
        </w:rPr>
        <w:t xml:space="preserve">(2), 531–534. </w:t>
      </w:r>
    </w:p>
    <w:p w14:paraId="60AD49CB" w14:textId="79A557FF" w:rsidR="005F7598" w:rsidRPr="001C1E3C" w:rsidRDefault="00626704" w:rsidP="008D1D0D">
      <w:pPr>
        <w:pStyle w:val="ListParagraph"/>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 xml:space="preserve">Sannappa, B., &amp; Manjunath, K. G. (2013). Fertility status of soils in the selected regions of the </w:t>
      </w:r>
      <w:r w:rsidR="00E75E64" w:rsidRPr="001C1E3C">
        <w:rPr>
          <w:rFonts w:ascii="Times New Roman" w:eastAsiaTheme="minorEastAsia" w:hAnsi="Times New Roman" w:cs="Times New Roman"/>
          <w:color w:val="0D0D0D" w:themeColor="text1" w:themeTint="F2"/>
          <w:szCs w:val="24"/>
        </w:rPr>
        <w:t>W</w:t>
      </w:r>
      <w:r w:rsidRPr="001C1E3C">
        <w:rPr>
          <w:rFonts w:ascii="Times New Roman" w:eastAsiaTheme="minorEastAsia" w:hAnsi="Times New Roman" w:cs="Times New Roman"/>
          <w:color w:val="0D0D0D" w:themeColor="text1" w:themeTint="F2"/>
          <w:szCs w:val="24"/>
        </w:rPr>
        <w:t xml:space="preserve">estern </w:t>
      </w:r>
      <w:r w:rsidR="00E75E64" w:rsidRPr="001C1E3C">
        <w:rPr>
          <w:rFonts w:ascii="Times New Roman" w:eastAsiaTheme="minorEastAsia" w:hAnsi="Times New Roman" w:cs="Times New Roman"/>
          <w:color w:val="0D0D0D" w:themeColor="text1" w:themeTint="F2"/>
          <w:szCs w:val="24"/>
        </w:rPr>
        <w:t>g</w:t>
      </w:r>
      <w:r w:rsidRPr="001C1E3C">
        <w:rPr>
          <w:rFonts w:ascii="Times New Roman" w:eastAsiaTheme="minorEastAsia" w:hAnsi="Times New Roman" w:cs="Times New Roman"/>
          <w:color w:val="0D0D0D" w:themeColor="text1" w:themeTint="F2"/>
          <w:szCs w:val="24"/>
        </w:rPr>
        <w:t xml:space="preserve">hats of Karnataka, India. </w:t>
      </w:r>
      <w:r w:rsidRPr="001C1E3C">
        <w:rPr>
          <w:rFonts w:ascii="Times New Roman" w:eastAsiaTheme="minorEastAsia" w:hAnsi="Times New Roman" w:cs="Times New Roman"/>
          <w:i/>
          <w:iCs/>
          <w:color w:val="0D0D0D" w:themeColor="text1" w:themeTint="F2"/>
          <w:szCs w:val="24"/>
        </w:rPr>
        <w:t>Scholar Academy Journal of Biosciences, 1</w:t>
      </w:r>
      <w:r w:rsidRPr="001C1E3C">
        <w:rPr>
          <w:rFonts w:ascii="Times New Roman" w:eastAsiaTheme="minorEastAsia" w:hAnsi="Times New Roman" w:cs="Times New Roman"/>
          <w:color w:val="0D0D0D" w:themeColor="text1" w:themeTint="F2"/>
          <w:szCs w:val="24"/>
        </w:rPr>
        <w:t>, 200–</w:t>
      </w:r>
      <w:r w:rsidR="00F9144B"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208.</w:t>
      </w:r>
    </w:p>
    <w:p w14:paraId="14313B76" w14:textId="29B96D36" w:rsidR="00626704" w:rsidRPr="001C1E3C" w:rsidRDefault="005F7598" w:rsidP="008D1D0D">
      <w:pPr>
        <w:pStyle w:val="ListParagraph"/>
        <w:numPr>
          <w:ilvl w:val="0"/>
          <w:numId w:val="1"/>
        </w:numPr>
        <w:spacing w:line="240" w:lineRule="auto"/>
        <w:ind w:right="6"/>
        <w:rPr>
          <w:rFonts w:ascii="Times New Roman" w:eastAsiaTheme="minorEastAsia" w:hAnsi="Times New Roman" w:cs="Times New Roman"/>
          <w:szCs w:val="24"/>
          <w:lang w:val="en-US" w:bidi="ar-SA"/>
        </w:rPr>
      </w:pPr>
      <w:r w:rsidRPr="001C1E3C">
        <w:rPr>
          <w:rFonts w:ascii="Times New Roman" w:eastAsiaTheme="minorEastAsia" w:hAnsi="Times New Roman" w:cs="Times New Roman"/>
          <w:szCs w:val="24"/>
          <w:lang w:val="en-US" w:bidi="ar-SA"/>
        </w:rPr>
        <w:t>Shah, Z. and Ahmad, M.A. (2006).</w:t>
      </w:r>
      <w:r w:rsidRPr="001C1E3C">
        <w:rPr>
          <w:rFonts w:ascii="Times New Roman" w:eastAsiaTheme="minorEastAsia" w:hAnsi="Times New Roman" w:cs="Times New Roman"/>
          <w:b/>
          <w:bCs/>
          <w:szCs w:val="24"/>
          <w:lang w:val="en-US" w:bidi="ar-SA"/>
        </w:rPr>
        <w:t xml:space="preserve"> </w:t>
      </w:r>
      <w:r w:rsidRPr="001C1E3C">
        <w:rPr>
          <w:rFonts w:ascii="Times New Roman" w:eastAsiaTheme="minorEastAsia" w:hAnsi="Times New Roman" w:cs="Times New Roman"/>
          <w:szCs w:val="24"/>
          <w:lang w:val="en-US" w:bidi="ar-SA"/>
        </w:rPr>
        <w:t xml:space="preserve">Effect of integrated use of farm yard manure and urea on yield and nitrogen uptake of wheat. </w:t>
      </w:r>
      <w:r w:rsidRPr="001C1E3C">
        <w:rPr>
          <w:rFonts w:ascii="Times New Roman" w:eastAsiaTheme="minorEastAsia" w:hAnsi="Times New Roman" w:cs="Times New Roman"/>
          <w:i/>
          <w:iCs/>
          <w:szCs w:val="24"/>
          <w:lang w:val="en-US" w:bidi="ar-SA"/>
        </w:rPr>
        <w:t>J. Agri. Bio. Sc.</w:t>
      </w:r>
      <w:r w:rsidRPr="001C1E3C">
        <w:rPr>
          <w:rFonts w:ascii="Times New Roman" w:eastAsiaTheme="minorEastAsia" w:hAnsi="Times New Roman" w:cs="Times New Roman"/>
          <w:szCs w:val="24"/>
          <w:lang w:val="en-US" w:bidi="ar-SA"/>
        </w:rPr>
        <w:t>1 (1).</w:t>
      </w:r>
    </w:p>
    <w:p w14:paraId="3FC2E2F4" w14:textId="35C10FC8" w:rsidR="00626704" w:rsidRPr="00156B09" w:rsidRDefault="00626704" w:rsidP="008D1D0D">
      <w:pPr>
        <w:pStyle w:val="ListParagraph"/>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 xml:space="preserve">Sellamuthu, K. M., Santhi, R., Maragatham, S., &amp; Dey, P. (2015). Validation of soil test and yield target-based fertilizer prescription model for wheat on Inceptisol. </w:t>
      </w:r>
      <w:r w:rsidRPr="001C1E3C">
        <w:rPr>
          <w:rFonts w:ascii="Times New Roman" w:eastAsiaTheme="minorEastAsia" w:hAnsi="Times New Roman" w:cs="Times New Roman"/>
          <w:i/>
          <w:iCs/>
          <w:color w:val="0D0D0D" w:themeColor="text1" w:themeTint="F2"/>
          <w:szCs w:val="24"/>
        </w:rPr>
        <w:t>Research on</w:t>
      </w:r>
      <w:r w:rsidR="00156B09">
        <w:rPr>
          <w:rFonts w:ascii="Times New Roman" w:eastAsiaTheme="minorEastAsia" w:hAnsi="Times New Roman" w:cs="Times New Roman"/>
          <w:i/>
          <w:iCs/>
          <w:color w:val="0D0D0D" w:themeColor="text1" w:themeTint="F2"/>
          <w:szCs w:val="24"/>
        </w:rPr>
        <w:t xml:space="preserve"> </w:t>
      </w:r>
      <w:r w:rsidRPr="00156B09">
        <w:rPr>
          <w:rFonts w:ascii="Times New Roman" w:eastAsiaTheme="minorEastAsia" w:hAnsi="Times New Roman" w:cs="Times New Roman"/>
          <w:i/>
          <w:iCs/>
          <w:color w:val="0D0D0D" w:themeColor="text1" w:themeTint="F2"/>
          <w:szCs w:val="24"/>
        </w:rPr>
        <w:t>Crops</w:t>
      </w:r>
      <w:r w:rsidRPr="00156B09">
        <w:rPr>
          <w:rFonts w:ascii="Times New Roman" w:eastAsiaTheme="minorEastAsia" w:hAnsi="Times New Roman" w:cs="Times New Roman"/>
          <w:color w:val="0D0D0D" w:themeColor="text1" w:themeTint="F2"/>
          <w:szCs w:val="24"/>
        </w:rPr>
        <w:t>,16(1):53-58.</w:t>
      </w:r>
    </w:p>
    <w:p w14:paraId="32897040" w14:textId="129A9E44" w:rsidR="00626704" w:rsidRPr="00156B09" w:rsidRDefault="00626704" w:rsidP="008D1D0D">
      <w:pPr>
        <w:pStyle w:val="ListParagraph"/>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Singh, D., &amp; Kaur, M. (2004). Effect of nitrogen and FYM management on grain yield</w:t>
      </w:r>
      <w:r w:rsidR="00156B09">
        <w:rPr>
          <w:rFonts w:ascii="Times New Roman" w:eastAsiaTheme="minorEastAsia" w:hAnsi="Times New Roman" w:cs="Times New Roman"/>
          <w:color w:val="0D0D0D" w:themeColor="text1" w:themeTint="F2"/>
          <w:szCs w:val="24"/>
        </w:rPr>
        <w:t xml:space="preserve"> </w:t>
      </w:r>
      <w:r w:rsidRPr="00156B09">
        <w:rPr>
          <w:rFonts w:ascii="Times New Roman" w:eastAsiaTheme="minorEastAsia" w:hAnsi="Times New Roman" w:cs="Times New Roman"/>
          <w:color w:val="0D0D0D" w:themeColor="text1" w:themeTint="F2"/>
          <w:szCs w:val="24"/>
        </w:rPr>
        <w:t>and some quality parameters of wheat (</w:t>
      </w:r>
      <w:r w:rsidRPr="00156B09">
        <w:rPr>
          <w:rFonts w:ascii="Times New Roman" w:eastAsiaTheme="minorEastAsia" w:hAnsi="Times New Roman" w:cs="Times New Roman"/>
          <w:i/>
          <w:iCs/>
          <w:color w:val="0D0D0D" w:themeColor="text1" w:themeTint="F2"/>
          <w:szCs w:val="24"/>
        </w:rPr>
        <w:t>Triticum aestivum</w:t>
      </w:r>
      <w:r w:rsidRPr="00156B09">
        <w:rPr>
          <w:rFonts w:ascii="Times New Roman" w:eastAsiaTheme="minorEastAsia" w:hAnsi="Times New Roman" w:cs="Times New Roman"/>
          <w:color w:val="0D0D0D" w:themeColor="text1" w:themeTint="F2"/>
          <w:szCs w:val="24"/>
        </w:rPr>
        <w:t xml:space="preserve"> L.). </w:t>
      </w:r>
      <w:r w:rsidRPr="00156B09">
        <w:rPr>
          <w:rFonts w:ascii="Times New Roman" w:eastAsiaTheme="minorEastAsia" w:hAnsi="Times New Roman" w:cs="Times New Roman"/>
          <w:i/>
          <w:iCs/>
          <w:color w:val="0D0D0D" w:themeColor="text1" w:themeTint="F2"/>
          <w:szCs w:val="24"/>
        </w:rPr>
        <w:t>Journal of Research, PAU,</w:t>
      </w:r>
      <w:r w:rsidR="00156B09">
        <w:rPr>
          <w:rFonts w:ascii="Times New Roman" w:eastAsiaTheme="minorEastAsia" w:hAnsi="Times New Roman" w:cs="Times New Roman"/>
          <w:i/>
          <w:iCs/>
          <w:color w:val="0D0D0D" w:themeColor="text1" w:themeTint="F2"/>
          <w:szCs w:val="24"/>
        </w:rPr>
        <w:t xml:space="preserve"> </w:t>
      </w:r>
      <w:r w:rsidRPr="00156B09">
        <w:rPr>
          <w:rFonts w:ascii="Times New Roman" w:eastAsiaTheme="minorEastAsia" w:hAnsi="Times New Roman" w:cs="Times New Roman"/>
          <w:i/>
          <w:iCs/>
          <w:color w:val="0D0D0D" w:themeColor="text1" w:themeTint="F2"/>
          <w:szCs w:val="24"/>
        </w:rPr>
        <w:t>41</w:t>
      </w:r>
      <w:r w:rsidRPr="00156B09">
        <w:rPr>
          <w:rFonts w:ascii="Times New Roman" w:eastAsiaTheme="minorEastAsia" w:hAnsi="Times New Roman" w:cs="Times New Roman"/>
          <w:color w:val="0D0D0D" w:themeColor="text1" w:themeTint="F2"/>
          <w:szCs w:val="24"/>
        </w:rPr>
        <w:t>(4): 439–441.</w:t>
      </w:r>
    </w:p>
    <w:p w14:paraId="663E412C" w14:textId="0265D11A" w:rsidR="00D422D6" w:rsidRPr="00156B09" w:rsidRDefault="00D422D6" w:rsidP="008D1D0D">
      <w:pPr>
        <w:pStyle w:val="ListParagraph"/>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Singh, M.&amp; Wanjari, R. H. (2012). Long-term effect of nutrient management on soil</w:t>
      </w:r>
      <w:r w:rsidR="00156B09">
        <w:rPr>
          <w:rFonts w:ascii="Times New Roman" w:eastAsiaTheme="minorEastAsia" w:hAnsi="Times New Roman" w:cs="Times New Roman"/>
          <w:color w:val="0D0D0D" w:themeColor="text1" w:themeTint="F2"/>
          <w:szCs w:val="24"/>
        </w:rPr>
        <w:t xml:space="preserve"> </w:t>
      </w:r>
      <w:r w:rsidRPr="00156B09">
        <w:rPr>
          <w:rFonts w:ascii="Times New Roman" w:eastAsiaTheme="minorEastAsia" w:hAnsi="Times New Roman" w:cs="Times New Roman"/>
          <w:color w:val="0D0D0D" w:themeColor="text1" w:themeTint="F2"/>
          <w:szCs w:val="24"/>
        </w:rPr>
        <w:t>quality and sustainable productivity under sorghum-wheat crop sequence in Vertisol of</w:t>
      </w:r>
      <w:r w:rsidR="00156B09">
        <w:rPr>
          <w:rFonts w:ascii="Times New Roman" w:eastAsiaTheme="minorEastAsia" w:hAnsi="Times New Roman" w:cs="Times New Roman"/>
          <w:color w:val="0D0D0D" w:themeColor="text1" w:themeTint="F2"/>
          <w:szCs w:val="24"/>
        </w:rPr>
        <w:t xml:space="preserve"> </w:t>
      </w:r>
      <w:r w:rsidRPr="00156B09">
        <w:rPr>
          <w:rFonts w:ascii="Times New Roman" w:eastAsiaTheme="minorEastAsia" w:hAnsi="Times New Roman" w:cs="Times New Roman"/>
          <w:color w:val="0D0D0D" w:themeColor="text1" w:themeTint="F2"/>
          <w:szCs w:val="24"/>
        </w:rPr>
        <w:t xml:space="preserve">Akola, Maharashtra. </w:t>
      </w:r>
      <w:r w:rsidRPr="00156B09">
        <w:rPr>
          <w:rFonts w:ascii="Times New Roman" w:eastAsiaTheme="minorEastAsia" w:hAnsi="Times New Roman" w:cs="Times New Roman"/>
          <w:i/>
          <w:iCs/>
          <w:color w:val="0D0D0D" w:themeColor="text1" w:themeTint="F2"/>
          <w:szCs w:val="24"/>
        </w:rPr>
        <w:t>Agropedology</w:t>
      </w:r>
      <w:r w:rsidRPr="00156B09">
        <w:rPr>
          <w:rFonts w:ascii="Times New Roman" w:eastAsiaTheme="minorEastAsia" w:hAnsi="Times New Roman" w:cs="Times New Roman"/>
          <w:color w:val="0D0D0D" w:themeColor="text1" w:themeTint="F2"/>
          <w:szCs w:val="24"/>
        </w:rPr>
        <w:t>, 22(2):103-114.</w:t>
      </w:r>
    </w:p>
    <w:p w14:paraId="5DA41746" w14:textId="5DA8028E" w:rsidR="00626704" w:rsidRPr="001C1E3C" w:rsidRDefault="00626704" w:rsidP="008D1D0D">
      <w:pPr>
        <w:pStyle w:val="ListParagraph"/>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Singh, S. P. (2017). Productivity, quality and uptake of nutrients in Wheat as influenced by</w:t>
      </w:r>
      <w:r w:rsidR="00465E53" w:rsidRPr="001C1E3C">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 xml:space="preserve">integrated nutrient management. </w:t>
      </w:r>
      <w:r w:rsidRPr="001C1E3C">
        <w:rPr>
          <w:rFonts w:ascii="Times New Roman" w:eastAsiaTheme="minorEastAsia" w:hAnsi="Times New Roman" w:cs="Times New Roman"/>
          <w:i/>
          <w:iCs/>
          <w:color w:val="0D0D0D" w:themeColor="text1" w:themeTint="F2"/>
          <w:szCs w:val="24"/>
        </w:rPr>
        <w:t>Annals of Plant and Soil Research</w:t>
      </w:r>
      <w:r w:rsidRPr="001C1E3C">
        <w:rPr>
          <w:rFonts w:ascii="Times New Roman" w:eastAsiaTheme="minorEastAsia" w:hAnsi="Times New Roman" w:cs="Times New Roman"/>
          <w:color w:val="0D0D0D" w:themeColor="text1" w:themeTint="F2"/>
          <w:szCs w:val="24"/>
        </w:rPr>
        <w:t>.19(1):12-16.</w:t>
      </w:r>
    </w:p>
    <w:p w14:paraId="7B1DB1F7" w14:textId="0692FB88" w:rsidR="00626704" w:rsidRPr="00156B09" w:rsidRDefault="00626704" w:rsidP="008D1D0D">
      <w:pPr>
        <w:pStyle w:val="ListParagraph"/>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Singh, Y.V., Singh, S.K., Sharma. P. K., &amp; Singh, P. (2014). Soil Test based Integrated</w:t>
      </w:r>
      <w:r w:rsidR="00156B09">
        <w:rPr>
          <w:rFonts w:ascii="Times New Roman" w:eastAsiaTheme="minorEastAsia" w:hAnsi="Times New Roman" w:cs="Times New Roman"/>
          <w:color w:val="0D0D0D" w:themeColor="text1" w:themeTint="F2"/>
          <w:szCs w:val="24"/>
        </w:rPr>
        <w:t xml:space="preserve"> </w:t>
      </w:r>
      <w:r w:rsidRPr="00156B09">
        <w:rPr>
          <w:rFonts w:ascii="Times New Roman" w:eastAsiaTheme="minorEastAsia" w:hAnsi="Times New Roman" w:cs="Times New Roman"/>
          <w:color w:val="0D0D0D" w:themeColor="text1" w:themeTint="F2"/>
          <w:szCs w:val="24"/>
        </w:rPr>
        <w:t>Fertilizer Recommendation for Wheat (</w:t>
      </w:r>
      <w:r w:rsidRPr="00156B09">
        <w:rPr>
          <w:rFonts w:ascii="Times New Roman" w:eastAsiaTheme="minorEastAsia" w:hAnsi="Times New Roman" w:cs="Times New Roman"/>
          <w:i/>
          <w:iCs/>
          <w:color w:val="0D0D0D" w:themeColor="text1" w:themeTint="F2"/>
          <w:szCs w:val="24"/>
        </w:rPr>
        <w:t>Triticum aestivum</w:t>
      </w:r>
      <w:r w:rsidRPr="00156B09">
        <w:rPr>
          <w:rFonts w:ascii="Times New Roman" w:eastAsiaTheme="minorEastAsia" w:hAnsi="Times New Roman" w:cs="Times New Roman"/>
          <w:color w:val="0D0D0D" w:themeColor="text1" w:themeTint="F2"/>
          <w:szCs w:val="24"/>
        </w:rPr>
        <w:t xml:space="preserve"> L.) in an Inceptisol of Eastern</w:t>
      </w:r>
      <w:r w:rsidR="00156B09">
        <w:rPr>
          <w:rFonts w:ascii="Times New Roman" w:eastAsiaTheme="minorEastAsia" w:hAnsi="Times New Roman" w:cs="Times New Roman"/>
          <w:color w:val="0D0D0D" w:themeColor="text1" w:themeTint="F2"/>
          <w:szCs w:val="24"/>
        </w:rPr>
        <w:t xml:space="preserve"> </w:t>
      </w:r>
      <w:r w:rsidRPr="00156B09">
        <w:rPr>
          <w:rFonts w:ascii="Times New Roman" w:eastAsiaTheme="minorEastAsia" w:hAnsi="Times New Roman" w:cs="Times New Roman"/>
          <w:color w:val="0D0D0D" w:themeColor="text1" w:themeTint="F2"/>
          <w:szCs w:val="24"/>
        </w:rPr>
        <w:t>Plain zone of Uttar Pradesh.</w:t>
      </w:r>
      <w:r w:rsidRPr="00156B09">
        <w:rPr>
          <w:rFonts w:ascii="Times New Roman" w:eastAsiaTheme="minorEastAsia" w:hAnsi="Times New Roman" w:cs="Times New Roman"/>
          <w:i/>
          <w:iCs/>
          <w:color w:val="0D0D0D" w:themeColor="text1" w:themeTint="F2"/>
          <w:szCs w:val="24"/>
        </w:rPr>
        <w:t xml:space="preserve"> Journal of the Indian Society of Soil Science, </w:t>
      </w:r>
      <w:r w:rsidRPr="00156B09">
        <w:rPr>
          <w:rFonts w:ascii="Times New Roman" w:eastAsiaTheme="minorEastAsia" w:hAnsi="Times New Roman" w:cs="Times New Roman"/>
          <w:color w:val="0D0D0D" w:themeColor="text1" w:themeTint="F2"/>
          <w:szCs w:val="24"/>
        </w:rPr>
        <w:t>62(3):255-258.</w:t>
      </w:r>
    </w:p>
    <w:p w14:paraId="598FD56E" w14:textId="7DFBD405" w:rsidR="00156B09" w:rsidRPr="00156B09" w:rsidRDefault="00626704" w:rsidP="008D1D0D">
      <w:pPr>
        <w:pStyle w:val="ListParagraph"/>
        <w:numPr>
          <w:ilvl w:val="0"/>
          <w:numId w:val="1"/>
        </w:numPr>
        <w:spacing w:line="240" w:lineRule="auto"/>
        <w:jc w:val="both"/>
        <w:rPr>
          <w:rFonts w:ascii="Times New Roman" w:eastAsiaTheme="minorEastAsia" w:hAnsi="Times New Roman" w:cs="Times New Roman"/>
          <w:color w:val="0D0D0D" w:themeColor="text1" w:themeTint="F2"/>
          <w:szCs w:val="24"/>
        </w:rPr>
      </w:pPr>
      <w:r w:rsidRPr="00156B09">
        <w:rPr>
          <w:rFonts w:ascii="Times New Roman" w:eastAsiaTheme="minorEastAsia" w:hAnsi="Times New Roman" w:cs="Times New Roman"/>
          <w:color w:val="0D0D0D" w:themeColor="text1" w:themeTint="F2"/>
          <w:szCs w:val="24"/>
        </w:rPr>
        <w:t xml:space="preserve">Tiwari, L.B., Mishra, D.D., &amp; Gupta, B. R. (2001). Evaluation of integrated </w:t>
      </w:r>
      <w:r w:rsidR="00156B09" w:rsidRPr="00156B09">
        <w:rPr>
          <w:rFonts w:ascii="Times New Roman" w:eastAsiaTheme="minorEastAsia" w:hAnsi="Times New Roman" w:cs="Times New Roman"/>
          <w:color w:val="0D0D0D" w:themeColor="text1" w:themeTint="F2"/>
          <w:szCs w:val="24"/>
        </w:rPr>
        <w:t xml:space="preserve">nutrient </w:t>
      </w:r>
    </w:p>
    <w:p w14:paraId="3D415342" w14:textId="2A29CCEF" w:rsidR="00626704" w:rsidRPr="001C1E3C" w:rsidRDefault="00626704" w:rsidP="008D1D0D">
      <w:pPr>
        <w:pStyle w:val="ListParagraph"/>
        <w:spacing w:line="240" w:lineRule="auto"/>
        <w:ind w:left="630"/>
        <w:jc w:val="both"/>
        <w:rPr>
          <w:rFonts w:ascii="Times New Roman" w:eastAsiaTheme="minorEastAsia" w:hAnsi="Times New Roman" w:cs="Times New Roman"/>
          <w:color w:val="0D0D0D" w:themeColor="text1" w:themeTint="F2"/>
          <w:szCs w:val="24"/>
        </w:rPr>
      </w:pPr>
      <w:r w:rsidRPr="00156B09">
        <w:rPr>
          <w:rFonts w:ascii="Times New Roman" w:eastAsiaTheme="minorEastAsia" w:hAnsi="Times New Roman" w:cs="Times New Roman"/>
          <w:color w:val="0D0D0D" w:themeColor="text1" w:themeTint="F2"/>
          <w:szCs w:val="24"/>
        </w:rPr>
        <w:t>management options in rice (</w:t>
      </w:r>
      <w:r w:rsidRPr="00156B09">
        <w:rPr>
          <w:rFonts w:ascii="Times New Roman" w:eastAsiaTheme="minorEastAsia" w:hAnsi="Times New Roman" w:cs="Times New Roman"/>
          <w:i/>
          <w:iCs/>
          <w:color w:val="0D0D0D" w:themeColor="text1" w:themeTint="F2"/>
          <w:szCs w:val="24"/>
        </w:rPr>
        <w:t>Oryza sativa</w:t>
      </w:r>
      <w:r w:rsidRPr="00156B09">
        <w:rPr>
          <w:rFonts w:ascii="Times New Roman" w:eastAsiaTheme="minorEastAsia" w:hAnsi="Times New Roman" w:cs="Times New Roman"/>
          <w:color w:val="0D0D0D" w:themeColor="text1" w:themeTint="F2"/>
          <w:szCs w:val="24"/>
        </w:rPr>
        <w:t xml:space="preserve"> L.) Wheat (</w:t>
      </w:r>
      <w:r w:rsidRPr="00156B09">
        <w:rPr>
          <w:rFonts w:ascii="Times New Roman" w:eastAsiaTheme="minorEastAsia" w:hAnsi="Times New Roman" w:cs="Times New Roman"/>
          <w:i/>
          <w:iCs/>
          <w:color w:val="0D0D0D" w:themeColor="text1" w:themeTint="F2"/>
          <w:szCs w:val="24"/>
        </w:rPr>
        <w:t>Triticum aestivum</w:t>
      </w:r>
      <w:r w:rsidRPr="00156B09">
        <w:rPr>
          <w:rFonts w:ascii="Times New Roman" w:eastAsiaTheme="minorEastAsia" w:hAnsi="Times New Roman" w:cs="Times New Roman"/>
          <w:color w:val="0D0D0D" w:themeColor="text1" w:themeTint="F2"/>
          <w:szCs w:val="24"/>
        </w:rPr>
        <w:t xml:space="preserve"> L.) cropping</w:t>
      </w:r>
      <w:r w:rsidR="00156B09">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color w:val="0D0D0D" w:themeColor="text1" w:themeTint="F2"/>
          <w:szCs w:val="24"/>
        </w:rPr>
        <w:t>system in reclaimed sodic land</w:t>
      </w:r>
      <w:r w:rsidRPr="001C1E3C">
        <w:rPr>
          <w:rFonts w:ascii="Times New Roman" w:eastAsiaTheme="minorEastAsia" w:hAnsi="Times New Roman" w:cs="Times New Roman"/>
          <w:i/>
          <w:iCs/>
          <w:color w:val="0D0D0D" w:themeColor="text1" w:themeTint="F2"/>
          <w:szCs w:val="24"/>
        </w:rPr>
        <w:t>. Indian Journal of Agronomy</w:t>
      </w:r>
      <w:r w:rsidRPr="001C1E3C">
        <w:rPr>
          <w:rFonts w:ascii="Times New Roman" w:eastAsiaTheme="minorEastAsia" w:hAnsi="Times New Roman" w:cs="Times New Roman"/>
          <w:color w:val="0D0D0D" w:themeColor="text1" w:themeTint="F2"/>
          <w:szCs w:val="24"/>
        </w:rPr>
        <w:t>,58(2),137-145.</w:t>
      </w:r>
    </w:p>
    <w:p w14:paraId="28260570" w14:textId="77777777" w:rsidR="00626704" w:rsidRPr="001C1E3C" w:rsidRDefault="00626704" w:rsidP="008D1D0D">
      <w:pPr>
        <w:spacing w:line="240" w:lineRule="auto"/>
        <w:rPr>
          <w:rFonts w:ascii="Times New Roman" w:hAnsi="Times New Roman" w:cs="Times New Roman"/>
          <w:szCs w:val="24"/>
        </w:rPr>
      </w:pPr>
    </w:p>
    <w:sectPr w:rsidR="00626704" w:rsidRPr="001C1E3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35561"/>
    <w:multiLevelType w:val="multilevel"/>
    <w:tmpl w:val="5456D676"/>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237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04"/>
    <w:rsid w:val="00032F2E"/>
    <w:rsid w:val="0006143B"/>
    <w:rsid w:val="00077ADD"/>
    <w:rsid w:val="00093353"/>
    <w:rsid w:val="000957C5"/>
    <w:rsid w:val="00122D16"/>
    <w:rsid w:val="00156B09"/>
    <w:rsid w:val="001845A3"/>
    <w:rsid w:val="00186D02"/>
    <w:rsid w:val="001A302C"/>
    <w:rsid w:val="001C1E3C"/>
    <w:rsid w:val="001D24AF"/>
    <w:rsid w:val="002077E2"/>
    <w:rsid w:val="00211F36"/>
    <w:rsid w:val="002423CB"/>
    <w:rsid w:val="00281274"/>
    <w:rsid w:val="002B1550"/>
    <w:rsid w:val="002E347A"/>
    <w:rsid w:val="003C7276"/>
    <w:rsid w:val="00406403"/>
    <w:rsid w:val="00406656"/>
    <w:rsid w:val="004171AC"/>
    <w:rsid w:val="00465E53"/>
    <w:rsid w:val="004B0C63"/>
    <w:rsid w:val="004D442D"/>
    <w:rsid w:val="00512389"/>
    <w:rsid w:val="00531B37"/>
    <w:rsid w:val="0058725B"/>
    <w:rsid w:val="005B44D1"/>
    <w:rsid w:val="005D3568"/>
    <w:rsid w:val="005F7598"/>
    <w:rsid w:val="00626704"/>
    <w:rsid w:val="0065544F"/>
    <w:rsid w:val="00710FE8"/>
    <w:rsid w:val="007A3B68"/>
    <w:rsid w:val="007C7BE0"/>
    <w:rsid w:val="007E04B3"/>
    <w:rsid w:val="00806BB5"/>
    <w:rsid w:val="00816955"/>
    <w:rsid w:val="00825897"/>
    <w:rsid w:val="00845C3C"/>
    <w:rsid w:val="00875DD0"/>
    <w:rsid w:val="008939C1"/>
    <w:rsid w:val="008B16D1"/>
    <w:rsid w:val="008C4D28"/>
    <w:rsid w:val="008C56D2"/>
    <w:rsid w:val="008D1D0D"/>
    <w:rsid w:val="008D2D6B"/>
    <w:rsid w:val="008E78B8"/>
    <w:rsid w:val="00933BC2"/>
    <w:rsid w:val="00967EAC"/>
    <w:rsid w:val="009F4DA0"/>
    <w:rsid w:val="00A22564"/>
    <w:rsid w:val="00A9440B"/>
    <w:rsid w:val="00B16C7B"/>
    <w:rsid w:val="00B17435"/>
    <w:rsid w:val="00B468FB"/>
    <w:rsid w:val="00C26A0A"/>
    <w:rsid w:val="00C27720"/>
    <w:rsid w:val="00C50834"/>
    <w:rsid w:val="00C53614"/>
    <w:rsid w:val="00CB4828"/>
    <w:rsid w:val="00CB4A10"/>
    <w:rsid w:val="00D04820"/>
    <w:rsid w:val="00D422D6"/>
    <w:rsid w:val="00D77A4E"/>
    <w:rsid w:val="00D95F14"/>
    <w:rsid w:val="00DC0AAE"/>
    <w:rsid w:val="00DC61F1"/>
    <w:rsid w:val="00DD68E8"/>
    <w:rsid w:val="00DE1C85"/>
    <w:rsid w:val="00DF5F49"/>
    <w:rsid w:val="00E204BC"/>
    <w:rsid w:val="00E52780"/>
    <w:rsid w:val="00E75E64"/>
    <w:rsid w:val="00EC4EFC"/>
    <w:rsid w:val="00F9144B"/>
    <w:rsid w:val="00FB2279"/>
    <w:rsid w:val="00FE184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A909"/>
  <w15:chartTrackingRefBased/>
  <w15:docId w15:val="{2CAEB2F6-3B1B-44CE-A766-2378C8D7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704"/>
  </w:style>
  <w:style w:type="paragraph" w:styleId="Heading1">
    <w:name w:val="heading 1"/>
    <w:basedOn w:val="Normal"/>
    <w:next w:val="Normal"/>
    <w:link w:val="Heading1Char"/>
    <w:uiPriority w:val="9"/>
    <w:qFormat/>
    <w:rsid w:val="0062670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2670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2670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267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7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70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2670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26704"/>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267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7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704"/>
    <w:rPr>
      <w:rFonts w:eastAsiaTheme="majorEastAsia" w:cstheme="majorBidi"/>
      <w:color w:val="272727" w:themeColor="text1" w:themeTint="D8"/>
    </w:rPr>
  </w:style>
  <w:style w:type="paragraph" w:styleId="Title">
    <w:name w:val="Title"/>
    <w:basedOn w:val="Normal"/>
    <w:next w:val="Normal"/>
    <w:link w:val="TitleChar"/>
    <w:uiPriority w:val="10"/>
    <w:qFormat/>
    <w:rsid w:val="0062670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2670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2670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2670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26704"/>
    <w:pPr>
      <w:spacing w:before="160"/>
      <w:jc w:val="center"/>
    </w:pPr>
    <w:rPr>
      <w:i/>
      <w:iCs/>
      <w:color w:val="404040" w:themeColor="text1" w:themeTint="BF"/>
    </w:rPr>
  </w:style>
  <w:style w:type="character" w:customStyle="1" w:styleId="QuoteChar">
    <w:name w:val="Quote Char"/>
    <w:basedOn w:val="DefaultParagraphFont"/>
    <w:link w:val="Quote"/>
    <w:uiPriority w:val="29"/>
    <w:rsid w:val="00626704"/>
    <w:rPr>
      <w:i/>
      <w:iCs/>
      <w:color w:val="404040" w:themeColor="text1" w:themeTint="BF"/>
    </w:rPr>
  </w:style>
  <w:style w:type="paragraph" w:styleId="ListParagraph">
    <w:name w:val="List Paragraph"/>
    <w:basedOn w:val="Normal"/>
    <w:uiPriority w:val="34"/>
    <w:qFormat/>
    <w:rsid w:val="00626704"/>
    <w:pPr>
      <w:ind w:left="720"/>
      <w:contextualSpacing/>
    </w:pPr>
  </w:style>
  <w:style w:type="character" w:styleId="IntenseEmphasis">
    <w:name w:val="Intense Emphasis"/>
    <w:basedOn w:val="DefaultParagraphFont"/>
    <w:uiPriority w:val="21"/>
    <w:qFormat/>
    <w:rsid w:val="00626704"/>
    <w:rPr>
      <w:i/>
      <w:iCs/>
      <w:color w:val="2F5496" w:themeColor="accent1" w:themeShade="BF"/>
    </w:rPr>
  </w:style>
  <w:style w:type="paragraph" w:styleId="IntenseQuote">
    <w:name w:val="Intense Quote"/>
    <w:basedOn w:val="Normal"/>
    <w:next w:val="Normal"/>
    <w:link w:val="IntenseQuoteChar"/>
    <w:uiPriority w:val="30"/>
    <w:qFormat/>
    <w:rsid w:val="006267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704"/>
    <w:rPr>
      <w:i/>
      <w:iCs/>
      <w:color w:val="2F5496" w:themeColor="accent1" w:themeShade="BF"/>
    </w:rPr>
  </w:style>
  <w:style w:type="character" w:styleId="IntenseReference">
    <w:name w:val="Intense Reference"/>
    <w:basedOn w:val="DefaultParagraphFont"/>
    <w:uiPriority w:val="32"/>
    <w:qFormat/>
    <w:rsid w:val="00626704"/>
    <w:rPr>
      <w:b/>
      <w:bCs/>
      <w:smallCaps/>
      <w:color w:val="2F5496" w:themeColor="accent1" w:themeShade="BF"/>
      <w:spacing w:val="5"/>
    </w:rPr>
  </w:style>
  <w:style w:type="table" w:styleId="TableGrid">
    <w:name w:val="Table Grid"/>
    <w:basedOn w:val="TableNormal"/>
    <w:uiPriority w:val="39"/>
    <w:rsid w:val="0062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6704"/>
    <w:pPr>
      <w:spacing w:after="0" w:line="240" w:lineRule="auto"/>
    </w:pPr>
    <w:rPr>
      <w:kern w:val="0"/>
      <w:sz w:val="22"/>
      <w:szCs w:val="22"/>
      <w:lang w:val="en-GB" w:bidi="ar-SA"/>
      <w14:ligatures w14:val="none"/>
    </w:rPr>
  </w:style>
  <w:style w:type="character" w:styleId="Strong">
    <w:name w:val="Strong"/>
    <w:uiPriority w:val="22"/>
    <w:qFormat/>
    <w:rsid w:val="00626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RIJESH%20KUMAR\Desktop\brajes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RIJESH%20KUMAR\Desktop\brajes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RIJESH%20KUMAR\Desktop\brajes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RIJESH%20KUMAR\Desktop\brajes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Sheet2!$C$171</c:f>
              <c:strCache>
                <c:ptCount val="1"/>
                <c:pt idx="0">
                  <c:v>1st year</c:v>
                </c:pt>
              </c:strCache>
            </c:strRef>
          </c:tx>
          <c:spPr>
            <a:solidFill>
              <a:schemeClr val="accent1"/>
            </a:solidFill>
            <a:ln>
              <a:noFill/>
            </a:ln>
            <a:effectLst/>
          </c:spPr>
          <c:invertIfNegative val="0"/>
          <c:cat>
            <c:strRef>
              <c:f>Sheet2!$B$172:$B$180</c:f>
              <c:strCache>
                <c:ptCount val="9"/>
                <c:pt idx="0">
                  <c:v>T1</c:v>
                </c:pt>
                <c:pt idx="1">
                  <c:v>T2</c:v>
                </c:pt>
                <c:pt idx="2">
                  <c:v>T3</c:v>
                </c:pt>
                <c:pt idx="3">
                  <c:v>T4</c:v>
                </c:pt>
                <c:pt idx="4">
                  <c:v>T5</c:v>
                </c:pt>
                <c:pt idx="5">
                  <c:v>T6</c:v>
                </c:pt>
                <c:pt idx="6">
                  <c:v>T7</c:v>
                </c:pt>
                <c:pt idx="7">
                  <c:v>T8</c:v>
                </c:pt>
                <c:pt idx="8">
                  <c:v>T9</c:v>
                </c:pt>
              </c:strCache>
            </c:strRef>
          </c:cat>
          <c:val>
            <c:numRef>
              <c:f>Sheet2!$C$172:$C$180</c:f>
              <c:numCache>
                <c:formatCode>General</c:formatCode>
                <c:ptCount val="9"/>
                <c:pt idx="0">
                  <c:v>1.31</c:v>
                </c:pt>
                <c:pt idx="1">
                  <c:v>1.31</c:v>
                </c:pt>
                <c:pt idx="2">
                  <c:v>1.27</c:v>
                </c:pt>
                <c:pt idx="3">
                  <c:v>1.22</c:v>
                </c:pt>
                <c:pt idx="4">
                  <c:v>1.1200000000000001</c:v>
                </c:pt>
                <c:pt idx="5">
                  <c:v>1.31</c:v>
                </c:pt>
                <c:pt idx="6">
                  <c:v>1.32</c:v>
                </c:pt>
                <c:pt idx="7">
                  <c:v>1.25</c:v>
                </c:pt>
                <c:pt idx="8">
                  <c:v>1.1100000000000001</c:v>
                </c:pt>
              </c:numCache>
            </c:numRef>
          </c:val>
          <c:extLst>
            <c:ext xmlns:c16="http://schemas.microsoft.com/office/drawing/2014/chart" uri="{C3380CC4-5D6E-409C-BE32-E72D297353CC}">
              <c16:uniqueId val="{00000000-7332-4EF6-B22E-748413E68936}"/>
            </c:ext>
          </c:extLst>
        </c:ser>
        <c:ser>
          <c:idx val="1"/>
          <c:order val="1"/>
          <c:tx>
            <c:strRef>
              <c:f>Sheet2!$D$171</c:f>
              <c:strCache>
                <c:ptCount val="1"/>
                <c:pt idx="0">
                  <c:v>2nd year</c:v>
                </c:pt>
              </c:strCache>
            </c:strRef>
          </c:tx>
          <c:spPr>
            <a:solidFill>
              <a:schemeClr val="accent2"/>
            </a:solidFill>
            <a:ln>
              <a:noFill/>
            </a:ln>
            <a:effectLst/>
          </c:spPr>
          <c:invertIfNegative val="0"/>
          <c:cat>
            <c:strRef>
              <c:f>Sheet2!$B$172:$B$180</c:f>
              <c:strCache>
                <c:ptCount val="9"/>
                <c:pt idx="0">
                  <c:v>T1</c:v>
                </c:pt>
                <c:pt idx="1">
                  <c:v>T2</c:v>
                </c:pt>
                <c:pt idx="2">
                  <c:v>T3</c:v>
                </c:pt>
                <c:pt idx="3">
                  <c:v>T4</c:v>
                </c:pt>
                <c:pt idx="4">
                  <c:v>T5</c:v>
                </c:pt>
                <c:pt idx="5">
                  <c:v>T6</c:v>
                </c:pt>
                <c:pt idx="6">
                  <c:v>T7</c:v>
                </c:pt>
                <c:pt idx="7">
                  <c:v>T8</c:v>
                </c:pt>
                <c:pt idx="8">
                  <c:v>T9</c:v>
                </c:pt>
              </c:strCache>
            </c:strRef>
          </c:cat>
          <c:val>
            <c:numRef>
              <c:f>Sheet2!$D$172:$D$180</c:f>
              <c:numCache>
                <c:formatCode>General</c:formatCode>
                <c:ptCount val="9"/>
                <c:pt idx="0">
                  <c:v>1.32</c:v>
                </c:pt>
                <c:pt idx="1">
                  <c:v>1.34</c:v>
                </c:pt>
                <c:pt idx="2">
                  <c:v>1.29</c:v>
                </c:pt>
                <c:pt idx="3">
                  <c:v>1.27</c:v>
                </c:pt>
                <c:pt idx="4">
                  <c:v>1.18</c:v>
                </c:pt>
                <c:pt idx="5">
                  <c:v>1.32</c:v>
                </c:pt>
                <c:pt idx="6">
                  <c:v>1.27</c:v>
                </c:pt>
                <c:pt idx="7">
                  <c:v>1.2</c:v>
                </c:pt>
                <c:pt idx="8">
                  <c:v>1.1200000000000001</c:v>
                </c:pt>
              </c:numCache>
            </c:numRef>
          </c:val>
          <c:extLst>
            <c:ext xmlns:c16="http://schemas.microsoft.com/office/drawing/2014/chart" uri="{C3380CC4-5D6E-409C-BE32-E72D297353CC}">
              <c16:uniqueId val="{00000001-7332-4EF6-B22E-748413E68936}"/>
            </c:ext>
          </c:extLst>
        </c:ser>
        <c:ser>
          <c:idx val="2"/>
          <c:order val="2"/>
          <c:tx>
            <c:strRef>
              <c:f>Sheet2!$E$171</c:f>
              <c:strCache>
                <c:ptCount val="1"/>
                <c:pt idx="0">
                  <c:v>Pooled</c:v>
                </c:pt>
              </c:strCache>
            </c:strRef>
          </c:tx>
          <c:spPr>
            <a:solidFill>
              <a:schemeClr val="accent3"/>
            </a:solidFill>
            <a:ln>
              <a:noFill/>
            </a:ln>
            <a:effectLst/>
          </c:spPr>
          <c:invertIfNegative val="0"/>
          <c:cat>
            <c:strRef>
              <c:f>Sheet2!$B$172:$B$180</c:f>
              <c:strCache>
                <c:ptCount val="9"/>
                <c:pt idx="0">
                  <c:v>T1</c:v>
                </c:pt>
                <c:pt idx="1">
                  <c:v>T2</c:v>
                </c:pt>
                <c:pt idx="2">
                  <c:v>T3</c:v>
                </c:pt>
                <c:pt idx="3">
                  <c:v>T4</c:v>
                </c:pt>
                <c:pt idx="4">
                  <c:v>T5</c:v>
                </c:pt>
                <c:pt idx="5">
                  <c:v>T6</c:v>
                </c:pt>
                <c:pt idx="6">
                  <c:v>T7</c:v>
                </c:pt>
                <c:pt idx="7">
                  <c:v>T8</c:v>
                </c:pt>
                <c:pt idx="8">
                  <c:v>T9</c:v>
                </c:pt>
              </c:strCache>
            </c:strRef>
          </c:cat>
          <c:val>
            <c:numRef>
              <c:f>Sheet2!$E$172:$E$180</c:f>
              <c:numCache>
                <c:formatCode>General</c:formatCode>
                <c:ptCount val="9"/>
                <c:pt idx="0">
                  <c:v>1.31</c:v>
                </c:pt>
                <c:pt idx="1">
                  <c:v>1.32</c:v>
                </c:pt>
                <c:pt idx="2">
                  <c:v>1.26</c:v>
                </c:pt>
                <c:pt idx="3">
                  <c:v>1.24</c:v>
                </c:pt>
                <c:pt idx="4">
                  <c:v>1.1499999999999999</c:v>
                </c:pt>
                <c:pt idx="5">
                  <c:v>1.31</c:v>
                </c:pt>
                <c:pt idx="6">
                  <c:v>1.29</c:v>
                </c:pt>
                <c:pt idx="7">
                  <c:v>1.22</c:v>
                </c:pt>
                <c:pt idx="8">
                  <c:v>1.1100000000000001</c:v>
                </c:pt>
              </c:numCache>
            </c:numRef>
          </c:val>
          <c:extLst>
            <c:ext xmlns:c16="http://schemas.microsoft.com/office/drawing/2014/chart" uri="{C3380CC4-5D6E-409C-BE32-E72D297353CC}">
              <c16:uniqueId val="{00000002-7332-4EF6-B22E-748413E68936}"/>
            </c:ext>
          </c:extLst>
        </c:ser>
        <c:dLbls>
          <c:showLegendKey val="0"/>
          <c:showVal val="0"/>
          <c:showCatName val="0"/>
          <c:showSerName val="0"/>
          <c:showPercent val="0"/>
          <c:showBubbleSize val="0"/>
        </c:dLbls>
        <c:gapWidth val="300"/>
        <c:axId val="-1655964464"/>
        <c:axId val="-1655974256"/>
      </c:barChart>
      <c:catAx>
        <c:axId val="-1655964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Treatments</a:t>
                </a:r>
                <a:r>
                  <a:rPr lang="en-IN" sz="1000" b="0" i="0" u="none" strike="noStrike" baseline="0"/>
                  <a:t> </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5974256"/>
        <c:crosses val="autoZero"/>
        <c:auto val="1"/>
        <c:lblAlgn val="ctr"/>
        <c:lblOffset val="100"/>
        <c:noMultiLvlLbl val="0"/>
      </c:catAx>
      <c:valAx>
        <c:axId val="-16559742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Bulk density (Mgm</a:t>
                </a:r>
                <a:r>
                  <a:rPr lang="en-IN" sz="1000" b="0" i="0" u="none" strike="noStrike" baseline="30000">
                    <a:effectLst/>
                  </a:rPr>
                  <a:t>-3</a:t>
                </a:r>
                <a:r>
                  <a:rPr lang="en-IN" sz="1000" b="0" i="0" u="none" strike="noStrike" baseline="0">
                    <a:effectLst/>
                  </a:rPr>
                  <a:t>)</a:t>
                </a:r>
                <a:endParaRPr lang="en-IN"/>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59644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Sheet2!$C$81</c:f>
              <c:strCache>
                <c:ptCount val="1"/>
                <c:pt idx="0">
                  <c:v>1st year</c:v>
                </c:pt>
              </c:strCache>
            </c:strRef>
          </c:tx>
          <c:spPr>
            <a:solidFill>
              <a:schemeClr val="accent1"/>
            </a:solidFill>
            <a:ln>
              <a:noFill/>
            </a:ln>
            <a:effectLst/>
          </c:spPr>
          <c:invertIfNegative val="0"/>
          <c:cat>
            <c:strRef>
              <c:f>Sheet2!$B$82:$B$90</c:f>
              <c:strCache>
                <c:ptCount val="9"/>
                <c:pt idx="0">
                  <c:v>T1</c:v>
                </c:pt>
                <c:pt idx="1">
                  <c:v>T2</c:v>
                </c:pt>
                <c:pt idx="2">
                  <c:v>T3</c:v>
                </c:pt>
                <c:pt idx="3">
                  <c:v>T4</c:v>
                </c:pt>
                <c:pt idx="4">
                  <c:v>T5</c:v>
                </c:pt>
                <c:pt idx="5">
                  <c:v>T6</c:v>
                </c:pt>
                <c:pt idx="6">
                  <c:v>T7</c:v>
                </c:pt>
                <c:pt idx="7">
                  <c:v>T8</c:v>
                </c:pt>
                <c:pt idx="8">
                  <c:v>T9</c:v>
                </c:pt>
              </c:strCache>
            </c:strRef>
          </c:cat>
          <c:val>
            <c:numRef>
              <c:f>Sheet2!$C$82:$C$90</c:f>
              <c:numCache>
                <c:formatCode>General</c:formatCode>
                <c:ptCount val="9"/>
                <c:pt idx="0">
                  <c:v>5.57</c:v>
                </c:pt>
                <c:pt idx="1">
                  <c:v>6.09</c:v>
                </c:pt>
                <c:pt idx="2">
                  <c:v>6.34</c:v>
                </c:pt>
                <c:pt idx="3">
                  <c:v>6.07</c:v>
                </c:pt>
                <c:pt idx="4">
                  <c:v>6.17</c:v>
                </c:pt>
                <c:pt idx="5">
                  <c:v>6.24</c:v>
                </c:pt>
                <c:pt idx="6">
                  <c:v>6.18</c:v>
                </c:pt>
                <c:pt idx="7">
                  <c:v>6.45</c:v>
                </c:pt>
                <c:pt idx="8">
                  <c:v>6.49</c:v>
                </c:pt>
              </c:numCache>
            </c:numRef>
          </c:val>
          <c:extLst>
            <c:ext xmlns:c16="http://schemas.microsoft.com/office/drawing/2014/chart" uri="{C3380CC4-5D6E-409C-BE32-E72D297353CC}">
              <c16:uniqueId val="{00000000-2F50-42AE-B230-3FA7B42382CF}"/>
            </c:ext>
          </c:extLst>
        </c:ser>
        <c:ser>
          <c:idx val="1"/>
          <c:order val="1"/>
          <c:tx>
            <c:strRef>
              <c:f>Sheet2!$D$81</c:f>
              <c:strCache>
                <c:ptCount val="1"/>
                <c:pt idx="0">
                  <c:v>2nd year</c:v>
                </c:pt>
              </c:strCache>
            </c:strRef>
          </c:tx>
          <c:spPr>
            <a:solidFill>
              <a:schemeClr val="accent2"/>
            </a:solidFill>
            <a:ln>
              <a:noFill/>
            </a:ln>
            <a:effectLst/>
          </c:spPr>
          <c:invertIfNegative val="0"/>
          <c:cat>
            <c:strRef>
              <c:f>Sheet2!$B$82:$B$90</c:f>
              <c:strCache>
                <c:ptCount val="9"/>
                <c:pt idx="0">
                  <c:v>T1</c:v>
                </c:pt>
                <c:pt idx="1">
                  <c:v>T2</c:v>
                </c:pt>
                <c:pt idx="2">
                  <c:v>T3</c:v>
                </c:pt>
                <c:pt idx="3">
                  <c:v>T4</c:v>
                </c:pt>
                <c:pt idx="4">
                  <c:v>T5</c:v>
                </c:pt>
                <c:pt idx="5">
                  <c:v>T6</c:v>
                </c:pt>
                <c:pt idx="6">
                  <c:v>T7</c:v>
                </c:pt>
                <c:pt idx="7">
                  <c:v>T8</c:v>
                </c:pt>
                <c:pt idx="8">
                  <c:v>T9</c:v>
                </c:pt>
              </c:strCache>
            </c:strRef>
          </c:cat>
          <c:val>
            <c:numRef>
              <c:f>Sheet2!$D$82:$D$90</c:f>
              <c:numCache>
                <c:formatCode>General</c:formatCode>
                <c:ptCount val="9"/>
                <c:pt idx="0">
                  <c:v>5.73</c:v>
                </c:pt>
                <c:pt idx="1">
                  <c:v>5.82</c:v>
                </c:pt>
                <c:pt idx="2">
                  <c:v>6.42</c:v>
                </c:pt>
                <c:pt idx="3">
                  <c:v>6.36</c:v>
                </c:pt>
                <c:pt idx="4">
                  <c:v>6.15</c:v>
                </c:pt>
                <c:pt idx="5">
                  <c:v>6.37</c:v>
                </c:pt>
                <c:pt idx="6">
                  <c:v>6.51</c:v>
                </c:pt>
                <c:pt idx="7">
                  <c:v>6.49</c:v>
                </c:pt>
                <c:pt idx="8">
                  <c:v>6.52</c:v>
                </c:pt>
              </c:numCache>
            </c:numRef>
          </c:val>
          <c:extLst>
            <c:ext xmlns:c16="http://schemas.microsoft.com/office/drawing/2014/chart" uri="{C3380CC4-5D6E-409C-BE32-E72D297353CC}">
              <c16:uniqueId val="{00000001-2F50-42AE-B230-3FA7B42382CF}"/>
            </c:ext>
          </c:extLst>
        </c:ser>
        <c:ser>
          <c:idx val="2"/>
          <c:order val="2"/>
          <c:tx>
            <c:strRef>
              <c:f>Sheet2!$E$81</c:f>
              <c:strCache>
                <c:ptCount val="1"/>
                <c:pt idx="0">
                  <c:v>Pooled</c:v>
                </c:pt>
              </c:strCache>
            </c:strRef>
          </c:tx>
          <c:spPr>
            <a:solidFill>
              <a:schemeClr val="accent3"/>
            </a:solidFill>
            <a:ln>
              <a:noFill/>
            </a:ln>
            <a:effectLst/>
          </c:spPr>
          <c:invertIfNegative val="0"/>
          <c:cat>
            <c:strRef>
              <c:f>Sheet2!$B$82:$B$90</c:f>
              <c:strCache>
                <c:ptCount val="9"/>
                <c:pt idx="0">
                  <c:v>T1</c:v>
                </c:pt>
                <c:pt idx="1">
                  <c:v>T2</c:v>
                </c:pt>
                <c:pt idx="2">
                  <c:v>T3</c:v>
                </c:pt>
                <c:pt idx="3">
                  <c:v>T4</c:v>
                </c:pt>
                <c:pt idx="4">
                  <c:v>T5</c:v>
                </c:pt>
                <c:pt idx="5">
                  <c:v>T6</c:v>
                </c:pt>
                <c:pt idx="6">
                  <c:v>T7</c:v>
                </c:pt>
                <c:pt idx="7">
                  <c:v>T8</c:v>
                </c:pt>
                <c:pt idx="8">
                  <c:v>T9</c:v>
                </c:pt>
              </c:strCache>
            </c:strRef>
          </c:cat>
          <c:val>
            <c:numRef>
              <c:f>Sheet2!$E$82:$E$90</c:f>
              <c:numCache>
                <c:formatCode>General</c:formatCode>
                <c:ptCount val="9"/>
                <c:pt idx="0">
                  <c:v>5.65</c:v>
                </c:pt>
                <c:pt idx="1">
                  <c:v>5.95</c:v>
                </c:pt>
                <c:pt idx="2">
                  <c:v>6.38</c:v>
                </c:pt>
                <c:pt idx="3">
                  <c:v>6.21</c:v>
                </c:pt>
                <c:pt idx="4">
                  <c:v>6.16</c:v>
                </c:pt>
                <c:pt idx="5">
                  <c:v>6.3</c:v>
                </c:pt>
                <c:pt idx="6">
                  <c:v>6.34</c:v>
                </c:pt>
                <c:pt idx="7">
                  <c:v>6.47</c:v>
                </c:pt>
                <c:pt idx="8">
                  <c:v>6.5</c:v>
                </c:pt>
              </c:numCache>
            </c:numRef>
          </c:val>
          <c:extLst>
            <c:ext xmlns:c16="http://schemas.microsoft.com/office/drawing/2014/chart" uri="{C3380CC4-5D6E-409C-BE32-E72D297353CC}">
              <c16:uniqueId val="{00000002-2F50-42AE-B230-3FA7B42382CF}"/>
            </c:ext>
          </c:extLst>
        </c:ser>
        <c:dLbls>
          <c:showLegendKey val="0"/>
          <c:showVal val="0"/>
          <c:showCatName val="0"/>
          <c:showSerName val="0"/>
          <c:showPercent val="0"/>
          <c:showBubbleSize val="0"/>
        </c:dLbls>
        <c:gapWidth val="300"/>
        <c:axId val="-1885323808"/>
        <c:axId val="-1885323264"/>
      </c:barChart>
      <c:catAx>
        <c:axId val="-1885323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Treatments</a:t>
                </a:r>
                <a:r>
                  <a:rPr lang="en-IN" sz="1000" b="0" i="0" u="none" strike="noStrike" baseline="0"/>
                  <a:t> </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323264"/>
        <c:crosses val="autoZero"/>
        <c:auto val="1"/>
        <c:lblAlgn val="ctr"/>
        <c:lblOffset val="100"/>
        <c:noMultiLvlLbl val="0"/>
      </c:catAx>
      <c:valAx>
        <c:axId val="-18853232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IN" sz="1200">
                    <a:effectLst/>
                  </a:rPr>
                  <a:t>Grain yield(tha</a:t>
                </a:r>
                <a:r>
                  <a:rPr lang="en-IN" sz="1200" baseline="30000">
                    <a:effectLst/>
                  </a:rPr>
                  <a:t>-1</a:t>
                </a:r>
                <a:r>
                  <a:rPr lang="en-IN" sz="1200">
                    <a:effectLst/>
                  </a:rPr>
                  <a:t>)</a:t>
                </a:r>
              </a:p>
            </c:rich>
          </c:tx>
          <c:layout>
            <c:manualLayout>
              <c:xMode val="edge"/>
              <c:yMode val="edge"/>
              <c:x val="1.8433179723502304E-2"/>
              <c:y val="0.25481313703284258"/>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323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Sheet2!$C$81</c:f>
              <c:strCache>
                <c:ptCount val="1"/>
                <c:pt idx="0">
                  <c:v>1st year</c:v>
                </c:pt>
              </c:strCache>
            </c:strRef>
          </c:tx>
          <c:spPr>
            <a:solidFill>
              <a:schemeClr val="accent1"/>
            </a:solidFill>
            <a:ln>
              <a:noFill/>
            </a:ln>
            <a:effectLst/>
          </c:spPr>
          <c:invertIfNegative val="0"/>
          <c:cat>
            <c:strRef>
              <c:f>Sheet2!$B$82:$B$90</c:f>
              <c:strCache>
                <c:ptCount val="9"/>
                <c:pt idx="0">
                  <c:v>T1</c:v>
                </c:pt>
                <c:pt idx="1">
                  <c:v>T2</c:v>
                </c:pt>
                <c:pt idx="2">
                  <c:v>T3</c:v>
                </c:pt>
                <c:pt idx="3">
                  <c:v>T4</c:v>
                </c:pt>
                <c:pt idx="4">
                  <c:v>T5</c:v>
                </c:pt>
                <c:pt idx="5">
                  <c:v>T6</c:v>
                </c:pt>
                <c:pt idx="6">
                  <c:v>T7</c:v>
                </c:pt>
                <c:pt idx="7">
                  <c:v>T8</c:v>
                </c:pt>
                <c:pt idx="8">
                  <c:v>T9</c:v>
                </c:pt>
              </c:strCache>
            </c:strRef>
          </c:cat>
          <c:val>
            <c:numRef>
              <c:f>Sheet2!$C$82:$C$90</c:f>
              <c:numCache>
                <c:formatCode>General</c:formatCode>
                <c:ptCount val="9"/>
                <c:pt idx="0">
                  <c:v>5.57</c:v>
                </c:pt>
                <c:pt idx="1">
                  <c:v>6.09</c:v>
                </c:pt>
                <c:pt idx="2">
                  <c:v>6.34</c:v>
                </c:pt>
                <c:pt idx="3">
                  <c:v>6.07</c:v>
                </c:pt>
                <c:pt idx="4">
                  <c:v>6.17</c:v>
                </c:pt>
                <c:pt idx="5">
                  <c:v>6.24</c:v>
                </c:pt>
                <c:pt idx="6">
                  <c:v>6.18</c:v>
                </c:pt>
                <c:pt idx="7">
                  <c:v>6.45</c:v>
                </c:pt>
                <c:pt idx="8">
                  <c:v>6.49</c:v>
                </c:pt>
              </c:numCache>
            </c:numRef>
          </c:val>
          <c:extLst>
            <c:ext xmlns:c16="http://schemas.microsoft.com/office/drawing/2014/chart" uri="{C3380CC4-5D6E-409C-BE32-E72D297353CC}">
              <c16:uniqueId val="{00000000-38E1-4BC8-8144-1CEFFAB1EACE}"/>
            </c:ext>
          </c:extLst>
        </c:ser>
        <c:ser>
          <c:idx val="1"/>
          <c:order val="1"/>
          <c:tx>
            <c:strRef>
              <c:f>Sheet2!$D$81</c:f>
              <c:strCache>
                <c:ptCount val="1"/>
                <c:pt idx="0">
                  <c:v>2nd year</c:v>
                </c:pt>
              </c:strCache>
            </c:strRef>
          </c:tx>
          <c:spPr>
            <a:solidFill>
              <a:schemeClr val="accent2"/>
            </a:solidFill>
            <a:ln>
              <a:noFill/>
            </a:ln>
            <a:effectLst/>
          </c:spPr>
          <c:invertIfNegative val="0"/>
          <c:cat>
            <c:strRef>
              <c:f>Sheet2!$B$82:$B$90</c:f>
              <c:strCache>
                <c:ptCount val="9"/>
                <c:pt idx="0">
                  <c:v>T1</c:v>
                </c:pt>
                <c:pt idx="1">
                  <c:v>T2</c:v>
                </c:pt>
                <c:pt idx="2">
                  <c:v>T3</c:v>
                </c:pt>
                <c:pt idx="3">
                  <c:v>T4</c:v>
                </c:pt>
                <c:pt idx="4">
                  <c:v>T5</c:v>
                </c:pt>
                <c:pt idx="5">
                  <c:v>T6</c:v>
                </c:pt>
                <c:pt idx="6">
                  <c:v>T7</c:v>
                </c:pt>
                <c:pt idx="7">
                  <c:v>T8</c:v>
                </c:pt>
                <c:pt idx="8">
                  <c:v>T9</c:v>
                </c:pt>
              </c:strCache>
            </c:strRef>
          </c:cat>
          <c:val>
            <c:numRef>
              <c:f>Sheet2!$D$82:$D$90</c:f>
              <c:numCache>
                <c:formatCode>General</c:formatCode>
                <c:ptCount val="9"/>
                <c:pt idx="0">
                  <c:v>5.73</c:v>
                </c:pt>
                <c:pt idx="1">
                  <c:v>5.82</c:v>
                </c:pt>
                <c:pt idx="2">
                  <c:v>6.42</c:v>
                </c:pt>
                <c:pt idx="3">
                  <c:v>6.36</c:v>
                </c:pt>
                <c:pt idx="4">
                  <c:v>6.15</c:v>
                </c:pt>
                <c:pt idx="5">
                  <c:v>6.37</c:v>
                </c:pt>
                <c:pt idx="6">
                  <c:v>6.51</c:v>
                </c:pt>
                <c:pt idx="7">
                  <c:v>6.49</c:v>
                </c:pt>
                <c:pt idx="8">
                  <c:v>6.52</c:v>
                </c:pt>
              </c:numCache>
            </c:numRef>
          </c:val>
          <c:extLst>
            <c:ext xmlns:c16="http://schemas.microsoft.com/office/drawing/2014/chart" uri="{C3380CC4-5D6E-409C-BE32-E72D297353CC}">
              <c16:uniqueId val="{00000001-38E1-4BC8-8144-1CEFFAB1EACE}"/>
            </c:ext>
          </c:extLst>
        </c:ser>
        <c:ser>
          <c:idx val="2"/>
          <c:order val="2"/>
          <c:tx>
            <c:strRef>
              <c:f>Sheet2!$E$81</c:f>
              <c:strCache>
                <c:ptCount val="1"/>
                <c:pt idx="0">
                  <c:v>Pooled</c:v>
                </c:pt>
              </c:strCache>
            </c:strRef>
          </c:tx>
          <c:spPr>
            <a:solidFill>
              <a:schemeClr val="accent3"/>
            </a:solidFill>
            <a:ln>
              <a:noFill/>
            </a:ln>
            <a:effectLst/>
          </c:spPr>
          <c:invertIfNegative val="0"/>
          <c:cat>
            <c:strRef>
              <c:f>Sheet2!$B$82:$B$90</c:f>
              <c:strCache>
                <c:ptCount val="9"/>
                <c:pt idx="0">
                  <c:v>T1</c:v>
                </c:pt>
                <c:pt idx="1">
                  <c:v>T2</c:v>
                </c:pt>
                <c:pt idx="2">
                  <c:v>T3</c:v>
                </c:pt>
                <c:pt idx="3">
                  <c:v>T4</c:v>
                </c:pt>
                <c:pt idx="4">
                  <c:v>T5</c:v>
                </c:pt>
                <c:pt idx="5">
                  <c:v>T6</c:v>
                </c:pt>
                <c:pt idx="6">
                  <c:v>T7</c:v>
                </c:pt>
                <c:pt idx="7">
                  <c:v>T8</c:v>
                </c:pt>
                <c:pt idx="8">
                  <c:v>T9</c:v>
                </c:pt>
              </c:strCache>
            </c:strRef>
          </c:cat>
          <c:val>
            <c:numRef>
              <c:f>Sheet2!$E$82:$E$90</c:f>
              <c:numCache>
                <c:formatCode>General</c:formatCode>
                <c:ptCount val="9"/>
                <c:pt idx="0">
                  <c:v>5.65</c:v>
                </c:pt>
                <c:pt idx="1">
                  <c:v>5.95</c:v>
                </c:pt>
                <c:pt idx="2">
                  <c:v>6.38</c:v>
                </c:pt>
                <c:pt idx="3">
                  <c:v>6.21</c:v>
                </c:pt>
                <c:pt idx="4">
                  <c:v>6.16</c:v>
                </c:pt>
                <c:pt idx="5">
                  <c:v>6.3</c:v>
                </c:pt>
                <c:pt idx="6">
                  <c:v>6.34</c:v>
                </c:pt>
                <c:pt idx="7">
                  <c:v>6.47</c:v>
                </c:pt>
                <c:pt idx="8">
                  <c:v>6.5</c:v>
                </c:pt>
              </c:numCache>
            </c:numRef>
          </c:val>
          <c:extLst>
            <c:ext xmlns:c16="http://schemas.microsoft.com/office/drawing/2014/chart" uri="{C3380CC4-5D6E-409C-BE32-E72D297353CC}">
              <c16:uniqueId val="{00000002-38E1-4BC8-8144-1CEFFAB1EACE}"/>
            </c:ext>
          </c:extLst>
        </c:ser>
        <c:dLbls>
          <c:showLegendKey val="0"/>
          <c:showVal val="0"/>
          <c:showCatName val="0"/>
          <c:showSerName val="0"/>
          <c:showPercent val="0"/>
          <c:showBubbleSize val="0"/>
        </c:dLbls>
        <c:gapWidth val="300"/>
        <c:axId val="-1885323808"/>
        <c:axId val="-1885323264"/>
      </c:barChart>
      <c:catAx>
        <c:axId val="-1885323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Treatments</a:t>
                </a:r>
                <a:r>
                  <a:rPr lang="en-IN" sz="1000" b="0" i="0" u="none" strike="noStrike" baseline="0"/>
                  <a:t> </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323264"/>
        <c:crosses val="autoZero"/>
        <c:auto val="1"/>
        <c:lblAlgn val="ctr"/>
        <c:lblOffset val="100"/>
        <c:noMultiLvlLbl val="0"/>
      </c:catAx>
      <c:valAx>
        <c:axId val="-1885323264"/>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IN" sz="1200">
                    <a:effectLst/>
                  </a:rPr>
                  <a:t>Grain yield(tha</a:t>
                </a:r>
                <a:r>
                  <a:rPr lang="en-IN" sz="1200" baseline="30000">
                    <a:effectLst/>
                  </a:rPr>
                  <a:t>-1</a:t>
                </a:r>
                <a:r>
                  <a:rPr lang="en-IN" sz="1200">
                    <a:effectLst/>
                  </a:rPr>
                  <a:t>)</a:t>
                </a:r>
              </a:p>
            </c:rich>
          </c:tx>
          <c:layout>
            <c:manualLayout>
              <c:xMode val="edge"/>
              <c:yMode val="edge"/>
              <c:x val="1.8433179723502304E-2"/>
              <c:y val="0.25481313703284258"/>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323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Sheet2!$C$182</c:f>
              <c:strCache>
                <c:ptCount val="1"/>
                <c:pt idx="0">
                  <c:v>1st year</c:v>
                </c:pt>
              </c:strCache>
            </c:strRef>
          </c:tx>
          <c:spPr>
            <a:solidFill>
              <a:schemeClr val="accent1"/>
            </a:solidFill>
            <a:ln>
              <a:noFill/>
            </a:ln>
            <a:effectLst/>
          </c:spPr>
          <c:invertIfNegative val="0"/>
          <c:cat>
            <c:strRef>
              <c:f>Sheet2!$B$183:$B$191</c:f>
              <c:strCache>
                <c:ptCount val="9"/>
                <c:pt idx="0">
                  <c:v>T1</c:v>
                </c:pt>
                <c:pt idx="1">
                  <c:v>T2</c:v>
                </c:pt>
                <c:pt idx="2">
                  <c:v>T3</c:v>
                </c:pt>
                <c:pt idx="3">
                  <c:v>T4</c:v>
                </c:pt>
                <c:pt idx="4">
                  <c:v>T5</c:v>
                </c:pt>
                <c:pt idx="5">
                  <c:v>T6</c:v>
                </c:pt>
                <c:pt idx="6">
                  <c:v>T7</c:v>
                </c:pt>
                <c:pt idx="7">
                  <c:v>T8</c:v>
                </c:pt>
                <c:pt idx="8">
                  <c:v>T9</c:v>
                </c:pt>
              </c:strCache>
            </c:strRef>
          </c:cat>
          <c:val>
            <c:numRef>
              <c:f>Sheet2!$C$183:$C$191</c:f>
              <c:numCache>
                <c:formatCode>General</c:formatCode>
                <c:ptCount val="9"/>
                <c:pt idx="0">
                  <c:v>2.66</c:v>
                </c:pt>
                <c:pt idx="1">
                  <c:v>2.66</c:v>
                </c:pt>
                <c:pt idx="2">
                  <c:v>2.66</c:v>
                </c:pt>
                <c:pt idx="3">
                  <c:v>2.66</c:v>
                </c:pt>
                <c:pt idx="4">
                  <c:v>2.66</c:v>
                </c:pt>
                <c:pt idx="5">
                  <c:v>2.65</c:v>
                </c:pt>
                <c:pt idx="6">
                  <c:v>2.66</c:v>
                </c:pt>
                <c:pt idx="7">
                  <c:v>2.66</c:v>
                </c:pt>
                <c:pt idx="8">
                  <c:v>2.66</c:v>
                </c:pt>
              </c:numCache>
            </c:numRef>
          </c:val>
          <c:extLst>
            <c:ext xmlns:c16="http://schemas.microsoft.com/office/drawing/2014/chart" uri="{C3380CC4-5D6E-409C-BE32-E72D297353CC}">
              <c16:uniqueId val="{00000000-BB10-4E33-87EA-6FE76644579E}"/>
            </c:ext>
          </c:extLst>
        </c:ser>
        <c:ser>
          <c:idx val="1"/>
          <c:order val="1"/>
          <c:tx>
            <c:strRef>
              <c:f>Sheet2!$D$182</c:f>
              <c:strCache>
                <c:ptCount val="1"/>
                <c:pt idx="0">
                  <c:v>2nd year</c:v>
                </c:pt>
              </c:strCache>
            </c:strRef>
          </c:tx>
          <c:spPr>
            <a:solidFill>
              <a:schemeClr val="accent2"/>
            </a:solidFill>
            <a:ln>
              <a:noFill/>
            </a:ln>
            <a:effectLst/>
          </c:spPr>
          <c:invertIfNegative val="0"/>
          <c:cat>
            <c:strRef>
              <c:f>Sheet2!$B$183:$B$191</c:f>
              <c:strCache>
                <c:ptCount val="9"/>
                <c:pt idx="0">
                  <c:v>T1</c:v>
                </c:pt>
                <c:pt idx="1">
                  <c:v>T2</c:v>
                </c:pt>
                <c:pt idx="2">
                  <c:v>T3</c:v>
                </c:pt>
                <c:pt idx="3">
                  <c:v>T4</c:v>
                </c:pt>
                <c:pt idx="4">
                  <c:v>T5</c:v>
                </c:pt>
                <c:pt idx="5">
                  <c:v>T6</c:v>
                </c:pt>
                <c:pt idx="6">
                  <c:v>T7</c:v>
                </c:pt>
                <c:pt idx="7">
                  <c:v>T8</c:v>
                </c:pt>
                <c:pt idx="8">
                  <c:v>T9</c:v>
                </c:pt>
              </c:strCache>
            </c:strRef>
          </c:cat>
          <c:val>
            <c:numRef>
              <c:f>Sheet2!$D$183:$D$191</c:f>
              <c:numCache>
                <c:formatCode>General</c:formatCode>
                <c:ptCount val="9"/>
                <c:pt idx="0">
                  <c:v>2.65</c:v>
                </c:pt>
                <c:pt idx="1">
                  <c:v>2.66</c:v>
                </c:pt>
                <c:pt idx="2">
                  <c:v>2.66</c:v>
                </c:pt>
                <c:pt idx="3">
                  <c:v>2.66</c:v>
                </c:pt>
                <c:pt idx="4">
                  <c:v>2.66</c:v>
                </c:pt>
                <c:pt idx="5">
                  <c:v>2.66</c:v>
                </c:pt>
                <c:pt idx="6">
                  <c:v>2.65</c:v>
                </c:pt>
                <c:pt idx="7">
                  <c:v>2.66</c:v>
                </c:pt>
                <c:pt idx="8">
                  <c:v>2.65</c:v>
                </c:pt>
              </c:numCache>
            </c:numRef>
          </c:val>
          <c:extLst>
            <c:ext xmlns:c16="http://schemas.microsoft.com/office/drawing/2014/chart" uri="{C3380CC4-5D6E-409C-BE32-E72D297353CC}">
              <c16:uniqueId val="{00000001-BB10-4E33-87EA-6FE76644579E}"/>
            </c:ext>
          </c:extLst>
        </c:ser>
        <c:ser>
          <c:idx val="2"/>
          <c:order val="2"/>
          <c:tx>
            <c:strRef>
              <c:f>Sheet2!$E$182</c:f>
              <c:strCache>
                <c:ptCount val="1"/>
                <c:pt idx="0">
                  <c:v>Pooled</c:v>
                </c:pt>
              </c:strCache>
            </c:strRef>
          </c:tx>
          <c:spPr>
            <a:solidFill>
              <a:schemeClr val="accent3"/>
            </a:solidFill>
            <a:ln>
              <a:noFill/>
            </a:ln>
            <a:effectLst/>
          </c:spPr>
          <c:invertIfNegative val="0"/>
          <c:cat>
            <c:strRef>
              <c:f>Sheet2!$B$183:$B$191</c:f>
              <c:strCache>
                <c:ptCount val="9"/>
                <c:pt idx="0">
                  <c:v>T1</c:v>
                </c:pt>
                <c:pt idx="1">
                  <c:v>T2</c:v>
                </c:pt>
                <c:pt idx="2">
                  <c:v>T3</c:v>
                </c:pt>
                <c:pt idx="3">
                  <c:v>T4</c:v>
                </c:pt>
                <c:pt idx="4">
                  <c:v>T5</c:v>
                </c:pt>
                <c:pt idx="5">
                  <c:v>T6</c:v>
                </c:pt>
                <c:pt idx="6">
                  <c:v>T7</c:v>
                </c:pt>
                <c:pt idx="7">
                  <c:v>T8</c:v>
                </c:pt>
                <c:pt idx="8">
                  <c:v>T9</c:v>
                </c:pt>
              </c:strCache>
            </c:strRef>
          </c:cat>
          <c:val>
            <c:numRef>
              <c:f>Sheet2!$E$183:$E$191</c:f>
              <c:numCache>
                <c:formatCode>General</c:formatCode>
                <c:ptCount val="9"/>
                <c:pt idx="0">
                  <c:v>2.65</c:v>
                </c:pt>
                <c:pt idx="1">
                  <c:v>2.66</c:v>
                </c:pt>
                <c:pt idx="2">
                  <c:v>2.66</c:v>
                </c:pt>
                <c:pt idx="3">
                  <c:v>2.66</c:v>
                </c:pt>
                <c:pt idx="4">
                  <c:v>2.66</c:v>
                </c:pt>
                <c:pt idx="5">
                  <c:v>2.65</c:v>
                </c:pt>
                <c:pt idx="6">
                  <c:v>2.65</c:v>
                </c:pt>
                <c:pt idx="7">
                  <c:v>2.66</c:v>
                </c:pt>
                <c:pt idx="8">
                  <c:v>2.65</c:v>
                </c:pt>
              </c:numCache>
            </c:numRef>
          </c:val>
          <c:extLst>
            <c:ext xmlns:c16="http://schemas.microsoft.com/office/drawing/2014/chart" uri="{C3380CC4-5D6E-409C-BE32-E72D297353CC}">
              <c16:uniqueId val="{00000002-BB10-4E33-87EA-6FE76644579E}"/>
            </c:ext>
          </c:extLst>
        </c:ser>
        <c:dLbls>
          <c:showLegendKey val="0"/>
          <c:showVal val="0"/>
          <c:showCatName val="0"/>
          <c:showSerName val="0"/>
          <c:showPercent val="0"/>
          <c:showBubbleSize val="0"/>
        </c:dLbls>
        <c:gapWidth val="300"/>
        <c:axId val="-2043299088"/>
        <c:axId val="-2043302352"/>
      </c:barChart>
      <c:catAx>
        <c:axId val="-2043299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Treatments</a:t>
                </a:r>
                <a:r>
                  <a:rPr lang="en-IN" sz="1000" b="0" i="0" u="none" strike="noStrike" baseline="0"/>
                  <a:t> </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3302352"/>
        <c:crosses val="autoZero"/>
        <c:auto val="1"/>
        <c:lblAlgn val="ctr"/>
        <c:lblOffset val="100"/>
        <c:noMultiLvlLbl val="0"/>
      </c:catAx>
      <c:valAx>
        <c:axId val="-20433023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Particle density (Mgm</a:t>
                </a:r>
                <a:r>
                  <a:rPr lang="en-IN" sz="1000" b="0" i="0" u="none" strike="noStrike" baseline="30000">
                    <a:effectLst/>
                  </a:rPr>
                  <a:t>-3</a:t>
                </a:r>
                <a:r>
                  <a:rPr lang="en-IN" sz="1000" b="0" i="0" u="none" strike="noStrike" baseline="0">
                    <a:effectLst/>
                  </a:rPr>
                  <a:t>)</a:t>
                </a:r>
                <a:endParaRPr lang="en-IN"/>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32990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2768</Words>
  <Characters>15779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Brijesh Kumar</dc:creator>
  <cp:keywords/>
  <dc:description/>
  <cp:lastModifiedBy>SDI 1022</cp:lastModifiedBy>
  <cp:revision>7</cp:revision>
  <dcterms:created xsi:type="dcterms:W3CDTF">2026-05-17T16:33:00Z</dcterms:created>
  <dcterms:modified xsi:type="dcterms:W3CDTF">2026-05-18T12:33:00Z</dcterms:modified>
</cp:coreProperties>
</file>