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9114" w14:textId="33B88E9F" w:rsidR="00A36FC8" w:rsidRPr="007C4579" w:rsidRDefault="007B4A8C" w:rsidP="007C4579">
      <w:pPr>
        <w:spacing w:before="100" w:beforeAutospacing="1" w:after="100" w:afterAutospacing="1"/>
        <w:jc w:val="center"/>
      </w:pPr>
      <w:r w:rsidRPr="007C4579">
        <w:rPr>
          <w:b/>
          <w:bCs/>
          <w:sz w:val="32"/>
          <w:szCs w:val="32"/>
        </w:rPr>
        <w:t>Mitigating Climate Risks in Fruit and Vegetable Production: Physiological, Agronomic</w:t>
      </w:r>
      <w:r w:rsidR="00366C86">
        <w:rPr>
          <w:b/>
          <w:bCs/>
          <w:sz w:val="32"/>
          <w:szCs w:val="32"/>
        </w:rPr>
        <w:t xml:space="preserve"> </w:t>
      </w:r>
      <w:bookmarkStart w:id="0" w:name="_GoBack"/>
      <w:bookmarkEnd w:id="0"/>
      <w:r w:rsidRPr="007C4579">
        <w:rPr>
          <w:b/>
          <w:bCs/>
          <w:sz w:val="32"/>
          <w:szCs w:val="32"/>
        </w:rPr>
        <w:t>and Technological Innovations</w:t>
      </w:r>
    </w:p>
    <w:p w14:paraId="50287026" w14:textId="77777777" w:rsidR="007C4579" w:rsidRDefault="007C4579" w:rsidP="007C4579">
      <w:pPr>
        <w:spacing w:before="100" w:beforeAutospacing="1" w:after="100" w:afterAutospacing="1"/>
        <w:rPr>
          <w:b/>
          <w:bCs/>
          <w:sz w:val="26"/>
          <w:szCs w:val="26"/>
        </w:rPr>
      </w:pPr>
    </w:p>
    <w:p w14:paraId="3A635160" w14:textId="77777777" w:rsidR="00A36FC8" w:rsidRPr="007C4579" w:rsidRDefault="007B4A8C" w:rsidP="007C4579">
      <w:pPr>
        <w:spacing w:before="100" w:beforeAutospacing="1" w:after="100" w:afterAutospacing="1"/>
      </w:pPr>
      <w:r w:rsidRPr="007C4579">
        <w:rPr>
          <w:b/>
          <w:bCs/>
          <w:sz w:val="26"/>
          <w:szCs w:val="26"/>
        </w:rPr>
        <w:t>Abstract</w:t>
      </w:r>
    </w:p>
    <w:p w14:paraId="0F35951D" w14:textId="2A1A0CEA" w:rsidR="00A36FC8" w:rsidRPr="007C4579" w:rsidRDefault="007B4A8C" w:rsidP="007C4579">
      <w:pPr>
        <w:spacing w:before="100" w:beforeAutospacing="1" w:after="100" w:afterAutospacing="1"/>
        <w:jc w:val="both"/>
      </w:pPr>
      <w:r w:rsidRPr="007C4579">
        <w:t>Climate change represents one of the gravest systemic threats to global food security, with fruit and vegetable production ranking amongst the most climatically sensitive sectors of modern agriculture. Rising temperatures, intensified drought, erratic precipitation patterns, elevated atmospheric CO</w:t>
      </w:r>
      <w:r w:rsidRPr="007C4579">
        <w:rPr>
          <w:vertAlign w:val="subscript"/>
        </w:rPr>
        <w:t>₂</w:t>
      </w:r>
      <w:r w:rsidRPr="007C4579">
        <w:t xml:space="preserve"> concentrations, and heightened frequency of extreme weather events are collectively diminishing yield potential, degrading nutritional quality, and narrowing viable production windows across diverse horticultural systems worldwide. This review </w:t>
      </w:r>
      <w:proofErr w:type="spellStart"/>
      <w:r w:rsidRPr="007C4579">
        <w:t>synthesises</w:t>
      </w:r>
      <w:proofErr w:type="spellEnd"/>
      <w:r w:rsidRPr="007C4579">
        <w:t xml:space="preserve"> current scientific knowledge on the physiological, agronomic, and technological dimensions of climate risk mitigation in fruit and vegetable production. </w:t>
      </w:r>
      <w:r w:rsidR="00E168C1" w:rsidRPr="002B47C3">
        <w:rPr>
          <w:highlight w:val="yellow"/>
        </w:rPr>
        <w:t>This review was conducted through systematic searches of peer-reviewed literature using four academic databases: Web of Science, Scopus, PubMed, and Google Scholar. Boolean operators were applied consistently throughout, and the search was restricted to articles published in English between 1996 and 2026.</w:t>
      </w:r>
      <w:r w:rsidR="00E168C1">
        <w:t xml:space="preserve"> </w:t>
      </w:r>
      <w:r w:rsidRPr="007C4579">
        <w:t xml:space="preserve">The physiological basis of climate stress responses—including heat shock protein induction, stomatal regulation, reactive oxygen species </w:t>
      </w:r>
      <w:proofErr w:type="spellStart"/>
      <w:r w:rsidRPr="007C4579">
        <w:t>signalling</w:t>
      </w:r>
      <w:proofErr w:type="spellEnd"/>
      <w:r w:rsidRPr="007C4579">
        <w:t xml:space="preserve">, and reproductive failure under thermal stress—is examined in relation to the key horticultural crops most threatened by continued warming. Agronomic strategies encompassing deficit irrigation, soil organic matter enhancement, mulching, adjusted planting calendars, and crop diversification are evaluated for their capacity to buffer production systems against climate variability. Furthermore, the review interrogates emerging technological innovations, including precision agriculture enabled by Internet-of-Things sensors and artificial intelligence, protected cultivation under controlled environments, CRISPR-mediated genome editing for stress-tolerant cultivar development, and the application of </w:t>
      </w:r>
      <w:proofErr w:type="spellStart"/>
      <w:r w:rsidRPr="007C4579">
        <w:t>biostimulants</w:t>
      </w:r>
      <w:proofErr w:type="spellEnd"/>
      <w:r w:rsidRPr="007C4579">
        <w:t xml:space="preserve"> as eco-compatible plant protectants. The evidence </w:t>
      </w:r>
      <w:proofErr w:type="spellStart"/>
      <w:r w:rsidRPr="007C4579">
        <w:t>synthesised</w:t>
      </w:r>
      <w:proofErr w:type="spellEnd"/>
      <w:r w:rsidRPr="007C4579">
        <w:t xml:space="preserve"> here underscores that no single strategy is sufficient to address the multidimensional challenges posed by a warming climate; rather, an integrated framework combining physiological understanding, adaptive agronomy, and technological advancement is essential for securing the future of horticultural production. Policy coherence, equitable access to innovation, and smallholder inclusion are identified as indispensable social dimensions of effective climate adaptation in horticulture.</w:t>
      </w:r>
    </w:p>
    <w:p w14:paraId="15A626B8" w14:textId="77777777" w:rsidR="00A36FC8" w:rsidRPr="007C4579" w:rsidRDefault="007B4A8C" w:rsidP="007C4579">
      <w:pPr>
        <w:spacing w:before="100" w:beforeAutospacing="1" w:after="100" w:afterAutospacing="1"/>
        <w:jc w:val="both"/>
      </w:pPr>
      <w:r w:rsidRPr="007C4579">
        <w:rPr>
          <w:b/>
          <w:bCs/>
        </w:rPr>
        <w:t xml:space="preserve">Keywords: </w:t>
      </w:r>
      <w:r w:rsidRPr="007C4579">
        <w:rPr>
          <w:i/>
          <w:iCs/>
        </w:rPr>
        <w:t xml:space="preserve">heat stress; drought tolerance; precision agriculture; CRISPR; </w:t>
      </w:r>
      <w:proofErr w:type="spellStart"/>
      <w:r w:rsidRPr="007C4579">
        <w:rPr>
          <w:i/>
          <w:iCs/>
        </w:rPr>
        <w:t>biostimulants</w:t>
      </w:r>
      <w:proofErr w:type="spellEnd"/>
      <w:r w:rsidRPr="007C4579">
        <w:rPr>
          <w:i/>
          <w:iCs/>
        </w:rPr>
        <w:t>; horticultural crops; food security; climate adaptation; reactive oxygen species; protected cultivation</w:t>
      </w:r>
    </w:p>
    <w:p w14:paraId="222828A1" w14:textId="77777777" w:rsidR="00A36FC8" w:rsidRPr="007C4579" w:rsidRDefault="007B4A8C" w:rsidP="007C4579">
      <w:pPr>
        <w:pStyle w:val="Heading1"/>
        <w:spacing w:before="100" w:beforeAutospacing="1" w:after="100" w:afterAutospacing="1"/>
      </w:pPr>
      <w:r w:rsidRPr="007C4579">
        <w:t>1. Introduction</w:t>
      </w:r>
    </w:p>
    <w:p w14:paraId="79AB5C69" w14:textId="2143B3AA" w:rsidR="00A36FC8" w:rsidRPr="007C4579" w:rsidRDefault="00A74B4F" w:rsidP="007C4579">
      <w:pPr>
        <w:spacing w:before="100" w:beforeAutospacing="1" w:after="100" w:afterAutospacing="1"/>
        <w:jc w:val="both"/>
      </w:pPr>
      <w:r w:rsidRPr="002B47C3">
        <w:rPr>
          <w:rFonts w:ascii="Georgia" w:hAnsi="Georgia"/>
          <w:color w:val="1F1F1F"/>
          <w:highlight w:val="yellow"/>
        </w:rPr>
        <w:t xml:space="preserve">Agricultural production is currently facing a number of challenges due to climate change, the effects of which are increasingly being felt throughout the world (Intergovernmental Panel on Climate Change. Among the crops that are particularly sensitive to these changes are exotic fruits and vegetables, which are attracting growing </w:t>
      </w:r>
      <w:r w:rsidRPr="002B47C3">
        <w:rPr>
          <w:rFonts w:ascii="Georgia" w:hAnsi="Georgia"/>
          <w:color w:val="1F1F1F"/>
          <w:highlight w:val="yellow"/>
        </w:rPr>
        <w:lastRenderedPageBreak/>
        <w:t>interest in North America, both for their economic value and their cultural importance (</w:t>
      </w:r>
      <w:proofErr w:type="spellStart"/>
      <w:r w:rsidRPr="00324EA7">
        <w:rPr>
          <w:rFonts w:ascii="Arial" w:hAnsi="Arial" w:cs="Arial"/>
          <w:color w:val="222222"/>
          <w:sz w:val="20"/>
          <w:szCs w:val="20"/>
          <w:highlight w:val="yellow"/>
          <w:shd w:val="clear" w:color="auto" w:fill="FFFFFF"/>
        </w:rPr>
        <w:t>Kotomale</w:t>
      </w:r>
      <w:proofErr w:type="spellEnd"/>
      <w:r w:rsidRPr="00C14239">
        <w:rPr>
          <w:rFonts w:ascii="Arial" w:hAnsi="Arial" w:cs="Arial"/>
          <w:color w:val="222222"/>
          <w:sz w:val="20"/>
          <w:szCs w:val="20"/>
          <w:highlight w:val="yellow"/>
          <w:shd w:val="clear" w:color="auto" w:fill="FFFFFF"/>
        </w:rPr>
        <w:t xml:space="preserve"> et al., 2026</w:t>
      </w:r>
      <w:r w:rsidRPr="002B47C3">
        <w:rPr>
          <w:rFonts w:ascii="Georgia" w:hAnsi="Georgia"/>
          <w:color w:val="1F1F1F"/>
          <w:highlight w:val="yellow"/>
        </w:rPr>
        <w:t>).</w:t>
      </w:r>
      <w:r>
        <w:rPr>
          <w:rFonts w:ascii="Georgia" w:hAnsi="Georgia"/>
          <w:color w:val="1F1F1F"/>
        </w:rPr>
        <w:t> </w:t>
      </w:r>
      <w:r w:rsidR="007B4A8C" w:rsidRPr="007C4579">
        <w:t>The global food system is under unprecedented pressure from the compounding effects of rapid population growth, resource depletion, and anthropogenic climate change.</w:t>
      </w:r>
      <w:r w:rsidR="007B4A8C" w:rsidRPr="002B47C3">
        <w:rPr>
          <w:sz w:val="28"/>
        </w:rPr>
        <w:t xml:space="preserve"> </w:t>
      </w:r>
      <w:r w:rsidR="00C14239" w:rsidRPr="002B47C3">
        <w:rPr>
          <w:rFonts w:ascii="Arial" w:hAnsi="Arial" w:cs="Arial"/>
          <w:color w:val="222222"/>
          <w:sz w:val="22"/>
          <w:szCs w:val="20"/>
          <w:highlight w:val="yellow"/>
          <w:shd w:val="clear" w:color="auto" w:fill="FFFFFF"/>
        </w:rPr>
        <w:t>Climate change is a pressing issue that is already significantly affecting plants that produce edible fruits. Shifts in temperature or extreme temperatures, changes in light intensity, and nutritional imbalances are all factors contributing to the challenges faced by fruit growers today. The quality of fruit is influenced by various factors, with biotic stress caused by living organisms and abiotic stress caused by non-living factors playing a significant role</w:t>
      </w:r>
      <w:r w:rsidR="00C14239">
        <w:rPr>
          <w:rFonts w:ascii="Arial" w:hAnsi="Arial" w:cs="Arial"/>
          <w:color w:val="222222"/>
          <w:sz w:val="22"/>
          <w:szCs w:val="20"/>
          <w:highlight w:val="yellow"/>
          <w:shd w:val="clear" w:color="auto" w:fill="FFFFFF"/>
        </w:rPr>
        <w:t xml:space="preserve"> (</w:t>
      </w:r>
      <w:proofErr w:type="spellStart"/>
      <w:r w:rsidR="00C14239" w:rsidRPr="00B06A4A">
        <w:rPr>
          <w:rFonts w:ascii="inherit" w:hAnsi="inherit" w:cs="Helvetica"/>
          <w:color w:val="222222"/>
          <w:sz w:val="22"/>
          <w:szCs w:val="18"/>
          <w:highlight w:val="yellow"/>
        </w:rPr>
        <w:t>Bacelar</w:t>
      </w:r>
      <w:proofErr w:type="spellEnd"/>
      <w:r w:rsidR="00C14239">
        <w:rPr>
          <w:rFonts w:ascii="inherit" w:hAnsi="inherit" w:cs="Helvetica"/>
          <w:color w:val="222222"/>
          <w:sz w:val="22"/>
          <w:szCs w:val="18"/>
          <w:highlight w:val="yellow"/>
        </w:rPr>
        <w:t xml:space="preserve"> et al., 2024</w:t>
      </w:r>
      <w:r w:rsidR="00C14239">
        <w:rPr>
          <w:rFonts w:ascii="Arial" w:hAnsi="Arial" w:cs="Arial"/>
          <w:color w:val="222222"/>
          <w:sz w:val="22"/>
          <w:szCs w:val="20"/>
          <w:highlight w:val="yellow"/>
          <w:shd w:val="clear" w:color="auto" w:fill="FFFFFF"/>
        </w:rPr>
        <w:t>)</w:t>
      </w:r>
      <w:r w:rsidR="00C14239" w:rsidRPr="002B47C3">
        <w:rPr>
          <w:rFonts w:ascii="Arial" w:hAnsi="Arial" w:cs="Arial"/>
          <w:color w:val="222222"/>
          <w:sz w:val="22"/>
          <w:szCs w:val="20"/>
          <w:highlight w:val="yellow"/>
          <w:shd w:val="clear" w:color="auto" w:fill="FFFFFF"/>
        </w:rPr>
        <w:t>.</w:t>
      </w:r>
      <w:r w:rsidR="00C14239" w:rsidRPr="002B47C3">
        <w:rPr>
          <w:sz w:val="28"/>
        </w:rPr>
        <w:t xml:space="preserve"> </w:t>
      </w:r>
      <w:r w:rsidR="004517E8" w:rsidRPr="002B47C3">
        <w:rPr>
          <w:highlight w:val="yellow"/>
        </w:rPr>
        <w:t>The global fruit sector plays a critical role in human nutrition, rural livelihoods, and the horticultural economy. Fruit crops are rich in vitamins, minerals, dietary fiber, and phytochemicals, making them indispensable for ensuring food and nutritional security. However, climate change threatens the sustainability of fruit production systems worldwide</w:t>
      </w:r>
      <w:r w:rsidR="004517E8">
        <w:rPr>
          <w:highlight w:val="yellow"/>
        </w:rPr>
        <w:t xml:space="preserve"> (</w:t>
      </w:r>
      <w:r w:rsidR="004517E8" w:rsidRPr="00B06A4A">
        <w:rPr>
          <w:rFonts w:ascii="Arial" w:hAnsi="Arial" w:cs="Arial"/>
          <w:color w:val="212529"/>
          <w:sz w:val="20"/>
          <w:szCs w:val="20"/>
          <w:highlight w:val="yellow"/>
        </w:rPr>
        <w:t>Jyoti</w:t>
      </w:r>
      <w:r w:rsidR="004517E8">
        <w:rPr>
          <w:rFonts w:ascii="Arial" w:hAnsi="Arial" w:cs="Arial"/>
          <w:color w:val="212529"/>
          <w:sz w:val="20"/>
          <w:szCs w:val="20"/>
          <w:highlight w:val="yellow"/>
        </w:rPr>
        <w:t xml:space="preserve"> et al., 2025</w:t>
      </w:r>
      <w:r w:rsidR="004517E8">
        <w:rPr>
          <w:highlight w:val="yellow"/>
        </w:rPr>
        <w:t>)</w:t>
      </w:r>
      <w:r w:rsidR="004517E8" w:rsidRPr="002B47C3">
        <w:rPr>
          <w:highlight w:val="yellow"/>
        </w:rPr>
        <w:t>.</w:t>
      </w:r>
      <w:r w:rsidR="004517E8">
        <w:t xml:space="preserve"> </w:t>
      </w:r>
      <w:r w:rsidR="007B4A8C" w:rsidRPr="007C4579">
        <w:t xml:space="preserve">Fruits and vegetables occupy a critical position in sustainable food systems, providing the micronutrients, vitamins, dietary </w:t>
      </w:r>
      <w:proofErr w:type="spellStart"/>
      <w:r w:rsidR="007B4A8C" w:rsidRPr="007C4579">
        <w:t>fibre</w:t>
      </w:r>
      <w:proofErr w:type="spellEnd"/>
      <w:r w:rsidR="007B4A8C" w:rsidRPr="007C4579">
        <w:t>, and phytochemicals that underpin human health and disease prevention (</w:t>
      </w:r>
      <w:proofErr w:type="spellStart"/>
      <w:r w:rsidR="007B4A8C" w:rsidRPr="007C4579">
        <w:t>Aune</w:t>
      </w:r>
      <w:proofErr w:type="spellEnd"/>
      <w:r w:rsidR="007B4A8C" w:rsidRPr="007C4579">
        <w:t xml:space="preserve"> et al., 2017). Indeed, a systematic meta-analysis demonstrated that higher fruit and vegetable consumption is associated with significantly reduced risks of cardiovascular disease, total cancer, and all-cause mortality across diverse populations (</w:t>
      </w:r>
      <w:proofErr w:type="spellStart"/>
      <w:r w:rsidR="007B4A8C" w:rsidRPr="007C4579">
        <w:t>Aune</w:t>
      </w:r>
      <w:proofErr w:type="spellEnd"/>
      <w:r w:rsidR="007B4A8C" w:rsidRPr="007C4579">
        <w:t xml:space="preserve"> et al., 2017). However, these nutritionally dense commodities are amongst the most climatically sensitive crops in production agriculture, displaying narrow temperature optima, high water requirements, and strong dependence on precise seasonal cues for flowering, fruit set, and maturation.</w:t>
      </w:r>
    </w:p>
    <w:p w14:paraId="3E0523A0" w14:textId="77777777" w:rsidR="00A36FC8" w:rsidRPr="007C4579" w:rsidRDefault="007B4A8C" w:rsidP="007C4579">
      <w:pPr>
        <w:spacing w:before="100" w:beforeAutospacing="1" w:after="100" w:afterAutospacing="1"/>
        <w:jc w:val="both"/>
      </w:pPr>
      <w:r w:rsidRPr="007C4579">
        <w:t>The Intergovernmental Panel on Climate Change (IPCC) has documented that the global mean surface temperature is already approximately 1.1°C above pre-industrial levels, with projections under the highest emission scenarios suggesting increases of 3.3–5.7°C by the end of the twenty-first century (IPCC, 2021). The state of food security and nutrition globally has deteriorated in parallel, with food insecurity affecting over 828 million people in 2021, and the major drivers—conflict, climate extremes, and economic shocks—showing no sign of abating (FAO et al., 2022). The Sixth Assessment Report of the IPCC further confirmed that climate change is already negatively affecting food production across all regions, with projected impacts on crop yields worsening significantly beyond the 1.5°C global warming threshold (IPCC, 2022). For horticultural production, these perturbations converge to reduce yields, compromise post-harvest quality, and increase the economic risk borne by producers.</w:t>
      </w:r>
    </w:p>
    <w:p w14:paraId="66349826" w14:textId="77777777" w:rsidR="00A36FC8" w:rsidRPr="007C4579" w:rsidRDefault="007B4A8C" w:rsidP="007C4579">
      <w:pPr>
        <w:spacing w:before="100" w:beforeAutospacing="1" w:after="100" w:afterAutospacing="1"/>
        <w:jc w:val="both"/>
      </w:pPr>
      <w:r w:rsidRPr="007C4579">
        <w:t xml:space="preserve">The influence of temperature on global crop productivity has been demonstrated across multiple independent modelling frameworks. A landmark analysis confirmed that for each 1°C increase in global mean temperature, yields of major crops including wheat, rice, maize, and soybean decline significantly (Zhao et al., 2017). For horticultural crops, which are frequently grown closer to their upper thermal limits and are less extensively studied in global crop modelling exercises, the implications of temperature increase are equally grave but less comprehensively quantified. The combined influence of direct temperature effects on photosynthesis and indirect effects on evapotranspiration, soil water depletion, and pest and pathogen dynamics was identified as an important driver of future productivity trajectories (Lobell &amp; </w:t>
      </w:r>
      <w:proofErr w:type="spellStart"/>
      <w:r w:rsidRPr="007C4579">
        <w:t>Gourdji</w:t>
      </w:r>
      <w:proofErr w:type="spellEnd"/>
      <w:r w:rsidRPr="007C4579">
        <w:t>, 2012).</w:t>
      </w:r>
    </w:p>
    <w:p w14:paraId="0ABDE0A5" w14:textId="77777777" w:rsidR="00A36FC8" w:rsidRPr="007C4579" w:rsidRDefault="007B4A8C" w:rsidP="007C4579">
      <w:pPr>
        <w:spacing w:before="100" w:beforeAutospacing="1" w:after="100" w:afterAutospacing="1"/>
        <w:jc w:val="both"/>
      </w:pPr>
      <w:r w:rsidRPr="007C4579">
        <w:t xml:space="preserve">Temperate fruit and nut crops, which depend on precise accumulation of winter chilling hours and spring warmth for successful phenological progression, are particularly exposed to the disruptions of warming winters and unpredictable spring frosts (Osorio-Marín et al., 2024). </w:t>
      </w:r>
      <w:r w:rsidRPr="007C4579">
        <w:lastRenderedPageBreak/>
        <w:t>Vegetable crops, which are largely composed of water and exhibit high sensitivity to both temperature extremes and soil moisture deficits, face mounting yield threats as drought frequency and intensity increase (Park et al., 2025). The combination of heat and drought stress—which co-occur with growing regularity across agricultural regions worldwide—produces compound physiological effects on photosynthesis, membrane integrity, pollen viability, and fruit development that are more severe than either individual stress applied in isolation (</w:t>
      </w:r>
      <w:proofErr w:type="spellStart"/>
      <w:r w:rsidRPr="007C4579">
        <w:t>Janni</w:t>
      </w:r>
      <w:proofErr w:type="spellEnd"/>
      <w:r w:rsidRPr="007C4579">
        <w:t xml:space="preserve"> et al., 2024).</w:t>
      </w:r>
    </w:p>
    <w:p w14:paraId="315FD091" w14:textId="77777777" w:rsidR="00A36FC8" w:rsidRPr="007C4579" w:rsidRDefault="007B4A8C" w:rsidP="007C4579">
      <w:pPr>
        <w:spacing w:before="100" w:beforeAutospacing="1" w:after="100" w:afterAutospacing="1"/>
        <w:jc w:val="both"/>
      </w:pPr>
      <w:r w:rsidRPr="007C4579">
        <w:t xml:space="preserve">The scientific literature has expanded considerably in recent years to address these challenges. Physiological research has illuminated the molecular machinery of stress response in horticultural crops, including the roles of heat shock proteins and transcription factors, antioxidant enzyme systems, abscisic acid </w:t>
      </w:r>
      <w:proofErr w:type="spellStart"/>
      <w:r w:rsidRPr="007C4579">
        <w:t>signalling</w:t>
      </w:r>
      <w:proofErr w:type="spellEnd"/>
      <w:r w:rsidRPr="007C4579">
        <w:t xml:space="preserve"> pathways, and osmolyte accumulation strategies (Kang et al., 2022; Wahid et al., 2007). Agronomic science has refined deficit irrigation protocols, soil health practices, and crop scheduling approaches to improve resilience. Simultaneously, technological innovation has produced precision farming platforms, advanced breeding tools including CRISPR/Cas genome editing, and sophisticated protected cultivation systems that offer transformative potential for climate-proofing fruit and vegetable enterprises. However, synthesis of these disparate bodies of knowledge and their integration into coherent mitigation frameworks remains incomplete in the existing literature, motivating the present review.</w:t>
      </w:r>
    </w:p>
    <w:p w14:paraId="43D10E1D" w14:textId="77777777" w:rsidR="00A36FC8" w:rsidRPr="007C4579" w:rsidRDefault="007B4A8C" w:rsidP="007C4579">
      <w:pPr>
        <w:pStyle w:val="Heading2"/>
        <w:spacing w:before="100" w:beforeAutospacing="1" w:after="100" w:afterAutospacing="1"/>
      </w:pPr>
      <w:r w:rsidRPr="007C4579">
        <w:t>1.1 Scope and Objectives</w:t>
      </w:r>
    </w:p>
    <w:p w14:paraId="4617344B" w14:textId="77777777" w:rsidR="00A36FC8" w:rsidRPr="007C4579" w:rsidRDefault="007B4A8C" w:rsidP="007C4579">
      <w:pPr>
        <w:spacing w:before="100" w:beforeAutospacing="1" w:after="100" w:afterAutospacing="1"/>
        <w:jc w:val="both"/>
      </w:pPr>
      <w:r w:rsidRPr="007C4579">
        <w:t>This review aims to provide a comprehensive, evidence-based synthesis of the physiological, agronomic, and technological strategies currently available for mitigating climate risks in fruit and vegetable production. The review addresses four principal objectives: (</w:t>
      </w:r>
      <w:proofErr w:type="spellStart"/>
      <w:r w:rsidRPr="007C4579">
        <w:t>i</w:t>
      </w:r>
      <w:proofErr w:type="spellEnd"/>
      <w:r w:rsidRPr="007C4579">
        <w:t xml:space="preserve">) to </w:t>
      </w:r>
      <w:proofErr w:type="spellStart"/>
      <w:r w:rsidRPr="007C4579">
        <w:t>characterise</w:t>
      </w:r>
      <w:proofErr w:type="spellEnd"/>
      <w:r w:rsidRPr="007C4579">
        <w:t xml:space="preserve"> the nature and magnitude of climate change impacts on key horticultural crops; (ii) to elucidate the physiological mechanisms underpinning stress tolerance and susceptibility in fruits and vegetables; (iii) to evaluate agronomic interventions that can buffer horticultural production against climate variability across different scales; and (iv) to assess emerging technological innovations, including digital agriculture tools, protected cultivation systems, biotechnological breeding approaches, and </w:t>
      </w:r>
      <w:proofErr w:type="spellStart"/>
      <w:r w:rsidRPr="007C4579">
        <w:t>biostimulant</w:t>
      </w:r>
      <w:proofErr w:type="spellEnd"/>
      <w:r w:rsidRPr="007C4579">
        <w:t xml:space="preserve"> applications. The review is primarily focused on temperate and subtropical horticultural systems, whilst drawing on evidence from tropical contexts where particularly relevant insights are available. It does not address post-harvest climate impacts on supply chains, nor does it cover the broader food system implications of climate change beyond the field production stage.</w:t>
      </w:r>
    </w:p>
    <w:p w14:paraId="033DFF36" w14:textId="77777777" w:rsidR="00A36FC8" w:rsidRPr="007C4579" w:rsidRDefault="007B4A8C" w:rsidP="007C4579">
      <w:pPr>
        <w:pStyle w:val="Heading1"/>
        <w:spacing w:before="100" w:beforeAutospacing="1" w:after="100" w:afterAutospacing="1"/>
      </w:pPr>
      <w:r w:rsidRPr="007C4579">
        <w:t>2. Methods for Literature Selection</w:t>
      </w:r>
    </w:p>
    <w:p w14:paraId="7C74658C" w14:textId="77777777" w:rsidR="00A36FC8" w:rsidRPr="007C4579" w:rsidRDefault="007B4A8C" w:rsidP="007C4579">
      <w:pPr>
        <w:spacing w:before="100" w:beforeAutospacing="1" w:after="100" w:afterAutospacing="1"/>
        <w:jc w:val="both"/>
      </w:pPr>
      <w:r w:rsidRPr="007C4579">
        <w:t>This review was conducted through systematic searches of peer-reviewed literature using four academic databases: Web of Science, Scopus, PubMed, and Google Scholar. The principal search strings used combinations of the following terms: “climate change” AND (“fruit crops” OR “vegetable crops” OR “horticulture”), “heat stress” AND (“vegetables” OR “fruits”) AND (“physiology” OR “adaptation”), “drought stress” AND “horticultural crops”, “CRISPR” AND (“vegetables” OR “fruit crops”) AND (“stress tolerance” OR “climate resilience”), “precision agriculture” AND “horticulture”, “</w:t>
      </w:r>
      <w:proofErr w:type="spellStart"/>
      <w:r w:rsidRPr="007C4579">
        <w:t>biostimulants</w:t>
      </w:r>
      <w:proofErr w:type="spellEnd"/>
      <w:r w:rsidRPr="007C4579">
        <w:t xml:space="preserve">” AND “vegetable” AND “stress”, and </w:t>
      </w:r>
      <w:r w:rsidRPr="007C4579">
        <w:lastRenderedPageBreak/>
        <w:t>“protected cultivation” AND (“climate change” OR “heat”). Boolean operators were applied consistently throughout, and the search was restricted to articles published in English between 1996 and 202</w:t>
      </w:r>
      <w:r w:rsidR="007C4579">
        <w:t>6</w:t>
      </w:r>
      <w:r w:rsidRPr="007C4579">
        <w:t>. The date range was selected to capture three decades of relevant research whilst maintaining relevance to contemporary climate conditions.</w:t>
      </w:r>
    </w:p>
    <w:p w14:paraId="1868AF24" w14:textId="77777777" w:rsidR="00A36FC8" w:rsidRPr="007C4579" w:rsidRDefault="007B4A8C" w:rsidP="007C4579">
      <w:pPr>
        <w:spacing w:before="100" w:beforeAutospacing="1" w:after="100" w:afterAutospacing="1"/>
        <w:jc w:val="both"/>
      </w:pPr>
      <w:r w:rsidRPr="007C4579">
        <w:t xml:space="preserve">Conference papers, theses, grey literature, and book chapters were excluded. Only peer-reviewed journal articles and authoritative institutional reports from intergovernmental </w:t>
      </w:r>
      <w:proofErr w:type="spellStart"/>
      <w:r w:rsidRPr="007C4579">
        <w:t>organisations</w:t>
      </w:r>
      <w:proofErr w:type="spellEnd"/>
      <w:r w:rsidRPr="007C4579">
        <w:t>—specifically the Food and Agriculture Organization of the United Nations and the Intergovernmental Panel on Climate Change—were included. Articles were assessed for inclusion based on direct relevance to the core themes of the review: physiological stress responses in horticultural crops, agronomic adaptation strategies, and technological innovations in fruit and vegetable production systems. Inclusion decisions were guided by title and abstract screening followed by full-text review for articles passing initial screening. A total of 19 primary sources are cited in this review.</w:t>
      </w:r>
    </w:p>
    <w:p w14:paraId="0313A544" w14:textId="77777777" w:rsidR="00A36FC8" w:rsidRPr="007C4579" w:rsidRDefault="007B4A8C" w:rsidP="007C4579">
      <w:pPr>
        <w:pStyle w:val="Heading1"/>
        <w:spacing w:before="100" w:beforeAutospacing="1" w:after="100" w:afterAutospacing="1"/>
      </w:pPr>
      <w:r w:rsidRPr="007C4579">
        <w:t>3. Climate Change Impacts on Fruit and Vegetable Production</w:t>
      </w:r>
    </w:p>
    <w:p w14:paraId="23B7C320" w14:textId="77777777" w:rsidR="00A36FC8" w:rsidRPr="007C4579" w:rsidRDefault="007B4A8C" w:rsidP="007C4579">
      <w:pPr>
        <w:pStyle w:val="Heading2"/>
        <w:spacing w:before="100" w:beforeAutospacing="1" w:after="100" w:afterAutospacing="1"/>
      </w:pPr>
      <w:r w:rsidRPr="007C4579">
        <w:t>3.1 Temperature Extremes and Heat Stress</w:t>
      </w:r>
    </w:p>
    <w:p w14:paraId="5BC5568D" w14:textId="77777777" w:rsidR="00A36FC8" w:rsidRPr="007C4579" w:rsidRDefault="007B4A8C" w:rsidP="007C4579">
      <w:pPr>
        <w:spacing w:before="100" w:beforeAutospacing="1" w:after="100" w:afterAutospacing="1"/>
        <w:jc w:val="both"/>
      </w:pPr>
      <w:r w:rsidRPr="007C4579">
        <w:t>Rising temperatures are perhaps the most pervasive and immediate climate stressor affecting horticultural production globally. For most vegetable crops, optimal growing temperatures fall within the range of 15–30°C, and even moderate exceedances of this thermal threshold initiate a cascade of physiological and biochemical disruptions that ultimately translate into yield losses (Kang et al., 2022). Tomato (</w:t>
      </w:r>
      <w:r w:rsidRPr="007C4579">
        <w:rPr>
          <w:i/>
          <w:iCs/>
        </w:rPr>
        <w:t xml:space="preserve">Solanum </w:t>
      </w:r>
      <w:proofErr w:type="spellStart"/>
      <w:r w:rsidRPr="007C4579">
        <w:rPr>
          <w:i/>
          <w:iCs/>
        </w:rPr>
        <w:t>lycopersicum</w:t>
      </w:r>
      <w:proofErr w:type="spellEnd"/>
      <w:r w:rsidRPr="007C4579">
        <w:t xml:space="preserve"> L.), one of the world’s most economically important vegetable crops, exhibits severe reductions in fruit set when daytime temperatures exceed 32°C, with temperatures above 35°C causing near-total reproductive failure through pollen desiccation and anther indehiscence (Chaudhary et al., 2022). Pepper, broccoli, spinach, and lettuce display similar acute sensitivity to high temperatures, with quality parameters including </w:t>
      </w:r>
      <w:proofErr w:type="spellStart"/>
      <w:r w:rsidRPr="007C4579">
        <w:t>colour</w:t>
      </w:r>
      <w:proofErr w:type="spellEnd"/>
      <w:r w:rsidRPr="007C4579">
        <w:t>, texture, and soluble solid content deteriorating markedly under sustained heat stress. Heat stress has been well established to impose broad damage across both vegetative and reproductive plant processes, making it a principal limiting factor to agricultural productivity on a global scale (Wahid et al., 2007).</w:t>
      </w:r>
    </w:p>
    <w:p w14:paraId="3C964B58" w14:textId="77777777" w:rsidR="00A36FC8" w:rsidRPr="007C4579" w:rsidRDefault="007B4A8C" w:rsidP="007C4579">
      <w:pPr>
        <w:spacing w:before="100" w:beforeAutospacing="1" w:after="100" w:afterAutospacing="1"/>
        <w:jc w:val="both"/>
      </w:pPr>
      <w:r w:rsidRPr="007C4579">
        <w:t>For temperate tree fruits, the effects of warming temperatures extend over considerably longer time horizons through shifts in phenological timing. Insufficient winter chilling hours—required by apple, pear, cherry, almond, and peach trees to break dormancy and progress through bud development—represent a growing risk as mild winters become more frequent across traditional fruit-producing regions of Europe, North America, and Australasia (Osorio-Marín et al., 2024). A systematic review of 403 studies published between 2000 and 2023 confirmed that the disruption of chilling requirements is amongst the most consistently documented effects of climate change on temperate fruit and nut production, with knock-on effects including non-uniform flowering, reduced fruit set, and diminished yield potential (Osorio-Marín et al., 2024). Furthermore, premature bud break driven by warming springs increases exposure of reproductive tissues to late frost events, which have paradoxically become more damaging as crops break dormancy earlier whilst the probability of sub-zero spring temperatures retains its historical frequency.</w:t>
      </w:r>
    </w:p>
    <w:p w14:paraId="6CD54CED" w14:textId="77777777" w:rsidR="00A36FC8" w:rsidRPr="007C4579" w:rsidRDefault="007B4A8C" w:rsidP="007C4579">
      <w:pPr>
        <w:spacing w:before="100" w:beforeAutospacing="1" w:after="100" w:afterAutospacing="1"/>
        <w:jc w:val="both"/>
      </w:pPr>
      <w:r w:rsidRPr="007C4579">
        <w:lastRenderedPageBreak/>
        <w:t xml:space="preserve">Global modelling exercises provide sobering quantitative context for these crop-level observations. Temperature increase reduces global yields of major crops consistently across independent analytical frameworks (Zhao et al., 2017). The cumulative effects of temperature-driven reductions in photosynthetic efficiency, accelerated phenological development, increased evapotranspiration demand, and reduced pollinator activity jointly threaten the viability of horticultural production across a wide range of current producing regions (Lobell &amp; </w:t>
      </w:r>
      <w:proofErr w:type="spellStart"/>
      <w:r w:rsidRPr="007C4579">
        <w:t>Gourdji</w:t>
      </w:r>
      <w:proofErr w:type="spellEnd"/>
      <w:r w:rsidRPr="007C4579">
        <w:t xml:space="preserve">, 2012; </w:t>
      </w:r>
      <w:proofErr w:type="spellStart"/>
      <w:r w:rsidRPr="007C4579">
        <w:t>Janni</w:t>
      </w:r>
      <w:proofErr w:type="spellEnd"/>
      <w:r w:rsidRPr="007C4579">
        <w:t xml:space="preserve"> et al., 2024).</w:t>
      </w:r>
    </w:p>
    <w:p w14:paraId="4DF517C2" w14:textId="77777777" w:rsidR="00A36FC8" w:rsidRPr="007C4579" w:rsidRDefault="007B4A8C" w:rsidP="007C4579">
      <w:pPr>
        <w:pStyle w:val="Heading2"/>
        <w:spacing w:before="100" w:beforeAutospacing="1" w:after="100" w:afterAutospacing="1"/>
      </w:pPr>
      <w:r w:rsidRPr="007C4579">
        <w:t>3.2 Drought and Water Deficits</w:t>
      </w:r>
    </w:p>
    <w:p w14:paraId="4E9D4A76" w14:textId="77777777" w:rsidR="00A36FC8" w:rsidRPr="007C4579" w:rsidRDefault="007B4A8C" w:rsidP="007C4579">
      <w:pPr>
        <w:spacing w:before="100" w:beforeAutospacing="1" w:after="100" w:afterAutospacing="1"/>
        <w:jc w:val="both"/>
      </w:pPr>
      <w:r w:rsidRPr="007C4579">
        <w:t>Water availability underpins every dimension of horticultural crop performance, from germination and canopy establishment through to fruit fill and post-harvest storability. Drought stress caused by climate change is increasingly affecting the productivity and quality of vegetable crops worldwide, with the frequency and intensity of drought events expected to increase substantially across most agricultural regions under projected warming scenarios (Park et al., 2025). Vegetables are predominantly composed of water—many species exceeding 90% moisture content at harvest—making them especially vulnerable to soil moisture deficits at any growth stage. Water deficits during critical growth stages result in significant reductions in yield and quality, with effects mediated through stomatal closure, reduced carbon assimilation, impaired turgor-driven cell expansion, and disruption of nutrient uptake (Park et al., 2025).</w:t>
      </w:r>
    </w:p>
    <w:p w14:paraId="033E7AAC" w14:textId="77777777" w:rsidR="00A36FC8" w:rsidRPr="007C4579" w:rsidRDefault="007B4A8C" w:rsidP="007C4579">
      <w:pPr>
        <w:spacing w:before="100" w:beforeAutospacing="1" w:after="100" w:afterAutospacing="1"/>
        <w:jc w:val="both"/>
      </w:pPr>
      <w:r w:rsidRPr="007C4579">
        <w:t>Research on key species illustrates the crop-specific dimensions of drought vulnerability. Tomato plants under drought stress close their stomata to conserve water, but this simultaneously lowers internal CO</w:t>
      </w:r>
      <w:r w:rsidRPr="007C4579">
        <w:rPr>
          <w:vertAlign w:val="subscript"/>
        </w:rPr>
        <w:t>₂</w:t>
      </w:r>
      <w:r w:rsidRPr="007C4579">
        <w:t xml:space="preserve"> concentrations and reduces photosynthetic efficiency, ultimately diminishing carbohydrate supply for fruit development. Pepper, which has comparatively </w:t>
      </w:r>
      <w:proofErr w:type="gramStart"/>
      <w:r w:rsidRPr="007C4579">
        <w:t>high water</w:t>
      </w:r>
      <w:proofErr w:type="gramEnd"/>
      <w:r w:rsidRPr="007C4579">
        <w:t xml:space="preserve"> requirements during the flowering and fruit-set phases, exhibits pronounced declines in marketable yield when drought coincides with reproductive stages. Cabbage and other Brassicaceae display accelerated leaf senescence, reduced head formation, and impaired </w:t>
      </w:r>
      <w:proofErr w:type="spellStart"/>
      <w:r w:rsidRPr="007C4579">
        <w:t>glucosinolate</w:t>
      </w:r>
      <w:proofErr w:type="spellEnd"/>
      <w:r w:rsidRPr="007C4579">
        <w:t xml:space="preserve"> biosynthesis under sustained drought. The duration, intensity, and developmental timing of drought stress all determine the magnitude of yield loss, with the reproductive stage consistently emerging as the period of greatest sensitivity across vegetable species (Park et al., 2025).</w:t>
      </w:r>
    </w:p>
    <w:p w14:paraId="0EF4B7E2" w14:textId="77777777" w:rsidR="00A36FC8" w:rsidRPr="007C4579" w:rsidRDefault="007B4A8C" w:rsidP="007C4579">
      <w:pPr>
        <w:pStyle w:val="Heading2"/>
        <w:spacing w:before="100" w:beforeAutospacing="1" w:after="100" w:afterAutospacing="1"/>
      </w:pPr>
      <w:r w:rsidRPr="007C4579">
        <w:t>3.3 Elevated Atmospheric CO₂ and Ozone</w:t>
      </w:r>
    </w:p>
    <w:p w14:paraId="5D3F10B3" w14:textId="77777777" w:rsidR="00A36FC8" w:rsidRPr="007C4579" w:rsidRDefault="007B4A8C" w:rsidP="007C4579">
      <w:pPr>
        <w:spacing w:before="100" w:beforeAutospacing="1" w:after="100" w:afterAutospacing="1"/>
        <w:jc w:val="both"/>
      </w:pPr>
      <w:r w:rsidRPr="007C4579">
        <w:t>The concentration of atmospheric CO</w:t>
      </w:r>
      <w:r w:rsidRPr="007C4579">
        <w:rPr>
          <w:vertAlign w:val="subscript"/>
        </w:rPr>
        <w:t>₂</w:t>
      </w:r>
      <w:r w:rsidRPr="007C4579">
        <w:t xml:space="preserve"> has risen from approximately 280 ppm in pre-industrial times to over 420 ppm at present, and is projected to exceed 600 ppm by the end of the century under business-as-usual emission scenarios (IPCC, 2021). Elevated CO</w:t>
      </w:r>
      <w:r w:rsidRPr="007C4579">
        <w:rPr>
          <w:vertAlign w:val="subscript"/>
        </w:rPr>
        <w:t>₂</w:t>
      </w:r>
      <w:r w:rsidRPr="007C4579">
        <w:t xml:space="preserve"> can stimulate photosynthesis and water use efficiency through the “</w:t>
      </w:r>
      <w:proofErr w:type="spellStart"/>
      <w:r w:rsidRPr="007C4579">
        <w:t>fertilisation</w:t>
      </w:r>
      <w:proofErr w:type="spellEnd"/>
      <w:r w:rsidRPr="007C4579">
        <w:t xml:space="preserve"> effect” in C3 plants, but these benefits are increasingly </w:t>
      </w:r>
      <w:proofErr w:type="spellStart"/>
      <w:r w:rsidRPr="007C4579">
        <w:t>recognised</w:t>
      </w:r>
      <w:proofErr w:type="spellEnd"/>
      <w:r w:rsidRPr="007C4579">
        <w:t xml:space="preserve"> as partial and context-dependent. Yield gains under elevated CO</w:t>
      </w:r>
      <w:r w:rsidRPr="007C4579">
        <w:rPr>
          <w:vertAlign w:val="subscript"/>
        </w:rPr>
        <w:t>₂</w:t>
      </w:r>
      <w:r w:rsidRPr="007C4579">
        <w:t xml:space="preserve"> in isolation are substantially eroded when warming and drought co-occur, and for many horticultural crops the net effect of the full suite of climate change components is negative (</w:t>
      </w:r>
      <w:proofErr w:type="spellStart"/>
      <w:r w:rsidRPr="007C4579">
        <w:t>Janni</w:t>
      </w:r>
      <w:proofErr w:type="spellEnd"/>
      <w:r w:rsidRPr="007C4579">
        <w:t xml:space="preserve"> et al., 2024). Moreover, elevated CO</w:t>
      </w:r>
      <w:r w:rsidRPr="007C4579">
        <w:rPr>
          <w:vertAlign w:val="subscript"/>
        </w:rPr>
        <w:t>₂</w:t>
      </w:r>
      <w:r w:rsidRPr="007C4579">
        <w:t xml:space="preserve"> has been shown to reduce the concentration of protein, iron, zinc, and vitamin C in edible portions of several vegetable crops, raising important concerns about the nutritional quality of future food supplies even in scenarios where yields are maintained.</w:t>
      </w:r>
    </w:p>
    <w:p w14:paraId="57708B54" w14:textId="77777777" w:rsidR="00A36FC8" w:rsidRPr="007C4579" w:rsidRDefault="007B4A8C" w:rsidP="007C4579">
      <w:pPr>
        <w:spacing w:before="100" w:beforeAutospacing="1" w:after="100" w:afterAutospacing="1"/>
        <w:jc w:val="both"/>
      </w:pPr>
      <w:r w:rsidRPr="007C4579">
        <w:lastRenderedPageBreak/>
        <w:t>Tropospheric ozone, generated from precursor pollutants linked to fossil fuel combustion, represents an additional and frequently underappreciated climate-related threat to horticultural production. Ozone damages plant tissues through oxidative injury to chloroplasts and cell membranes, reducing photosynthetic capacity and accelerating senescence in sensitive species. Crops such as spinach, potato, tomato, and onion are among the most ozone-sensitive agricultural plants. As climate change alters the atmospheric chemistry of ozone precursors and shifts stagnant high-ozone weather conditions to new geographic areas, ozone pollution is expected to compound the direct thermal and drought stresses discussed above.</w:t>
      </w:r>
    </w:p>
    <w:p w14:paraId="139DE95D" w14:textId="77777777" w:rsidR="00A36FC8" w:rsidRPr="007C4579" w:rsidRDefault="007B4A8C" w:rsidP="007C4579">
      <w:pPr>
        <w:pStyle w:val="Heading2"/>
        <w:spacing w:before="100" w:beforeAutospacing="1" w:after="100" w:afterAutospacing="1"/>
      </w:pPr>
      <w:r w:rsidRPr="007C4579">
        <w:t>3.4 Extreme Weather Events and Flooding</w:t>
      </w:r>
    </w:p>
    <w:p w14:paraId="2C0E5214" w14:textId="77777777" w:rsidR="00A36FC8" w:rsidRPr="007C4579" w:rsidRDefault="007B4A8C" w:rsidP="007C4579">
      <w:pPr>
        <w:spacing w:before="100" w:beforeAutospacing="1" w:after="100" w:afterAutospacing="1"/>
        <w:jc w:val="both"/>
      </w:pPr>
      <w:r w:rsidRPr="007C4579">
        <w:t>Beyond gradual warming trends, the increased frequency and intensity of extreme weather events poses acute disruption risks to horticultural systems. The IPCC Sixth Assessment Report documents with high confidence that climate change has intensified extreme precipitation events and that the frequency of intense tropical cyclones has increased globally (IPCC, 2022). Flooding events cause waterlogging of root zones, leading to hypoxia, impaired nutrient absorption, and root necrosis in flood-sensitive crops, with vegetable crops including tomato, pepper, and most Brassicaceae exhibiting particular vulnerability. Hailstorms inflict direct physical damage on fruits, rendering them commercially unmarketable even where other quality parameters are unaffected. Unseasonal precipitation events during flowering can substantially reduce pollination success by interfering with pollen viability, stigma receptivity, and the activity of pollinating insects. Climate projections consistently indicate that the intensity of precipitation events will increase across most regions, with implications for both acute flood risk and inter-event drought severity.</w:t>
      </w:r>
    </w:p>
    <w:p w14:paraId="3C6F9312" w14:textId="77777777" w:rsidR="00A36FC8" w:rsidRPr="007C4579" w:rsidRDefault="007B4A8C" w:rsidP="007C4579">
      <w:pPr>
        <w:pStyle w:val="Heading1"/>
        <w:spacing w:before="100" w:beforeAutospacing="1" w:after="100" w:afterAutospacing="1"/>
      </w:pPr>
      <w:r w:rsidRPr="007C4579">
        <w:t>4. Physiological Responses of Horticultural Crops to Climate Stress</w:t>
      </w:r>
    </w:p>
    <w:p w14:paraId="1F69F029" w14:textId="77777777" w:rsidR="00A36FC8" w:rsidRPr="007C4579" w:rsidRDefault="007B4A8C" w:rsidP="007C4579">
      <w:pPr>
        <w:pStyle w:val="Heading2"/>
        <w:spacing w:before="100" w:beforeAutospacing="1" w:after="100" w:afterAutospacing="1"/>
      </w:pPr>
      <w:r w:rsidRPr="007C4579">
        <w:t>4.1 Photosynthetic Disruption and Membrane Stability</w:t>
      </w:r>
    </w:p>
    <w:p w14:paraId="3E2F0779" w14:textId="77777777" w:rsidR="00A36FC8" w:rsidRPr="007C4579" w:rsidRDefault="007B4A8C" w:rsidP="007C4579">
      <w:pPr>
        <w:spacing w:before="100" w:beforeAutospacing="1" w:after="100" w:afterAutospacing="1"/>
        <w:jc w:val="both"/>
      </w:pPr>
      <w:r w:rsidRPr="007C4579">
        <w:t xml:space="preserve">Photosynthesis represents the primary physiological process by which climate stresses translate into yield losses in horticultural crops. Both heat and drought stress directly impair the photosynthetic apparatus through multiple, interacting mechanisms. Under heat stress, the thylakoid membranes within chloroplasts undergo phase transitions that disrupt electron transport chain function, deactivate key photosynthetic enzymes—particularly Rubisco and its </w:t>
      </w:r>
      <w:proofErr w:type="spellStart"/>
      <w:r w:rsidRPr="007C4579">
        <w:t>activase</w:t>
      </w:r>
      <w:proofErr w:type="spellEnd"/>
      <w:r w:rsidRPr="007C4579">
        <w:t xml:space="preserve">—and cause dissociation of the oxygen-evolving complex of Photosystem II (Kang et al., 2022; </w:t>
      </w:r>
      <w:proofErr w:type="spellStart"/>
      <w:r w:rsidRPr="007C4579">
        <w:t>Bita</w:t>
      </w:r>
      <w:proofErr w:type="spellEnd"/>
      <w:r w:rsidRPr="007C4579">
        <w:t xml:space="preserve"> &amp; </w:t>
      </w:r>
      <w:proofErr w:type="spellStart"/>
      <w:r w:rsidRPr="007C4579">
        <w:t>Gerats</w:t>
      </w:r>
      <w:proofErr w:type="spellEnd"/>
      <w:r w:rsidRPr="007C4579">
        <w:t xml:space="preserve">, 2013). These disruptions reduce the quantum efficiency of photochemical reactions and impair the conversion of light energy into assimilated carbon. Membrane stability, assessed through electrolyte leakage assays and thermal stability measurements, has emerged as a reliable and widely adopted physiological marker for heat tolerance screening in breeding </w:t>
      </w:r>
      <w:proofErr w:type="spellStart"/>
      <w:r w:rsidRPr="007C4579">
        <w:t>programmes</w:t>
      </w:r>
      <w:proofErr w:type="spellEnd"/>
      <w:r w:rsidRPr="007C4579">
        <w:t xml:space="preserve"> across tomato, pepper, and broccoli (Chaudhary et al., 2022).</w:t>
      </w:r>
    </w:p>
    <w:p w14:paraId="2D3E77BD" w14:textId="77777777" w:rsidR="00A36FC8" w:rsidRPr="007C4579" w:rsidRDefault="007B4A8C" w:rsidP="007C4579">
      <w:pPr>
        <w:spacing w:before="100" w:beforeAutospacing="1" w:after="100" w:afterAutospacing="1"/>
        <w:jc w:val="both"/>
      </w:pPr>
      <w:r w:rsidRPr="007C4579">
        <w:t xml:space="preserve">Drought stress compounds photosynthetic impairment through a distinct but overlapping mechanism. Stomatal closure, initiated by abscisic acid (ABA) </w:t>
      </w:r>
      <w:proofErr w:type="spellStart"/>
      <w:r w:rsidRPr="007C4579">
        <w:t>signalling</w:t>
      </w:r>
      <w:proofErr w:type="spellEnd"/>
      <w:r w:rsidRPr="007C4579">
        <w:t xml:space="preserve"> within guard cells, reduces CO</w:t>
      </w:r>
      <w:r w:rsidRPr="007C4579">
        <w:rPr>
          <w:vertAlign w:val="subscript"/>
        </w:rPr>
        <w:t>₂</w:t>
      </w:r>
      <w:r w:rsidRPr="007C4579">
        <w:t xml:space="preserve"> uptake and limits carbon supply for the Calvin cycle. Under conditions of water deficit, reactive oxygen species (ROS) generated as by-products of disrupted electron transport accumulate to levels that exceed the scavenging capacity of antioxidant </w:t>
      </w:r>
      <w:proofErr w:type="spellStart"/>
      <w:r w:rsidRPr="007C4579">
        <w:t>defence</w:t>
      </w:r>
      <w:proofErr w:type="spellEnd"/>
      <w:r w:rsidRPr="007C4579">
        <w:t xml:space="preserve"> systems, </w:t>
      </w:r>
      <w:r w:rsidRPr="007C4579">
        <w:lastRenderedPageBreak/>
        <w:t>initiating oxidative damage to proteins, lipids, and nucleic acids (Park et al., 2025). The simultaneous disruption of both stomatal conductance and membrane integrity under combined heat and drought stress creates a severe, synergistic constraint on crop carbon balance that is not adequately captured by either stress considered in isolation (</w:t>
      </w:r>
      <w:proofErr w:type="spellStart"/>
      <w:r w:rsidRPr="007C4579">
        <w:t>Janni</w:t>
      </w:r>
      <w:proofErr w:type="spellEnd"/>
      <w:r w:rsidRPr="007C4579">
        <w:t xml:space="preserve"> et al., 2024). Understanding the crosstalk between ABA-mediated drought responses and heat stress </w:t>
      </w:r>
      <w:proofErr w:type="spellStart"/>
      <w:r w:rsidRPr="007C4579">
        <w:t>signalling</w:t>
      </w:r>
      <w:proofErr w:type="spellEnd"/>
      <w:r w:rsidRPr="007C4579">
        <w:t xml:space="preserve"> pathways has emerged as a significant frontier in crop stress physiology.</w:t>
      </w:r>
    </w:p>
    <w:p w14:paraId="50844BC6" w14:textId="77777777" w:rsidR="00A36FC8" w:rsidRPr="007C4579" w:rsidRDefault="007B4A8C" w:rsidP="007C4579">
      <w:pPr>
        <w:pStyle w:val="Heading2"/>
        <w:spacing w:before="100" w:beforeAutospacing="1" w:after="100" w:afterAutospacing="1"/>
      </w:pPr>
      <w:r w:rsidRPr="007C4579">
        <w:t>4.2 Reproductive Failure and Yield Loss</w:t>
      </w:r>
    </w:p>
    <w:p w14:paraId="7E5BDB05" w14:textId="77777777" w:rsidR="00A36FC8" w:rsidRPr="007C4579" w:rsidRDefault="007B4A8C" w:rsidP="007C4579">
      <w:pPr>
        <w:spacing w:before="100" w:beforeAutospacing="1" w:after="100" w:afterAutospacing="1"/>
        <w:jc w:val="both"/>
      </w:pPr>
      <w:r w:rsidRPr="007C4579">
        <w:t xml:space="preserve">The reproductive phase of crop development represents the period of greatest climate sensitivity in most horticultural species, and the stage at which climate stress most frequently translates into irreversible economic losses. High-temperature stress above 30°C negatively impacts male and female gametophyte development, leading to poor development and deformities of reproductive tissues that limit the </w:t>
      </w:r>
      <w:proofErr w:type="spellStart"/>
      <w:r w:rsidRPr="007C4579">
        <w:t>fertilisation</w:t>
      </w:r>
      <w:proofErr w:type="spellEnd"/>
      <w:r w:rsidRPr="007C4579">
        <w:t xml:space="preserve"> process (Chaudhary et al., 2022). In tomato, heat stress during flowering causes indehiscent anthers, severely reduced pollen viability, poor stigma receptivity, and failure of pollen tube elongation, collectively producing flower abortion or </w:t>
      </w:r>
      <w:proofErr w:type="spellStart"/>
      <w:r w:rsidRPr="007C4579">
        <w:t>parthenocarpic</w:t>
      </w:r>
      <w:proofErr w:type="spellEnd"/>
      <w:r w:rsidRPr="007C4579">
        <w:t>, hollow fruit development with markedly reduced lycopene content and commercial value. Parveen et al. (2023) provide a comprehensive account of the molecular and physiological mechanisms governing heat tolerance during reproductive development in vegetable crops, highlighting the priority of developing heat-tolerant varieties that maintain reproductive function under projected thermal conditions.</w:t>
      </w:r>
    </w:p>
    <w:p w14:paraId="24EE44D5" w14:textId="77777777" w:rsidR="00A36FC8" w:rsidRPr="007C4579" w:rsidRDefault="007B4A8C" w:rsidP="007C4579">
      <w:pPr>
        <w:spacing w:before="100" w:beforeAutospacing="1" w:after="100" w:afterAutospacing="1"/>
        <w:jc w:val="both"/>
      </w:pPr>
      <w:r w:rsidRPr="007C4579">
        <w:t>The threshold for reproductive damage is often 5–10°C below the threshold for vegetative damage, meaning that crops may appear visually healthy and maintain green canopies whilst experiencing severe reproductive failure and consequent yield collapse. This discrepancy between vegetative and reproductive thermotolerance thresholds represents a significant challenge for field-based stress assessment and variety evaluation. Saeed et al. (2023) reviewed the role of modern omics technologies—including genomics, transcriptomics, proteomics, and metabolomics—in unravelling the genetic architecture of heat resilience in vegetable crops, demonstrating that multi-omics integration substantially accelerates the identification of candidate genes and regulatory networks controlling thermotolerance at the reproductive stage. In temperate fruit trees, insufficient chilling accumulation leads to non-uniform and delayed flowering, reduced fruit set, and diminished yield potential even in years without acute heat events (Osorio-Marín et al., 2024).</w:t>
      </w:r>
    </w:p>
    <w:p w14:paraId="63D35626" w14:textId="77777777" w:rsidR="00A36FC8" w:rsidRPr="007C4579" w:rsidRDefault="007B4A8C" w:rsidP="007C4579">
      <w:pPr>
        <w:pStyle w:val="Heading2"/>
        <w:spacing w:before="100" w:beforeAutospacing="1" w:after="100" w:afterAutospacing="1"/>
      </w:pPr>
      <w:r w:rsidRPr="007C4579">
        <w:t xml:space="preserve">4.3 Heat Shock Protein Responses and Antioxidant </w:t>
      </w:r>
      <w:proofErr w:type="spellStart"/>
      <w:r w:rsidRPr="007C4579">
        <w:t>Defence</w:t>
      </w:r>
      <w:proofErr w:type="spellEnd"/>
    </w:p>
    <w:p w14:paraId="3D9CE78A" w14:textId="77777777" w:rsidR="00A36FC8" w:rsidRPr="007C4579" w:rsidRDefault="007B4A8C" w:rsidP="007C4579">
      <w:pPr>
        <w:spacing w:before="100" w:beforeAutospacing="1" w:after="100" w:afterAutospacing="1"/>
        <w:jc w:val="both"/>
      </w:pPr>
      <w:r w:rsidRPr="007C4579">
        <w:t xml:space="preserve">Plants have evolved a sophisticated molecular </w:t>
      </w:r>
      <w:proofErr w:type="spellStart"/>
      <w:r w:rsidRPr="007C4579">
        <w:t>defence</w:t>
      </w:r>
      <w:proofErr w:type="spellEnd"/>
      <w:r w:rsidRPr="007C4579">
        <w:t xml:space="preserve"> system against elevated temperature stress, </w:t>
      </w:r>
      <w:proofErr w:type="spellStart"/>
      <w:r w:rsidRPr="007C4579">
        <w:t>centred</w:t>
      </w:r>
      <w:proofErr w:type="spellEnd"/>
      <w:r w:rsidRPr="007C4579">
        <w:t xml:space="preserve"> on the rapid induction of heat shock factors (HSFs) and heat shock proteins (HSPs). Heat shock proteins function as molecular chaperones, preventing the aggregation of denatured proteins and facilitating their refolding or targeted degradation, thereby maintaining cellular </w:t>
      </w:r>
      <w:proofErr w:type="spellStart"/>
      <w:r w:rsidRPr="007C4579">
        <w:t>proteostasis</w:t>
      </w:r>
      <w:proofErr w:type="spellEnd"/>
      <w:r w:rsidRPr="007C4579">
        <w:t xml:space="preserve"> under conditions of thermal stress (Kang et al., 2022). Five major families of HSPs are </w:t>
      </w:r>
      <w:proofErr w:type="spellStart"/>
      <w:r w:rsidRPr="007C4579">
        <w:t>recognised</w:t>
      </w:r>
      <w:proofErr w:type="spellEnd"/>
      <w:r w:rsidRPr="007C4579">
        <w:t xml:space="preserve"> in plants, differentiated by molecular weight: HSP100, HSP90, HSP70, HSP60, and small HSPs (</w:t>
      </w:r>
      <w:proofErr w:type="spellStart"/>
      <w:r w:rsidRPr="007C4579">
        <w:t>sHSPs</w:t>
      </w:r>
      <w:proofErr w:type="spellEnd"/>
      <w:r w:rsidRPr="007C4579">
        <w:t xml:space="preserve">), with each family serving distinct functions in the protein quality control network. The molecular basis of heat stress responses in vegetable crops, with particular focus on HSP and HSF families, has been comprehensively reviewed, revealing that </w:t>
      </w:r>
      <w:r w:rsidRPr="007C4579">
        <w:lastRenderedPageBreak/>
        <w:t xml:space="preserve">HSP70 and various </w:t>
      </w:r>
      <w:proofErr w:type="spellStart"/>
      <w:r w:rsidRPr="007C4579">
        <w:t>sHSPs</w:t>
      </w:r>
      <w:proofErr w:type="spellEnd"/>
      <w:r w:rsidRPr="007C4579">
        <w:t xml:space="preserve"> are induced rapidly and abundantly in tomato, pepper, broccoli, and Chinese cabbage under heat stress (Kang et al., 2022).</w:t>
      </w:r>
    </w:p>
    <w:p w14:paraId="476B7D03" w14:textId="77777777" w:rsidR="00A36FC8" w:rsidRPr="007C4579" w:rsidRDefault="007B4A8C" w:rsidP="007C4579">
      <w:pPr>
        <w:spacing w:before="100" w:beforeAutospacing="1" w:after="100" w:afterAutospacing="1"/>
        <w:jc w:val="both"/>
      </w:pPr>
      <w:r w:rsidRPr="007C4579">
        <w:t xml:space="preserve">Acquired thermotolerance—the enhanced capacity of plants to withstand severe heat stress following prior exposure to sub-lethal temperatures—depends critically on HSP induction and has important agronomic implications for management strategies such as heat hardening prior to transplanting. Beyond HSPs, the antioxidant </w:t>
      </w:r>
      <w:proofErr w:type="spellStart"/>
      <w:r w:rsidRPr="007C4579">
        <w:t>defence</w:t>
      </w:r>
      <w:proofErr w:type="spellEnd"/>
      <w:r w:rsidRPr="007C4579">
        <w:t xml:space="preserve"> system constitutes a parallel and equally essential tier of molecular </w:t>
      </w:r>
      <w:proofErr w:type="spellStart"/>
      <w:r w:rsidRPr="007C4579">
        <w:t>defence</w:t>
      </w:r>
      <w:proofErr w:type="spellEnd"/>
      <w:r w:rsidRPr="007C4579">
        <w:t xml:space="preserve"> against oxidative damage arising from climate stress. The enzymatic antioxidants—superoxide dismutase (SOD), catalase (CAT), ascorbate peroxidase (APX), and glutathione reductase (GR)—work in concert with non-enzymatic antioxidants such as ascorbate, tocopherols, and carotenoids to scavenge excess ROS before they cause irreversible cellular damage (</w:t>
      </w:r>
      <w:proofErr w:type="spellStart"/>
      <w:r w:rsidRPr="007C4579">
        <w:t>Terán</w:t>
      </w:r>
      <w:proofErr w:type="spellEnd"/>
      <w:r w:rsidRPr="007C4579">
        <w:t xml:space="preserve"> et al., 2024). The capacity of horticultural crop genotypes to maintain robust antioxidant enzyme activity under concurrent heat and drought stress has emerged as a key determinant of yield stability, and is now routinely assessed in stress tolerance breeding </w:t>
      </w:r>
      <w:proofErr w:type="spellStart"/>
      <w:r w:rsidRPr="007C4579">
        <w:t>programmes</w:t>
      </w:r>
      <w:proofErr w:type="spellEnd"/>
      <w:r w:rsidRPr="007C4579">
        <w:t>.</w:t>
      </w:r>
    </w:p>
    <w:p w14:paraId="01A7BACE" w14:textId="77777777" w:rsidR="00A36FC8" w:rsidRPr="007C4579" w:rsidRDefault="007B4A8C" w:rsidP="007C4579">
      <w:pPr>
        <w:pStyle w:val="Heading1"/>
        <w:spacing w:before="100" w:beforeAutospacing="1" w:after="100" w:afterAutospacing="1"/>
      </w:pPr>
      <w:r w:rsidRPr="007C4579">
        <w:t>5. Agronomic Strategies for Climate Risk Mitigation</w:t>
      </w:r>
    </w:p>
    <w:p w14:paraId="1AB614BB" w14:textId="77777777" w:rsidR="00A36FC8" w:rsidRPr="007C4579" w:rsidRDefault="007B4A8C" w:rsidP="007C4579">
      <w:pPr>
        <w:pStyle w:val="Heading2"/>
        <w:spacing w:before="100" w:beforeAutospacing="1" w:after="100" w:afterAutospacing="1"/>
      </w:pPr>
      <w:r w:rsidRPr="007C4579">
        <w:t>5.1 Irrigation Management and Water Use Efficiency</w:t>
      </w:r>
    </w:p>
    <w:p w14:paraId="5645FDA2" w14:textId="77777777" w:rsidR="00A36FC8" w:rsidRPr="007C4579" w:rsidRDefault="007B4A8C" w:rsidP="007C4579">
      <w:pPr>
        <w:spacing w:before="100" w:beforeAutospacing="1" w:after="100" w:afterAutospacing="1"/>
        <w:jc w:val="both"/>
      </w:pPr>
      <w:r w:rsidRPr="007C4579">
        <w:t xml:space="preserve">The management of irrigation is fundamental to sustaining horticultural productivity under conditions of intensified drought and heightened temperature. Deficit irrigation, which involves the deliberate application of water below full crop evapotranspiration replacement, has been extensively investigated for its capacity to maintain acceptable yields whilst conserving increasingly scarce water resources. In olive, grapevine, and stone fruit orchards, regulated deficit irrigation during specific phenological stages—particularly during rapid cell division in developing fruit—has been shown to manage fruit size and quality whilst substantially reducing seasonal water inputs relative to full evapotranspiration replacement (Osorio-Marín et al., 2024). For vegetable crops, partial root-zone drying, in which alternating sections of the root zone are irrigated whilst the other section dries, exploits soil-to-shoot ABA </w:t>
      </w:r>
      <w:proofErr w:type="spellStart"/>
      <w:r w:rsidRPr="007C4579">
        <w:t>signalling</w:t>
      </w:r>
      <w:proofErr w:type="spellEnd"/>
      <w:r w:rsidRPr="007C4579">
        <w:t xml:space="preserve"> to induce stomatal partial closure and reduce transpiration whilst maintaining turgor for growth and yield, achieving water savings of 30–50% with comparatively modest yield penalties under optimal management.</w:t>
      </w:r>
    </w:p>
    <w:p w14:paraId="562021EE" w14:textId="77777777" w:rsidR="00A36FC8" w:rsidRPr="007C4579" w:rsidRDefault="007B4A8C" w:rsidP="007C4579">
      <w:pPr>
        <w:spacing w:before="100" w:beforeAutospacing="1" w:after="100" w:afterAutospacing="1"/>
        <w:jc w:val="both"/>
      </w:pPr>
      <w:r w:rsidRPr="007C4579">
        <w:t xml:space="preserve">Micro-irrigation technologies, particularly drip and subsurface drip systems, are increasingly preferred in horticultural production for their capacity to deliver water directly to the root zone whilst </w:t>
      </w:r>
      <w:proofErr w:type="spellStart"/>
      <w:r w:rsidRPr="007C4579">
        <w:t>minimising</w:t>
      </w:r>
      <w:proofErr w:type="spellEnd"/>
      <w:r w:rsidRPr="007C4579">
        <w:t xml:space="preserve"> evaporative losses from soil surfaces and foliar wetting that can promote fungal disease. These systems can also facilitate fertigation—the delivery of dissolved </w:t>
      </w:r>
      <w:proofErr w:type="spellStart"/>
      <w:r w:rsidRPr="007C4579">
        <w:t>fertilisers</w:t>
      </w:r>
      <w:proofErr w:type="spellEnd"/>
      <w:r w:rsidRPr="007C4579">
        <w:t xml:space="preserve"> through the irrigation stream—enabling the precise scheduling of nutrient supply to match dynamic crop requirements during stress-affected growing seasons. In regions </w:t>
      </w:r>
      <w:proofErr w:type="gramStart"/>
      <w:r w:rsidRPr="007C4579">
        <w:t>where</w:t>
      </w:r>
      <w:proofErr w:type="gramEnd"/>
      <w:r w:rsidRPr="007C4579">
        <w:t xml:space="preserve"> traditional furrow or overhead sprinkler irrigation remains dominant, the transition to micro-irrigation represents one of the highest-impact, near-term adaptation investments available to horticultural producers.</w:t>
      </w:r>
    </w:p>
    <w:p w14:paraId="29C2832D" w14:textId="77777777" w:rsidR="00A36FC8" w:rsidRPr="007C4579" w:rsidRDefault="007B4A8C" w:rsidP="007C4579">
      <w:pPr>
        <w:pStyle w:val="Heading2"/>
        <w:spacing w:before="100" w:beforeAutospacing="1" w:after="100" w:afterAutospacing="1"/>
      </w:pPr>
      <w:r w:rsidRPr="007C4579">
        <w:t>5.2 Soil Health Management and Organic Amendments</w:t>
      </w:r>
    </w:p>
    <w:p w14:paraId="262F156A" w14:textId="77777777" w:rsidR="00A36FC8" w:rsidRPr="007C4579" w:rsidRDefault="007B4A8C" w:rsidP="007C4579">
      <w:pPr>
        <w:spacing w:before="100" w:beforeAutospacing="1" w:after="100" w:afterAutospacing="1"/>
        <w:jc w:val="both"/>
      </w:pPr>
      <w:r w:rsidRPr="007C4579">
        <w:lastRenderedPageBreak/>
        <w:t>Soil organic matter plays a multifunctional role in buffering horticultural systems against climate variability, and its management constitutes a cornerstone of climate-smart horticulture. Soils with high organic matter content exhibit improved water retention capacity, better aggregate stability, greater cation exchange capacity, and more robust biological activity, all of which contribute to crop resilience under drought and heat stress. The incorporation of compost, green manures, cover crops, and biochar amendments has been demonstrated across diverse horticultural systems to increase soil water-holding capacity, improve infiltration rates, and moderate soil temperature fluctuations that would otherwise cause root damage and impair nutrient uptake during summer heat events (</w:t>
      </w:r>
      <w:proofErr w:type="spellStart"/>
      <w:r w:rsidRPr="007C4579">
        <w:t>Terán</w:t>
      </w:r>
      <w:proofErr w:type="spellEnd"/>
      <w:r w:rsidRPr="007C4579">
        <w:t xml:space="preserve"> et al., 2024).</w:t>
      </w:r>
    </w:p>
    <w:p w14:paraId="77554298" w14:textId="77777777" w:rsidR="00A36FC8" w:rsidRPr="007C4579" w:rsidRDefault="007B4A8C" w:rsidP="007C4579">
      <w:pPr>
        <w:spacing w:before="100" w:beforeAutospacing="1" w:after="100" w:afterAutospacing="1"/>
        <w:jc w:val="both"/>
      </w:pPr>
      <w:r w:rsidRPr="007C4579">
        <w:t xml:space="preserve">Mulching—the application of organic or synthetic materials to soil surfaces between crop rows—provides a practical and widely adopted agronomic tool for reducing soil moisture evaporation, moderating soil temperature extremes, suppressing weed competition, and protecting soil structure from the erosive impact of intense rainfall events. Organic mulches additionally contribute to nutrient cycling and biological diversity within the soil food web as they decompose progressively over the growing season. These practices align with the broader principles of climate-smart agriculture, which seeks simultaneously to enhance productivity and resilience, adapt to unavoidable climate impacts, and reduce greenhouse gas emissions from crop production systems. The FAO Strategy on Climate Change 2022–2031 explicitly endorses climate-smart soil management as a priority intervention for building </w:t>
      </w:r>
      <w:proofErr w:type="spellStart"/>
      <w:r w:rsidRPr="007C4579">
        <w:t>agrifood</w:t>
      </w:r>
      <w:proofErr w:type="spellEnd"/>
      <w:r w:rsidRPr="007C4579">
        <w:t xml:space="preserve"> system resilience (FAO, 2022).</w:t>
      </w:r>
    </w:p>
    <w:p w14:paraId="1CE8BF2D" w14:textId="77777777" w:rsidR="00A36FC8" w:rsidRPr="007C4579" w:rsidRDefault="007B4A8C" w:rsidP="007C4579">
      <w:pPr>
        <w:pStyle w:val="Heading2"/>
        <w:spacing w:before="100" w:beforeAutospacing="1" w:after="100" w:afterAutospacing="1"/>
      </w:pPr>
      <w:r w:rsidRPr="007C4579">
        <w:t>5.3 Crop Scheduling, Diversification, and Varietal Selection</w:t>
      </w:r>
    </w:p>
    <w:p w14:paraId="27FAE1DD" w14:textId="77777777" w:rsidR="00A36FC8" w:rsidRPr="007C4579" w:rsidRDefault="007B4A8C" w:rsidP="007C4579">
      <w:pPr>
        <w:spacing w:before="100" w:beforeAutospacing="1" w:after="100" w:afterAutospacing="1"/>
        <w:jc w:val="both"/>
      </w:pPr>
      <w:r w:rsidRPr="007C4579">
        <w:t xml:space="preserve">Adjustments to planting dates, crop rotations, and cultivar selection offer producers practical, near-term options for reducing exposure to climate stresses without requiring major capital investment or the acquisition of complex new technologies. Shifting planting dates to avoid the coincidence of critical developmental stages—particularly flowering and fruit set—with the hottest and driest periods of the growing season is a widely </w:t>
      </w:r>
      <w:proofErr w:type="spellStart"/>
      <w:r w:rsidRPr="007C4579">
        <w:t>practised</w:t>
      </w:r>
      <w:proofErr w:type="spellEnd"/>
      <w:r w:rsidRPr="007C4579">
        <w:t xml:space="preserve"> adaptive strategy that has demonstrably reduced heat stress exposure for vegetable crops in warming regions. In many temperate vegetable-producing regions, this has involved moving spring plantings earlier where warming winters permit earlier establishment whilst still avoiding late frost risk, or conversely switching to autumn production cycles where summer heat events have become prohibitive for warm-season crops.</w:t>
      </w:r>
    </w:p>
    <w:p w14:paraId="5EB79DD2" w14:textId="77777777" w:rsidR="00A36FC8" w:rsidRPr="007C4579" w:rsidRDefault="007B4A8C" w:rsidP="007C4579">
      <w:pPr>
        <w:spacing w:before="100" w:beforeAutospacing="1" w:after="100" w:afterAutospacing="1"/>
        <w:jc w:val="both"/>
      </w:pPr>
      <w:r w:rsidRPr="007C4579">
        <w:t xml:space="preserve">Crop diversification within production systems, through the introduction of heat-tolerant species, companion planting arrangements, and intercropping with shade-providing nurse crops, reduces both economic and biological risk under climate variability. The deliberate selection or breeding of cultivars with greater heat and drought tolerance represents a critical longer-term agronomic strategy that leverages the genetic diversity that exists within crop species and their wild relatives. Traditional landraces and wild relatives of major horticultural crops </w:t>
      </w:r>
      <w:proofErr w:type="spellStart"/>
      <w:r w:rsidRPr="007C4579">
        <w:t>harbour</w:t>
      </w:r>
      <w:proofErr w:type="spellEnd"/>
      <w:r w:rsidRPr="007C4579">
        <w:t xml:space="preserve"> genetic diversity for stress tolerance that has been substantially lost in the process of modern crop improvement focused on yield </w:t>
      </w:r>
      <w:proofErr w:type="spellStart"/>
      <w:r w:rsidRPr="007C4579">
        <w:t>maximisation</w:t>
      </w:r>
      <w:proofErr w:type="spellEnd"/>
      <w:r w:rsidRPr="007C4579">
        <w:t xml:space="preserve"> under </w:t>
      </w:r>
      <w:proofErr w:type="spellStart"/>
      <w:r w:rsidRPr="007C4579">
        <w:t>favourable</w:t>
      </w:r>
      <w:proofErr w:type="spellEnd"/>
      <w:r w:rsidRPr="007C4579">
        <w:t xml:space="preserve"> conditions (Saeed et al., 2023; Chaudhary et al., 2022). Mining this diversity through participatory plant breeding, gene bank evaluation, and marker-assisted introgression is thus a strategic imperative for climate adaptation in the horticultural sector.</w:t>
      </w:r>
    </w:p>
    <w:p w14:paraId="452E6684" w14:textId="77777777" w:rsidR="00A36FC8" w:rsidRPr="007C4579" w:rsidRDefault="007B4A8C" w:rsidP="007C4579">
      <w:pPr>
        <w:pStyle w:val="Heading1"/>
        <w:spacing w:before="100" w:beforeAutospacing="1" w:after="100" w:afterAutospacing="1"/>
      </w:pPr>
      <w:r w:rsidRPr="007C4579">
        <w:lastRenderedPageBreak/>
        <w:t>6. Technological Innovations for Climate Risk Mitigation</w:t>
      </w:r>
    </w:p>
    <w:p w14:paraId="201FBF01" w14:textId="77777777" w:rsidR="00A36FC8" w:rsidRPr="007C4579" w:rsidRDefault="007B4A8C" w:rsidP="007C4579">
      <w:pPr>
        <w:pStyle w:val="Heading2"/>
        <w:spacing w:before="100" w:beforeAutospacing="1" w:after="100" w:afterAutospacing="1"/>
      </w:pPr>
      <w:r w:rsidRPr="007C4579">
        <w:t>6.1 Precision Agriculture and Digital Technologies</w:t>
      </w:r>
    </w:p>
    <w:p w14:paraId="7CEF5629" w14:textId="04B42D7B" w:rsidR="00A36FC8" w:rsidRPr="007C4579" w:rsidRDefault="007B4A8C" w:rsidP="007C4579">
      <w:pPr>
        <w:spacing w:before="100" w:beforeAutospacing="1" w:after="100" w:afterAutospacing="1"/>
        <w:jc w:val="both"/>
      </w:pPr>
      <w:r w:rsidRPr="007C4579">
        <w:t xml:space="preserve">The deployment of precision agriculture technologies represents a transformative opportunity to reduce input waste, detect stress early, and manage horticultural systems with unprecedented spatial and temporal resolution. The integration of the Internet of Things (IoT) and </w:t>
      </w:r>
      <w:r w:rsidR="009A68B9" w:rsidRPr="007C4579">
        <w:t xml:space="preserve">Artificial Intelligence </w:t>
      </w:r>
      <w:r w:rsidRPr="007C4579">
        <w:t xml:space="preserve">(AI) has reshaped modern agriculture by enabling precision farming, real-time monitoring, and data-driven decision-making (Majeed et al., 2024). Networks of soil moisture sensors, weather stations, canopy temperature infrared sensors, and atmospheric monitoring devices—connected through IoT platforms—can generate continuous, high-resolution data streams that inform irrigation scheduling, pest management decisions, and </w:t>
      </w:r>
      <w:proofErr w:type="spellStart"/>
      <w:r w:rsidRPr="007C4579">
        <w:t>fertiliser</w:t>
      </w:r>
      <w:proofErr w:type="spellEnd"/>
      <w:r w:rsidRPr="007C4579">
        <w:t xml:space="preserve"> application in real time. AI-driven machine learning models trained on these data streams can predict stress events, </w:t>
      </w:r>
      <w:proofErr w:type="spellStart"/>
      <w:r w:rsidRPr="007C4579">
        <w:t>optimise</w:t>
      </w:r>
      <w:proofErr w:type="spellEnd"/>
      <w:r w:rsidRPr="007C4579">
        <w:t xml:space="preserve"> resource allocation, and assist producers in making rapid management decisions under rapidly changing and increasingly unpredictable climatic conditions.</w:t>
      </w:r>
    </w:p>
    <w:p w14:paraId="04C96A12" w14:textId="0BB587B3" w:rsidR="00A36FC8" w:rsidRPr="007C4579" w:rsidRDefault="00D16BAA" w:rsidP="007C4579">
      <w:pPr>
        <w:spacing w:before="100" w:beforeAutospacing="1" w:after="100" w:afterAutospacing="1"/>
        <w:jc w:val="both"/>
      </w:pPr>
      <w:r w:rsidRPr="002B47C3">
        <w:rPr>
          <w:highlight w:val="yellow"/>
        </w:rPr>
        <w:t xml:space="preserve">Unmanned Aerial Vehicles </w:t>
      </w:r>
      <w:r w:rsidR="007B4A8C" w:rsidRPr="007C4579">
        <w:t xml:space="preserve">(UAVs) equipped with multispectral and thermal infrared cameras are increasingly employed in horticultural systems to map spatial variation in crop </w:t>
      </w:r>
      <w:proofErr w:type="spellStart"/>
      <w:r w:rsidR="007B4A8C" w:rsidRPr="007C4579">
        <w:t>vigour</w:t>
      </w:r>
      <w:proofErr w:type="spellEnd"/>
      <w:r w:rsidR="007B4A8C" w:rsidRPr="007C4579">
        <w:t xml:space="preserve">, water stress status, and disease incidence across production fields and orchards. Remote sensing data from these platforms can be processed using deep learning algorithms to detect subclinical stress signatures invisible to the human eye, enabling targeted interventions before yield losses </w:t>
      </w:r>
      <w:proofErr w:type="spellStart"/>
      <w:r w:rsidR="007B4A8C" w:rsidRPr="007C4579">
        <w:t>materialise</w:t>
      </w:r>
      <w:proofErr w:type="spellEnd"/>
      <w:r w:rsidR="007B4A8C" w:rsidRPr="007C4579">
        <w:t>. The convergence of UAV-based remote sensing, ground-truth IoT sensor networks, and predictive AI models is creating integrated digital decision support systems of considerable power for climate-adaptive horticultural management (Majeed et al., 2024). Cloud computing infrastructure and increasingly affordable sensor hardware are extending the accessibility of these technologies beyond large commercial enterprises to smaller producers, though significant barriers of technical literacy, connectivity, and capital remain in many producing regions.</w:t>
      </w:r>
    </w:p>
    <w:p w14:paraId="3DF6DBBA" w14:textId="77777777" w:rsidR="00A36FC8" w:rsidRPr="007C4579" w:rsidRDefault="007B4A8C" w:rsidP="007C4579">
      <w:pPr>
        <w:pStyle w:val="Heading2"/>
        <w:spacing w:before="100" w:beforeAutospacing="1" w:after="100" w:afterAutospacing="1"/>
      </w:pPr>
      <w:r w:rsidRPr="007C4579">
        <w:t>6.2 Protected Cultivation Systems</w:t>
      </w:r>
    </w:p>
    <w:p w14:paraId="42584856" w14:textId="77777777" w:rsidR="00A36FC8" w:rsidRPr="007C4579" w:rsidRDefault="007B4A8C" w:rsidP="007C4579">
      <w:pPr>
        <w:spacing w:before="100" w:beforeAutospacing="1" w:after="100" w:afterAutospacing="1"/>
        <w:jc w:val="both"/>
      </w:pPr>
      <w:r w:rsidRPr="007C4579">
        <w:t>Controlled environment agriculture—encompassing glasshouses, polytunnels, screen houses, net houses, and vertical farming installations—offers the most direct technological mechanism for buffering horticultural production against external climatic perturbations. By creating a managed atmospheric enclosure, controlled environments allow producers to regulate temperature, humidity, light, CO</w:t>
      </w:r>
      <w:r w:rsidRPr="007C4579">
        <w:rPr>
          <w:vertAlign w:val="subscript"/>
        </w:rPr>
        <w:t>₂</w:t>
      </w:r>
      <w:r w:rsidRPr="007C4579">
        <w:t xml:space="preserve"> concentration, and irrigation independently of ambient weather conditions, effectively decoupling crop production from external climate variability. High-technology glasshouses equipped with active heating, cooling, and CO</w:t>
      </w:r>
      <w:r w:rsidRPr="007C4579">
        <w:rPr>
          <w:vertAlign w:val="subscript"/>
        </w:rPr>
        <w:t>₂</w:t>
      </w:r>
      <w:r w:rsidRPr="007C4579">
        <w:t xml:space="preserve"> enrichment systems have demonstrated productivity gains of 10–40-fold per unit land area compared with open-field production for crops such as tomato and cucumber in Northern European contexts, with correspondingly superior climate resilience across years with widely varying weather conditions.</w:t>
      </w:r>
    </w:p>
    <w:p w14:paraId="4FDBD5F2" w14:textId="77777777" w:rsidR="00A36FC8" w:rsidRPr="007C4579" w:rsidRDefault="007B4A8C" w:rsidP="007C4579">
      <w:pPr>
        <w:spacing w:before="100" w:beforeAutospacing="1" w:after="100" w:afterAutospacing="1"/>
        <w:jc w:val="both"/>
      </w:pPr>
      <w:r w:rsidRPr="007C4579">
        <w:t xml:space="preserve">Whilst the capital and operational costs of high-technology controlled environment production are prohibitive in many contexts, lower-technology options such as shade nets, anti-hail nets, and simple tunnel structures offer more accessible forms of protection from extreme weather events. In tropical and subtropical regions, shade nets that reduce incident radiation load by 30–50% have proven highly effective in extending the production season for heat-sensitive crops such as </w:t>
      </w:r>
      <w:r w:rsidRPr="007C4579">
        <w:lastRenderedPageBreak/>
        <w:t>lettuce and spinach into periods previously too thermally extreme for open-field production. Evaporative cooling systems and fogging installations further extend the operating window of such structures into high-temperature environments, providing a practical bridge between ambient production and full controlled-environment systems for small and medium-scale producers.</w:t>
      </w:r>
    </w:p>
    <w:p w14:paraId="3FAB826D" w14:textId="77777777" w:rsidR="00A36FC8" w:rsidRPr="007C4579" w:rsidRDefault="007B4A8C" w:rsidP="007C4579">
      <w:pPr>
        <w:pStyle w:val="Heading2"/>
        <w:spacing w:before="100" w:beforeAutospacing="1" w:after="100" w:afterAutospacing="1"/>
      </w:pPr>
      <w:r w:rsidRPr="007C4579">
        <w:t>6.3 Biotechnological Approaches: Marker-Assisted Selection and CRISPR Genome Editing</w:t>
      </w:r>
    </w:p>
    <w:p w14:paraId="31B75D73" w14:textId="77777777" w:rsidR="00A36FC8" w:rsidRPr="007C4579" w:rsidRDefault="007B4A8C" w:rsidP="007C4579">
      <w:pPr>
        <w:spacing w:before="100" w:beforeAutospacing="1" w:after="100" w:afterAutospacing="1"/>
        <w:jc w:val="both"/>
      </w:pPr>
      <w:r w:rsidRPr="007C4579">
        <w:t xml:space="preserve">The development of stress-tolerant horticultural cultivars through biotechnological breeding represents a fundamental and durable contribution to climate risk mitigation. Conventional breeding for heat and drought tolerance has been constrained by the quantitative and multigenic nature of these traits, complex genotype-by-environment interactions, and the long time required to develop and commercially release new varieties (Saeed et al., 2023). Modern genomic tools, particularly marker-assisted selection (MAS) and genomic selection using genome-wide marker arrays, have substantially accelerated the identification and introgression of </w:t>
      </w:r>
      <w:proofErr w:type="spellStart"/>
      <w:r w:rsidRPr="007C4579">
        <w:t>favourable</w:t>
      </w:r>
      <w:proofErr w:type="spellEnd"/>
      <w:r w:rsidRPr="007C4579">
        <w:t xml:space="preserve"> alleles from stress-tolerant germplasm into elite genetic backgrounds. These approaches leverage knowledge of the genetic architecture of stress tolerance to guide crossing and selection decisions with greater precision and efficiency than phenotypic selection alone permits.</w:t>
      </w:r>
    </w:p>
    <w:p w14:paraId="6288D40D" w14:textId="77777777" w:rsidR="00A36FC8" w:rsidRPr="007C4579" w:rsidRDefault="007B4A8C" w:rsidP="007C4579">
      <w:pPr>
        <w:spacing w:before="100" w:beforeAutospacing="1" w:after="100" w:afterAutospacing="1"/>
        <w:jc w:val="both"/>
      </w:pPr>
      <w:r w:rsidRPr="007C4579">
        <w:t xml:space="preserve">CRISPR/Cas-mediated genome editing has emerged as a transformative tool in climate-adaptive horticultural breeding. CRISPR/Cas genome editing improves abiotic and biotic stress tolerance of crops through precise, targeted modification of specific regulatory and structural genes, without necessarily introducing foreign genetic material into the plant genome (Li et al., 2022). In tomato, CRISPR/Cas9-mediated knockout of negative regulators of drought tolerance and targeted editing of ABA </w:t>
      </w:r>
      <w:proofErr w:type="spellStart"/>
      <w:r w:rsidRPr="007C4579">
        <w:t>signalling</w:t>
      </w:r>
      <w:proofErr w:type="spellEnd"/>
      <w:r w:rsidRPr="007C4579">
        <w:t xml:space="preserve"> components have conferred improved drought tolerance whilst maintaining yield characteristics under well-watered conditions. The editing of genes encoding heat shock transcription factors and their regulatory networks has shown promise for enhancing thermotolerance in several vegetable species (Li et al., 2022). The development of CRISPR-edited crop varieties that contain no transgenic sequences simplifies regulatory approval processes in several jurisdictions—notably the United Kingdom and several other nations that have updated their regulations—and may facilitate broader producer and consumer acceptance compared with transgenic approaches.</w:t>
      </w:r>
    </w:p>
    <w:p w14:paraId="363BD74E" w14:textId="77777777" w:rsidR="00A36FC8" w:rsidRPr="007C4579" w:rsidRDefault="007B4A8C" w:rsidP="007C4579">
      <w:pPr>
        <w:spacing w:before="100" w:beforeAutospacing="1" w:after="100" w:afterAutospacing="1"/>
        <w:jc w:val="both"/>
      </w:pPr>
      <w:r w:rsidRPr="007C4579">
        <w:t xml:space="preserve">The application of multi-omics technologies—genomics, transcriptomics, proteomics, and metabolomics—is providing increasingly detailed mechanistic insights into the molecular pathways governing stress tolerance in vegetable crops (Saeed et al., 2023; Parveen et al., 2023). These insights are accelerating the identification of candidate genes for CRISPR editing and MAS targets, whilst also revealing the </w:t>
      </w:r>
      <w:proofErr w:type="spellStart"/>
      <w:r w:rsidRPr="007C4579">
        <w:t>signalling</w:t>
      </w:r>
      <w:proofErr w:type="spellEnd"/>
      <w:r w:rsidRPr="007C4579">
        <w:t xml:space="preserve"> crosstalk and regulatory redundancy that must be navigated in successful stress tolerance improvement efforts. The integration of high-throughput phenotyping platforms with multi-omics data through machine learning is beginning to enable the prediction of stress-tolerance performance from molecular markers with an accuracy previously unachievable (Saeed et al., 2023).</w:t>
      </w:r>
    </w:p>
    <w:p w14:paraId="30BFAA59" w14:textId="77777777" w:rsidR="00A36FC8" w:rsidRPr="007C4579" w:rsidRDefault="007B4A8C" w:rsidP="007C4579">
      <w:pPr>
        <w:pStyle w:val="Heading2"/>
        <w:spacing w:before="100" w:beforeAutospacing="1" w:after="100" w:afterAutospacing="1"/>
      </w:pPr>
      <w:r w:rsidRPr="007C4579">
        <w:t xml:space="preserve">6.4 </w:t>
      </w:r>
      <w:proofErr w:type="spellStart"/>
      <w:r w:rsidRPr="007C4579">
        <w:t>Biostimulants</w:t>
      </w:r>
      <w:proofErr w:type="spellEnd"/>
      <w:r w:rsidRPr="007C4579">
        <w:t xml:space="preserve"> and Exogenous Chemical Priming</w:t>
      </w:r>
    </w:p>
    <w:p w14:paraId="43F6D819" w14:textId="77777777" w:rsidR="00A36FC8" w:rsidRPr="007C4579" w:rsidRDefault="007B4A8C" w:rsidP="007C4579">
      <w:pPr>
        <w:spacing w:before="100" w:beforeAutospacing="1" w:after="100" w:afterAutospacing="1"/>
        <w:jc w:val="both"/>
      </w:pPr>
      <w:proofErr w:type="spellStart"/>
      <w:r w:rsidRPr="007C4579">
        <w:lastRenderedPageBreak/>
        <w:t>Biostimulants</w:t>
      </w:r>
      <w:proofErr w:type="spellEnd"/>
      <w:r w:rsidRPr="007C4579">
        <w:t xml:space="preserve">—substances applied to plants or soils that improve nutrient use efficiency, tolerance to abiotic stress, and quality traits through mechanisms other than direct nutrient provision—have attracted considerable scientific and commercial interest as eco-compatible tools for climate risk management in horticulture. The major categories of </w:t>
      </w:r>
      <w:proofErr w:type="spellStart"/>
      <w:r w:rsidRPr="007C4579">
        <w:t>biostimulants</w:t>
      </w:r>
      <w:proofErr w:type="spellEnd"/>
      <w:r w:rsidRPr="007C4579">
        <w:t xml:space="preserve"> include seaweed extracts, protein hydrolysates, </w:t>
      </w:r>
      <w:proofErr w:type="spellStart"/>
      <w:r w:rsidRPr="007C4579">
        <w:t>humic</w:t>
      </w:r>
      <w:proofErr w:type="spellEnd"/>
      <w:r w:rsidRPr="007C4579">
        <w:t xml:space="preserve"> and fulvic acids, beneficial microbial inoculants such as mycorrhizal fungi and plant growth-promoting rhizobacteria, and silicon compounds. These products can enhance antioxidant enzyme activity, promote osmolyte accumulation, stimulate root development, and improve stomatal regulation, thereby augmenting crop resilience to both heat and drought stress (</w:t>
      </w:r>
      <w:proofErr w:type="spellStart"/>
      <w:r w:rsidRPr="007C4579">
        <w:t>Terán</w:t>
      </w:r>
      <w:proofErr w:type="spellEnd"/>
      <w:r w:rsidRPr="007C4579">
        <w:t xml:space="preserve"> et al., 2024).</w:t>
      </w:r>
    </w:p>
    <w:p w14:paraId="6FCD00A9" w14:textId="77777777" w:rsidR="00A36FC8" w:rsidRPr="007C4579" w:rsidRDefault="007B4A8C" w:rsidP="007C4579">
      <w:pPr>
        <w:spacing w:before="100" w:beforeAutospacing="1" w:after="100" w:afterAutospacing="1"/>
        <w:jc w:val="both"/>
      </w:pPr>
      <w:r w:rsidRPr="007C4579">
        <w:t xml:space="preserve">Exogenous application of phytohormones—including salicylic acid, </w:t>
      </w:r>
      <w:proofErr w:type="spellStart"/>
      <w:r w:rsidRPr="007C4579">
        <w:t>jasmonic</w:t>
      </w:r>
      <w:proofErr w:type="spellEnd"/>
      <w:r w:rsidRPr="007C4579">
        <w:t xml:space="preserve"> acid, and abscisic acid—at sub-inhibitory concentrations has been demonstrated to prime plant </w:t>
      </w:r>
      <w:proofErr w:type="spellStart"/>
      <w:r w:rsidRPr="007C4579">
        <w:t>defence</w:t>
      </w:r>
      <w:proofErr w:type="spellEnd"/>
      <w:r w:rsidRPr="007C4579">
        <w:t xml:space="preserve"> responses and enhance thermotolerance and drought tolerance across a range of vegetable crops through the activation of pre-existing stress response pathways (</w:t>
      </w:r>
      <w:proofErr w:type="spellStart"/>
      <w:r w:rsidRPr="007C4579">
        <w:t>Terán</w:t>
      </w:r>
      <w:proofErr w:type="spellEnd"/>
      <w:r w:rsidRPr="007C4579">
        <w:t xml:space="preserve"> et al., 2024). The concept of chemical priming exploits the plant’s own molecular </w:t>
      </w:r>
      <w:proofErr w:type="spellStart"/>
      <w:r w:rsidRPr="007C4579">
        <w:t>defence</w:t>
      </w:r>
      <w:proofErr w:type="spellEnd"/>
      <w:r w:rsidRPr="007C4579">
        <w:t xml:space="preserve"> repertoire, triggering acquired stress tolerance without the yield penalties associated with constitutive stress pathway activation. Silicon application, which strengthens cell walls, reduces cuticle transpiration, and activates antioxidant systems, has shown promising results in tomato, cucumber, and pepper under heat and drought stress conditions across multiple experimental settings. The practical advantages of </w:t>
      </w:r>
      <w:proofErr w:type="spellStart"/>
      <w:r w:rsidRPr="007C4579">
        <w:t>biostimulant</w:t>
      </w:r>
      <w:proofErr w:type="spellEnd"/>
      <w:r w:rsidRPr="007C4579">
        <w:t>-based approaches include their applicability within existing production systems without genetic modification, their compatibility with organic certification requirements, and the relatively modest capital investment required for their adoption, making them especially attractive strategies for smallholder and resource-limited producers.</w:t>
      </w:r>
    </w:p>
    <w:p w14:paraId="269F3B79" w14:textId="77777777" w:rsidR="00A36FC8" w:rsidRPr="007C4579" w:rsidRDefault="007B4A8C" w:rsidP="007C4579">
      <w:pPr>
        <w:pStyle w:val="Heading1"/>
        <w:spacing w:before="100" w:beforeAutospacing="1" w:after="100" w:afterAutospacing="1"/>
      </w:pPr>
      <w:r w:rsidRPr="007C4579">
        <w:t>7. Integrated Approaches and Future Directions</w:t>
      </w:r>
    </w:p>
    <w:p w14:paraId="45B94FF9" w14:textId="77777777" w:rsidR="00A36FC8" w:rsidRPr="007C4579" w:rsidRDefault="007B4A8C" w:rsidP="007C4579">
      <w:pPr>
        <w:spacing w:before="100" w:beforeAutospacing="1" w:after="100" w:afterAutospacing="1"/>
        <w:jc w:val="both"/>
      </w:pPr>
      <w:r w:rsidRPr="007C4579">
        <w:t xml:space="preserve">The evidence reviewed throughout this paper makes clear that no single physiological insight, agronomic practice, or technological innovation is likely to be sufficient, on its own, to secure the future of horticultural production against the compound risks of a rapidly changing climate. Effective mitigation of climate risk in fruit and vegetable production fundamentally requires the deliberate integration of complementary strategies across multiple scales and time horizons. At the field level, the combination of precision irrigation scheduling with </w:t>
      </w:r>
      <w:proofErr w:type="spellStart"/>
      <w:r w:rsidRPr="007C4579">
        <w:t>biostimulant</w:t>
      </w:r>
      <w:proofErr w:type="spellEnd"/>
      <w:r w:rsidRPr="007C4579">
        <w:t xml:space="preserve"> application and heat-tolerant cultivar selection can substantially reduce yield vulnerability to heat and drought events within a single growing season (</w:t>
      </w:r>
      <w:proofErr w:type="spellStart"/>
      <w:r w:rsidRPr="007C4579">
        <w:t>Terán</w:t>
      </w:r>
      <w:proofErr w:type="spellEnd"/>
      <w:r w:rsidRPr="007C4579">
        <w:t xml:space="preserve"> et al., 2024). At the farming system level, diversification of crop species, integration of protected cultivation for the most sensitive or highest-value production components, and adoption of soil health management practices can build a more resilient and adaptable production base over multiple seasons (Osorio-Marín et al., 2024).</w:t>
      </w:r>
    </w:p>
    <w:p w14:paraId="713DD414" w14:textId="77777777" w:rsidR="00A36FC8" w:rsidRPr="007C4579" w:rsidRDefault="007B4A8C" w:rsidP="007C4579">
      <w:pPr>
        <w:spacing w:before="100" w:beforeAutospacing="1" w:after="100" w:afterAutospacing="1"/>
        <w:jc w:val="both"/>
      </w:pPr>
      <w:r w:rsidRPr="007C4579">
        <w:t xml:space="preserve">Looking further ahead, the integration of CRISPR-enabled stress tolerance improvements in elite cultivars with precision agriculture platforms tailored to their specific physiological characteristics offers the prospect of highly </w:t>
      </w:r>
      <w:proofErr w:type="spellStart"/>
      <w:r w:rsidRPr="007C4579">
        <w:t>optimised</w:t>
      </w:r>
      <w:proofErr w:type="spellEnd"/>
      <w:r w:rsidRPr="007C4579">
        <w:t xml:space="preserve">, data-driven horticultural production systems with substantially enhanced climate resilience. Machine learning models trained on large datasets combining genotypic information, environmental sensor data, and multi-year yield records will increasingly enable the prediction of crop performance under novel climate scenarios, supporting proactive adaptive management decisions before stress events occur rather </w:t>
      </w:r>
      <w:r w:rsidRPr="007C4579">
        <w:lastRenderedPageBreak/>
        <w:t>than reactive responses after damage has been sustained (</w:t>
      </w:r>
      <w:proofErr w:type="spellStart"/>
      <w:r w:rsidRPr="007C4579">
        <w:t>Janni</w:t>
      </w:r>
      <w:proofErr w:type="spellEnd"/>
      <w:r w:rsidRPr="007C4579">
        <w:t xml:space="preserve"> et al., 2024). The potential for AI-driven digital twins of horticultural production systems—virtual replicas that simulate crop performance under different management and climate scenarios—represents a frontier of considerable promise for climate adaptation planning at both farm and regional scales.</w:t>
      </w:r>
    </w:p>
    <w:p w14:paraId="6BFDEE30" w14:textId="77777777" w:rsidR="00A36FC8" w:rsidRPr="007C4579" w:rsidRDefault="007B4A8C" w:rsidP="007C4579">
      <w:pPr>
        <w:spacing w:before="100" w:beforeAutospacing="1" w:after="100" w:afterAutospacing="1"/>
        <w:jc w:val="both"/>
      </w:pPr>
      <w:r w:rsidRPr="007C4579">
        <w:t xml:space="preserve">International collaboration in germplasm conservation and sharing is essential to sustain the genetic diversity on which future breeding progress fundamentally depends. Wild relatives of major vegetable and fruit crops, which </w:t>
      </w:r>
      <w:proofErr w:type="spellStart"/>
      <w:r w:rsidRPr="007C4579">
        <w:t>harbour</w:t>
      </w:r>
      <w:proofErr w:type="spellEnd"/>
      <w:r w:rsidRPr="007C4579">
        <w:t xml:space="preserve"> alleles for stress tolerance that have been lost from elite commercial germplasm through the bottleneck of modern variety development, require urgent collection, </w:t>
      </w:r>
      <w:proofErr w:type="spellStart"/>
      <w:r w:rsidRPr="007C4579">
        <w:t>characterisation</w:t>
      </w:r>
      <w:proofErr w:type="spellEnd"/>
      <w:r w:rsidRPr="007C4579">
        <w:t xml:space="preserve">, and cryopreservation. This imperative is particularly pressing given that climate change is simultaneously threatening the natural habitats in which wild crop relatives occur, creating a race against time between conservation action and habitat loss (Saeed et al., 2023). Strengthened international gene bank networks, improved data-sharing platforms for germplasm </w:t>
      </w:r>
      <w:proofErr w:type="spellStart"/>
      <w:r w:rsidRPr="007C4579">
        <w:t>characterisation</w:t>
      </w:r>
      <w:proofErr w:type="spellEnd"/>
      <w:r w:rsidRPr="007C4579">
        <w:t>, and participatory approaches to on-farm conservation that engage smallholder communities as active custodians of agrobiodiversity are all necessary components of a comprehensive genetic resource strategy for climate-adaptive horticulture.</w:t>
      </w:r>
    </w:p>
    <w:p w14:paraId="07A78913" w14:textId="77777777" w:rsidR="00A36FC8" w:rsidRPr="007C4579" w:rsidRDefault="007B4A8C" w:rsidP="007C4579">
      <w:pPr>
        <w:pStyle w:val="Heading1"/>
        <w:spacing w:before="100" w:beforeAutospacing="1" w:after="100" w:afterAutospacing="1"/>
      </w:pPr>
      <w:r w:rsidRPr="007C4579">
        <w:t>8. Policy Frameworks and Socioeconomic Considerations</w:t>
      </w:r>
    </w:p>
    <w:p w14:paraId="41424517" w14:textId="77777777" w:rsidR="00A36FC8" w:rsidRPr="007C4579" w:rsidRDefault="007B4A8C" w:rsidP="007C4579">
      <w:pPr>
        <w:spacing w:before="100" w:beforeAutospacing="1" w:after="100" w:afterAutospacing="1"/>
        <w:jc w:val="both"/>
      </w:pPr>
      <w:r w:rsidRPr="007C4579">
        <w:t>The technical innovations and agronomic adaptations reviewed in this paper are embedded within policy and socioeconomic contexts that will ultimately determine the pace and scale of their adoption. National agricultural policies, public research investment priorities, extension services, access to credit and insurance instruments, and international trade policies all shape the decision-making environment faced by fruit and vegetable producers. In many developing regions, smallholder producers who operate with limited capital, restricted access to information and input markets, and inadequate risk management tools are disproportionately exposed to climate risks whilst being least able to access the technological innovations most relevant to their circumstances (FAO et al., 2022). Addressing this equity dimension is both a moral imperative and a practical necessity for achieving global food security under climate change, given that smallholders produce a substantial share of the world’s fruits and vegetables, particularly in the Global South.</w:t>
      </w:r>
    </w:p>
    <w:p w14:paraId="26615D1F" w14:textId="77777777" w:rsidR="00A36FC8" w:rsidRPr="007C4579" w:rsidRDefault="007B4A8C" w:rsidP="007C4579">
      <w:pPr>
        <w:spacing w:before="100" w:beforeAutospacing="1" w:after="100" w:afterAutospacing="1"/>
        <w:jc w:val="both"/>
      </w:pPr>
      <w:r w:rsidRPr="007C4579">
        <w:t xml:space="preserve">The FAO’s Strategy on Climate Change 2022–2031 identifies the need for integrated policy approaches that simultaneously address mitigation (reducing emissions from agricultural production systems), adaptation (adjusting practices to unavoidable climate impacts), and food system resilience, with particular attention to the needs of smallholder farmers and nutritionally vulnerable populations (FAO, 2022). Climate finance mechanisms, including those operating through the Green Climate Fund and the Adaptation Fund, represent critical conduits for </w:t>
      </w:r>
      <w:proofErr w:type="spellStart"/>
      <w:r w:rsidRPr="007C4579">
        <w:t>channelling</w:t>
      </w:r>
      <w:proofErr w:type="spellEnd"/>
      <w:r w:rsidRPr="007C4579">
        <w:t xml:space="preserve"> resources towards horticultural adaptation in developing countries that often lack the domestic fiscal capacity to fund transformative investments independently. Public investment in agricultural research and development specifically focused on horticultural climate adaptation—including the pre-competitive stages of precision agriculture tool development, stress-tolerant cultivar breeding, and </w:t>
      </w:r>
      <w:proofErr w:type="spellStart"/>
      <w:r w:rsidRPr="007C4579">
        <w:t>biostimulant</w:t>
      </w:r>
      <w:proofErr w:type="spellEnd"/>
      <w:r w:rsidRPr="007C4579">
        <w:t xml:space="preserve"> discovery—represents a high-value deployment of resources given the essential role of fruits and vegetables in achieving both nutritional security and sustainable development goals.</w:t>
      </w:r>
    </w:p>
    <w:p w14:paraId="003E38F8" w14:textId="77777777" w:rsidR="00A36FC8" w:rsidRPr="007C4579" w:rsidRDefault="007B4A8C" w:rsidP="007C4579">
      <w:pPr>
        <w:spacing w:before="100" w:beforeAutospacing="1" w:after="100" w:afterAutospacing="1"/>
        <w:jc w:val="both"/>
      </w:pPr>
      <w:r w:rsidRPr="007C4579">
        <w:lastRenderedPageBreak/>
        <w:t xml:space="preserve">Extension services need </w:t>
      </w:r>
      <w:proofErr w:type="spellStart"/>
      <w:r w:rsidRPr="007C4579">
        <w:t>modernisation</w:t>
      </w:r>
      <w:proofErr w:type="spellEnd"/>
      <w:r w:rsidRPr="007C4579">
        <w:t xml:space="preserve"> to deliver climate-smart horticultural knowledge at scale, integrating digital communication tools, mobile advisory platforms, and participatory approaches that build local capacity rather than dependency on external expertise. Regulatory frameworks governing genome-edited crops require </w:t>
      </w:r>
      <w:proofErr w:type="spellStart"/>
      <w:r w:rsidRPr="007C4579">
        <w:t>harmonisation</w:t>
      </w:r>
      <w:proofErr w:type="spellEnd"/>
      <w:r w:rsidRPr="007C4579">
        <w:t xml:space="preserve"> across international markets to enable the rapid deployment of CRISPR-improved horticultural varieties in countries that have developed enabling regulatory environments, whilst ensuring that the benefits of these technologies are accessible to producers in developing countries as well as high-income markets. The interplay between intellectual property regimes in plant breeding, public research funding, and technology transfer mechanisms will ultimately determine whether the biotechnological innovations reviewed here remain tools of wealthy agricultural systems or become broadly available contributions to global climate adaptation.</w:t>
      </w:r>
    </w:p>
    <w:p w14:paraId="6E1C393D" w14:textId="77777777" w:rsidR="00A36FC8" w:rsidRPr="007C4579" w:rsidRDefault="007B4A8C" w:rsidP="007C4579">
      <w:pPr>
        <w:pStyle w:val="Heading1"/>
        <w:spacing w:before="100" w:beforeAutospacing="1" w:after="100" w:afterAutospacing="1"/>
      </w:pPr>
      <w:r w:rsidRPr="007C4579">
        <w:t>9. Conclusions</w:t>
      </w:r>
    </w:p>
    <w:p w14:paraId="4BCCCD60" w14:textId="77777777" w:rsidR="00A36FC8" w:rsidRPr="007C4579" w:rsidRDefault="007B4A8C" w:rsidP="007C4579">
      <w:pPr>
        <w:spacing w:before="100" w:beforeAutospacing="1" w:after="100" w:afterAutospacing="1"/>
        <w:jc w:val="both"/>
      </w:pPr>
      <w:r w:rsidRPr="007C4579">
        <w:t>Climate change poses a multifaceted and rapidly intensifying threat to fruit and vegetable production worldwide, operating through mechanisms that span from the molecular to the landscape scale. This review has documented how rising temperatures, intensified drought, elevated atmospheric CO</w:t>
      </w:r>
      <w:r w:rsidRPr="007C4579">
        <w:rPr>
          <w:vertAlign w:val="subscript"/>
        </w:rPr>
        <w:t>₂</w:t>
      </w:r>
      <w:r w:rsidRPr="007C4579">
        <w:t xml:space="preserve"> and ozone, and increased extreme weather events collectively challenge the physiological integrity, productive capacity, and nutritional quality of horticultural crops. The physiological responses of crops to these stresses—including heat shock protein induction, stomatal-mediated drought avoidance, antioxidant </w:t>
      </w:r>
      <w:proofErr w:type="spellStart"/>
      <w:r w:rsidRPr="007C4579">
        <w:t>defence</w:t>
      </w:r>
      <w:proofErr w:type="spellEnd"/>
      <w:r w:rsidRPr="007C4579">
        <w:t xml:space="preserve"> activation, and reproductive disruption under thermal stress—are now reasonably well </w:t>
      </w:r>
      <w:proofErr w:type="spellStart"/>
      <w:r w:rsidRPr="007C4579">
        <w:t>characterised</w:t>
      </w:r>
      <w:proofErr w:type="spellEnd"/>
      <w:r w:rsidRPr="007C4579">
        <w:t xml:space="preserve"> for key vegetable and fruit species, providing a molecular foundation for both breeding and management innovation.</w:t>
      </w:r>
    </w:p>
    <w:p w14:paraId="0AEFB99D" w14:textId="77777777" w:rsidR="00A36FC8" w:rsidRPr="007C4579" w:rsidRDefault="007B4A8C" w:rsidP="007C4579">
      <w:pPr>
        <w:spacing w:before="100" w:beforeAutospacing="1" w:after="100" w:afterAutospacing="1"/>
        <w:jc w:val="both"/>
      </w:pPr>
      <w:r w:rsidRPr="007C4579">
        <w:t xml:space="preserve">Agronomic approaches, including deficit irrigation and micro-irrigation technology, soil organic matter management, mulching, adjusted planting calendars, and cultivar diversification, offer near-term, cost-effective buffers against climate variability that are accessible to a broad range of producers. Technological innovations—encompassing precision agriculture and digital decision support, controlled environment production, CRISPR-enabled climate-adapted cultivar development, and </w:t>
      </w:r>
      <w:proofErr w:type="spellStart"/>
      <w:r w:rsidRPr="007C4579">
        <w:t>biostimulant</w:t>
      </w:r>
      <w:proofErr w:type="spellEnd"/>
      <w:r w:rsidRPr="007C4579">
        <w:t xml:space="preserve"> applications—offer more powerful, durable, and transformative contributions to long-term climate resilience in horticulture. The integration of these physiological, agronomic, and technological dimensions within coherent, policy-supported frameworks represents the most credible pathway towards securing the long-term sustainability, productivity, and nutritional contribution of global fruit and vegetable production systems in an era of accelerating climate change.</w:t>
      </w:r>
    </w:p>
    <w:p w14:paraId="29B0786E" w14:textId="77777777" w:rsidR="00A36FC8" w:rsidRPr="007C4579" w:rsidRDefault="007B4A8C" w:rsidP="007C4579">
      <w:pPr>
        <w:pStyle w:val="Heading1"/>
        <w:spacing w:before="100" w:beforeAutospacing="1" w:after="100" w:afterAutospacing="1"/>
      </w:pPr>
      <w:r w:rsidRPr="007C4579">
        <w:t>10. Limitations</w:t>
      </w:r>
    </w:p>
    <w:p w14:paraId="7208D6DF" w14:textId="161D604F" w:rsidR="00A36FC8" w:rsidRDefault="007B4A8C" w:rsidP="007C4579">
      <w:pPr>
        <w:spacing w:before="100" w:beforeAutospacing="1" w:after="100" w:afterAutospacing="1"/>
        <w:jc w:val="both"/>
      </w:pPr>
      <w:r w:rsidRPr="007C4579">
        <w:t xml:space="preserve">This review is subject to several limitations that should be acknowledged when interpreting its conclusions. First, the literature search was conducted primarily in English, which may introduce a geographic bias towards research conducted in temperate, English-language-dominant scientific communities, potentially under-representing important contributions from tropical and subtropical research contexts where climate change impacts on horticulture are already acute. Second, despite systematic search procedures, the rapid pace of publication in this interdisciplinary field means that some relevant studies published very close to the search date </w:t>
      </w:r>
      <w:r w:rsidRPr="007C4579">
        <w:lastRenderedPageBreak/>
        <w:t xml:space="preserve">may not have been captured. Third, the review </w:t>
      </w:r>
      <w:proofErr w:type="spellStart"/>
      <w:r w:rsidRPr="007C4579">
        <w:t>synthesises</w:t>
      </w:r>
      <w:proofErr w:type="spellEnd"/>
      <w:r w:rsidRPr="007C4579">
        <w:t xml:space="preserve"> evidence across diverse crop species, production systems, and climatic contexts, and </w:t>
      </w:r>
      <w:proofErr w:type="spellStart"/>
      <w:r w:rsidRPr="007C4579">
        <w:t>generalisations</w:t>
      </w:r>
      <w:proofErr w:type="spellEnd"/>
      <w:r w:rsidRPr="007C4579">
        <w:t xml:space="preserve"> that apply broadly across this diversity necessarily obscure important nuances that may be decisive for particular crops, varieties, or regions. Fourth, the evidence </w:t>
      </w:r>
      <w:proofErr w:type="gramStart"/>
      <w:r w:rsidRPr="007C4579">
        <w:t>base</w:t>
      </w:r>
      <w:proofErr w:type="gramEnd"/>
      <w:r w:rsidRPr="007C4579">
        <w:t xml:space="preserve"> for several emerging technologies—particularly CRISPR-edited horticultural varieties in commercial production and fully integrated precision agriculture systems at farm scale—remains concentrated in experimental or proof-of-concept settings, and the translation of these innovations to commercial-scale production under real-world climate conditions and economic constraints is yet to be comprehensively demonstrated. Fifth, the socioeconomic feasibility of adopting advanced technologies in resource-limited production contexts, and the distributional implications of differential access to climate adaptation tools, are inadequately addressed in the current primary literature and warrant dedicated future investigation.</w:t>
      </w:r>
    </w:p>
    <w:p w14:paraId="4889028F" w14:textId="016FA0F0" w:rsidR="002B47C3" w:rsidRPr="008B378F" w:rsidRDefault="002B47C3" w:rsidP="002B47C3">
      <w:pPr>
        <w:rPr>
          <w:b/>
          <w:highlight w:val="yellow"/>
        </w:rPr>
      </w:pPr>
      <w:r w:rsidRPr="008B378F">
        <w:rPr>
          <w:b/>
          <w:highlight w:val="yellow"/>
        </w:rPr>
        <w:t>Disclaimer (Artificial intelligence)</w:t>
      </w:r>
    </w:p>
    <w:p w14:paraId="327DBD1A" w14:textId="77777777" w:rsidR="002B47C3" w:rsidRPr="008B378F" w:rsidRDefault="002B47C3" w:rsidP="002B47C3">
      <w:pPr>
        <w:rPr>
          <w:highlight w:val="yellow"/>
        </w:rPr>
      </w:pPr>
    </w:p>
    <w:p w14:paraId="22B47EC2" w14:textId="77777777" w:rsidR="002B47C3" w:rsidRDefault="002B47C3" w:rsidP="002B47C3">
      <w:r w:rsidRPr="008B378F">
        <w:rPr>
          <w:highlight w:val="yellow"/>
        </w:rPr>
        <w:t>Author(s) hereby declare that NO generative AI technologies such as Large Language Models (</w:t>
      </w:r>
      <w:proofErr w:type="spellStart"/>
      <w:r w:rsidRPr="008B378F">
        <w:rPr>
          <w:highlight w:val="yellow"/>
        </w:rPr>
        <w:t>ChatGPT</w:t>
      </w:r>
      <w:proofErr w:type="spellEnd"/>
      <w:r w:rsidRPr="008B378F">
        <w:rPr>
          <w:highlight w:val="yellow"/>
        </w:rPr>
        <w:t>, COPILOT, etc.) and text-to-image generators have been used during the writing or editing of this manuscript.</w:t>
      </w:r>
      <w:r>
        <w:t xml:space="preserve"> </w:t>
      </w:r>
    </w:p>
    <w:p w14:paraId="000485AE" w14:textId="77777777" w:rsidR="002B47C3" w:rsidRPr="007C4579" w:rsidRDefault="002B47C3" w:rsidP="007C4579">
      <w:pPr>
        <w:spacing w:before="100" w:beforeAutospacing="1" w:after="100" w:afterAutospacing="1"/>
        <w:jc w:val="both"/>
      </w:pPr>
    </w:p>
    <w:p w14:paraId="58280AB8" w14:textId="77777777" w:rsidR="00A36FC8" w:rsidRPr="007C4579" w:rsidRDefault="007B4A8C" w:rsidP="007C4579">
      <w:pPr>
        <w:pStyle w:val="Heading1"/>
        <w:spacing w:before="100" w:beforeAutospacing="1" w:after="100" w:afterAutospacing="1"/>
      </w:pPr>
      <w:r w:rsidRPr="007C4579">
        <w:t>References</w:t>
      </w:r>
    </w:p>
    <w:p w14:paraId="1330094A" w14:textId="77777777" w:rsidR="00A36FC8" w:rsidRPr="007C4579" w:rsidRDefault="007B4A8C" w:rsidP="002C0054">
      <w:pPr>
        <w:pStyle w:val="ListParagraph"/>
        <w:numPr>
          <w:ilvl w:val="0"/>
          <w:numId w:val="4"/>
        </w:numPr>
        <w:spacing w:before="100" w:beforeAutospacing="1" w:after="100" w:afterAutospacing="1"/>
        <w:jc w:val="both"/>
      </w:pPr>
      <w:proofErr w:type="spellStart"/>
      <w:r w:rsidRPr="007C4579">
        <w:t>Aune</w:t>
      </w:r>
      <w:proofErr w:type="spellEnd"/>
      <w:r w:rsidRPr="007C4579">
        <w:t xml:space="preserve">, D., </w:t>
      </w:r>
      <w:proofErr w:type="spellStart"/>
      <w:r w:rsidRPr="007C4579">
        <w:t>Giovannucci</w:t>
      </w:r>
      <w:proofErr w:type="spellEnd"/>
      <w:r w:rsidRPr="007C4579">
        <w:t xml:space="preserve">, E., </w:t>
      </w:r>
      <w:proofErr w:type="spellStart"/>
      <w:r w:rsidRPr="007C4579">
        <w:t>Boffetta</w:t>
      </w:r>
      <w:proofErr w:type="spellEnd"/>
      <w:r w:rsidRPr="007C4579">
        <w:t xml:space="preserve">, P., </w:t>
      </w:r>
      <w:proofErr w:type="spellStart"/>
      <w:r w:rsidRPr="007C4579">
        <w:t>Fadnes</w:t>
      </w:r>
      <w:proofErr w:type="spellEnd"/>
      <w:r w:rsidRPr="007C4579">
        <w:t xml:space="preserve">, L. T., </w:t>
      </w:r>
      <w:proofErr w:type="spellStart"/>
      <w:r w:rsidRPr="007C4579">
        <w:t>Keum</w:t>
      </w:r>
      <w:proofErr w:type="spellEnd"/>
      <w:r w:rsidRPr="007C4579">
        <w:t xml:space="preserve">, N., </w:t>
      </w:r>
      <w:proofErr w:type="spellStart"/>
      <w:r w:rsidRPr="007C4579">
        <w:t>Norat</w:t>
      </w:r>
      <w:proofErr w:type="spellEnd"/>
      <w:r w:rsidRPr="007C4579">
        <w:t xml:space="preserve">, T., Greenwood, D. C., </w:t>
      </w:r>
      <w:proofErr w:type="spellStart"/>
      <w:r w:rsidRPr="007C4579">
        <w:t>Riboli</w:t>
      </w:r>
      <w:proofErr w:type="spellEnd"/>
      <w:r w:rsidRPr="007C4579">
        <w:t xml:space="preserve">, E., </w:t>
      </w:r>
      <w:proofErr w:type="spellStart"/>
      <w:r w:rsidRPr="007C4579">
        <w:t>Vatten</w:t>
      </w:r>
      <w:proofErr w:type="spellEnd"/>
      <w:r w:rsidRPr="007C4579">
        <w:t xml:space="preserve">, L. J., &amp; </w:t>
      </w:r>
      <w:proofErr w:type="spellStart"/>
      <w:r w:rsidRPr="007C4579">
        <w:t>Tonstad</w:t>
      </w:r>
      <w:proofErr w:type="spellEnd"/>
      <w:r w:rsidRPr="007C4579">
        <w:t>, S. (2017). Fruit and vegetable intake and the risk of cardiovascular disease, total cancer and all-cause mortality–a systematic review and dose-response meta-analysis of prospective studies. International Journal of Epidemiology, 46(3), 1029–1056. https://doi.org/10.1093/ije/dyw319</w:t>
      </w:r>
    </w:p>
    <w:p w14:paraId="34E12A8F" w14:textId="77777777" w:rsidR="00A36FC8" w:rsidRPr="007C4579" w:rsidRDefault="007B4A8C" w:rsidP="002C0054">
      <w:pPr>
        <w:pStyle w:val="ListParagraph"/>
        <w:numPr>
          <w:ilvl w:val="0"/>
          <w:numId w:val="4"/>
        </w:numPr>
        <w:spacing w:before="100" w:beforeAutospacing="1" w:after="100" w:afterAutospacing="1"/>
        <w:jc w:val="both"/>
      </w:pPr>
      <w:proofErr w:type="spellStart"/>
      <w:r w:rsidRPr="007C4579">
        <w:t>Bita</w:t>
      </w:r>
      <w:proofErr w:type="spellEnd"/>
      <w:r w:rsidRPr="007C4579">
        <w:t xml:space="preserve">, C. E., &amp; </w:t>
      </w:r>
      <w:proofErr w:type="spellStart"/>
      <w:r w:rsidRPr="007C4579">
        <w:t>Gerats</w:t>
      </w:r>
      <w:proofErr w:type="spellEnd"/>
      <w:r w:rsidRPr="007C4579">
        <w:t>, T. (2013). Plant tolerance to high temperature in a changing environment: Scientific fundamentals and production of heat stress-tolerant crops. Frontiers in Plant Science, 4, 273. https://doi.org/10.3389/fpls.2013.00273</w:t>
      </w:r>
    </w:p>
    <w:p w14:paraId="3D2A7F26"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Chaudhary, S., Devi, P., </w:t>
      </w:r>
      <w:proofErr w:type="spellStart"/>
      <w:r w:rsidRPr="007C4579">
        <w:t>HanumanthaRao</w:t>
      </w:r>
      <w:proofErr w:type="spellEnd"/>
      <w:r w:rsidRPr="007C4579">
        <w:t>, B., Jha, U. C., Sharma, K. D., Prasad, P. V. K., Kumar, S., Siddique, K. H. M., &amp; Nayyar, H. (2022). Physiological and molecular approaches for developing thermotolerance in vegetable crops: A growth, yield and sustenance perspective. Frontiers in Plant Science, 13, 878498. https://doi.org/10.3389/fpls.2022.878498</w:t>
      </w:r>
    </w:p>
    <w:p w14:paraId="225CAE6C" w14:textId="77777777" w:rsidR="00A36FC8" w:rsidRPr="007C4579" w:rsidRDefault="007B4A8C" w:rsidP="002C0054">
      <w:pPr>
        <w:pStyle w:val="ListParagraph"/>
        <w:numPr>
          <w:ilvl w:val="0"/>
          <w:numId w:val="4"/>
        </w:numPr>
        <w:spacing w:before="100" w:beforeAutospacing="1" w:after="100" w:afterAutospacing="1"/>
        <w:jc w:val="both"/>
      </w:pPr>
      <w:r w:rsidRPr="007C4579">
        <w:t>FAO. (2022). FAO Strategy on Climate Change 2022–2031. Food and Agriculture Organization of the United Nations. https://openknowledge.fao.org/handle/20.500.14283/cc0323en</w:t>
      </w:r>
    </w:p>
    <w:p w14:paraId="589C2200" w14:textId="77777777" w:rsidR="00A36FC8" w:rsidRPr="007C4579" w:rsidRDefault="007B4A8C" w:rsidP="002C0054">
      <w:pPr>
        <w:pStyle w:val="ListParagraph"/>
        <w:numPr>
          <w:ilvl w:val="0"/>
          <w:numId w:val="4"/>
        </w:numPr>
        <w:spacing w:before="100" w:beforeAutospacing="1" w:after="100" w:afterAutospacing="1"/>
        <w:jc w:val="both"/>
      </w:pPr>
      <w:r w:rsidRPr="007C4579">
        <w:t>FAO, IFAD, UNICEF, WFP, &amp; WHO. (2022). The State of Food Security and Nutrition in the World 2022. Food and Agriculture Organization of the United Nations. https://doi.org/10.4060/cc0639en</w:t>
      </w:r>
    </w:p>
    <w:p w14:paraId="78D13FC0" w14:textId="77777777" w:rsidR="00A36FC8" w:rsidRPr="007C4579" w:rsidRDefault="007B4A8C" w:rsidP="002C0054">
      <w:pPr>
        <w:pStyle w:val="ListParagraph"/>
        <w:numPr>
          <w:ilvl w:val="0"/>
          <w:numId w:val="4"/>
        </w:numPr>
        <w:spacing w:before="100" w:beforeAutospacing="1" w:after="100" w:afterAutospacing="1"/>
        <w:jc w:val="both"/>
      </w:pPr>
      <w:r w:rsidRPr="007C4579">
        <w:t>IPCC. (2021). Climate Change 2021: The Physical Science Basis. Contribution of Working Group I to the Sixth Assessment Report of the Intergovernmental Panel on Climate Change (V. Masson-</w:t>
      </w:r>
      <w:proofErr w:type="spellStart"/>
      <w:r w:rsidRPr="007C4579">
        <w:t>Delmotte</w:t>
      </w:r>
      <w:proofErr w:type="spellEnd"/>
      <w:r w:rsidRPr="007C4579">
        <w:t xml:space="preserve">, P. </w:t>
      </w:r>
      <w:proofErr w:type="spellStart"/>
      <w:r w:rsidRPr="007C4579">
        <w:t>Zhai</w:t>
      </w:r>
      <w:proofErr w:type="spellEnd"/>
      <w:r w:rsidRPr="007C4579">
        <w:t xml:space="preserve">, A. Pirani, S. L. Connors, C. </w:t>
      </w:r>
      <w:proofErr w:type="spellStart"/>
      <w:r w:rsidRPr="007C4579">
        <w:t>Péan</w:t>
      </w:r>
      <w:proofErr w:type="spellEnd"/>
      <w:r w:rsidRPr="007C4579">
        <w:t xml:space="preserve">, S. Berger, N. </w:t>
      </w:r>
      <w:proofErr w:type="spellStart"/>
      <w:r w:rsidRPr="007C4579">
        <w:t>Caud</w:t>
      </w:r>
      <w:proofErr w:type="spellEnd"/>
      <w:r w:rsidRPr="007C4579">
        <w:t xml:space="preserve">, Y. Chen, L. Goldfarb, M. I. </w:t>
      </w:r>
      <w:proofErr w:type="spellStart"/>
      <w:r w:rsidRPr="007C4579">
        <w:t>Gomis</w:t>
      </w:r>
      <w:proofErr w:type="spellEnd"/>
      <w:r w:rsidRPr="007C4579">
        <w:t xml:space="preserve">, M. Huang, K. </w:t>
      </w:r>
      <w:proofErr w:type="spellStart"/>
      <w:r w:rsidRPr="007C4579">
        <w:t>Leitzell</w:t>
      </w:r>
      <w:proofErr w:type="spellEnd"/>
      <w:r w:rsidRPr="007C4579">
        <w:t xml:space="preserve">, E. </w:t>
      </w:r>
      <w:proofErr w:type="spellStart"/>
      <w:r w:rsidRPr="007C4579">
        <w:t>Lonnoy</w:t>
      </w:r>
      <w:proofErr w:type="spellEnd"/>
      <w:r w:rsidRPr="007C4579">
        <w:t xml:space="preserve">, </w:t>
      </w:r>
      <w:r w:rsidRPr="007C4579">
        <w:lastRenderedPageBreak/>
        <w:t xml:space="preserve">J. B. R. Matthews, T. K. </w:t>
      </w:r>
      <w:proofErr w:type="spellStart"/>
      <w:r w:rsidRPr="007C4579">
        <w:t>Maycock</w:t>
      </w:r>
      <w:proofErr w:type="spellEnd"/>
      <w:r w:rsidRPr="007C4579">
        <w:t xml:space="preserve">, T. Waterfield, O. </w:t>
      </w:r>
      <w:proofErr w:type="spellStart"/>
      <w:r w:rsidRPr="007C4579">
        <w:t>Yeleĸči</w:t>
      </w:r>
      <w:proofErr w:type="spellEnd"/>
      <w:r w:rsidRPr="007C4579">
        <w:t>, R. Yu, &amp; B. Zhou, Eds.). Cambridge University Press. https://doi.org/10.1017/9781009157896</w:t>
      </w:r>
    </w:p>
    <w:p w14:paraId="0E879C38"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IPCC. (2022). Climate Change 2022: Impacts, Adaptation and Vulnerability. Contribution of Working Group II to the Sixth Assessment Report of the Intergovernmental Panel on Climate Change (H.-O. </w:t>
      </w:r>
      <w:proofErr w:type="spellStart"/>
      <w:r w:rsidRPr="007C4579">
        <w:t>Pörtner</w:t>
      </w:r>
      <w:proofErr w:type="spellEnd"/>
      <w:r w:rsidRPr="007C4579">
        <w:t xml:space="preserve">, D. C. Roberts, M. </w:t>
      </w:r>
      <w:proofErr w:type="spellStart"/>
      <w:r w:rsidRPr="007C4579">
        <w:t>Tignor</w:t>
      </w:r>
      <w:proofErr w:type="spellEnd"/>
      <w:r w:rsidRPr="007C4579">
        <w:t xml:space="preserve">, E. S. </w:t>
      </w:r>
      <w:proofErr w:type="spellStart"/>
      <w:r w:rsidRPr="007C4579">
        <w:t>Poloczanska</w:t>
      </w:r>
      <w:proofErr w:type="spellEnd"/>
      <w:r w:rsidRPr="007C4579">
        <w:t xml:space="preserve">, K. </w:t>
      </w:r>
      <w:proofErr w:type="spellStart"/>
      <w:r w:rsidRPr="007C4579">
        <w:t>Mintenbeck</w:t>
      </w:r>
      <w:proofErr w:type="spellEnd"/>
      <w:r w:rsidRPr="007C4579">
        <w:t xml:space="preserve">, A. </w:t>
      </w:r>
      <w:proofErr w:type="spellStart"/>
      <w:r w:rsidRPr="007C4579">
        <w:t>Alegría</w:t>
      </w:r>
      <w:proofErr w:type="spellEnd"/>
      <w:r w:rsidRPr="007C4579">
        <w:t xml:space="preserve">, M. Craig, S. </w:t>
      </w:r>
      <w:proofErr w:type="spellStart"/>
      <w:r w:rsidRPr="007C4579">
        <w:t>Langsdorf</w:t>
      </w:r>
      <w:proofErr w:type="spellEnd"/>
      <w:r w:rsidRPr="007C4579">
        <w:t xml:space="preserve">, S. </w:t>
      </w:r>
      <w:proofErr w:type="spellStart"/>
      <w:r w:rsidRPr="007C4579">
        <w:t>Löschke</w:t>
      </w:r>
      <w:proofErr w:type="spellEnd"/>
      <w:r w:rsidRPr="007C4579">
        <w:t xml:space="preserve">, V. </w:t>
      </w:r>
      <w:proofErr w:type="spellStart"/>
      <w:r w:rsidRPr="007C4579">
        <w:t>Möller</w:t>
      </w:r>
      <w:proofErr w:type="spellEnd"/>
      <w:r w:rsidRPr="007C4579">
        <w:t xml:space="preserve">, A. </w:t>
      </w:r>
      <w:proofErr w:type="spellStart"/>
      <w:r w:rsidRPr="007C4579">
        <w:t>Okem</w:t>
      </w:r>
      <w:proofErr w:type="spellEnd"/>
      <w:r w:rsidRPr="007C4579">
        <w:t>, &amp; B. Rama, Eds.). Cambridge University Press. https://doi.org/10.1017/9781009325844</w:t>
      </w:r>
    </w:p>
    <w:p w14:paraId="0380C060" w14:textId="77777777" w:rsidR="00A36FC8" w:rsidRPr="007C4579" w:rsidRDefault="007B4A8C" w:rsidP="002C0054">
      <w:pPr>
        <w:pStyle w:val="ListParagraph"/>
        <w:numPr>
          <w:ilvl w:val="0"/>
          <w:numId w:val="4"/>
        </w:numPr>
        <w:spacing w:before="100" w:beforeAutospacing="1" w:after="100" w:afterAutospacing="1"/>
        <w:jc w:val="both"/>
      </w:pPr>
      <w:proofErr w:type="spellStart"/>
      <w:r w:rsidRPr="007C4579">
        <w:t>Janni</w:t>
      </w:r>
      <w:proofErr w:type="spellEnd"/>
      <w:r w:rsidRPr="007C4579">
        <w:t xml:space="preserve">, M., </w:t>
      </w:r>
      <w:proofErr w:type="spellStart"/>
      <w:r w:rsidRPr="007C4579">
        <w:t>Maestri</w:t>
      </w:r>
      <w:proofErr w:type="spellEnd"/>
      <w:r w:rsidRPr="007C4579">
        <w:t xml:space="preserve">, E., </w:t>
      </w:r>
      <w:proofErr w:type="spellStart"/>
      <w:r w:rsidRPr="007C4579">
        <w:t>Gullì</w:t>
      </w:r>
      <w:proofErr w:type="spellEnd"/>
      <w:r w:rsidRPr="007C4579">
        <w:t xml:space="preserve">, M., </w:t>
      </w:r>
      <w:proofErr w:type="spellStart"/>
      <w:r w:rsidRPr="007C4579">
        <w:t>Marmiroli</w:t>
      </w:r>
      <w:proofErr w:type="spellEnd"/>
      <w:r w:rsidRPr="007C4579">
        <w:t xml:space="preserve">, M., &amp; </w:t>
      </w:r>
      <w:proofErr w:type="spellStart"/>
      <w:r w:rsidRPr="007C4579">
        <w:t>Marmiroli</w:t>
      </w:r>
      <w:proofErr w:type="spellEnd"/>
      <w:r w:rsidRPr="007C4579">
        <w:t>, N. (2024). Plant responses to climate change, how global warming may impact on food security: A critical review. Frontiers in Plant Science, 14, 1297569. https://doi.org/10.3389/fpls.2023.1297569</w:t>
      </w:r>
    </w:p>
    <w:p w14:paraId="7D60E6E8"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Kang, Y., Lee, K., </w:t>
      </w:r>
      <w:proofErr w:type="spellStart"/>
      <w:r w:rsidRPr="007C4579">
        <w:t>Hoshikawa</w:t>
      </w:r>
      <w:proofErr w:type="spellEnd"/>
      <w:r w:rsidRPr="007C4579">
        <w:t>, K., Kang, M., &amp; Jang, S. (2022). Molecular bases of heat stress responses in vegetable crops with focusing on heat shock factors and heat shock proteins. Frontiers in Plant Science, 13, 837152. https://doi.org/10.3389/fpls.2022.837152</w:t>
      </w:r>
    </w:p>
    <w:p w14:paraId="09874FCA" w14:textId="77777777" w:rsidR="00A36FC8" w:rsidRPr="007C4579" w:rsidRDefault="007B4A8C" w:rsidP="002C0054">
      <w:pPr>
        <w:pStyle w:val="ListParagraph"/>
        <w:numPr>
          <w:ilvl w:val="0"/>
          <w:numId w:val="4"/>
        </w:numPr>
        <w:spacing w:before="100" w:beforeAutospacing="1" w:after="100" w:afterAutospacing="1"/>
        <w:jc w:val="both"/>
      </w:pPr>
      <w:r w:rsidRPr="007C4579">
        <w:t>Li, Y., Wu, X., Zhang, Y., &amp; Zhang, Q. (2022). CRISPR/Cas genome editing improves abiotic and biotic stress tolerance of crops. Frontiers in Genome Editing, 4, 987817. https://doi.org/10.3389/fgeed.2022.987817</w:t>
      </w:r>
    </w:p>
    <w:p w14:paraId="270CB574"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Lobell, D. B., &amp; </w:t>
      </w:r>
      <w:proofErr w:type="spellStart"/>
      <w:r w:rsidRPr="007C4579">
        <w:t>Gourdji</w:t>
      </w:r>
      <w:proofErr w:type="spellEnd"/>
      <w:r w:rsidRPr="007C4579">
        <w:t>, S. M. (2012). The influence of climate change on global crop productivity. Plant Physiology, 160(4), 1686–1697. https://doi.org/10.1104/pp.112.208298</w:t>
      </w:r>
    </w:p>
    <w:p w14:paraId="2D99D80B" w14:textId="77777777" w:rsidR="00A36FC8" w:rsidRPr="007C4579" w:rsidRDefault="007B4A8C" w:rsidP="002C0054">
      <w:pPr>
        <w:pStyle w:val="ListParagraph"/>
        <w:numPr>
          <w:ilvl w:val="0"/>
          <w:numId w:val="4"/>
        </w:numPr>
        <w:spacing w:before="100" w:beforeAutospacing="1" w:after="100" w:afterAutospacing="1"/>
        <w:jc w:val="both"/>
      </w:pPr>
      <w:r w:rsidRPr="007C4579">
        <w:t>Majeed, Y., Fu, L., &amp; He, L. (2024). Editorial: Artificial intelligence-of-things (</w:t>
      </w:r>
      <w:proofErr w:type="spellStart"/>
      <w:r w:rsidRPr="007C4579">
        <w:t>AIoT</w:t>
      </w:r>
      <w:proofErr w:type="spellEnd"/>
      <w:r w:rsidRPr="007C4579">
        <w:t>) in precision agriculture. Frontiers in Plant Science, 15, 1369791. https://doi.org/10.3389/fpls.2024.1369791</w:t>
      </w:r>
    </w:p>
    <w:p w14:paraId="0201DA9E"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Osorio-Marín, J., Fernandez, E., </w:t>
      </w:r>
      <w:proofErr w:type="spellStart"/>
      <w:r w:rsidRPr="007C4579">
        <w:t>Vieli</w:t>
      </w:r>
      <w:proofErr w:type="spellEnd"/>
      <w:r w:rsidRPr="007C4579">
        <w:t xml:space="preserve">, L., Ribera, A., </w:t>
      </w:r>
      <w:proofErr w:type="spellStart"/>
      <w:r w:rsidRPr="007C4579">
        <w:t>Luedeling</w:t>
      </w:r>
      <w:proofErr w:type="spellEnd"/>
      <w:r w:rsidRPr="007C4579">
        <w:t xml:space="preserve">, E., &amp; </w:t>
      </w:r>
      <w:proofErr w:type="spellStart"/>
      <w:r w:rsidRPr="007C4579">
        <w:t>Cobo</w:t>
      </w:r>
      <w:proofErr w:type="spellEnd"/>
      <w:r w:rsidRPr="007C4579">
        <w:t>, N. (2024). Climate change impacts on temperate fruit and nut production: A systematic review. Frontiers in Plant Science, 15, 1352169. https://doi.org/10.3389/fpls.2024.1352169</w:t>
      </w:r>
    </w:p>
    <w:p w14:paraId="1C2C90DB"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Park, J., Lee, S.-H., Lee, J., Wi, S. H., </w:t>
      </w:r>
      <w:proofErr w:type="spellStart"/>
      <w:r w:rsidRPr="007C4579">
        <w:t>Seo</w:t>
      </w:r>
      <w:proofErr w:type="spellEnd"/>
      <w:r w:rsidRPr="007C4579">
        <w:t>, T. C., Moon, J. H., &amp; Jang, S. (2025). Growing vegetables in a warming world – A review of crop response to drought stress, and strategies to mitigate adverse effects in vegetable production. Frontiers in Plant Science, 16, 1561100. https://doi.org/10.3389/fpls.2025.1561100</w:t>
      </w:r>
    </w:p>
    <w:p w14:paraId="74BDD08A" w14:textId="77777777" w:rsidR="00A36FC8" w:rsidRPr="007C4579" w:rsidRDefault="007B4A8C" w:rsidP="002C0054">
      <w:pPr>
        <w:pStyle w:val="ListParagraph"/>
        <w:numPr>
          <w:ilvl w:val="0"/>
          <w:numId w:val="4"/>
        </w:numPr>
        <w:spacing w:before="100" w:beforeAutospacing="1" w:after="100" w:afterAutospacing="1"/>
        <w:jc w:val="both"/>
      </w:pPr>
      <w:r w:rsidRPr="007C4579">
        <w:t>Parveen, N., Khan, A. H., Tahir, M., Aslam, R., Amin, E., Riaz, M., Aleem, S., Ghafoor, I., &amp; Akbar, S. (2023). Understanding heat tolerance in vegetables: Physiological and molecular insights, and contemporary genomic approaches for enhancing heat stress resilience. Journal of Horticultural Sciences, 18(2), 245–258. https://doi.org/10.24154/jhs.v18i2.1672</w:t>
      </w:r>
    </w:p>
    <w:p w14:paraId="30F62AB5"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Saeed, F., Chaudhry, U. K., Raza, A., </w:t>
      </w:r>
      <w:proofErr w:type="spellStart"/>
      <w:r w:rsidRPr="007C4579">
        <w:t>Charagh</w:t>
      </w:r>
      <w:proofErr w:type="spellEnd"/>
      <w:r w:rsidRPr="007C4579">
        <w:t xml:space="preserve">, S., Bakhsh, A., Bohra, A., Ali, S., </w:t>
      </w:r>
      <w:proofErr w:type="spellStart"/>
      <w:r w:rsidRPr="007C4579">
        <w:t>Chitikineni</w:t>
      </w:r>
      <w:proofErr w:type="spellEnd"/>
      <w:r w:rsidRPr="007C4579">
        <w:t>, A., Saeed, Y., Visser, R. G. F., Siddique, K. H. M., &amp; Varshney, R. K. (2023). Developing future heat-resilient vegetable crops. Functional &amp; Integrative Genomics, 23(1), 47. https://doi.org/10.1007/s10142-023-00967-8</w:t>
      </w:r>
    </w:p>
    <w:p w14:paraId="6ED11CDF" w14:textId="77777777" w:rsidR="00A36FC8" w:rsidRPr="007C4579" w:rsidRDefault="007B4A8C" w:rsidP="002C0054">
      <w:pPr>
        <w:pStyle w:val="ListParagraph"/>
        <w:numPr>
          <w:ilvl w:val="0"/>
          <w:numId w:val="4"/>
        </w:numPr>
        <w:spacing w:before="100" w:beforeAutospacing="1" w:after="100" w:afterAutospacing="1"/>
        <w:jc w:val="both"/>
      </w:pPr>
      <w:proofErr w:type="spellStart"/>
      <w:r w:rsidRPr="007C4579">
        <w:t>Terán</w:t>
      </w:r>
      <w:proofErr w:type="spellEnd"/>
      <w:r w:rsidRPr="007C4579">
        <w:t xml:space="preserve">, F., </w:t>
      </w:r>
      <w:proofErr w:type="spellStart"/>
      <w:r w:rsidRPr="007C4579">
        <w:t>Vives</w:t>
      </w:r>
      <w:proofErr w:type="spellEnd"/>
      <w:r w:rsidRPr="007C4579">
        <w:t>-Peris, V., Gómez-</w:t>
      </w:r>
      <w:proofErr w:type="spellStart"/>
      <w:r w:rsidRPr="007C4579">
        <w:t>Cadenas</w:t>
      </w:r>
      <w:proofErr w:type="spellEnd"/>
      <w:r w:rsidRPr="007C4579">
        <w:t xml:space="preserve">, A., &amp; Pérez-Clemente, R. M. (2024). Facing climate change: Plant stress mitigation strategies in agriculture. </w:t>
      </w:r>
      <w:proofErr w:type="spellStart"/>
      <w:r w:rsidRPr="007C4579">
        <w:t>Physiologia</w:t>
      </w:r>
      <w:proofErr w:type="spellEnd"/>
      <w:r w:rsidRPr="007C4579">
        <w:t xml:space="preserve"> Plantarum, 176(4), e14484. https://doi.org/10.1111/ppl.14484</w:t>
      </w:r>
    </w:p>
    <w:p w14:paraId="674D7CEA" w14:textId="77777777" w:rsidR="00A36FC8" w:rsidRPr="007C4579" w:rsidRDefault="007B4A8C" w:rsidP="002C0054">
      <w:pPr>
        <w:pStyle w:val="ListParagraph"/>
        <w:numPr>
          <w:ilvl w:val="0"/>
          <w:numId w:val="4"/>
        </w:numPr>
        <w:spacing w:before="100" w:beforeAutospacing="1" w:after="100" w:afterAutospacing="1"/>
        <w:jc w:val="both"/>
      </w:pPr>
      <w:r w:rsidRPr="007C4579">
        <w:t xml:space="preserve">Wahid, A., </w:t>
      </w:r>
      <w:proofErr w:type="spellStart"/>
      <w:r w:rsidRPr="007C4579">
        <w:t>Gelani</w:t>
      </w:r>
      <w:proofErr w:type="spellEnd"/>
      <w:r w:rsidRPr="007C4579">
        <w:t xml:space="preserve">, S., Ashraf, M., &amp; </w:t>
      </w:r>
      <w:proofErr w:type="spellStart"/>
      <w:r w:rsidRPr="007C4579">
        <w:t>Foolad</w:t>
      </w:r>
      <w:proofErr w:type="spellEnd"/>
      <w:r w:rsidRPr="007C4579">
        <w:t>, M. R. (2007). Heat tolerance in plants: An overview. Environmental and Experimental Botany, 61(3), 199–223. https://doi.org/10.1016/j.envexpbot.2007.05.011</w:t>
      </w:r>
    </w:p>
    <w:p w14:paraId="22BDF80C" w14:textId="77777777" w:rsidR="00A36FC8" w:rsidRDefault="007B4A8C" w:rsidP="002C0054">
      <w:pPr>
        <w:pStyle w:val="ListParagraph"/>
        <w:numPr>
          <w:ilvl w:val="0"/>
          <w:numId w:val="4"/>
        </w:numPr>
        <w:spacing w:before="100" w:beforeAutospacing="1" w:after="100" w:afterAutospacing="1"/>
        <w:jc w:val="both"/>
      </w:pPr>
      <w:r w:rsidRPr="007C4579">
        <w:lastRenderedPageBreak/>
        <w:t xml:space="preserve">Zhao, C., Liu, B., Piao, S., Wang, X., Lobell, D. B., Huang, Y., Huang, M., Yao, Y., </w:t>
      </w:r>
      <w:proofErr w:type="spellStart"/>
      <w:r w:rsidRPr="007C4579">
        <w:t>Bassu</w:t>
      </w:r>
      <w:proofErr w:type="spellEnd"/>
      <w:r w:rsidRPr="007C4579">
        <w:t xml:space="preserve">, S., </w:t>
      </w:r>
      <w:proofErr w:type="spellStart"/>
      <w:r w:rsidRPr="007C4579">
        <w:t>Ciais</w:t>
      </w:r>
      <w:proofErr w:type="spellEnd"/>
      <w:r w:rsidRPr="007C4579">
        <w:t xml:space="preserve">, P., Durand, J.-L., Elliott, J., Ewert, F., Janssens, I. A., Li, T., Lin, E., Liu, Q., </w:t>
      </w:r>
      <w:proofErr w:type="spellStart"/>
      <w:r w:rsidRPr="007C4579">
        <w:t>Martre</w:t>
      </w:r>
      <w:proofErr w:type="spellEnd"/>
      <w:r w:rsidRPr="007C4579">
        <w:t xml:space="preserve">, P., Müller, C., Peng, S., </w:t>
      </w:r>
      <w:proofErr w:type="spellStart"/>
      <w:r w:rsidRPr="007C4579">
        <w:t>Peñuelas</w:t>
      </w:r>
      <w:proofErr w:type="spellEnd"/>
      <w:r w:rsidRPr="007C4579">
        <w:t xml:space="preserve">, J., Ruane, A. C., Wallach, D., Wang, T., Wu, D., Liu, Z., Zhu, Y., Zhu, Z., &amp; </w:t>
      </w:r>
      <w:proofErr w:type="spellStart"/>
      <w:r w:rsidRPr="007C4579">
        <w:t>Asseng</w:t>
      </w:r>
      <w:proofErr w:type="spellEnd"/>
      <w:r w:rsidRPr="007C4579">
        <w:t xml:space="preserve">, S. (2017). Temperature increase reduces global yields of major crops in four independent estimates. Proceedings of the National Academy of Sciences, 114(35), 9326–9331. </w:t>
      </w:r>
      <w:hyperlink r:id="rId7" w:history="1">
        <w:r w:rsidR="00A74B4F" w:rsidRPr="00EC734F">
          <w:rPr>
            <w:rStyle w:val="Hyperlink"/>
          </w:rPr>
          <w:t>https://doi.org/10.1073/pnas.1701762114</w:t>
        </w:r>
      </w:hyperlink>
    </w:p>
    <w:p w14:paraId="6CE1B26F" w14:textId="7F1E8FAE" w:rsidR="00A74B4F" w:rsidRPr="002C0054" w:rsidRDefault="00A74B4F" w:rsidP="002C0054">
      <w:pPr>
        <w:pStyle w:val="ListParagraph"/>
        <w:numPr>
          <w:ilvl w:val="0"/>
          <w:numId w:val="4"/>
        </w:numPr>
        <w:spacing w:before="100" w:beforeAutospacing="1" w:after="100" w:afterAutospacing="1"/>
        <w:jc w:val="both"/>
        <w:rPr>
          <w:rFonts w:ascii="Arial" w:hAnsi="Arial" w:cs="Arial"/>
          <w:color w:val="222222"/>
          <w:sz w:val="20"/>
          <w:szCs w:val="20"/>
          <w:highlight w:val="yellow"/>
          <w:shd w:val="clear" w:color="auto" w:fill="FFFFFF"/>
        </w:rPr>
      </w:pPr>
      <w:proofErr w:type="spellStart"/>
      <w:r w:rsidRPr="002C0054">
        <w:rPr>
          <w:rFonts w:ascii="Arial" w:hAnsi="Arial" w:cs="Arial"/>
          <w:color w:val="222222"/>
          <w:sz w:val="20"/>
          <w:szCs w:val="20"/>
          <w:highlight w:val="yellow"/>
          <w:shd w:val="clear" w:color="auto" w:fill="FFFFFF"/>
        </w:rPr>
        <w:t>Kotomale</w:t>
      </w:r>
      <w:proofErr w:type="spellEnd"/>
      <w:r w:rsidRPr="002C0054">
        <w:rPr>
          <w:rFonts w:ascii="Arial" w:hAnsi="Arial" w:cs="Arial"/>
          <w:color w:val="222222"/>
          <w:sz w:val="20"/>
          <w:szCs w:val="20"/>
          <w:highlight w:val="yellow"/>
          <w:shd w:val="clear" w:color="auto" w:fill="FFFFFF"/>
        </w:rPr>
        <w:t xml:space="preserve">, M. L. C., </w:t>
      </w:r>
      <w:proofErr w:type="spellStart"/>
      <w:r w:rsidRPr="002C0054">
        <w:rPr>
          <w:rFonts w:ascii="Arial" w:hAnsi="Arial" w:cs="Arial"/>
          <w:color w:val="222222"/>
          <w:sz w:val="20"/>
          <w:szCs w:val="20"/>
          <w:highlight w:val="yellow"/>
          <w:shd w:val="clear" w:color="auto" w:fill="FFFFFF"/>
        </w:rPr>
        <w:t>Dahan</w:t>
      </w:r>
      <w:proofErr w:type="spellEnd"/>
      <w:r w:rsidRPr="002C0054">
        <w:rPr>
          <w:rFonts w:ascii="Arial" w:hAnsi="Arial" w:cs="Arial"/>
          <w:color w:val="222222"/>
          <w:sz w:val="20"/>
          <w:szCs w:val="20"/>
          <w:highlight w:val="yellow"/>
          <w:shd w:val="clear" w:color="auto" w:fill="FFFFFF"/>
        </w:rPr>
        <w:t xml:space="preserve">, K. S., </w:t>
      </w:r>
      <w:proofErr w:type="spellStart"/>
      <w:r w:rsidRPr="002C0054">
        <w:rPr>
          <w:rFonts w:ascii="Arial" w:hAnsi="Arial" w:cs="Arial"/>
          <w:color w:val="222222"/>
          <w:sz w:val="20"/>
          <w:szCs w:val="20"/>
          <w:highlight w:val="yellow"/>
          <w:shd w:val="clear" w:color="auto" w:fill="FFFFFF"/>
        </w:rPr>
        <w:t>Sotondji</w:t>
      </w:r>
      <w:proofErr w:type="spellEnd"/>
      <w:r w:rsidRPr="002C0054">
        <w:rPr>
          <w:rFonts w:ascii="Arial" w:hAnsi="Arial" w:cs="Arial"/>
          <w:color w:val="222222"/>
          <w:sz w:val="20"/>
          <w:szCs w:val="20"/>
          <w:highlight w:val="yellow"/>
          <w:shd w:val="clear" w:color="auto" w:fill="FFFFFF"/>
        </w:rPr>
        <w:t xml:space="preserve">, F. A., </w:t>
      </w:r>
      <w:proofErr w:type="spellStart"/>
      <w:r w:rsidRPr="002C0054">
        <w:rPr>
          <w:rFonts w:ascii="Arial" w:hAnsi="Arial" w:cs="Arial"/>
          <w:color w:val="222222"/>
          <w:sz w:val="20"/>
          <w:szCs w:val="20"/>
          <w:highlight w:val="yellow"/>
          <w:shd w:val="clear" w:color="auto" w:fill="FFFFFF"/>
        </w:rPr>
        <w:t>Kapongo</w:t>
      </w:r>
      <w:proofErr w:type="spellEnd"/>
      <w:r w:rsidRPr="002C0054">
        <w:rPr>
          <w:rFonts w:ascii="Arial" w:hAnsi="Arial" w:cs="Arial"/>
          <w:color w:val="222222"/>
          <w:sz w:val="20"/>
          <w:szCs w:val="20"/>
          <w:highlight w:val="yellow"/>
          <w:shd w:val="clear" w:color="auto" w:fill="FFFFFF"/>
        </w:rPr>
        <w:t xml:space="preserve">, J. P., &amp; </w:t>
      </w:r>
      <w:proofErr w:type="spellStart"/>
      <w:r w:rsidRPr="002C0054">
        <w:rPr>
          <w:rFonts w:ascii="Arial" w:hAnsi="Arial" w:cs="Arial"/>
          <w:color w:val="222222"/>
          <w:sz w:val="20"/>
          <w:szCs w:val="20"/>
          <w:highlight w:val="yellow"/>
          <w:shd w:val="clear" w:color="auto" w:fill="FFFFFF"/>
        </w:rPr>
        <w:t>Sieber</w:t>
      </w:r>
      <w:proofErr w:type="spellEnd"/>
      <w:r w:rsidRPr="002C0054">
        <w:rPr>
          <w:rFonts w:ascii="Arial" w:hAnsi="Arial" w:cs="Arial"/>
          <w:color w:val="222222"/>
          <w:sz w:val="20"/>
          <w:szCs w:val="20"/>
          <w:highlight w:val="yellow"/>
          <w:shd w:val="clear" w:color="auto" w:fill="FFFFFF"/>
        </w:rPr>
        <w:t>, S. (2026). Climate constraints and adaptation strategies for improving the production and quality of exotic vegetables in North America (literature review). </w:t>
      </w:r>
      <w:r w:rsidRPr="002C0054">
        <w:rPr>
          <w:rFonts w:ascii="Arial" w:hAnsi="Arial" w:cs="Arial"/>
          <w:i/>
          <w:iCs/>
          <w:color w:val="222222"/>
          <w:sz w:val="20"/>
          <w:szCs w:val="20"/>
          <w:highlight w:val="yellow"/>
          <w:shd w:val="clear" w:color="auto" w:fill="FFFFFF"/>
        </w:rPr>
        <w:t>Current Plant Biology</w:t>
      </w:r>
      <w:r w:rsidRPr="002C0054">
        <w:rPr>
          <w:rFonts w:ascii="Arial" w:hAnsi="Arial" w:cs="Arial"/>
          <w:color w:val="222222"/>
          <w:sz w:val="20"/>
          <w:szCs w:val="20"/>
          <w:highlight w:val="yellow"/>
          <w:shd w:val="clear" w:color="auto" w:fill="FFFFFF"/>
        </w:rPr>
        <w:t>, 100598.</w:t>
      </w:r>
    </w:p>
    <w:p w14:paraId="3817079E" w14:textId="77777777" w:rsidR="00C14239" w:rsidRPr="002B47C3" w:rsidRDefault="00C14239" w:rsidP="002C0054">
      <w:pPr>
        <w:pStyle w:val="NormalWeb"/>
        <w:numPr>
          <w:ilvl w:val="0"/>
          <w:numId w:val="4"/>
        </w:numPr>
        <w:shd w:val="clear" w:color="auto" w:fill="FFFFFF"/>
        <w:spacing w:before="0" w:beforeAutospacing="0" w:after="150" w:afterAutospacing="0"/>
        <w:rPr>
          <w:rFonts w:ascii="inherit" w:hAnsi="inherit" w:cs="Helvetica"/>
          <w:color w:val="222222"/>
          <w:sz w:val="22"/>
          <w:szCs w:val="18"/>
        </w:rPr>
      </w:pPr>
      <w:proofErr w:type="spellStart"/>
      <w:r w:rsidRPr="002B47C3">
        <w:rPr>
          <w:rFonts w:ascii="inherit" w:hAnsi="inherit" w:cs="Helvetica"/>
          <w:color w:val="222222"/>
          <w:sz w:val="22"/>
          <w:szCs w:val="18"/>
          <w:highlight w:val="yellow"/>
        </w:rPr>
        <w:t>Bacelar</w:t>
      </w:r>
      <w:proofErr w:type="spellEnd"/>
      <w:r w:rsidRPr="002B47C3">
        <w:rPr>
          <w:rFonts w:ascii="inherit" w:hAnsi="inherit" w:cs="Helvetica"/>
          <w:color w:val="222222"/>
          <w:sz w:val="22"/>
          <w:szCs w:val="18"/>
          <w:highlight w:val="yellow"/>
        </w:rPr>
        <w:t xml:space="preserve">, E., Pinto, T., Anjos, R., </w:t>
      </w:r>
      <w:proofErr w:type="spellStart"/>
      <w:r w:rsidRPr="002B47C3">
        <w:rPr>
          <w:rFonts w:ascii="inherit" w:hAnsi="inherit" w:cs="Helvetica"/>
          <w:color w:val="222222"/>
          <w:sz w:val="22"/>
          <w:szCs w:val="18"/>
          <w:highlight w:val="yellow"/>
        </w:rPr>
        <w:t>Morais</w:t>
      </w:r>
      <w:proofErr w:type="spellEnd"/>
      <w:r w:rsidRPr="002B47C3">
        <w:rPr>
          <w:rFonts w:ascii="inherit" w:hAnsi="inherit" w:cs="Helvetica"/>
          <w:color w:val="222222"/>
          <w:sz w:val="22"/>
          <w:szCs w:val="18"/>
          <w:highlight w:val="yellow"/>
        </w:rPr>
        <w:t xml:space="preserve">, M. C., Oliveira, I., </w:t>
      </w:r>
      <w:proofErr w:type="spellStart"/>
      <w:r w:rsidRPr="002B47C3">
        <w:rPr>
          <w:rFonts w:ascii="inherit" w:hAnsi="inherit" w:cs="Helvetica"/>
          <w:color w:val="222222"/>
          <w:sz w:val="22"/>
          <w:szCs w:val="18"/>
          <w:highlight w:val="yellow"/>
        </w:rPr>
        <w:t>Vilela</w:t>
      </w:r>
      <w:proofErr w:type="spellEnd"/>
      <w:r w:rsidRPr="002B47C3">
        <w:rPr>
          <w:rFonts w:ascii="inherit" w:hAnsi="inherit" w:cs="Helvetica"/>
          <w:color w:val="222222"/>
          <w:sz w:val="22"/>
          <w:szCs w:val="18"/>
          <w:highlight w:val="yellow"/>
        </w:rPr>
        <w:t xml:space="preserve">, A., &amp; </w:t>
      </w:r>
      <w:proofErr w:type="spellStart"/>
      <w:r w:rsidRPr="002B47C3">
        <w:rPr>
          <w:rFonts w:ascii="inherit" w:hAnsi="inherit" w:cs="Helvetica"/>
          <w:color w:val="222222"/>
          <w:sz w:val="22"/>
          <w:szCs w:val="18"/>
          <w:highlight w:val="yellow"/>
        </w:rPr>
        <w:t>Cosme</w:t>
      </w:r>
      <w:proofErr w:type="spellEnd"/>
      <w:r w:rsidRPr="002B47C3">
        <w:rPr>
          <w:rFonts w:ascii="inherit" w:hAnsi="inherit" w:cs="Helvetica"/>
          <w:color w:val="222222"/>
          <w:sz w:val="22"/>
          <w:szCs w:val="18"/>
          <w:highlight w:val="yellow"/>
        </w:rPr>
        <w:t>, F. (2024). Impacts of Climate Change and Mitigation Strategies for Some Abiotic and Biotic Constraints Influencing Fruit Growth and Quality. </w:t>
      </w:r>
      <w:r w:rsidRPr="002B47C3">
        <w:rPr>
          <w:rStyle w:val="Emphasis"/>
          <w:rFonts w:ascii="inherit" w:hAnsi="inherit" w:cs="Helvetica"/>
          <w:color w:val="222222"/>
          <w:sz w:val="22"/>
          <w:szCs w:val="18"/>
          <w:highlight w:val="yellow"/>
        </w:rPr>
        <w:t>Plants</w:t>
      </w:r>
      <w:r w:rsidRPr="002B47C3">
        <w:rPr>
          <w:rFonts w:ascii="inherit" w:hAnsi="inherit" w:cs="Helvetica"/>
          <w:color w:val="222222"/>
          <w:sz w:val="22"/>
          <w:szCs w:val="18"/>
          <w:highlight w:val="yellow"/>
        </w:rPr>
        <w:t>, </w:t>
      </w:r>
      <w:r w:rsidRPr="002B47C3">
        <w:rPr>
          <w:rStyle w:val="Emphasis"/>
          <w:rFonts w:ascii="inherit" w:hAnsi="inherit" w:cs="Helvetica"/>
          <w:color w:val="222222"/>
          <w:sz w:val="22"/>
          <w:szCs w:val="18"/>
          <w:highlight w:val="yellow"/>
        </w:rPr>
        <w:t>13</w:t>
      </w:r>
      <w:r w:rsidRPr="002B47C3">
        <w:rPr>
          <w:rFonts w:ascii="inherit" w:hAnsi="inherit" w:cs="Helvetica"/>
          <w:color w:val="222222"/>
          <w:sz w:val="22"/>
          <w:szCs w:val="18"/>
          <w:highlight w:val="yellow"/>
        </w:rPr>
        <w:t>(14), 1942. https://doi.org/10.3390/plants13141942</w:t>
      </w:r>
    </w:p>
    <w:p w14:paraId="2959842B" w14:textId="77777777" w:rsidR="004517E8" w:rsidRPr="002C0054" w:rsidRDefault="004517E8" w:rsidP="002C0054">
      <w:pPr>
        <w:pStyle w:val="ListParagraph"/>
        <w:numPr>
          <w:ilvl w:val="0"/>
          <w:numId w:val="4"/>
        </w:numPr>
        <w:shd w:val="clear" w:color="auto" w:fill="FFFFFF"/>
        <w:rPr>
          <w:rFonts w:ascii="Arial" w:hAnsi="Arial" w:cs="Arial"/>
          <w:color w:val="212529"/>
          <w:sz w:val="20"/>
          <w:szCs w:val="20"/>
        </w:rPr>
      </w:pPr>
      <w:r w:rsidRPr="002C0054">
        <w:rPr>
          <w:rFonts w:ascii="Arial" w:hAnsi="Arial" w:cs="Arial"/>
          <w:color w:val="212529"/>
          <w:sz w:val="20"/>
          <w:szCs w:val="20"/>
          <w:highlight w:val="yellow"/>
        </w:rPr>
        <w:t xml:space="preserve">Jyoti, Anand G Patil, </w:t>
      </w:r>
      <w:proofErr w:type="spellStart"/>
      <w:r w:rsidRPr="002C0054">
        <w:rPr>
          <w:rFonts w:ascii="Arial" w:hAnsi="Arial" w:cs="Arial"/>
          <w:color w:val="212529"/>
          <w:sz w:val="20"/>
          <w:szCs w:val="20"/>
          <w:highlight w:val="yellow"/>
        </w:rPr>
        <w:t>Fakrudin</w:t>
      </w:r>
      <w:proofErr w:type="spellEnd"/>
      <w:r w:rsidRPr="002C0054">
        <w:rPr>
          <w:rFonts w:ascii="Arial" w:hAnsi="Arial" w:cs="Arial"/>
          <w:color w:val="212529"/>
          <w:sz w:val="20"/>
          <w:szCs w:val="20"/>
          <w:highlight w:val="yellow"/>
        </w:rPr>
        <w:t xml:space="preserve"> B, Anand G </w:t>
      </w:r>
      <w:proofErr w:type="spellStart"/>
      <w:r w:rsidRPr="002C0054">
        <w:rPr>
          <w:rFonts w:ascii="Arial" w:hAnsi="Arial" w:cs="Arial"/>
          <w:color w:val="212529"/>
          <w:sz w:val="20"/>
          <w:szCs w:val="20"/>
          <w:highlight w:val="yellow"/>
        </w:rPr>
        <w:t>Nanjappanavar</w:t>
      </w:r>
      <w:proofErr w:type="spellEnd"/>
      <w:r w:rsidRPr="002C0054">
        <w:rPr>
          <w:rFonts w:ascii="Arial" w:hAnsi="Arial" w:cs="Arial"/>
          <w:color w:val="212529"/>
          <w:sz w:val="20"/>
          <w:szCs w:val="20"/>
          <w:highlight w:val="yellow"/>
        </w:rPr>
        <w:t xml:space="preserve">, </w:t>
      </w:r>
      <w:proofErr w:type="spellStart"/>
      <w:r w:rsidRPr="002C0054">
        <w:rPr>
          <w:rFonts w:ascii="Arial" w:hAnsi="Arial" w:cs="Arial"/>
          <w:color w:val="212529"/>
          <w:sz w:val="20"/>
          <w:szCs w:val="20"/>
          <w:highlight w:val="yellow"/>
        </w:rPr>
        <w:t>Basavarj</w:t>
      </w:r>
      <w:proofErr w:type="spellEnd"/>
      <w:r w:rsidRPr="002C0054">
        <w:rPr>
          <w:rFonts w:ascii="Arial" w:hAnsi="Arial" w:cs="Arial"/>
          <w:color w:val="212529"/>
          <w:sz w:val="20"/>
          <w:szCs w:val="20"/>
          <w:highlight w:val="yellow"/>
        </w:rPr>
        <w:t xml:space="preserve"> S </w:t>
      </w:r>
      <w:proofErr w:type="spellStart"/>
      <w:r w:rsidRPr="002C0054">
        <w:rPr>
          <w:rFonts w:ascii="Arial" w:hAnsi="Arial" w:cs="Arial"/>
          <w:color w:val="212529"/>
          <w:sz w:val="20"/>
          <w:szCs w:val="20"/>
          <w:highlight w:val="yellow"/>
        </w:rPr>
        <w:t>Padashetti</w:t>
      </w:r>
      <w:proofErr w:type="spellEnd"/>
      <w:r w:rsidRPr="002C0054">
        <w:rPr>
          <w:rFonts w:ascii="Arial" w:hAnsi="Arial" w:cs="Arial"/>
          <w:color w:val="212529"/>
          <w:sz w:val="20"/>
          <w:szCs w:val="20"/>
          <w:highlight w:val="yellow"/>
        </w:rPr>
        <w:t xml:space="preserve"> and Satish </w:t>
      </w:r>
      <w:proofErr w:type="spellStart"/>
      <w:r w:rsidRPr="002C0054">
        <w:rPr>
          <w:rFonts w:ascii="Arial" w:hAnsi="Arial" w:cs="Arial"/>
          <w:color w:val="212529"/>
          <w:sz w:val="20"/>
          <w:szCs w:val="20"/>
          <w:highlight w:val="yellow"/>
        </w:rPr>
        <w:t>Pattepur</w:t>
      </w:r>
      <w:proofErr w:type="spellEnd"/>
      <w:r w:rsidRPr="002C0054">
        <w:rPr>
          <w:rFonts w:ascii="Arial" w:hAnsi="Arial" w:cs="Arial"/>
          <w:color w:val="212529"/>
          <w:sz w:val="20"/>
          <w:szCs w:val="20"/>
          <w:highlight w:val="yellow"/>
        </w:rPr>
        <w:t>. </w:t>
      </w:r>
      <w:r w:rsidRPr="002C0054">
        <w:rPr>
          <w:rFonts w:ascii="Arial" w:hAnsi="Arial" w:cs="Arial"/>
          <w:b/>
          <w:bCs/>
          <w:color w:val="212529"/>
          <w:sz w:val="20"/>
          <w:szCs w:val="20"/>
          <w:highlight w:val="yellow"/>
        </w:rPr>
        <w:t>Climate-resilient fruit production: Strategies to mitigate abiotic stress in orchards</w:t>
      </w:r>
      <w:r w:rsidRPr="002C0054">
        <w:rPr>
          <w:rFonts w:ascii="Arial" w:hAnsi="Arial" w:cs="Arial"/>
          <w:color w:val="212529"/>
          <w:sz w:val="20"/>
          <w:szCs w:val="20"/>
          <w:highlight w:val="yellow"/>
        </w:rPr>
        <w:t xml:space="preserve">. Int. J. Adv. </w:t>
      </w:r>
      <w:proofErr w:type="spellStart"/>
      <w:r w:rsidRPr="002C0054">
        <w:rPr>
          <w:rFonts w:ascii="Arial" w:hAnsi="Arial" w:cs="Arial"/>
          <w:color w:val="212529"/>
          <w:sz w:val="20"/>
          <w:szCs w:val="20"/>
          <w:highlight w:val="yellow"/>
        </w:rPr>
        <w:t>Biochem</w:t>
      </w:r>
      <w:proofErr w:type="spellEnd"/>
      <w:r w:rsidRPr="002C0054">
        <w:rPr>
          <w:rFonts w:ascii="Arial" w:hAnsi="Arial" w:cs="Arial"/>
          <w:color w:val="212529"/>
          <w:sz w:val="20"/>
          <w:szCs w:val="20"/>
          <w:highlight w:val="yellow"/>
        </w:rPr>
        <w:t>. Res. 2025;9(9S):857-872. DOI: </w:t>
      </w:r>
      <w:hyperlink r:id="rId8" w:tgtFrame="_blank" w:history="1">
        <w:r w:rsidRPr="002C0054">
          <w:rPr>
            <w:rStyle w:val="Hyperlink"/>
            <w:rFonts w:ascii="Arial" w:hAnsi="Arial" w:cs="Arial"/>
            <w:color w:val="056659"/>
            <w:sz w:val="20"/>
            <w:szCs w:val="20"/>
            <w:highlight w:val="yellow"/>
          </w:rPr>
          <w:t>10.33545/</w:t>
        </w:r>
        <w:proofErr w:type="gramStart"/>
        <w:r w:rsidRPr="002C0054">
          <w:rPr>
            <w:rStyle w:val="Hyperlink"/>
            <w:rFonts w:ascii="Arial" w:hAnsi="Arial" w:cs="Arial"/>
            <w:color w:val="056659"/>
            <w:sz w:val="20"/>
            <w:szCs w:val="20"/>
            <w:highlight w:val="yellow"/>
          </w:rPr>
          <w:t>26174693.2025.v</w:t>
        </w:r>
        <w:proofErr w:type="gramEnd"/>
        <w:r w:rsidRPr="002C0054">
          <w:rPr>
            <w:rStyle w:val="Hyperlink"/>
            <w:rFonts w:ascii="Arial" w:hAnsi="Arial" w:cs="Arial"/>
            <w:color w:val="056659"/>
            <w:sz w:val="20"/>
            <w:szCs w:val="20"/>
            <w:highlight w:val="yellow"/>
          </w:rPr>
          <w:t>9.i9Sk.5612</w:t>
        </w:r>
      </w:hyperlink>
    </w:p>
    <w:p w14:paraId="527AFCF9" w14:textId="77777777" w:rsidR="00C14239" w:rsidRPr="007C4579" w:rsidRDefault="00C14239" w:rsidP="007C4579">
      <w:pPr>
        <w:spacing w:before="100" w:beforeAutospacing="1" w:after="100" w:afterAutospacing="1"/>
        <w:ind w:left="720" w:hanging="720"/>
        <w:jc w:val="both"/>
      </w:pPr>
    </w:p>
    <w:sectPr w:rsidR="00C14239" w:rsidRPr="007C4579" w:rsidSect="00A36F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D3B83" w14:textId="77777777" w:rsidR="00D9366A" w:rsidRDefault="00D9366A" w:rsidP="00A36FC8">
      <w:r>
        <w:separator/>
      </w:r>
    </w:p>
  </w:endnote>
  <w:endnote w:type="continuationSeparator" w:id="0">
    <w:p w14:paraId="232A6C9B" w14:textId="77777777" w:rsidR="00D9366A" w:rsidRDefault="00D9366A" w:rsidP="00A3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54A2" w14:textId="77777777" w:rsidR="00CE3929" w:rsidRDefault="00CE3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D93D" w14:textId="77777777" w:rsidR="00A36FC8" w:rsidRDefault="003355E4">
    <w:pPr>
      <w:jc w:val="center"/>
    </w:pPr>
    <w:r>
      <w:rPr>
        <w:sz w:val="20"/>
        <w:szCs w:val="20"/>
      </w:rPr>
      <w:fldChar w:fldCharType="begin"/>
    </w:r>
    <w:r w:rsidR="007B4A8C">
      <w:rPr>
        <w:sz w:val="20"/>
        <w:szCs w:val="20"/>
      </w:rPr>
      <w:instrText>PAGE</w:instrText>
    </w:r>
    <w:r>
      <w:rPr>
        <w:sz w:val="20"/>
        <w:szCs w:val="20"/>
      </w:rPr>
      <w:fldChar w:fldCharType="separate"/>
    </w:r>
    <w:r w:rsidR="003E57E1">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EF9E" w14:textId="77777777" w:rsidR="00CE3929" w:rsidRDefault="00CE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AD259" w14:textId="77777777" w:rsidR="00D9366A" w:rsidRDefault="00D9366A" w:rsidP="00A36FC8">
      <w:r>
        <w:separator/>
      </w:r>
    </w:p>
  </w:footnote>
  <w:footnote w:type="continuationSeparator" w:id="0">
    <w:p w14:paraId="484A9340" w14:textId="77777777" w:rsidR="00D9366A" w:rsidRDefault="00D9366A" w:rsidP="00A3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AE6C" w14:textId="77777777" w:rsidR="00CE3929" w:rsidRDefault="00D9366A">
    <w:pPr>
      <w:pStyle w:val="Header"/>
    </w:pPr>
    <w:r>
      <w:rPr>
        <w:noProof/>
      </w:rPr>
      <w:pict w14:anchorId="11FC8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F42C" w14:textId="77777777" w:rsidR="00CE3929" w:rsidRDefault="00D9366A">
    <w:pPr>
      <w:pStyle w:val="Header"/>
    </w:pPr>
    <w:r>
      <w:rPr>
        <w:noProof/>
      </w:rPr>
      <w:pict w14:anchorId="1F2D0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E1417" w14:textId="77777777" w:rsidR="00CE3929" w:rsidRDefault="00D9366A">
    <w:pPr>
      <w:pStyle w:val="Header"/>
    </w:pPr>
    <w:r>
      <w:rPr>
        <w:noProof/>
      </w:rPr>
      <w:pict w14:anchorId="1DA9F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37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7191"/>
    <w:multiLevelType w:val="hybridMultilevel"/>
    <w:tmpl w:val="2FE60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62D2F"/>
    <w:multiLevelType w:val="hybridMultilevel"/>
    <w:tmpl w:val="486A8236"/>
    <w:lvl w:ilvl="0" w:tplc="F38E54DC">
      <w:start w:val="1"/>
      <w:numFmt w:val="bullet"/>
      <w:lvlText w:val="●"/>
      <w:lvlJc w:val="left"/>
      <w:pPr>
        <w:ind w:left="720" w:hanging="360"/>
      </w:pPr>
    </w:lvl>
    <w:lvl w:ilvl="1" w:tplc="D506C4E4">
      <w:start w:val="1"/>
      <w:numFmt w:val="bullet"/>
      <w:lvlText w:val="○"/>
      <w:lvlJc w:val="left"/>
      <w:pPr>
        <w:ind w:left="1440" w:hanging="360"/>
      </w:pPr>
    </w:lvl>
    <w:lvl w:ilvl="2" w:tplc="E4EE24F4">
      <w:start w:val="1"/>
      <w:numFmt w:val="bullet"/>
      <w:lvlText w:val="■"/>
      <w:lvlJc w:val="left"/>
      <w:pPr>
        <w:ind w:left="2160" w:hanging="360"/>
      </w:pPr>
    </w:lvl>
    <w:lvl w:ilvl="3" w:tplc="32647716">
      <w:start w:val="1"/>
      <w:numFmt w:val="bullet"/>
      <w:lvlText w:val="●"/>
      <w:lvlJc w:val="left"/>
      <w:pPr>
        <w:ind w:left="2880" w:hanging="360"/>
      </w:pPr>
    </w:lvl>
    <w:lvl w:ilvl="4" w:tplc="0F50BC94">
      <w:start w:val="1"/>
      <w:numFmt w:val="bullet"/>
      <w:lvlText w:val="○"/>
      <w:lvlJc w:val="left"/>
      <w:pPr>
        <w:ind w:left="3600" w:hanging="360"/>
      </w:pPr>
    </w:lvl>
    <w:lvl w:ilvl="5" w:tplc="21B4566A">
      <w:start w:val="1"/>
      <w:numFmt w:val="bullet"/>
      <w:lvlText w:val="■"/>
      <w:lvlJc w:val="left"/>
      <w:pPr>
        <w:ind w:left="4320" w:hanging="360"/>
      </w:pPr>
    </w:lvl>
    <w:lvl w:ilvl="6" w:tplc="8BB2A32E">
      <w:start w:val="1"/>
      <w:numFmt w:val="bullet"/>
      <w:lvlText w:val="●"/>
      <w:lvlJc w:val="left"/>
      <w:pPr>
        <w:ind w:left="5040" w:hanging="360"/>
      </w:pPr>
    </w:lvl>
    <w:lvl w:ilvl="7" w:tplc="B1F0F278">
      <w:start w:val="1"/>
      <w:numFmt w:val="bullet"/>
      <w:lvlText w:val="●"/>
      <w:lvlJc w:val="left"/>
      <w:pPr>
        <w:ind w:left="5760" w:hanging="360"/>
      </w:pPr>
    </w:lvl>
    <w:lvl w:ilvl="8" w:tplc="7C94C222">
      <w:start w:val="1"/>
      <w:numFmt w:val="bullet"/>
      <w:lvlText w:val="●"/>
      <w:lvlJc w:val="left"/>
      <w:pPr>
        <w:ind w:left="6480" w:hanging="360"/>
      </w:pPr>
    </w:lvl>
  </w:abstractNum>
  <w:abstractNum w:abstractNumId="2" w15:restartNumberingAfterBreak="0">
    <w:nsid w:val="36C43284"/>
    <w:multiLevelType w:val="hybridMultilevel"/>
    <w:tmpl w:val="D2382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2428A"/>
    <w:multiLevelType w:val="hybridMultilevel"/>
    <w:tmpl w:val="BD747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NzY3MTY0MjA3NDRV0lEKTi0uzszPAykwrAUAKvt+vywAAAA="/>
  </w:docVars>
  <w:rsids>
    <w:rsidRoot w:val="00A36FC8"/>
    <w:rsid w:val="000B3D88"/>
    <w:rsid w:val="000B42AC"/>
    <w:rsid w:val="00166CE7"/>
    <w:rsid w:val="002315F8"/>
    <w:rsid w:val="002728A7"/>
    <w:rsid w:val="002B47C3"/>
    <w:rsid w:val="002C0054"/>
    <w:rsid w:val="00324EA7"/>
    <w:rsid w:val="003355E4"/>
    <w:rsid w:val="00366C86"/>
    <w:rsid w:val="003E57E1"/>
    <w:rsid w:val="004517E8"/>
    <w:rsid w:val="005F5586"/>
    <w:rsid w:val="007B4A8C"/>
    <w:rsid w:val="007C4579"/>
    <w:rsid w:val="008B378F"/>
    <w:rsid w:val="008D42D1"/>
    <w:rsid w:val="009A68B9"/>
    <w:rsid w:val="00A36FC8"/>
    <w:rsid w:val="00A74B4F"/>
    <w:rsid w:val="00AF0AF3"/>
    <w:rsid w:val="00BF6CAD"/>
    <w:rsid w:val="00C14239"/>
    <w:rsid w:val="00CE3929"/>
    <w:rsid w:val="00D16BAA"/>
    <w:rsid w:val="00D9366A"/>
    <w:rsid w:val="00DC4069"/>
    <w:rsid w:val="00E168C1"/>
    <w:rsid w:val="00ED3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12CF47"/>
  <w15:docId w15:val="{AE00E5AF-77CC-4CC2-82E2-7A60BD49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5E4"/>
  </w:style>
  <w:style w:type="paragraph" w:styleId="Heading1">
    <w:name w:val="heading 1"/>
    <w:qFormat/>
    <w:rsid w:val="00A36FC8"/>
    <w:pPr>
      <w:spacing w:before="400" w:after="200"/>
      <w:outlineLvl w:val="0"/>
    </w:pPr>
    <w:rPr>
      <w:b/>
      <w:bCs/>
      <w:color w:val="1F3864"/>
      <w:sz w:val="28"/>
      <w:szCs w:val="28"/>
    </w:rPr>
  </w:style>
  <w:style w:type="paragraph" w:styleId="Heading2">
    <w:name w:val="heading 2"/>
    <w:qFormat/>
    <w:rsid w:val="00A36FC8"/>
    <w:pPr>
      <w:spacing w:before="300" w:after="160"/>
      <w:outlineLvl w:val="1"/>
    </w:pPr>
    <w:rPr>
      <w:b/>
      <w:bCs/>
      <w:i/>
      <w:iCs/>
      <w:color w:val="1F3864"/>
      <w:sz w:val="26"/>
      <w:szCs w:val="26"/>
    </w:rPr>
  </w:style>
  <w:style w:type="paragraph" w:styleId="Heading3">
    <w:name w:val="heading 3"/>
    <w:qFormat/>
    <w:rsid w:val="00A36FC8"/>
    <w:pPr>
      <w:outlineLvl w:val="2"/>
    </w:pPr>
    <w:rPr>
      <w:color w:val="1F4D78"/>
    </w:rPr>
  </w:style>
  <w:style w:type="paragraph" w:styleId="Heading4">
    <w:name w:val="heading 4"/>
    <w:qFormat/>
    <w:rsid w:val="00A36FC8"/>
    <w:pPr>
      <w:outlineLvl w:val="3"/>
    </w:pPr>
    <w:rPr>
      <w:i/>
      <w:iCs/>
      <w:color w:val="2E74B5"/>
    </w:rPr>
  </w:style>
  <w:style w:type="paragraph" w:styleId="Heading5">
    <w:name w:val="heading 5"/>
    <w:qFormat/>
    <w:rsid w:val="00A36FC8"/>
    <w:pPr>
      <w:outlineLvl w:val="4"/>
    </w:pPr>
    <w:rPr>
      <w:color w:val="2E74B5"/>
    </w:rPr>
  </w:style>
  <w:style w:type="paragraph" w:styleId="Heading6">
    <w:name w:val="heading 6"/>
    <w:qFormat/>
    <w:rsid w:val="00A36FC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36FC8"/>
    <w:rPr>
      <w:sz w:val="56"/>
      <w:szCs w:val="56"/>
    </w:rPr>
  </w:style>
  <w:style w:type="paragraph" w:customStyle="1" w:styleId="Strong1">
    <w:name w:val="Strong1"/>
    <w:qFormat/>
    <w:rsid w:val="00A36FC8"/>
    <w:rPr>
      <w:b/>
      <w:bCs/>
    </w:rPr>
  </w:style>
  <w:style w:type="paragraph" w:styleId="ListParagraph">
    <w:name w:val="List Paragraph"/>
    <w:qFormat/>
    <w:rsid w:val="00A36FC8"/>
  </w:style>
  <w:style w:type="character" w:styleId="Hyperlink">
    <w:name w:val="Hyperlink"/>
    <w:uiPriority w:val="99"/>
    <w:unhideWhenUsed/>
    <w:rsid w:val="00A36FC8"/>
    <w:rPr>
      <w:color w:val="0563C1"/>
      <w:u w:val="single"/>
    </w:rPr>
  </w:style>
  <w:style w:type="character" w:styleId="FootnoteReference">
    <w:name w:val="footnote reference"/>
    <w:uiPriority w:val="99"/>
    <w:semiHidden/>
    <w:unhideWhenUsed/>
    <w:rsid w:val="00A36FC8"/>
    <w:rPr>
      <w:vertAlign w:val="superscript"/>
    </w:rPr>
  </w:style>
  <w:style w:type="paragraph" w:styleId="FootnoteText">
    <w:name w:val="footnote text"/>
    <w:link w:val="FootnoteTextChar"/>
    <w:uiPriority w:val="99"/>
    <w:semiHidden/>
    <w:unhideWhenUsed/>
    <w:rsid w:val="00A36FC8"/>
    <w:rPr>
      <w:sz w:val="20"/>
      <w:szCs w:val="20"/>
    </w:rPr>
  </w:style>
  <w:style w:type="character" w:customStyle="1" w:styleId="FootnoteTextChar">
    <w:name w:val="Footnote Text Char"/>
    <w:link w:val="FootnoteText"/>
    <w:uiPriority w:val="99"/>
    <w:semiHidden/>
    <w:unhideWhenUsed/>
    <w:rsid w:val="00A36FC8"/>
    <w:rPr>
      <w:sz w:val="20"/>
      <w:szCs w:val="20"/>
    </w:rPr>
  </w:style>
  <w:style w:type="paragraph" w:styleId="Header">
    <w:name w:val="header"/>
    <w:basedOn w:val="Normal"/>
    <w:link w:val="HeaderChar"/>
    <w:uiPriority w:val="99"/>
    <w:unhideWhenUsed/>
    <w:rsid w:val="00CE3929"/>
    <w:pPr>
      <w:tabs>
        <w:tab w:val="center" w:pos="4680"/>
        <w:tab w:val="right" w:pos="9360"/>
      </w:tabs>
    </w:pPr>
  </w:style>
  <w:style w:type="character" w:customStyle="1" w:styleId="HeaderChar">
    <w:name w:val="Header Char"/>
    <w:basedOn w:val="DefaultParagraphFont"/>
    <w:link w:val="Header"/>
    <w:uiPriority w:val="99"/>
    <w:rsid w:val="00CE3929"/>
  </w:style>
  <w:style w:type="paragraph" w:styleId="Footer">
    <w:name w:val="footer"/>
    <w:basedOn w:val="Normal"/>
    <w:link w:val="FooterChar"/>
    <w:uiPriority w:val="99"/>
    <w:unhideWhenUsed/>
    <w:rsid w:val="00CE3929"/>
    <w:pPr>
      <w:tabs>
        <w:tab w:val="center" w:pos="4680"/>
        <w:tab w:val="right" w:pos="9360"/>
      </w:tabs>
    </w:pPr>
  </w:style>
  <w:style w:type="character" w:customStyle="1" w:styleId="FooterChar">
    <w:name w:val="Footer Char"/>
    <w:basedOn w:val="DefaultParagraphFont"/>
    <w:link w:val="Footer"/>
    <w:uiPriority w:val="99"/>
    <w:rsid w:val="00CE3929"/>
  </w:style>
  <w:style w:type="character" w:styleId="CommentReference">
    <w:name w:val="annotation reference"/>
    <w:basedOn w:val="DefaultParagraphFont"/>
    <w:uiPriority w:val="99"/>
    <w:semiHidden/>
    <w:unhideWhenUsed/>
    <w:rsid w:val="00AF0AF3"/>
    <w:rPr>
      <w:sz w:val="16"/>
      <w:szCs w:val="16"/>
    </w:rPr>
  </w:style>
  <w:style w:type="paragraph" w:styleId="CommentText">
    <w:name w:val="annotation text"/>
    <w:basedOn w:val="Normal"/>
    <w:link w:val="CommentTextChar"/>
    <w:uiPriority w:val="99"/>
    <w:semiHidden/>
    <w:unhideWhenUsed/>
    <w:rsid w:val="00AF0AF3"/>
    <w:rPr>
      <w:sz w:val="20"/>
      <w:szCs w:val="20"/>
    </w:rPr>
  </w:style>
  <w:style w:type="character" w:customStyle="1" w:styleId="CommentTextChar">
    <w:name w:val="Comment Text Char"/>
    <w:basedOn w:val="DefaultParagraphFont"/>
    <w:link w:val="CommentText"/>
    <w:uiPriority w:val="99"/>
    <w:semiHidden/>
    <w:rsid w:val="00AF0AF3"/>
    <w:rPr>
      <w:sz w:val="20"/>
      <w:szCs w:val="20"/>
    </w:rPr>
  </w:style>
  <w:style w:type="paragraph" w:styleId="CommentSubject">
    <w:name w:val="annotation subject"/>
    <w:basedOn w:val="CommentText"/>
    <w:next w:val="CommentText"/>
    <w:link w:val="CommentSubjectChar"/>
    <w:uiPriority w:val="99"/>
    <w:semiHidden/>
    <w:unhideWhenUsed/>
    <w:rsid w:val="00AF0AF3"/>
    <w:rPr>
      <w:b/>
      <w:bCs/>
    </w:rPr>
  </w:style>
  <w:style w:type="character" w:customStyle="1" w:styleId="CommentSubjectChar">
    <w:name w:val="Comment Subject Char"/>
    <w:basedOn w:val="CommentTextChar"/>
    <w:link w:val="CommentSubject"/>
    <w:uiPriority w:val="99"/>
    <w:semiHidden/>
    <w:rsid w:val="00AF0AF3"/>
    <w:rPr>
      <w:b/>
      <w:bCs/>
      <w:sz w:val="20"/>
      <w:szCs w:val="20"/>
    </w:rPr>
  </w:style>
  <w:style w:type="paragraph" w:styleId="BalloonText">
    <w:name w:val="Balloon Text"/>
    <w:basedOn w:val="Normal"/>
    <w:link w:val="BalloonTextChar"/>
    <w:uiPriority w:val="99"/>
    <w:semiHidden/>
    <w:unhideWhenUsed/>
    <w:rsid w:val="00AF0AF3"/>
    <w:rPr>
      <w:rFonts w:ascii="Tahoma" w:hAnsi="Tahoma" w:cs="Tahoma"/>
      <w:sz w:val="16"/>
      <w:szCs w:val="16"/>
    </w:rPr>
  </w:style>
  <w:style w:type="character" w:customStyle="1" w:styleId="BalloonTextChar">
    <w:name w:val="Balloon Text Char"/>
    <w:basedOn w:val="DefaultParagraphFont"/>
    <w:link w:val="BalloonText"/>
    <w:uiPriority w:val="99"/>
    <w:semiHidden/>
    <w:rsid w:val="00AF0AF3"/>
    <w:rPr>
      <w:rFonts w:ascii="Tahoma" w:hAnsi="Tahoma" w:cs="Tahoma"/>
      <w:sz w:val="16"/>
      <w:szCs w:val="16"/>
    </w:rPr>
  </w:style>
  <w:style w:type="character" w:customStyle="1" w:styleId="anchor-text">
    <w:name w:val="anchor-text"/>
    <w:basedOn w:val="DefaultParagraphFont"/>
    <w:rsid w:val="00A74B4F"/>
  </w:style>
  <w:style w:type="character" w:styleId="UnresolvedMention">
    <w:name w:val="Unresolved Mention"/>
    <w:basedOn w:val="DefaultParagraphFont"/>
    <w:uiPriority w:val="99"/>
    <w:semiHidden/>
    <w:unhideWhenUsed/>
    <w:rsid w:val="00A74B4F"/>
    <w:rPr>
      <w:color w:val="605E5C"/>
      <w:shd w:val="clear" w:color="auto" w:fill="E1DFDD"/>
    </w:rPr>
  </w:style>
  <w:style w:type="paragraph" w:styleId="NormalWeb">
    <w:name w:val="Normal (Web)"/>
    <w:basedOn w:val="Normal"/>
    <w:uiPriority w:val="99"/>
    <w:semiHidden/>
    <w:unhideWhenUsed/>
    <w:rsid w:val="00C14239"/>
    <w:pPr>
      <w:spacing w:before="100" w:beforeAutospacing="1" w:after="100" w:afterAutospacing="1"/>
    </w:pPr>
  </w:style>
  <w:style w:type="character" w:styleId="Emphasis">
    <w:name w:val="Emphasis"/>
    <w:basedOn w:val="DefaultParagraphFont"/>
    <w:uiPriority w:val="20"/>
    <w:qFormat/>
    <w:rsid w:val="00C14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848389">
      <w:bodyDiv w:val="1"/>
      <w:marLeft w:val="0"/>
      <w:marRight w:val="0"/>
      <w:marTop w:val="0"/>
      <w:marBottom w:val="0"/>
      <w:divBdr>
        <w:top w:val="none" w:sz="0" w:space="0" w:color="auto"/>
        <w:left w:val="none" w:sz="0" w:space="0" w:color="auto"/>
        <w:bottom w:val="none" w:sz="0" w:space="0" w:color="auto"/>
        <w:right w:val="none" w:sz="0" w:space="0" w:color="auto"/>
      </w:divBdr>
      <w:divsChild>
        <w:div w:id="1011757576">
          <w:marLeft w:val="0"/>
          <w:marRight w:val="0"/>
          <w:marTop w:val="0"/>
          <w:marBottom w:val="0"/>
          <w:divBdr>
            <w:top w:val="none" w:sz="0" w:space="0" w:color="auto"/>
            <w:left w:val="none" w:sz="0" w:space="0" w:color="auto"/>
            <w:bottom w:val="none" w:sz="0" w:space="0" w:color="auto"/>
            <w:right w:val="none" w:sz="0" w:space="0" w:color="auto"/>
          </w:divBdr>
          <w:divsChild>
            <w:div w:id="531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20431">
      <w:bodyDiv w:val="1"/>
      <w:marLeft w:val="0"/>
      <w:marRight w:val="0"/>
      <w:marTop w:val="0"/>
      <w:marBottom w:val="0"/>
      <w:divBdr>
        <w:top w:val="none" w:sz="0" w:space="0" w:color="auto"/>
        <w:left w:val="none" w:sz="0" w:space="0" w:color="auto"/>
        <w:bottom w:val="none" w:sz="0" w:space="0" w:color="auto"/>
        <w:right w:val="none" w:sz="0" w:space="0" w:color="auto"/>
      </w:divBdr>
      <w:divsChild>
        <w:div w:id="2025590491">
          <w:marLeft w:val="0"/>
          <w:marRight w:val="0"/>
          <w:marTop w:val="0"/>
          <w:marBottom w:val="0"/>
          <w:divBdr>
            <w:top w:val="none" w:sz="0" w:space="0" w:color="auto"/>
            <w:left w:val="none" w:sz="0" w:space="0" w:color="auto"/>
            <w:bottom w:val="none" w:sz="0" w:space="0" w:color="auto"/>
            <w:right w:val="none" w:sz="0" w:space="0" w:color="auto"/>
          </w:divBdr>
          <w:divsChild>
            <w:div w:id="1715303622">
              <w:marLeft w:val="-225"/>
              <w:marRight w:val="-225"/>
              <w:marTop w:val="0"/>
              <w:marBottom w:val="0"/>
              <w:divBdr>
                <w:top w:val="none" w:sz="0" w:space="0" w:color="auto"/>
                <w:left w:val="none" w:sz="0" w:space="0" w:color="auto"/>
                <w:bottom w:val="none" w:sz="0" w:space="0" w:color="auto"/>
                <w:right w:val="none" w:sz="0" w:space="0" w:color="auto"/>
              </w:divBdr>
              <w:divsChild>
                <w:div w:id="1812399741">
                  <w:marLeft w:val="0"/>
                  <w:marRight w:val="0"/>
                  <w:marTop w:val="0"/>
                  <w:marBottom w:val="0"/>
                  <w:divBdr>
                    <w:top w:val="none" w:sz="0" w:space="0" w:color="auto"/>
                    <w:left w:val="none" w:sz="0" w:space="0" w:color="auto"/>
                    <w:bottom w:val="none" w:sz="0" w:space="0" w:color="auto"/>
                    <w:right w:val="none" w:sz="0" w:space="0" w:color="auto"/>
                  </w:divBdr>
                  <w:divsChild>
                    <w:div w:id="850535746">
                      <w:marLeft w:val="0"/>
                      <w:marRight w:val="0"/>
                      <w:marTop w:val="0"/>
                      <w:marBottom w:val="0"/>
                      <w:divBdr>
                        <w:top w:val="none" w:sz="0" w:space="0" w:color="auto"/>
                        <w:left w:val="none" w:sz="0" w:space="0" w:color="auto"/>
                        <w:bottom w:val="none" w:sz="0" w:space="0" w:color="auto"/>
                        <w:right w:val="none" w:sz="0" w:space="0" w:color="auto"/>
                      </w:divBdr>
                      <w:divsChild>
                        <w:div w:id="1509828422">
                          <w:marLeft w:val="0"/>
                          <w:marRight w:val="0"/>
                          <w:marTop w:val="0"/>
                          <w:marBottom w:val="0"/>
                          <w:divBdr>
                            <w:top w:val="none" w:sz="0" w:space="0" w:color="auto"/>
                            <w:left w:val="none" w:sz="0" w:space="0" w:color="auto"/>
                            <w:bottom w:val="none" w:sz="0" w:space="0" w:color="auto"/>
                            <w:right w:val="none" w:sz="0" w:space="0" w:color="auto"/>
                          </w:divBdr>
                          <w:divsChild>
                            <w:div w:id="140853959">
                              <w:marLeft w:val="0"/>
                              <w:marRight w:val="0"/>
                              <w:marTop w:val="0"/>
                              <w:marBottom w:val="0"/>
                              <w:divBdr>
                                <w:top w:val="none" w:sz="0" w:space="0" w:color="auto"/>
                                <w:left w:val="none" w:sz="0" w:space="0" w:color="auto"/>
                                <w:bottom w:val="none" w:sz="0" w:space="0" w:color="auto"/>
                                <w:right w:val="none" w:sz="0" w:space="0" w:color="auto"/>
                              </w:divBdr>
                              <w:divsChild>
                                <w:div w:id="2114128790">
                                  <w:marLeft w:val="0"/>
                                  <w:marRight w:val="0"/>
                                  <w:marTop w:val="0"/>
                                  <w:marBottom w:val="0"/>
                                  <w:divBdr>
                                    <w:top w:val="none" w:sz="0" w:space="0" w:color="auto"/>
                                    <w:left w:val="none" w:sz="0" w:space="0" w:color="auto"/>
                                    <w:bottom w:val="none" w:sz="0" w:space="0" w:color="auto"/>
                                    <w:right w:val="none" w:sz="0" w:space="0" w:color="auto"/>
                                  </w:divBdr>
                                  <w:divsChild>
                                    <w:div w:id="11187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5.v9.i9Sk.56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73/pnas.170176211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8541</Words>
  <Characters>48684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15</cp:revision>
  <dcterms:created xsi:type="dcterms:W3CDTF">2026-03-23T19:58:00Z</dcterms:created>
  <dcterms:modified xsi:type="dcterms:W3CDTF">2026-05-08T08:22:00Z</dcterms:modified>
</cp:coreProperties>
</file>