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70BFC0" w14:textId="1B08A6FA" w:rsidR="00C13338" w:rsidRPr="006D7293" w:rsidRDefault="00180921" w:rsidP="009304BF">
      <w:pPr>
        <w:spacing w:before="240" w:after="240" w:line="360" w:lineRule="auto"/>
        <w:jc w:val="right"/>
        <w:rPr>
          <w:rFonts w:ascii="Arial" w:eastAsia="Times New Roman" w:hAnsi="Arial" w:cs="Arial"/>
          <w:b/>
          <w:bCs/>
          <w:sz w:val="36"/>
          <w:szCs w:val="36"/>
          <w:lang w:val="en-GB"/>
        </w:rPr>
      </w:pPr>
      <w:r w:rsidRPr="006D7293">
        <w:rPr>
          <w:rFonts w:ascii="Arial" w:hAnsi="Arial" w:cs="Arial"/>
          <w:b/>
          <w:bCs/>
          <w:sz w:val="36"/>
          <w:szCs w:val="36"/>
        </w:rPr>
        <w:t xml:space="preserve">Comparative In Vitro Antioxidant Potential of Leaf, Bark, and Stem Extracts of </w:t>
      </w:r>
      <w:r w:rsidRPr="006D7293">
        <w:rPr>
          <w:rFonts w:ascii="Arial" w:hAnsi="Arial" w:cs="Arial"/>
          <w:b/>
          <w:bCs/>
          <w:i/>
          <w:iCs/>
          <w:sz w:val="36"/>
          <w:szCs w:val="36"/>
        </w:rPr>
        <w:t xml:space="preserve">Dalbergia latifolia </w:t>
      </w:r>
      <w:r w:rsidRPr="006D7293">
        <w:rPr>
          <w:rFonts w:ascii="Arial" w:hAnsi="Arial" w:cs="Arial"/>
          <w:b/>
          <w:bCs/>
          <w:sz w:val="36"/>
          <w:szCs w:val="36"/>
        </w:rPr>
        <w:t>Roxb</w:t>
      </w:r>
      <w:r w:rsidR="00C13338" w:rsidRPr="006D7293">
        <w:rPr>
          <w:rFonts w:ascii="Arial" w:eastAsia="Times New Roman" w:hAnsi="Arial" w:cs="Arial"/>
          <w:b/>
          <w:bCs/>
          <w:sz w:val="36"/>
          <w:szCs w:val="36"/>
          <w:lang w:val="en-GB"/>
        </w:rPr>
        <w:t>.</w:t>
      </w:r>
    </w:p>
    <w:p w14:paraId="52AF26AD" w14:textId="77777777" w:rsidR="009304BF" w:rsidRPr="001A7494" w:rsidRDefault="009304BF" w:rsidP="009A4760">
      <w:pPr>
        <w:spacing w:before="240" w:after="240" w:line="360" w:lineRule="auto"/>
        <w:jc w:val="both"/>
        <w:rPr>
          <w:rFonts w:ascii="Arial" w:eastAsia="Times New Roman" w:hAnsi="Arial" w:cs="Arial"/>
          <w:b/>
          <w:bCs/>
          <w:sz w:val="20"/>
          <w:szCs w:val="20"/>
          <w:lang w:val="en-GB"/>
        </w:rPr>
      </w:pPr>
    </w:p>
    <w:p w14:paraId="7BD51BF8" w14:textId="4E61F38A" w:rsidR="00C13338" w:rsidRPr="001A7494" w:rsidRDefault="009304BF" w:rsidP="009A4760">
      <w:pPr>
        <w:spacing w:before="240" w:after="240" w:line="360" w:lineRule="auto"/>
        <w:jc w:val="both"/>
        <w:rPr>
          <w:rFonts w:ascii="Arial" w:eastAsia="Times New Roman" w:hAnsi="Arial" w:cs="Arial"/>
          <w:b/>
          <w:bCs/>
          <w:sz w:val="20"/>
          <w:szCs w:val="20"/>
          <w:lang w:val="en-GB"/>
        </w:rPr>
      </w:pPr>
      <w:r w:rsidRPr="006D7293">
        <w:rPr>
          <w:rFonts w:ascii="Arial" w:eastAsia="Times New Roman" w:hAnsi="Arial" w:cs="Arial"/>
          <w:b/>
          <w:bCs/>
          <w:lang w:val="en-GB"/>
        </w:rPr>
        <w:t>ABSTRACT</w:t>
      </w:r>
    </w:p>
    <w:p w14:paraId="5D6AB239" w14:textId="77777777" w:rsidR="00180921" w:rsidRPr="001A7494" w:rsidRDefault="00C13338" w:rsidP="00180921">
      <w:pPr>
        <w:spacing w:before="240" w:after="240" w:line="360" w:lineRule="auto"/>
        <w:jc w:val="both"/>
        <w:rPr>
          <w:rFonts w:ascii="Arial" w:eastAsia="Times New Roman" w:hAnsi="Arial" w:cs="Arial"/>
          <w:color w:val="000000"/>
          <w:sz w:val="20"/>
          <w:szCs w:val="20"/>
        </w:rPr>
      </w:pPr>
      <w:r w:rsidRPr="001A7494">
        <w:rPr>
          <w:rFonts w:ascii="Arial" w:eastAsia="Times New Roman" w:hAnsi="Arial" w:cs="Arial"/>
          <w:i/>
          <w:iCs/>
          <w:sz w:val="20"/>
          <w:szCs w:val="20"/>
          <w:lang w:val="en-GB"/>
        </w:rPr>
        <w:t>Dalbergia latifolia</w:t>
      </w:r>
      <w:r w:rsidRPr="001A7494">
        <w:rPr>
          <w:rFonts w:ascii="Arial" w:eastAsia="Times New Roman" w:hAnsi="Arial" w:cs="Arial"/>
          <w:sz w:val="20"/>
          <w:szCs w:val="20"/>
          <w:lang w:val="en-GB"/>
        </w:rPr>
        <w:t xml:space="preserve"> Roxb. is a high-value species known for its phytochemical richness, although the comparative bioactive potential of its different plant parts remains underexplored. The present study evaluated the in vitro antioxidant potential of ethanolic leaf (ELDL), stem (ESDL), and bark (EBDL) extracts of </w:t>
      </w:r>
      <w:r w:rsidRPr="001A7494">
        <w:rPr>
          <w:rFonts w:ascii="Arial" w:eastAsia="Times New Roman" w:hAnsi="Arial" w:cs="Arial"/>
          <w:i/>
          <w:iCs/>
          <w:sz w:val="20"/>
          <w:szCs w:val="20"/>
          <w:lang w:val="en-GB"/>
        </w:rPr>
        <w:t>D. latifolia</w:t>
      </w:r>
      <w:r w:rsidRPr="001A7494">
        <w:rPr>
          <w:rFonts w:ascii="Arial" w:eastAsia="Times New Roman" w:hAnsi="Arial" w:cs="Arial"/>
          <w:sz w:val="20"/>
          <w:szCs w:val="20"/>
          <w:lang w:val="en-GB"/>
        </w:rPr>
        <w:t>. Phytochemical screening confirmed the presence of major secondary metabolites, including phenolics, flavonoids, tannins, terpenoids, and sterols. Total phenolic and flavonoid contents showed minor, non-significant variation among extracts (p &gt; 0.05), with ELDL showing the highest phenolic content (8.09 ± 1.12 mg GAE/g) and ESDL showing the highest flavonoid content (3.68 ± 0.01 mg QE/g). Antioxidant activity was assessed using total antioxidant capacity (TAC), reducing power assay (RPA), DPPH, and ABTS radical scavenging assays. TAC differed significantly among extracts, with EBDL showing the highest activity (323.83 ± 3.70 mg AAE/g), followed by ESDL and ELDL (p &lt; 0.05). In contrast, RPA values were statistically comparable among extracts (p = 0.1621). In DPPH, ELDL and ESDL showed comparable IC</w:t>
      </w:r>
      <w:r w:rsidRPr="001A7494">
        <w:rPr>
          <w:rFonts w:ascii="Cambria Math" w:eastAsia="Times New Roman" w:hAnsi="Cambria Math" w:cs="Cambria Math"/>
          <w:sz w:val="20"/>
          <w:szCs w:val="20"/>
          <w:lang w:val="en-GB"/>
        </w:rPr>
        <w:t>₅₀</w:t>
      </w:r>
      <w:r w:rsidRPr="001A7494">
        <w:rPr>
          <w:rFonts w:ascii="Arial" w:eastAsia="Times New Roman" w:hAnsi="Arial" w:cs="Arial"/>
          <w:sz w:val="20"/>
          <w:szCs w:val="20"/>
          <w:lang w:val="en-GB"/>
        </w:rPr>
        <w:t xml:space="preserve"> values (16.00 ± 0.76 and 16.18 ± 0.18 µg/mL) and significantly stronger activity than EBDL (31.26 ± 3.67 µg/mL; p &lt; 0.0001). Similarly, in ABTS, ELDL and ESDL showed lower IC</w:t>
      </w:r>
      <w:r w:rsidRPr="001A7494">
        <w:rPr>
          <w:rFonts w:ascii="Cambria Math" w:eastAsia="Times New Roman" w:hAnsi="Cambria Math" w:cs="Cambria Math"/>
          <w:sz w:val="20"/>
          <w:szCs w:val="20"/>
          <w:lang w:val="en-GB"/>
        </w:rPr>
        <w:t>₅₀</w:t>
      </w:r>
      <w:r w:rsidRPr="001A7494">
        <w:rPr>
          <w:rFonts w:ascii="Arial" w:eastAsia="Times New Roman" w:hAnsi="Arial" w:cs="Arial"/>
          <w:sz w:val="20"/>
          <w:szCs w:val="20"/>
          <w:lang w:val="en-GB"/>
        </w:rPr>
        <w:t xml:space="preserve"> values than EBDL (p &lt; 0.0001), with ELDL comparable to the standard Trolox (p = 0.0563). </w:t>
      </w:r>
      <w:r w:rsidR="00180921" w:rsidRPr="001A7494">
        <w:rPr>
          <w:rFonts w:ascii="Arial" w:eastAsia="Times New Roman" w:hAnsi="Arial" w:cs="Arial"/>
          <w:color w:val="000000"/>
          <w:sz w:val="20"/>
          <w:szCs w:val="20"/>
        </w:rPr>
        <w:t xml:space="preserve">The findings demonstrate assay-dependent antioxidant variation in </w:t>
      </w:r>
      <w:r w:rsidR="00180921" w:rsidRPr="001A7494">
        <w:rPr>
          <w:rFonts w:ascii="Arial" w:eastAsia="Times New Roman" w:hAnsi="Arial" w:cs="Arial"/>
          <w:i/>
          <w:color w:val="000000"/>
          <w:sz w:val="20"/>
          <w:szCs w:val="20"/>
        </w:rPr>
        <w:t>D. latifolia</w:t>
      </w:r>
      <w:r w:rsidR="00180921" w:rsidRPr="001A7494">
        <w:rPr>
          <w:rFonts w:ascii="Arial" w:eastAsia="Times New Roman" w:hAnsi="Arial" w:cs="Arial"/>
          <w:color w:val="000000"/>
          <w:sz w:val="20"/>
          <w:szCs w:val="20"/>
        </w:rPr>
        <w:t>, with bark showing stronger total antioxidant capacity and leaf and stem extracts showing superior radical scavenging activity. This study can help understand tissue-specific bioactivity and its therapeutic use to guide extraction as well as spatial isolation and characterization of the phytoconstituents.</w:t>
      </w:r>
    </w:p>
    <w:p w14:paraId="2F5CDCA3" w14:textId="23AB62F9" w:rsidR="001A7494" w:rsidRPr="001A7494" w:rsidRDefault="00000000" w:rsidP="00180921">
      <w:pPr>
        <w:spacing w:before="240" w:after="240" w:line="360" w:lineRule="auto"/>
        <w:jc w:val="both"/>
        <w:rPr>
          <w:rFonts w:ascii="Arial" w:eastAsia="Times New Roman" w:hAnsi="Arial" w:cs="Arial"/>
          <w:i/>
          <w:iCs/>
          <w:color w:val="000000"/>
          <w:sz w:val="20"/>
          <w:szCs w:val="20"/>
        </w:rPr>
      </w:pPr>
      <w:r w:rsidRPr="001A7494">
        <w:rPr>
          <w:rFonts w:ascii="Arial" w:eastAsia="Times New Roman" w:hAnsi="Arial" w:cs="Arial"/>
          <w:i/>
          <w:iCs/>
          <w:sz w:val="20"/>
          <w:szCs w:val="20"/>
        </w:rPr>
        <w:t xml:space="preserve">Keywords: </w:t>
      </w:r>
      <w:r w:rsidR="00180921" w:rsidRPr="001A7494">
        <w:rPr>
          <w:rFonts w:ascii="Arial" w:eastAsia="Times New Roman" w:hAnsi="Arial" w:cs="Arial"/>
          <w:i/>
          <w:iCs/>
          <w:color w:val="000000"/>
          <w:sz w:val="20"/>
          <w:szCs w:val="20"/>
        </w:rPr>
        <w:t>Dalbergia latifolia Roxb.; phytochemical screening; phenolics and flavonoids; DPPH assay; ABTS assay; IC</w:t>
      </w:r>
      <w:r w:rsidR="00180921" w:rsidRPr="001A7494">
        <w:rPr>
          <w:rFonts w:ascii="Cambria Math" w:eastAsia="Times New Roman" w:hAnsi="Cambria Math" w:cs="Cambria Math"/>
          <w:i/>
          <w:iCs/>
          <w:color w:val="000000"/>
          <w:sz w:val="20"/>
          <w:szCs w:val="20"/>
        </w:rPr>
        <w:t>₅₀</w:t>
      </w:r>
      <w:r w:rsidR="00180921" w:rsidRPr="001A7494">
        <w:rPr>
          <w:rFonts w:ascii="Arial" w:eastAsia="Times New Roman" w:hAnsi="Arial" w:cs="Arial"/>
          <w:i/>
          <w:iCs/>
          <w:color w:val="000000"/>
          <w:sz w:val="20"/>
          <w:szCs w:val="20"/>
        </w:rPr>
        <w:t>; Fabaceae,</w:t>
      </w:r>
    </w:p>
    <w:p w14:paraId="0100A714" w14:textId="77777777" w:rsidR="001A7494" w:rsidRPr="001A7494" w:rsidRDefault="001A7494">
      <w:pPr>
        <w:rPr>
          <w:rFonts w:ascii="Arial" w:eastAsia="Times New Roman" w:hAnsi="Arial" w:cs="Arial"/>
          <w:i/>
          <w:iCs/>
          <w:color w:val="000000"/>
          <w:sz w:val="20"/>
          <w:szCs w:val="20"/>
        </w:rPr>
      </w:pPr>
      <w:r w:rsidRPr="001A7494">
        <w:rPr>
          <w:rFonts w:ascii="Arial" w:eastAsia="Times New Roman" w:hAnsi="Arial" w:cs="Arial"/>
          <w:i/>
          <w:iCs/>
          <w:color w:val="000000"/>
          <w:sz w:val="20"/>
          <w:szCs w:val="20"/>
        </w:rPr>
        <w:br w:type="page"/>
      </w:r>
    </w:p>
    <w:p w14:paraId="61841CC0" w14:textId="171E9333" w:rsidR="00334AA6" w:rsidRPr="001A7494" w:rsidRDefault="00000000" w:rsidP="001A7494">
      <w:pPr>
        <w:pStyle w:val="ListParagraph"/>
        <w:numPr>
          <w:ilvl w:val="0"/>
          <w:numId w:val="3"/>
        </w:numPr>
        <w:spacing w:line="360" w:lineRule="auto"/>
        <w:jc w:val="both"/>
        <w:rPr>
          <w:rFonts w:ascii="Arial" w:eastAsia="Times New Roman" w:hAnsi="Arial" w:cs="Arial"/>
          <w:b/>
          <w:bCs/>
        </w:rPr>
      </w:pPr>
      <w:r w:rsidRPr="001A7494">
        <w:rPr>
          <w:rFonts w:ascii="Arial" w:eastAsia="Times New Roman" w:hAnsi="Arial" w:cs="Arial"/>
          <w:b/>
          <w:bCs/>
        </w:rPr>
        <w:lastRenderedPageBreak/>
        <w:t>INTRODUCTION</w:t>
      </w:r>
      <w:r w:rsidR="004E6F86">
        <w:rPr>
          <w:rFonts w:ascii="Arial" w:eastAsia="Times New Roman" w:hAnsi="Arial" w:cs="Arial"/>
          <w:b/>
          <w:bCs/>
        </w:rPr>
        <w:t>.</w:t>
      </w:r>
    </w:p>
    <w:p w14:paraId="38454865" w14:textId="2131346B" w:rsidR="006A2AB8" w:rsidRPr="001A7494" w:rsidRDefault="006A2AB8" w:rsidP="009A4760">
      <w:pPr>
        <w:spacing w:line="360" w:lineRule="auto"/>
        <w:jc w:val="both"/>
        <w:rPr>
          <w:rFonts w:ascii="Arial" w:eastAsia="Times New Roman" w:hAnsi="Arial" w:cs="Arial"/>
          <w:sz w:val="20"/>
          <w:szCs w:val="20"/>
          <w:lang w:val="en-GB"/>
        </w:rPr>
      </w:pPr>
      <w:r w:rsidRPr="001A7494">
        <w:rPr>
          <w:rFonts w:ascii="Arial" w:eastAsia="Times New Roman" w:hAnsi="Arial" w:cs="Arial"/>
          <w:sz w:val="20"/>
          <w:szCs w:val="20"/>
          <w:lang w:val="en-GB"/>
        </w:rPr>
        <w:t>Oxidative stress is one of the major factors implicated in the progression of severe disease conditions, including inflammatory disorders, impaired tissue repair, and metabolic disorders</w:t>
      </w:r>
      <w:r w:rsidR="009A4760" w:rsidRPr="001A7494">
        <w:rPr>
          <w:rFonts w:ascii="Arial" w:eastAsia="Times New Roman" w:hAnsi="Arial" w:cs="Arial"/>
          <w:sz w:val="20"/>
          <w:szCs w:val="20"/>
          <w:lang w:val="en-GB"/>
        </w:rPr>
        <w:t xml:space="preserve"> </w:t>
      </w:r>
      <w:r w:rsidRPr="001A7494">
        <w:rPr>
          <w:rFonts w:ascii="Arial" w:eastAsia="Times New Roman" w:hAnsi="Arial" w:cs="Arial"/>
          <w:sz w:val="20"/>
          <w:szCs w:val="20"/>
          <w:lang w:val="en-GB"/>
        </w:rPr>
        <w:fldChar w:fldCharType="begin"/>
      </w:r>
      <w:r w:rsidRPr="001A7494">
        <w:rPr>
          <w:rFonts w:ascii="Arial" w:eastAsia="Times New Roman" w:hAnsi="Arial" w:cs="Arial"/>
          <w:sz w:val="20"/>
          <w:szCs w:val="20"/>
          <w:lang w:val="en-GB"/>
        </w:rPr>
        <w:instrText xml:space="preserve"> ADDIN ZOTERO_ITEM CSL_CITATION {"citationID":"vvH37I5s","properties":{"formattedCitation":"(Masenga et al., 2023; Rani et al., 2016)","plainCitation":"(Masenga et al., 2023; Rani et al., 2016)","noteIndex":0},"citationItems":[{"id":4680,"uris":["http://zotero.org/users/10343621/items/R6PV3CFF"],"itemData":{"id":4680,"type":"article-journal","abstract":"Metabolic syndrome is a cluster of conditions associated with the risk of diabetes mellitus type 2 and cardiovascular diseases (CVDs). Metabolic syndrome is closely related to obesity. Increased adiposity promotes inflammation and oxidative stress, which are precursors of various complications involving metabolic syndrome components, namely insulin resistance, hypertension, and hyperlipidemia. An increasing number of studies confirm the importance of oxidative stress and chronic inflammation in the etiology of metabolic syndrome. However, few studies have reviewed the mechanisms underlying the role of oxidative stress in contributing to metabolic syndrome. In this review, we highlight mechanisms by which reactive oxygen species (ROS) increase mitochondrial dysfunction, protein damage, lipid peroxidation, and impair antioxidant function in metabolic syndrome. Biomarkers of oxidative stress can be used in disease diagnosis and evaluation of severity.","container-title":"International Journal of Molecular Sciences","DOI":"10.3390/ijms24097898","ISSN":"1422-0067","issue":"9","journalAbbreviation":"Int J Mol Sci","page":"7898","PMID":"37175603","PMCID":"PMC10178199","source":"PubMed Central","title":"Mechanisms of Oxidative Stress in Metabolic Syndrome","volume":"24","author":[{"family":"Masenga","given":"Sepiso K."},{"family":"Kabwe","given":"Lombe S."},{"family":"Chakulya","given":"Martin"},{"family":"Kirabo","given":"Annet"}],"issued":{"date-parts":[["2023",4,26]]}}},{"id":4678,"uris":["http://zotero.org/users/10343621/items/T9L85HAJ"],"itemData":{"id":4678,"type":"article-journal","abstract":"Increased body weight and metabolic disorder including insulin resistance, type 2 diabetes and cardiovascular complications together constitute metabolic syndrome. The pathogenesis of metabolic syndrome involves multitude of factors. A number of studies however indicate, with some conformity, that oxidative stress along with chronic inflammatory condition pave the way for the development of metabolic diseases. Oxidative stress, a state of lost balance between the oxidative and anti-oxidative systems of the cells and tissues, results in the over production of oxidative free radicals and reactive oxygen species (ROS). Excessive ROS generated could attack the cellular proteins, lipids and nucleic acids leading to cellular dysfunction including loss of energy metabolism, altered cell signalling and cell cycle control, genetic mutations, altered cellular transport mechanisms and overall decreased biological activity, immune activation and inflammation. In addition, nutritional stress such as that caused by high fat high carbohydrate diet also promotes oxidative stress as evident by increased lipid peroxidation products, protein carbonylation, and decreased antioxidant system and reduced glutathione (GSH) levels. These changes lead to initiation of pathogenic milieu and development of several chronic diseases. Studies suggest that in obese person oxidative stress and chronic inflammation are the important underlying factors that lead to development of pathologies such as carcinogenesis, obesity, diabetes, and cardiovascular diseases through altered cellular and nuclear mechanisms, including impaired DNA damage repair and cell cycle regulation. Here we discuss the aspects of metabolic disorders-induced oxidative stress in major pathological conditions and strategies for their prevention and therapy.","container-title":"Life Sciences","DOI":"10.1016/j.lfs.2016.02.002","ISSN":"0024-3205","journalAbbreviation":"Life Sciences","page":"183-193","source":"ScienceDirect","title":"Oxidative stress and metabolic disorders: Pathogenesis and therapeutic strategies","title-short":"Oxidative stress and metabolic disorders","volume":"148","author":[{"family":"Rani","given":"Vibha"},{"family":"Deep","given":"Gagan"},{"family":"Singh","given":"Rakesh K."},{"family":"Palle","given":"Komaraiah"},{"family":"Yadav","given":"Umesh C. S."}],"issued":{"date-parts":[["2016",3,1]]}}}],"schema":"https://github.com/citation-style-language/schema/raw/master/csl-citation.json"} </w:instrText>
      </w:r>
      <w:r w:rsidRPr="001A7494">
        <w:rPr>
          <w:rFonts w:ascii="Arial" w:eastAsia="Times New Roman" w:hAnsi="Arial" w:cs="Arial"/>
          <w:sz w:val="20"/>
          <w:szCs w:val="20"/>
          <w:lang w:val="en-GB"/>
        </w:rPr>
        <w:fldChar w:fldCharType="separate"/>
      </w:r>
      <w:r w:rsidR="00F964F1" w:rsidRPr="00F964F1">
        <w:rPr>
          <w:rFonts w:ascii="Arial" w:hAnsi="Arial" w:cs="Arial"/>
          <w:sz w:val="20"/>
          <w:lang w:val="en-GB"/>
        </w:rPr>
        <w:t>(Masenga et al., 2023; Rani et al., 2016)</w:t>
      </w:r>
      <w:r w:rsidRPr="001A7494">
        <w:rPr>
          <w:rFonts w:ascii="Arial" w:eastAsia="Times New Roman" w:hAnsi="Arial" w:cs="Arial"/>
          <w:sz w:val="20"/>
          <w:szCs w:val="20"/>
          <w:lang w:val="en-GB"/>
        </w:rPr>
        <w:fldChar w:fldCharType="end"/>
      </w:r>
      <w:r w:rsidRPr="001A7494">
        <w:rPr>
          <w:rFonts w:ascii="Arial" w:eastAsia="Times New Roman" w:hAnsi="Arial" w:cs="Arial"/>
          <w:sz w:val="20"/>
          <w:szCs w:val="20"/>
          <w:lang w:val="en-GB"/>
        </w:rPr>
        <w:t>. A lot of compounds derived from plants are natural antioxidants, having the innate ability to reduce oxidative damage caused by reactive oxygen species and free radicals. They are, hence, much safer alternatives to synthetic drugs and are now being incorporated into herbal therapies for a variety of disease conditions</w:t>
      </w:r>
      <w:r w:rsidR="009A4760" w:rsidRPr="001A7494">
        <w:rPr>
          <w:rFonts w:ascii="Arial" w:eastAsia="Times New Roman" w:hAnsi="Arial" w:cs="Arial"/>
          <w:sz w:val="20"/>
          <w:szCs w:val="20"/>
          <w:lang w:val="en-GB"/>
        </w:rPr>
        <w:t xml:space="preserve">  </w:t>
      </w:r>
      <w:r w:rsidRPr="001A7494">
        <w:rPr>
          <w:rFonts w:ascii="Arial" w:eastAsia="Times New Roman" w:hAnsi="Arial" w:cs="Arial"/>
          <w:sz w:val="20"/>
          <w:szCs w:val="20"/>
          <w:lang w:val="en-GB"/>
        </w:rPr>
        <w:fldChar w:fldCharType="begin"/>
      </w:r>
      <w:r w:rsidR="00037428" w:rsidRPr="001A7494">
        <w:rPr>
          <w:rFonts w:ascii="Arial" w:eastAsia="Times New Roman" w:hAnsi="Arial" w:cs="Arial"/>
          <w:sz w:val="20"/>
          <w:szCs w:val="20"/>
          <w:lang w:val="en-GB"/>
        </w:rPr>
        <w:instrText xml:space="preserve"> ADDIN ZOTERO_ITEM CSL_CITATION {"citationID":"uy7AT6ho","properties":{"formattedCitation":"(Louren\\uc0\\u231{}o et al., 2019; D.-P. Xu et al., 2017)","plainCitation":"(Lourenço et al., 2019; D.-P. Xu et al., 2017)","noteIndex":0},"citationItems":[{"id":4682,"uris":["http://zotero.org/users/10343621/items/AA5XA8TM"],"itemData":{"id":4682,"type":"article-journal","abstract":"In recent years, great interest has been focused on using natural antioxidants in food products, due to studies indicating possible adverse effects that may be related to the consumption of synthetic antioxidants. A variety of plant materials are known to be natural sources of antioxidants, such as herbs, spices, seeds, fruits and vegetables. The interest in these natural components is not only due to their biological value, but also to their economic impact, as most of them may be extracted from food by-products and under-exploited plant species. This article provides an overview of current knowledge on natural antioxidants: their sources, extraction methods and stabilization processes. In addition, recent studies on their applications in the food industry are also addressed; namely, as preservatives in different food products and in active films for packaging purposes and edible coatings.","container-title":"Molecules","DOI":"10.3390/molecules24224132","ISSN":"1420-3049","issue":"22","journalAbbreviation":"Molecules","page":"4132","PMID":"31731614","PMCID":"PMC6891691","source":"PubMed Central","title":"Antioxidants of Natural Plant Origins: From Sources to Food Industry Applications","title-short":"Antioxidants of Natural Plant Origins","volume":"24","author":[{"family":"Lourenço","given":"Sofia C."},{"family":"Moldão-Martins","given":"Margarida"},{"family":"Alves","given":"Vítor D."}],"issued":{"date-parts":[["2019",11,15]]}}},{"id":4684,"uris":["http://zotero.org/users/10343621/items/UUK9KD9H"],"itemData":{"id":4684,"type":"article-journal","abstract":"Natural antioxidants are widely distributed in food and medicinal plants. These natural antioxidants, especially polyphenols and carotenoids, exhibit ...","container-title":"International Journal of Molecular Sciences","DOI":"10.3390/ijms18010096","ISSN":"1422-0067","issue":"1","language":"en","license":"http://creativecommons.org/licenses/by/3.0/","publisher":"Multidisciplinary Digital Publishing Institute","source":"www.mdpi.com","title":"Natural Antioxidants in Foods and Medicinal Plants: Extraction, Assessment and Resources","title-short":"Natural Antioxidants in Foods and Medicinal Plants","URL":"https://www.mdpi.com/1422-0067/18/1/96","volume":"18","author":[{"family":"Xu","given":"Dong-Ping"},{"family":"Li","given":"Ya"},{"family":"Meng","given":"Xiao"},{"family":"Zhou","given":"Tong"},{"family":"Zhou","given":"Yue"},{"family":"Zheng","given":"Jie"},{"family":"Zhang","given":"Jiao-Jiao"},{"family":"Li","given":"Hua-Bin"}],"accessed":{"date-parts":[["2026",5,12]]},"issued":{"date-parts":[["2017",1,5]]}}}],"schema":"https://github.com/citation-style-language/schema/raw/master/csl-citation.json"} </w:instrText>
      </w:r>
      <w:r w:rsidRPr="001A7494">
        <w:rPr>
          <w:rFonts w:ascii="Arial" w:eastAsia="Times New Roman" w:hAnsi="Arial" w:cs="Arial"/>
          <w:sz w:val="20"/>
          <w:szCs w:val="20"/>
          <w:lang w:val="en-GB"/>
        </w:rPr>
        <w:fldChar w:fldCharType="separate"/>
      </w:r>
      <w:r w:rsidR="00F964F1" w:rsidRPr="00F964F1">
        <w:rPr>
          <w:rFonts w:ascii="Arial" w:hAnsi="Arial" w:cs="Arial"/>
          <w:sz w:val="20"/>
        </w:rPr>
        <w:t>(Lourenço et al., 2019; D.-P. Xu et al., 2017)</w:t>
      </w:r>
      <w:r w:rsidRPr="001A7494">
        <w:rPr>
          <w:rFonts w:ascii="Arial" w:eastAsia="Times New Roman" w:hAnsi="Arial" w:cs="Arial"/>
          <w:sz w:val="20"/>
          <w:szCs w:val="20"/>
          <w:lang w:val="en-GB"/>
        </w:rPr>
        <w:fldChar w:fldCharType="end"/>
      </w:r>
      <w:r w:rsidRPr="001A7494">
        <w:rPr>
          <w:rFonts w:ascii="Arial" w:eastAsia="Times New Roman" w:hAnsi="Arial" w:cs="Arial"/>
          <w:sz w:val="20"/>
          <w:szCs w:val="20"/>
          <w:lang w:val="en-GB"/>
        </w:rPr>
        <w:t>. In this context, plant secondary metabolites such as phenolics and flavonoids are widely recognized for their antioxidant properties</w:t>
      </w:r>
      <w:r w:rsidR="009A4760" w:rsidRPr="001A7494">
        <w:rPr>
          <w:rFonts w:ascii="Arial" w:eastAsia="Times New Roman" w:hAnsi="Arial" w:cs="Arial"/>
          <w:sz w:val="20"/>
          <w:szCs w:val="20"/>
          <w:lang w:val="en-GB"/>
        </w:rPr>
        <w:t xml:space="preserve"> </w:t>
      </w:r>
      <w:r w:rsidRPr="001A7494">
        <w:rPr>
          <w:rFonts w:ascii="Arial" w:eastAsia="Times New Roman" w:hAnsi="Arial" w:cs="Arial"/>
          <w:sz w:val="20"/>
          <w:szCs w:val="20"/>
          <w:lang w:val="en-GB"/>
        </w:rPr>
        <w:fldChar w:fldCharType="begin"/>
      </w:r>
      <w:r w:rsidRPr="001A7494">
        <w:rPr>
          <w:rFonts w:ascii="Arial" w:eastAsia="Times New Roman" w:hAnsi="Arial" w:cs="Arial"/>
          <w:sz w:val="20"/>
          <w:szCs w:val="20"/>
          <w:lang w:val="en-GB"/>
        </w:rPr>
        <w:instrText xml:space="preserve"> ADDIN ZOTERO_ITEM CSL_CITATION {"citationID":"UIZNBJn8","properties":{"formattedCitation":"(Zahra et al., 2024; Zhang &amp; Tsao, 2016)","plainCitation":"(Zahra et al., 2024; Zhang &amp; Tsao, 2016)","noteIndex":0},"citationItems":[{"id":4685,"uris":["http://zotero.org/users/10343621/items/9HTKWJAT"],"itemData":{"id":4685,"type":"article-journal","abstract":"This study emphasizes the critical role of antioxidants in protecting human health by counteracting the detrimental effects of oxidative stress induce...","container-title":"Antioxidants","DOI":"10.3390/antiox13080922","ISSN":"2076-3921","issue":"8","language":"en","license":"http://creativecommons.org/licenses/by/3.0/","publisher":"Multidisciplinary Digital Publishing Institute","source":"www.mdpi.com","title":"Flavonoids: Antioxidant Powerhouses and Their Role in Nanomedicine","title-short":"Flavonoids","URL":"https://www.mdpi.com/2076-3921/13/8/922","volume":"13","author":[{"family":"Zahra","given":"Mehak"},{"family":"Abrahamse","given":"Heidi"},{"family":"George","given":"Blassan P."}],"accessed":{"date-parts":[["2026",5,12]]},"issued":{"date-parts":[["2024",7,29]]}}},{"id":482,"uris":["http://zotero.org/users/10343621/items/B8XALPDM"],"itemData":{"id":482,"type":"article-journal","abstract":"Phenolic compounds including phenolic acids, flavonoids and proanthocyanidins are widely distributed in plants as a protective mechanism against biotic and abiotic stresses. Fruits, vegetables, grains, spices and herbs are the richest source of dietary polyphenols. High intake of these foods has been linked to lowered risk of most common degenerative and chronic diseases that are known to be caused by oxidative stress. This review intends to summarize briefly recent progress on the chemistry and biochemistry of dietary polyphenols, their antioxidant and anti-inflammatory activities, and the underlying molecular mechanisms of their involvement in inflammation mediated metabolic diseases are also discussed. Perspectives for future research are also briefly discussed.","collection-title":"Food microbiology • Functional foods and nutrition","container-title":"Current Opinion in Food Science","DOI":"10.1016/j.cofs.2016.02.002","ISSN":"2214-7993","journalAbbreviation":"Current Opinion in Food Science","page":"33-42","source":"ScienceDirect","title":"Dietary polyphenols, oxidative stress and antioxidant and anti-inflammatory effects","volume":"8","author":[{"family":"Zhang","given":"Hua"},{"family":"Tsao","given":"Rong"}],"issued":{"date-parts":[["2016",4,1]]}}}],"schema":"https://github.com/citation-style-language/schema/raw/master/csl-citation.json"} </w:instrText>
      </w:r>
      <w:r w:rsidRPr="001A7494">
        <w:rPr>
          <w:rFonts w:ascii="Arial" w:eastAsia="Times New Roman" w:hAnsi="Arial" w:cs="Arial"/>
          <w:sz w:val="20"/>
          <w:szCs w:val="20"/>
          <w:lang w:val="en-GB"/>
        </w:rPr>
        <w:fldChar w:fldCharType="separate"/>
      </w:r>
      <w:r w:rsidR="00F964F1" w:rsidRPr="00F964F1">
        <w:rPr>
          <w:rFonts w:ascii="Arial" w:hAnsi="Arial" w:cs="Arial"/>
          <w:sz w:val="20"/>
          <w:lang w:val="en-GB"/>
        </w:rPr>
        <w:t>(Zahra et al., 2024; Zhang &amp; Tsao, 2016)</w:t>
      </w:r>
      <w:r w:rsidRPr="001A7494">
        <w:rPr>
          <w:rFonts w:ascii="Arial" w:eastAsia="Times New Roman" w:hAnsi="Arial" w:cs="Arial"/>
          <w:sz w:val="20"/>
          <w:szCs w:val="20"/>
          <w:lang w:val="en-GB"/>
        </w:rPr>
        <w:fldChar w:fldCharType="end"/>
      </w:r>
      <w:r w:rsidRPr="001A7494">
        <w:rPr>
          <w:rFonts w:ascii="Arial" w:eastAsia="Times New Roman" w:hAnsi="Arial" w:cs="Arial"/>
          <w:sz w:val="20"/>
          <w:szCs w:val="20"/>
          <w:lang w:val="en-GB"/>
        </w:rPr>
        <w:t>.</w:t>
      </w:r>
    </w:p>
    <w:p w14:paraId="54F71FCF" w14:textId="3246FF77" w:rsidR="006A2AB8" w:rsidRPr="001A7494" w:rsidRDefault="006A2AB8" w:rsidP="009A4760">
      <w:pPr>
        <w:spacing w:line="360" w:lineRule="auto"/>
        <w:jc w:val="both"/>
        <w:rPr>
          <w:rFonts w:ascii="Arial" w:eastAsia="Times New Roman" w:hAnsi="Arial" w:cs="Arial"/>
          <w:sz w:val="20"/>
          <w:szCs w:val="20"/>
          <w:lang w:val="en-GB"/>
        </w:rPr>
      </w:pPr>
      <w:r w:rsidRPr="001A7494">
        <w:rPr>
          <w:rFonts w:ascii="Arial" w:eastAsia="Times New Roman" w:hAnsi="Arial" w:cs="Arial"/>
          <w:sz w:val="20"/>
          <w:szCs w:val="20"/>
          <w:lang w:val="en-GB"/>
        </w:rPr>
        <w:t xml:space="preserve">The genus </w:t>
      </w:r>
      <w:r w:rsidRPr="001A7494">
        <w:rPr>
          <w:rFonts w:ascii="Arial" w:eastAsia="Times New Roman" w:hAnsi="Arial" w:cs="Arial"/>
          <w:i/>
          <w:iCs/>
          <w:sz w:val="20"/>
          <w:szCs w:val="20"/>
          <w:lang w:val="en-GB"/>
        </w:rPr>
        <w:t>Dalbergia</w:t>
      </w:r>
      <w:r w:rsidRPr="001A7494">
        <w:rPr>
          <w:rFonts w:ascii="Arial" w:eastAsia="Times New Roman" w:hAnsi="Arial" w:cs="Arial"/>
          <w:sz w:val="20"/>
          <w:szCs w:val="20"/>
          <w:lang w:val="en-GB"/>
        </w:rPr>
        <w:t xml:space="preserve"> from the family Fabaceae consists of several species that are known for their economic as well as medicinal importance. Although many </w:t>
      </w:r>
      <w:r w:rsidRPr="001A7494">
        <w:rPr>
          <w:rFonts w:ascii="Arial" w:eastAsia="Times New Roman" w:hAnsi="Arial" w:cs="Arial"/>
          <w:i/>
          <w:iCs/>
          <w:sz w:val="20"/>
          <w:szCs w:val="20"/>
          <w:lang w:val="en-GB"/>
        </w:rPr>
        <w:t>Dalbergia</w:t>
      </w:r>
      <w:r w:rsidRPr="001A7494">
        <w:rPr>
          <w:rFonts w:ascii="Arial" w:eastAsia="Times New Roman" w:hAnsi="Arial" w:cs="Arial"/>
          <w:sz w:val="20"/>
          <w:szCs w:val="20"/>
          <w:lang w:val="en-GB"/>
        </w:rPr>
        <w:t xml:space="preserve"> species have been extensively utilized for their timber, they have also been reported to contain diverse classes of secondary metabolites like flavones, chalcones, rotenoids, etc., each contributing to the bioactive, medicinal, and therapeutic potential of these plants</w:t>
      </w:r>
      <w:r w:rsidR="009A4760" w:rsidRPr="001A7494">
        <w:rPr>
          <w:rFonts w:ascii="Arial" w:eastAsia="Times New Roman" w:hAnsi="Arial" w:cs="Arial"/>
          <w:sz w:val="20"/>
          <w:szCs w:val="20"/>
          <w:lang w:val="en-GB"/>
        </w:rPr>
        <w:t xml:space="preserve"> </w:t>
      </w:r>
      <w:r w:rsidR="004022F5" w:rsidRPr="001A7494">
        <w:rPr>
          <w:rFonts w:ascii="Arial" w:eastAsia="Times New Roman" w:hAnsi="Arial" w:cs="Arial"/>
          <w:sz w:val="20"/>
          <w:szCs w:val="20"/>
          <w:lang w:val="en-GB"/>
        </w:rPr>
        <w:fldChar w:fldCharType="begin"/>
      </w:r>
      <w:r w:rsidR="004022F5" w:rsidRPr="001A7494">
        <w:rPr>
          <w:rFonts w:ascii="Arial" w:eastAsia="Times New Roman" w:hAnsi="Arial" w:cs="Arial"/>
          <w:sz w:val="20"/>
          <w:szCs w:val="20"/>
          <w:lang w:val="en-GB"/>
        </w:rPr>
        <w:instrText xml:space="preserve"> ADDIN ZOTERO_ITEM CSL_CITATION {"citationID":"lPIu1jVK","properties":{"formattedCitation":"(Vasudeva et al., 2009)","plainCitation":"(Vasudeva et al., 2009)","noteIndex":0},"citationItems":[{"id":4686,"uris":["http://zotero.org/users/10343621/items/LV8TU5J3"],"itemData":{"id":4686,"type":"article-journal","abstract":"Dalbergia is a genus of trees, shrubs and woody climbers widely distributed in tropical and sub- tropical regions. It possesses immense traditional application. Various species are widely used as analgesic, anti-inflammatory, antipyretic, antimicrobial, anti-diarrheal, anti-ulcerogenic, anti-spermicidal, larvicidal and mosquito repellant in the traditional system of medicines. Chemical investigation has resulted in characterization and isolation of various phytoconstituents. This review is compilation of chemical composition and biological activities of the various species of the genus Dalbergia.","ISSN":"09737847","language":"English","license":"Copyright Medknow Publications &amp; Media Pvt Ltd Jul 2009","note":"number-of-pages: 307-319","page":"307-319","publisher":"Phcog.net","source":"ProQuest","title":"Chemistry and biological activities of the genus Dalbergia - A review","author":[{"family":"Vasudeva","given":"Neeru"},{"family":"Vats","given":"Manisha"},{"family":"Sharma","given":"S."},{"family":"Sardana","given":"Satish"}],"issued":{"date-parts":[["2009",7]]}}}],"schema":"https://github.com/citation-style-language/schema/raw/master/csl-citation.json"} </w:instrText>
      </w:r>
      <w:r w:rsidR="004022F5" w:rsidRPr="001A7494">
        <w:rPr>
          <w:rFonts w:ascii="Arial" w:eastAsia="Times New Roman" w:hAnsi="Arial" w:cs="Arial"/>
          <w:sz w:val="20"/>
          <w:szCs w:val="20"/>
          <w:lang w:val="en-GB"/>
        </w:rPr>
        <w:fldChar w:fldCharType="separate"/>
      </w:r>
      <w:r w:rsidR="00F964F1" w:rsidRPr="00F964F1">
        <w:rPr>
          <w:rFonts w:ascii="Arial" w:hAnsi="Arial" w:cs="Arial"/>
          <w:sz w:val="20"/>
          <w:lang w:val="en-GB"/>
        </w:rPr>
        <w:t>(Vasudeva et al., 2009)</w:t>
      </w:r>
      <w:r w:rsidR="004022F5" w:rsidRPr="001A7494">
        <w:rPr>
          <w:rFonts w:ascii="Arial" w:eastAsia="Times New Roman" w:hAnsi="Arial" w:cs="Arial"/>
          <w:sz w:val="20"/>
          <w:szCs w:val="20"/>
          <w:lang w:val="en-GB"/>
        </w:rPr>
        <w:fldChar w:fldCharType="end"/>
      </w:r>
      <w:r w:rsidRPr="001A7494">
        <w:rPr>
          <w:rFonts w:ascii="Arial" w:eastAsia="Times New Roman" w:hAnsi="Arial" w:cs="Arial"/>
          <w:sz w:val="20"/>
          <w:szCs w:val="20"/>
          <w:lang w:val="en-GB"/>
        </w:rPr>
        <w:t xml:space="preserve">. Several studies on </w:t>
      </w:r>
      <w:r w:rsidRPr="001A7494">
        <w:rPr>
          <w:rFonts w:ascii="Arial" w:eastAsia="Times New Roman" w:hAnsi="Arial" w:cs="Arial"/>
          <w:i/>
          <w:iCs/>
          <w:sz w:val="20"/>
          <w:szCs w:val="20"/>
          <w:lang w:val="en-GB"/>
        </w:rPr>
        <w:t>Dalbergia</w:t>
      </w:r>
      <w:r w:rsidRPr="001A7494">
        <w:rPr>
          <w:rFonts w:ascii="Arial" w:eastAsia="Times New Roman" w:hAnsi="Arial" w:cs="Arial"/>
          <w:sz w:val="20"/>
          <w:szCs w:val="20"/>
          <w:lang w:val="en-GB"/>
        </w:rPr>
        <w:t xml:space="preserve"> species have reported bioactive constituents with antioxidant potential. For example, </w:t>
      </w:r>
      <w:r w:rsidRPr="001A7494">
        <w:rPr>
          <w:rFonts w:ascii="Arial" w:eastAsia="Times New Roman" w:hAnsi="Arial" w:cs="Arial"/>
          <w:i/>
          <w:iCs/>
          <w:sz w:val="20"/>
          <w:szCs w:val="20"/>
          <w:lang w:val="en-GB"/>
        </w:rPr>
        <w:t>Dalbergia sissoo</w:t>
      </w:r>
      <w:r w:rsidRPr="001A7494">
        <w:rPr>
          <w:rFonts w:ascii="Arial" w:eastAsia="Times New Roman" w:hAnsi="Arial" w:cs="Arial"/>
          <w:sz w:val="20"/>
          <w:szCs w:val="20"/>
          <w:lang w:val="en-GB"/>
        </w:rPr>
        <w:t xml:space="preserve"> bark extracts have shown strong radical scavenging activity in in vitro assays</w:t>
      </w:r>
      <w:r w:rsidR="009A4760" w:rsidRPr="001A7494">
        <w:rPr>
          <w:rFonts w:ascii="Arial" w:eastAsia="Times New Roman" w:hAnsi="Arial" w:cs="Arial"/>
          <w:sz w:val="20"/>
          <w:szCs w:val="20"/>
          <w:lang w:val="en-GB"/>
        </w:rPr>
        <w:t xml:space="preserve"> </w:t>
      </w:r>
      <w:r w:rsidR="004022F5" w:rsidRPr="001A7494">
        <w:rPr>
          <w:rFonts w:ascii="Arial" w:eastAsia="Times New Roman" w:hAnsi="Arial" w:cs="Arial"/>
          <w:sz w:val="20"/>
          <w:szCs w:val="20"/>
          <w:lang w:val="en-GB"/>
        </w:rPr>
        <w:fldChar w:fldCharType="begin"/>
      </w:r>
      <w:r w:rsidR="004022F5" w:rsidRPr="001A7494">
        <w:rPr>
          <w:rFonts w:ascii="Arial" w:eastAsia="Times New Roman" w:hAnsi="Arial" w:cs="Arial"/>
          <w:sz w:val="20"/>
          <w:szCs w:val="20"/>
          <w:lang w:val="en-GB"/>
        </w:rPr>
        <w:instrText xml:space="preserve"> ADDIN ZOTERO_ITEM CSL_CITATION {"citationID":"G0vgcJEG","properties":{"formattedCitation":"(Roy et al., 2011)","plainCitation":"(Roy et al., 2011)","noteIndex":0},"citationItems":[{"id":4687,"uris":["http://zotero.org/users/10343621/items/28E9APR7"],"itemData":{"id":4687,"type":"article-journal","abstract":"A detailed study was performed on the antioxidant activity of the aqueous and methanol extracts (AED and MED respectively) of the stem bark of the plant, Dalbergia sissoo Roxb. (Fam. Fabaceae), also known as Indian Rosewood. The antioxidant activity of the extracts was measured by in vitro chemical analyses involving the assays of (1) 1,1-diphenyl-2-picrylhydrazyl (DPPH) radical scavenging activity (2) ferric ion reducing power (3) ferrous ion chelating activity and (4) Au nanoparticle formation potential. A simplified method was developed based on Au nanoparticles formation to assess the antioxidant activity of any plant extract, and was used for the first time to assay the antioxidant activity of AED and MED. In all the assays, AED showed significantly greater activity over MED. This work provides a scientific support for the high antioxidant activity of this plant and thus it may find potential applications in the treatment of the diseases caused by ROS.","container-title":"Food Chemistry","DOI":"10.1016/j.foodchem.2010.11.143","ISSN":"0308-8146","issue":"3","journalAbbreviation":"Food Chemistry","page":"1115-1121","source":"ScienceDirect","title":"A detailed study on the antioxidant activity of the stem bark of &lt;i&gt;Dalbergia sissoo&lt;/i&gt; Roxb., an Indian medicinal plant","volume":"126","author":[{"family":"Roy","given":"Nayan"},{"family":"Laskar","given":"Rajibul Arif"},{"family":"Sk","given":"Ismail"},{"family":"Kumari","given":"Deepa"},{"family":"Ghosh","given":"Tirthankar"},{"family":"Begum","given":"Naznin Ara"}],"issued":{"date-parts":[["2011",6,1]]}}}],"schema":"https://github.com/citation-style-language/schema/raw/master/csl-citation.json"} </w:instrText>
      </w:r>
      <w:r w:rsidR="004022F5" w:rsidRPr="001A7494">
        <w:rPr>
          <w:rFonts w:ascii="Arial" w:eastAsia="Times New Roman" w:hAnsi="Arial" w:cs="Arial"/>
          <w:sz w:val="20"/>
          <w:szCs w:val="20"/>
          <w:lang w:val="en-GB"/>
        </w:rPr>
        <w:fldChar w:fldCharType="separate"/>
      </w:r>
      <w:r w:rsidR="00F964F1" w:rsidRPr="00F964F1">
        <w:rPr>
          <w:rFonts w:ascii="Arial" w:hAnsi="Arial" w:cs="Arial"/>
          <w:sz w:val="20"/>
          <w:lang w:val="en-GB"/>
        </w:rPr>
        <w:t>(Roy et al., 2011)</w:t>
      </w:r>
      <w:r w:rsidR="004022F5" w:rsidRPr="001A7494">
        <w:rPr>
          <w:rFonts w:ascii="Arial" w:eastAsia="Times New Roman" w:hAnsi="Arial" w:cs="Arial"/>
          <w:sz w:val="20"/>
          <w:szCs w:val="20"/>
          <w:lang w:val="en-GB"/>
        </w:rPr>
        <w:fldChar w:fldCharType="end"/>
      </w:r>
      <w:r w:rsidRPr="001A7494">
        <w:rPr>
          <w:rFonts w:ascii="Arial" w:eastAsia="Times New Roman" w:hAnsi="Arial" w:cs="Arial"/>
          <w:sz w:val="20"/>
          <w:szCs w:val="20"/>
          <w:lang w:val="en-GB"/>
        </w:rPr>
        <w:t>.</w:t>
      </w:r>
    </w:p>
    <w:p w14:paraId="54D4955E" w14:textId="0F7A53F7" w:rsidR="00180921" w:rsidRPr="001A7494" w:rsidRDefault="006A2AB8" w:rsidP="009A4760">
      <w:pPr>
        <w:spacing w:line="360" w:lineRule="auto"/>
        <w:jc w:val="both"/>
        <w:rPr>
          <w:rFonts w:ascii="Arial" w:eastAsia="Times New Roman" w:hAnsi="Arial" w:cs="Arial"/>
          <w:color w:val="000000"/>
          <w:sz w:val="20"/>
          <w:szCs w:val="20"/>
        </w:rPr>
      </w:pPr>
      <w:r w:rsidRPr="001A7494">
        <w:rPr>
          <w:rFonts w:ascii="Arial" w:eastAsia="Times New Roman" w:hAnsi="Arial" w:cs="Arial"/>
          <w:i/>
          <w:iCs/>
          <w:sz w:val="20"/>
          <w:szCs w:val="20"/>
          <w:lang w:val="en-GB"/>
        </w:rPr>
        <w:t>Dalbergia latifolia</w:t>
      </w:r>
      <w:r w:rsidRPr="001A7494">
        <w:rPr>
          <w:rFonts w:ascii="Arial" w:eastAsia="Times New Roman" w:hAnsi="Arial" w:cs="Arial"/>
          <w:sz w:val="20"/>
          <w:szCs w:val="20"/>
          <w:lang w:val="en-GB"/>
        </w:rPr>
        <w:t xml:space="preserve"> Roxb., commonly known as Indian rosewood, is one of the high-quality timber-yielding tree species</w:t>
      </w:r>
      <w:r w:rsidR="009A4760" w:rsidRPr="001A7494">
        <w:rPr>
          <w:rFonts w:ascii="Arial" w:eastAsia="Times New Roman" w:hAnsi="Arial" w:cs="Arial"/>
          <w:sz w:val="20"/>
          <w:szCs w:val="20"/>
          <w:lang w:val="en-GB"/>
        </w:rPr>
        <w:t xml:space="preserve"> </w:t>
      </w:r>
      <w:r w:rsidR="004022F5" w:rsidRPr="001A7494">
        <w:rPr>
          <w:rFonts w:ascii="Arial" w:eastAsia="Times New Roman" w:hAnsi="Arial" w:cs="Arial"/>
          <w:sz w:val="20"/>
          <w:szCs w:val="20"/>
          <w:lang w:val="en-GB"/>
        </w:rPr>
        <w:fldChar w:fldCharType="begin"/>
      </w:r>
      <w:r w:rsidR="004022F5" w:rsidRPr="001A7494">
        <w:rPr>
          <w:rFonts w:ascii="Arial" w:eastAsia="Times New Roman" w:hAnsi="Arial" w:cs="Arial"/>
          <w:sz w:val="20"/>
          <w:szCs w:val="20"/>
          <w:lang w:val="en-GB"/>
        </w:rPr>
        <w:instrText xml:space="preserve"> ADDIN ZOTERO_ITEM CSL_CITATION {"citationID":"BKkWoE0j","properties":{"formattedCitation":"(Arunkumar et al., 2022)","plainCitation":"(Arunkumar et al., 2022)","noteIndex":0},"citationItems":[{"id":4057,"uris":["http://zotero.org/users/10343621/items/MSSSPLBW"],"itemData":{"id":4057,"type":"article-journal","abstract":"Fortified forest management strategies, coupled with in situ and ex situ conservation strategies, are needed for long-term conservation of rare, valuably important Dalbergia latifolia.","container-title":"Trees","DOI":"10.1007/s00468-021-02243-3","ISSN":"1432-2285","issue":"3","journalAbbreviation":"Trees","language":"en","page":"883-898","source":"Springer Link","title":"Indian rosewood (Dalbergia latifolia Roxb.): biology, utilisation, and conservation practices","title-short":"Indian rosewood (Dalbergia latifolia Roxb.)","volume":"36","author":[{"family":"Arunkumar","given":"A. N."},{"family":"Warrier","given":"Rekha Ravindranath"},{"family":"Kher","given":"Mafatlal M."},{"family":"Teixeira da Silva","given":"Jaime A."}],"issued":{"date-parts":[["2022",6,1]]}}}],"schema":"https://github.com/citation-style-language/schema/raw/master/csl-citation.json"} </w:instrText>
      </w:r>
      <w:r w:rsidR="004022F5" w:rsidRPr="001A7494">
        <w:rPr>
          <w:rFonts w:ascii="Arial" w:eastAsia="Times New Roman" w:hAnsi="Arial" w:cs="Arial"/>
          <w:sz w:val="20"/>
          <w:szCs w:val="20"/>
          <w:lang w:val="en-GB"/>
        </w:rPr>
        <w:fldChar w:fldCharType="separate"/>
      </w:r>
      <w:r w:rsidR="00F964F1" w:rsidRPr="00F964F1">
        <w:rPr>
          <w:rFonts w:ascii="Arial" w:hAnsi="Arial" w:cs="Arial"/>
          <w:sz w:val="20"/>
          <w:lang w:val="en-GB"/>
        </w:rPr>
        <w:t>(Arunkumar et al., 2022)</w:t>
      </w:r>
      <w:r w:rsidR="004022F5" w:rsidRPr="001A7494">
        <w:rPr>
          <w:rFonts w:ascii="Arial" w:eastAsia="Times New Roman" w:hAnsi="Arial" w:cs="Arial"/>
          <w:sz w:val="20"/>
          <w:szCs w:val="20"/>
          <w:lang w:val="en-GB"/>
        </w:rPr>
        <w:fldChar w:fldCharType="end"/>
      </w:r>
      <w:r w:rsidRPr="001A7494">
        <w:rPr>
          <w:rFonts w:ascii="Arial" w:eastAsia="Times New Roman" w:hAnsi="Arial" w:cs="Arial"/>
          <w:sz w:val="20"/>
          <w:szCs w:val="20"/>
          <w:lang w:val="en-GB"/>
        </w:rPr>
        <w:t>. Apart from timber, it has ethnomedicinal significance, where it has been traditionally utilized for a variety of ailments. Various parts of the plant are reported to exhibit anthelmintic, stimulant, stomachic, appetizing, and bitter tonic properties. The species has also been traditionally employed in the treatment of diarrhoea, dyspepsia, obesity, leprosy, worm infections, ulcers, wounds, and veterinary ailments</w:t>
      </w:r>
      <w:r w:rsidR="009A4760" w:rsidRPr="001A7494">
        <w:rPr>
          <w:rFonts w:ascii="Arial" w:eastAsia="Times New Roman" w:hAnsi="Arial" w:cs="Arial"/>
          <w:sz w:val="20"/>
          <w:szCs w:val="20"/>
          <w:lang w:val="en-GB"/>
        </w:rPr>
        <w:t xml:space="preserve"> </w:t>
      </w:r>
      <w:r w:rsidR="004022F5" w:rsidRPr="001A7494">
        <w:rPr>
          <w:rFonts w:ascii="Arial" w:eastAsia="Times New Roman" w:hAnsi="Arial" w:cs="Arial"/>
          <w:sz w:val="20"/>
          <w:szCs w:val="20"/>
          <w:lang w:val="en-GB"/>
        </w:rPr>
        <w:fldChar w:fldCharType="begin"/>
      </w:r>
      <w:r w:rsidR="00A76FCB" w:rsidRPr="001A7494">
        <w:rPr>
          <w:rFonts w:ascii="Arial" w:eastAsia="Times New Roman" w:hAnsi="Arial" w:cs="Arial"/>
          <w:sz w:val="20"/>
          <w:szCs w:val="20"/>
          <w:lang w:val="en-GB"/>
        </w:rPr>
        <w:instrText xml:space="preserve"> ADDIN ZOTERO_ITEM CSL_CITATION {"citationID":"nMAeeueA","properties":{"formattedCitation":"(Almeida &amp; Almeida, 2010; Bhatnagar, 1985; Jain, 1991; Kirtikar &amp; Basu, 1918)","plainCitation":"(Almeida &amp; Almeida, 2010; Bhatnagar, 1985; Jain, 1991; Kirtikar &amp; Basu, 1918)","noteIndex":0},"citationItems":[{"id":596,"uris":["http://zotero.org/users/10343621/items/4S2LA5CF"],"itemData":{"id":596,"type":"book","number-of-pages":"489","publisher":"Orient Press Ltd. Mumbai","source":"Google Scholar","title":"Hand book of diseases and their herbal remedies in Maharashtra","volume":"2","author":[{"family":"Almeida","given":"S. M."},{"family":"Almeida","given":"M. R."}],"issued":{"date-parts":[["2010"]]}}},{"id":4688,"uris":["http://zotero.org/users/10343621/items/QH4FSZQ4"],"itemData":{"id":4688,"type":"book","abstract":"Describes plants, their origin, habitat, and use.","ISBN":"978-81-85038-97-1","publisher":"Publications &amp; Information Directorate, Council of Scientific &amp; Industrial Research,","source":"books.google.co.in","title":"The Wealth of India: A Dictionary of Indian Raw Materials &amp; Industrial Products, Volume 3","URL":"https://books.google.com/books/about/The_Wealth_of_India.html?id=EYzd1kVUmZUC","volume":"3","author":[{"family":"Bhatnagar","given":"S.S"}],"accessed":{"date-parts":[["2026",5,13]]},"issued":{"date-parts":[["1985"]]}}},{"id":4691,"uris":["http://zotero.org/users/10343621/items/JDUNYDI5"],"itemData":{"id":4691,"type":"book","ISBN":"978-81-85622-00-2","language":"en","publisher":"Deep Publications,","source":"lib.icimod.org","title":"Dictionary of Indian folk medicine and ethnobotany","URL":"https://lib.icimod.org/records/btvnb-7q452","author":[{"family":"Jain","given":"S. K."}],"accessed":{"date-parts":[["2026",5,13]]},"issued":{"date-parts":[["1991"]]}}},{"id":4689,"uris":["http://zotero.org/users/10343621/items/WSPTYKE3"],"itemData":{"id":4689,"type":"book","language":"en","note":"Google-Books-ID: cR1AAQAAMAAJ","number-of-pages":"840","publisher":"Lalit Mohan Basu","publisher-place":"Allahbad, India","source":"Google Books","title":"Indian Medicinal Plants","volume":"2","author":[{"family":"Kirtikar","given":"Kanhoba Ranchoddas"},{"family":"Basu","given":"Baman Das"}],"issued":{"date-parts":[["1918"]]}}}],"schema":"https://github.com/citation-style-language/schema/raw/master/csl-citation.json"} </w:instrText>
      </w:r>
      <w:r w:rsidR="004022F5" w:rsidRPr="001A7494">
        <w:rPr>
          <w:rFonts w:ascii="Arial" w:eastAsia="Times New Roman" w:hAnsi="Arial" w:cs="Arial"/>
          <w:sz w:val="20"/>
          <w:szCs w:val="20"/>
          <w:lang w:val="en-GB"/>
        </w:rPr>
        <w:fldChar w:fldCharType="separate"/>
      </w:r>
      <w:r w:rsidR="00F964F1" w:rsidRPr="00F964F1">
        <w:rPr>
          <w:rFonts w:ascii="Arial" w:hAnsi="Arial" w:cs="Arial"/>
          <w:sz w:val="20"/>
        </w:rPr>
        <w:t>(Almeida &amp; Almeida, 2010; Bhatnagar, 1985; Jain, 1991; Kirtikar &amp; Basu, 1918)</w:t>
      </w:r>
      <w:r w:rsidR="004022F5" w:rsidRPr="001A7494">
        <w:rPr>
          <w:rFonts w:ascii="Arial" w:eastAsia="Times New Roman" w:hAnsi="Arial" w:cs="Arial"/>
          <w:sz w:val="20"/>
          <w:szCs w:val="20"/>
          <w:lang w:val="en-GB"/>
        </w:rPr>
        <w:fldChar w:fldCharType="end"/>
      </w:r>
      <w:r w:rsidRPr="001A7494">
        <w:rPr>
          <w:rFonts w:ascii="Arial" w:eastAsia="Times New Roman" w:hAnsi="Arial" w:cs="Arial"/>
          <w:sz w:val="20"/>
          <w:szCs w:val="20"/>
          <w:lang w:val="en-GB"/>
        </w:rPr>
        <w:t>. Existing studies on the species have identified neoflavonoids such as dalbergin and latifolin, along with other phenolics and flavonoids, which may contribute to its medicinal potential</w:t>
      </w:r>
      <w:r w:rsidR="009A4760" w:rsidRPr="001A7494">
        <w:rPr>
          <w:rFonts w:ascii="Arial" w:eastAsia="Times New Roman" w:hAnsi="Arial" w:cs="Arial"/>
          <w:sz w:val="20"/>
          <w:szCs w:val="20"/>
          <w:lang w:val="en-GB"/>
        </w:rPr>
        <w:t xml:space="preserve"> </w:t>
      </w:r>
      <w:r w:rsidR="00A76FCB" w:rsidRPr="001A7494">
        <w:rPr>
          <w:rFonts w:ascii="Arial" w:eastAsia="Times New Roman" w:hAnsi="Arial" w:cs="Arial"/>
          <w:sz w:val="20"/>
          <w:szCs w:val="20"/>
          <w:lang w:val="en-GB"/>
        </w:rPr>
        <w:fldChar w:fldCharType="begin"/>
      </w:r>
      <w:r w:rsidR="00A76FCB" w:rsidRPr="001A7494">
        <w:rPr>
          <w:rFonts w:ascii="Arial" w:eastAsia="Times New Roman" w:hAnsi="Arial" w:cs="Arial"/>
          <w:sz w:val="20"/>
          <w:szCs w:val="20"/>
          <w:lang w:val="en-GB"/>
        </w:rPr>
        <w:instrText xml:space="preserve"> ADDIN ZOTERO_ITEM CSL_CITATION {"citationID":"f9HiQ1Fp","properties":{"formattedCitation":"(Masendra et al., 2020)","plainCitation":"(Masendra et al., 2020)","noteIndex":0},"citationItems":[{"id":4054,"uris":["http://zotero.org/users/10343621/items/EXZFATA2"],"itemData":{"id":4054,"type":"article-journal","abstract":"Dalbergia latifolia or sonokeling is a native species of Java, Indonesia, used as an important wood for furniture and building materials, due to the high of durability and beautiful color. This study, therefore, aim to investigate the phenol composition, represented by total phenolic,  flavonoid, and flavanol content, as well as antioxidant activity, conducted by DPPH (1, 1-diphenyl-2-picrylhydrazyl) method on Dalbergia latifolia wood. The sample was extracted using ethanol-toluene solvent in a Soxhlet apparatus, and subsequently subjected to column chromatography. This treatment yielded 12 fractions, which were then evaluated for phenol contents and antioxidant activity. The results showed a high antioxidant activity and total phenolic content in Fr.1- Fr.3, while latifolin was detected and characterized by GC-MS and a literature comparison. Therefore, it was established that the antioxidant activity of D. latifolia wood extractives properly correlated with the total phenolic, but not with the total flavonoid and flavanol contents.","container-title":"Wood Research Journal","DOI":"10.51850/wrj.2020.11.1.27-34","ISSN":"2774-9320","issue":"1","language":"en","page":"27-34","source":"www.ejournalmapeki.org","title":"Phenol Contents and Antioxidant Activity of Sonokeling (Dalbergia latifolia Roxb) Wood","volume":"11","author":[{"family":"Masendra","given":"Masendra"},{"family":"Irawati","given":"Denny"},{"family":"Ridlo","given":"Alamratush Shoolichah"},{"family":"Lukmandaru","given":"Ganis"}],"issued":{"date-parts":[["2020",12,18]]}}}],"schema":"https://github.com/citation-style-language/schema/raw/master/csl-citation.json"} </w:instrText>
      </w:r>
      <w:r w:rsidR="00A76FCB" w:rsidRPr="001A7494">
        <w:rPr>
          <w:rFonts w:ascii="Arial" w:eastAsia="Times New Roman" w:hAnsi="Arial" w:cs="Arial"/>
          <w:sz w:val="20"/>
          <w:szCs w:val="20"/>
          <w:lang w:val="en-GB"/>
        </w:rPr>
        <w:fldChar w:fldCharType="separate"/>
      </w:r>
      <w:r w:rsidR="00F964F1" w:rsidRPr="00F964F1">
        <w:rPr>
          <w:rFonts w:ascii="Arial" w:hAnsi="Arial" w:cs="Arial"/>
          <w:sz w:val="20"/>
          <w:lang w:val="en-GB"/>
        </w:rPr>
        <w:t>(Masendra et al., 2020)</w:t>
      </w:r>
      <w:r w:rsidR="00A76FCB" w:rsidRPr="001A7494">
        <w:rPr>
          <w:rFonts w:ascii="Arial" w:eastAsia="Times New Roman" w:hAnsi="Arial" w:cs="Arial"/>
          <w:sz w:val="20"/>
          <w:szCs w:val="20"/>
          <w:lang w:val="en-GB"/>
        </w:rPr>
        <w:fldChar w:fldCharType="end"/>
      </w:r>
      <w:r w:rsidRPr="001A7494">
        <w:rPr>
          <w:rFonts w:ascii="Arial" w:eastAsia="Times New Roman" w:hAnsi="Arial" w:cs="Arial"/>
          <w:sz w:val="20"/>
          <w:szCs w:val="20"/>
          <w:lang w:val="en-GB"/>
        </w:rPr>
        <w:t>.</w:t>
      </w:r>
      <w:r w:rsidR="00180921" w:rsidRPr="001A7494">
        <w:rPr>
          <w:rFonts w:ascii="Arial" w:eastAsia="Times New Roman" w:hAnsi="Arial" w:cs="Arial"/>
          <w:sz w:val="20"/>
          <w:szCs w:val="20"/>
          <w:lang w:val="en-GB"/>
        </w:rPr>
        <w:t xml:space="preserve"> </w:t>
      </w:r>
      <w:r w:rsidR="00180921" w:rsidRPr="001A7494">
        <w:rPr>
          <w:rFonts w:ascii="Arial" w:eastAsia="Times New Roman" w:hAnsi="Arial" w:cs="Arial"/>
          <w:color w:val="000000"/>
          <w:sz w:val="20"/>
          <w:szCs w:val="20"/>
        </w:rPr>
        <w:t xml:space="preserve">Flavonoids and neoflavonoids from the genus </w:t>
      </w:r>
      <w:r w:rsidR="00180921" w:rsidRPr="001A7494">
        <w:rPr>
          <w:rFonts w:ascii="Arial" w:eastAsia="Times New Roman" w:hAnsi="Arial" w:cs="Arial"/>
          <w:i/>
          <w:iCs/>
          <w:color w:val="000000"/>
          <w:sz w:val="20"/>
          <w:szCs w:val="20"/>
        </w:rPr>
        <w:t>Dalbergia</w:t>
      </w:r>
      <w:r w:rsidR="00180921" w:rsidRPr="001A7494">
        <w:rPr>
          <w:rFonts w:ascii="Arial" w:eastAsia="Times New Roman" w:hAnsi="Arial" w:cs="Arial"/>
          <w:color w:val="000000"/>
          <w:sz w:val="20"/>
          <w:szCs w:val="20"/>
        </w:rPr>
        <w:t xml:space="preserve"> have been linked with antioxidant and anti-inflammatory activity. For example, neoflavonoids from </w:t>
      </w:r>
      <w:r w:rsidR="00180921" w:rsidRPr="001A7494">
        <w:rPr>
          <w:rFonts w:ascii="Arial" w:eastAsia="Times New Roman" w:hAnsi="Arial" w:cs="Arial"/>
          <w:i/>
          <w:iCs/>
          <w:color w:val="000000"/>
          <w:sz w:val="20"/>
          <w:szCs w:val="20"/>
        </w:rPr>
        <w:t>Dalbergia sissoo</w:t>
      </w:r>
      <w:r w:rsidR="00180921" w:rsidRPr="001A7494">
        <w:rPr>
          <w:rFonts w:ascii="Arial" w:eastAsia="Times New Roman" w:hAnsi="Arial" w:cs="Arial"/>
          <w:color w:val="000000"/>
          <w:sz w:val="20"/>
          <w:szCs w:val="20"/>
        </w:rPr>
        <w:t xml:space="preserve"> trunk exudates have shown suppressed nitric oxide production in LPS-stimulated J774.1 cells </w:t>
      </w:r>
      <w:r w:rsidR="00180921" w:rsidRPr="001A7494">
        <w:rPr>
          <w:rFonts w:ascii="Arial" w:eastAsia="Times New Roman" w:hAnsi="Arial" w:cs="Arial"/>
          <w:color w:val="000000"/>
          <w:sz w:val="20"/>
          <w:szCs w:val="20"/>
        </w:rPr>
        <w:fldChar w:fldCharType="begin"/>
      </w:r>
      <w:r w:rsidR="00180921" w:rsidRPr="001A7494">
        <w:rPr>
          <w:rFonts w:ascii="Arial" w:eastAsia="Times New Roman" w:hAnsi="Arial" w:cs="Arial"/>
          <w:color w:val="000000"/>
          <w:sz w:val="20"/>
          <w:szCs w:val="20"/>
        </w:rPr>
        <w:instrText xml:space="preserve"> ADDIN ZOTERO_ITEM CSL_CITATION {"citationID":"lnqLIwyi","properties":{"unsorted":false,"formattedCitation":"(Shrestha et al., 2008)","plainCitation":"(Shrestha et al., 2008)","noteIndex":0},"citationItems":[{"id":4701,"uris":["http://zotero.org/users/10343621/items/JRWZNALX"],"itemData":{"id":4701,"type":"article-journal","abstract":"Methanolic extracts of trunk exudates of Dalbergia sissoo yielded two new open-chain neoflavonoids (1, 2), a new flavonoid (3), a new flavanone (4), and 26 known compounds. Their structures were elucidated by detailed spectroscopic analyses. The ability of the isolated compounds to prevent nitric oxide (NO) production by LPS-stimulated J774.1 cells was also studied. All of the isolated compounds except 4, formononetin, and zenognosin B exhibited significant activity in a concentration-dependent manner. Compounds 2 and 3 were among the most potent NO production inhibitors, with IC50 values of 3.19 and 6.22 µM, respectively, and compound 1 had an IC50 of 31.6 µM.","container-title":"Journal of Natural Products","DOI":"10.1021/np070478h","ISSN":"0163-3864","issue":"1","journalAbbreviation":"J. Nat. Prod.","page":"98-101","publisher":"American Chemical Society","source":"ACS Publications","title":"Nitric Oxide Production Inhibitory Activity of Flavonoids Contained in Trunk Exudates of Dalbergia sissoo","volume":"71","author":[{"family":"Shrestha","given":"Suraj Prakash"},{"family":"Amano","given":"Yuri"},{"family":"Narukawa","given":"Yuji"},{"family":"Takeda","given":"Tadahiro"}],"issued":{"date-parts":[["2008",1,1]]}}}],"schema":"https://github.com/citation-style-language/schema/raw/master/csl-citation.json"} </w:instrText>
      </w:r>
      <w:r w:rsidR="00180921" w:rsidRPr="001A7494">
        <w:rPr>
          <w:rFonts w:ascii="Arial" w:eastAsia="Times New Roman" w:hAnsi="Arial" w:cs="Arial"/>
          <w:color w:val="000000"/>
          <w:sz w:val="20"/>
          <w:szCs w:val="20"/>
        </w:rPr>
        <w:fldChar w:fldCharType="separate"/>
      </w:r>
      <w:r w:rsidR="00F964F1" w:rsidRPr="00F964F1">
        <w:rPr>
          <w:rFonts w:ascii="Arial" w:hAnsi="Arial" w:cs="Arial"/>
          <w:sz w:val="20"/>
        </w:rPr>
        <w:t>(Shrestha et al., 2008)</w:t>
      </w:r>
      <w:r w:rsidR="00180921" w:rsidRPr="001A7494">
        <w:rPr>
          <w:rFonts w:ascii="Arial" w:eastAsia="Times New Roman" w:hAnsi="Arial" w:cs="Arial"/>
          <w:color w:val="000000"/>
          <w:sz w:val="20"/>
          <w:szCs w:val="20"/>
        </w:rPr>
        <w:fldChar w:fldCharType="end"/>
      </w:r>
      <w:r w:rsidR="00180921" w:rsidRPr="001A7494">
        <w:rPr>
          <w:rFonts w:ascii="Arial" w:eastAsia="Times New Roman" w:hAnsi="Arial" w:cs="Arial"/>
          <w:color w:val="000000"/>
          <w:sz w:val="20"/>
          <w:szCs w:val="20"/>
        </w:rPr>
        <w:t xml:space="preserve">. Similarly, recent studies on newly isolated neoflavonoids and flavonoid derivatives from roots and heartwood </w:t>
      </w:r>
      <w:r w:rsidR="00180921" w:rsidRPr="001A7494">
        <w:rPr>
          <w:rFonts w:ascii="Arial" w:eastAsia="Times New Roman" w:hAnsi="Arial" w:cs="Arial"/>
          <w:i/>
          <w:iCs/>
          <w:color w:val="000000"/>
          <w:sz w:val="20"/>
          <w:szCs w:val="20"/>
        </w:rPr>
        <w:t>Dalbergia odorifera</w:t>
      </w:r>
      <w:r w:rsidR="00180921" w:rsidRPr="001A7494">
        <w:rPr>
          <w:rFonts w:ascii="Arial" w:eastAsia="Times New Roman" w:hAnsi="Arial" w:cs="Arial"/>
          <w:color w:val="000000"/>
          <w:sz w:val="20"/>
          <w:szCs w:val="20"/>
        </w:rPr>
        <w:t xml:space="preserve"> have also shown strong inhibition of nitric oxide production in LPS-induced RAW 264.7 macrophages models. </w:t>
      </w:r>
      <w:r w:rsidR="00180921" w:rsidRPr="001A7494">
        <w:rPr>
          <w:rFonts w:ascii="Arial" w:eastAsia="Times New Roman" w:hAnsi="Arial" w:cs="Arial"/>
          <w:color w:val="000000"/>
          <w:sz w:val="20"/>
          <w:szCs w:val="20"/>
        </w:rPr>
        <w:fldChar w:fldCharType="begin"/>
      </w:r>
      <w:r w:rsidR="00037428" w:rsidRPr="001A7494">
        <w:rPr>
          <w:rFonts w:ascii="Arial" w:eastAsia="Times New Roman" w:hAnsi="Arial" w:cs="Arial"/>
          <w:color w:val="000000"/>
          <w:sz w:val="20"/>
          <w:szCs w:val="20"/>
        </w:rPr>
        <w:instrText xml:space="preserve"> ADDIN ZOTERO_ITEM CSL_CITATION {"citationID":"JSLnvu9m","properties":{"unsorted":false,"formattedCitation":"(Wu et al., 2025; W. Xu et al., 2026)","plainCitation":"(Wu et al., 2025; W. Xu et al., 2026)","noteIndex":0},"citationItems":[{"id":4700,"uris":["http://zotero.org/users/10343621/items/RNWH93I5"],"itemData":{"id":4700,"type":"article-journal","abstract":"Three novel flavonoid derivatives, named dalberavonoids A–C (1–3), were isolated from the roots of Dalbergia odorifera T. C. Chen. The structures of these flavonoid derivatives were determined by comprehensive spectroscopic analyses. Compounds 1 and 2 represent rare examples of isopentenyl-substituted flavanes from the genus Dalbergia. Compound 3 is a rare flavonoid containing 16 carbon atoms on the carbon skeleton. The inhibitory activities of dalberavonoids A–C against the nitric oxide (NO) production induced by lipopolysaccharide in mouse macrophage RAW 264.7 cells in vitro were evaluated. Compounds 1 and 2 exhibited significant inhibitory activities, possessing the minimum inhibitory concentration (IC50) values of 9.13 ± 0.11 and 12.58 ± 0.14 µM. The positive control, indometacin, displayed an inhibitory activity against NO production with an IC50 value of 23.86 ± 0.08 µM.","container-title":"Chemistry &amp; Biodiversity","DOI":"10.1002/cbdv.202501535","ISSN":"1612-1880","issue":"10","language":"en","license":"© 2025 Wiley-VHCA AG, Zurich, Switzerland","note":"_eprint: https://onlinelibrary.wiley.com/doi/pdf/10.1002/cbdv.202501535","page":"e01535","source":"Wiley Online Library","title":"Three Novel Flavonoid Derivatives From the Roots of Dalbergia odorifera","volume":"22","author":[{"family":"Wu","given":"Wen-Yi"},{"family":"Chen","given":"Hong-Jie"},{"family":"Cheng","given":"Hong-Ling"},{"family":"Zhu","given":"Zheng-Tian"},{"family":"Wan","given":"Jie"},{"family":"Yi","given":"Ji-Ling"},{"family":"Zhou","given":"Xue-Ming"}],"issued":{"date-parts":[["2025"]]}}},{"id":4703,"uris":["http://zotero.org/users/10343621/items/S355E6U7"],"itemData":{"id":4703,"type":"article-journal","abstract":"Twelve previously unreported compounds, including five pairs of enantiomeric benzofuran and flavonoid derivatives (1–5), along with one benzofuran (6) and one triterpenoid (7), were isolated from the heartwood of Dalbergia odorifera (Fabaceae). Their structures and absolute configurations were elucidated by comprehensive spectroscopic analysis (UV, IR, ESI-MS, NMR) combined with ACD/Structure Elucidator, NMR and ECD calculations. Structurally, compound 1 featured a unique spiro[4,4] skeleton. Compound 2 possessed a rare 6/5/5 tricyclic system containing a 1-methyl-2,7-dioxabicyclo[3.2.1]octan-6-one moiety. Plausible biosynthetic pathways of compounds 1 and 2 were proposed. Seven compounds (1a, 2a, 2b, 4a, 4b, 6 and 7) significantly inhibited NO production in LPS-induced RAW264.7 cells, with IC50 values ranging from 6.3 to 19.9 μM. Notably, compound 7 exhibited the best inhibitory activity with an IC50 value of 6.3 μM.","container-title":"Phytochemistry","DOI":"10.1016/j.phytochem.2026.114837","ISSN":"0031-9422","journalAbbreviation":"Phytochemistry","page":"114837","source":"ScienceDirect","title":"(±)-odoriferols A–E, five pairs of enantiomeric flavonoids and benzofurans from &lt;i&gt;Dalbergia odorifera&lt;/i&gt; with anti-inflammatory activity","volume":"247","author":[{"family":"Xu","given":"Weixin"},{"family":"Zhu","given":"Qing"},{"family":"Wang","given":"Mengfei"},{"family":"Li","given":"Jiarong"},{"family":"Dai","given":"Xing"},{"family":"Meng","given":"Xiaowei"},{"family":"Zhang","given":"Ni"},{"family":"Liu","given":"Yinju"},{"family":"Chen","given":"Lanying"},{"family":"Liu","given":"Ronghua"}],"issued":{"date-parts":[["2026",7,1]]}}}],"schema":"https://github.com/citation-style-language/schema/raw/master/csl-citation.json"} </w:instrText>
      </w:r>
      <w:r w:rsidR="00180921" w:rsidRPr="001A7494">
        <w:rPr>
          <w:rFonts w:ascii="Arial" w:eastAsia="Times New Roman" w:hAnsi="Arial" w:cs="Arial"/>
          <w:color w:val="000000"/>
          <w:sz w:val="20"/>
          <w:szCs w:val="20"/>
        </w:rPr>
        <w:fldChar w:fldCharType="separate"/>
      </w:r>
      <w:r w:rsidR="00F964F1" w:rsidRPr="00F964F1">
        <w:rPr>
          <w:rFonts w:ascii="Arial" w:hAnsi="Arial" w:cs="Arial"/>
          <w:sz w:val="20"/>
        </w:rPr>
        <w:t>(Wu et al., 2025; W. Xu et al., 2026)</w:t>
      </w:r>
      <w:r w:rsidR="00180921" w:rsidRPr="001A7494">
        <w:rPr>
          <w:rFonts w:ascii="Arial" w:eastAsia="Times New Roman" w:hAnsi="Arial" w:cs="Arial"/>
          <w:color w:val="000000"/>
          <w:sz w:val="20"/>
          <w:szCs w:val="20"/>
        </w:rPr>
        <w:fldChar w:fldCharType="end"/>
      </w:r>
      <w:r w:rsidR="00180921" w:rsidRPr="001A7494">
        <w:rPr>
          <w:rFonts w:ascii="Arial" w:eastAsia="Times New Roman" w:hAnsi="Arial" w:cs="Arial"/>
          <w:color w:val="000000"/>
          <w:sz w:val="20"/>
          <w:szCs w:val="20"/>
        </w:rPr>
        <w:t xml:space="preserve">. In addition, latifolin, has shown antioxidant activity in skin cell models by reducing ROS accumulation and modulating the stress- related MAPK signalling. It also suppressed TNF-α/IFN-γ-induced inflammatory mediators through regulation of the JAK/STAT and NF-κB signaling pathways </w:t>
      </w:r>
      <w:r w:rsidR="00180921" w:rsidRPr="001A7494">
        <w:rPr>
          <w:rFonts w:ascii="Arial" w:eastAsia="Times New Roman" w:hAnsi="Arial" w:cs="Arial"/>
          <w:color w:val="000000"/>
          <w:sz w:val="20"/>
          <w:szCs w:val="20"/>
        </w:rPr>
        <w:fldChar w:fldCharType="begin"/>
      </w:r>
      <w:r w:rsidR="00180921" w:rsidRPr="001A7494">
        <w:rPr>
          <w:rFonts w:ascii="Arial" w:eastAsia="Times New Roman" w:hAnsi="Arial" w:cs="Arial"/>
          <w:color w:val="000000"/>
          <w:sz w:val="20"/>
          <w:szCs w:val="20"/>
        </w:rPr>
        <w:instrText xml:space="preserve"> ADDIN ZOTERO_ITEM CSL_CITATION {"citationID":"itdR2OQD","properties":{"unsorted":false,"formattedCitation":"(Dong et al., 2023)","plainCitation":"(Dong et al., 2023)","noteIndex":0},"citationItems":[{"id":4704,"uris":["http://zotero.org/users/10343621/items/D393W9YQ"],"itemData":{"id":4704,"type":"article-journal","abstract":"Skin is the first line of defense in the body against external stimulation and injury. Inflammation and oxidative stress in skin cells are the initiators and promoters of several skin diseases. Latifolin is a natural flavonoid isolated from Dalbergia odorifera T. Chen. This study aimed to evaluate the anti-inflammatory and antioxidant properties of latifolin. The anti-inflammatory effects were evaluated using tumor necrosis factor-α/interferon-γ (TNF-α/IFN-γ)-treated HaCaT cells, revealing that latifolin inhibited the secretion of Interleukin 6 (IL-6); Interleukin 8 (IL-8); Regulated upon Activation, Normal T Cell Expressed and Presumably Secreted (RANTES); and Macrophage-derived chemokine (MDC) while decreasing the expression of Intercellular Adhesion Molecule 1 (ICAM-1). The results of western blots and immunofluorescence demonstrated that the activation of Janus kinase 2 (JAK2), Signal transducer and activator of transcription 1 (STAT1), Signal transducer and activator of transcription 3 (STAT3), and nuclear factor kappa-light-chain-enhancer of activated B (NF-κB) cells signaling pathways were significantly inhibited by latifolin. The antioxidant properties were evaluated using t-BHP-induced BJ-5ta cells. Latifolin increased the viability of t-BHP-induced BJ-5ta cells. Additionally, fluorescent staining of reactive oxygen species (ROS) showed that the production of ROS was inhibited by latifolin. Additionally, latifolin reduced the phosphorylation of p38 and JNK. The results indicate that latifolin has potential anti-inflammatory and antioxidant properties, and may be a candidate natural compound for the treatment of skin diseases.","container-title":"International Journal of Molecular Sciences","DOI":"10.3390/ijms24087371","ISSN":"1422-0067","issue":"8","language":"en","license":"http://creativecommons.org/licenses/by/3.0/","page":"7371","publisher":"Multidisciplinary Digital Publishing Institute","source":"www.mdpi.com","title":"Anti-Skin Inflammatory and Anti-Oxidative Effects of the Neoflavonoid Latifolin Isolated from Dalbergia odorifera in HaCaT and BJ-5ta Cells","volume":"24","author":[{"family":"Dong","given":"Linsha"},{"family":"Lee","given":"Hwan"},{"family":"Liu","given":"Zhiming"},{"family":"Lee","given":"Dong-Sung"}],"issued":{"date-parts":[["2023",1]]}}}],"schema":"https://github.com/citation-style-language/schema/raw/master/csl-citation.json"} </w:instrText>
      </w:r>
      <w:r w:rsidR="00180921" w:rsidRPr="001A7494">
        <w:rPr>
          <w:rFonts w:ascii="Arial" w:eastAsia="Times New Roman" w:hAnsi="Arial" w:cs="Arial"/>
          <w:color w:val="000000"/>
          <w:sz w:val="20"/>
          <w:szCs w:val="20"/>
        </w:rPr>
        <w:fldChar w:fldCharType="separate"/>
      </w:r>
      <w:r w:rsidR="00F964F1" w:rsidRPr="00F964F1">
        <w:rPr>
          <w:rFonts w:ascii="Arial" w:hAnsi="Arial" w:cs="Arial"/>
          <w:sz w:val="20"/>
        </w:rPr>
        <w:t>(Dong et al., 2023)</w:t>
      </w:r>
      <w:r w:rsidR="00180921" w:rsidRPr="001A7494">
        <w:rPr>
          <w:rFonts w:ascii="Arial" w:eastAsia="Times New Roman" w:hAnsi="Arial" w:cs="Arial"/>
          <w:color w:val="000000"/>
          <w:sz w:val="20"/>
          <w:szCs w:val="20"/>
        </w:rPr>
        <w:fldChar w:fldCharType="end"/>
      </w:r>
    </w:p>
    <w:p w14:paraId="278C2F3A" w14:textId="45EC0BF9" w:rsidR="006A2AB8" w:rsidRPr="001A7494" w:rsidRDefault="006A2AB8" w:rsidP="009A4760">
      <w:pPr>
        <w:spacing w:line="360" w:lineRule="auto"/>
        <w:jc w:val="both"/>
        <w:rPr>
          <w:rFonts w:ascii="Arial" w:eastAsia="Times New Roman" w:hAnsi="Arial" w:cs="Arial"/>
          <w:sz w:val="20"/>
          <w:szCs w:val="20"/>
          <w:lang w:val="en-GB"/>
        </w:rPr>
      </w:pPr>
      <w:r w:rsidRPr="001A7494">
        <w:rPr>
          <w:rFonts w:ascii="Arial" w:eastAsia="Times New Roman" w:hAnsi="Arial" w:cs="Arial"/>
          <w:sz w:val="20"/>
          <w:szCs w:val="20"/>
          <w:lang w:val="en-GB"/>
        </w:rPr>
        <w:t xml:space="preserve"> Most of these studies</w:t>
      </w:r>
      <w:r w:rsidR="00180921" w:rsidRPr="001A7494">
        <w:rPr>
          <w:rFonts w:ascii="Arial" w:eastAsia="Times New Roman" w:hAnsi="Arial" w:cs="Arial"/>
          <w:sz w:val="20"/>
          <w:szCs w:val="20"/>
          <w:lang w:val="en-GB"/>
        </w:rPr>
        <w:t xml:space="preserve">, </w:t>
      </w:r>
      <w:r w:rsidR="00180921" w:rsidRPr="001A7494">
        <w:rPr>
          <w:rFonts w:ascii="Arial" w:eastAsia="Times New Roman" w:hAnsi="Arial" w:cs="Arial"/>
          <w:color w:val="000000"/>
          <w:sz w:val="20"/>
          <w:szCs w:val="20"/>
        </w:rPr>
        <w:t>as evident form literature,</w:t>
      </w:r>
      <w:r w:rsidRPr="001A7494">
        <w:rPr>
          <w:rFonts w:ascii="Arial" w:eastAsia="Times New Roman" w:hAnsi="Arial" w:cs="Arial"/>
          <w:sz w:val="20"/>
          <w:szCs w:val="20"/>
          <w:lang w:val="en-GB"/>
        </w:rPr>
        <w:t xml:space="preserve"> have focused on isolated plant parts, with limited or no comparison across its parts. It is well known that phytochemicals are variably distributed across different </w:t>
      </w:r>
      <w:r w:rsidRPr="001A7494">
        <w:rPr>
          <w:rFonts w:ascii="Arial" w:eastAsia="Times New Roman" w:hAnsi="Arial" w:cs="Arial"/>
          <w:sz w:val="20"/>
          <w:szCs w:val="20"/>
          <w:lang w:val="en-GB"/>
        </w:rPr>
        <w:lastRenderedPageBreak/>
        <w:t>tissues, which influences their biological activity and subsequent utilization. Leaves, bark, and stem tissues often differ in their composition of phenolics, flavonoids, and other secondary metabolites, leading to variation in antioxidant capacity</w:t>
      </w:r>
      <w:r w:rsidR="009A4760" w:rsidRPr="001A7494">
        <w:rPr>
          <w:rFonts w:ascii="Arial" w:eastAsia="Times New Roman" w:hAnsi="Arial" w:cs="Arial"/>
          <w:sz w:val="20"/>
          <w:szCs w:val="20"/>
          <w:lang w:val="en-GB"/>
        </w:rPr>
        <w:t xml:space="preserve"> </w:t>
      </w:r>
      <w:r w:rsidR="00A76FCB" w:rsidRPr="001A7494">
        <w:rPr>
          <w:rFonts w:ascii="Arial" w:eastAsia="Times New Roman" w:hAnsi="Arial" w:cs="Arial"/>
          <w:sz w:val="20"/>
          <w:szCs w:val="20"/>
          <w:lang w:val="en-GB"/>
        </w:rPr>
        <w:fldChar w:fldCharType="begin"/>
      </w:r>
      <w:r w:rsidR="00A76FCB" w:rsidRPr="001A7494">
        <w:rPr>
          <w:rFonts w:ascii="Arial" w:eastAsia="Times New Roman" w:hAnsi="Arial" w:cs="Arial"/>
          <w:sz w:val="20"/>
          <w:szCs w:val="20"/>
          <w:lang w:val="en-GB"/>
        </w:rPr>
        <w:instrText xml:space="preserve"> ADDIN ZOTERO_ITEM CSL_CITATION {"citationID":"pAF61sSb","properties":{"formattedCitation":"(Drabi\\uc0\\u324{}ska et al., 2021; Lavola et al., 2017)","plainCitation":"(Drabińska et al., 2021; Lavola et al., 2017)","noteIndex":0},"citationItems":[{"id":4693,"uris":["http://zotero.org/users/10343621/items/25S89IGM"],"itemData":{"id":4693,"type":"article-journal","abstract":"Vegetables from the Brassicaceae family are excellent sources of bioactive phytochemicals and may reduce the risk of chronic diseases. Variation of ph...","container-title":"Antioxidants","DOI":"10.3390/antiox10101597","ISSN":"2076-3921","issue":"10","language":"en","license":"http://creativecommons.org/licenses/by/3.0/","publisher":"Multidisciplinary Digital Publishing Institute","source":"www.mdpi.com","title":"Variation in the Accumulation of Phytochemicals and Their Bioactive Properties among the Aerial Parts of Cauliflower","URL":"https://www.mdpi.com/2076-3921/10/10/1597","volume":"10","author":[{"family":"Drabińska","given":"Natalia"},{"family":"Jeż","given":"Maja"},{"family":"Nogueira","given":"Mariana"}],"accessed":{"date-parts":[["2026",5,13]]},"issued":{"date-parts":[["2021",10,12]]}}},{"id":4692,"uris":["http://zotero.org/users/10343621/items/WACJAMBY"],"itemData":{"id":4692,"type":"article-journal","abstract":"The phytochemical content in plants can develop variably according to e.g. the microclimate and the soil conditions of the habitat. The evergreen dwarf shrub species Empetrum sp. occur widely in the northern hemisphere, where it is suggested to have its ecological contribution to the growth environment by a chemical interference with high constitutive levels of phenolic metabolites. We determined by HPLC and UHPLC-qtof-MS the individual phenolic compounds of fruits, leaves, stems and roots in Empetrum hermaphroditum plants growing on three different lake districts and under differing microclimate and soil conditions in order to find out natural, habitat related differences in the accumulation of phenols among the populations. The phytochemical content in E. hermaphroditum turned out to be diverse, plant-part specific and to vary a lot among the populations. Anthocyanins and flavanols were the most abundant phenolic compounds of fruits. Of the thirty eight compounds identified in leaves, stilbenoids were quantitatively in the majority but also a flavanone, pinocembrin was found in high quantities in some populations. Stems and roots contained mainly catechins, procyanidins and proanthocyanidins. Despite of the plant-part and habitat specific variation, some groupings of populations could be formed according to their phenolic constituents by PCA.","collection-title":"Critical Assessment of Small Molecules Identification 2016","container-title":"Phytochemistry Letters","DOI":"10.1016/j.phytol.2017.05.016","ISSN":"1874-3900","journalAbbreviation":"Phytochemistry Letters","page":"11-20","source":"ScienceDirect","title":"Phytochemical variation in the plant-part specific phenols of wild crowberry (&lt;i&gt;Empetrum hermaphroditum&lt;/i&gt; Hagerup) populations","volume":"21","author":[{"family":"Lavola","given":"Anu"},{"family":"Salonen","given":"Anneli"},{"family":"Virjamo","given":"Virpi"},{"family":"Julkunen-Tiitto","given":"Riitta"}],"issued":{"date-parts":[["2017",9,1]]}}}],"schema":"https://github.com/citation-style-language/schema/raw/master/csl-citation.json"} </w:instrText>
      </w:r>
      <w:r w:rsidR="00A76FCB" w:rsidRPr="001A7494">
        <w:rPr>
          <w:rFonts w:ascii="Arial" w:eastAsia="Times New Roman" w:hAnsi="Arial" w:cs="Arial"/>
          <w:sz w:val="20"/>
          <w:szCs w:val="20"/>
          <w:lang w:val="en-GB"/>
        </w:rPr>
        <w:fldChar w:fldCharType="separate"/>
      </w:r>
      <w:r w:rsidR="00F964F1" w:rsidRPr="00F964F1">
        <w:rPr>
          <w:rFonts w:ascii="Arial" w:hAnsi="Arial" w:cs="Arial"/>
          <w:sz w:val="20"/>
        </w:rPr>
        <w:t>(Drabińska et al., 2021; Lavola et al., 2017)</w:t>
      </w:r>
      <w:r w:rsidR="00A76FCB" w:rsidRPr="001A7494">
        <w:rPr>
          <w:rFonts w:ascii="Arial" w:eastAsia="Times New Roman" w:hAnsi="Arial" w:cs="Arial"/>
          <w:sz w:val="20"/>
          <w:szCs w:val="20"/>
          <w:lang w:val="en-GB"/>
        </w:rPr>
        <w:fldChar w:fldCharType="end"/>
      </w:r>
      <w:r w:rsidRPr="001A7494">
        <w:rPr>
          <w:rFonts w:ascii="Arial" w:eastAsia="Times New Roman" w:hAnsi="Arial" w:cs="Arial"/>
          <w:sz w:val="20"/>
          <w:szCs w:val="20"/>
          <w:lang w:val="en-GB"/>
        </w:rPr>
        <w:t>.</w:t>
      </w:r>
    </w:p>
    <w:p w14:paraId="47FC948B" w14:textId="570EC91F" w:rsidR="006A2AB8" w:rsidRPr="001A7494" w:rsidRDefault="00180921" w:rsidP="009A4760">
      <w:pPr>
        <w:spacing w:line="360" w:lineRule="auto"/>
        <w:jc w:val="both"/>
        <w:rPr>
          <w:rFonts w:ascii="Arial" w:eastAsia="Times New Roman" w:hAnsi="Arial" w:cs="Arial"/>
          <w:sz w:val="20"/>
          <w:szCs w:val="20"/>
          <w:lang w:val="en-GB"/>
        </w:rPr>
      </w:pPr>
      <w:r w:rsidRPr="001A7494">
        <w:rPr>
          <w:rFonts w:ascii="Arial" w:eastAsia="Times New Roman" w:hAnsi="Arial" w:cs="Arial"/>
          <w:color w:val="000000"/>
          <w:sz w:val="20"/>
          <w:szCs w:val="20"/>
        </w:rPr>
        <w:t xml:space="preserve">The leaf, bark, and stem extracts of </w:t>
      </w:r>
      <w:r w:rsidRPr="001A7494">
        <w:rPr>
          <w:rFonts w:ascii="Arial" w:eastAsia="Times New Roman" w:hAnsi="Arial" w:cs="Arial"/>
          <w:i/>
          <w:iCs/>
          <w:color w:val="000000"/>
          <w:sz w:val="20"/>
          <w:szCs w:val="20"/>
        </w:rPr>
        <w:t xml:space="preserve">D. latifolia </w:t>
      </w:r>
      <w:r w:rsidRPr="001A7494">
        <w:rPr>
          <w:rFonts w:ascii="Arial" w:eastAsia="Times New Roman" w:hAnsi="Arial" w:cs="Arial"/>
          <w:color w:val="000000"/>
          <w:sz w:val="20"/>
          <w:szCs w:val="20"/>
        </w:rPr>
        <w:t xml:space="preserve">were predicted to have diverse phytochemical profiles and antioxidant responses across assay platforms based on the tissue-specific distribution of secondary metabolites. </w:t>
      </w:r>
      <w:r w:rsidR="006A2AB8" w:rsidRPr="001A7494">
        <w:rPr>
          <w:rFonts w:ascii="Arial" w:eastAsia="Times New Roman" w:hAnsi="Arial" w:cs="Arial"/>
          <w:sz w:val="20"/>
          <w:szCs w:val="20"/>
          <w:lang w:val="en-GB"/>
        </w:rPr>
        <w:t xml:space="preserve">The present study, therefore, aims to comparatively assess the phytochemical profile and in vitro antioxidant potential of leaf, bark, and stem extracts of </w:t>
      </w:r>
      <w:r w:rsidR="006A2AB8" w:rsidRPr="001A7494">
        <w:rPr>
          <w:rFonts w:ascii="Arial" w:eastAsia="Times New Roman" w:hAnsi="Arial" w:cs="Arial"/>
          <w:i/>
          <w:iCs/>
          <w:sz w:val="20"/>
          <w:szCs w:val="20"/>
          <w:lang w:val="en-GB"/>
        </w:rPr>
        <w:t>Dalbergia latifolia</w:t>
      </w:r>
      <w:r w:rsidR="006A2AB8" w:rsidRPr="001A7494">
        <w:rPr>
          <w:rFonts w:ascii="Arial" w:eastAsia="Times New Roman" w:hAnsi="Arial" w:cs="Arial"/>
          <w:sz w:val="20"/>
          <w:szCs w:val="20"/>
          <w:lang w:val="en-GB"/>
        </w:rPr>
        <w:t>. By evaluating these parts using multiple antioxidant assays, the study seeks to gain a better understanding of its applicability as a source of natural antioxidants.</w:t>
      </w:r>
    </w:p>
    <w:p w14:paraId="41193D8D" w14:textId="77777777" w:rsidR="00765C7C" w:rsidRPr="001A7494" w:rsidRDefault="00765C7C" w:rsidP="009A4760">
      <w:pPr>
        <w:spacing w:after="120" w:line="360" w:lineRule="auto"/>
        <w:jc w:val="both"/>
        <w:rPr>
          <w:rFonts w:ascii="Arial" w:eastAsia="Times New Roman" w:hAnsi="Arial" w:cs="Arial"/>
          <w:b/>
          <w:bCs/>
          <w:sz w:val="20"/>
          <w:szCs w:val="20"/>
        </w:rPr>
      </w:pPr>
    </w:p>
    <w:p w14:paraId="47D4D948" w14:textId="289A18FD" w:rsidR="006D7293" w:rsidRPr="006D7293" w:rsidRDefault="00000000" w:rsidP="001652E5">
      <w:pPr>
        <w:pStyle w:val="ListParagraph"/>
        <w:numPr>
          <w:ilvl w:val="0"/>
          <w:numId w:val="3"/>
        </w:numPr>
        <w:spacing w:before="240" w:after="240" w:line="360" w:lineRule="auto"/>
        <w:ind w:left="357" w:hanging="357"/>
        <w:contextualSpacing w:val="0"/>
        <w:jc w:val="both"/>
        <w:rPr>
          <w:rFonts w:ascii="Arial" w:eastAsia="Times New Roman" w:hAnsi="Arial" w:cs="Arial"/>
          <w:b/>
          <w:bCs/>
        </w:rPr>
      </w:pPr>
      <w:r w:rsidRPr="001A7494">
        <w:rPr>
          <w:rFonts w:ascii="Arial" w:eastAsia="Times New Roman" w:hAnsi="Arial" w:cs="Arial"/>
          <w:b/>
          <w:bCs/>
        </w:rPr>
        <w:t>MATERIALS AND METHODS</w:t>
      </w:r>
      <w:r w:rsidR="001A7494">
        <w:rPr>
          <w:rFonts w:ascii="Arial" w:eastAsia="Times New Roman" w:hAnsi="Arial" w:cs="Arial"/>
          <w:b/>
          <w:bCs/>
        </w:rPr>
        <w:t>.</w:t>
      </w:r>
    </w:p>
    <w:p w14:paraId="1220D2C3" w14:textId="77777777" w:rsidR="006D7293" w:rsidRPr="006D7293" w:rsidRDefault="00000000" w:rsidP="001652E5">
      <w:pPr>
        <w:pStyle w:val="ListParagraph"/>
        <w:numPr>
          <w:ilvl w:val="1"/>
          <w:numId w:val="3"/>
        </w:numPr>
        <w:spacing w:before="240" w:after="120" w:line="360" w:lineRule="auto"/>
        <w:contextualSpacing w:val="0"/>
        <w:jc w:val="both"/>
        <w:rPr>
          <w:rFonts w:ascii="Arial" w:eastAsia="Times New Roman" w:hAnsi="Arial" w:cs="Arial"/>
          <w:b/>
          <w:bCs/>
        </w:rPr>
      </w:pPr>
      <w:r w:rsidRPr="007121CA">
        <w:rPr>
          <w:rFonts w:ascii="Arial" w:eastAsia="Times New Roman" w:hAnsi="Arial" w:cs="Arial"/>
          <w:b/>
          <w:bCs/>
          <w:sz w:val="20"/>
          <w:szCs w:val="20"/>
        </w:rPr>
        <w:t>Chemicals and Reagents</w:t>
      </w:r>
      <w:r w:rsidR="007121CA" w:rsidRPr="007121CA">
        <w:rPr>
          <w:rFonts w:ascii="Arial" w:eastAsia="Times New Roman" w:hAnsi="Arial" w:cs="Arial"/>
          <w:b/>
          <w:bCs/>
          <w:sz w:val="20"/>
          <w:szCs w:val="20"/>
        </w:rPr>
        <w:t>.</w:t>
      </w:r>
    </w:p>
    <w:p w14:paraId="14F565B8" w14:textId="65373609" w:rsidR="007121CA" w:rsidRPr="006D7293" w:rsidRDefault="00F83549" w:rsidP="001652E5">
      <w:pPr>
        <w:pStyle w:val="ListParagraph"/>
        <w:spacing w:after="240" w:line="360" w:lineRule="auto"/>
        <w:ind w:left="0"/>
        <w:contextualSpacing w:val="0"/>
        <w:jc w:val="both"/>
        <w:rPr>
          <w:rFonts w:ascii="Arial" w:eastAsia="Times New Roman" w:hAnsi="Arial" w:cs="Arial"/>
          <w:b/>
          <w:bCs/>
        </w:rPr>
      </w:pPr>
      <w:r w:rsidRPr="006D7293">
        <w:rPr>
          <w:rFonts w:ascii="Arial" w:eastAsia="Times New Roman" w:hAnsi="Arial" w:cs="Arial"/>
          <w:sz w:val="20"/>
          <w:szCs w:val="20"/>
        </w:rPr>
        <w:t>Sisco Research Laboratories branded 2,2'-azino-bis(3-ethylbenzothiazoline-6-sulfonic acid) (ABTS) and 2,2-diphenyl-1-picrylhydrazyl (DPPH) was used. Every solvent used in phytochemical screening, including petroleum ether, ethanol, methanol, and ethyl acetate, was AR grade. Gallic acid, Trolox, and butylated hydroxy toluene (BHT) were acquired from Merck, while standard quercetin dihydrate (98%) was acquired from SDFCL. SRL or Merck was used to purchase all other common reagents that weren't specified.</w:t>
      </w:r>
    </w:p>
    <w:p w14:paraId="55EB8174" w14:textId="77777777" w:rsidR="006D7293" w:rsidRPr="006D7293" w:rsidRDefault="00000000" w:rsidP="001652E5">
      <w:pPr>
        <w:pStyle w:val="ListParagraph"/>
        <w:numPr>
          <w:ilvl w:val="1"/>
          <w:numId w:val="3"/>
        </w:numPr>
        <w:spacing w:before="240" w:after="120" w:line="360" w:lineRule="auto"/>
        <w:contextualSpacing w:val="0"/>
        <w:jc w:val="both"/>
        <w:rPr>
          <w:rFonts w:ascii="Arial" w:eastAsia="Times New Roman" w:hAnsi="Arial" w:cs="Arial"/>
          <w:b/>
          <w:bCs/>
        </w:rPr>
      </w:pPr>
      <w:r w:rsidRPr="007121CA">
        <w:rPr>
          <w:rFonts w:ascii="Arial" w:eastAsia="Times New Roman" w:hAnsi="Arial" w:cs="Arial"/>
          <w:b/>
          <w:bCs/>
          <w:sz w:val="20"/>
          <w:szCs w:val="20"/>
        </w:rPr>
        <w:t>Plant Collection and Identification</w:t>
      </w:r>
      <w:r w:rsidR="007121CA" w:rsidRPr="007121CA">
        <w:rPr>
          <w:rFonts w:ascii="Arial" w:eastAsia="Times New Roman" w:hAnsi="Arial" w:cs="Arial"/>
          <w:b/>
          <w:bCs/>
          <w:sz w:val="20"/>
          <w:szCs w:val="20"/>
        </w:rPr>
        <w:t xml:space="preserve">. </w:t>
      </w:r>
    </w:p>
    <w:p w14:paraId="6D6EFDAB" w14:textId="10422E00" w:rsidR="007121CA" w:rsidRPr="007121CA" w:rsidRDefault="00000000" w:rsidP="001652E5">
      <w:pPr>
        <w:pStyle w:val="ListParagraph"/>
        <w:spacing w:after="240" w:line="360" w:lineRule="auto"/>
        <w:ind w:left="0"/>
        <w:contextualSpacing w:val="0"/>
        <w:jc w:val="both"/>
        <w:rPr>
          <w:rFonts w:ascii="Arial" w:eastAsia="Times New Roman" w:hAnsi="Arial" w:cs="Arial"/>
          <w:b/>
          <w:bCs/>
        </w:rPr>
      </w:pPr>
      <w:r w:rsidRPr="007121CA">
        <w:rPr>
          <w:rFonts w:ascii="Arial" w:eastAsia="Times New Roman" w:hAnsi="Arial" w:cs="Arial"/>
          <w:i/>
          <w:iCs/>
          <w:sz w:val="20"/>
          <w:szCs w:val="20"/>
        </w:rPr>
        <w:t>Dalbergia latifolia</w:t>
      </w:r>
      <w:r w:rsidRPr="007121CA">
        <w:rPr>
          <w:rFonts w:ascii="Arial" w:eastAsia="Times New Roman" w:hAnsi="Arial" w:cs="Arial"/>
          <w:sz w:val="20"/>
          <w:szCs w:val="20"/>
        </w:rPr>
        <w:t xml:space="preserve"> was sourced from Yeoor, Thane, and its identity was verified at the Blatter Herbarium, St. Xavier’s College (Autonomous), Mumbai, under specimen number NYD-4235, attributed to N. Y. Das. The collected vegetative parts- bark, stem and leaves., were gently cleaned using light brushing and rinsing, then cut into small pieces and dried in a hot air oven at 40°C for three days. Once fully dehydrated, the parts were ground into a fine powder using a commercial mixer and stored in an airtight container at 4°C until further use.</w:t>
      </w:r>
    </w:p>
    <w:p w14:paraId="2242B761" w14:textId="77777777" w:rsidR="006D7293" w:rsidRPr="006D7293" w:rsidRDefault="00000000" w:rsidP="006D7293">
      <w:pPr>
        <w:pStyle w:val="ListParagraph"/>
        <w:numPr>
          <w:ilvl w:val="1"/>
          <w:numId w:val="3"/>
        </w:numPr>
        <w:spacing w:before="240" w:after="120" w:line="360" w:lineRule="auto"/>
        <w:contextualSpacing w:val="0"/>
        <w:jc w:val="both"/>
        <w:rPr>
          <w:rFonts w:ascii="Arial" w:eastAsia="Times New Roman" w:hAnsi="Arial" w:cs="Arial"/>
          <w:b/>
          <w:bCs/>
        </w:rPr>
      </w:pPr>
      <w:r w:rsidRPr="007121CA">
        <w:rPr>
          <w:rFonts w:ascii="Arial" w:eastAsia="Times New Roman" w:hAnsi="Arial" w:cs="Arial"/>
          <w:b/>
          <w:bCs/>
          <w:sz w:val="20"/>
          <w:szCs w:val="20"/>
        </w:rPr>
        <w:t>Extract Preparation for Qualitative Analysis</w:t>
      </w:r>
      <w:r w:rsidR="006D7293">
        <w:rPr>
          <w:rFonts w:ascii="Arial" w:eastAsia="Times New Roman" w:hAnsi="Arial" w:cs="Arial"/>
          <w:b/>
          <w:bCs/>
          <w:sz w:val="20"/>
          <w:szCs w:val="20"/>
        </w:rPr>
        <w:t>.</w:t>
      </w:r>
    </w:p>
    <w:p w14:paraId="62BBBB3E" w14:textId="351FDBDF" w:rsidR="007121CA" w:rsidRPr="007121CA" w:rsidRDefault="00000000" w:rsidP="001652E5">
      <w:pPr>
        <w:pStyle w:val="ListParagraph"/>
        <w:spacing w:after="120" w:line="360" w:lineRule="auto"/>
        <w:ind w:left="0"/>
        <w:contextualSpacing w:val="0"/>
        <w:jc w:val="both"/>
        <w:rPr>
          <w:rFonts w:ascii="Arial" w:eastAsia="Times New Roman" w:hAnsi="Arial" w:cs="Arial"/>
          <w:b/>
          <w:bCs/>
        </w:rPr>
      </w:pPr>
      <w:r w:rsidRPr="007121CA">
        <w:rPr>
          <w:rFonts w:ascii="Arial" w:eastAsia="Times New Roman" w:hAnsi="Arial" w:cs="Arial"/>
          <w:sz w:val="20"/>
          <w:szCs w:val="20"/>
        </w:rPr>
        <w:t>Crude extracts were prepared using solvents of varying polarity, including petroleum ether, ethyl acetate, ethanol, and methanol. Briefly, 10 g of dried plant powder was added to 100 mL of the respective solvent in an Erlenmeyer flask and kept on an orbital shaker for 48 h under continuous agitation. The extracts were then filtered through Whatman No. 1 filter paper, and the filtrates were directly used for further analysis.</w:t>
      </w:r>
    </w:p>
    <w:p w14:paraId="2664A1E2" w14:textId="77777777" w:rsidR="006D7293" w:rsidRPr="006D7293" w:rsidRDefault="00F83549" w:rsidP="006D7293">
      <w:pPr>
        <w:pStyle w:val="ListParagraph"/>
        <w:numPr>
          <w:ilvl w:val="2"/>
          <w:numId w:val="3"/>
        </w:numPr>
        <w:spacing w:before="240" w:after="120" w:line="360" w:lineRule="auto"/>
        <w:contextualSpacing w:val="0"/>
        <w:jc w:val="both"/>
        <w:rPr>
          <w:rFonts w:ascii="Arial" w:eastAsia="Times New Roman" w:hAnsi="Arial" w:cs="Arial"/>
          <w:b/>
          <w:bCs/>
        </w:rPr>
      </w:pPr>
      <w:r w:rsidRPr="007121CA">
        <w:rPr>
          <w:rFonts w:ascii="Arial" w:eastAsia="Times New Roman" w:hAnsi="Arial" w:cs="Arial"/>
          <w:b/>
          <w:bCs/>
          <w:sz w:val="20"/>
          <w:szCs w:val="20"/>
        </w:rPr>
        <w:t>Qualitative Phytochemical Analysis</w:t>
      </w:r>
      <w:r w:rsidR="006D7293">
        <w:rPr>
          <w:rFonts w:ascii="Arial" w:eastAsia="Times New Roman" w:hAnsi="Arial" w:cs="Arial"/>
          <w:b/>
          <w:bCs/>
          <w:sz w:val="20"/>
          <w:szCs w:val="20"/>
        </w:rPr>
        <w:t>.</w:t>
      </w:r>
      <w:r w:rsidR="007121CA">
        <w:rPr>
          <w:rFonts w:ascii="Arial" w:eastAsia="Times New Roman" w:hAnsi="Arial" w:cs="Arial"/>
          <w:b/>
          <w:bCs/>
          <w:sz w:val="20"/>
          <w:szCs w:val="20"/>
        </w:rPr>
        <w:t xml:space="preserve"> </w:t>
      </w:r>
    </w:p>
    <w:p w14:paraId="693BEE1E" w14:textId="145FA774" w:rsidR="006D7293" w:rsidRDefault="00F83549" w:rsidP="001652E5">
      <w:pPr>
        <w:pStyle w:val="ListParagraph"/>
        <w:spacing w:line="360" w:lineRule="auto"/>
        <w:ind w:left="0"/>
        <w:contextualSpacing w:val="0"/>
        <w:jc w:val="both"/>
        <w:rPr>
          <w:rFonts w:ascii="Arial" w:eastAsia="Times New Roman" w:hAnsi="Arial" w:cs="Arial"/>
          <w:sz w:val="20"/>
          <w:szCs w:val="20"/>
        </w:rPr>
      </w:pPr>
      <w:r w:rsidRPr="007121CA">
        <w:rPr>
          <w:rFonts w:ascii="Arial" w:eastAsia="Times New Roman" w:hAnsi="Arial" w:cs="Arial"/>
          <w:sz w:val="20"/>
          <w:szCs w:val="20"/>
        </w:rPr>
        <w:lastRenderedPageBreak/>
        <w:t xml:space="preserve">Analysis was carried out in triplicate following standard protocols </w:t>
      </w:r>
      <w:r w:rsidR="00A76FCB" w:rsidRPr="007121CA">
        <w:rPr>
          <w:rFonts w:ascii="Arial" w:eastAsia="Times New Roman" w:hAnsi="Arial" w:cs="Arial"/>
          <w:sz w:val="20"/>
          <w:szCs w:val="20"/>
        </w:rPr>
        <w:fldChar w:fldCharType="begin"/>
      </w:r>
      <w:r w:rsidR="00A76FCB" w:rsidRPr="007121CA">
        <w:rPr>
          <w:rFonts w:ascii="Arial" w:eastAsia="Times New Roman" w:hAnsi="Arial" w:cs="Arial"/>
          <w:sz w:val="20"/>
          <w:szCs w:val="20"/>
        </w:rPr>
        <w:instrText xml:space="preserve"> ADDIN ZOTERO_ITEM CSL_CITATION {"citationID":"9dfz90B2","properties":{"formattedCitation":"(Shaikh &amp; Patil, 2020)","plainCitation":"(Shaikh &amp; Patil, 2020)","noteIndex":0},"citationItems":[{"id":463,"uris":["http://zotero.org/users/10343621/items/S5LK9UYS"],"itemData":{"id":463,"type":"article-journal","abstract":"Medicinal plants have been used in the treatment of various diseases as they possess potential pharmacological activities including antineoplastic, antimicrobial, antioxidant, anti-inflammatory, analgesics, anti-diabetic, anti-hypertensive, antidiarrheal and other activities. Phytoconstituents individually or in the combination, determine the therapeutic value of a medicinal plant. Alkaloids, flavonoids, phenolics, tannins, saponins, steroids, glycosides, terpenes etc. are some of the important phytochemicals with diverse biological activities. The pharmacological activity of a plant can be predicted by the identification of the phytochemicals. Currently, phytochemicals are determined by various modern techniques, but the conventional qualitative tests are still popular for the preliminary phytochemical screening of plants.","container-title":"International Journal of Chemical Studies","DOI":"10.22271/chemi.2020.v8.i2i.8834","ISSN":"2321-4902","issue":"2","journalAbbreviation":"Int. J. Chem. Stud.","language":"en","page":"603-608","publisher":"AkiNik Publications","source":"www.chemijournal.com","title":"Qualitative tests for preliminary phytochemical screening: An overview","title-short":"Qualitative tests for preliminary phytochemical screening","volume":"8","author":[{"family":"Shaikh","given":"Junaid R."},{"family":"Patil","given":"M. K."}],"issued":{"date-parts":[["2020"]]}}}],"schema":"https://github.com/citation-style-language/schema/raw/master/csl-citation.json"} </w:instrText>
      </w:r>
      <w:r w:rsidR="00A76FCB" w:rsidRPr="007121CA">
        <w:rPr>
          <w:rFonts w:ascii="Arial" w:eastAsia="Times New Roman" w:hAnsi="Arial" w:cs="Arial"/>
          <w:sz w:val="20"/>
          <w:szCs w:val="20"/>
        </w:rPr>
        <w:fldChar w:fldCharType="separate"/>
      </w:r>
      <w:r w:rsidR="00F964F1" w:rsidRPr="00F964F1">
        <w:rPr>
          <w:rFonts w:ascii="Arial" w:hAnsi="Arial" w:cs="Arial"/>
          <w:sz w:val="20"/>
        </w:rPr>
        <w:t>(Shaikh &amp; Patil, 2020)</w:t>
      </w:r>
      <w:r w:rsidR="00A76FCB" w:rsidRPr="007121CA">
        <w:rPr>
          <w:rFonts w:ascii="Arial" w:eastAsia="Times New Roman" w:hAnsi="Arial" w:cs="Arial"/>
          <w:sz w:val="20"/>
          <w:szCs w:val="20"/>
        </w:rPr>
        <w:fldChar w:fldCharType="end"/>
      </w:r>
      <w:r w:rsidRPr="007121CA">
        <w:rPr>
          <w:rFonts w:ascii="Arial" w:eastAsia="Times New Roman" w:hAnsi="Arial" w:cs="Arial"/>
          <w:sz w:val="20"/>
          <w:szCs w:val="20"/>
        </w:rPr>
        <w:t xml:space="preserve"> to detect the presence of major classes of secondary metabolites in the plant extracts.</w:t>
      </w:r>
    </w:p>
    <w:p w14:paraId="311A8FAF" w14:textId="77777777" w:rsidR="001652E5" w:rsidRDefault="00000000" w:rsidP="001652E5">
      <w:pPr>
        <w:pStyle w:val="ListParagraph"/>
        <w:spacing w:line="360" w:lineRule="auto"/>
        <w:ind w:left="0"/>
        <w:contextualSpacing w:val="0"/>
        <w:jc w:val="both"/>
        <w:rPr>
          <w:rFonts w:ascii="Arial" w:eastAsia="Times New Roman" w:hAnsi="Arial" w:cs="Arial"/>
          <w:sz w:val="20"/>
          <w:szCs w:val="20"/>
        </w:rPr>
      </w:pPr>
      <w:r w:rsidRPr="001A7494">
        <w:rPr>
          <w:rFonts w:ascii="Arial" w:eastAsia="Times New Roman" w:hAnsi="Arial" w:cs="Arial"/>
          <w:i/>
          <w:iCs/>
          <w:sz w:val="20"/>
          <w:szCs w:val="20"/>
        </w:rPr>
        <w:t>Lignin</w:t>
      </w:r>
      <w:r w:rsidRPr="001A7494">
        <w:rPr>
          <w:rFonts w:ascii="Arial" w:eastAsia="Times New Roman" w:hAnsi="Arial" w:cs="Arial"/>
          <w:sz w:val="20"/>
          <w:szCs w:val="20"/>
        </w:rPr>
        <w:t xml:space="preserve">: Addition of gallic acid to the extract resulted in an </w:t>
      </w:r>
      <w:r w:rsidR="009A4760" w:rsidRPr="001A7494">
        <w:rPr>
          <w:rFonts w:ascii="Arial" w:eastAsia="Times New Roman" w:hAnsi="Arial" w:cs="Arial"/>
          <w:sz w:val="20"/>
          <w:szCs w:val="20"/>
        </w:rPr>
        <w:t>olive-green</w:t>
      </w:r>
      <w:r w:rsidRPr="001A7494">
        <w:rPr>
          <w:rFonts w:ascii="Arial" w:eastAsia="Times New Roman" w:hAnsi="Arial" w:cs="Arial"/>
          <w:sz w:val="20"/>
          <w:szCs w:val="20"/>
        </w:rPr>
        <w:t xml:space="preserve"> color.</w:t>
      </w:r>
    </w:p>
    <w:p w14:paraId="7B839862" w14:textId="77777777" w:rsidR="001652E5" w:rsidRDefault="00000000" w:rsidP="001652E5">
      <w:pPr>
        <w:pStyle w:val="ListParagraph"/>
        <w:spacing w:line="360" w:lineRule="auto"/>
        <w:ind w:left="0"/>
        <w:contextualSpacing w:val="0"/>
        <w:jc w:val="both"/>
        <w:rPr>
          <w:rFonts w:ascii="Arial" w:eastAsia="Times New Roman" w:hAnsi="Arial" w:cs="Arial"/>
          <w:sz w:val="20"/>
          <w:szCs w:val="20"/>
        </w:rPr>
      </w:pPr>
      <w:r w:rsidRPr="001A7494">
        <w:rPr>
          <w:rFonts w:ascii="Arial" w:eastAsia="Times New Roman" w:hAnsi="Arial" w:cs="Arial"/>
          <w:i/>
          <w:iCs/>
          <w:sz w:val="20"/>
          <w:szCs w:val="20"/>
        </w:rPr>
        <w:t>Alkaloids</w:t>
      </w:r>
      <w:r w:rsidRPr="001A7494">
        <w:rPr>
          <w:rFonts w:ascii="Arial" w:eastAsia="Times New Roman" w:hAnsi="Arial" w:cs="Arial"/>
          <w:sz w:val="20"/>
          <w:szCs w:val="20"/>
        </w:rPr>
        <w:t>: The extract was treated with Dragendorff’s, Mayer’s, and Wagner’s reagents, which produced orange-brown, yellow, and reddish-brown precipitates, respectively.</w:t>
      </w:r>
    </w:p>
    <w:p w14:paraId="793EF0D6" w14:textId="77777777" w:rsidR="001652E5" w:rsidRDefault="00000000" w:rsidP="001652E5">
      <w:pPr>
        <w:pStyle w:val="ListParagraph"/>
        <w:spacing w:line="360" w:lineRule="auto"/>
        <w:ind w:left="0"/>
        <w:contextualSpacing w:val="0"/>
        <w:jc w:val="both"/>
        <w:rPr>
          <w:rFonts w:ascii="Arial" w:eastAsia="Times New Roman" w:hAnsi="Arial" w:cs="Arial"/>
          <w:sz w:val="20"/>
          <w:szCs w:val="20"/>
        </w:rPr>
      </w:pPr>
      <w:r w:rsidRPr="001A7494">
        <w:rPr>
          <w:rFonts w:ascii="Arial" w:eastAsia="Times New Roman" w:hAnsi="Arial" w:cs="Arial"/>
          <w:i/>
          <w:iCs/>
          <w:sz w:val="20"/>
          <w:szCs w:val="20"/>
        </w:rPr>
        <w:t>Flavonoids</w:t>
      </w:r>
      <w:r w:rsidRPr="001A7494">
        <w:rPr>
          <w:rFonts w:ascii="Arial" w:eastAsia="Times New Roman" w:hAnsi="Arial" w:cs="Arial"/>
          <w:sz w:val="20"/>
          <w:szCs w:val="20"/>
        </w:rPr>
        <w:t>: Presence of flavonoids was confirmed by multiple tests. In the Shinoda test, addition of magnesium turnings and concentrated HCl produced a pink or scarlet color. In the alkaline reagent test, NaOH produced a yellow color that disappeared upon addition of dilute HCl. The ammonia test resulted in a yellow coloration, and lead acetate (10%) produced a white precipitate.</w:t>
      </w:r>
    </w:p>
    <w:p w14:paraId="798DB408" w14:textId="1B3FCA41" w:rsidR="00334AA6" w:rsidRPr="001652E5" w:rsidRDefault="00000000" w:rsidP="001652E5">
      <w:pPr>
        <w:pStyle w:val="ListParagraph"/>
        <w:spacing w:line="360" w:lineRule="auto"/>
        <w:ind w:left="0"/>
        <w:contextualSpacing w:val="0"/>
        <w:jc w:val="both"/>
        <w:rPr>
          <w:rFonts w:ascii="Arial" w:eastAsia="Times New Roman" w:hAnsi="Arial" w:cs="Arial"/>
          <w:b/>
          <w:bCs/>
        </w:rPr>
      </w:pPr>
      <w:r w:rsidRPr="001A7494">
        <w:rPr>
          <w:rFonts w:ascii="Arial" w:eastAsia="Times New Roman" w:hAnsi="Arial" w:cs="Arial"/>
          <w:i/>
          <w:iCs/>
          <w:sz w:val="20"/>
          <w:szCs w:val="20"/>
        </w:rPr>
        <w:t>Phenolic compounds:</w:t>
      </w:r>
      <w:r w:rsidRPr="001A7494">
        <w:rPr>
          <w:rFonts w:ascii="Arial" w:eastAsia="Times New Roman" w:hAnsi="Arial" w:cs="Arial"/>
          <w:sz w:val="20"/>
          <w:szCs w:val="20"/>
        </w:rPr>
        <w:t xml:space="preserve"> Addition of iodine solution produced a transient red color. Ferric chloride (5%) gave a dark green or bluish-black color, and potassium dichromate produced a dark coloration, confirming phenolics.</w:t>
      </w:r>
    </w:p>
    <w:p w14:paraId="4C407DDB" w14:textId="77777777" w:rsidR="00334AA6" w:rsidRPr="001A7494" w:rsidRDefault="00000000" w:rsidP="001652E5">
      <w:pPr>
        <w:spacing w:line="360" w:lineRule="auto"/>
        <w:jc w:val="both"/>
        <w:rPr>
          <w:rFonts w:ascii="Arial" w:eastAsia="Times New Roman" w:hAnsi="Arial" w:cs="Arial"/>
          <w:sz w:val="20"/>
          <w:szCs w:val="20"/>
        </w:rPr>
      </w:pPr>
      <w:r w:rsidRPr="001A7494">
        <w:rPr>
          <w:rFonts w:ascii="Arial" w:eastAsia="Times New Roman" w:hAnsi="Arial" w:cs="Arial"/>
          <w:i/>
          <w:iCs/>
          <w:sz w:val="20"/>
          <w:szCs w:val="20"/>
        </w:rPr>
        <w:t>Tannins</w:t>
      </w:r>
      <w:r w:rsidRPr="001A7494">
        <w:rPr>
          <w:rFonts w:ascii="Arial" w:eastAsia="Times New Roman" w:hAnsi="Arial" w:cs="Arial"/>
          <w:sz w:val="20"/>
          <w:szCs w:val="20"/>
        </w:rPr>
        <w:t>: Ferric chloride (5%) produced a blue-green or green coloration. Lead acetate (2%) and gelatin (1%) with NaCl (10%) formed white precipitates. Phlobatannins gave a red precipitate upon boiling with HCl.</w:t>
      </w:r>
    </w:p>
    <w:p w14:paraId="61292A93" w14:textId="77777777" w:rsidR="00334AA6" w:rsidRPr="001A7494" w:rsidRDefault="00000000" w:rsidP="001652E5">
      <w:pPr>
        <w:spacing w:line="360" w:lineRule="auto"/>
        <w:jc w:val="both"/>
        <w:rPr>
          <w:rFonts w:ascii="Arial" w:eastAsia="Times New Roman" w:hAnsi="Arial" w:cs="Arial"/>
          <w:sz w:val="20"/>
          <w:szCs w:val="20"/>
        </w:rPr>
      </w:pPr>
      <w:r w:rsidRPr="001A7494">
        <w:rPr>
          <w:rFonts w:ascii="Arial" w:eastAsia="Times New Roman" w:hAnsi="Arial" w:cs="Arial"/>
          <w:i/>
          <w:iCs/>
          <w:sz w:val="20"/>
          <w:szCs w:val="20"/>
        </w:rPr>
        <w:t>Terpenoids</w:t>
      </w:r>
      <w:r w:rsidRPr="001A7494">
        <w:rPr>
          <w:rFonts w:ascii="Arial" w:eastAsia="Times New Roman" w:hAnsi="Arial" w:cs="Arial"/>
          <w:sz w:val="20"/>
          <w:szCs w:val="20"/>
        </w:rPr>
        <w:t>: Addition of concentrated H</w:t>
      </w:r>
      <w:r w:rsidRPr="001A7494">
        <w:rPr>
          <w:rFonts w:ascii="Cambria Math" w:eastAsia="Times New Roman" w:hAnsi="Cambria Math" w:cs="Cambria Math"/>
          <w:sz w:val="20"/>
          <w:szCs w:val="20"/>
        </w:rPr>
        <w:t>₂</w:t>
      </w:r>
      <w:r w:rsidRPr="001A7494">
        <w:rPr>
          <w:rFonts w:ascii="Arial" w:eastAsia="Times New Roman" w:hAnsi="Arial" w:cs="Arial"/>
          <w:sz w:val="20"/>
          <w:szCs w:val="20"/>
        </w:rPr>
        <w:t>SO</w:t>
      </w:r>
      <w:r w:rsidRPr="001A7494">
        <w:rPr>
          <w:rFonts w:ascii="Cambria Math" w:eastAsia="Times New Roman" w:hAnsi="Cambria Math" w:cs="Cambria Math"/>
          <w:sz w:val="20"/>
          <w:szCs w:val="20"/>
        </w:rPr>
        <w:t>₄</w:t>
      </w:r>
      <w:r w:rsidRPr="001A7494">
        <w:rPr>
          <w:rFonts w:ascii="Arial" w:eastAsia="Times New Roman" w:hAnsi="Arial" w:cs="Arial"/>
          <w:sz w:val="20"/>
          <w:szCs w:val="20"/>
        </w:rPr>
        <w:t xml:space="preserve"> to a chloroform-extract mixture produced a grey coloration. Diterpenes were indicated by an emerald green color upon addition of copper acetate.</w:t>
      </w:r>
    </w:p>
    <w:p w14:paraId="03533873" w14:textId="77777777" w:rsidR="00334AA6" w:rsidRPr="001A7494" w:rsidRDefault="00000000" w:rsidP="001652E5">
      <w:pPr>
        <w:spacing w:line="360" w:lineRule="auto"/>
        <w:jc w:val="both"/>
        <w:rPr>
          <w:rFonts w:ascii="Arial" w:eastAsia="Times New Roman" w:hAnsi="Arial" w:cs="Arial"/>
          <w:sz w:val="20"/>
          <w:szCs w:val="20"/>
        </w:rPr>
      </w:pPr>
      <w:r w:rsidRPr="001A7494">
        <w:rPr>
          <w:rFonts w:ascii="Arial" w:eastAsia="Times New Roman" w:hAnsi="Arial" w:cs="Arial"/>
          <w:i/>
          <w:iCs/>
          <w:sz w:val="20"/>
          <w:szCs w:val="20"/>
        </w:rPr>
        <w:t>Triterpenoids and Sterols</w:t>
      </w:r>
      <w:r w:rsidRPr="001A7494">
        <w:rPr>
          <w:rFonts w:ascii="Arial" w:eastAsia="Times New Roman" w:hAnsi="Arial" w:cs="Arial"/>
          <w:sz w:val="20"/>
          <w:szCs w:val="20"/>
        </w:rPr>
        <w:t>: Treatment with concentrated H</w:t>
      </w:r>
      <w:r w:rsidRPr="001A7494">
        <w:rPr>
          <w:rFonts w:ascii="Cambria Math" w:eastAsia="Times New Roman" w:hAnsi="Cambria Math" w:cs="Cambria Math"/>
          <w:sz w:val="20"/>
          <w:szCs w:val="20"/>
        </w:rPr>
        <w:t>₂</w:t>
      </w:r>
      <w:r w:rsidRPr="001A7494">
        <w:rPr>
          <w:rFonts w:ascii="Arial" w:eastAsia="Times New Roman" w:hAnsi="Arial" w:cs="Arial"/>
          <w:sz w:val="20"/>
          <w:szCs w:val="20"/>
        </w:rPr>
        <w:t>SO</w:t>
      </w:r>
      <w:r w:rsidRPr="001A7494">
        <w:rPr>
          <w:rFonts w:ascii="Cambria Math" w:eastAsia="Times New Roman" w:hAnsi="Cambria Math" w:cs="Cambria Math"/>
          <w:sz w:val="20"/>
          <w:szCs w:val="20"/>
        </w:rPr>
        <w:t>₄</w:t>
      </w:r>
      <w:r w:rsidRPr="001A7494">
        <w:rPr>
          <w:rFonts w:ascii="Arial" w:eastAsia="Times New Roman" w:hAnsi="Arial" w:cs="Arial"/>
          <w:sz w:val="20"/>
          <w:szCs w:val="20"/>
        </w:rPr>
        <w:t xml:space="preserve"> produced a yellow color for triterpenoids and a red color for sterols. In Hesse’s test, a pink or red ring at the interface confirmed sterols.</w:t>
      </w:r>
    </w:p>
    <w:p w14:paraId="2AA94E99" w14:textId="77777777" w:rsidR="00334AA6" w:rsidRPr="001A7494" w:rsidRDefault="00000000" w:rsidP="001652E5">
      <w:pPr>
        <w:spacing w:line="360" w:lineRule="auto"/>
        <w:jc w:val="both"/>
        <w:rPr>
          <w:rFonts w:ascii="Arial" w:eastAsia="Times New Roman" w:hAnsi="Arial" w:cs="Arial"/>
          <w:sz w:val="20"/>
          <w:szCs w:val="20"/>
        </w:rPr>
      </w:pPr>
      <w:r w:rsidRPr="001A7494">
        <w:rPr>
          <w:rFonts w:ascii="Arial" w:eastAsia="Times New Roman" w:hAnsi="Arial" w:cs="Arial"/>
          <w:i/>
          <w:iCs/>
          <w:sz w:val="20"/>
          <w:szCs w:val="20"/>
        </w:rPr>
        <w:t>Saponins</w:t>
      </w:r>
      <w:r w:rsidRPr="001A7494">
        <w:rPr>
          <w:rFonts w:ascii="Arial" w:eastAsia="Times New Roman" w:hAnsi="Arial" w:cs="Arial"/>
          <w:sz w:val="20"/>
          <w:szCs w:val="20"/>
        </w:rPr>
        <w:t>: Formation of stable froth upon vigorous shaking with water and persistence of foam after addition of NaHCO</w:t>
      </w:r>
      <w:r w:rsidRPr="001A7494">
        <w:rPr>
          <w:rFonts w:ascii="Cambria Math" w:eastAsia="Times New Roman" w:hAnsi="Cambria Math" w:cs="Cambria Math"/>
          <w:sz w:val="20"/>
          <w:szCs w:val="20"/>
        </w:rPr>
        <w:t>₃</w:t>
      </w:r>
      <w:r w:rsidRPr="001A7494">
        <w:rPr>
          <w:rFonts w:ascii="Arial" w:eastAsia="Times New Roman" w:hAnsi="Arial" w:cs="Arial"/>
          <w:sz w:val="20"/>
          <w:szCs w:val="20"/>
        </w:rPr>
        <w:t xml:space="preserve"> indicated saponins.</w:t>
      </w:r>
    </w:p>
    <w:p w14:paraId="3C390D9D" w14:textId="77777777" w:rsidR="00334AA6" w:rsidRPr="001A7494" w:rsidRDefault="00000000" w:rsidP="001652E5">
      <w:pPr>
        <w:spacing w:line="360" w:lineRule="auto"/>
        <w:jc w:val="both"/>
        <w:rPr>
          <w:rFonts w:ascii="Arial" w:eastAsia="Times New Roman" w:hAnsi="Arial" w:cs="Arial"/>
          <w:sz w:val="20"/>
          <w:szCs w:val="20"/>
        </w:rPr>
      </w:pPr>
      <w:r w:rsidRPr="001A7494">
        <w:rPr>
          <w:rFonts w:ascii="Arial" w:eastAsia="Times New Roman" w:hAnsi="Arial" w:cs="Arial"/>
          <w:i/>
          <w:iCs/>
          <w:sz w:val="20"/>
          <w:szCs w:val="20"/>
        </w:rPr>
        <w:t>Cardiac glycosides</w:t>
      </w:r>
      <w:r w:rsidRPr="001A7494">
        <w:rPr>
          <w:rFonts w:ascii="Arial" w:eastAsia="Times New Roman" w:hAnsi="Arial" w:cs="Arial"/>
          <w:sz w:val="20"/>
          <w:szCs w:val="20"/>
        </w:rPr>
        <w:t>: Baljet’s test (picric acid) produced an orange color, while Keller–Kiliani test resulted in a blue coloration in the acetic acid layer.</w:t>
      </w:r>
    </w:p>
    <w:p w14:paraId="73CC1C32" w14:textId="77777777" w:rsidR="00334AA6" w:rsidRPr="001A7494" w:rsidRDefault="00000000" w:rsidP="001652E5">
      <w:pPr>
        <w:spacing w:line="360" w:lineRule="auto"/>
        <w:jc w:val="both"/>
        <w:rPr>
          <w:rFonts w:ascii="Arial" w:eastAsia="Times New Roman" w:hAnsi="Arial" w:cs="Arial"/>
          <w:sz w:val="20"/>
          <w:szCs w:val="20"/>
        </w:rPr>
      </w:pPr>
      <w:r w:rsidRPr="001A7494">
        <w:rPr>
          <w:rFonts w:ascii="Arial" w:eastAsia="Times New Roman" w:hAnsi="Arial" w:cs="Arial"/>
          <w:i/>
          <w:iCs/>
          <w:sz w:val="20"/>
          <w:szCs w:val="20"/>
        </w:rPr>
        <w:t>Coumarins</w:t>
      </w:r>
      <w:r w:rsidRPr="001A7494">
        <w:rPr>
          <w:rFonts w:ascii="Arial" w:eastAsia="Times New Roman" w:hAnsi="Arial" w:cs="Arial"/>
          <w:sz w:val="20"/>
          <w:szCs w:val="20"/>
        </w:rPr>
        <w:t>: Treatment with NaOH followed by HCl produced turbidity, while chloroform and NaOH resulted in yellow coloration.</w:t>
      </w:r>
    </w:p>
    <w:p w14:paraId="26DD72C8" w14:textId="77777777" w:rsidR="001652E5" w:rsidRDefault="00000000" w:rsidP="001652E5">
      <w:pPr>
        <w:spacing w:line="360" w:lineRule="auto"/>
        <w:jc w:val="both"/>
        <w:rPr>
          <w:rFonts w:ascii="Arial" w:eastAsia="Times New Roman" w:hAnsi="Arial" w:cs="Arial"/>
          <w:sz w:val="20"/>
          <w:szCs w:val="20"/>
        </w:rPr>
      </w:pPr>
      <w:r w:rsidRPr="001A7494">
        <w:rPr>
          <w:rFonts w:ascii="Arial" w:eastAsia="Times New Roman" w:hAnsi="Arial" w:cs="Arial"/>
          <w:i/>
          <w:iCs/>
          <w:sz w:val="20"/>
          <w:szCs w:val="20"/>
        </w:rPr>
        <w:t>Quinones:</w:t>
      </w:r>
      <w:r w:rsidRPr="001A7494">
        <w:rPr>
          <w:rFonts w:ascii="Arial" w:eastAsia="Times New Roman" w:hAnsi="Arial" w:cs="Arial"/>
          <w:sz w:val="20"/>
          <w:szCs w:val="20"/>
        </w:rPr>
        <w:t xml:space="preserve"> Addition of concentrated HCl produced a green color, while alcoholic KOH resulted in red to blue coloration.</w:t>
      </w:r>
    </w:p>
    <w:p w14:paraId="26FF41CA" w14:textId="7A6C427D" w:rsidR="006D7293" w:rsidRPr="001A7494" w:rsidRDefault="00000000" w:rsidP="001652E5">
      <w:pPr>
        <w:spacing w:after="240" w:line="360" w:lineRule="auto"/>
        <w:jc w:val="both"/>
        <w:rPr>
          <w:rFonts w:ascii="Arial" w:eastAsia="Times New Roman" w:hAnsi="Arial" w:cs="Arial"/>
          <w:sz w:val="20"/>
          <w:szCs w:val="20"/>
        </w:rPr>
      </w:pPr>
      <w:r w:rsidRPr="001A7494">
        <w:rPr>
          <w:rFonts w:ascii="Arial" w:eastAsia="Times New Roman" w:hAnsi="Arial" w:cs="Arial"/>
          <w:i/>
          <w:iCs/>
          <w:sz w:val="20"/>
          <w:szCs w:val="20"/>
        </w:rPr>
        <w:t>Anthraquinones:</w:t>
      </w:r>
      <w:r w:rsidRPr="001A7494">
        <w:rPr>
          <w:rFonts w:ascii="Arial" w:eastAsia="Times New Roman" w:hAnsi="Arial" w:cs="Arial"/>
          <w:sz w:val="20"/>
          <w:szCs w:val="20"/>
        </w:rPr>
        <w:t xml:space="preserve"> Addition of 10% ammonia solution produced a pink to violet or red color.</w:t>
      </w:r>
    </w:p>
    <w:p w14:paraId="4BE98AEE" w14:textId="2935DC01" w:rsidR="006D7293" w:rsidRDefault="009A4760" w:rsidP="001652E5">
      <w:pPr>
        <w:pStyle w:val="ListParagraph"/>
        <w:numPr>
          <w:ilvl w:val="1"/>
          <w:numId w:val="3"/>
        </w:numPr>
        <w:spacing w:before="360" w:after="120" w:line="360" w:lineRule="auto"/>
        <w:contextualSpacing w:val="0"/>
        <w:jc w:val="both"/>
        <w:rPr>
          <w:rFonts w:ascii="Arial" w:eastAsia="Times New Roman" w:hAnsi="Arial" w:cs="Arial"/>
          <w:b/>
          <w:bCs/>
          <w:sz w:val="20"/>
          <w:szCs w:val="20"/>
        </w:rPr>
      </w:pPr>
      <w:r w:rsidRPr="007121CA">
        <w:rPr>
          <w:rFonts w:ascii="Arial" w:eastAsia="Times New Roman" w:hAnsi="Arial" w:cs="Arial"/>
          <w:b/>
          <w:bCs/>
          <w:sz w:val="20"/>
          <w:szCs w:val="20"/>
        </w:rPr>
        <w:t>Quantitative</w:t>
      </w:r>
      <w:r w:rsidR="007E4845">
        <w:rPr>
          <w:rFonts w:ascii="Arial" w:eastAsia="Times New Roman" w:hAnsi="Arial" w:cs="Arial"/>
          <w:b/>
          <w:bCs/>
          <w:sz w:val="20"/>
          <w:szCs w:val="20"/>
        </w:rPr>
        <w:t xml:space="preserve"> Phytochemical</w:t>
      </w:r>
      <w:r w:rsidRPr="007121CA">
        <w:rPr>
          <w:rFonts w:ascii="Arial" w:eastAsia="Times New Roman" w:hAnsi="Arial" w:cs="Arial"/>
          <w:b/>
          <w:bCs/>
          <w:sz w:val="20"/>
          <w:szCs w:val="20"/>
        </w:rPr>
        <w:t xml:space="preserve"> analysis</w:t>
      </w:r>
      <w:r w:rsidR="007121CA">
        <w:rPr>
          <w:rFonts w:ascii="Arial" w:eastAsia="Times New Roman" w:hAnsi="Arial" w:cs="Arial"/>
          <w:b/>
          <w:bCs/>
          <w:sz w:val="20"/>
          <w:szCs w:val="20"/>
        </w:rPr>
        <w:t>.</w:t>
      </w:r>
    </w:p>
    <w:p w14:paraId="5CF10597" w14:textId="59839C09" w:rsidR="00C80004" w:rsidRPr="006D7293" w:rsidRDefault="00000000" w:rsidP="001652E5">
      <w:pPr>
        <w:pStyle w:val="ListParagraph"/>
        <w:spacing w:line="360" w:lineRule="auto"/>
        <w:ind w:left="0"/>
        <w:contextualSpacing w:val="0"/>
        <w:jc w:val="both"/>
        <w:rPr>
          <w:rFonts w:ascii="Arial" w:eastAsia="Times New Roman" w:hAnsi="Arial" w:cs="Arial"/>
          <w:b/>
          <w:bCs/>
          <w:sz w:val="20"/>
          <w:szCs w:val="20"/>
        </w:rPr>
      </w:pPr>
      <w:r w:rsidRPr="006D7293">
        <w:rPr>
          <w:rFonts w:ascii="Arial" w:eastAsia="Times New Roman" w:hAnsi="Arial" w:cs="Arial"/>
          <w:sz w:val="20"/>
          <w:szCs w:val="20"/>
        </w:rPr>
        <w:lastRenderedPageBreak/>
        <w:t xml:space="preserve">Seventy percent ethanolic extracts of the leaf, stem, and bark of </w:t>
      </w:r>
      <w:r w:rsidRPr="006D7293">
        <w:rPr>
          <w:rFonts w:ascii="Arial" w:eastAsia="Times New Roman" w:hAnsi="Arial" w:cs="Arial"/>
          <w:i/>
          <w:iCs/>
          <w:sz w:val="20"/>
          <w:szCs w:val="20"/>
        </w:rPr>
        <w:t>D. latifolia</w:t>
      </w:r>
      <w:r w:rsidRPr="006D7293">
        <w:rPr>
          <w:rFonts w:ascii="Arial" w:eastAsia="Times New Roman" w:hAnsi="Arial" w:cs="Arial"/>
          <w:sz w:val="20"/>
          <w:szCs w:val="20"/>
        </w:rPr>
        <w:t xml:space="preserve"> (designated as ELDL, ESDL, and EBDL, respectively) were prepared for quantitative analysis and antioxidant assays. Briefly, 10 g of dried plant powder from each part was mixed with 70% ethanol in an Erlenmeyer flask and subjected to continuous agitation on an orbital shaker for 48 hours at room temperature. Following extraction, the mixtures were centrifuged at 6000 rpm for 15 minutes, and the supernatants were filtered through Whatman No. 1 filter paper. The filtrates were concentrated under reduced pressure using a rotary vacuum evaporator to remove the solvent completely. The resulting dried extracts were weighed and stored in Eppendorf tubes at 4 °C until further use. </w:t>
      </w:r>
      <w:r w:rsidR="00537318" w:rsidRPr="006D7293">
        <w:rPr>
          <w:rFonts w:ascii="Arial" w:eastAsia="Times New Roman" w:hAnsi="Arial" w:cs="Arial"/>
          <w:sz w:val="20"/>
          <w:szCs w:val="20"/>
        </w:rPr>
        <w:t xml:space="preserve">The </w:t>
      </w:r>
      <w:r w:rsidR="00C80004" w:rsidRPr="006D7293">
        <w:rPr>
          <w:rFonts w:ascii="Arial" w:eastAsia="Times New Roman" w:hAnsi="Arial" w:cs="Arial"/>
          <w:sz w:val="20"/>
          <w:szCs w:val="20"/>
        </w:rPr>
        <w:t>percentage</w:t>
      </w:r>
      <w:r w:rsidR="00537318" w:rsidRPr="006D7293">
        <w:rPr>
          <w:rFonts w:ascii="Arial" w:eastAsia="Times New Roman" w:hAnsi="Arial" w:cs="Arial"/>
          <w:sz w:val="20"/>
          <w:szCs w:val="20"/>
        </w:rPr>
        <w:t xml:space="preserve"> extraction yield of each extract was calculated as</w:t>
      </w:r>
      <w:r w:rsidR="00C80004" w:rsidRPr="006D7293">
        <w:rPr>
          <w:rFonts w:ascii="Arial" w:eastAsia="Times New Roman" w:hAnsi="Arial" w:cs="Arial"/>
          <w:sz w:val="20"/>
          <w:szCs w:val="20"/>
        </w:rPr>
        <w:t xml:space="preserve">: </w:t>
      </w:r>
    </w:p>
    <w:p w14:paraId="164022AE" w14:textId="49C28195" w:rsidR="00C80004" w:rsidRPr="001A7494" w:rsidRDefault="00C80004" w:rsidP="00C80004">
      <w:pPr>
        <w:spacing w:before="240" w:after="240" w:line="360" w:lineRule="auto"/>
        <w:jc w:val="center"/>
        <w:rPr>
          <w:rFonts w:ascii="Arial" w:eastAsia="Times New Roman" w:hAnsi="Arial" w:cs="Arial"/>
          <w:sz w:val="20"/>
          <w:szCs w:val="20"/>
        </w:rPr>
      </w:pPr>
      <m:oMathPara>
        <m:oMath>
          <m:r>
            <w:rPr>
              <w:rFonts w:ascii="Cambria Math" w:eastAsia="Times New Roman" w:hAnsi="Cambria Math" w:cs="Arial"/>
              <w:sz w:val="20"/>
              <w:szCs w:val="20"/>
            </w:rPr>
            <m:t xml:space="preserve">Extractive Yield </m:t>
          </m:r>
          <m:d>
            <m:dPr>
              <m:ctrlPr>
                <w:rPr>
                  <w:rFonts w:ascii="Cambria Math" w:eastAsia="Times New Roman" w:hAnsi="Cambria Math" w:cs="Arial"/>
                  <w:i/>
                  <w:sz w:val="20"/>
                  <w:szCs w:val="20"/>
                </w:rPr>
              </m:ctrlPr>
            </m:dPr>
            <m:e>
              <m:r>
                <w:rPr>
                  <w:rFonts w:ascii="Cambria Math" w:eastAsia="Times New Roman" w:hAnsi="Cambria Math" w:cs="Arial"/>
                  <w:sz w:val="20"/>
                  <w:szCs w:val="20"/>
                </w:rPr>
                <m:t>%</m:t>
              </m:r>
            </m:e>
          </m:d>
          <m:r>
            <w:rPr>
              <w:rFonts w:ascii="Cambria Math" w:eastAsia="Times New Roman" w:hAnsi="Cambria Math" w:cs="Arial"/>
              <w:sz w:val="20"/>
              <w:szCs w:val="20"/>
            </w:rPr>
            <m:t xml:space="preserve">= </m:t>
          </m:r>
          <m:f>
            <m:fPr>
              <m:ctrlPr>
                <w:rPr>
                  <w:rFonts w:ascii="Cambria Math" w:eastAsia="Times New Roman" w:hAnsi="Cambria Math" w:cs="Arial"/>
                  <w:i/>
                  <w:sz w:val="20"/>
                  <w:szCs w:val="20"/>
                </w:rPr>
              </m:ctrlPr>
            </m:fPr>
            <m:num>
              <m:r>
                <w:rPr>
                  <w:rFonts w:ascii="Cambria Math" w:eastAsia="Times New Roman" w:hAnsi="Cambria Math" w:cs="Arial"/>
                  <w:sz w:val="20"/>
                  <w:szCs w:val="20"/>
                </w:rPr>
                <m:t>Weight of dried extract (g)</m:t>
              </m:r>
            </m:num>
            <m:den>
              <m:r>
                <w:rPr>
                  <w:rFonts w:ascii="Cambria Math" w:eastAsia="Times New Roman" w:hAnsi="Cambria Math" w:cs="Arial"/>
                  <w:sz w:val="20"/>
                  <w:szCs w:val="20"/>
                </w:rPr>
                <m:t>Weight of plant powder (g)</m:t>
              </m:r>
            </m:den>
          </m:f>
          <m:r>
            <w:rPr>
              <w:rFonts w:ascii="Cambria Math" w:eastAsia="Times New Roman" w:hAnsi="Cambria Math" w:cs="Arial"/>
              <w:sz w:val="20"/>
              <w:szCs w:val="20"/>
            </w:rPr>
            <m:t xml:space="preserve"> ×100</m:t>
          </m:r>
        </m:oMath>
      </m:oMathPara>
    </w:p>
    <w:p w14:paraId="3021ECD9" w14:textId="23F5C1F4" w:rsidR="00334AA6" w:rsidRPr="001A7494" w:rsidRDefault="00A526EF" w:rsidP="001652E5">
      <w:pPr>
        <w:spacing w:after="240" w:line="360" w:lineRule="auto"/>
        <w:jc w:val="both"/>
        <w:rPr>
          <w:rFonts w:ascii="Arial" w:eastAsia="Times New Roman" w:hAnsi="Arial" w:cs="Arial"/>
          <w:sz w:val="20"/>
          <w:szCs w:val="20"/>
        </w:rPr>
      </w:pPr>
      <w:r>
        <w:rPr>
          <w:rFonts w:ascii="Arial" w:eastAsia="Times New Roman" w:hAnsi="Arial" w:cs="Arial"/>
          <w:sz w:val="20"/>
          <w:szCs w:val="20"/>
        </w:rPr>
        <w:t xml:space="preserve">The same extract was used for quantitative as well as antioxidant </w:t>
      </w:r>
      <w:r w:rsidRPr="001A7494">
        <w:rPr>
          <w:rFonts w:ascii="Arial" w:eastAsia="Times New Roman" w:hAnsi="Arial" w:cs="Arial"/>
          <w:sz w:val="20"/>
          <w:szCs w:val="20"/>
        </w:rPr>
        <w:t>assays</w:t>
      </w:r>
      <w:r>
        <w:rPr>
          <w:rFonts w:ascii="Arial" w:eastAsia="Times New Roman" w:hAnsi="Arial" w:cs="Arial"/>
          <w:sz w:val="20"/>
          <w:szCs w:val="20"/>
        </w:rPr>
        <w:t>. A</w:t>
      </w:r>
      <w:r w:rsidRPr="001A7494">
        <w:rPr>
          <w:rFonts w:ascii="Arial" w:eastAsia="Times New Roman" w:hAnsi="Arial" w:cs="Arial"/>
          <w:sz w:val="20"/>
          <w:szCs w:val="20"/>
        </w:rPr>
        <w:t xml:space="preserve"> stock solution of each extract w</w:t>
      </w:r>
      <w:r>
        <w:rPr>
          <w:rFonts w:ascii="Arial" w:eastAsia="Times New Roman" w:hAnsi="Arial" w:cs="Arial"/>
          <w:sz w:val="20"/>
          <w:szCs w:val="20"/>
        </w:rPr>
        <w:t>as</w:t>
      </w:r>
      <w:r w:rsidRPr="001A7494">
        <w:rPr>
          <w:rFonts w:ascii="Arial" w:eastAsia="Times New Roman" w:hAnsi="Arial" w:cs="Arial"/>
          <w:sz w:val="20"/>
          <w:szCs w:val="20"/>
        </w:rPr>
        <w:t xml:space="preserve"> prepared at a concentration of 1</w:t>
      </w:r>
      <w:r w:rsidR="00537318" w:rsidRPr="001A7494">
        <w:rPr>
          <w:rFonts w:ascii="Arial" w:eastAsia="Times New Roman" w:hAnsi="Arial" w:cs="Arial"/>
          <w:sz w:val="20"/>
          <w:szCs w:val="20"/>
        </w:rPr>
        <w:t>00</w:t>
      </w:r>
      <w:r w:rsidRPr="001A7494">
        <w:rPr>
          <w:rFonts w:ascii="Arial" w:eastAsia="Times New Roman" w:hAnsi="Arial" w:cs="Arial"/>
          <w:sz w:val="20"/>
          <w:szCs w:val="20"/>
        </w:rPr>
        <w:t xml:space="preserve"> mg/mL in 70% ethanol</w:t>
      </w:r>
      <w:r>
        <w:rPr>
          <w:rFonts w:ascii="Arial" w:eastAsia="Times New Roman" w:hAnsi="Arial" w:cs="Arial"/>
          <w:sz w:val="20"/>
          <w:szCs w:val="20"/>
        </w:rPr>
        <w:t xml:space="preserve"> and stored at </w:t>
      </w:r>
      <w:r w:rsidRPr="006D7293">
        <w:rPr>
          <w:rFonts w:ascii="Arial" w:eastAsia="Times New Roman" w:hAnsi="Arial" w:cs="Arial"/>
          <w:sz w:val="20"/>
          <w:szCs w:val="20"/>
        </w:rPr>
        <w:t>4 °C</w:t>
      </w:r>
      <w:r>
        <w:rPr>
          <w:rFonts w:ascii="Arial" w:eastAsia="Times New Roman" w:hAnsi="Arial" w:cs="Arial"/>
          <w:sz w:val="20"/>
          <w:szCs w:val="20"/>
        </w:rPr>
        <w:t xml:space="preserve"> until further use</w:t>
      </w:r>
      <w:r w:rsidRPr="001A7494">
        <w:rPr>
          <w:rFonts w:ascii="Arial" w:eastAsia="Times New Roman" w:hAnsi="Arial" w:cs="Arial"/>
          <w:sz w:val="20"/>
          <w:szCs w:val="20"/>
        </w:rPr>
        <w:t>.</w:t>
      </w:r>
    </w:p>
    <w:p w14:paraId="20881D72" w14:textId="0B01CB25" w:rsidR="00334AA6" w:rsidRPr="007121CA" w:rsidRDefault="00000000" w:rsidP="001652E5">
      <w:pPr>
        <w:pStyle w:val="ListParagraph"/>
        <w:numPr>
          <w:ilvl w:val="2"/>
          <w:numId w:val="3"/>
        </w:numPr>
        <w:spacing w:line="360" w:lineRule="auto"/>
        <w:contextualSpacing w:val="0"/>
        <w:jc w:val="both"/>
        <w:rPr>
          <w:rFonts w:ascii="Arial" w:eastAsia="Times New Roman" w:hAnsi="Arial" w:cs="Arial"/>
          <w:sz w:val="20"/>
          <w:szCs w:val="20"/>
        </w:rPr>
      </w:pPr>
      <w:r w:rsidRPr="007121CA">
        <w:rPr>
          <w:rFonts w:ascii="Arial" w:eastAsia="Times New Roman" w:hAnsi="Arial" w:cs="Arial"/>
          <w:b/>
          <w:bCs/>
          <w:sz w:val="20"/>
          <w:szCs w:val="20"/>
        </w:rPr>
        <w:t>Determination of Total Phenolics</w:t>
      </w:r>
      <w:r w:rsidR="004E6F86">
        <w:rPr>
          <w:rFonts w:ascii="Arial" w:eastAsia="Times New Roman" w:hAnsi="Arial" w:cs="Arial"/>
          <w:b/>
          <w:bCs/>
          <w:sz w:val="20"/>
          <w:szCs w:val="20"/>
        </w:rPr>
        <w:t>.</w:t>
      </w:r>
    </w:p>
    <w:p w14:paraId="53C4F4D0" w14:textId="2D739103" w:rsidR="00F83549" w:rsidRPr="001A7494" w:rsidRDefault="00F83549" w:rsidP="001652E5">
      <w:pPr>
        <w:spacing w:after="240" w:line="360" w:lineRule="auto"/>
        <w:jc w:val="both"/>
        <w:rPr>
          <w:rFonts w:ascii="Arial" w:eastAsia="Times New Roman" w:hAnsi="Arial" w:cs="Arial"/>
          <w:sz w:val="20"/>
          <w:szCs w:val="20"/>
          <w:lang w:val="en-GB"/>
        </w:rPr>
      </w:pPr>
      <w:bookmarkStart w:id="0" w:name="_heading=h.gjdgxs" w:colFirst="0" w:colLast="0"/>
      <w:bookmarkEnd w:id="0"/>
      <w:r w:rsidRPr="001A7494">
        <w:rPr>
          <w:rFonts w:ascii="Arial" w:eastAsia="Times New Roman" w:hAnsi="Arial" w:cs="Arial"/>
          <w:sz w:val="20"/>
          <w:szCs w:val="20"/>
          <w:lang w:val="en-GB"/>
        </w:rPr>
        <w:t xml:space="preserve">The test was conducted using a slightly modified version of the conventional procedure </w:t>
      </w:r>
      <w:r w:rsidRPr="001A7494">
        <w:rPr>
          <w:rFonts w:ascii="Arial" w:eastAsia="Times New Roman" w:hAnsi="Arial" w:cs="Arial"/>
          <w:sz w:val="20"/>
          <w:szCs w:val="20"/>
        </w:rPr>
        <w:fldChar w:fldCharType="begin"/>
      </w:r>
      <w:r w:rsidRPr="001A7494">
        <w:rPr>
          <w:rFonts w:ascii="Arial" w:eastAsia="Times New Roman" w:hAnsi="Arial" w:cs="Arial"/>
          <w:sz w:val="20"/>
          <w:szCs w:val="20"/>
        </w:rPr>
        <w:instrText xml:space="preserve"> ADDIN ZOTERO_ITEM CSL_CITATION {"citationID":"32eZGUBJ","properties":{"formattedCitation":"(Singleton et al., 1999)","plainCitation":"(Singleton et al., 1999)","noteIndex":0},"citationItems":[{"id":461,"uris":["http://zotero.org/users/10343621/items/N4DACKX5"],"itemData":{"id":461,"type":"chapter","abstract":"This chapter discusses the analysis of total phenols and other oxidation substrates and antioxidants by means of Folin-Ciocalteu reagent. Analyses of the Folin-Ciocalteu (FC) type are convenient, simple, and require only common equipment and have produced a large body of comparable data. Under proper conditions, the assay is inclusive of monophenols and gives predictable reactions with the types of phenols found in nature. Because different phenols react to different degrees, expression of the results as a single number—such as milligrams per liter gallic acid equivalence—is necessarily arbitrary. Because the reaction is independent, quantitative, and predictable, analysis of a mixture of phenols can be recalculated in terms of any other standard. The assay measures all compounds readily oxidizable under the reaction conditions and its very inclusiveness allows certain substances to also react that are either not phenols or seldom thought of as phenols (e.g., proteins). Judicious use of the assay—with consideration of potential interferences in particular samples and prior study if necessary—can lead to very informative results. Aggregate analysis of this type is an important supplement to and often more informative than reems of data difficult to summarize from various techniques, such as high-performance liquid chromatography (HPLC) that separate a large number of individual compounds .The predictable reaction of components in a mixture makes it possible to determine a single reactant by other means and to calculate its contribution to the total FC phenol content. Relative insensitivity of the FC analysis to many adsorbents and precipitants makes differential assay—before and after several different treatments—informative.","collection-title":"Oxidants and Antioxidants Part A","container-title":"Methods in Enzymology","DOI":"10.1016/S0076-6879(99)99017-1","page":"152-178","publisher":"Academic Press","source":"ScienceDirect","title":"Analysis of total phenols and other oxidation substrates and antioxidants by means of folin-ciocalteu reagent","URL":"https://www.sciencedirect.com/science/article/pii/S0076687999990171","volume":"299","author":[{"family":"Singleton","given":"Vernon L."},{"family":"Orthofer","given":"Rudolf"},{"family":"Lamuela-Raventós","given":"Rosa M."}],"accessed":{"date-parts":[["2023",9,12]]},"issued":{"date-parts":[["1999",1,1]]}}}],"schema":"https://github.com/citation-style-language/schema/raw/master/csl-citation.json"} </w:instrText>
      </w:r>
      <w:r w:rsidRPr="001A7494">
        <w:rPr>
          <w:rFonts w:ascii="Arial" w:eastAsia="Times New Roman" w:hAnsi="Arial" w:cs="Arial"/>
          <w:sz w:val="20"/>
          <w:szCs w:val="20"/>
        </w:rPr>
        <w:fldChar w:fldCharType="separate"/>
      </w:r>
      <w:r w:rsidR="00F964F1" w:rsidRPr="00F964F1">
        <w:rPr>
          <w:rFonts w:ascii="Arial" w:hAnsi="Arial" w:cs="Arial"/>
          <w:sz w:val="20"/>
        </w:rPr>
        <w:t>(Singleton et al., 1999)</w:t>
      </w:r>
      <w:r w:rsidRPr="001A7494">
        <w:rPr>
          <w:rFonts w:ascii="Arial" w:eastAsia="Times New Roman" w:hAnsi="Arial" w:cs="Arial"/>
          <w:sz w:val="20"/>
          <w:szCs w:val="20"/>
        </w:rPr>
        <w:fldChar w:fldCharType="end"/>
      </w:r>
      <w:r w:rsidRPr="001A7494">
        <w:rPr>
          <w:rFonts w:ascii="Arial" w:eastAsia="Times New Roman" w:hAnsi="Arial" w:cs="Arial"/>
          <w:sz w:val="20"/>
          <w:szCs w:val="20"/>
          <w:lang w:val="en-GB"/>
        </w:rPr>
        <w:t>. Folin-Ciocalteu's reagent (0.1 mL, 1 N) was combined with 1 millilitre of ethanolic plant extract (conc; 10 mg/mL) dissolved in distilled water, and the mixture was let to stand for fifteen minutes. After adding 5 mL of saturated Na2CO3, the mixture was let to stand at room temperature for 30 minutes. The Shimadzu Double monochromator UV-2700i UV-visible spectrophotometer was used to detect absorbance at 760 nm after 30 minutes. Gallic acid values of 10, 20, 30, and 90 μg/mL were used as standards to create the calibration curve. (Fig</w:t>
      </w:r>
      <w:r w:rsidR="00765C7C" w:rsidRPr="001A7494">
        <w:rPr>
          <w:rFonts w:ascii="Arial" w:eastAsia="Times New Roman" w:hAnsi="Arial" w:cs="Arial"/>
          <w:sz w:val="20"/>
          <w:szCs w:val="20"/>
          <w:lang w:val="en-GB"/>
        </w:rPr>
        <w:t>ure</w:t>
      </w:r>
      <w:r w:rsidRPr="001A7494">
        <w:rPr>
          <w:rFonts w:ascii="Arial" w:eastAsia="Times New Roman" w:hAnsi="Arial" w:cs="Arial"/>
          <w:sz w:val="20"/>
          <w:szCs w:val="20"/>
          <w:lang w:val="en-GB"/>
        </w:rPr>
        <w:t xml:space="preserve"> 1</w:t>
      </w:r>
      <w:r w:rsidR="00765C7C" w:rsidRPr="001A7494">
        <w:rPr>
          <w:rFonts w:ascii="Arial" w:eastAsia="Times New Roman" w:hAnsi="Arial" w:cs="Arial"/>
          <w:sz w:val="20"/>
          <w:szCs w:val="20"/>
          <w:lang w:val="en-GB"/>
        </w:rPr>
        <w:t>.</w:t>
      </w:r>
      <w:r w:rsidRPr="001A7494">
        <w:rPr>
          <w:rFonts w:ascii="Arial" w:eastAsia="Times New Roman" w:hAnsi="Arial" w:cs="Arial"/>
          <w:sz w:val="20"/>
          <w:szCs w:val="20"/>
          <w:lang w:val="en-GB"/>
        </w:rPr>
        <w:t xml:space="preserve"> A). Gallic acid equivalent (mg GAE/g) is used to express total phenols.</w:t>
      </w:r>
    </w:p>
    <w:p w14:paraId="0EE3C7E1" w14:textId="5EDB0615" w:rsidR="00334AA6" w:rsidRPr="007121CA" w:rsidRDefault="00000000" w:rsidP="001652E5">
      <w:pPr>
        <w:pStyle w:val="ListParagraph"/>
        <w:numPr>
          <w:ilvl w:val="2"/>
          <w:numId w:val="3"/>
        </w:numPr>
        <w:spacing w:line="360" w:lineRule="auto"/>
        <w:contextualSpacing w:val="0"/>
        <w:jc w:val="both"/>
        <w:rPr>
          <w:rFonts w:ascii="Arial" w:eastAsia="Times New Roman" w:hAnsi="Arial" w:cs="Arial"/>
          <w:sz w:val="20"/>
          <w:szCs w:val="20"/>
        </w:rPr>
      </w:pPr>
      <w:r w:rsidRPr="007121CA">
        <w:rPr>
          <w:rFonts w:ascii="Arial" w:eastAsia="Times New Roman" w:hAnsi="Arial" w:cs="Arial"/>
          <w:b/>
          <w:bCs/>
          <w:sz w:val="20"/>
          <w:szCs w:val="20"/>
        </w:rPr>
        <w:t>Determination of Total Flavonoids</w:t>
      </w:r>
      <w:r w:rsidR="004E6F86">
        <w:rPr>
          <w:rFonts w:ascii="Arial" w:eastAsia="Times New Roman" w:hAnsi="Arial" w:cs="Arial"/>
          <w:b/>
          <w:bCs/>
          <w:sz w:val="20"/>
          <w:szCs w:val="20"/>
        </w:rPr>
        <w:t>.</w:t>
      </w:r>
    </w:p>
    <w:p w14:paraId="32EC69C6" w14:textId="6379C926" w:rsidR="00334AA6" w:rsidRPr="001A7494" w:rsidRDefault="00F83549" w:rsidP="001652E5">
      <w:pPr>
        <w:spacing w:after="240" w:line="360" w:lineRule="auto"/>
        <w:jc w:val="both"/>
        <w:rPr>
          <w:rFonts w:ascii="Arial" w:eastAsia="Times New Roman" w:hAnsi="Arial" w:cs="Arial"/>
          <w:sz w:val="20"/>
          <w:szCs w:val="20"/>
        </w:rPr>
      </w:pPr>
      <w:bookmarkStart w:id="1" w:name="_heading=h.1fob9te" w:colFirst="0" w:colLast="0"/>
      <w:bookmarkEnd w:id="1"/>
      <w:r w:rsidRPr="001A7494">
        <w:rPr>
          <w:rFonts w:ascii="Arial" w:eastAsia="Times New Roman" w:hAnsi="Arial" w:cs="Arial"/>
          <w:sz w:val="20"/>
          <w:szCs w:val="20"/>
        </w:rPr>
        <w:t xml:space="preserve">Total flavonoid content was determined using the aluminium chloride colorimetric method with slight modifications, using quercetin as the reference standard </w:t>
      </w:r>
      <w:r w:rsidRPr="001A7494">
        <w:rPr>
          <w:rFonts w:ascii="Arial" w:eastAsia="Times New Roman" w:hAnsi="Arial" w:cs="Arial"/>
          <w:sz w:val="20"/>
          <w:szCs w:val="20"/>
        </w:rPr>
        <w:fldChar w:fldCharType="begin"/>
      </w:r>
      <w:r w:rsidRPr="001A7494">
        <w:rPr>
          <w:rFonts w:ascii="Arial" w:eastAsia="Times New Roman" w:hAnsi="Arial" w:cs="Arial"/>
          <w:sz w:val="20"/>
          <w:szCs w:val="20"/>
        </w:rPr>
        <w:instrText xml:space="preserve"> ADDIN ZOTERO_ITEM CSL_CITATION {"citationID":"rSvSRnv2","properties":{"formattedCitation":"(Chang et al., 2020)","plainCitation":"(Chang et al., 2020)","noteIndex":0},"citationItems":[{"id":593,"uris":["http://zotero.org/users/10343621/items/LA6EI3XS"],"itemData":{"id":593,"type":"article-journal","container-title":"Journal of Food and Drug Analysis","DOI":"10.38212/2224-6614.2748","ISSN":"2224-6614","issue":"3","title":"Estimation of total flavonoid content in propolis by two complementary colometric methods","URL":"https://www.jfda-online.com/journal/vol10/iss3/3","volume":"10","author":[{"family":"Chang","given":"C.-C."},{"family":"Yang","given":"M.-H."},{"family":"Wen","given":"H.-M."},{"family":"Chern","given":"J.-C."}],"issued":{"date-parts":[["2020",7,14]]}}}],"schema":"https://github.com/citation-style-language/schema/raw/master/csl-citation.json"} </w:instrText>
      </w:r>
      <w:r w:rsidRPr="001A7494">
        <w:rPr>
          <w:rFonts w:ascii="Arial" w:eastAsia="Times New Roman" w:hAnsi="Arial" w:cs="Arial"/>
          <w:sz w:val="20"/>
          <w:szCs w:val="20"/>
        </w:rPr>
        <w:fldChar w:fldCharType="separate"/>
      </w:r>
      <w:r w:rsidR="00F964F1" w:rsidRPr="00F964F1">
        <w:rPr>
          <w:rFonts w:ascii="Arial" w:hAnsi="Arial" w:cs="Arial"/>
          <w:sz w:val="20"/>
        </w:rPr>
        <w:t>(Chang et al., 2020)</w:t>
      </w:r>
      <w:r w:rsidRPr="001A7494">
        <w:rPr>
          <w:rFonts w:ascii="Arial" w:eastAsia="Times New Roman" w:hAnsi="Arial" w:cs="Arial"/>
          <w:sz w:val="20"/>
          <w:szCs w:val="20"/>
        </w:rPr>
        <w:fldChar w:fldCharType="end"/>
      </w:r>
      <w:r w:rsidRPr="001A7494">
        <w:rPr>
          <w:rFonts w:ascii="Arial" w:eastAsia="Times New Roman" w:hAnsi="Arial" w:cs="Arial"/>
          <w:sz w:val="20"/>
          <w:szCs w:val="20"/>
        </w:rPr>
        <w:t>.. Briefly, 1 mL of ethanolic plant extract at a concentration of 10 mg/mL was mixed with 75 µL of sodium nitrite solution. After 5 min of incubation, 150 µL of 10% aluminium chloride was added, and the reaction mixture was allowed to stand for 6 min. The final volume was adjusted to 2.5 mL using distilled water, followed by the addition of 0.5 mL sodium hydroxide. The absorbance was measured at 510 nm. A quercetin calibration curve was prepared using concentrations ranging from 10 to 100 µg/mL (Figure 1</w:t>
      </w:r>
      <w:r w:rsidR="00765C7C" w:rsidRPr="001A7494">
        <w:rPr>
          <w:rFonts w:ascii="Arial" w:eastAsia="Times New Roman" w:hAnsi="Arial" w:cs="Arial"/>
          <w:sz w:val="20"/>
          <w:szCs w:val="20"/>
        </w:rPr>
        <w:t xml:space="preserve">. </w:t>
      </w:r>
      <w:r w:rsidRPr="001A7494">
        <w:rPr>
          <w:rFonts w:ascii="Arial" w:eastAsia="Times New Roman" w:hAnsi="Arial" w:cs="Arial"/>
          <w:sz w:val="20"/>
          <w:szCs w:val="20"/>
        </w:rPr>
        <w:t>B), and the total flavonoid content was expressed as mg quercetin equivalents per gram of extract (mg QE/g).</w:t>
      </w:r>
    </w:p>
    <w:p w14:paraId="02316C59" w14:textId="25B84A94" w:rsidR="00B736EC" w:rsidRPr="001A7494" w:rsidRDefault="00B736EC" w:rsidP="001652E5">
      <w:pPr>
        <w:spacing w:line="360" w:lineRule="auto"/>
        <w:jc w:val="both"/>
        <w:rPr>
          <w:rFonts w:ascii="Arial" w:eastAsia="Times New Roman" w:hAnsi="Arial" w:cs="Arial"/>
          <w:b/>
          <w:bCs/>
          <w:i/>
          <w:iCs/>
          <w:sz w:val="20"/>
          <w:szCs w:val="20"/>
        </w:rPr>
      </w:pPr>
    </w:p>
    <w:p w14:paraId="5BF6834C" w14:textId="510BA065" w:rsidR="00B736EC" w:rsidRPr="001A7494" w:rsidRDefault="00765C7C" w:rsidP="001652E5">
      <w:pPr>
        <w:spacing w:line="360" w:lineRule="auto"/>
        <w:jc w:val="both"/>
        <w:rPr>
          <w:rFonts w:ascii="Arial" w:eastAsia="Times New Roman" w:hAnsi="Arial" w:cs="Arial"/>
          <w:sz w:val="20"/>
          <w:szCs w:val="20"/>
        </w:rPr>
      </w:pPr>
      <w:r w:rsidRPr="001A7494">
        <w:rPr>
          <w:rFonts w:ascii="Arial" w:eastAsia="Times New Roman" w:hAnsi="Arial" w:cs="Arial"/>
          <w:noProof/>
          <w:sz w:val="20"/>
          <w:szCs w:val="20"/>
        </w:rPr>
        <w:lastRenderedPageBreak/>
        <w:drawing>
          <wp:inline distT="0" distB="0" distL="0" distR="0" wp14:anchorId="20B22EF3" wp14:editId="0A1DD8DC">
            <wp:extent cx="5943600" cy="2112645"/>
            <wp:effectExtent l="0" t="0" r="0" b="1905"/>
            <wp:docPr id="91211059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2112645"/>
                    </a:xfrm>
                    <a:prstGeom prst="rect">
                      <a:avLst/>
                    </a:prstGeom>
                    <a:noFill/>
                    <a:ln>
                      <a:noFill/>
                    </a:ln>
                  </pic:spPr>
                </pic:pic>
              </a:graphicData>
            </a:graphic>
          </wp:inline>
        </w:drawing>
      </w:r>
    </w:p>
    <w:p w14:paraId="2CC3E435" w14:textId="11A85886" w:rsidR="00765C7C" w:rsidRPr="004E6F86" w:rsidRDefault="004E6F86" w:rsidP="001652E5">
      <w:pPr>
        <w:spacing w:line="360" w:lineRule="auto"/>
        <w:jc w:val="both"/>
        <w:rPr>
          <w:rFonts w:ascii="Arial" w:eastAsia="Times New Roman" w:hAnsi="Arial" w:cs="Arial"/>
          <w:sz w:val="20"/>
          <w:szCs w:val="20"/>
        </w:rPr>
      </w:pPr>
      <w:r w:rsidRPr="004E6F86">
        <w:rPr>
          <w:rFonts w:ascii="Arial" w:eastAsia="Times New Roman" w:hAnsi="Arial" w:cs="Arial"/>
          <w:b/>
          <w:bCs/>
          <w:sz w:val="20"/>
          <w:szCs w:val="20"/>
        </w:rPr>
        <w:t>Figure 1. Standard Curves for Estimation of Total Phenols and Flavonoids.</w:t>
      </w:r>
    </w:p>
    <w:p w14:paraId="620DC14B" w14:textId="77777777" w:rsidR="00765C7C" w:rsidRPr="001A7494" w:rsidRDefault="00765C7C" w:rsidP="001652E5">
      <w:pPr>
        <w:spacing w:line="360" w:lineRule="auto"/>
        <w:jc w:val="both"/>
        <w:rPr>
          <w:rFonts w:ascii="Arial" w:eastAsia="Times New Roman" w:hAnsi="Arial" w:cs="Arial"/>
          <w:b/>
          <w:bCs/>
          <w:i/>
          <w:iCs/>
          <w:sz w:val="20"/>
          <w:szCs w:val="20"/>
        </w:rPr>
      </w:pPr>
    </w:p>
    <w:p w14:paraId="32A2A1C7" w14:textId="7B02EF4A" w:rsidR="00334AA6" w:rsidRPr="007121CA" w:rsidRDefault="00000000" w:rsidP="001652E5">
      <w:pPr>
        <w:pStyle w:val="ListParagraph"/>
        <w:numPr>
          <w:ilvl w:val="1"/>
          <w:numId w:val="3"/>
        </w:numPr>
        <w:spacing w:line="360" w:lineRule="auto"/>
        <w:contextualSpacing w:val="0"/>
        <w:jc w:val="both"/>
        <w:rPr>
          <w:rFonts w:ascii="Arial" w:eastAsia="Times New Roman" w:hAnsi="Arial" w:cs="Arial"/>
          <w:sz w:val="20"/>
          <w:szCs w:val="20"/>
        </w:rPr>
      </w:pPr>
      <w:r w:rsidRPr="007121CA">
        <w:rPr>
          <w:rFonts w:ascii="Arial" w:eastAsia="Times New Roman" w:hAnsi="Arial" w:cs="Arial"/>
          <w:b/>
          <w:bCs/>
          <w:i/>
          <w:iCs/>
          <w:sz w:val="20"/>
          <w:szCs w:val="20"/>
        </w:rPr>
        <w:t>In vitro</w:t>
      </w:r>
      <w:r w:rsidRPr="007121CA">
        <w:rPr>
          <w:rFonts w:ascii="Arial" w:eastAsia="Times New Roman" w:hAnsi="Arial" w:cs="Arial"/>
          <w:b/>
          <w:bCs/>
          <w:sz w:val="20"/>
          <w:szCs w:val="20"/>
        </w:rPr>
        <w:t xml:space="preserve"> Antioxidant Assays</w:t>
      </w:r>
      <w:r w:rsidR="004E6F86">
        <w:rPr>
          <w:rFonts w:ascii="Arial" w:eastAsia="Times New Roman" w:hAnsi="Arial" w:cs="Arial"/>
          <w:b/>
          <w:bCs/>
          <w:sz w:val="20"/>
          <w:szCs w:val="20"/>
        </w:rPr>
        <w:t>.</w:t>
      </w:r>
    </w:p>
    <w:p w14:paraId="242528C2" w14:textId="3AA2DBD9" w:rsidR="00334AA6" w:rsidRPr="007121CA" w:rsidRDefault="00000000" w:rsidP="001652E5">
      <w:pPr>
        <w:pStyle w:val="ListParagraph"/>
        <w:numPr>
          <w:ilvl w:val="2"/>
          <w:numId w:val="3"/>
        </w:numPr>
        <w:spacing w:line="360" w:lineRule="auto"/>
        <w:contextualSpacing w:val="0"/>
        <w:jc w:val="both"/>
        <w:rPr>
          <w:rFonts w:ascii="Arial" w:eastAsia="Times New Roman" w:hAnsi="Arial" w:cs="Arial"/>
          <w:sz w:val="20"/>
          <w:szCs w:val="20"/>
        </w:rPr>
      </w:pPr>
      <w:bookmarkStart w:id="2" w:name="_heading=h.y37ad6iphiua" w:colFirst="0" w:colLast="0"/>
      <w:bookmarkEnd w:id="2"/>
      <w:r w:rsidRPr="007121CA">
        <w:rPr>
          <w:rFonts w:ascii="Arial" w:eastAsia="Times New Roman" w:hAnsi="Arial" w:cs="Arial"/>
          <w:b/>
          <w:bCs/>
          <w:sz w:val="20"/>
          <w:szCs w:val="20"/>
        </w:rPr>
        <w:t>Total Antioxidant Capacity Assay by Phosphomolybdenum Method</w:t>
      </w:r>
      <w:r w:rsidR="004E6F86">
        <w:rPr>
          <w:rFonts w:ascii="Arial" w:eastAsia="Times New Roman" w:hAnsi="Arial" w:cs="Arial"/>
          <w:b/>
          <w:bCs/>
          <w:sz w:val="20"/>
          <w:szCs w:val="20"/>
        </w:rPr>
        <w:t>.</w:t>
      </w:r>
    </w:p>
    <w:p w14:paraId="41E27A7C" w14:textId="63EFFB8B" w:rsidR="003D54EE" w:rsidRPr="001A7494" w:rsidRDefault="003D54EE" w:rsidP="001652E5">
      <w:pPr>
        <w:spacing w:after="240" w:line="360" w:lineRule="auto"/>
        <w:jc w:val="both"/>
        <w:rPr>
          <w:rFonts w:ascii="Arial" w:eastAsia="Times New Roman" w:hAnsi="Arial" w:cs="Arial"/>
          <w:sz w:val="20"/>
          <w:szCs w:val="20"/>
        </w:rPr>
      </w:pPr>
      <w:r w:rsidRPr="001A7494">
        <w:rPr>
          <w:rFonts w:ascii="Arial" w:eastAsia="Times New Roman" w:hAnsi="Arial" w:cs="Arial"/>
          <w:sz w:val="20"/>
          <w:szCs w:val="20"/>
        </w:rPr>
        <w:t xml:space="preserve">Total antioxidant capacity was evaluated using the phosphomolybdenum assay with minor modifications to the method described by </w:t>
      </w:r>
      <w:r w:rsidRPr="001A7494">
        <w:rPr>
          <w:rFonts w:ascii="Arial" w:eastAsia="Times New Roman" w:hAnsi="Arial" w:cs="Arial"/>
          <w:sz w:val="20"/>
          <w:szCs w:val="20"/>
        </w:rPr>
        <w:fldChar w:fldCharType="begin"/>
      </w:r>
      <w:r w:rsidRPr="001A7494">
        <w:rPr>
          <w:rFonts w:ascii="Arial" w:eastAsia="Times New Roman" w:hAnsi="Arial" w:cs="Arial"/>
          <w:sz w:val="20"/>
          <w:szCs w:val="20"/>
        </w:rPr>
        <w:instrText xml:space="preserve"> ADDIN ZOTERO_ITEM CSL_CITATION {"citationID":"87EoCbeT","properties":{"formattedCitation":"(P. Prieto et al., 1999)","plainCitation":"(P. Prieto et al., 1999)","noteIndex":0},"citationItems":[{"id":2806,"uris":["http://zotero.org/users/10343621/items/H6DQV4CE"],"itemData":{"id":2806,"type":"article-journal","abstract":"A spectrophotometric method has been developed for the quantitative determination of antioxidant capacity. The assay is based on the reduction of Mo(VI) to Mo(V) by the sample analyte and the subsequent formation of a green phosphate/Mo(V) complex at acidic pH. The method has been optimized and characterized with respect to linearity interval, repetitivity and reproducibility, and molar absorption coefficients for the quantitation of several antioxidants, including vitamin E. The phosphomolybdenum method, in combination with hexane monophasic extraction, has also been adapted for the specific determination of vitamin E in seeds. The results obtained with the proposed method were validated by comparison with a standard HPLC method. The phosphomolybdenum method is routinely applied in our laboratory to evaluate the total antioxidant capacity of plant extracts and to determine vitamin E in a variety of grains and seeds, including corn and soybean.","container-title":"Analytical Biochemistry","DOI":"10.1006/abio.1999.4019","ISSN":"0003-2697","issue":"2","journalAbbreviation":"Analytical Biochemistry","page":"337-341","source":"ScienceDirect","title":"Spectrophotometric Quantitation of Antioxidant Capacity through the Formation of a Phosphomolybdenum Complex: Specific Application to the Determination of Vitamin E","title-short":"Spectrophotometric Quantitation of Antioxidant Capacity through the Formation of a Phosphomolybdenum Complex","volume":"269","author":[{"family":"Prieto","given":"Pilar"},{"family":"Pineda","given":"Manuel"},{"family":"Aguilar","given":"Miguel"}],"issued":{"date-parts":[["1999",5,1]]}}}],"schema":"https://github.com/citation-style-language/schema/raw/master/csl-citation.json"} </w:instrText>
      </w:r>
      <w:r w:rsidRPr="001A7494">
        <w:rPr>
          <w:rFonts w:ascii="Arial" w:eastAsia="Times New Roman" w:hAnsi="Arial" w:cs="Arial"/>
          <w:sz w:val="20"/>
          <w:szCs w:val="20"/>
        </w:rPr>
        <w:fldChar w:fldCharType="separate"/>
      </w:r>
      <w:r w:rsidR="00F964F1" w:rsidRPr="00F964F1">
        <w:rPr>
          <w:rFonts w:ascii="Arial" w:hAnsi="Arial" w:cs="Arial"/>
          <w:sz w:val="20"/>
        </w:rPr>
        <w:t>(P. Prieto et al., 1999)</w:t>
      </w:r>
      <w:r w:rsidRPr="001A7494">
        <w:rPr>
          <w:rFonts w:ascii="Arial" w:eastAsia="Times New Roman" w:hAnsi="Arial" w:cs="Arial"/>
          <w:sz w:val="20"/>
          <w:szCs w:val="20"/>
        </w:rPr>
        <w:fldChar w:fldCharType="end"/>
      </w:r>
      <w:r w:rsidRPr="001A7494">
        <w:rPr>
          <w:rFonts w:ascii="Arial" w:eastAsia="Times New Roman" w:hAnsi="Arial" w:cs="Arial"/>
          <w:sz w:val="20"/>
          <w:szCs w:val="20"/>
        </w:rPr>
        <w:t xml:space="preserve">.. In brief, 100 µL of plant extract was transferred into a microcentrifuge tube, followed by the addition of 1 mL reagent solution containing 0.6 M sulphuric acid, 4 mM ammonium molybdate, and 28 mM sodium phosphate. The tubes were tightly capped and incubated at 95 °C for 90 min. After incubation, the reaction mixtures were cooled to room temperature, and absorbance was recorded at 695 nm using an ELISA plate reader (SpectraMax iD3) against a reagent blank. Ascorbic acid was used as the standard (Figure </w:t>
      </w:r>
      <w:r w:rsidR="00765C7C" w:rsidRPr="001A7494">
        <w:rPr>
          <w:rFonts w:ascii="Arial" w:eastAsia="Times New Roman" w:hAnsi="Arial" w:cs="Arial"/>
          <w:sz w:val="20"/>
          <w:szCs w:val="20"/>
        </w:rPr>
        <w:t>2. A</w:t>
      </w:r>
      <w:r w:rsidRPr="001A7494">
        <w:rPr>
          <w:rFonts w:ascii="Arial" w:eastAsia="Times New Roman" w:hAnsi="Arial" w:cs="Arial"/>
          <w:sz w:val="20"/>
          <w:szCs w:val="20"/>
        </w:rPr>
        <w:t>).</w:t>
      </w:r>
    </w:p>
    <w:p w14:paraId="595DE11D" w14:textId="3601E165" w:rsidR="00334AA6" w:rsidRPr="007121CA" w:rsidRDefault="00000000" w:rsidP="001652E5">
      <w:pPr>
        <w:pStyle w:val="ListParagraph"/>
        <w:numPr>
          <w:ilvl w:val="2"/>
          <w:numId w:val="3"/>
        </w:numPr>
        <w:spacing w:line="360" w:lineRule="auto"/>
        <w:contextualSpacing w:val="0"/>
        <w:jc w:val="both"/>
        <w:rPr>
          <w:rFonts w:ascii="Arial" w:eastAsia="Times New Roman" w:hAnsi="Arial" w:cs="Arial"/>
          <w:sz w:val="20"/>
          <w:szCs w:val="20"/>
        </w:rPr>
      </w:pPr>
      <w:r w:rsidRPr="007121CA">
        <w:rPr>
          <w:rFonts w:ascii="Arial" w:eastAsia="Times New Roman" w:hAnsi="Arial" w:cs="Arial"/>
          <w:b/>
          <w:bCs/>
          <w:sz w:val="20"/>
          <w:szCs w:val="20"/>
        </w:rPr>
        <w:t>Reducing Power Assay</w:t>
      </w:r>
      <w:r w:rsidR="004E6F86">
        <w:rPr>
          <w:rFonts w:ascii="Arial" w:eastAsia="Times New Roman" w:hAnsi="Arial" w:cs="Arial"/>
          <w:b/>
          <w:bCs/>
          <w:sz w:val="20"/>
          <w:szCs w:val="20"/>
        </w:rPr>
        <w:t>.</w:t>
      </w:r>
    </w:p>
    <w:p w14:paraId="7FC16681" w14:textId="424B0DDA" w:rsidR="003D54EE" w:rsidRPr="001A7494" w:rsidRDefault="003D54EE" w:rsidP="001652E5">
      <w:pPr>
        <w:spacing w:after="240" w:line="360" w:lineRule="auto"/>
        <w:jc w:val="both"/>
        <w:rPr>
          <w:rFonts w:ascii="Arial" w:eastAsia="Times New Roman" w:hAnsi="Arial" w:cs="Arial"/>
          <w:sz w:val="20"/>
          <w:szCs w:val="20"/>
        </w:rPr>
      </w:pPr>
      <w:r w:rsidRPr="001A7494">
        <w:rPr>
          <w:rFonts w:ascii="Arial" w:eastAsia="Times New Roman" w:hAnsi="Arial" w:cs="Arial"/>
          <w:sz w:val="20"/>
          <w:szCs w:val="20"/>
        </w:rPr>
        <w:t xml:space="preserve">The reducing power of the extracts was determined according to the method of </w:t>
      </w:r>
      <w:r w:rsidRPr="001A7494">
        <w:rPr>
          <w:rFonts w:ascii="Arial" w:eastAsia="Times New Roman" w:hAnsi="Arial" w:cs="Arial"/>
          <w:sz w:val="20"/>
          <w:szCs w:val="20"/>
        </w:rPr>
        <w:fldChar w:fldCharType="begin"/>
      </w:r>
      <w:r w:rsidRPr="001A7494">
        <w:rPr>
          <w:rFonts w:ascii="Arial" w:eastAsia="Times New Roman" w:hAnsi="Arial" w:cs="Arial"/>
          <w:sz w:val="20"/>
          <w:szCs w:val="20"/>
        </w:rPr>
        <w:instrText xml:space="preserve"> ADDIN ZOTERO_ITEM CSL_CITATION {"citationID":"6h6dtHjv","properties":{"formattedCitation":"(Oyaizu, 1986)","plainCitation":"(Oyaizu, 1986)","noteIndex":0},"citationItems":[{"id":2809,"uris":["http://zotero.org/users/10343621/items/SZ2TS6Z8"],"itemData":{"id":2809,"type":"article-journal","container-title":"The Japanese Journal of Nutrition and Dietetics","DOI":"10.5264/eiyogakuzashi.44.307","publisher":"The Japanese Society of Nutrition and Dietetics","source":"www.scienceopen.com","title":"Studies on products of browning reaction. Antioxidative activities of products of browning reaction prepared from glucosamine.","URL":"https://www.scienceopen.com/document?vid=e9892d47-a667-4b79-8fbf-c9ff8196ebbb","author":[{"family":"Oyaizu","given":"Makoto"}],"accessed":{"date-parts":[["2024",5,16]]},"issued":{"date-parts":[["1986",1,1]]}}}],"schema":"https://github.com/citation-style-language/schema/raw/master/csl-citation.json"} </w:instrText>
      </w:r>
      <w:r w:rsidRPr="001A7494">
        <w:rPr>
          <w:rFonts w:ascii="Arial" w:eastAsia="Times New Roman" w:hAnsi="Arial" w:cs="Arial"/>
          <w:sz w:val="20"/>
          <w:szCs w:val="20"/>
        </w:rPr>
        <w:fldChar w:fldCharType="separate"/>
      </w:r>
      <w:r w:rsidR="00F964F1" w:rsidRPr="00F964F1">
        <w:rPr>
          <w:rFonts w:ascii="Arial" w:hAnsi="Arial" w:cs="Arial"/>
          <w:sz w:val="20"/>
        </w:rPr>
        <w:t>(Oyaizu, 1986)</w:t>
      </w:r>
      <w:r w:rsidRPr="001A7494">
        <w:rPr>
          <w:rFonts w:ascii="Arial" w:eastAsia="Times New Roman" w:hAnsi="Arial" w:cs="Arial"/>
          <w:sz w:val="20"/>
          <w:szCs w:val="20"/>
        </w:rPr>
        <w:fldChar w:fldCharType="end"/>
      </w:r>
      <w:r w:rsidRPr="001A7494">
        <w:rPr>
          <w:rFonts w:ascii="Arial" w:eastAsia="Times New Roman" w:hAnsi="Arial" w:cs="Arial"/>
          <w:sz w:val="20"/>
          <w:szCs w:val="20"/>
        </w:rPr>
        <w:t xml:space="preserve">, with suitable modifications. One millilitre of extract or standard at different concentrations was mixed with 2.5 mL phosphate buffer (0.2 M, pH 6.6) and 2.5 mL of 1% potassium ferricyanide. The mixture was vortexed thoroughly and incubated at 50 °C for 20 min. After cooling, 2.5 mL of 10% trichloroacetic acid was added, and the mixture was centrifuged at 3000 rpm for 10 min. Then, 2.5 mL of the upper supernatant was collected and mixed with 2.5 mL distilled water and 0.5 mL of 0.1% ferric chloride. Absorbance was measured at 700 nm against a blank, with </w:t>
      </w:r>
      <w:r w:rsidR="00765C7C" w:rsidRPr="001A7494">
        <w:rPr>
          <w:rFonts w:ascii="Arial" w:eastAsia="Times New Roman" w:hAnsi="Arial" w:cs="Arial"/>
          <w:sz w:val="20"/>
          <w:szCs w:val="20"/>
        </w:rPr>
        <w:t>butylated hydroxy toluene (BHT)</w:t>
      </w:r>
      <w:r w:rsidRPr="001A7494">
        <w:rPr>
          <w:rFonts w:ascii="Arial" w:eastAsia="Times New Roman" w:hAnsi="Arial" w:cs="Arial"/>
          <w:sz w:val="20"/>
          <w:szCs w:val="20"/>
        </w:rPr>
        <w:t xml:space="preserve"> used as the reference standard (Figure </w:t>
      </w:r>
      <w:r w:rsidR="00765C7C" w:rsidRPr="001A7494">
        <w:rPr>
          <w:rFonts w:ascii="Arial" w:eastAsia="Times New Roman" w:hAnsi="Arial" w:cs="Arial"/>
          <w:sz w:val="20"/>
          <w:szCs w:val="20"/>
        </w:rPr>
        <w:t>2. B</w:t>
      </w:r>
      <w:r w:rsidRPr="001A7494">
        <w:rPr>
          <w:rFonts w:ascii="Arial" w:eastAsia="Times New Roman" w:hAnsi="Arial" w:cs="Arial"/>
          <w:sz w:val="20"/>
          <w:szCs w:val="20"/>
        </w:rPr>
        <w:t>).</w:t>
      </w:r>
    </w:p>
    <w:p w14:paraId="1CEBFDE0" w14:textId="5702F26F" w:rsidR="00765C7C" w:rsidRPr="001A7494" w:rsidRDefault="00765C7C" w:rsidP="001652E5">
      <w:pPr>
        <w:spacing w:line="360" w:lineRule="auto"/>
        <w:jc w:val="both"/>
        <w:rPr>
          <w:rFonts w:ascii="Arial" w:eastAsia="Times New Roman" w:hAnsi="Arial" w:cs="Arial"/>
          <w:sz w:val="20"/>
          <w:szCs w:val="20"/>
        </w:rPr>
      </w:pPr>
      <w:r w:rsidRPr="001A7494">
        <w:rPr>
          <w:rFonts w:ascii="Arial" w:eastAsia="Times New Roman" w:hAnsi="Arial" w:cs="Arial"/>
          <w:noProof/>
          <w:sz w:val="20"/>
          <w:szCs w:val="20"/>
        </w:rPr>
        <w:lastRenderedPageBreak/>
        <w:drawing>
          <wp:inline distT="0" distB="0" distL="0" distR="0" wp14:anchorId="0938D6F5" wp14:editId="4ACF347F">
            <wp:extent cx="5943600" cy="2112645"/>
            <wp:effectExtent l="0" t="0" r="0" b="1905"/>
            <wp:docPr id="49709569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2112645"/>
                    </a:xfrm>
                    <a:prstGeom prst="rect">
                      <a:avLst/>
                    </a:prstGeom>
                    <a:noFill/>
                    <a:ln>
                      <a:noFill/>
                    </a:ln>
                  </pic:spPr>
                </pic:pic>
              </a:graphicData>
            </a:graphic>
          </wp:inline>
        </w:drawing>
      </w:r>
    </w:p>
    <w:p w14:paraId="50E6F4C5" w14:textId="77777777" w:rsidR="004E6F86" w:rsidRPr="004E6F86" w:rsidRDefault="004E6F86" w:rsidP="004E6F86">
      <w:pPr>
        <w:spacing w:line="360" w:lineRule="auto"/>
        <w:jc w:val="both"/>
        <w:rPr>
          <w:rFonts w:ascii="Arial" w:eastAsia="Times New Roman" w:hAnsi="Arial" w:cs="Arial"/>
          <w:b/>
          <w:bCs/>
          <w:sz w:val="20"/>
          <w:szCs w:val="20"/>
        </w:rPr>
      </w:pPr>
      <w:r w:rsidRPr="004E6F86">
        <w:rPr>
          <w:rFonts w:ascii="Arial" w:eastAsia="Times New Roman" w:hAnsi="Arial" w:cs="Arial"/>
          <w:b/>
          <w:bCs/>
          <w:sz w:val="20"/>
          <w:szCs w:val="20"/>
        </w:rPr>
        <w:t>Figure 2. Standard Curves for Estimation of Total Antioxidant Capacity and Reducing Power Activity.</w:t>
      </w:r>
    </w:p>
    <w:p w14:paraId="62F517B1" w14:textId="77777777" w:rsidR="007121CA" w:rsidRDefault="007121CA" w:rsidP="001652E5">
      <w:pPr>
        <w:spacing w:line="360" w:lineRule="auto"/>
        <w:jc w:val="both"/>
        <w:rPr>
          <w:rFonts w:ascii="Arial" w:eastAsia="Times New Roman" w:hAnsi="Arial" w:cs="Arial"/>
          <w:b/>
          <w:bCs/>
          <w:sz w:val="20"/>
          <w:szCs w:val="20"/>
        </w:rPr>
      </w:pPr>
    </w:p>
    <w:p w14:paraId="5A535C9C" w14:textId="0130BCC2" w:rsidR="00334AA6" w:rsidRPr="007121CA" w:rsidRDefault="00000000" w:rsidP="001652E5">
      <w:pPr>
        <w:pStyle w:val="ListParagraph"/>
        <w:numPr>
          <w:ilvl w:val="2"/>
          <w:numId w:val="3"/>
        </w:numPr>
        <w:spacing w:line="360" w:lineRule="auto"/>
        <w:contextualSpacing w:val="0"/>
        <w:jc w:val="both"/>
        <w:rPr>
          <w:rFonts w:ascii="Arial" w:eastAsia="Times New Roman" w:hAnsi="Arial" w:cs="Arial"/>
          <w:sz w:val="20"/>
          <w:szCs w:val="20"/>
        </w:rPr>
      </w:pPr>
      <w:r w:rsidRPr="007121CA">
        <w:rPr>
          <w:rFonts w:ascii="Arial" w:eastAsia="Times New Roman" w:hAnsi="Arial" w:cs="Arial"/>
          <w:b/>
          <w:bCs/>
          <w:sz w:val="20"/>
          <w:szCs w:val="20"/>
        </w:rPr>
        <w:t>DPPH Radical Scavenging Assay</w:t>
      </w:r>
      <w:r w:rsidR="004E6F86">
        <w:rPr>
          <w:rFonts w:ascii="Arial" w:eastAsia="Times New Roman" w:hAnsi="Arial" w:cs="Arial"/>
          <w:b/>
          <w:bCs/>
          <w:sz w:val="20"/>
          <w:szCs w:val="20"/>
        </w:rPr>
        <w:t>.</w:t>
      </w:r>
    </w:p>
    <w:p w14:paraId="1E8EFCFE" w14:textId="551BCC69" w:rsidR="004E6F86" w:rsidRDefault="003D54EE" w:rsidP="001652E5">
      <w:pPr>
        <w:spacing w:before="240" w:after="240" w:line="360" w:lineRule="auto"/>
        <w:jc w:val="both"/>
        <w:rPr>
          <w:rFonts w:ascii="Arial" w:eastAsia="Times New Roman" w:hAnsi="Arial" w:cs="Arial"/>
          <w:sz w:val="20"/>
          <w:szCs w:val="20"/>
        </w:rPr>
      </w:pPr>
      <w:bookmarkStart w:id="3" w:name="_heading=h.t9i7t4rmf8sx" w:colFirst="0" w:colLast="0"/>
      <w:bookmarkEnd w:id="3"/>
      <w:r w:rsidRPr="001A7494">
        <w:rPr>
          <w:rFonts w:ascii="Arial" w:eastAsia="Times New Roman" w:hAnsi="Arial" w:cs="Arial"/>
          <w:sz w:val="20"/>
          <w:szCs w:val="20"/>
        </w:rPr>
        <w:t xml:space="preserve">The free radical scavenging activity of the extracts was determined using a microplate DPPH assay, modified from </w:t>
      </w:r>
      <w:r w:rsidRPr="001A7494">
        <w:rPr>
          <w:rFonts w:ascii="Arial" w:eastAsia="Times New Roman" w:hAnsi="Arial" w:cs="Arial"/>
          <w:sz w:val="20"/>
          <w:szCs w:val="20"/>
        </w:rPr>
        <w:fldChar w:fldCharType="begin"/>
      </w:r>
      <w:r w:rsidRPr="001A7494">
        <w:rPr>
          <w:rFonts w:ascii="Arial" w:eastAsia="Times New Roman" w:hAnsi="Arial" w:cs="Arial"/>
          <w:sz w:val="20"/>
          <w:szCs w:val="20"/>
        </w:rPr>
        <w:instrText xml:space="preserve"> ADDIN ZOTERO_ITEM CSL_CITATION {"citationID":"vEHx0kXp","properties":{"formattedCitation":"(J. M. Prieto, 2012)","plainCitation":"(J. M. Prieto, 2012)","noteIndex":0},"citationItems":[{"id":2818,"uris":["http://zotero.org/users/10343621/items/QD4BY3YS"],"itemData":{"id":2818,"type":"article-journal","container-title":"Dr Prieto’s DPPH Microplate Protocol","page":"1-3","title":"Procedure: Preparation of DPPH Radical, and Antioxidant Scavenging Assay. .","author":[{"family":"Prieto","given":"J.M"}],"issued":{"date-parts":[["2012",2,7]]}}}],"schema":"https://github.com/citation-style-language/schema/raw/master/csl-citation.json"} </w:instrText>
      </w:r>
      <w:r w:rsidRPr="001A7494">
        <w:rPr>
          <w:rFonts w:ascii="Arial" w:eastAsia="Times New Roman" w:hAnsi="Arial" w:cs="Arial"/>
          <w:sz w:val="20"/>
          <w:szCs w:val="20"/>
        </w:rPr>
        <w:fldChar w:fldCharType="separate"/>
      </w:r>
      <w:r w:rsidR="00F964F1" w:rsidRPr="00F964F1">
        <w:rPr>
          <w:rFonts w:ascii="Arial" w:hAnsi="Arial" w:cs="Arial"/>
          <w:sz w:val="20"/>
        </w:rPr>
        <w:t>(J. M. Prieto, 2012)</w:t>
      </w:r>
      <w:r w:rsidRPr="001A7494">
        <w:rPr>
          <w:rFonts w:ascii="Arial" w:eastAsia="Times New Roman" w:hAnsi="Arial" w:cs="Arial"/>
          <w:sz w:val="20"/>
          <w:szCs w:val="20"/>
        </w:rPr>
        <w:fldChar w:fldCharType="end"/>
      </w:r>
      <w:r w:rsidRPr="001A7494">
        <w:rPr>
          <w:rFonts w:ascii="Arial" w:eastAsia="Times New Roman" w:hAnsi="Arial" w:cs="Arial"/>
          <w:sz w:val="20"/>
          <w:szCs w:val="20"/>
        </w:rPr>
        <w:t xml:space="preserve"> and </w:t>
      </w:r>
      <w:r w:rsidRPr="001A7494">
        <w:rPr>
          <w:rFonts w:ascii="Arial" w:eastAsia="Times New Roman" w:hAnsi="Arial" w:cs="Arial"/>
          <w:sz w:val="20"/>
          <w:szCs w:val="20"/>
        </w:rPr>
        <w:fldChar w:fldCharType="begin"/>
      </w:r>
      <w:r w:rsidRPr="001A7494">
        <w:rPr>
          <w:rFonts w:ascii="Arial" w:eastAsia="Times New Roman" w:hAnsi="Arial" w:cs="Arial"/>
          <w:sz w:val="20"/>
          <w:szCs w:val="20"/>
        </w:rPr>
        <w:instrText xml:space="preserve"> ADDIN ZOTERO_ITEM CSL_CITATION {"citationID":"jQQS57ld","properties":{"formattedCitation":"(Kazi et al., 2025)","plainCitation":"(Kazi et al., 2025)","noteIndex":0},"citationItems":[{"id":4053,"uris":["http://zotero.org/users/10343621/items/GGJYNKAK"],"itemData":{"id":4053,"type":"article-journal","abstract":"Cycas circinalis L., a gymnosperm, is traditionally used by tribal people for various medicinal and culinary purposes. This study investigates the phytoconstituents and antioxidant potential of the leaves, bark, and male cone of C. circinalis. Qualitative screening and quantitative analysis were conducted, followed by analysis of antioxidant potential using in vitro assays. High-performance thin-layer chromatography (HPTLC) analysis of phenols and flavonoids was carried out to identify active constituents. Various phytoconstituents, including alkaloids, phenols, flavonoids, glycosides, quinones, and sterols, were identified in different extracts. The ethanolic extract of the leaves exhibited the highest total phenolic content (8.169 mg GAE/g), while the male cones showed the highest flavonoid content (2.825 mg QE/g). The bark demonstrated significant radical scavenging activity, particularly in ABTS (IC50 59.44 μg/mL) and DPPH (IC50 358.3 μg/mL) assays. In contrast, the leaves exhibited moderate activity across all assays, and the male cones showed relatively lower antioxidant activity, except in the total antioxidant capacity assay (19.25 mg AAE/g). HPTLC analysis detected gallic acid in the bark, along with several unidentified bands. This study is the first to report presence of gallic acid in the extract of bark of C. circinalis. Given the plant’s traditional use in treating swellings, wounds, and ulcers, along with the presence of diverse secondary metabolites and significant in vitro bioactivity, this study highlights the potential of C. circinalis as a natural antioxidant with promising applications in wound treatment.","container-title":"Current Botany","DOI":"10.25081/cb.2025.v16.9123","ISSN":"2220-4822","language":"en","page":"59-67","source":"updatepublishing.com","title":"Phytochemical evaluation and in vitro antioxidant potential of Cycas circinalis L.","author":[{"family":"Kazi","given":"Zoofishan"},{"family":"Singh","given":"Simran"},{"family":"Lobo","given":"Vijaya"}],"issued":{"date-parts":[["2025",3,22]]}}}],"schema":"https://github.com/citation-style-language/schema/raw/master/csl-citation.json"} </w:instrText>
      </w:r>
      <w:r w:rsidRPr="001A7494">
        <w:rPr>
          <w:rFonts w:ascii="Arial" w:eastAsia="Times New Roman" w:hAnsi="Arial" w:cs="Arial"/>
          <w:sz w:val="20"/>
          <w:szCs w:val="20"/>
        </w:rPr>
        <w:fldChar w:fldCharType="separate"/>
      </w:r>
      <w:r w:rsidR="00F964F1" w:rsidRPr="00F964F1">
        <w:rPr>
          <w:rFonts w:ascii="Arial" w:hAnsi="Arial" w:cs="Arial"/>
          <w:sz w:val="20"/>
        </w:rPr>
        <w:t>(Kazi et al., 2025)</w:t>
      </w:r>
      <w:r w:rsidRPr="001A7494">
        <w:rPr>
          <w:rFonts w:ascii="Arial" w:eastAsia="Times New Roman" w:hAnsi="Arial" w:cs="Arial"/>
          <w:sz w:val="20"/>
          <w:szCs w:val="20"/>
        </w:rPr>
        <w:fldChar w:fldCharType="end"/>
      </w:r>
      <w:r w:rsidRPr="001A7494">
        <w:rPr>
          <w:rFonts w:ascii="Arial" w:eastAsia="Times New Roman" w:hAnsi="Arial" w:cs="Arial"/>
          <w:sz w:val="20"/>
          <w:szCs w:val="20"/>
        </w:rPr>
        <w:t>. In each well, 100 µL of extract at the required concentration was mixed with 100 µL of freshly prepared 0.2 mM DPPH solution. The plate was protected from light using aluminium foil and incubated for 30 min at 25 °C. After incubation, absorbance was read at 517 nm. The control contained 70% ethanol instead of extract, while ascorbic acid was used as the positive control. DPPH radical inhibition was calculated using:</w:t>
      </w:r>
    </w:p>
    <w:p w14:paraId="4D65C93A" w14:textId="6E8C65ED" w:rsidR="00C80004" w:rsidRPr="001652E5" w:rsidRDefault="003D54EE" w:rsidP="004E6F86">
      <w:pPr>
        <w:spacing w:before="240" w:after="360" w:line="360" w:lineRule="auto"/>
        <w:jc w:val="both"/>
        <w:rPr>
          <w:rFonts w:ascii="Arial" w:eastAsia="Times New Roman" w:hAnsi="Arial" w:cs="Arial"/>
          <w:sz w:val="20"/>
          <w:szCs w:val="20"/>
        </w:rPr>
      </w:pPr>
      <m:oMathPara>
        <m:oMath>
          <m:r>
            <w:rPr>
              <w:rFonts w:ascii="Cambria Math" w:eastAsia="Times New Roman" w:hAnsi="Cambria Math" w:cs="Arial"/>
              <w:sz w:val="20"/>
              <w:szCs w:val="20"/>
            </w:rPr>
            <m:t xml:space="preserve">% DPPH Inhibition= </m:t>
          </m:r>
          <m:f>
            <m:fPr>
              <m:ctrlPr>
                <w:rPr>
                  <w:rFonts w:ascii="Cambria Math" w:eastAsia="Times New Roman" w:hAnsi="Cambria Math" w:cs="Arial"/>
                  <w:i/>
                  <w:sz w:val="20"/>
                  <w:szCs w:val="20"/>
                </w:rPr>
              </m:ctrlPr>
            </m:fPr>
            <m:num>
              <m:r>
                <w:rPr>
                  <w:rFonts w:ascii="Cambria Math" w:eastAsia="Times New Roman" w:hAnsi="Cambria Math" w:cs="Arial"/>
                  <w:sz w:val="20"/>
                  <w:szCs w:val="20"/>
                </w:rPr>
                <m:t>Abs. control-Abs. saample</m:t>
              </m:r>
            </m:num>
            <m:den>
              <m:r>
                <w:rPr>
                  <w:rFonts w:ascii="Cambria Math" w:eastAsia="Times New Roman" w:hAnsi="Cambria Math" w:cs="Arial"/>
                  <w:sz w:val="20"/>
                  <w:szCs w:val="20"/>
                </w:rPr>
                <m:t>Abs. control</m:t>
              </m:r>
            </m:den>
          </m:f>
          <m:r>
            <w:rPr>
              <w:rFonts w:ascii="Cambria Math" w:eastAsia="Times New Roman" w:hAnsi="Cambria Math" w:cs="Arial"/>
              <w:sz w:val="20"/>
              <w:szCs w:val="20"/>
            </w:rPr>
            <m:t xml:space="preserve"> ×100</m:t>
          </m:r>
        </m:oMath>
      </m:oMathPara>
    </w:p>
    <w:p w14:paraId="561776CB" w14:textId="45C60284" w:rsidR="00334AA6" w:rsidRPr="007121CA" w:rsidRDefault="00000000" w:rsidP="001652E5">
      <w:pPr>
        <w:pStyle w:val="ListParagraph"/>
        <w:numPr>
          <w:ilvl w:val="2"/>
          <w:numId w:val="3"/>
        </w:numPr>
        <w:spacing w:line="360" w:lineRule="auto"/>
        <w:contextualSpacing w:val="0"/>
        <w:jc w:val="both"/>
        <w:rPr>
          <w:rFonts w:ascii="Arial" w:eastAsia="Times New Roman" w:hAnsi="Arial" w:cs="Arial"/>
          <w:sz w:val="20"/>
          <w:szCs w:val="20"/>
        </w:rPr>
      </w:pPr>
      <w:r w:rsidRPr="007121CA">
        <w:rPr>
          <w:rFonts w:ascii="Arial" w:eastAsia="Times New Roman" w:hAnsi="Arial" w:cs="Arial"/>
          <w:b/>
          <w:bCs/>
          <w:sz w:val="20"/>
          <w:szCs w:val="20"/>
        </w:rPr>
        <w:t>ABTS Radical Scavenging Assay</w:t>
      </w:r>
      <w:r w:rsidR="004E6F86">
        <w:rPr>
          <w:rFonts w:ascii="Arial" w:eastAsia="Times New Roman" w:hAnsi="Arial" w:cs="Arial"/>
          <w:b/>
          <w:bCs/>
          <w:sz w:val="20"/>
          <w:szCs w:val="20"/>
        </w:rPr>
        <w:t>.</w:t>
      </w:r>
    </w:p>
    <w:p w14:paraId="5D351F17" w14:textId="0092992B" w:rsidR="00C13338" w:rsidRPr="001A7494" w:rsidRDefault="003D54EE" w:rsidP="001652E5">
      <w:pPr>
        <w:spacing w:line="360" w:lineRule="auto"/>
        <w:jc w:val="both"/>
        <w:rPr>
          <w:rFonts w:ascii="Arial" w:eastAsia="Times New Roman" w:hAnsi="Arial" w:cs="Arial"/>
          <w:sz w:val="20"/>
          <w:szCs w:val="20"/>
          <w:lang w:val="en-GB"/>
        </w:rPr>
      </w:pPr>
      <w:r w:rsidRPr="001A7494">
        <w:rPr>
          <w:rFonts w:ascii="Arial" w:eastAsia="Times New Roman" w:hAnsi="Arial" w:cs="Arial"/>
          <w:sz w:val="20"/>
          <w:szCs w:val="20"/>
          <w:lang w:val="en-GB"/>
        </w:rPr>
        <w:t>ABTS radical scavenging activity was evaluated using a microplate-adapted method based on</w:t>
      </w:r>
      <w:r w:rsidRPr="001A7494">
        <w:rPr>
          <w:rFonts w:ascii="Arial" w:eastAsia="Times New Roman" w:hAnsi="Arial" w:cs="Arial"/>
          <w:sz w:val="20"/>
          <w:szCs w:val="20"/>
        </w:rPr>
        <w:fldChar w:fldCharType="begin"/>
      </w:r>
      <w:r w:rsidRPr="001A7494">
        <w:rPr>
          <w:rFonts w:ascii="Arial" w:eastAsia="Times New Roman" w:hAnsi="Arial" w:cs="Arial"/>
          <w:sz w:val="20"/>
          <w:szCs w:val="20"/>
        </w:rPr>
        <w:instrText xml:space="preserve"> ADDIN ZOTERO_ITEM CSL_CITATION {"citationID":"6WgKFRNl","properties":{"formattedCitation":"(Re et al., 1999)","plainCitation":"(Re et al., 1999)","noteIndex":0},"citationItems":[{"id":2812,"uris":["http://zotero.org/users/10343621/items/IF9AN7JZ"],"itemData":{"id":2812,"type":"article-journal","abstract":"A method for the screening of antioxidant activity is reported as a decolorization assay applicable to both lipophilic and hydrophilic antioxidants, including flavonoids, hydroxycinnamates, carotenoids, and plasma antioxidants. The pre-formed radical monocation of 2,2'-azinobis-(3-ethylbenzothiazoline-6-sulfonic acid) (ABTS*+) is generated by oxidation of ABTS with potassium persulfate and is reduced in the presence of such hydrogen-donating antioxidants. The influences of both the concentration of antioxidant and duration of reaction on the inhibition of the radical cation absorption are taken into account when determining the antioxidant activity. This assay clearly improves the original TEAC assay (the ferryl myoglobin/ABTS assay) for the determination of antioxidant activity in a number of ways. First, the chemistry involves the direct generation of the ABTS radical monocation with no involvement of an intermediary radical. Second, it is a decolorization assay; thus the radical cation is pre-formed prior to addition of antioxidant test systems, rather than the generation of the radical taking place continually in the presence of the antioxidant. Hence the results obtained with the improved system may not always be directly comparable with those obtained using the original TEAC assay. Third, it is applicable to both aqueous and lipophilic systems.","container-title":"Free Radical Biology &amp; Medicine","DOI":"10.1016/s0891-5849(98)00315-3","ISSN":"0891-5849","issue":"9-10","journalAbbreviation":"Free Radic Biol Med","language":"eng","page":"1231-1237","PMID":"10381194","source":"PubMed","title":"Antioxidant activity applying an improved ABTS radical cation decolorization assay","volume":"26","author":[{"family":"Re","given":"R."},{"family":"Pellegrini","given":"N."},{"family":"Proteggente","given":"A."},{"family":"Pannala","given":"A."},{"family":"Yang","given":"M."},{"family":"Rice-Evans","given":"C."}],"issued":{"date-parts":[["1999",5]]}}}],"schema":"https://github.com/citation-style-language/schema/raw/master/csl-citation.json"} </w:instrText>
      </w:r>
      <w:r w:rsidRPr="001A7494">
        <w:rPr>
          <w:rFonts w:ascii="Arial" w:eastAsia="Times New Roman" w:hAnsi="Arial" w:cs="Arial"/>
          <w:sz w:val="20"/>
          <w:szCs w:val="20"/>
        </w:rPr>
        <w:fldChar w:fldCharType="separate"/>
      </w:r>
      <w:r w:rsidR="00F964F1" w:rsidRPr="00F964F1">
        <w:rPr>
          <w:rFonts w:ascii="Arial" w:hAnsi="Arial" w:cs="Arial"/>
          <w:sz w:val="20"/>
        </w:rPr>
        <w:t>(Re et al., 1999)</w:t>
      </w:r>
      <w:r w:rsidRPr="001A7494">
        <w:rPr>
          <w:rFonts w:ascii="Arial" w:eastAsia="Times New Roman" w:hAnsi="Arial" w:cs="Arial"/>
          <w:sz w:val="20"/>
          <w:szCs w:val="20"/>
        </w:rPr>
        <w:fldChar w:fldCharType="end"/>
      </w:r>
      <w:r w:rsidRPr="001A7494">
        <w:rPr>
          <w:rFonts w:ascii="Arial" w:eastAsia="Times New Roman" w:hAnsi="Arial" w:cs="Arial"/>
          <w:sz w:val="20"/>
          <w:szCs w:val="20"/>
          <w:lang w:val="en-GB"/>
        </w:rPr>
        <w:t xml:space="preserve"> with modifications described by </w:t>
      </w:r>
      <w:r w:rsidRPr="001A7494">
        <w:rPr>
          <w:rFonts w:ascii="Arial" w:eastAsia="Times New Roman" w:hAnsi="Arial" w:cs="Arial"/>
          <w:sz w:val="20"/>
          <w:szCs w:val="20"/>
        </w:rPr>
        <w:fldChar w:fldCharType="begin"/>
      </w:r>
      <w:r w:rsidRPr="001A7494">
        <w:rPr>
          <w:rFonts w:ascii="Arial" w:eastAsia="Times New Roman" w:hAnsi="Arial" w:cs="Arial"/>
          <w:sz w:val="20"/>
          <w:szCs w:val="20"/>
        </w:rPr>
        <w:instrText xml:space="preserve"> ADDIN ZOTERO_ITEM CSL_CITATION {"citationID":"ZYVLEtkP","properties":{"formattedCitation":"(Kazi et al., 2025)","plainCitation":"(Kazi et al., 2025)","noteIndex":0},"citationItems":[{"id":4053,"uris":["http://zotero.org/users/10343621/items/GGJYNKAK"],"itemData":{"id":4053,"type":"article-journal","abstract":"Cycas circinalis L., a gymnosperm, is traditionally used by tribal people for various medicinal and culinary purposes. This study investigates the phytoconstituents and antioxidant potential of the leaves, bark, and male cone of C. circinalis. Qualitative screening and quantitative analysis were conducted, followed by analysis of antioxidant potential using in vitro assays. High-performance thin-layer chromatography (HPTLC) analysis of phenols and flavonoids was carried out to identify active constituents. Various phytoconstituents, including alkaloids, phenols, flavonoids, glycosides, quinones, and sterols, were identified in different extracts. The ethanolic extract of the leaves exhibited the highest total phenolic content (8.169 mg GAE/g), while the male cones showed the highest flavonoid content (2.825 mg QE/g). The bark demonstrated significant radical scavenging activity, particularly in ABTS (IC50 59.44 μg/mL) and DPPH (IC50 358.3 μg/mL) assays. In contrast, the leaves exhibited moderate activity across all assays, and the male cones showed relatively lower antioxidant activity, except in the total antioxidant capacity assay (19.25 mg AAE/g). HPTLC analysis detected gallic acid in the bark, along with several unidentified bands. This study is the first to report presence of gallic acid in the extract of bark of C. circinalis. Given the plant’s traditional use in treating swellings, wounds, and ulcers, along with the presence of diverse secondary metabolites and significant in vitro bioactivity, this study highlights the potential of C. circinalis as a natural antioxidant with promising applications in wound treatment.","container-title":"Current Botany","DOI":"10.25081/cb.2025.v16.9123","ISSN":"2220-4822","language":"en","page":"59-67","source":"updatepublishing.com","title":"Phytochemical evaluation and in vitro antioxidant potential of Cycas circinalis L.","author":[{"family":"Kazi","given":"Zoofishan"},{"family":"Singh","given":"Simran"},{"family":"Lobo","given":"Vijaya"}],"issued":{"date-parts":[["2025",3,22]]}}}],"schema":"https://github.com/citation-style-language/schema/raw/master/csl-citation.json"} </w:instrText>
      </w:r>
      <w:r w:rsidRPr="001A7494">
        <w:rPr>
          <w:rFonts w:ascii="Arial" w:eastAsia="Times New Roman" w:hAnsi="Arial" w:cs="Arial"/>
          <w:sz w:val="20"/>
          <w:szCs w:val="20"/>
        </w:rPr>
        <w:fldChar w:fldCharType="separate"/>
      </w:r>
      <w:r w:rsidR="00F964F1" w:rsidRPr="00F964F1">
        <w:rPr>
          <w:rFonts w:ascii="Arial" w:hAnsi="Arial" w:cs="Arial"/>
          <w:sz w:val="20"/>
        </w:rPr>
        <w:t>(Kazi et al., 2025)</w:t>
      </w:r>
      <w:r w:rsidRPr="001A7494">
        <w:rPr>
          <w:rFonts w:ascii="Arial" w:eastAsia="Times New Roman" w:hAnsi="Arial" w:cs="Arial"/>
          <w:sz w:val="20"/>
          <w:szCs w:val="20"/>
        </w:rPr>
        <w:fldChar w:fldCharType="end"/>
      </w:r>
      <w:r w:rsidRPr="001A7494">
        <w:rPr>
          <w:rFonts w:ascii="Arial" w:eastAsia="Times New Roman" w:hAnsi="Arial" w:cs="Arial"/>
          <w:sz w:val="20"/>
          <w:szCs w:val="20"/>
          <w:lang w:val="en-GB"/>
        </w:rPr>
        <w:t>. The ABTS radical solution was prepared by mixing 5 mL of 7 mM ABTS solution with 88 µL of 140 mM potassium persulfate. The mixture was kept in the dark at 25 °C for 16 h to allow radical formation. Before use, the ABTS working solution was diluted with distilled water in a 1:44 ratio. For the assay, 100 µL of extract or standard at different concentrations was added to each well, followed by 100 µL of diluted ABTS reagent. The plate was maintained at 25 °C, and absorbance was recorded at 734 nm after 6 min using a plate reader. The control contained 100 µL of 70% ethanol instead of sample, and Trolox was used as the reference standard. ABTS radical scavenging activity was calculated using:</w:t>
      </w:r>
    </w:p>
    <w:p w14:paraId="7CE1A058" w14:textId="72DA8BEA" w:rsidR="003D54EE" w:rsidRPr="001A7494" w:rsidRDefault="003D54EE" w:rsidP="004E6F86">
      <w:pPr>
        <w:spacing w:after="360" w:line="360" w:lineRule="auto"/>
        <w:jc w:val="both"/>
        <w:rPr>
          <w:rFonts w:ascii="Arial" w:eastAsia="Times New Roman" w:hAnsi="Arial" w:cs="Arial"/>
          <w:sz w:val="20"/>
          <w:szCs w:val="20"/>
        </w:rPr>
      </w:pPr>
      <m:oMathPara>
        <m:oMath>
          <m:r>
            <w:rPr>
              <w:rFonts w:ascii="Cambria Math" w:eastAsia="Times New Roman" w:hAnsi="Cambria Math" w:cs="Arial"/>
              <w:sz w:val="20"/>
              <w:szCs w:val="20"/>
            </w:rPr>
            <w:lastRenderedPageBreak/>
            <m:t xml:space="preserve">% ABTS Inhibition= </m:t>
          </m:r>
          <m:f>
            <m:fPr>
              <m:ctrlPr>
                <w:rPr>
                  <w:rFonts w:ascii="Cambria Math" w:eastAsia="Times New Roman" w:hAnsi="Cambria Math" w:cs="Arial"/>
                  <w:i/>
                  <w:sz w:val="20"/>
                  <w:szCs w:val="20"/>
                </w:rPr>
              </m:ctrlPr>
            </m:fPr>
            <m:num>
              <m:r>
                <w:rPr>
                  <w:rFonts w:ascii="Cambria Math" w:eastAsia="Times New Roman" w:hAnsi="Cambria Math" w:cs="Arial"/>
                  <w:sz w:val="20"/>
                  <w:szCs w:val="20"/>
                </w:rPr>
                <m:t>Abs. control-Abs. saample</m:t>
              </m:r>
            </m:num>
            <m:den>
              <m:r>
                <w:rPr>
                  <w:rFonts w:ascii="Cambria Math" w:eastAsia="Times New Roman" w:hAnsi="Cambria Math" w:cs="Arial"/>
                  <w:sz w:val="20"/>
                  <w:szCs w:val="20"/>
                </w:rPr>
                <m:t>Abs. control</m:t>
              </m:r>
            </m:den>
          </m:f>
          <m:r>
            <w:rPr>
              <w:rFonts w:ascii="Cambria Math" w:eastAsia="Times New Roman" w:hAnsi="Cambria Math" w:cs="Arial"/>
              <w:sz w:val="20"/>
              <w:szCs w:val="20"/>
            </w:rPr>
            <m:t xml:space="preserve"> ×100 </m:t>
          </m:r>
        </m:oMath>
      </m:oMathPara>
    </w:p>
    <w:p w14:paraId="623C6A35" w14:textId="585B69F4" w:rsidR="00334AA6" w:rsidRPr="007121CA" w:rsidRDefault="00000000" w:rsidP="001652E5">
      <w:pPr>
        <w:pStyle w:val="ListParagraph"/>
        <w:numPr>
          <w:ilvl w:val="1"/>
          <w:numId w:val="3"/>
        </w:numPr>
        <w:spacing w:line="360" w:lineRule="auto"/>
        <w:contextualSpacing w:val="0"/>
        <w:jc w:val="both"/>
        <w:rPr>
          <w:rFonts w:ascii="Arial" w:eastAsia="Times New Roman" w:hAnsi="Arial" w:cs="Arial"/>
          <w:sz w:val="20"/>
          <w:szCs w:val="20"/>
        </w:rPr>
      </w:pPr>
      <w:r w:rsidRPr="007121CA">
        <w:rPr>
          <w:rFonts w:ascii="Arial" w:eastAsia="Times New Roman" w:hAnsi="Arial" w:cs="Arial"/>
          <w:b/>
          <w:bCs/>
          <w:sz w:val="20"/>
          <w:szCs w:val="20"/>
        </w:rPr>
        <w:t>Statistical Analysis</w:t>
      </w:r>
      <w:r w:rsidR="004E6F86">
        <w:rPr>
          <w:rFonts w:ascii="Arial" w:eastAsia="Times New Roman" w:hAnsi="Arial" w:cs="Arial"/>
          <w:b/>
          <w:bCs/>
          <w:sz w:val="20"/>
          <w:szCs w:val="20"/>
        </w:rPr>
        <w:t>.</w:t>
      </w:r>
    </w:p>
    <w:p w14:paraId="64CB59BC" w14:textId="77777777" w:rsidR="003D54EE" w:rsidRPr="001A7494" w:rsidRDefault="003D54EE" w:rsidP="001652E5">
      <w:pPr>
        <w:spacing w:line="360" w:lineRule="auto"/>
        <w:jc w:val="both"/>
        <w:rPr>
          <w:rFonts w:ascii="Arial" w:eastAsia="Times New Roman" w:hAnsi="Arial" w:cs="Arial"/>
          <w:color w:val="000000"/>
          <w:sz w:val="20"/>
          <w:szCs w:val="20"/>
        </w:rPr>
      </w:pPr>
      <w:r w:rsidRPr="001A7494">
        <w:rPr>
          <w:rFonts w:ascii="Arial" w:eastAsia="Times New Roman" w:hAnsi="Arial" w:cs="Arial"/>
          <w:color w:val="000000"/>
          <w:sz w:val="20"/>
          <w:szCs w:val="20"/>
        </w:rPr>
        <w:t>All experimental observations, including phytochemical screening, total phenolic and flavonoid quantification, and antioxidant evaluations, were carried out in three independent replicates. The obtained data were summarized as mean ± standard deviation. Statistical differences among the extract groups were assessed using one-way ANOVA. Where a significant overall difference was observed, Tukey’s multiple comparison test was applied to identify differences between individual groups. Statistical significance was accepted at p ≤ 0.05. Data organization and statistical processing were performed using MS Excel and GraphPad Prism software.</w:t>
      </w:r>
    </w:p>
    <w:p w14:paraId="05925209" w14:textId="77777777" w:rsidR="00C80004" w:rsidRPr="001A7494" w:rsidRDefault="00C80004" w:rsidP="001652E5">
      <w:pPr>
        <w:spacing w:line="360" w:lineRule="auto"/>
        <w:jc w:val="both"/>
        <w:rPr>
          <w:rFonts w:ascii="Arial" w:eastAsia="Times New Roman" w:hAnsi="Arial" w:cs="Arial"/>
          <w:b/>
          <w:bCs/>
          <w:sz w:val="20"/>
          <w:szCs w:val="20"/>
        </w:rPr>
      </w:pPr>
    </w:p>
    <w:p w14:paraId="5A153C05" w14:textId="45FC9F70" w:rsidR="00334AA6" w:rsidRPr="007121CA" w:rsidRDefault="00000000" w:rsidP="004E6F86">
      <w:pPr>
        <w:pStyle w:val="ListParagraph"/>
        <w:numPr>
          <w:ilvl w:val="0"/>
          <w:numId w:val="3"/>
        </w:numPr>
        <w:spacing w:after="240" w:line="360" w:lineRule="auto"/>
        <w:contextualSpacing w:val="0"/>
        <w:jc w:val="both"/>
        <w:rPr>
          <w:rFonts w:ascii="Arial" w:eastAsia="Times New Roman" w:hAnsi="Arial" w:cs="Arial"/>
          <w:sz w:val="20"/>
          <w:szCs w:val="20"/>
        </w:rPr>
      </w:pPr>
      <w:r w:rsidRPr="007121CA">
        <w:rPr>
          <w:rFonts w:ascii="Arial" w:eastAsia="Times New Roman" w:hAnsi="Arial" w:cs="Arial"/>
          <w:b/>
          <w:bCs/>
        </w:rPr>
        <w:t>RESULTS</w:t>
      </w:r>
      <w:r w:rsidR="004E6F86">
        <w:rPr>
          <w:rFonts w:ascii="Arial" w:eastAsia="Times New Roman" w:hAnsi="Arial" w:cs="Arial"/>
          <w:b/>
          <w:bCs/>
        </w:rPr>
        <w:t>.</w:t>
      </w:r>
    </w:p>
    <w:p w14:paraId="4431E526" w14:textId="77777777" w:rsidR="00757964" w:rsidRPr="007121CA" w:rsidRDefault="00F83549" w:rsidP="001652E5">
      <w:pPr>
        <w:pStyle w:val="ListParagraph"/>
        <w:numPr>
          <w:ilvl w:val="1"/>
          <w:numId w:val="3"/>
        </w:numPr>
        <w:pBdr>
          <w:top w:val="nil"/>
          <w:left w:val="nil"/>
          <w:bottom w:val="nil"/>
          <w:right w:val="nil"/>
          <w:between w:val="nil"/>
        </w:pBdr>
        <w:spacing w:line="360" w:lineRule="auto"/>
        <w:contextualSpacing w:val="0"/>
        <w:jc w:val="both"/>
        <w:rPr>
          <w:rFonts w:ascii="Arial" w:hAnsi="Arial" w:cs="Arial"/>
          <w:sz w:val="20"/>
          <w:szCs w:val="20"/>
        </w:rPr>
      </w:pPr>
      <w:r w:rsidRPr="007121CA">
        <w:rPr>
          <w:rFonts w:ascii="Arial" w:eastAsia="Times New Roman" w:hAnsi="Arial" w:cs="Arial"/>
          <w:b/>
          <w:bCs/>
          <w:color w:val="000000"/>
          <w:sz w:val="20"/>
          <w:szCs w:val="20"/>
        </w:rPr>
        <w:t>Qualitative Phytochemical Analysis</w:t>
      </w:r>
      <w:r w:rsidR="00757964" w:rsidRPr="007121CA">
        <w:rPr>
          <w:rFonts w:ascii="Arial" w:hAnsi="Arial" w:cs="Arial"/>
          <w:sz w:val="20"/>
          <w:szCs w:val="20"/>
        </w:rPr>
        <w:t>.</w:t>
      </w:r>
    </w:p>
    <w:p w14:paraId="29576ECC" w14:textId="77777777" w:rsidR="009B6A57" w:rsidRPr="001A7494" w:rsidRDefault="009B6A57" w:rsidP="001652E5">
      <w:pPr>
        <w:pBdr>
          <w:top w:val="nil"/>
          <w:left w:val="nil"/>
          <w:bottom w:val="nil"/>
          <w:right w:val="nil"/>
          <w:between w:val="nil"/>
        </w:pBdr>
        <w:spacing w:line="360" w:lineRule="auto"/>
        <w:jc w:val="both"/>
        <w:rPr>
          <w:rFonts w:ascii="Arial" w:eastAsia="Times New Roman" w:hAnsi="Arial" w:cs="Arial"/>
          <w:sz w:val="20"/>
          <w:szCs w:val="20"/>
        </w:rPr>
      </w:pPr>
      <w:r w:rsidRPr="001A7494">
        <w:rPr>
          <w:rFonts w:ascii="Arial" w:eastAsia="Times New Roman" w:hAnsi="Arial" w:cs="Arial"/>
          <w:sz w:val="20"/>
          <w:szCs w:val="20"/>
        </w:rPr>
        <w:t xml:space="preserve">Qualitative screening of </w:t>
      </w:r>
      <w:r w:rsidRPr="001A7494">
        <w:rPr>
          <w:rFonts w:ascii="Arial" w:eastAsia="Times New Roman" w:hAnsi="Arial" w:cs="Arial"/>
          <w:i/>
          <w:iCs/>
          <w:sz w:val="20"/>
          <w:szCs w:val="20"/>
        </w:rPr>
        <w:t>D. latifolia</w:t>
      </w:r>
      <w:r w:rsidRPr="001A7494">
        <w:rPr>
          <w:rFonts w:ascii="Arial" w:eastAsia="Times New Roman" w:hAnsi="Arial" w:cs="Arial"/>
          <w:sz w:val="20"/>
          <w:szCs w:val="20"/>
        </w:rPr>
        <w:t xml:space="preserve"> extracts showed clear variation across plant parts and solvents (Table 1). Among the leaf extracts, methanol and ethanol showed the presence of alkaloids, flavonoids, tannins, phenols, diterpenes, sterols, cardiac glycosides, coumarins, quinones, and anthraquinones. Similarly, the methanolic and ethanolic stem extracts mainly showed flavonoids, tannins, phenols, diterpenes, sterols, coumarins, quinones, and anthraquinones. The methanolic and ethanolic bark extracts showed the presence of alkaloids, flavonoids, tannins, phenols, diterpenes, sterols, saponins, cardiac glycosides, and coumarins. Petroleum ether and ethyl acetate extracts showed limited phytochemical presence; however, triterpenoids were detected only in the petroleum ether extract of stem. Saponins were detected in all bark extracts except petroleum ether, while in stem they were observed only in the aqueous extract.</w:t>
      </w:r>
    </w:p>
    <w:p w14:paraId="1E9ADB67" w14:textId="38F1A518" w:rsidR="00334AA6" w:rsidRPr="001A7494" w:rsidRDefault="00757964" w:rsidP="001652E5">
      <w:pPr>
        <w:pBdr>
          <w:top w:val="nil"/>
          <w:left w:val="nil"/>
          <w:bottom w:val="nil"/>
          <w:right w:val="nil"/>
          <w:between w:val="nil"/>
        </w:pBdr>
        <w:spacing w:line="360" w:lineRule="auto"/>
        <w:jc w:val="both"/>
        <w:rPr>
          <w:rFonts w:ascii="Arial" w:eastAsia="Times New Roman" w:hAnsi="Arial" w:cs="Arial"/>
          <w:b/>
          <w:bCs/>
          <w:color w:val="000000"/>
          <w:sz w:val="20"/>
          <w:szCs w:val="20"/>
        </w:rPr>
      </w:pPr>
      <w:r w:rsidRPr="001A7494">
        <w:rPr>
          <w:rFonts w:ascii="Arial" w:eastAsia="Times New Roman" w:hAnsi="Arial" w:cs="Arial"/>
          <w:sz w:val="20"/>
          <w:szCs w:val="20"/>
        </w:rPr>
        <w:t>.</w:t>
      </w:r>
      <w:r w:rsidRPr="004E6F86">
        <w:rPr>
          <w:rFonts w:ascii="Arial" w:eastAsia="Times New Roman" w:hAnsi="Arial" w:cs="Arial"/>
          <w:b/>
          <w:bCs/>
          <w:sz w:val="20"/>
          <w:szCs w:val="20"/>
        </w:rPr>
        <w:t>Table</w:t>
      </w:r>
      <w:r w:rsidR="00487478" w:rsidRPr="004E6F86">
        <w:rPr>
          <w:rFonts w:ascii="Arial" w:eastAsia="Times New Roman" w:hAnsi="Arial" w:cs="Arial"/>
          <w:b/>
          <w:bCs/>
          <w:sz w:val="20"/>
          <w:szCs w:val="20"/>
        </w:rPr>
        <w:t xml:space="preserve"> 1</w:t>
      </w:r>
      <w:r w:rsidRPr="004E6F86">
        <w:rPr>
          <w:rFonts w:ascii="Arial" w:eastAsia="Times New Roman" w:hAnsi="Arial" w:cs="Arial"/>
          <w:b/>
          <w:bCs/>
          <w:sz w:val="20"/>
          <w:szCs w:val="20"/>
        </w:rPr>
        <w:t xml:space="preserve"> . Preliminary Phytochemical Analysis of Leaf, stem and bark extracts of D. latifolia.</w:t>
      </w:r>
    </w:p>
    <w:tbl>
      <w:tblPr>
        <w:tblStyle w:val="PlainTable2"/>
        <w:tblW w:w="9359" w:type="dxa"/>
        <w:tblLayout w:type="fixed"/>
        <w:tblLook w:val="0600" w:firstRow="0" w:lastRow="0" w:firstColumn="0" w:lastColumn="0" w:noHBand="1" w:noVBand="1"/>
      </w:tblPr>
      <w:tblGrid>
        <w:gridCol w:w="713"/>
        <w:gridCol w:w="981"/>
        <w:gridCol w:w="579"/>
        <w:gridCol w:w="594"/>
        <w:gridCol w:w="563"/>
        <w:gridCol w:w="623"/>
        <w:gridCol w:w="608"/>
        <w:gridCol w:w="548"/>
        <w:gridCol w:w="548"/>
        <w:gridCol w:w="548"/>
        <w:gridCol w:w="608"/>
        <w:gridCol w:w="578"/>
        <w:gridCol w:w="652"/>
        <w:gridCol w:w="608"/>
        <w:gridCol w:w="608"/>
      </w:tblGrid>
      <w:tr w:rsidR="00334AA6" w:rsidRPr="001A7494" w14:paraId="10295214" w14:textId="77777777" w:rsidTr="004E6F86">
        <w:trPr>
          <w:trHeight w:val="435"/>
        </w:trPr>
        <w:tc>
          <w:tcPr>
            <w:tcW w:w="713" w:type="dxa"/>
            <w:tcBorders>
              <w:top w:val="single" w:sz="4" w:space="0" w:color="7F7F7F" w:themeColor="text1" w:themeTint="80"/>
              <w:bottom w:val="single" w:sz="4" w:space="0" w:color="auto"/>
            </w:tcBorders>
          </w:tcPr>
          <w:p w14:paraId="35DFB9C3" w14:textId="77777777" w:rsidR="00334AA6" w:rsidRPr="001A7494" w:rsidRDefault="00000000" w:rsidP="001652E5">
            <w:pPr>
              <w:spacing w:line="360" w:lineRule="auto"/>
              <w:jc w:val="both"/>
              <w:rPr>
                <w:rFonts w:ascii="Arial" w:eastAsia="Times New Roman" w:hAnsi="Arial" w:cs="Arial"/>
                <w:b/>
                <w:bCs/>
                <w:sz w:val="20"/>
                <w:szCs w:val="20"/>
              </w:rPr>
            </w:pPr>
            <w:r w:rsidRPr="001A7494">
              <w:rPr>
                <w:rFonts w:ascii="Arial" w:eastAsia="Times New Roman" w:hAnsi="Arial" w:cs="Arial"/>
                <w:b/>
                <w:bCs/>
                <w:sz w:val="20"/>
                <w:szCs w:val="20"/>
              </w:rPr>
              <w:t>Part</w:t>
            </w:r>
          </w:p>
        </w:tc>
        <w:tc>
          <w:tcPr>
            <w:tcW w:w="981" w:type="dxa"/>
            <w:tcBorders>
              <w:top w:val="single" w:sz="4" w:space="0" w:color="7F7F7F" w:themeColor="text1" w:themeTint="80"/>
              <w:bottom w:val="single" w:sz="4" w:space="0" w:color="auto"/>
            </w:tcBorders>
          </w:tcPr>
          <w:p w14:paraId="62E64248" w14:textId="77777777" w:rsidR="00334AA6" w:rsidRPr="001A7494" w:rsidRDefault="00000000" w:rsidP="001652E5">
            <w:pPr>
              <w:spacing w:line="360" w:lineRule="auto"/>
              <w:jc w:val="both"/>
              <w:rPr>
                <w:rFonts w:ascii="Arial" w:eastAsia="Times New Roman" w:hAnsi="Arial" w:cs="Arial"/>
                <w:b/>
                <w:bCs/>
                <w:sz w:val="20"/>
                <w:szCs w:val="20"/>
              </w:rPr>
            </w:pPr>
            <w:r w:rsidRPr="001A7494">
              <w:rPr>
                <w:rFonts w:ascii="Arial" w:eastAsia="Times New Roman" w:hAnsi="Arial" w:cs="Arial"/>
                <w:b/>
                <w:bCs/>
                <w:sz w:val="20"/>
                <w:szCs w:val="20"/>
              </w:rPr>
              <w:t>Solvent</w:t>
            </w:r>
          </w:p>
        </w:tc>
        <w:tc>
          <w:tcPr>
            <w:tcW w:w="579" w:type="dxa"/>
            <w:tcBorders>
              <w:top w:val="single" w:sz="4" w:space="0" w:color="7F7F7F" w:themeColor="text1" w:themeTint="80"/>
              <w:bottom w:val="single" w:sz="4" w:space="0" w:color="auto"/>
            </w:tcBorders>
          </w:tcPr>
          <w:p w14:paraId="3689B932" w14:textId="77777777" w:rsidR="00334AA6" w:rsidRPr="001A7494" w:rsidRDefault="00000000" w:rsidP="001652E5">
            <w:pPr>
              <w:spacing w:line="360" w:lineRule="auto"/>
              <w:jc w:val="both"/>
              <w:rPr>
                <w:rFonts w:ascii="Arial" w:eastAsia="Times New Roman" w:hAnsi="Arial" w:cs="Arial"/>
                <w:b/>
                <w:bCs/>
                <w:sz w:val="20"/>
                <w:szCs w:val="20"/>
              </w:rPr>
            </w:pPr>
            <w:r w:rsidRPr="001A7494">
              <w:rPr>
                <w:rFonts w:ascii="Arial" w:eastAsia="Times New Roman" w:hAnsi="Arial" w:cs="Arial"/>
                <w:b/>
                <w:bCs/>
                <w:sz w:val="20"/>
                <w:szCs w:val="20"/>
              </w:rPr>
              <w:t>Lig</w:t>
            </w:r>
          </w:p>
        </w:tc>
        <w:tc>
          <w:tcPr>
            <w:tcW w:w="594" w:type="dxa"/>
            <w:tcBorders>
              <w:top w:val="single" w:sz="4" w:space="0" w:color="7F7F7F" w:themeColor="text1" w:themeTint="80"/>
              <w:bottom w:val="single" w:sz="4" w:space="0" w:color="auto"/>
            </w:tcBorders>
          </w:tcPr>
          <w:p w14:paraId="5C92825D" w14:textId="77777777" w:rsidR="00334AA6" w:rsidRPr="001A7494" w:rsidRDefault="00000000" w:rsidP="001652E5">
            <w:pPr>
              <w:spacing w:line="360" w:lineRule="auto"/>
              <w:jc w:val="both"/>
              <w:rPr>
                <w:rFonts w:ascii="Arial" w:eastAsia="Times New Roman" w:hAnsi="Arial" w:cs="Arial"/>
                <w:b/>
                <w:bCs/>
                <w:sz w:val="20"/>
                <w:szCs w:val="20"/>
              </w:rPr>
            </w:pPr>
            <w:r w:rsidRPr="001A7494">
              <w:rPr>
                <w:rFonts w:ascii="Arial" w:eastAsia="Times New Roman" w:hAnsi="Arial" w:cs="Arial"/>
                <w:b/>
                <w:bCs/>
                <w:sz w:val="20"/>
                <w:szCs w:val="20"/>
              </w:rPr>
              <w:t>Alk</w:t>
            </w:r>
          </w:p>
        </w:tc>
        <w:tc>
          <w:tcPr>
            <w:tcW w:w="563" w:type="dxa"/>
            <w:tcBorders>
              <w:top w:val="single" w:sz="4" w:space="0" w:color="7F7F7F" w:themeColor="text1" w:themeTint="80"/>
              <w:bottom w:val="single" w:sz="4" w:space="0" w:color="auto"/>
            </w:tcBorders>
          </w:tcPr>
          <w:p w14:paraId="7BA00365" w14:textId="77777777" w:rsidR="00334AA6" w:rsidRPr="001A7494" w:rsidRDefault="00000000" w:rsidP="001652E5">
            <w:pPr>
              <w:spacing w:line="360" w:lineRule="auto"/>
              <w:jc w:val="both"/>
              <w:rPr>
                <w:rFonts w:ascii="Arial" w:eastAsia="Times New Roman" w:hAnsi="Arial" w:cs="Arial"/>
                <w:b/>
                <w:bCs/>
                <w:sz w:val="20"/>
                <w:szCs w:val="20"/>
              </w:rPr>
            </w:pPr>
            <w:r w:rsidRPr="001A7494">
              <w:rPr>
                <w:rFonts w:ascii="Arial" w:eastAsia="Times New Roman" w:hAnsi="Arial" w:cs="Arial"/>
                <w:b/>
                <w:bCs/>
                <w:sz w:val="20"/>
                <w:szCs w:val="20"/>
              </w:rPr>
              <w:t>Fla</w:t>
            </w:r>
          </w:p>
        </w:tc>
        <w:tc>
          <w:tcPr>
            <w:tcW w:w="623" w:type="dxa"/>
            <w:tcBorders>
              <w:top w:val="single" w:sz="4" w:space="0" w:color="7F7F7F" w:themeColor="text1" w:themeTint="80"/>
              <w:bottom w:val="single" w:sz="4" w:space="0" w:color="auto"/>
            </w:tcBorders>
          </w:tcPr>
          <w:p w14:paraId="44AF432F" w14:textId="77777777" w:rsidR="00334AA6" w:rsidRPr="001A7494" w:rsidRDefault="00000000" w:rsidP="001652E5">
            <w:pPr>
              <w:spacing w:line="360" w:lineRule="auto"/>
              <w:jc w:val="both"/>
              <w:rPr>
                <w:rFonts w:ascii="Arial" w:eastAsia="Times New Roman" w:hAnsi="Arial" w:cs="Arial"/>
                <w:b/>
                <w:bCs/>
                <w:sz w:val="20"/>
                <w:szCs w:val="20"/>
              </w:rPr>
            </w:pPr>
            <w:r w:rsidRPr="001A7494">
              <w:rPr>
                <w:rFonts w:ascii="Arial" w:eastAsia="Times New Roman" w:hAnsi="Arial" w:cs="Arial"/>
                <w:b/>
                <w:bCs/>
                <w:sz w:val="20"/>
                <w:szCs w:val="20"/>
              </w:rPr>
              <w:t>Tan</w:t>
            </w:r>
          </w:p>
        </w:tc>
        <w:tc>
          <w:tcPr>
            <w:tcW w:w="608" w:type="dxa"/>
            <w:tcBorders>
              <w:top w:val="single" w:sz="4" w:space="0" w:color="7F7F7F" w:themeColor="text1" w:themeTint="80"/>
              <w:bottom w:val="single" w:sz="4" w:space="0" w:color="auto"/>
            </w:tcBorders>
          </w:tcPr>
          <w:p w14:paraId="12B147E8" w14:textId="77777777" w:rsidR="00334AA6" w:rsidRPr="001A7494" w:rsidRDefault="00000000" w:rsidP="001652E5">
            <w:pPr>
              <w:spacing w:line="360" w:lineRule="auto"/>
              <w:jc w:val="both"/>
              <w:rPr>
                <w:rFonts w:ascii="Arial" w:eastAsia="Times New Roman" w:hAnsi="Arial" w:cs="Arial"/>
                <w:b/>
                <w:bCs/>
                <w:sz w:val="20"/>
                <w:szCs w:val="20"/>
              </w:rPr>
            </w:pPr>
            <w:r w:rsidRPr="001A7494">
              <w:rPr>
                <w:rFonts w:ascii="Arial" w:eastAsia="Times New Roman" w:hAnsi="Arial" w:cs="Arial"/>
                <w:b/>
                <w:bCs/>
                <w:sz w:val="20"/>
                <w:szCs w:val="20"/>
              </w:rPr>
              <w:t>Phe</w:t>
            </w:r>
          </w:p>
        </w:tc>
        <w:tc>
          <w:tcPr>
            <w:tcW w:w="548" w:type="dxa"/>
            <w:tcBorders>
              <w:top w:val="single" w:sz="4" w:space="0" w:color="7F7F7F" w:themeColor="text1" w:themeTint="80"/>
              <w:bottom w:val="single" w:sz="4" w:space="0" w:color="auto"/>
            </w:tcBorders>
          </w:tcPr>
          <w:p w14:paraId="36203CFD" w14:textId="77777777" w:rsidR="00334AA6" w:rsidRPr="001A7494" w:rsidRDefault="00000000" w:rsidP="001652E5">
            <w:pPr>
              <w:spacing w:line="360" w:lineRule="auto"/>
              <w:jc w:val="both"/>
              <w:rPr>
                <w:rFonts w:ascii="Arial" w:eastAsia="Times New Roman" w:hAnsi="Arial" w:cs="Arial"/>
                <w:b/>
                <w:bCs/>
                <w:sz w:val="20"/>
                <w:szCs w:val="20"/>
              </w:rPr>
            </w:pPr>
            <w:r w:rsidRPr="001A7494">
              <w:rPr>
                <w:rFonts w:ascii="Arial" w:eastAsia="Times New Roman" w:hAnsi="Arial" w:cs="Arial"/>
                <w:b/>
                <w:bCs/>
                <w:sz w:val="20"/>
                <w:szCs w:val="20"/>
              </w:rPr>
              <w:t>Dit</w:t>
            </w:r>
          </w:p>
        </w:tc>
        <w:tc>
          <w:tcPr>
            <w:tcW w:w="548" w:type="dxa"/>
            <w:tcBorders>
              <w:top w:val="single" w:sz="4" w:space="0" w:color="7F7F7F" w:themeColor="text1" w:themeTint="80"/>
              <w:bottom w:val="single" w:sz="4" w:space="0" w:color="auto"/>
            </w:tcBorders>
          </w:tcPr>
          <w:p w14:paraId="0DD0881C" w14:textId="77777777" w:rsidR="00334AA6" w:rsidRPr="001A7494" w:rsidRDefault="00000000" w:rsidP="001652E5">
            <w:pPr>
              <w:spacing w:line="360" w:lineRule="auto"/>
              <w:jc w:val="both"/>
              <w:rPr>
                <w:rFonts w:ascii="Arial" w:eastAsia="Times New Roman" w:hAnsi="Arial" w:cs="Arial"/>
                <w:b/>
                <w:bCs/>
                <w:sz w:val="20"/>
                <w:szCs w:val="20"/>
              </w:rPr>
            </w:pPr>
            <w:r w:rsidRPr="001A7494">
              <w:rPr>
                <w:rFonts w:ascii="Arial" w:eastAsia="Times New Roman" w:hAnsi="Arial" w:cs="Arial"/>
                <w:b/>
                <w:bCs/>
                <w:sz w:val="20"/>
                <w:szCs w:val="20"/>
              </w:rPr>
              <w:t>Tri</w:t>
            </w:r>
          </w:p>
        </w:tc>
        <w:tc>
          <w:tcPr>
            <w:tcW w:w="548" w:type="dxa"/>
            <w:tcBorders>
              <w:top w:val="single" w:sz="4" w:space="0" w:color="7F7F7F" w:themeColor="text1" w:themeTint="80"/>
              <w:bottom w:val="single" w:sz="4" w:space="0" w:color="auto"/>
            </w:tcBorders>
          </w:tcPr>
          <w:p w14:paraId="1402579E" w14:textId="77777777" w:rsidR="00334AA6" w:rsidRPr="001A7494" w:rsidRDefault="00000000" w:rsidP="001652E5">
            <w:pPr>
              <w:spacing w:line="360" w:lineRule="auto"/>
              <w:jc w:val="both"/>
              <w:rPr>
                <w:rFonts w:ascii="Arial" w:eastAsia="Times New Roman" w:hAnsi="Arial" w:cs="Arial"/>
                <w:b/>
                <w:bCs/>
                <w:sz w:val="20"/>
                <w:szCs w:val="20"/>
              </w:rPr>
            </w:pPr>
            <w:r w:rsidRPr="001A7494">
              <w:rPr>
                <w:rFonts w:ascii="Arial" w:eastAsia="Times New Roman" w:hAnsi="Arial" w:cs="Arial"/>
                <w:b/>
                <w:bCs/>
                <w:sz w:val="20"/>
                <w:szCs w:val="20"/>
              </w:rPr>
              <w:t>Ste</w:t>
            </w:r>
          </w:p>
        </w:tc>
        <w:tc>
          <w:tcPr>
            <w:tcW w:w="608" w:type="dxa"/>
            <w:tcBorders>
              <w:top w:val="single" w:sz="4" w:space="0" w:color="7F7F7F" w:themeColor="text1" w:themeTint="80"/>
              <w:bottom w:val="single" w:sz="4" w:space="0" w:color="auto"/>
            </w:tcBorders>
          </w:tcPr>
          <w:p w14:paraId="38E7F9C7" w14:textId="77777777" w:rsidR="00334AA6" w:rsidRPr="001A7494" w:rsidRDefault="00000000" w:rsidP="001652E5">
            <w:pPr>
              <w:spacing w:line="360" w:lineRule="auto"/>
              <w:jc w:val="both"/>
              <w:rPr>
                <w:rFonts w:ascii="Arial" w:eastAsia="Times New Roman" w:hAnsi="Arial" w:cs="Arial"/>
                <w:b/>
                <w:bCs/>
                <w:sz w:val="20"/>
                <w:szCs w:val="20"/>
              </w:rPr>
            </w:pPr>
            <w:r w:rsidRPr="001A7494">
              <w:rPr>
                <w:rFonts w:ascii="Arial" w:eastAsia="Times New Roman" w:hAnsi="Arial" w:cs="Arial"/>
                <w:b/>
                <w:bCs/>
                <w:sz w:val="20"/>
                <w:szCs w:val="20"/>
              </w:rPr>
              <w:t>Sap</w:t>
            </w:r>
          </w:p>
        </w:tc>
        <w:tc>
          <w:tcPr>
            <w:tcW w:w="578" w:type="dxa"/>
            <w:tcBorders>
              <w:top w:val="single" w:sz="4" w:space="0" w:color="7F7F7F" w:themeColor="text1" w:themeTint="80"/>
              <w:bottom w:val="single" w:sz="4" w:space="0" w:color="auto"/>
            </w:tcBorders>
          </w:tcPr>
          <w:p w14:paraId="366615AB" w14:textId="77777777" w:rsidR="00334AA6" w:rsidRPr="001A7494" w:rsidRDefault="00000000" w:rsidP="001652E5">
            <w:pPr>
              <w:spacing w:line="360" w:lineRule="auto"/>
              <w:jc w:val="both"/>
              <w:rPr>
                <w:rFonts w:ascii="Arial" w:eastAsia="Times New Roman" w:hAnsi="Arial" w:cs="Arial"/>
                <w:b/>
                <w:bCs/>
                <w:sz w:val="20"/>
                <w:szCs w:val="20"/>
              </w:rPr>
            </w:pPr>
            <w:r w:rsidRPr="001A7494">
              <w:rPr>
                <w:rFonts w:ascii="Arial" w:eastAsia="Times New Roman" w:hAnsi="Arial" w:cs="Arial"/>
                <w:b/>
                <w:bCs/>
                <w:sz w:val="20"/>
                <w:szCs w:val="20"/>
              </w:rPr>
              <w:t>CG</w:t>
            </w:r>
          </w:p>
        </w:tc>
        <w:tc>
          <w:tcPr>
            <w:tcW w:w="652" w:type="dxa"/>
            <w:tcBorders>
              <w:top w:val="single" w:sz="4" w:space="0" w:color="7F7F7F" w:themeColor="text1" w:themeTint="80"/>
              <w:bottom w:val="single" w:sz="4" w:space="0" w:color="auto"/>
            </w:tcBorders>
          </w:tcPr>
          <w:p w14:paraId="055A1AD0" w14:textId="77777777" w:rsidR="00334AA6" w:rsidRPr="001A7494" w:rsidRDefault="00000000" w:rsidP="001652E5">
            <w:pPr>
              <w:spacing w:line="360" w:lineRule="auto"/>
              <w:jc w:val="both"/>
              <w:rPr>
                <w:rFonts w:ascii="Arial" w:eastAsia="Times New Roman" w:hAnsi="Arial" w:cs="Arial"/>
                <w:b/>
                <w:bCs/>
                <w:sz w:val="20"/>
                <w:szCs w:val="20"/>
              </w:rPr>
            </w:pPr>
            <w:r w:rsidRPr="001A7494">
              <w:rPr>
                <w:rFonts w:ascii="Arial" w:eastAsia="Times New Roman" w:hAnsi="Arial" w:cs="Arial"/>
                <w:b/>
                <w:bCs/>
                <w:sz w:val="20"/>
                <w:szCs w:val="20"/>
              </w:rPr>
              <w:t>Cou</w:t>
            </w:r>
          </w:p>
        </w:tc>
        <w:tc>
          <w:tcPr>
            <w:tcW w:w="608" w:type="dxa"/>
            <w:tcBorders>
              <w:top w:val="single" w:sz="4" w:space="0" w:color="7F7F7F" w:themeColor="text1" w:themeTint="80"/>
              <w:bottom w:val="single" w:sz="4" w:space="0" w:color="auto"/>
            </w:tcBorders>
          </w:tcPr>
          <w:p w14:paraId="6CC3614C" w14:textId="77777777" w:rsidR="00334AA6" w:rsidRPr="001A7494" w:rsidRDefault="00000000" w:rsidP="001652E5">
            <w:pPr>
              <w:spacing w:line="360" w:lineRule="auto"/>
              <w:jc w:val="both"/>
              <w:rPr>
                <w:rFonts w:ascii="Arial" w:eastAsia="Times New Roman" w:hAnsi="Arial" w:cs="Arial"/>
                <w:b/>
                <w:bCs/>
                <w:sz w:val="20"/>
                <w:szCs w:val="20"/>
              </w:rPr>
            </w:pPr>
            <w:r w:rsidRPr="001A7494">
              <w:rPr>
                <w:rFonts w:ascii="Arial" w:eastAsia="Times New Roman" w:hAnsi="Arial" w:cs="Arial"/>
                <w:b/>
                <w:bCs/>
                <w:sz w:val="20"/>
                <w:szCs w:val="20"/>
              </w:rPr>
              <w:t>Qui</w:t>
            </w:r>
          </w:p>
        </w:tc>
        <w:tc>
          <w:tcPr>
            <w:tcW w:w="608" w:type="dxa"/>
            <w:tcBorders>
              <w:top w:val="single" w:sz="4" w:space="0" w:color="7F7F7F" w:themeColor="text1" w:themeTint="80"/>
              <w:bottom w:val="single" w:sz="4" w:space="0" w:color="auto"/>
            </w:tcBorders>
          </w:tcPr>
          <w:p w14:paraId="1E78823E" w14:textId="77777777" w:rsidR="00334AA6" w:rsidRPr="001A7494" w:rsidRDefault="00000000" w:rsidP="001652E5">
            <w:pPr>
              <w:spacing w:line="360" w:lineRule="auto"/>
              <w:jc w:val="both"/>
              <w:rPr>
                <w:rFonts w:ascii="Arial" w:eastAsia="Times New Roman" w:hAnsi="Arial" w:cs="Arial"/>
                <w:b/>
                <w:bCs/>
                <w:sz w:val="20"/>
                <w:szCs w:val="20"/>
              </w:rPr>
            </w:pPr>
            <w:r w:rsidRPr="001A7494">
              <w:rPr>
                <w:rFonts w:ascii="Arial" w:eastAsia="Times New Roman" w:hAnsi="Arial" w:cs="Arial"/>
                <w:b/>
                <w:bCs/>
                <w:sz w:val="20"/>
                <w:szCs w:val="20"/>
              </w:rPr>
              <w:t>Ant</w:t>
            </w:r>
          </w:p>
        </w:tc>
      </w:tr>
      <w:tr w:rsidR="00334AA6" w:rsidRPr="001A7494" w14:paraId="6AAF3A33" w14:textId="77777777" w:rsidTr="004E6F86">
        <w:trPr>
          <w:trHeight w:val="620"/>
        </w:trPr>
        <w:tc>
          <w:tcPr>
            <w:tcW w:w="713" w:type="dxa"/>
            <w:tcBorders>
              <w:top w:val="single" w:sz="4" w:space="0" w:color="auto"/>
            </w:tcBorders>
          </w:tcPr>
          <w:p w14:paraId="1C3E7CAB" w14:textId="77777777" w:rsidR="00334AA6" w:rsidRPr="001A7494" w:rsidRDefault="00000000" w:rsidP="001652E5">
            <w:pPr>
              <w:spacing w:line="360" w:lineRule="auto"/>
              <w:jc w:val="both"/>
              <w:rPr>
                <w:rFonts w:ascii="Arial" w:eastAsia="Times New Roman" w:hAnsi="Arial" w:cs="Arial"/>
                <w:sz w:val="20"/>
                <w:szCs w:val="20"/>
              </w:rPr>
            </w:pPr>
            <w:r w:rsidRPr="001A7494">
              <w:rPr>
                <w:rFonts w:ascii="Arial" w:eastAsia="Times New Roman" w:hAnsi="Arial" w:cs="Arial"/>
                <w:sz w:val="20"/>
                <w:szCs w:val="20"/>
              </w:rPr>
              <w:t>Leaf</w:t>
            </w:r>
          </w:p>
        </w:tc>
        <w:tc>
          <w:tcPr>
            <w:tcW w:w="981" w:type="dxa"/>
            <w:tcBorders>
              <w:top w:val="single" w:sz="4" w:space="0" w:color="auto"/>
            </w:tcBorders>
          </w:tcPr>
          <w:p w14:paraId="244176D4" w14:textId="77777777" w:rsidR="00334AA6" w:rsidRPr="001A7494" w:rsidRDefault="00000000" w:rsidP="001652E5">
            <w:pPr>
              <w:spacing w:line="360" w:lineRule="auto"/>
              <w:jc w:val="both"/>
              <w:rPr>
                <w:rFonts w:ascii="Arial" w:eastAsia="Times New Roman" w:hAnsi="Arial" w:cs="Arial"/>
                <w:sz w:val="20"/>
                <w:szCs w:val="20"/>
              </w:rPr>
            </w:pPr>
            <w:r w:rsidRPr="001A7494">
              <w:rPr>
                <w:rFonts w:ascii="Arial" w:eastAsia="Times New Roman" w:hAnsi="Arial" w:cs="Arial"/>
                <w:sz w:val="20"/>
                <w:szCs w:val="20"/>
              </w:rPr>
              <w:t>PE</w:t>
            </w:r>
          </w:p>
        </w:tc>
        <w:tc>
          <w:tcPr>
            <w:tcW w:w="579" w:type="dxa"/>
            <w:tcBorders>
              <w:top w:val="single" w:sz="4" w:space="0" w:color="auto"/>
            </w:tcBorders>
          </w:tcPr>
          <w:p w14:paraId="7E785A29" w14:textId="77777777" w:rsidR="00334AA6" w:rsidRPr="001A7494" w:rsidRDefault="00000000" w:rsidP="001652E5">
            <w:pPr>
              <w:spacing w:line="360" w:lineRule="auto"/>
              <w:jc w:val="both"/>
              <w:rPr>
                <w:rFonts w:ascii="Arial" w:eastAsia="Times New Roman" w:hAnsi="Arial" w:cs="Arial"/>
                <w:sz w:val="20"/>
                <w:szCs w:val="20"/>
              </w:rPr>
            </w:pPr>
            <w:r w:rsidRPr="001A7494">
              <w:rPr>
                <w:rFonts w:ascii="Arial" w:eastAsia="Times New Roman" w:hAnsi="Arial" w:cs="Arial"/>
                <w:sz w:val="20"/>
                <w:szCs w:val="20"/>
              </w:rPr>
              <w:t>–</w:t>
            </w:r>
          </w:p>
        </w:tc>
        <w:tc>
          <w:tcPr>
            <w:tcW w:w="594" w:type="dxa"/>
            <w:tcBorders>
              <w:top w:val="single" w:sz="4" w:space="0" w:color="auto"/>
            </w:tcBorders>
          </w:tcPr>
          <w:p w14:paraId="6A27CB1B" w14:textId="77777777" w:rsidR="00334AA6" w:rsidRPr="001A7494" w:rsidRDefault="00000000" w:rsidP="001652E5">
            <w:pPr>
              <w:spacing w:line="360" w:lineRule="auto"/>
              <w:jc w:val="both"/>
              <w:rPr>
                <w:rFonts w:ascii="Arial" w:eastAsia="Times New Roman" w:hAnsi="Arial" w:cs="Arial"/>
                <w:sz w:val="20"/>
                <w:szCs w:val="20"/>
              </w:rPr>
            </w:pPr>
            <w:r w:rsidRPr="001A7494">
              <w:rPr>
                <w:rFonts w:ascii="Arial" w:eastAsia="Times New Roman" w:hAnsi="Arial" w:cs="Arial"/>
                <w:sz w:val="20"/>
                <w:szCs w:val="20"/>
              </w:rPr>
              <w:t>–</w:t>
            </w:r>
          </w:p>
        </w:tc>
        <w:tc>
          <w:tcPr>
            <w:tcW w:w="563" w:type="dxa"/>
            <w:tcBorders>
              <w:top w:val="single" w:sz="4" w:space="0" w:color="auto"/>
            </w:tcBorders>
          </w:tcPr>
          <w:p w14:paraId="13A7C086" w14:textId="77777777" w:rsidR="00334AA6" w:rsidRPr="001A7494" w:rsidRDefault="00000000" w:rsidP="001652E5">
            <w:pPr>
              <w:spacing w:line="360" w:lineRule="auto"/>
              <w:jc w:val="both"/>
              <w:rPr>
                <w:rFonts w:ascii="Arial" w:eastAsia="Times New Roman" w:hAnsi="Arial" w:cs="Arial"/>
                <w:sz w:val="20"/>
                <w:szCs w:val="20"/>
              </w:rPr>
            </w:pPr>
            <w:r w:rsidRPr="001A7494">
              <w:rPr>
                <w:rFonts w:ascii="Arial" w:eastAsia="Times New Roman" w:hAnsi="Arial" w:cs="Arial"/>
                <w:sz w:val="20"/>
                <w:szCs w:val="20"/>
              </w:rPr>
              <w:t>–</w:t>
            </w:r>
          </w:p>
        </w:tc>
        <w:tc>
          <w:tcPr>
            <w:tcW w:w="623" w:type="dxa"/>
            <w:tcBorders>
              <w:top w:val="single" w:sz="4" w:space="0" w:color="auto"/>
            </w:tcBorders>
          </w:tcPr>
          <w:p w14:paraId="259195DF" w14:textId="77777777" w:rsidR="00334AA6" w:rsidRPr="001A7494" w:rsidRDefault="00000000" w:rsidP="001652E5">
            <w:pPr>
              <w:spacing w:line="360" w:lineRule="auto"/>
              <w:jc w:val="both"/>
              <w:rPr>
                <w:rFonts w:ascii="Arial" w:eastAsia="Times New Roman" w:hAnsi="Arial" w:cs="Arial"/>
                <w:sz w:val="20"/>
                <w:szCs w:val="20"/>
              </w:rPr>
            </w:pPr>
            <w:r w:rsidRPr="001A7494">
              <w:rPr>
                <w:rFonts w:ascii="Arial" w:eastAsia="Times New Roman" w:hAnsi="Arial" w:cs="Arial"/>
                <w:sz w:val="20"/>
                <w:szCs w:val="20"/>
              </w:rPr>
              <w:t>–</w:t>
            </w:r>
          </w:p>
        </w:tc>
        <w:tc>
          <w:tcPr>
            <w:tcW w:w="608" w:type="dxa"/>
            <w:tcBorders>
              <w:top w:val="single" w:sz="4" w:space="0" w:color="auto"/>
            </w:tcBorders>
          </w:tcPr>
          <w:p w14:paraId="5D2F4089" w14:textId="77777777" w:rsidR="00334AA6" w:rsidRPr="001A7494" w:rsidRDefault="00000000" w:rsidP="001652E5">
            <w:pPr>
              <w:spacing w:line="360" w:lineRule="auto"/>
              <w:jc w:val="both"/>
              <w:rPr>
                <w:rFonts w:ascii="Arial" w:eastAsia="Times New Roman" w:hAnsi="Arial" w:cs="Arial"/>
                <w:sz w:val="20"/>
                <w:szCs w:val="20"/>
              </w:rPr>
            </w:pPr>
            <w:r w:rsidRPr="001A7494">
              <w:rPr>
                <w:rFonts w:ascii="Arial" w:eastAsia="Times New Roman" w:hAnsi="Arial" w:cs="Arial"/>
                <w:sz w:val="20"/>
                <w:szCs w:val="20"/>
              </w:rPr>
              <w:t>+</w:t>
            </w:r>
          </w:p>
        </w:tc>
        <w:tc>
          <w:tcPr>
            <w:tcW w:w="548" w:type="dxa"/>
            <w:tcBorders>
              <w:top w:val="single" w:sz="4" w:space="0" w:color="auto"/>
            </w:tcBorders>
          </w:tcPr>
          <w:p w14:paraId="78CBAE45" w14:textId="77777777" w:rsidR="00334AA6" w:rsidRPr="001A7494" w:rsidRDefault="00000000" w:rsidP="001652E5">
            <w:pPr>
              <w:spacing w:line="360" w:lineRule="auto"/>
              <w:jc w:val="both"/>
              <w:rPr>
                <w:rFonts w:ascii="Arial" w:eastAsia="Times New Roman" w:hAnsi="Arial" w:cs="Arial"/>
                <w:sz w:val="20"/>
                <w:szCs w:val="20"/>
              </w:rPr>
            </w:pPr>
            <w:r w:rsidRPr="001A7494">
              <w:rPr>
                <w:rFonts w:ascii="Arial" w:eastAsia="Times New Roman" w:hAnsi="Arial" w:cs="Arial"/>
                <w:sz w:val="20"/>
                <w:szCs w:val="20"/>
              </w:rPr>
              <w:t>+</w:t>
            </w:r>
          </w:p>
        </w:tc>
        <w:tc>
          <w:tcPr>
            <w:tcW w:w="548" w:type="dxa"/>
            <w:tcBorders>
              <w:top w:val="single" w:sz="4" w:space="0" w:color="auto"/>
            </w:tcBorders>
          </w:tcPr>
          <w:p w14:paraId="38E9797D" w14:textId="77777777" w:rsidR="00334AA6" w:rsidRPr="001A7494" w:rsidRDefault="00000000" w:rsidP="001652E5">
            <w:pPr>
              <w:spacing w:line="360" w:lineRule="auto"/>
              <w:jc w:val="both"/>
              <w:rPr>
                <w:rFonts w:ascii="Arial" w:eastAsia="Times New Roman" w:hAnsi="Arial" w:cs="Arial"/>
                <w:sz w:val="20"/>
                <w:szCs w:val="20"/>
              </w:rPr>
            </w:pPr>
            <w:r w:rsidRPr="001A7494">
              <w:rPr>
                <w:rFonts w:ascii="Arial" w:eastAsia="Times New Roman" w:hAnsi="Arial" w:cs="Arial"/>
                <w:sz w:val="20"/>
                <w:szCs w:val="20"/>
              </w:rPr>
              <w:t>–</w:t>
            </w:r>
          </w:p>
        </w:tc>
        <w:tc>
          <w:tcPr>
            <w:tcW w:w="548" w:type="dxa"/>
            <w:tcBorders>
              <w:top w:val="single" w:sz="4" w:space="0" w:color="auto"/>
            </w:tcBorders>
          </w:tcPr>
          <w:p w14:paraId="6FE683F4" w14:textId="77777777" w:rsidR="00334AA6" w:rsidRPr="001A7494" w:rsidRDefault="00000000" w:rsidP="001652E5">
            <w:pPr>
              <w:spacing w:line="360" w:lineRule="auto"/>
              <w:jc w:val="both"/>
              <w:rPr>
                <w:rFonts w:ascii="Arial" w:eastAsia="Times New Roman" w:hAnsi="Arial" w:cs="Arial"/>
                <w:sz w:val="20"/>
                <w:szCs w:val="20"/>
              </w:rPr>
            </w:pPr>
            <w:r w:rsidRPr="001A7494">
              <w:rPr>
                <w:rFonts w:ascii="Arial" w:eastAsia="Times New Roman" w:hAnsi="Arial" w:cs="Arial"/>
                <w:sz w:val="20"/>
                <w:szCs w:val="20"/>
              </w:rPr>
              <w:t>++</w:t>
            </w:r>
          </w:p>
        </w:tc>
        <w:tc>
          <w:tcPr>
            <w:tcW w:w="608" w:type="dxa"/>
            <w:tcBorders>
              <w:top w:val="single" w:sz="4" w:space="0" w:color="auto"/>
            </w:tcBorders>
          </w:tcPr>
          <w:p w14:paraId="796115C8" w14:textId="77777777" w:rsidR="00334AA6" w:rsidRPr="001A7494" w:rsidRDefault="00000000" w:rsidP="001652E5">
            <w:pPr>
              <w:spacing w:line="360" w:lineRule="auto"/>
              <w:jc w:val="both"/>
              <w:rPr>
                <w:rFonts w:ascii="Arial" w:eastAsia="Times New Roman" w:hAnsi="Arial" w:cs="Arial"/>
                <w:sz w:val="20"/>
                <w:szCs w:val="20"/>
              </w:rPr>
            </w:pPr>
            <w:r w:rsidRPr="001A7494">
              <w:rPr>
                <w:rFonts w:ascii="Arial" w:eastAsia="Times New Roman" w:hAnsi="Arial" w:cs="Arial"/>
                <w:sz w:val="20"/>
                <w:szCs w:val="20"/>
              </w:rPr>
              <w:t>+</w:t>
            </w:r>
          </w:p>
        </w:tc>
        <w:tc>
          <w:tcPr>
            <w:tcW w:w="578" w:type="dxa"/>
            <w:tcBorders>
              <w:top w:val="single" w:sz="4" w:space="0" w:color="auto"/>
            </w:tcBorders>
          </w:tcPr>
          <w:p w14:paraId="1C8D9A76" w14:textId="77777777" w:rsidR="00334AA6" w:rsidRPr="001A7494" w:rsidRDefault="00000000" w:rsidP="001652E5">
            <w:pPr>
              <w:spacing w:line="360" w:lineRule="auto"/>
              <w:jc w:val="both"/>
              <w:rPr>
                <w:rFonts w:ascii="Arial" w:eastAsia="Times New Roman" w:hAnsi="Arial" w:cs="Arial"/>
                <w:sz w:val="20"/>
                <w:szCs w:val="20"/>
              </w:rPr>
            </w:pPr>
            <w:r w:rsidRPr="001A7494">
              <w:rPr>
                <w:rFonts w:ascii="Arial" w:eastAsia="Times New Roman" w:hAnsi="Arial" w:cs="Arial"/>
                <w:sz w:val="20"/>
                <w:szCs w:val="20"/>
              </w:rPr>
              <w:t>+</w:t>
            </w:r>
          </w:p>
        </w:tc>
        <w:tc>
          <w:tcPr>
            <w:tcW w:w="652" w:type="dxa"/>
            <w:tcBorders>
              <w:top w:val="single" w:sz="4" w:space="0" w:color="auto"/>
            </w:tcBorders>
          </w:tcPr>
          <w:p w14:paraId="7F6B5DA1" w14:textId="77777777" w:rsidR="00334AA6" w:rsidRPr="001A7494" w:rsidRDefault="00000000" w:rsidP="001652E5">
            <w:pPr>
              <w:spacing w:line="360" w:lineRule="auto"/>
              <w:jc w:val="both"/>
              <w:rPr>
                <w:rFonts w:ascii="Arial" w:eastAsia="Times New Roman" w:hAnsi="Arial" w:cs="Arial"/>
                <w:sz w:val="20"/>
                <w:szCs w:val="20"/>
              </w:rPr>
            </w:pPr>
            <w:r w:rsidRPr="001A7494">
              <w:rPr>
                <w:rFonts w:ascii="Arial" w:eastAsia="Times New Roman" w:hAnsi="Arial" w:cs="Arial"/>
                <w:sz w:val="20"/>
                <w:szCs w:val="20"/>
              </w:rPr>
              <w:t>–</w:t>
            </w:r>
          </w:p>
        </w:tc>
        <w:tc>
          <w:tcPr>
            <w:tcW w:w="608" w:type="dxa"/>
            <w:tcBorders>
              <w:top w:val="single" w:sz="4" w:space="0" w:color="auto"/>
            </w:tcBorders>
          </w:tcPr>
          <w:p w14:paraId="54F3F59A" w14:textId="77777777" w:rsidR="00334AA6" w:rsidRPr="001A7494" w:rsidRDefault="00000000" w:rsidP="001652E5">
            <w:pPr>
              <w:spacing w:line="360" w:lineRule="auto"/>
              <w:jc w:val="both"/>
              <w:rPr>
                <w:rFonts w:ascii="Arial" w:eastAsia="Times New Roman" w:hAnsi="Arial" w:cs="Arial"/>
                <w:sz w:val="20"/>
                <w:szCs w:val="20"/>
              </w:rPr>
            </w:pPr>
            <w:r w:rsidRPr="001A7494">
              <w:rPr>
                <w:rFonts w:ascii="Arial" w:eastAsia="Times New Roman" w:hAnsi="Arial" w:cs="Arial"/>
                <w:sz w:val="20"/>
                <w:szCs w:val="20"/>
              </w:rPr>
              <w:t>+</w:t>
            </w:r>
          </w:p>
        </w:tc>
        <w:tc>
          <w:tcPr>
            <w:tcW w:w="608" w:type="dxa"/>
            <w:tcBorders>
              <w:top w:val="single" w:sz="4" w:space="0" w:color="auto"/>
            </w:tcBorders>
          </w:tcPr>
          <w:p w14:paraId="2E220890" w14:textId="77777777" w:rsidR="00334AA6" w:rsidRPr="001A7494" w:rsidRDefault="00000000" w:rsidP="001652E5">
            <w:pPr>
              <w:spacing w:line="360" w:lineRule="auto"/>
              <w:jc w:val="both"/>
              <w:rPr>
                <w:rFonts w:ascii="Arial" w:eastAsia="Times New Roman" w:hAnsi="Arial" w:cs="Arial"/>
                <w:sz w:val="20"/>
                <w:szCs w:val="20"/>
              </w:rPr>
            </w:pPr>
            <w:r w:rsidRPr="001A7494">
              <w:rPr>
                <w:rFonts w:ascii="Arial" w:eastAsia="Times New Roman" w:hAnsi="Arial" w:cs="Arial"/>
                <w:sz w:val="20"/>
                <w:szCs w:val="20"/>
              </w:rPr>
              <w:t>–</w:t>
            </w:r>
          </w:p>
        </w:tc>
      </w:tr>
      <w:tr w:rsidR="00334AA6" w:rsidRPr="001A7494" w14:paraId="4B614FBE" w14:textId="77777777" w:rsidTr="004E6F86">
        <w:trPr>
          <w:trHeight w:val="435"/>
        </w:trPr>
        <w:tc>
          <w:tcPr>
            <w:tcW w:w="713" w:type="dxa"/>
          </w:tcPr>
          <w:p w14:paraId="5F58B814" w14:textId="77777777" w:rsidR="00334AA6" w:rsidRPr="001A7494" w:rsidRDefault="00000000" w:rsidP="001652E5">
            <w:pPr>
              <w:spacing w:line="360" w:lineRule="auto"/>
              <w:jc w:val="both"/>
              <w:rPr>
                <w:rFonts w:ascii="Arial" w:eastAsia="Times New Roman" w:hAnsi="Arial" w:cs="Arial"/>
                <w:sz w:val="20"/>
                <w:szCs w:val="20"/>
              </w:rPr>
            </w:pPr>
            <w:r w:rsidRPr="001A7494">
              <w:rPr>
                <w:rFonts w:ascii="Arial" w:eastAsia="Times New Roman" w:hAnsi="Arial" w:cs="Arial"/>
                <w:sz w:val="20"/>
                <w:szCs w:val="20"/>
              </w:rPr>
              <w:t xml:space="preserve"> </w:t>
            </w:r>
          </w:p>
        </w:tc>
        <w:tc>
          <w:tcPr>
            <w:tcW w:w="981" w:type="dxa"/>
          </w:tcPr>
          <w:p w14:paraId="699AB346" w14:textId="77777777" w:rsidR="00334AA6" w:rsidRPr="001A7494" w:rsidRDefault="00000000" w:rsidP="001652E5">
            <w:pPr>
              <w:spacing w:line="360" w:lineRule="auto"/>
              <w:jc w:val="both"/>
              <w:rPr>
                <w:rFonts w:ascii="Arial" w:eastAsia="Times New Roman" w:hAnsi="Arial" w:cs="Arial"/>
                <w:sz w:val="20"/>
                <w:szCs w:val="20"/>
              </w:rPr>
            </w:pPr>
            <w:r w:rsidRPr="001A7494">
              <w:rPr>
                <w:rFonts w:ascii="Arial" w:eastAsia="Times New Roman" w:hAnsi="Arial" w:cs="Arial"/>
                <w:sz w:val="20"/>
                <w:szCs w:val="20"/>
              </w:rPr>
              <w:t>EA</w:t>
            </w:r>
          </w:p>
        </w:tc>
        <w:tc>
          <w:tcPr>
            <w:tcW w:w="579" w:type="dxa"/>
          </w:tcPr>
          <w:p w14:paraId="6EDC86BA" w14:textId="77777777" w:rsidR="00334AA6" w:rsidRPr="001A7494" w:rsidRDefault="00000000" w:rsidP="001652E5">
            <w:pPr>
              <w:spacing w:line="360" w:lineRule="auto"/>
              <w:jc w:val="both"/>
              <w:rPr>
                <w:rFonts w:ascii="Arial" w:eastAsia="Times New Roman" w:hAnsi="Arial" w:cs="Arial"/>
                <w:sz w:val="20"/>
                <w:szCs w:val="20"/>
              </w:rPr>
            </w:pPr>
            <w:r w:rsidRPr="001A7494">
              <w:rPr>
                <w:rFonts w:ascii="Arial" w:eastAsia="Times New Roman" w:hAnsi="Arial" w:cs="Arial"/>
                <w:sz w:val="20"/>
                <w:szCs w:val="20"/>
              </w:rPr>
              <w:t>–</w:t>
            </w:r>
          </w:p>
        </w:tc>
        <w:tc>
          <w:tcPr>
            <w:tcW w:w="594" w:type="dxa"/>
          </w:tcPr>
          <w:p w14:paraId="1D2988E8" w14:textId="77777777" w:rsidR="00334AA6" w:rsidRPr="001A7494" w:rsidRDefault="00000000" w:rsidP="001652E5">
            <w:pPr>
              <w:spacing w:line="360" w:lineRule="auto"/>
              <w:jc w:val="both"/>
              <w:rPr>
                <w:rFonts w:ascii="Arial" w:eastAsia="Times New Roman" w:hAnsi="Arial" w:cs="Arial"/>
                <w:sz w:val="20"/>
                <w:szCs w:val="20"/>
              </w:rPr>
            </w:pPr>
            <w:r w:rsidRPr="001A7494">
              <w:rPr>
                <w:rFonts w:ascii="Arial" w:eastAsia="Times New Roman" w:hAnsi="Arial" w:cs="Arial"/>
                <w:sz w:val="20"/>
                <w:szCs w:val="20"/>
              </w:rPr>
              <w:t>++</w:t>
            </w:r>
          </w:p>
        </w:tc>
        <w:tc>
          <w:tcPr>
            <w:tcW w:w="563" w:type="dxa"/>
          </w:tcPr>
          <w:p w14:paraId="5D75DF28" w14:textId="77777777" w:rsidR="00334AA6" w:rsidRPr="001A7494" w:rsidRDefault="00000000" w:rsidP="001652E5">
            <w:pPr>
              <w:spacing w:line="360" w:lineRule="auto"/>
              <w:jc w:val="both"/>
              <w:rPr>
                <w:rFonts w:ascii="Arial" w:eastAsia="Times New Roman" w:hAnsi="Arial" w:cs="Arial"/>
                <w:sz w:val="20"/>
                <w:szCs w:val="20"/>
              </w:rPr>
            </w:pPr>
            <w:r w:rsidRPr="001A7494">
              <w:rPr>
                <w:rFonts w:ascii="Arial" w:eastAsia="Times New Roman" w:hAnsi="Arial" w:cs="Arial"/>
                <w:sz w:val="20"/>
                <w:szCs w:val="20"/>
              </w:rPr>
              <w:t>++</w:t>
            </w:r>
          </w:p>
        </w:tc>
        <w:tc>
          <w:tcPr>
            <w:tcW w:w="623" w:type="dxa"/>
          </w:tcPr>
          <w:p w14:paraId="0DFEE830" w14:textId="77777777" w:rsidR="00334AA6" w:rsidRPr="001A7494" w:rsidRDefault="00000000" w:rsidP="001652E5">
            <w:pPr>
              <w:spacing w:line="360" w:lineRule="auto"/>
              <w:jc w:val="both"/>
              <w:rPr>
                <w:rFonts w:ascii="Arial" w:eastAsia="Times New Roman" w:hAnsi="Arial" w:cs="Arial"/>
                <w:sz w:val="20"/>
                <w:szCs w:val="20"/>
              </w:rPr>
            </w:pPr>
            <w:r w:rsidRPr="001A7494">
              <w:rPr>
                <w:rFonts w:ascii="Arial" w:eastAsia="Times New Roman" w:hAnsi="Arial" w:cs="Arial"/>
                <w:sz w:val="20"/>
                <w:szCs w:val="20"/>
              </w:rPr>
              <w:t>–</w:t>
            </w:r>
          </w:p>
        </w:tc>
        <w:tc>
          <w:tcPr>
            <w:tcW w:w="608" w:type="dxa"/>
          </w:tcPr>
          <w:p w14:paraId="071E2713" w14:textId="77777777" w:rsidR="00334AA6" w:rsidRPr="001A7494" w:rsidRDefault="00000000" w:rsidP="001652E5">
            <w:pPr>
              <w:spacing w:line="360" w:lineRule="auto"/>
              <w:jc w:val="both"/>
              <w:rPr>
                <w:rFonts w:ascii="Arial" w:eastAsia="Times New Roman" w:hAnsi="Arial" w:cs="Arial"/>
                <w:sz w:val="20"/>
                <w:szCs w:val="20"/>
              </w:rPr>
            </w:pPr>
            <w:r w:rsidRPr="001A7494">
              <w:rPr>
                <w:rFonts w:ascii="Arial" w:eastAsia="Times New Roman" w:hAnsi="Arial" w:cs="Arial"/>
                <w:sz w:val="20"/>
                <w:szCs w:val="20"/>
              </w:rPr>
              <w:t>+</w:t>
            </w:r>
          </w:p>
        </w:tc>
        <w:tc>
          <w:tcPr>
            <w:tcW w:w="548" w:type="dxa"/>
          </w:tcPr>
          <w:p w14:paraId="2ACDA8C5" w14:textId="77777777" w:rsidR="00334AA6" w:rsidRPr="001A7494" w:rsidRDefault="00000000" w:rsidP="001652E5">
            <w:pPr>
              <w:spacing w:line="360" w:lineRule="auto"/>
              <w:jc w:val="both"/>
              <w:rPr>
                <w:rFonts w:ascii="Arial" w:eastAsia="Times New Roman" w:hAnsi="Arial" w:cs="Arial"/>
                <w:sz w:val="20"/>
                <w:szCs w:val="20"/>
              </w:rPr>
            </w:pPr>
            <w:r w:rsidRPr="001A7494">
              <w:rPr>
                <w:rFonts w:ascii="Arial" w:eastAsia="Times New Roman" w:hAnsi="Arial" w:cs="Arial"/>
                <w:sz w:val="20"/>
                <w:szCs w:val="20"/>
              </w:rPr>
              <w:t>–</w:t>
            </w:r>
          </w:p>
        </w:tc>
        <w:tc>
          <w:tcPr>
            <w:tcW w:w="548" w:type="dxa"/>
          </w:tcPr>
          <w:p w14:paraId="2ED04F21" w14:textId="77777777" w:rsidR="00334AA6" w:rsidRPr="001A7494" w:rsidRDefault="00000000" w:rsidP="001652E5">
            <w:pPr>
              <w:spacing w:line="360" w:lineRule="auto"/>
              <w:jc w:val="both"/>
              <w:rPr>
                <w:rFonts w:ascii="Arial" w:eastAsia="Times New Roman" w:hAnsi="Arial" w:cs="Arial"/>
                <w:sz w:val="20"/>
                <w:szCs w:val="20"/>
              </w:rPr>
            </w:pPr>
            <w:r w:rsidRPr="001A7494">
              <w:rPr>
                <w:rFonts w:ascii="Arial" w:eastAsia="Times New Roman" w:hAnsi="Arial" w:cs="Arial"/>
                <w:sz w:val="20"/>
                <w:szCs w:val="20"/>
              </w:rPr>
              <w:t>–</w:t>
            </w:r>
          </w:p>
        </w:tc>
        <w:tc>
          <w:tcPr>
            <w:tcW w:w="548" w:type="dxa"/>
          </w:tcPr>
          <w:p w14:paraId="08787C5C" w14:textId="77777777" w:rsidR="00334AA6" w:rsidRPr="001A7494" w:rsidRDefault="00000000" w:rsidP="001652E5">
            <w:pPr>
              <w:spacing w:line="360" w:lineRule="auto"/>
              <w:jc w:val="both"/>
              <w:rPr>
                <w:rFonts w:ascii="Arial" w:eastAsia="Times New Roman" w:hAnsi="Arial" w:cs="Arial"/>
                <w:sz w:val="20"/>
                <w:szCs w:val="20"/>
              </w:rPr>
            </w:pPr>
            <w:r w:rsidRPr="001A7494">
              <w:rPr>
                <w:rFonts w:ascii="Arial" w:eastAsia="Times New Roman" w:hAnsi="Arial" w:cs="Arial"/>
                <w:sz w:val="20"/>
                <w:szCs w:val="20"/>
              </w:rPr>
              <w:t>++</w:t>
            </w:r>
          </w:p>
        </w:tc>
        <w:tc>
          <w:tcPr>
            <w:tcW w:w="608" w:type="dxa"/>
          </w:tcPr>
          <w:p w14:paraId="114780F5" w14:textId="77777777" w:rsidR="00334AA6" w:rsidRPr="001A7494" w:rsidRDefault="00000000" w:rsidP="001652E5">
            <w:pPr>
              <w:spacing w:line="360" w:lineRule="auto"/>
              <w:jc w:val="both"/>
              <w:rPr>
                <w:rFonts w:ascii="Arial" w:eastAsia="Times New Roman" w:hAnsi="Arial" w:cs="Arial"/>
                <w:sz w:val="20"/>
                <w:szCs w:val="20"/>
              </w:rPr>
            </w:pPr>
            <w:r w:rsidRPr="001A7494">
              <w:rPr>
                <w:rFonts w:ascii="Arial" w:eastAsia="Times New Roman" w:hAnsi="Arial" w:cs="Arial"/>
                <w:sz w:val="20"/>
                <w:szCs w:val="20"/>
              </w:rPr>
              <w:t>–</w:t>
            </w:r>
          </w:p>
        </w:tc>
        <w:tc>
          <w:tcPr>
            <w:tcW w:w="578" w:type="dxa"/>
          </w:tcPr>
          <w:p w14:paraId="7F2AFEEE" w14:textId="77777777" w:rsidR="00334AA6" w:rsidRPr="001A7494" w:rsidRDefault="00000000" w:rsidP="001652E5">
            <w:pPr>
              <w:spacing w:line="360" w:lineRule="auto"/>
              <w:jc w:val="both"/>
              <w:rPr>
                <w:rFonts w:ascii="Arial" w:eastAsia="Times New Roman" w:hAnsi="Arial" w:cs="Arial"/>
                <w:sz w:val="20"/>
                <w:szCs w:val="20"/>
              </w:rPr>
            </w:pPr>
            <w:r w:rsidRPr="001A7494">
              <w:rPr>
                <w:rFonts w:ascii="Arial" w:eastAsia="Times New Roman" w:hAnsi="Arial" w:cs="Arial"/>
                <w:sz w:val="20"/>
                <w:szCs w:val="20"/>
              </w:rPr>
              <w:t>++</w:t>
            </w:r>
          </w:p>
        </w:tc>
        <w:tc>
          <w:tcPr>
            <w:tcW w:w="652" w:type="dxa"/>
          </w:tcPr>
          <w:p w14:paraId="2F82FF0D" w14:textId="77777777" w:rsidR="00334AA6" w:rsidRPr="001A7494" w:rsidRDefault="00000000" w:rsidP="001652E5">
            <w:pPr>
              <w:spacing w:line="360" w:lineRule="auto"/>
              <w:jc w:val="both"/>
              <w:rPr>
                <w:rFonts w:ascii="Arial" w:eastAsia="Times New Roman" w:hAnsi="Arial" w:cs="Arial"/>
                <w:sz w:val="20"/>
                <w:szCs w:val="20"/>
              </w:rPr>
            </w:pPr>
            <w:r w:rsidRPr="001A7494">
              <w:rPr>
                <w:rFonts w:ascii="Arial" w:eastAsia="Times New Roman" w:hAnsi="Arial" w:cs="Arial"/>
                <w:sz w:val="20"/>
                <w:szCs w:val="20"/>
              </w:rPr>
              <w:t>–</w:t>
            </w:r>
          </w:p>
        </w:tc>
        <w:tc>
          <w:tcPr>
            <w:tcW w:w="608" w:type="dxa"/>
          </w:tcPr>
          <w:p w14:paraId="4F7F62AC" w14:textId="77777777" w:rsidR="00334AA6" w:rsidRPr="001A7494" w:rsidRDefault="00000000" w:rsidP="001652E5">
            <w:pPr>
              <w:spacing w:line="360" w:lineRule="auto"/>
              <w:jc w:val="both"/>
              <w:rPr>
                <w:rFonts w:ascii="Arial" w:eastAsia="Times New Roman" w:hAnsi="Arial" w:cs="Arial"/>
                <w:sz w:val="20"/>
                <w:szCs w:val="20"/>
              </w:rPr>
            </w:pPr>
            <w:r w:rsidRPr="001A7494">
              <w:rPr>
                <w:rFonts w:ascii="Arial" w:eastAsia="Times New Roman" w:hAnsi="Arial" w:cs="Arial"/>
                <w:sz w:val="20"/>
                <w:szCs w:val="20"/>
              </w:rPr>
              <w:t>++</w:t>
            </w:r>
          </w:p>
        </w:tc>
        <w:tc>
          <w:tcPr>
            <w:tcW w:w="608" w:type="dxa"/>
          </w:tcPr>
          <w:p w14:paraId="64F94F3A" w14:textId="77777777" w:rsidR="00334AA6" w:rsidRPr="001A7494" w:rsidRDefault="00000000" w:rsidP="001652E5">
            <w:pPr>
              <w:spacing w:line="360" w:lineRule="auto"/>
              <w:jc w:val="both"/>
              <w:rPr>
                <w:rFonts w:ascii="Arial" w:eastAsia="Times New Roman" w:hAnsi="Arial" w:cs="Arial"/>
                <w:sz w:val="20"/>
                <w:szCs w:val="20"/>
              </w:rPr>
            </w:pPr>
            <w:r w:rsidRPr="001A7494">
              <w:rPr>
                <w:rFonts w:ascii="Arial" w:eastAsia="Times New Roman" w:hAnsi="Arial" w:cs="Arial"/>
                <w:sz w:val="20"/>
                <w:szCs w:val="20"/>
              </w:rPr>
              <w:t>–</w:t>
            </w:r>
          </w:p>
        </w:tc>
      </w:tr>
      <w:tr w:rsidR="00334AA6" w:rsidRPr="001A7494" w14:paraId="46407455" w14:textId="77777777" w:rsidTr="004E6F86">
        <w:trPr>
          <w:trHeight w:val="435"/>
        </w:trPr>
        <w:tc>
          <w:tcPr>
            <w:tcW w:w="713" w:type="dxa"/>
          </w:tcPr>
          <w:p w14:paraId="6F3D0689" w14:textId="77777777" w:rsidR="00334AA6" w:rsidRPr="001A7494" w:rsidRDefault="00000000" w:rsidP="001652E5">
            <w:pPr>
              <w:spacing w:line="360" w:lineRule="auto"/>
              <w:jc w:val="both"/>
              <w:rPr>
                <w:rFonts w:ascii="Arial" w:eastAsia="Times New Roman" w:hAnsi="Arial" w:cs="Arial"/>
                <w:sz w:val="20"/>
                <w:szCs w:val="20"/>
              </w:rPr>
            </w:pPr>
            <w:r w:rsidRPr="001A7494">
              <w:rPr>
                <w:rFonts w:ascii="Arial" w:eastAsia="Times New Roman" w:hAnsi="Arial" w:cs="Arial"/>
                <w:sz w:val="20"/>
                <w:szCs w:val="20"/>
              </w:rPr>
              <w:t xml:space="preserve"> </w:t>
            </w:r>
          </w:p>
        </w:tc>
        <w:tc>
          <w:tcPr>
            <w:tcW w:w="981" w:type="dxa"/>
          </w:tcPr>
          <w:p w14:paraId="13309FCC" w14:textId="77777777" w:rsidR="00334AA6" w:rsidRPr="001A7494" w:rsidRDefault="00000000" w:rsidP="001652E5">
            <w:pPr>
              <w:spacing w:line="360" w:lineRule="auto"/>
              <w:jc w:val="both"/>
              <w:rPr>
                <w:rFonts w:ascii="Arial" w:eastAsia="Times New Roman" w:hAnsi="Arial" w:cs="Arial"/>
                <w:sz w:val="20"/>
                <w:szCs w:val="20"/>
              </w:rPr>
            </w:pPr>
            <w:r w:rsidRPr="001A7494">
              <w:rPr>
                <w:rFonts w:ascii="Arial" w:eastAsia="Times New Roman" w:hAnsi="Arial" w:cs="Arial"/>
                <w:sz w:val="20"/>
                <w:szCs w:val="20"/>
              </w:rPr>
              <w:t>MeOH</w:t>
            </w:r>
          </w:p>
        </w:tc>
        <w:tc>
          <w:tcPr>
            <w:tcW w:w="579" w:type="dxa"/>
          </w:tcPr>
          <w:p w14:paraId="4B6F097C" w14:textId="77777777" w:rsidR="00334AA6" w:rsidRPr="001A7494" w:rsidRDefault="00000000" w:rsidP="001652E5">
            <w:pPr>
              <w:spacing w:line="360" w:lineRule="auto"/>
              <w:jc w:val="both"/>
              <w:rPr>
                <w:rFonts w:ascii="Arial" w:eastAsia="Times New Roman" w:hAnsi="Arial" w:cs="Arial"/>
                <w:sz w:val="20"/>
                <w:szCs w:val="20"/>
              </w:rPr>
            </w:pPr>
            <w:r w:rsidRPr="001A7494">
              <w:rPr>
                <w:rFonts w:ascii="Arial" w:eastAsia="Times New Roman" w:hAnsi="Arial" w:cs="Arial"/>
                <w:sz w:val="20"/>
                <w:szCs w:val="20"/>
              </w:rPr>
              <w:t>++</w:t>
            </w:r>
          </w:p>
        </w:tc>
        <w:tc>
          <w:tcPr>
            <w:tcW w:w="594" w:type="dxa"/>
          </w:tcPr>
          <w:p w14:paraId="7DCBB29C" w14:textId="77777777" w:rsidR="00334AA6" w:rsidRPr="001A7494" w:rsidRDefault="00000000" w:rsidP="001652E5">
            <w:pPr>
              <w:spacing w:line="360" w:lineRule="auto"/>
              <w:jc w:val="both"/>
              <w:rPr>
                <w:rFonts w:ascii="Arial" w:eastAsia="Times New Roman" w:hAnsi="Arial" w:cs="Arial"/>
                <w:sz w:val="20"/>
                <w:szCs w:val="20"/>
              </w:rPr>
            </w:pPr>
            <w:r w:rsidRPr="001A7494">
              <w:rPr>
                <w:rFonts w:ascii="Arial" w:eastAsia="Times New Roman" w:hAnsi="Arial" w:cs="Arial"/>
                <w:sz w:val="20"/>
                <w:szCs w:val="20"/>
              </w:rPr>
              <w:t>++</w:t>
            </w:r>
          </w:p>
        </w:tc>
        <w:tc>
          <w:tcPr>
            <w:tcW w:w="563" w:type="dxa"/>
          </w:tcPr>
          <w:p w14:paraId="0A8FFF57" w14:textId="77777777" w:rsidR="00334AA6" w:rsidRPr="001A7494" w:rsidRDefault="00000000" w:rsidP="001652E5">
            <w:pPr>
              <w:spacing w:line="360" w:lineRule="auto"/>
              <w:jc w:val="both"/>
              <w:rPr>
                <w:rFonts w:ascii="Arial" w:eastAsia="Times New Roman" w:hAnsi="Arial" w:cs="Arial"/>
                <w:sz w:val="20"/>
                <w:szCs w:val="20"/>
              </w:rPr>
            </w:pPr>
            <w:r w:rsidRPr="001A7494">
              <w:rPr>
                <w:rFonts w:ascii="Arial" w:eastAsia="Times New Roman" w:hAnsi="Arial" w:cs="Arial"/>
                <w:sz w:val="20"/>
                <w:szCs w:val="20"/>
              </w:rPr>
              <w:t>++</w:t>
            </w:r>
          </w:p>
        </w:tc>
        <w:tc>
          <w:tcPr>
            <w:tcW w:w="623" w:type="dxa"/>
          </w:tcPr>
          <w:p w14:paraId="5143590A" w14:textId="77777777" w:rsidR="00334AA6" w:rsidRPr="001A7494" w:rsidRDefault="00000000" w:rsidP="001652E5">
            <w:pPr>
              <w:spacing w:line="360" w:lineRule="auto"/>
              <w:jc w:val="both"/>
              <w:rPr>
                <w:rFonts w:ascii="Arial" w:eastAsia="Times New Roman" w:hAnsi="Arial" w:cs="Arial"/>
                <w:sz w:val="20"/>
                <w:szCs w:val="20"/>
              </w:rPr>
            </w:pPr>
            <w:r w:rsidRPr="001A7494">
              <w:rPr>
                <w:rFonts w:ascii="Arial" w:eastAsia="Times New Roman" w:hAnsi="Arial" w:cs="Arial"/>
                <w:sz w:val="20"/>
                <w:szCs w:val="20"/>
              </w:rPr>
              <w:t>++</w:t>
            </w:r>
          </w:p>
        </w:tc>
        <w:tc>
          <w:tcPr>
            <w:tcW w:w="608" w:type="dxa"/>
          </w:tcPr>
          <w:p w14:paraId="1FBBA376" w14:textId="77777777" w:rsidR="00334AA6" w:rsidRPr="001A7494" w:rsidRDefault="00000000" w:rsidP="001652E5">
            <w:pPr>
              <w:spacing w:line="360" w:lineRule="auto"/>
              <w:jc w:val="both"/>
              <w:rPr>
                <w:rFonts w:ascii="Arial" w:eastAsia="Times New Roman" w:hAnsi="Arial" w:cs="Arial"/>
                <w:sz w:val="20"/>
                <w:szCs w:val="20"/>
              </w:rPr>
            </w:pPr>
            <w:r w:rsidRPr="001A7494">
              <w:rPr>
                <w:rFonts w:ascii="Arial" w:eastAsia="Times New Roman" w:hAnsi="Arial" w:cs="Arial"/>
                <w:sz w:val="20"/>
                <w:szCs w:val="20"/>
              </w:rPr>
              <w:t>++</w:t>
            </w:r>
          </w:p>
        </w:tc>
        <w:tc>
          <w:tcPr>
            <w:tcW w:w="548" w:type="dxa"/>
          </w:tcPr>
          <w:p w14:paraId="7C7A9CA3" w14:textId="77777777" w:rsidR="00334AA6" w:rsidRPr="001A7494" w:rsidRDefault="00000000" w:rsidP="001652E5">
            <w:pPr>
              <w:spacing w:line="360" w:lineRule="auto"/>
              <w:jc w:val="both"/>
              <w:rPr>
                <w:rFonts w:ascii="Arial" w:eastAsia="Times New Roman" w:hAnsi="Arial" w:cs="Arial"/>
                <w:sz w:val="20"/>
                <w:szCs w:val="20"/>
              </w:rPr>
            </w:pPr>
            <w:r w:rsidRPr="001A7494">
              <w:rPr>
                <w:rFonts w:ascii="Arial" w:eastAsia="Times New Roman" w:hAnsi="Arial" w:cs="Arial"/>
                <w:sz w:val="20"/>
                <w:szCs w:val="20"/>
              </w:rPr>
              <w:t>++</w:t>
            </w:r>
          </w:p>
        </w:tc>
        <w:tc>
          <w:tcPr>
            <w:tcW w:w="548" w:type="dxa"/>
          </w:tcPr>
          <w:p w14:paraId="06D810F4" w14:textId="77777777" w:rsidR="00334AA6" w:rsidRPr="001A7494" w:rsidRDefault="00000000" w:rsidP="001652E5">
            <w:pPr>
              <w:spacing w:line="360" w:lineRule="auto"/>
              <w:jc w:val="both"/>
              <w:rPr>
                <w:rFonts w:ascii="Arial" w:eastAsia="Times New Roman" w:hAnsi="Arial" w:cs="Arial"/>
                <w:sz w:val="20"/>
                <w:szCs w:val="20"/>
              </w:rPr>
            </w:pPr>
            <w:r w:rsidRPr="001A7494">
              <w:rPr>
                <w:rFonts w:ascii="Arial" w:eastAsia="Times New Roman" w:hAnsi="Arial" w:cs="Arial"/>
                <w:sz w:val="20"/>
                <w:szCs w:val="20"/>
              </w:rPr>
              <w:t>–</w:t>
            </w:r>
          </w:p>
        </w:tc>
        <w:tc>
          <w:tcPr>
            <w:tcW w:w="548" w:type="dxa"/>
          </w:tcPr>
          <w:p w14:paraId="2A0F1E4F" w14:textId="77777777" w:rsidR="00334AA6" w:rsidRPr="001A7494" w:rsidRDefault="00000000" w:rsidP="001652E5">
            <w:pPr>
              <w:spacing w:line="360" w:lineRule="auto"/>
              <w:jc w:val="both"/>
              <w:rPr>
                <w:rFonts w:ascii="Arial" w:eastAsia="Times New Roman" w:hAnsi="Arial" w:cs="Arial"/>
                <w:sz w:val="20"/>
                <w:szCs w:val="20"/>
              </w:rPr>
            </w:pPr>
            <w:r w:rsidRPr="001A7494">
              <w:rPr>
                <w:rFonts w:ascii="Arial" w:eastAsia="Times New Roman" w:hAnsi="Arial" w:cs="Arial"/>
                <w:sz w:val="20"/>
                <w:szCs w:val="20"/>
              </w:rPr>
              <w:t>++</w:t>
            </w:r>
          </w:p>
        </w:tc>
        <w:tc>
          <w:tcPr>
            <w:tcW w:w="608" w:type="dxa"/>
          </w:tcPr>
          <w:p w14:paraId="210A82FC" w14:textId="77777777" w:rsidR="00334AA6" w:rsidRPr="001A7494" w:rsidRDefault="00000000" w:rsidP="001652E5">
            <w:pPr>
              <w:spacing w:line="360" w:lineRule="auto"/>
              <w:jc w:val="both"/>
              <w:rPr>
                <w:rFonts w:ascii="Arial" w:eastAsia="Times New Roman" w:hAnsi="Arial" w:cs="Arial"/>
                <w:sz w:val="20"/>
                <w:szCs w:val="20"/>
              </w:rPr>
            </w:pPr>
            <w:r w:rsidRPr="001A7494">
              <w:rPr>
                <w:rFonts w:ascii="Arial" w:eastAsia="Times New Roman" w:hAnsi="Arial" w:cs="Arial"/>
                <w:sz w:val="20"/>
                <w:szCs w:val="20"/>
              </w:rPr>
              <w:t>–</w:t>
            </w:r>
          </w:p>
        </w:tc>
        <w:tc>
          <w:tcPr>
            <w:tcW w:w="578" w:type="dxa"/>
          </w:tcPr>
          <w:p w14:paraId="2B4FBF8F" w14:textId="77777777" w:rsidR="00334AA6" w:rsidRPr="001A7494" w:rsidRDefault="00000000" w:rsidP="001652E5">
            <w:pPr>
              <w:spacing w:line="360" w:lineRule="auto"/>
              <w:jc w:val="both"/>
              <w:rPr>
                <w:rFonts w:ascii="Arial" w:eastAsia="Times New Roman" w:hAnsi="Arial" w:cs="Arial"/>
                <w:sz w:val="20"/>
                <w:szCs w:val="20"/>
              </w:rPr>
            </w:pPr>
            <w:r w:rsidRPr="001A7494">
              <w:rPr>
                <w:rFonts w:ascii="Arial" w:eastAsia="Times New Roman" w:hAnsi="Arial" w:cs="Arial"/>
                <w:sz w:val="20"/>
                <w:szCs w:val="20"/>
              </w:rPr>
              <w:t>+</w:t>
            </w:r>
          </w:p>
        </w:tc>
        <w:tc>
          <w:tcPr>
            <w:tcW w:w="652" w:type="dxa"/>
          </w:tcPr>
          <w:p w14:paraId="2D74ABC4" w14:textId="77777777" w:rsidR="00334AA6" w:rsidRPr="001A7494" w:rsidRDefault="00000000" w:rsidP="001652E5">
            <w:pPr>
              <w:spacing w:line="360" w:lineRule="auto"/>
              <w:jc w:val="both"/>
              <w:rPr>
                <w:rFonts w:ascii="Arial" w:eastAsia="Times New Roman" w:hAnsi="Arial" w:cs="Arial"/>
                <w:sz w:val="20"/>
                <w:szCs w:val="20"/>
              </w:rPr>
            </w:pPr>
            <w:r w:rsidRPr="001A7494">
              <w:rPr>
                <w:rFonts w:ascii="Arial" w:eastAsia="Times New Roman" w:hAnsi="Arial" w:cs="Arial"/>
                <w:sz w:val="20"/>
                <w:szCs w:val="20"/>
              </w:rPr>
              <w:t>++</w:t>
            </w:r>
          </w:p>
        </w:tc>
        <w:tc>
          <w:tcPr>
            <w:tcW w:w="608" w:type="dxa"/>
          </w:tcPr>
          <w:p w14:paraId="6FEE375F" w14:textId="77777777" w:rsidR="00334AA6" w:rsidRPr="001A7494" w:rsidRDefault="00000000" w:rsidP="001652E5">
            <w:pPr>
              <w:spacing w:line="360" w:lineRule="auto"/>
              <w:jc w:val="both"/>
              <w:rPr>
                <w:rFonts w:ascii="Arial" w:eastAsia="Times New Roman" w:hAnsi="Arial" w:cs="Arial"/>
                <w:sz w:val="20"/>
                <w:szCs w:val="20"/>
              </w:rPr>
            </w:pPr>
            <w:r w:rsidRPr="001A7494">
              <w:rPr>
                <w:rFonts w:ascii="Arial" w:eastAsia="Times New Roman" w:hAnsi="Arial" w:cs="Arial"/>
                <w:sz w:val="20"/>
                <w:szCs w:val="20"/>
              </w:rPr>
              <w:t>++</w:t>
            </w:r>
          </w:p>
        </w:tc>
        <w:tc>
          <w:tcPr>
            <w:tcW w:w="608" w:type="dxa"/>
          </w:tcPr>
          <w:p w14:paraId="20CF280E" w14:textId="77777777" w:rsidR="00334AA6" w:rsidRPr="001A7494" w:rsidRDefault="00000000" w:rsidP="001652E5">
            <w:pPr>
              <w:spacing w:line="360" w:lineRule="auto"/>
              <w:jc w:val="both"/>
              <w:rPr>
                <w:rFonts w:ascii="Arial" w:eastAsia="Times New Roman" w:hAnsi="Arial" w:cs="Arial"/>
                <w:sz w:val="20"/>
                <w:szCs w:val="20"/>
              </w:rPr>
            </w:pPr>
            <w:r w:rsidRPr="001A7494">
              <w:rPr>
                <w:rFonts w:ascii="Arial" w:eastAsia="Times New Roman" w:hAnsi="Arial" w:cs="Arial"/>
                <w:sz w:val="20"/>
                <w:szCs w:val="20"/>
              </w:rPr>
              <w:t>++</w:t>
            </w:r>
          </w:p>
        </w:tc>
      </w:tr>
      <w:tr w:rsidR="00334AA6" w:rsidRPr="001A7494" w14:paraId="6C383E86" w14:textId="77777777" w:rsidTr="004E6F86">
        <w:trPr>
          <w:trHeight w:val="435"/>
        </w:trPr>
        <w:tc>
          <w:tcPr>
            <w:tcW w:w="713" w:type="dxa"/>
          </w:tcPr>
          <w:p w14:paraId="31BBB327" w14:textId="77777777" w:rsidR="00334AA6" w:rsidRPr="001A7494" w:rsidRDefault="00000000" w:rsidP="001652E5">
            <w:pPr>
              <w:spacing w:line="360" w:lineRule="auto"/>
              <w:jc w:val="both"/>
              <w:rPr>
                <w:rFonts w:ascii="Arial" w:eastAsia="Times New Roman" w:hAnsi="Arial" w:cs="Arial"/>
                <w:sz w:val="20"/>
                <w:szCs w:val="20"/>
              </w:rPr>
            </w:pPr>
            <w:r w:rsidRPr="001A7494">
              <w:rPr>
                <w:rFonts w:ascii="Arial" w:eastAsia="Times New Roman" w:hAnsi="Arial" w:cs="Arial"/>
                <w:sz w:val="20"/>
                <w:szCs w:val="20"/>
              </w:rPr>
              <w:t xml:space="preserve"> </w:t>
            </w:r>
          </w:p>
        </w:tc>
        <w:tc>
          <w:tcPr>
            <w:tcW w:w="981" w:type="dxa"/>
          </w:tcPr>
          <w:p w14:paraId="08D4A395" w14:textId="77777777" w:rsidR="00334AA6" w:rsidRPr="001A7494" w:rsidRDefault="00000000" w:rsidP="001652E5">
            <w:pPr>
              <w:spacing w:line="360" w:lineRule="auto"/>
              <w:jc w:val="both"/>
              <w:rPr>
                <w:rFonts w:ascii="Arial" w:eastAsia="Times New Roman" w:hAnsi="Arial" w:cs="Arial"/>
                <w:sz w:val="20"/>
                <w:szCs w:val="20"/>
              </w:rPr>
            </w:pPr>
            <w:r w:rsidRPr="001A7494">
              <w:rPr>
                <w:rFonts w:ascii="Arial" w:eastAsia="Times New Roman" w:hAnsi="Arial" w:cs="Arial"/>
                <w:sz w:val="20"/>
                <w:szCs w:val="20"/>
              </w:rPr>
              <w:t>EtOH</w:t>
            </w:r>
          </w:p>
        </w:tc>
        <w:tc>
          <w:tcPr>
            <w:tcW w:w="579" w:type="dxa"/>
          </w:tcPr>
          <w:p w14:paraId="60943862" w14:textId="77777777" w:rsidR="00334AA6" w:rsidRPr="001A7494" w:rsidRDefault="00000000" w:rsidP="001652E5">
            <w:pPr>
              <w:spacing w:line="360" w:lineRule="auto"/>
              <w:jc w:val="both"/>
              <w:rPr>
                <w:rFonts w:ascii="Arial" w:eastAsia="Times New Roman" w:hAnsi="Arial" w:cs="Arial"/>
                <w:sz w:val="20"/>
                <w:szCs w:val="20"/>
              </w:rPr>
            </w:pPr>
            <w:r w:rsidRPr="001A7494">
              <w:rPr>
                <w:rFonts w:ascii="Arial" w:eastAsia="Times New Roman" w:hAnsi="Arial" w:cs="Arial"/>
                <w:sz w:val="20"/>
                <w:szCs w:val="20"/>
              </w:rPr>
              <w:t>–</w:t>
            </w:r>
          </w:p>
        </w:tc>
        <w:tc>
          <w:tcPr>
            <w:tcW w:w="594" w:type="dxa"/>
          </w:tcPr>
          <w:p w14:paraId="3143FCB7" w14:textId="77777777" w:rsidR="00334AA6" w:rsidRPr="001A7494" w:rsidRDefault="00000000" w:rsidP="001652E5">
            <w:pPr>
              <w:spacing w:line="360" w:lineRule="auto"/>
              <w:jc w:val="both"/>
              <w:rPr>
                <w:rFonts w:ascii="Arial" w:eastAsia="Times New Roman" w:hAnsi="Arial" w:cs="Arial"/>
                <w:sz w:val="20"/>
                <w:szCs w:val="20"/>
              </w:rPr>
            </w:pPr>
            <w:r w:rsidRPr="001A7494">
              <w:rPr>
                <w:rFonts w:ascii="Arial" w:eastAsia="Times New Roman" w:hAnsi="Arial" w:cs="Arial"/>
                <w:sz w:val="20"/>
                <w:szCs w:val="20"/>
              </w:rPr>
              <w:t>++</w:t>
            </w:r>
          </w:p>
        </w:tc>
        <w:tc>
          <w:tcPr>
            <w:tcW w:w="563" w:type="dxa"/>
          </w:tcPr>
          <w:p w14:paraId="1842CEA7" w14:textId="77777777" w:rsidR="00334AA6" w:rsidRPr="001A7494" w:rsidRDefault="00000000" w:rsidP="001652E5">
            <w:pPr>
              <w:spacing w:line="360" w:lineRule="auto"/>
              <w:jc w:val="both"/>
              <w:rPr>
                <w:rFonts w:ascii="Arial" w:eastAsia="Times New Roman" w:hAnsi="Arial" w:cs="Arial"/>
                <w:sz w:val="20"/>
                <w:szCs w:val="20"/>
              </w:rPr>
            </w:pPr>
            <w:r w:rsidRPr="001A7494">
              <w:rPr>
                <w:rFonts w:ascii="Arial" w:eastAsia="Times New Roman" w:hAnsi="Arial" w:cs="Arial"/>
                <w:sz w:val="20"/>
                <w:szCs w:val="20"/>
              </w:rPr>
              <w:t>++</w:t>
            </w:r>
          </w:p>
        </w:tc>
        <w:tc>
          <w:tcPr>
            <w:tcW w:w="623" w:type="dxa"/>
          </w:tcPr>
          <w:p w14:paraId="55FE8BCC" w14:textId="77777777" w:rsidR="00334AA6" w:rsidRPr="001A7494" w:rsidRDefault="00000000" w:rsidP="001652E5">
            <w:pPr>
              <w:spacing w:line="360" w:lineRule="auto"/>
              <w:jc w:val="both"/>
              <w:rPr>
                <w:rFonts w:ascii="Arial" w:eastAsia="Times New Roman" w:hAnsi="Arial" w:cs="Arial"/>
                <w:sz w:val="20"/>
                <w:szCs w:val="20"/>
              </w:rPr>
            </w:pPr>
            <w:r w:rsidRPr="001A7494">
              <w:rPr>
                <w:rFonts w:ascii="Arial" w:eastAsia="Times New Roman" w:hAnsi="Arial" w:cs="Arial"/>
                <w:sz w:val="20"/>
                <w:szCs w:val="20"/>
              </w:rPr>
              <w:t>++</w:t>
            </w:r>
          </w:p>
        </w:tc>
        <w:tc>
          <w:tcPr>
            <w:tcW w:w="608" w:type="dxa"/>
          </w:tcPr>
          <w:p w14:paraId="2145F49E" w14:textId="77777777" w:rsidR="00334AA6" w:rsidRPr="001A7494" w:rsidRDefault="00000000" w:rsidP="001652E5">
            <w:pPr>
              <w:spacing w:line="360" w:lineRule="auto"/>
              <w:jc w:val="both"/>
              <w:rPr>
                <w:rFonts w:ascii="Arial" w:eastAsia="Times New Roman" w:hAnsi="Arial" w:cs="Arial"/>
                <w:sz w:val="20"/>
                <w:szCs w:val="20"/>
              </w:rPr>
            </w:pPr>
            <w:r w:rsidRPr="001A7494">
              <w:rPr>
                <w:rFonts w:ascii="Arial" w:eastAsia="Times New Roman" w:hAnsi="Arial" w:cs="Arial"/>
                <w:sz w:val="20"/>
                <w:szCs w:val="20"/>
              </w:rPr>
              <w:t>++</w:t>
            </w:r>
          </w:p>
        </w:tc>
        <w:tc>
          <w:tcPr>
            <w:tcW w:w="548" w:type="dxa"/>
          </w:tcPr>
          <w:p w14:paraId="13C60D45" w14:textId="77777777" w:rsidR="00334AA6" w:rsidRPr="001A7494" w:rsidRDefault="00000000" w:rsidP="001652E5">
            <w:pPr>
              <w:spacing w:line="360" w:lineRule="auto"/>
              <w:jc w:val="both"/>
              <w:rPr>
                <w:rFonts w:ascii="Arial" w:eastAsia="Times New Roman" w:hAnsi="Arial" w:cs="Arial"/>
                <w:sz w:val="20"/>
                <w:szCs w:val="20"/>
              </w:rPr>
            </w:pPr>
            <w:r w:rsidRPr="001A7494">
              <w:rPr>
                <w:rFonts w:ascii="Arial" w:eastAsia="Times New Roman" w:hAnsi="Arial" w:cs="Arial"/>
                <w:sz w:val="20"/>
                <w:szCs w:val="20"/>
              </w:rPr>
              <w:t>++</w:t>
            </w:r>
          </w:p>
        </w:tc>
        <w:tc>
          <w:tcPr>
            <w:tcW w:w="548" w:type="dxa"/>
          </w:tcPr>
          <w:p w14:paraId="2FF7C890" w14:textId="77777777" w:rsidR="00334AA6" w:rsidRPr="001A7494" w:rsidRDefault="00000000" w:rsidP="001652E5">
            <w:pPr>
              <w:spacing w:line="360" w:lineRule="auto"/>
              <w:jc w:val="both"/>
              <w:rPr>
                <w:rFonts w:ascii="Arial" w:eastAsia="Times New Roman" w:hAnsi="Arial" w:cs="Arial"/>
                <w:sz w:val="20"/>
                <w:szCs w:val="20"/>
              </w:rPr>
            </w:pPr>
            <w:r w:rsidRPr="001A7494">
              <w:rPr>
                <w:rFonts w:ascii="Arial" w:eastAsia="Times New Roman" w:hAnsi="Arial" w:cs="Arial"/>
                <w:sz w:val="20"/>
                <w:szCs w:val="20"/>
              </w:rPr>
              <w:t>–</w:t>
            </w:r>
          </w:p>
        </w:tc>
        <w:tc>
          <w:tcPr>
            <w:tcW w:w="548" w:type="dxa"/>
          </w:tcPr>
          <w:p w14:paraId="4FD61481" w14:textId="77777777" w:rsidR="00334AA6" w:rsidRPr="001A7494" w:rsidRDefault="00000000" w:rsidP="001652E5">
            <w:pPr>
              <w:spacing w:line="360" w:lineRule="auto"/>
              <w:jc w:val="both"/>
              <w:rPr>
                <w:rFonts w:ascii="Arial" w:eastAsia="Times New Roman" w:hAnsi="Arial" w:cs="Arial"/>
                <w:sz w:val="20"/>
                <w:szCs w:val="20"/>
              </w:rPr>
            </w:pPr>
            <w:r w:rsidRPr="001A7494">
              <w:rPr>
                <w:rFonts w:ascii="Arial" w:eastAsia="Times New Roman" w:hAnsi="Arial" w:cs="Arial"/>
                <w:sz w:val="20"/>
                <w:szCs w:val="20"/>
              </w:rPr>
              <w:t>++</w:t>
            </w:r>
          </w:p>
        </w:tc>
        <w:tc>
          <w:tcPr>
            <w:tcW w:w="608" w:type="dxa"/>
          </w:tcPr>
          <w:p w14:paraId="62DD6AAF" w14:textId="77777777" w:rsidR="00334AA6" w:rsidRPr="001A7494" w:rsidRDefault="00000000" w:rsidP="001652E5">
            <w:pPr>
              <w:spacing w:line="360" w:lineRule="auto"/>
              <w:jc w:val="both"/>
              <w:rPr>
                <w:rFonts w:ascii="Arial" w:eastAsia="Times New Roman" w:hAnsi="Arial" w:cs="Arial"/>
                <w:sz w:val="20"/>
                <w:szCs w:val="20"/>
              </w:rPr>
            </w:pPr>
            <w:r w:rsidRPr="001A7494">
              <w:rPr>
                <w:rFonts w:ascii="Arial" w:eastAsia="Times New Roman" w:hAnsi="Arial" w:cs="Arial"/>
                <w:sz w:val="20"/>
                <w:szCs w:val="20"/>
              </w:rPr>
              <w:t>–</w:t>
            </w:r>
          </w:p>
        </w:tc>
        <w:tc>
          <w:tcPr>
            <w:tcW w:w="578" w:type="dxa"/>
          </w:tcPr>
          <w:p w14:paraId="6352A2E6" w14:textId="77777777" w:rsidR="00334AA6" w:rsidRPr="001A7494" w:rsidRDefault="00000000" w:rsidP="001652E5">
            <w:pPr>
              <w:spacing w:line="360" w:lineRule="auto"/>
              <w:jc w:val="both"/>
              <w:rPr>
                <w:rFonts w:ascii="Arial" w:eastAsia="Times New Roman" w:hAnsi="Arial" w:cs="Arial"/>
                <w:sz w:val="20"/>
                <w:szCs w:val="20"/>
              </w:rPr>
            </w:pPr>
            <w:r w:rsidRPr="001A7494">
              <w:rPr>
                <w:rFonts w:ascii="Arial" w:eastAsia="Times New Roman" w:hAnsi="Arial" w:cs="Arial"/>
                <w:sz w:val="20"/>
                <w:szCs w:val="20"/>
              </w:rPr>
              <w:t>++</w:t>
            </w:r>
          </w:p>
        </w:tc>
        <w:tc>
          <w:tcPr>
            <w:tcW w:w="652" w:type="dxa"/>
          </w:tcPr>
          <w:p w14:paraId="74403DE6" w14:textId="77777777" w:rsidR="00334AA6" w:rsidRPr="001A7494" w:rsidRDefault="00000000" w:rsidP="001652E5">
            <w:pPr>
              <w:spacing w:line="360" w:lineRule="auto"/>
              <w:jc w:val="both"/>
              <w:rPr>
                <w:rFonts w:ascii="Arial" w:eastAsia="Times New Roman" w:hAnsi="Arial" w:cs="Arial"/>
                <w:sz w:val="20"/>
                <w:szCs w:val="20"/>
              </w:rPr>
            </w:pPr>
            <w:r w:rsidRPr="001A7494">
              <w:rPr>
                <w:rFonts w:ascii="Arial" w:eastAsia="Times New Roman" w:hAnsi="Arial" w:cs="Arial"/>
                <w:sz w:val="20"/>
                <w:szCs w:val="20"/>
              </w:rPr>
              <w:t>++</w:t>
            </w:r>
          </w:p>
        </w:tc>
        <w:tc>
          <w:tcPr>
            <w:tcW w:w="608" w:type="dxa"/>
          </w:tcPr>
          <w:p w14:paraId="5F93936B" w14:textId="77777777" w:rsidR="00334AA6" w:rsidRPr="001A7494" w:rsidRDefault="00000000" w:rsidP="001652E5">
            <w:pPr>
              <w:spacing w:line="360" w:lineRule="auto"/>
              <w:jc w:val="both"/>
              <w:rPr>
                <w:rFonts w:ascii="Arial" w:eastAsia="Times New Roman" w:hAnsi="Arial" w:cs="Arial"/>
                <w:sz w:val="20"/>
                <w:szCs w:val="20"/>
              </w:rPr>
            </w:pPr>
            <w:r w:rsidRPr="001A7494">
              <w:rPr>
                <w:rFonts w:ascii="Arial" w:eastAsia="Times New Roman" w:hAnsi="Arial" w:cs="Arial"/>
                <w:sz w:val="20"/>
                <w:szCs w:val="20"/>
              </w:rPr>
              <w:t>++</w:t>
            </w:r>
          </w:p>
        </w:tc>
        <w:tc>
          <w:tcPr>
            <w:tcW w:w="608" w:type="dxa"/>
          </w:tcPr>
          <w:p w14:paraId="3B8B5B3E" w14:textId="77777777" w:rsidR="00334AA6" w:rsidRPr="001A7494" w:rsidRDefault="00000000" w:rsidP="001652E5">
            <w:pPr>
              <w:spacing w:line="360" w:lineRule="auto"/>
              <w:jc w:val="both"/>
              <w:rPr>
                <w:rFonts w:ascii="Arial" w:eastAsia="Times New Roman" w:hAnsi="Arial" w:cs="Arial"/>
                <w:sz w:val="20"/>
                <w:szCs w:val="20"/>
              </w:rPr>
            </w:pPr>
            <w:r w:rsidRPr="001A7494">
              <w:rPr>
                <w:rFonts w:ascii="Arial" w:eastAsia="Times New Roman" w:hAnsi="Arial" w:cs="Arial"/>
                <w:sz w:val="20"/>
                <w:szCs w:val="20"/>
              </w:rPr>
              <w:t>++</w:t>
            </w:r>
          </w:p>
        </w:tc>
      </w:tr>
      <w:tr w:rsidR="00334AA6" w:rsidRPr="001A7494" w14:paraId="4E21277C" w14:textId="77777777" w:rsidTr="004E6F86">
        <w:trPr>
          <w:trHeight w:val="435"/>
        </w:trPr>
        <w:tc>
          <w:tcPr>
            <w:tcW w:w="713" w:type="dxa"/>
          </w:tcPr>
          <w:p w14:paraId="44C39530" w14:textId="77777777" w:rsidR="00334AA6" w:rsidRPr="001A7494" w:rsidRDefault="00000000" w:rsidP="001652E5">
            <w:pPr>
              <w:spacing w:line="360" w:lineRule="auto"/>
              <w:jc w:val="both"/>
              <w:rPr>
                <w:rFonts w:ascii="Arial" w:eastAsia="Times New Roman" w:hAnsi="Arial" w:cs="Arial"/>
                <w:sz w:val="20"/>
                <w:szCs w:val="20"/>
              </w:rPr>
            </w:pPr>
            <w:r w:rsidRPr="001A7494">
              <w:rPr>
                <w:rFonts w:ascii="Arial" w:eastAsia="Times New Roman" w:hAnsi="Arial" w:cs="Arial"/>
                <w:sz w:val="20"/>
                <w:szCs w:val="20"/>
              </w:rPr>
              <w:t xml:space="preserve"> </w:t>
            </w:r>
          </w:p>
        </w:tc>
        <w:tc>
          <w:tcPr>
            <w:tcW w:w="981" w:type="dxa"/>
          </w:tcPr>
          <w:p w14:paraId="1E3F2BAE" w14:textId="77777777" w:rsidR="00334AA6" w:rsidRPr="001A7494" w:rsidRDefault="00000000" w:rsidP="001652E5">
            <w:pPr>
              <w:spacing w:line="360" w:lineRule="auto"/>
              <w:jc w:val="both"/>
              <w:rPr>
                <w:rFonts w:ascii="Arial" w:eastAsia="Times New Roman" w:hAnsi="Arial" w:cs="Arial"/>
                <w:sz w:val="20"/>
                <w:szCs w:val="20"/>
              </w:rPr>
            </w:pPr>
            <w:r w:rsidRPr="001A7494">
              <w:rPr>
                <w:rFonts w:ascii="Arial" w:eastAsia="Times New Roman" w:hAnsi="Arial" w:cs="Arial"/>
                <w:sz w:val="20"/>
                <w:szCs w:val="20"/>
              </w:rPr>
              <w:t>Aq</w:t>
            </w:r>
          </w:p>
        </w:tc>
        <w:tc>
          <w:tcPr>
            <w:tcW w:w="579" w:type="dxa"/>
          </w:tcPr>
          <w:p w14:paraId="787B727F" w14:textId="77777777" w:rsidR="00334AA6" w:rsidRPr="001A7494" w:rsidRDefault="00000000" w:rsidP="001652E5">
            <w:pPr>
              <w:spacing w:line="360" w:lineRule="auto"/>
              <w:jc w:val="both"/>
              <w:rPr>
                <w:rFonts w:ascii="Arial" w:eastAsia="Times New Roman" w:hAnsi="Arial" w:cs="Arial"/>
                <w:sz w:val="20"/>
                <w:szCs w:val="20"/>
              </w:rPr>
            </w:pPr>
            <w:r w:rsidRPr="001A7494">
              <w:rPr>
                <w:rFonts w:ascii="Arial" w:eastAsia="Times New Roman" w:hAnsi="Arial" w:cs="Arial"/>
                <w:sz w:val="20"/>
                <w:szCs w:val="20"/>
              </w:rPr>
              <w:t>–</w:t>
            </w:r>
          </w:p>
        </w:tc>
        <w:tc>
          <w:tcPr>
            <w:tcW w:w="594" w:type="dxa"/>
          </w:tcPr>
          <w:p w14:paraId="32E46C7F" w14:textId="77777777" w:rsidR="00334AA6" w:rsidRPr="001A7494" w:rsidRDefault="00000000" w:rsidP="001652E5">
            <w:pPr>
              <w:spacing w:line="360" w:lineRule="auto"/>
              <w:jc w:val="both"/>
              <w:rPr>
                <w:rFonts w:ascii="Arial" w:eastAsia="Times New Roman" w:hAnsi="Arial" w:cs="Arial"/>
                <w:sz w:val="20"/>
                <w:szCs w:val="20"/>
              </w:rPr>
            </w:pPr>
            <w:r w:rsidRPr="001A7494">
              <w:rPr>
                <w:rFonts w:ascii="Arial" w:eastAsia="Times New Roman" w:hAnsi="Arial" w:cs="Arial"/>
                <w:sz w:val="20"/>
                <w:szCs w:val="20"/>
              </w:rPr>
              <w:t>+</w:t>
            </w:r>
          </w:p>
        </w:tc>
        <w:tc>
          <w:tcPr>
            <w:tcW w:w="563" w:type="dxa"/>
          </w:tcPr>
          <w:p w14:paraId="00230F72" w14:textId="77777777" w:rsidR="00334AA6" w:rsidRPr="001A7494" w:rsidRDefault="00000000" w:rsidP="001652E5">
            <w:pPr>
              <w:spacing w:line="360" w:lineRule="auto"/>
              <w:jc w:val="both"/>
              <w:rPr>
                <w:rFonts w:ascii="Arial" w:eastAsia="Times New Roman" w:hAnsi="Arial" w:cs="Arial"/>
                <w:sz w:val="20"/>
                <w:szCs w:val="20"/>
              </w:rPr>
            </w:pPr>
            <w:r w:rsidRPr="001A7494">
              <w:rPr>
                <w:rFonts w:ascii="Arial" w:eastAsia="Times New Roman" w:hAnsi="Arial" w:cs="Arial"/>
                <w:sz w:val="20"/>
                <w:szCs w:val="20"/>
              </w:rPr>
              <w:t>++</w:t>
            </w:r>
          </w:p>
        </w:tc>
        <w:tc>
          <w:tcPr>
            <w:tcW w:w="623" w:type="dxa"/>
          </w:tcPr>
          <w:p w14:paraId="5C142A94" w14:textId="77777777" w:rsidR="00334AA6" w:rsidRPr="001A7494" w:rsidRDefault="00000000" w:rsidP="001652E5">
            <w:pPr>
              <w:spacing w:line="360" w:lineRule="auto"/>
              <w:jc w:val="both"/>
              <w:rPr>
                <w:rFonts w:ascii="Arial" w:eastAsia="Times New Roman" w:hAnsi="Arial" w:cs="Arial"/>
                <w:sz w:val="20"/>
                <w:szCs w:val="20"/>
              </w:rPr>
            </w:pPr>
            <w:r w:rsidRPr="001A7494">
              <w:rPr>
                <w:rFonts w:ascii="Arial" w:eastAsia="Times New Roman" w:hAnsi="Arial" w:cs="Arial"/>
                <w:sz w:val="20"/>
                <w:szCs w:val="20"/>
              </w:rPr>
              <w:t>++</w:t>
            </w:r>
          </w:p>
        </w:tc>
        <w:tc>
          <w:tcPr>
            <w:tcW w:w="608" w:type="dxa"/>
          </w:tcPr>
          <w:p w14:paraId="0CB26961" w14:textId="77777777" w:rsidR="00334AA6" w:rsidRPr="001A7494" w:rsidRDefault="00000000" w:rsidP="001652E5">
            <w:pPr>
              <w:spacing w:line="360" w:lineRule="auto"/>
              <w:jc w:val="both"/>
              <w:rPr>
                <w:rFonts w:ascii="Arial" w:eastAsia="Times New Roman" w:hAnsi="Arial" w:cs="Arial"/>
                <w:sz w:val="20"/>
                <w:szCs w:val="20"/>
              </w:rPr>
            </w:pPr>
            <w:r w:rsidRPr="001A7494">
              <w:rPr>
                <w:rFonts w:ascii="Arial" w:eastAsia="Times New Roman" w:hAnsi="Arial" w:cs="Arial"/>
                <w:sz w:val="20"/>
                <w:szCs w:val="20"/>
              </w:rPr>
              <w:t>+</w:t>
            </w:r>
          </w:p>
        </w:tc>
        <w:tc>
          <w:tcPr>
            <w:tcW w:w="548" w:type="dxa"/>
          </w:tcPr>
          <w:p w14:paraId="33816889" w14:textId="77777777" w:rsidR="00334AA6" w:rsidRPr="001A7494" w:rsidRDefault="00000000" w:rsidP="001652E5">
            <w:pPr>
              <w:spacing w:line="360" w:lineRule="auto"/>
              <w:jc w:val="both"/>
              <w:rPr>
                <w:rFonts w:ascii="Arial" w:eastAsia="Times New Roman" w:hAnsi="Arial" w:cs="Arial"/>
                <w:sz w:val="20"/>
                <w:szCs w:val="20"/>
              </w:rPr>
            </w:pPr>
            <w:r w:rsidRPr="001A7494">
              <w:rPr>
                <w:rFonts w:ascii="Arial" w:eastAsia="Times New Roman" w:hAnsi="Arial" w:cs="Arial"/>
                <w:sz w:val="20"/>
                <w:szCs w:val="20"/>
              </w:rPr>
              <w:t>–</w:t>
            </w:r>
          </w:p>
        </w:tc>
        <w:tc>
          <w:tcPr>
            <w:tcW w:w="548" w:type="dxa"/>
          </w:tcPr>
          <w:p w14:paraId="06940F63" w14:textId="77777777" w:rsidR="00334AA6" w:rsidRPr="001A7494" w:rsidRDefault="00000000" w:rsidP="001652E5">
            <w:pPr>
              <w:spacing w:line="360" w:lineRule="auto"/>
              <w:jc w:val="both"/>
              <w:rPr>
                <w:rFonts w:ascii="Arial" w:eastAsia="Times New Roman" w:hAnsi="Arial" w:cs="Arial"/>
                <w:sz w:val="20"/>
                <w:szCs w:val="20"/>
              </w:rPr>
            </w:pPr>
            <w:r w:rsidRPr="001A7494">
              <w:rPr>
                <w:rFonts w:ascii="Arial" w:eastAsia="Times New Roman" w:hAnsi="Arial" w:cs="Arial"/>
                <w:sz w:val="20"/>
                <w:szCs w:val="20"/>
              </w:rPr>
              <w:t>+</w:t>
            </w:r>
          </w:p>
        </w:tc>
        <w:tc>
          <w:tcPr>
            <w:tcW w:w="548" w:type="dxa"/>
          </w:tcPr>
          <w:p w14:paraId="791F049B" w14:textId="77777777" w:rsidR="00334AA6" w:rsidRPr="001A7494" w:rsidRDefault="00000000" w:rsidP="001652E5">
            <w:pPr>
              <w:spacing w:line="360" w:lineRule="auto"/>
              <w:jc w:val="both"/>
              <w:rPr>
                <w:rFonts w:ascii="Arial" w:eastAsia="Times New Roman" w:hAnsi="Arial" w:cs="Arial"/>
                <w:sz w:val="20"/>
                <w:szCs w:val="20"/>
              </w:rPr>
            </w:pPr>
            <w:r w:rsidRPr="001A7494">
              <w:rPr>
                <w:rFonts w:ascii="Arial" w:eastAsia="Times New Roman" w:hAnsi="Arial" w:cs="Arial"/>
                <w:sz w:val="20"/>
                <w:szCs w:val="20"/>
              </w:rPr>
              <w:t>–</w:t>
            </w:r>
          </w:p>
        </w:tc>
        <w:tc>
          <w:tcPr>
            <w:tcW w:w="608" w:type="dxa"/>
          </w:tcPr>
          <w:p w14:paraId="36009EA1" w14:textId="77777777" w:rsidR="00334AA6" w:rsidRPr="001A7494" w:rsidRDefault="00000000" w:rsidP="001652E5">
            <w:pPr>
              <w:spacing w:line="360" w:lineRule="auto"/>
              <w:jc w:val="both"/>
              <w:rPr>
                <w:rFonts w:ascii="Arial" w:eastAsia="Times New Roman" w:hAnsi="Arial" w:cs="Arial"/>
                <w:sz w:val="20"/>
                <w:szCs w:val="20"/>
              </w:rPr>
            </w:pPr>
            <w:r w:rsidRPr="001A7494">
              <w:rPr>
                <w:rFonts w:ascii="Arial" w:eastAsia="Times New Roman" w:hAnsi="Arial" w:cs="Arial"/>
                <w:sz w:val="20"/>
                <w:szCs w:val="20"/>
              </w:rPr>
              <w:t>–</w:t>
            </w:r>
          </w:p>
        </w:tc>
        <w:tc>
          <w:tcPr>
            <w:tcW w:w="578" w:type="dxa"/>
          </w:tcPr>
          <w:p w14:paraId="50D244C1" w14:textId="77777777" w:rsidR="00334AA6" w:rsidRPr="001A7494" w:rsidRDefault="00000000" w:rsidP="001652E5">
            <w:pPr>
              <w:spacing w:line="360" w:lineRule="auto"/>
              <w:jc w:val="both"/>
              <w:rPr>
                <w:rFonts w:ascii="Arial" w:eastAsia="Times New Roman" w:hAnsi="Arial" w:cs="Arial"/>
                <w:sz w:val="20"/>
                <w:szCs w:val="20"/>
              </w:rPr>
            </w:pPr>
            <w:r w:rsidRPr="001A7494">
              <w:rPr>
                <w:rFonts w:ascii="Arial" w:eastAsia="Times New Roman" w:hAnsi="Arial" w:cs="Arial"/>
                <w:sz w:val="20"/>
                <w:szCs w:val="20"/>
              </w:rPr>
              <w:t>++</w:t>
            </w:r>
          </w:p>
        </w:tc>
        <w:tc>
          <w:tcPr>
            <w:tcW w:w="652" w:type="dxa"/>
          </w:tcPr>
          <w:p w14:paraId="2DA477C8" w14:textId="77777777" w:rsidR="00334AA6" w:rsidRPr="001A7494" w:rsidRDefault="00000000" w:rsidP="001652E5">
            <w:pPr>
              <w:spacing w:line="360" w:lineRule="auto"/>
              <w:jc w:val="both"/>
              <w:rPr>
                <w:rFonts w:ascii="Arial" w:eastAsia="Times New Roman" w:hAnsi="Arial" w:cs="Arial"/>
                <w:sz w:val="20"/>
                <w:szCs w:val="20"/>
              </w:rPr>
            </w:pPr>
            <w:r w:rsidRPr="001A7494">
              <w:rPr>
                <w:rFonts w:ascii="Arial" w:eastAsia="Times New Roman" w:hAnsi="Arial" w:cs="Arial"/>
                <w:sz w:val="20"/>
                <w:szCs w:val="20"/>
              </w:rPr>
              <w:t>+</w:t>
            </w:r>
          </w:p>
        </w:tc>
        <w:tc>
          <w:tcPr>
            <w:tcW w:w="608" w:type="dxa"/>
          </w:tcPr>
          <w:p w14:paraId="1993FB11" w14:textId="77777777" w:rsidR="00334AA6" w:rsidRPr="001A7494" w:rsidRDefault="00000000" w:rsidP="001652E5">
            <w:pPr>
              <w:spacing w:line="360" w:lineRule="auto"/>
              <w:jc w:val="both"/>
              <w:rPr>
                <w:rFonts w:ascii="Arial" w:eastAsia="Times New Roman" w:hAnsi="Arial" w:cs="Arial"/>
                <w:sz w:val="20"/>
                <w:szCs w:val="20"/>
              </w:rPr>
            </w:pPr>
            <w:r w:rsidRPr="001A7494">
              <w:rPr>
                <w:rFonts w:ascii="Arial" w:eastAsia="Times New Roman" w:hAnsi="Arial" w:cs="Arial"/>
                <w:sz w:val="20"/>
                <w:szCs w:val="20"/>
              </w:rPr>
              <w:t>–</w:t>
            </w:r>
          </w:p>
        </w:tc>
        <w:tc>
          <w:tcPr>
            <w:tcW w:w="608" w:type="dxa"/>
          </w:tcPr>
          <w:p w14:paraId="5D13729F" w14:textId="77777777" w:rsidR="00334AA6" w:rsidRPr="001A7494" w:rsidRDefault="00000000" w:rsidP="001652E5">
            <w:pPr>
              <w:spacing w:line="360" w:lineRule="auto"/>
              <w:jc w:val="both"/>
              <w:rPr>
                <w:rFonts w:ascii="Arial" w:eastAsia="Times New Roman" w:hAnsi="Arial" w:cs="Arial"/>
                <w:sz w:val="20"/>
                <w:szCs w:val="20"/>
              </w:rPr>
            </w:pPr>
            <w:r w:rsidRPr="001A7494">
              <w:rPr>
                <w:rFonts w:ascii="Arial" w:eastAsia="Times New Roman" w:hAnsi="Arial" w:cs="Arial"/>
                <w:sz w:val="20"/>
                <w:szCs w:val="20"/>
              </w:rPr>
              <w:t>–</w:t>
            </w:r>
          </w:p>
        </w:tc>
      </w:tr>
      <w:tr w:rsidR="00765C7C" w:rsidRPr="001A7494" w14:paraId="51FC74E4" w14:textId="77777777" w:rsidTr="004E6F86">
        <w:trPr>
          <w:trHeight w:val="435"/>
        </w:trPr>
        <w:tc>
          <w:tcPr>
            <w:tcW w:w="713" w:type="dxa"/>
          </w:tcPr>
          <w:p w14:paraId="68F4A533" w14:textId="77777777" w:rsidR="00765C7C" w:rsidRPr="001A7494" w:rsidRDefault="00765C7C" w:rsidP="001652E5">
            <w:pPr>
              <w:spacing w:line="360" w:lineRule="auto"/>
              <w:jc w:val="both"/>
              <w:rPr>
                <w:rFonts w:ascii="Arial" w:eastAsia="Times New Roman" w:hAnsi="Arial" w:cs="Arial"/>
                <w:sz w:val="20"/>
                <w:szCs w:val="20"/>
              </w:rPr>
            </w:pPr>
            <w:r w:rsidRPr="001A7494">
              <w:rPr>
                <w:rFonts w:ascii="Arial" w:eastAsia="Times New Roman" w:hAnsi="Arial" w:cs="Arial"/>
                <w:sz w:val="20"/>
                <w:szCs w:val="20"/>
              </w:rPr>
              <w:t>Stem</w:t>
            </w:r>
          </w:p>
        </w:tc>
        <w:tc>
          <w:tcPr>
            <w:tcW w:w="981" w:type="dxa"/>
          </w:tcPr>
          <w:p w14:paraId="0C72779D" w14:textId="77777777" w:rsidR="00765C7C" w:rsidRPr="001A7494" w:rsidRDefault="00765C7C" w:rsidP="001652E5">
            <w:pPr>
              <w:spacing w:line="360" w:lineRule="auto"/>
              <w:jc w:val="both"/>
              <w:rPr>
                <w:rFonts w:ascii="Arial" w:eastAsia="Times New Roman" w:hAnsi="Arial" w:cs="Arial"/>
                <w:sz w:val="20"/>
                <w:szCs w:val="20"/>
              </w:rPr>
            </w:pPr>
            <w:r w:rsidRPr="001A7494">
              <w:rPr>
                <w:rFonts w:ascii="Arial" w:eastAsia="Times New Roman" w:hAnsi="Arial" w:cs="Arial"/>
                <w:sz w:val="20"/>
                <w:szCs w:val="20"/>
              </w:rPr>
              <w:t>PE</w:t>
            </w:r>
          </w:p>
        </w:tc>
        <w:tc>
          <w:tcPr>
            <w:tcW w:w="579" w:type="dxa"/>
          </w:tcPr>
          <w:p w14:paraId="1E636C99" w14:textId="77777777" w:rsidR="00765C7C" w:rsidRPr="001A7494" w:rsidRDefault="00765C7C" w:rsidP="001652E5">
            <w:pPr>
              <w:spacing w:line="360" w:lineRule="auto"/>
              <w:jc w:val="both"/>
              <w:rPr>
                <w:rFonts w:ascii="Arial" w:eastAsia="Times New Roman" w:hAnsi="Arial" w:cs="Arial"/>
                <w:sz w:val="20"/>
                <w:szCs w:val="20"/>
              </w:rPr>
            </w:pPr>
            <w:r w:rsidRPr="001A7494">
              <w:rPr>
                <w:rFonts w:ascii="Arial" w:eastAsia="Times New Roman" w:hAnsi="Arial" w:cs="Arial"/>
                <w:sz w:val="20"/>
                <w:szCs w:val="20"/>
              </w:rPr>
              <w:t>–</w:t>
            </w:r>
          </w:p>
        </w:tc>
        <w:tc>
          <w:tcPr>
            <w:tcW w:w="594" w:type="dxa"/>
          </w:tcPr>
          <w:p w14:paraId="6749E3A6" w14:textId="77777777" w:rsidR="00765C7C" w:rsidRPr="001A7494" w:rsidRDefault="00765C7C" w:rsidP="001652E5">
            <w:pPr>
              <w:spacing w:line="360" w:lineRule="auto"/>
              <w:jc w:val="both"/>
              <w:rPr>
                <w:rFonts w:ascii="Arial" w:eastAsia="Times New Roman" w:hAnsi="Arial" w:cs="Arial"/>
                <w:sz w:val="20"/>
                <w:szCs w:val="20"/>
              </w:rPr>
            </w:pPr>
            <w:r w:rsidRPr="001A7494">
              <w:rPr>
                <w:rFonts w:ascii="Arial" w:eastAsia="Times New Roman" w:hAnsi="Arial" w:cs="Arial"/>
                <w:sz w:val="20"/>
                <w:szCs w:val="20"/>
              </w:rPr>
              <w:t>–</w:t>
            </w:r>
          </w:p>
        </w:tc>
        <w:tc>
          <w:tcPr>
            <w:tcW w:w="563" w:type="dxa"/>
          </w:tcPr>
          <w:p w14:paraId="18AF4EBE" w14:textId="77777777" w:rsidR="00765C7C" w:rsidRPr="001A7494" w:rsidRDefault="00765C7C" w:rsidP="001652E5">
            <w:pPr>
              <w:spacing w:line="360" w:lineRule="auto"/>
              <w:jc w:val="both"/>
              <w:rPr>
                <w:rFonts w:ascii="Arial" w:eastAsia="Times New Roman" w:hAnsi="Arial" w:cs="Arial"/>
                <w:sz w:val="20"/>
                <w:szCs w:val="20"/>
              </w:rPr>
            </w:pPr>
            <w:r w:rsidRPr="001A7494">
              <w:rPr>
                <w:rFonts w:ascii="Arial" w:eastAsia="Times New Roman" w:hAnsi="Arial" w:cs="Arial"/>
                <w:sz w:val="20"/>
                <w:szCs w:val="20"/>
              </w:rPr>
              <w:t>–</w:t>
            </w:r>
          </w:p>
        </w:tc>
        <w:tc>
          <w:tcPr>
            <w:tcW w:w="623" w:type="dxa"/>
          </w:tcPr>
          <w:p w14:paraId="186C9708" w14:textId="77777777" w:rsidR="00765C7C" w:rsidRPr="001A7494" w:rsidRDefault="00765C7C" w:rsidP="001652E5">
            <w:pPr>
              <w:spacing w:line="360" w:lineRule="auto"/>
              <w:jc w:val="both"/>
              <w:rPr>
                <w:rFonts w:ascii="Arial" w:eastAsia="Times New Roman" w:hAnsi="Arial" w:cs="Arial"/>
                <w:sz w:val="20"/>
                <w:szCs w:val="20"/>
              </w:rPr>
            </w:pPr>
            <w:r w:rsidRPr="001A7494">
              <w:rPr>
                <w:rFonts w:ascii="Arial" w:eastAsia="Times New Roman" w:hAnsi="Arial" w:cs="Arial"/>
                <w:sz w:val="20"/>
                <w:szCs w:val="20"/>
              </w:rPr>
              <w:t>–</w:t>
            </w:r>
          </w:p>
        </w:tc>
        <w:tc>
          <w:tcPr>
            <w:tcW w:w="608" w:type="dxa"/>
          </w:tcPr>
          <w:p w14:paraId="18EAD6BD" w14:textId="4826FA94" w:rsidR="00765C7C" w:rsidRPr="001A7494" w:rsidRDefault="00765C7C" w:rsidP="001652E5">
            <w:pPr>
              <w:spacing w:line="360" w:lineRule="auto"/>
              <w:jc w:val="both"/>
              <w:rPr>
                <w:rFonts w:ascii="Arial" w:eastAsia="Times New Roman" w:hAnsi="Arial" w:cs="Arial"/>
                <w:sz w:val="20"/>
                <w:szCs w:val="20"/>
              </w:rPr>
            </w:pPr>
            <w:r w:rsidRPr="001A7494">
              <w:rPr>
                <w:rFonts w:ascii="Arial" w:eastAsia="Times New Roman" w:hAnsi="Arial" w:cs="Arial"/>
                <w:sz w:val="20"/>
                <w:szCs w:val="20"/>
              </w:rPr>
              <w:t>–</w:t>
            </w:r>
          </w:p>
        </w:tc>
        <w:tc>
          <w:tcPr>
            <w:tcW w:w="548" w:type="dxa"/>
          </w:tcPr>
          <w:p w14:paraId="043CD96B" w14:textId="1F3048AB" w:rsidR="00765C7C" w:rsidRPr="001A7494" w:rsidRDefault="00765C7C" w:rsidP="001652E5">
            <w:pPr>
              <w:spacing w:line="360" w:lineRule="auto"/>
              <w:jc w:val="both"/>
              <w:rPr>
                <w:rFonts w:ascii="Arial" w:eastAsia="Times New Roman" w:hAnsi="Arial" w:cs="Arial"/>
                <w:sz w:val="20"/>
                <w:szCs w:val="20"/>
              </w:rPr>
            </w:pPr>
            <w:r w:rsidRPr="001A7494">
              <w:rPr>
                <w:rFonts w:ascii="Arial" w:eastAsia="Times New Roman" w:hAnsi="Arial" w:cs="Arial"/>
                <w:sz w:val="20"/>
                <w:szCs w:val="20"/>
              </w:rPr>
              <w:t>–</w:t>
            </w:r>
          </w:p>
        </w:tc>
        <w:tc>
          <w:tcPr>
            <w:tcW w:w="548" w:type="dxa"/>
          </w:tcPr>
          <w:p w14:paraId="2D6D9FA9" w14:textId="283D8479" w:rsidR="00765C7C" w:rsidRPr="001A7494" w:rsidRDefault="00765C7C" w:rsidP="001652E5">
            <w:pPr>
              <w:spacing w:line="360" w:lineRule="auto"/>
              <w:jc w:val="both"/>
              <w:rPr>
                <w:rFonts w:ascii="Arial" w:eastAsia="Times New Roman" w:hAnsi="Arial" w:cs="Arial"/>
                <w:sz w:val="20"/>
                <w:szCs w:val="20"/>
              </w:rPr>
            </w:pPr>
            <w:r w:rsidRPr="001A7494">
              <w:rPr>
                <w:rFonts w:ascii="Arial" w:eastAsia="Times New Roman" w:hAnsi="Arial" w:cs="Arial"/>
                <w:sz w:val="20"/>
                <w:szCs w:val="20"/>
              </w:rPr>
              <w:t>++</w:t>
            </w:r>
          </w:p>
        </w:tc>
        <w:tc>
          <w:tcPr>
            <w:tcW w:w="548" w:type="dxa"/>
          </w:tcPr>
          <w:p w14:paraId="6192DC4D" w14:textId="2CC233A7" w:rsidR="00765C7C" w:rsidRPr="001A7494" w:rsidRDefault="00765C7C" w:rsidP="001652E5">
            <w:pPr>
              <w:spacing w:line="360" w:lineRule="auto"/>
              <w:jc w:val="both"/>
              <w:rPr>
                <w:rFonts w:ascii="Arial" w:eastAsia="Times New Roman" w:hAnsi="Arial" w:cs="Arial"/>
                <w:sz w:val="20"/>
                <w:szCs w:val="20"/>
              </w:rPr>
            </w:pPr>
            <w:r w:rsidRPr="001A7494">
              <w:rPr>
                <w:rFonts w:ascii="Arial" w:eastAsia="Times New Roman" w:hAnsi="Arial" w:cs="Arial"/>
                <w:sz w:val="20"/>
                <w:szCs w:val="20"/>
              </w:rPr>
              <w:t>++</w:t>
            </w:r>
          </w:p>
        </w:tc>
        <w:tc>
          <w:tcPr>
            <w:tcW w:w="608" w:type="dxa"/>
          </w:tcPr>
          <w:p w14:paraId="5A1A61DE" w14:textId="75E2D688" w:rsidR="00765C7C" w:rsidRPr="001A7494" w:rsidRDefault="00765C7C" w:rsidP="001652E5">
            <w:pPr>
              <w:spacing w:line="360" w:lineRule="auto"/>
              <w:jc w:val="both"/>
              <w:rPr>
                <w:rFonts w:ascii="Arial" w:eastAsia="Times New Roman" w:hAnsi="Arial" w:cs="Arial"/>
                <w:sz w:val="20"/>
                <w:szCs w:val="20"/>
              </w:rPr>
            </w:pPr>
            <w:r w:rsidRPr="001A7494">
              <w:rPr>
                <w:rFonts w:ascii="Arial" w:eastAsia="Times New Roman" w:hAnsi="Arial" w:cs="Arial"/>
                <w:sz w:val="20"/>
                <w:szCs w:val="20"/>
              </w:rPr>
              <w:t>–</w:t>
            </w:r>
          </w:p>
        </w:tc>
        <w:tc>
          <w:tcPr>
            <w:tcW w:w="578" w:type="dxa"/>
          </w:tcPr>
          <w:p w14:paraId="41297111" w14:textId="1ACE207D" w:rsidR="00765C7C" w:rsidRPr="001A7494" w:rsidRDefault="00765C7C" w:rsidP="001652E5">
            <w:pPr>
              <w:spacing w:line="360" w:lineRule="auto"/>
              <w:jc w:val="both"/>
              <w:rPr>
                <w:rFonts w:ascii="Arial" w:eastAsia="Times New Roman" w:hAnsi="Arial" w:cs="Arial"/>
                <w:sz w:val="20"/>
                <w:szCs w:val="20"/>
              </w:rPr>
            </w:pPr>
            <w:r w:rsidRPr="001A7494">
              <w:rPr>
                <w:rFonts w:ascii="Arial" w:eastAsia="Times New Roman" w:hAnsi="Arial" w:cs="Arial"/>
                <w:sz w:val="20"/>
                <w:szCs w:val="20"/>
              </w:rPr>
              <w:t>–</w:t>
            </w:r>
          </w:p>
        </w:tc>
        <w:tc>
          <w:tcPr>
            <w:tcW w:w="652" w:type="dxa"/>
          </w:tcPr>
          <w:p w14:paraId="6DE376D5" w14:textId="4C090325" w:rsidR="00765C7C" w:rsidRPr="001A7494" w:rsidRDefault="00765C7C" w:rsidP="001652E5">
            <w:pPr>
              <w:spacing w:line="360" w:lineRule="auto"/>
              <w:jc w:val="both"/>
              <w:rPr>
                <w:rFonts w:ascii="Arial" w:eastAsia="Times New Roman" w:hAnsi="Arial" w:cs="Arial"/>
                <w:sz w:val="20"/>
                <w:szCs w:val="20"/>
              </w:rPr>
            </w:pPr>
            <w:r w:rsidRPr="001A7494">
              <w:rPr>
                <w:rFonts w:ascii="Arial" w:eastAsia="Times New Roman" w:hAnsi="Arial" w:cs="Arial"/>
                <w:sz w:val="20"/>
                <w:szCs w:val="20"/>
              </w:rPr>
              <w:t>+</w:t>
            </w:r>
          </w:p>
        </w:tc>
        <w:tc>
          <w:tcPr>
            <w:tcW w:w="608" w:type="dxa"/>
          </w:tcPr>
          <w:p w14:paraId="4A52CB87" w14:textId="77777777" w:rsidR="00765C7C" w:rsidRPr="001A7494" w:rsidRDefault="00765C7C" w:rsidP="001652E5">
            <w:pPr>
              <w:spacing w:line="360" w:lineRule="auto"/>
              <w:jc w:val="both"/>
              <w:rPr>
                <w:rFonts w:ascii="Arial" w:eastAsia="Times New Roman" w:hAnsi="Arial" w:cs="Arial"/>
                <w:sz w:val="20"/>
                <w:szCs w:val="20"/>
              </w:rPr>
            </w:pPr>
            <w:r w:rsidRPr="001A7494">
              <w:rPr>
                <w:rFonts w:ascii="Arial" w:eastAsia="Times New Roman" w:hAnsi="Arial" w:cs="Arial"/>
                <w:sz w:val="20"/>
                <w:szCs w:val="20"/>
              </w:rPr>
              <w:t>+</w:t>
            </w:r>
          </w:p>
        </w:tc>
        <w:tc>
          <w:tcPr>
            <w:tcW w:w="608" w:type="dxa"/>
          </w:tcPr>
          <w:p w14:paraId="6556E783" w14:textId="77777777" w:rsidR="00765C7C" w:rsidRPr="001A7494" w:rsidRDefault="00765C7C" w:rsidP="001652E5">
            <w:pPr>
              <w:spacing w:line="360" w:lineRule="auto"/>
              <w:jc w:val="both"/>
              <w:rPr>
                <w:rFonts w:ascii="Arial" w:eastAsia="Times New Roman" w:hAnsi="Arial" w:cs="Arial"/>
                <w:sz w:val="20"/>
                <w:szCs w:val="20"/>
              </w:rPr>
            </w:pPr>
            <w:r w:rsidRPr="001A7494">
              <w:rPr>
                <w:rFonts w:ascii="Arial" w:eastAsia="Times New Roman" w:hAnsi="Arial" w:cs="Arial"/>
                <w:sz w:val="20"/>
                <w:szCs w:val="20"/>
              </w:rPr>
              <w:t>–</w:t>
            </w:r>
          </w:p>
        </w:tc>
      </w:tr>
      <w:tr w:rsidR="00334AA6" w:rsidRPr="001A7494" w14:paraId="210DCCD8" w14:textId="77777777" w:rsidTr="004E6F86">
        <w:trPr>
          <w:trHeight w:val="435"/>
        </w:trPr>
        <w:tc>
          <w:tcPr>
            <w:tcW w:w="713" w:type="dxa"/>
          </w:tcPr>
          <w:p w14:paraId="5D1D22AC" w14:textId="77777777" w:rsidR="00334AA6" w:rsidRPr="001A7494" w:rsidRDefault="00000000" w:rsidP="001652E5">
            <w:pPr>
              <w:spacing w:line="360" w:lineRule="auto"/>
              <w:jc w:val="both"/>
              <w:rPr>
                <w:rFonts w:ascii="Arial" w:eastAsia="Times New Roman" w:hAnsi="Arial" w:cs="Arial"/>
                <w:sz w:val="20"/>
                <w:szCs w:val="20"/>
              </w:rPr>
            </w:pPr>
            <w:r w:rsidRPr="001A7494">
              <w:rPr>
                <w:rFonts w:ascii="Arial" w:eastAsia="Times New Roman" w:hAnsi="Arial" w:cs="Arial"/>
                <w:sz w:val="20"/>
                <w:szCs w:val="20"/>
              </w:rPr>
              <w:lastRenderedPageBreak/>
              <w:t xml:space="preserve"> </w:t>
            </w:r>
          </w:p>
        </w:tc>
        <w:tc>
          <w:tcPr>
            <w:tcW w:w="981" w:type="dxa"/>
          </w:tcPr>
          <w:p w14:paraId="41C80424" w14:textId="77777777" w:rsidR="00334AA6" w:rsidRPr="001A7494" w:rsidRDefault="00000000" w:rsidP="001652E5">
            <w:pPr>
              <w:spacing w:line="360" w:lineRule="auto"/>
              <w:jc w:val="both"/>
              <w:rPr>
                <w:rFonts w:ascii="Arial" w:eastAsia="Times New Roman" w:hAnsi="Arial" w:cs="Arial"/>
                <w:sz w:val="20"/>
                <w:szCs w:val="20"/>
              </w:rPr>
            </w:pPr>
            <w:r w:rsidRPr="001A7494">
              <w:rPr>
                <w:rFonts w:ascii="Arial" w:eastAsia="Times New Roman" w:hAnsi="Arial" w:cs="Arial"/>
                <w:sz w:val="20"/>
                <w:szCs w:val="20"/>
              </w:rPr>
              <w:t>EA</w:t>
            </w:r>
          </w:p>
        </w:tc>
        <w:tc>
          <w:tcPr>
            <w:tcW w:w="579" w:type="dxa"/>
          </w:tcPr>
          <w:p w14:paraId="3153A2E2" w14:textId="77777777" w:rsidR="00334AA6" w:rsidRPr="001A7494" w:rsidRDefault="00000000" w:rsidP="001652E5">
            <w:pPr>
              <w:spacing w:line="360" w:lineRule="auto"/>
              <w:jc w:val="both"/>
              <w:rPr>
                <w:rFonts w:ascii="Arial" w:eastAsia="Times New Roman" w:hAnsi="Arial" w:cs="Arial"/>
                <w:sz w:val="20"/>
                <w:szCs w:val="20"/>
              </w:rPr>
            </w:pPr>
            <w:r w:rsidRPr="001A7494">
              <w:rPr>
                <w:rFonts w:ascii="Arial" w:eastAsia="Times New Roman" w:hAnsi="Arial" w:cs="Arial"/>
                <w:sz w:val="20"/>
                <w:szCs w:val="20"/>
              </w:rPr>
              <w:t>–</w:t>
            </w:r>
          </w:p>
        </w:tc>
        <w:tc>
          <w:tcPr>
            <w:tcW w:w="594" w:type="dxa"/>
          </w:tcPr>
          <w:p w14:paraId="709C8EB7" w14:textId="77777777" w:rsidR="00334AA6" w:rsidRPr="001A7494" w:rsidRDefault="00000000" w:rsidP="001652E5">
            <w:pPr>
              <w:spacing w:line="360" w:lineRule="auto"/>
              <w:jc w:val="both"/>
              <w:rPr>
                <w:rFonts w:ascii="Arial" w:eastAsia="Times New Roman" w:hAnsi="Arial" w:cs="Arial"/>
                <w:sz w:val="20"/>
                <w:szCs w:val="20"/>
              </w:rPr>
            </w:pPr>
            <w:r w:rsidRPr="001A7494">
              <w:rPr>
                <w:rFonts w:ascii="Arial" w:eastAsia="Times New Roman" w:hAnsi="Arial" w:cs="Arial"/>
                <w:sz w:val="20"/>
                <w:szCs w:val="20"/>
              </w:rPr>
              <w:t>–</w:t>
            </w:r>
          </w:p>
        </w:tc>
        <w:tc>
          <w:tcPr>
            <w:tcW w:w="563" w:type="dxa"/>
          </w:tcPr>
          <w:p w14:paraId="411C01C9" w14:textId="77777777" w:rsidR="00334AA6" w:rsidRPr="001A7494" w:rsidRDefault="00000000" w:rsidP="001652E5">
            <w:pPr>
              <w:spacing w:line="360" w:lineRule="auto"/>
              <w:jc w:val="both"/>
              <w:rPr>
                <w:rFonts w:ascii="Arial" w:eastAsia="Times New Roman" w:hAnsi="Arial" w:cs="Arial"/>
                <w:sz w:val="20"/>
                <w:szCs w:val="20"/>
              </w:rPr>
            </w:pPr>
            <w:r w:rsidRPr="001A7494">
              <w:rPr>
                <w:rFonts w:ascii="Arial" w:eastAsia="Times New Roman" w:hAnsi="Arial" w:cs="Arial"/>
                <w:sz w:val="20"/>
                <w:szCs w:val="20"/>
              </w:rPr>
              <w:t>+</w:t>
            </w:r>
          </w:p>
        </w:tc>
        <w:tc>
          <w:tcPr>
            <w:tcW w:w="623" w:type="dxa"/>
          </w:tcPr>
          <w:p w14:paraId="6A7D46DF" w14:textId="77777777" w:rsidR="00334AA6" w:rsidRPr="001A7494" w:rsidRDefault="00000000" w:rsidP="001652E5">
            <w:pPr>
              <w:spacing w:line="360" w:lineRule="auto"/>
              <w:jc w:val="both"/>
              <w:rPr>
                <w:rFonts w:ascii="Arial" w:eastAsia="Times New Roman" w:hAnsi="Arial" w:cs="Arial"/>
                <w:sz w:val="20"/>
                <w:szCs w:val="20"/>
              </w:rPr>
            </w:pPr>
            <w:r w:rsidRPr="001A7494">
              <w:rPr>
                <w:rFonts w:ascii="Arial" w:eastAsia="Times New Roman" w:hAnsi="Arial" w:cs="Arial"/>
                <w:sz w:val="20"/>
                <w:szCs w:val="20"/>
              </w:rPr>
              <w:t>–</w:t>
            </w:r>
          </w:p>
        </w:tc>
        <w:tc>
          <w:tcPr>
            <w:tcW w:w="608" w:type="dxa"/>
          </w:tcPr>
          <w:p w14:paraId="6314C475" w14:textId="77777777" w:rsidR="00334AA6" w:rsidRPr="001A7494" w:rsidRDefault="00000000" w:rsidP="001652E5">
            <w:pPr>
              <w:spacing w:line="360" w:lineRule="auto"/>
              <w:jc w:val="both"/>
              <w:rPr>
                <w:rFonts w:ascii="Arial" w:eastAsia="Times New Roman" w:hAnsi="Arial" w:cs="Arial"/>
                <w:sz w:val="20"/>
                <w:szCs w:val="20"/>
              </w:rPr>
            </w:pPr>
            <w:r w:rsidRPr="001A7494">
              <w:rPr>
                <w:rFonts w:ascii="Arial" w:eastAsia="Times New Roman" w:hAnsi="Arial" w:cs="Arial"/>
                <w:sz w:val="20"/>
                <w:szCs w:val="20"/>
              </w:rPr>
              <w:t>++</w:t>
            </w:r>
          </w:p>
        </w:tc>
        <w:tc>
          <w:tcPr>
            <w:tcW w:w="548" w:type="dxa"/>
          </w:tcPr>
          <w:p w14:paraId="2EC1A87A" w14:textId="77777777" w:rsidR="00334AA6" w:rsidRPr="001A7494" w:rsidRDefault="00000000" w:rsidP="001652E5">
            <w:pPr>
              <w:spacing w:line="360" w:lineRule="auto"/>
              <w:jc w:val="both"/>
              <w:rPr>
                <w:rFonts w:ascii="Arial" w:eastAsia="Times New Roman" w:hAnsi="Arial" w:cs="Arial"/>
                <w:sz w:val="20"/>
                <w:szCs w:val="20"/>
              </w:rPr>
            </w:pPr>
            <w:r w:rsidRPr="001A7494">
              <w:rPr>
                <w:rFonts w:ascii="Arial" w:eastAsia="Times New Roman" w:hAnsi="Arial" w:cs="Arial"/>
                <w:sz w:val="20"/>
                <w:szCs w:val="20"/>
              </w:rPr>
              <w:t>–</w:t>
            </w:r>
          </w:p>
        </w:tc>
        <w:tc>
          <w:tcPr>
            <w:tcW w:w="548" w:type="dxa"/>
          </w:tcPr>
          <w:p w14:paraId="56692058" w14:textId="77777777" w:rsidR="00334AA6" w:rsidRPr="001A7494" w:rsidRDefault="00000000" w:rsidP="001652E5">
            <w:pPr>
              <w:spacing w:line="360" w:lineRule="auto"/>
              <w:jc w:val="both"/>
              <w:rPr>
                <w:rFonts w:ascii="Arial" w:eastAsia="Times New Roman" w:hAnsi="Arial" w:cs="Arial"/>
                <w:sz w:val="20"/>
                <w:szCs w:val="20"/>
              </w:rPr>
            </w:pPr>
            <w:r w:rsidRPr="001A7494">
              <w:rPr>
                <w:rFonts w:ascii="Arial" w:eastAsia="Times New Roman" w:hAnsi="Arial" w:cs="Arial"/>
                <w:sz w:val="20"/>
                <w:szCs w:val="20"/>
              </w:rPr>
              <w:t>–</w:t>
            </w:r>
          </w:p>
        </w:tc>
        <w:tc>
          <w:tcPr>
            <w:tcW w:w="548" w:type="dxa"/>
          </w:tcPr>
          <w:p w14:paraId="1A0AA983" w14:textId="77777777" w:rsidR="00334AA6" w:rsidRPr="001A7494" w:rsidRDefault="00000000" w:rsidP="001652E5">
            <w:pPr>
              <w:spacing w:line="360" w:lineRule="auto"/>
              <w:jc w:val="both"/>
              <w:rPr>
                <w:rFonts w:ascii="Arial" w:eastAsia="Times New Roman" w:hAnsi="Arial" w:cs="Arial"/>
                <w:sz w:val="20"/>
                <w:szCs w:val="20"/>
              </w:rPr>
            </w:pPr>
            <w:r w:rsidRPr="001A7494">
              <w:rPr>
                <w:rFonts w:ascii="Arial" w:eastAsia="Times New Roman" w:hAnsi="Arial" w:cs="Arial"/>
                <w:sz w:val="20"/>
                <w:szCs w:val="20"/>
              </w:rPr>
              <w:t>++</w:t>
            </w:r>
          </w:p>
        </w:tc>
        <w:tc>
          <w:tcPr>
            <w:tcW w:w="608" w:type="dxa"/>
          </w:tcPr>
          <w:p w14:paraId="2615BC64" w14:textId="77777777" w:rsidR="00334AA6" w:rsidRPr="001A7494" w:rsidRDefault="00000000" w:rsidP="001652E5">
            <w:pPr>
              <w:spacing w:line="360" w:lineRule="auto"/>
              <w:jc w:val="both"/>
              <w:rPr>
                <w:rFonts w:ascii="Arial" w:eastAsia="Times New Roman" w:hAnsi="Arial" w:cs="Arial"/>
                <w:sz w:val="20"/>
                <w:szCs w:val="20"/>
              </w:rPr>
            </w:pPr>
            <w:r w:rsidRPr="001A7494">
              <w:rPr>
                <w:rFonts w:ascii="Arial" w:eastAsia="Times New Roman" w:hAnsi="Arial" w:cs="Arial"/>
                <w:sz w:val="20"/>
                <w:szCs w:val="20"/>
              </w:rPr>
              <w:t>–</w:t>
            </w:r>
          </w:p>
        </w:tc>
        <w:tc>
          <w:tcPr>
            <w:tcW w:w="578" w:type="dxa"/>
          </w:tcPr>
          <w:p w14:paraId="2AE90BD7" w14:textId="77777777" w:rsidR="00334AA6" w:rsidRPr="001A7494" w:rsidRDefault="00000000" w:rsidP="001652E5">
            <w:pPr>
              <w:spacing w:line="360" w:lineRule="auto"/>
              <w:jc w:val="both"/>
              <w:rPr>
                <w:rFonts w:ascii="Arial" w:eastAsia="Times New Roman" w:hAnsi="Arial" w:cs="Arial"/>
                <w:sz w:val="20"/>
                <w:szCs w:val="20"/>
              </w:rPr>
            </w:pPr>
            <w:r w:rsidRPr="001A7494">
              <w:rPr>
                <w:rFonts w:ascii="Arial" w:eastAsia="Times New Roman" w:hAnsi="Arial" w:cs="Arial"/>
                <w:sz w:val="20"/>
                <w:szCs w:val="20"/>
              </w:rPr>
              <w:t>–</w:t>
            </w:r>
          </w:p>
        </w:tc>
        <w:tc>
          <w:tcPr>
            <w:tcW w:w="652" w:type="dxa"/>
          </w:tcPr>
          <w:p w14:paraId="497803D5" w14:textId="77777777" w:rsidR="00334AA6" w:rsidRPr="001A7494" w:rsidRDefault="00000000" w:rsidP="001652E5">
            <w:pPr>
              <w:spacing w:line="360" w:lineRule="auto"/>
              <w:jc w:val="both"/>
              <w:rPr>
                <w:rFonts w:ascii="Arial" w:eastAsia="Times New Roman" w:hAnsi="Arial" w:cs="Arial"/>
                <w:sz w:val="20"/>
                <w:szCs w:val="20"/>
              </w:rPr>
            </w:pPr>
            <w:r w:rsidRPr="001A7494">
              <w:rPr>
                <w:rFonts w:ascii="Arial" w:eastAsia="Times New Roman" w:hAnsi="Arial" w:cs="Arial"/>
                <w:sz w:val="20"/>
                <w:szCs w:val="20"/>
              </w:rPr>
              <w:t>+</w:t>
            </w:r>
          </w:p>
        </w:tc>
        <w:tc>
          <w:tcPr>
            <w:tcW w:w="608" w:type="dxa"/>
          </w:tcPr>
          <w:p w14:paraId="1C37DC38" w14:textId="77777777" w:rsidR="00334AA6" w:rsidRPr="001A7494" w:rsidRDefault="00000000" w:rsidP="001652E5">
            <w:pPr>
              <w:spacing w:line="360" w:lineRule="auto"/>
              <w:jc w:val="both"/>
              <w:rPr>
                <w:rFonts w:ascii="Arial" w:eastAsia="Times New Roman" w:hAnsi="Arial" w:cs="Arial"/>
                <w:sz w:val="20"/>
                <w:szCs w:val="20"/>
              </w:rPr>
            </w:pPr>
            <w:r w:rsidRPr="001A7494">
              <w:rPr>
                <w:rFonts w:ascii="Arial" w:eastAsia="Times New Roman" w:hAnsi="Arial" w:cs="Arial"/>
                <w:sz w:val="20"/>
                <w:szCs w:val="20"/>
              </w:rPr>
              <w:t>++</w:t>
            </w:r>
          </w:p>
        </w:tc>
        <w:tc>
          <w:tcPr>
            <w:tcW w:w="608" w:type="dxa"/>
          </w:tcPr>
          <w:p w14:paraId="26082204" w14:textId="77777777" w:rsidR="00334AA6" w:rsidRPr="001A7494" w:rsidRDefault="00000000" w:rsidP="001652E5">
            <w:pPr>
              <w:spacing w:line="360" w:lineRule="auto"/>
              <w:jc w:val="both"/>
              <w:rPr>
                <w:rFonts w:ascii="Arial" w:eastAsia="Times New Roman" w:hAnsi="Arial" w:cs="Arial"/>
                <w:sz w:val="20"/>
                <w:szCs w:val="20"/>
              </w:rPr>
            </w:pPr>
            <w:r w:rsidRPr="001A7494">
              <w:rPr>
                <w:rFonts w:ascii="Arial" w:eastAsia="Times New Roman" w:hAnsi="Arial" w:cs="Arial"/>
                <w:sz w:val="20"/>
                <w:szCs w:val="20"/>
              </w:rPr>
              <w:t>–</w:t>
            </w:r>
          </w:p>
        </w:tc>
      </w:tr>
      <w:tr w:rsidR="00334AA6" w:rsidRPr="001A7494" w14:paraId="353F6B27" w14:textId="77777777" w:rsidTr="004E6F86">
        <w:trPr>
          <w:trHeight w:val="435"/>
        </w:trPr>
        <w:tc>
          <w:tcPr>
            <w:tcW w:w="713" w:type="dxa"/>
          </w:tcPr>
          <w:p w14:paraId="297848B2" w14:textId="77777777" w:rsidR="00334AA6" w:rsidRPr="001A7494" w:rsidRDefault="00000000" w:rsidP="001652E5">
            <w:pPr>
              <w:spacing w:line="360" w:lineRule="auto"/>
              <w:jc w:val="both"/>
              <w:rPr>
                <w:rFonts w:ascii="Arial" w:eastAsia="Times New Roman" w:hAnsi="Arial" w:cs="Arial"/>
                <w:sz w:val="20"/>
                <w:szCs w:val="20"/>
              </w:rPr>
            </w:pPr>
            <w:r w:rsidRPr="001A7494">
              <w:rPr>
                <w:rFonts w:ascii="Arial" w:eastAsia="Times New Roman" w:hAnsi="Arial" w:cs="Arial"/>
                <w:sz w:val="20"/>
                <w:szCs w:val="20"/>
              </w:rPr>
              <w:t xml:space="preserve"> </w:t>
            </w:r>
          </w:p>
        </w:tc>
        <w:tc>
          <w:tcPr>
            <w:tcW w:w="981" w:type="dxa"/>
          </w:tcPr>
          <w:p w14:paraId="0689A06C" w14:textId="77777777" w:rsidR="00334AA6" w:rsidRPr="001A7494" w:rsidRDefault="00000000" w:rsidP="001652E5">
            <w:pPr>
              <w:spacing w:line="360" w:lineRule="auto"/>
              <w:jc w:val="both"/>
              <w:rPr>
                <w:rFonts w:ascii="Arial" w:eastAsia="Times New Roman" w:hAnsi="Arial" w:cs="Arial"/>
                <w:sz w:val="20"/>
                <w:szCs w:val="20"/>
              </w:rPr>
            </w:pPr>
            <w:r w:rsidRPr="001A7494">
              <w:rPr>
                <w:rFonts w:ascii="Arial" w:eastAsia="Times New Roman" w:hAnsi="Arial" w:cs="Arial"/>
                <w:sz w:val="20"/>
                <w:szCs w:val="20"/>
              </w:rPr>
              <w:t>MeOH</w:t>
            </w:r>
          </w:p>
        </w:tc>
        <w:tc>
          <w:tcPr>
            <w:tcW w:w="579" w:type="dxa"/>
          </w:tcPr>
          <w:p w14:paraId="68DBF4D9" w14:textId="77777777" w:rsidR="00334AA6" w:rsidRPr="001A7494" w:rsidRDefault="00000000" w:rsidP="001652E5">
            <w:pPr>
              <w:spacing w:line="360" w:lineRule="auto"/>
              <w:jc w:val="both"/>
              <w:rPr>
                <w:rFonts w:ascii="Arial" w:eastAsia="Times New Roman" w:hAnsi="Arial" w:cs="Arial"/>
                <w:sz w:val="20"/>
                <w:szCs w:val="20"/>
              </w:rPr>
            </w:pPr>
            <w:r w:rsidRPr="001A7494">
              <w:rPr>
                <w:rFonts w:ascii="Arial" w:eastAsia="Times New Roman" w:hAnsi="Arial" w:cs="Arial"/>
                <w:sz w:val="20"/>
                <w:szCs w:val="20"/>
              </w:rPr>
              <w:t>–</w:t>
            </w:r>
          </w:p>
        </w:tc>
        <w:tc>
          <w:tcPr>
            <w:tcW w:w="594" w:type="dxa"/>
          </w:tcPr>
          <w:p w14:paraId="594D09B7" w14:textId="77777777" w:rsidR="00334AA6" w:rsidRPr="001A7494" w:rsidRDefault="00000000" w:rsidP="001652E5">
            <w:pPr>
              <w:spacing w:line="360" w:lineRule="auto"/>
              <w:jc w:val="both"/>
              <w:rPr>
                <w:rFonts w:ascii="Arial" w:eastAsia="Times New Roman" w:hAnsi="Arial" w:cs="Arial"/>
                <w:sz w:val="20"/>
                <w:szCs w:val="20"/>
              </w:rPr>
            </w:pPr>
            <w:r w:rsidRPr="001A7494">
              <w:rPr>
                <w:rFonts w:ascii="Arial" w:eastAsia="Times New Roman" w:hAnsi="Arial" w:cs="Arial"/>
                <w:sz w:val="20"/>
                <w:szCs w:val="20"/>
              </w:rPr>
              <w:t>++</w:t>
            </w:r>
          </w:p>
        </w:tc>
        <w:tc>
          <w:tcPr>
            <w:tcW w:w="563" w:type="dxa"/>
          </w:tcPr>
          <w:p w14:paraId="7B7A85FF" w14:textId="77777777" w:rsidR="00334AA6" w:rsidRPr="001A7494" w:rsidRDefault="00000000" w:rsidP="001652E5">
            <w:pPr>
              <w:spacing w:line="360" w:lineRule="auto"/>
              <w:jc w:val="both"/>
              <w:rPr>
                <w:rFonts w:ascii="Arial" w:eastAsia="Times New Roman" w:hAnsi="Arial" w:cs="Arial"/>
                <w:sz w:val="20"/>
                <w:szCs w:val="20"/>
              </w:rPr>
            </w:pPr>
            <w:r w:rsidRPr="001A7494">
              <w:rPr>
                <w:rFonts w:ascii="Arial" w:eastAsia="Times New Roman" w:hAnsi="Arial" w:cs="Arial"/>
                <w:sz w:val="20"/>
                <w:szCs w:val="20"/>
              </w:rPr>
              <w:t>++</w:t>
            </w:r>
          </w:p>
        </w:tc>
        <w:tc>
          <w:tcPr>
            <w:tcW w:w="623" w:type="dxa"/>
          </w:tcPr>
          <w:p w14:paraId="267383A5" w14:textId="77777777" w:rsidR="00334AA6" w:rsidRPr="001A7494" w:rsidRDefault="00000000" w:rsidP="001652E5">
            <w:pPr>
              <w:spacing w:line="360" w:lineRule="auto"/>
              <w:jc w:val="both"/>
              <w:rPr>
                <w:rFonts w:ascii="Arial" w:eastAsia="Times New Roman" w:hAnsi="Arial" w:cs="Arial"/>
                <w:sz w:val="20"/>
                <w:szCs w:val="20"/>
              </w:rPr>
            </w:pPr>
            <w:r w:rsidRPr="001A7494">
              <w:rPr>
                <w:rFonts w:ascii="Arial" w:eastAsia="Times New Roman" w:hAnsi="Arial" w:cs="Arial"/>
                <w:sz w:val="20"/>
                <w:szCs w:val="20"/>
              </w:rPr>
              <w:t>++</w:t>
            </w:r>
          </w:p>
        </w:tc>
        <w:tc>
          <w:tcPr>
            <w:tcW w:w="608" w:type="dxa"/>
          </w:tcPr>
          <w:p w14:paraId="388E1C18" w14:textId="77777777" w:rsidR="00334AA6" w:rsidRPr="001A7494" w:rsidRDefault="00000000" w:rsidP="001652E5">
            <w:pPr>
              <w:spacing w:line="360" w:lineRule="auto"/>
              <w:jc w:val="both"/>
              <w:rPr>
                <w:rFonts w:ascii="Arial" w:eastAsia="Times New Roman" w:hAnsi="Arial" w:cs="Arial"/>
                <w:sz w:val="20"/>
                <w:szCs w:val="20"/>
              </w:rPr>
            </w:pPr>
            <w:r w:rsidRPr="001A7494">
              <w:rPr>
                <w:rFonts w:ascii="Arial" w:eastAsia="Times New Roman" w:hAnsi="Arial" w:cs="Arial"/>
                <w:sz w:val="20"/>
                <w:szCs w:val="20"/>
              </w:rPr>
              <w:t>++</w:t>
            </w:r>
          </w:p>
        </w:tc>
        <w:tc>
          <w:tcPr>
            <w:tcW w:w="548" w:type="dxa"/>
          </w:tcPr>
          <w:p w14:paraId="3ED8A5AD" w14:textId="77777777" w:rsidR="00334AA6" w:rsidRPr="001A7494" w:rsidRDefault="00000000" w:rsidP="001652E5">
            <w:pPr>
              <w:spacing w:line="360" w:lineRule="auto"/>
              <w:jc w:val="both"/>
              <w:rPr>
                <w:rFonts w:ascii="Arial" w:eastAsia="Times New Roman" w:hAnsi="Arial" w:cs="Arial"/>
                <w:sz w:val="20"/>
                <w:szCs w:val="20"/>
              </w:rPr>
            </w:pPr>
            <w:r w:rsidRPr="001A7494">
              <w:rPr>
                <w:rFonts w:ascii="Arial" w:eastAsia="Times New Roman" w:hAnsi="Arial" w:cs="Arial"/>
                <w:sz w:val="20"/>
                <w:szCs w:val="20"/>
              </w:rPr>
              <w:t>++</w:t>
            </w:r>
          </w:p>
        </w:tc>
        <w:tc>
          <w:tcPr>
            <w:tcW w:w="548" w:type="dxa"/>
          </w:tcPr>
          <w:p w14:paraId="1858B956" w14:textId="77777777" w:rsidR="00334AA6" w:rsidRPr="001A7494" w:rsidRDefault="00000000" w:rsidP="001652E5">
            <w:pPr>
              <w:spacing w:line="360" w:lineRule="auto"/>
              <w:jc w:val="both"/>
              <w:rPr>
                <w:rFonts w:ascii="Arial" w:eastAsia="Times New Roman" w:hAnsi="Arial" w:cs="Arial"/>
                <w:sz w:val="20"/>
                <w:szCs w:val="20"/>
              </w:rPr>
            </w:pPr>
            <w:r w:rsidRPr="001A7494">
              <w:rPr>
                <w:rFonts w:ascii="Arial" w:eastAsia="Times New Roman" w:hAnsi="Arial" w:cs="Arial"/>
                <w:sz w:val="20"/>
                <w:szCs w:val="20"/>
              </w:rPr>
              <w:t>–</w:t>
            </w:r>
          </w:p>
        </w:tc>
        <w:tc>
          <w:tcPr>
            <w:tcW w:w="548" w:type="dxa"/>
          </w:tcPr>
          <w:p w14:paraId="1ECAE9C4" w14:textId="77777777" w:rsidR="00334AA6" w:rsidRPr="001A7494" w:rsidRDefault="00000000" w:rsidP="001652E5">
            <w:pPr>
              <w:spacing w:line="360" w:lineRule="auto"/>
              <w:jc w:val="both"/>
              <w:rPr>
                <w:rFonts w:ascii="Arial" w:eastAsia="Times New Roman" w:hAnsi="Arial" w:cs="Arial"/>
                <w:sz w:val="20"/>
                <w:szCs w:val="20"/>
              </w:rPr>
            </w:pPr>
            <w:r w:rsidRPr="001A7494">
              <w:rPr>
                <w:rFonts w:ascii="Arial" w:eastAsia="Times New Roman" w:hAnsi="Arial" w:cs="Arial"/>
                <w:sz w:val="20"/>
                <w:szCs w:val="20"/>
              </w:rPr>
              <w:t>++</w:t>
            </w:r>
          </w:p>
        </w:tc>
        <w:tc>
          <w:tcPr>
            <w:tcW w:w="608" w:type="dxa"/>
          </w:tcPr>
          <w:p w14:paraId="6976CFA7" w14:textId="77777777" w:rsidR="00334AA6" w:rsidRPr="001A7494" w:rsidRDefault="00000000" w:rsidP="001652E5">
            <w:pPr>
              <w:spacing w:line="360" w:lineRule="auto"/>
              <w:jc w:val="both"/>
              <w:rPr>
                <w:rFonts w:ascii="Arial" w:eastAsia="Times New Roman" w:hAnsi="Arial" w:cs="Arial"/>
                <w:sz w:val="20"/>
                <w:szCs w:val="20"/>
              </w:rPr>
            </w:pPr>
            <w:r w:rsidRPr="001A7494">
              <w:rPr>
                <w:rFonts w:ascii="Arial" w:eastAsia="Times New Roman" w:hAnsi="Arial" w:cs="Arial"/>
                <w:sz w:val="20"/>
                <w:szCs w:val="20"/>
              </w:rPr>
              <w:t>–</w:t>
            </w:r>
          </w:p>
        </w:tc>
        <w:tc>
          <w:tcPr>
            <w:tcW w:w="578" w:type="dxa"/>
          </w:tcPr>
          <w:p w14:paraId="0E093680" w14:textId="77777777" w:rsidR="00334AA6" w:rsidRPr="001A7494" w:rsidRDefault="00000000" w:rsidP="001652E5">
            <w:pPr>
              <w:spacing w:line="360" w:lineRule="auto"/>
              <w:jc w:val="both"/>
              <w:rPr>
                <w:rFonts w:ascii="Arial" w:eastAsia="Times New Roman" w:hAnsi="Arial" w:cs="Arial"/>
                <w:sz w:val="20"/>
                <w:szCs w:val="20"/>
              </w:rPr>
            </w:pPr>
            <w:r w:rsidRPr="001A7494">
              <w:rPr>
                <w:rFonts w:ascii="Arial" w:eastAsia="Times New Roman" w:hAnsi="Arial" w:cs="Arial"/>
                <w:sz w:val="20"/>
                <w:szCs w:val="20"/>
              </w:rPr>
              <w:t>–</w:t>
            </w:r>
          </w:p>
        </w:tc>
        <w:tc>
          <w:tcPr>
            <w:tcW w:w="652" w:type="dxa"/>
          </w:tcPr>
          <w:p w14:paraId="127C9782" w14:textId="77777777" w:rsidR="00334AA6" w:rsidRPr="001A7494" w:rsidRDefault="00000000" w:rsidP="001652E5">
            <w:pPr>
              <w:spacing w:line="360" w:lineRule="auto"/>
              <w:jc w:val="both"/>
              <w:rPr>
                <w:rFonts w:ascii="Arial" w:eastAsia="Times New Roman" w:hAnsi="Arial" w:cs="Arial"/>
                <w:sz w:val="20"/>
                <w:szCs w:val="20"/>
              </w:rPr>
            </w:pPr>
            <w:r w:rsidRPr="001A7494">
              <w:rPr>
                <w:rFonts w:ascii="Arial" w:eastAsia="Times New Roman" w:hAnsi="Arial" w:cs="Arial"/>
                <w:sz w:val="20"/>
                <w:szCs w:val="20"/>
              </w:rPr>
              <w:t>++</w:t>
            </w:r>
          </w:p>
        </w:tc>
        <w:tc>
          <w:tcPr>
            <w:tcW w:w="608" w:type="dxa"/>
          </w:tcPr>
          <w:p w14:paraId="50CD02E2" w14:textId="77777777" w:rsidR="00334AA6" w:rsidRPr="001A7494" w:rsidRDefault="00000000" w:rsidP="001652E5">
            <w:pPr>
              <w:spacing w:line="360" w:lineRule="auto"/>
              <w:jc w:val="both"/>
              <w:rPr>
                <w:rFonts w:ascii="Arial" w:eastAsia="Times New Roman" w:hAnsi="Arial" w:cs="Arial"/>
                <w:sz w:val="20"/>
                <w:szCs w:val="20"/>
              </w:rPr>
            </w:pPr>
            <w:r w:rsidRPr="001A7494">
              <w:rPr>
                <w:rFonts w:ascii="Arial" w:eastAsia="Times New Roman" w:hAnsi="Arial" w:cs="Arial"/>
                <w:sz w:val="20"/>
                <w:szCs w:val="20"/>
              </w:rPr>
              <w:t>++</w:t>
            </w:r>
          </w:p>
        </w:tc>
        <w:tc>
          <w:tcPr>
            <w:tcW w:w="608" w:type="dxa"/>
          </w:tcPr>
          <w:p w14:paraId="63F47BD4" w14:textId="77777777" w:rsidR="00334AA6" w:rsidRPr="001A7494" w:rsidRDefault="00000000" w:rsidP="001652E5">
            <w:pPr>
              <w:spacing w:line="360" w:lineRule="auto"/>
              <w:jc w:val="both"/>
              <w:rPr>
                <w:rFonts w:ascii="Arial" w:eastAsia="Times New Roman" w:hAnsi="Arial" w:cs="Arial"/>
                <w:sz w:val="20"/>
                <w:szCs w:val="20"/>
              </w:rPr>
            </w:pPr>
            <w:r w:rsidRPr="001A7494">
              <w:rPr>
                <w:rFonts w:ascii="Arial" w:eastAsia="Times New Roman" w:hAnsi="Arial" w:cs="Arial"/>
                <w:sz w:val="20"/>
                <w:szCs w:val="20"/>
              </w:rPr>
              <w:t>+</w:t>
            </w:r>
          </w:p>
        </w:tc>
      </w:tr>
      <w:tr w:rsidR="00334AA6" w:rsidRPr="001A7494" w14:paraId="4582D240" w14:textId="77777777" w:rsidTr="004E6F86">
        <w:trPr>
          <w:trHeight w:val="435"/>
        </w:trPr>
        <w:tc>
          <w:tcPr>
            <w:tcW w:w="713" w:type="dxa"/>
          </w:tcPr>
          <w:p w14:paraId="5CFE89AA" w14:textId="77777777" w:rsidR="00334AA6" w:rsidRPr="001A7494" w:rsidRDefault="00000000" w:rsidP="001652E5">
            <w:pPr>
              <w:spacing w:line="360" w:lineRule="auto"/>
              <w:jc w:val="both"/>
              <w:rPr>
                <w:rFonts w:ascii="Arial" w:eastAsia="Times New Roman" w:hAnsi="Arial" w:cs="Arial"/>
                <w:sz w:val="20"/>
                <w:szCs w:val="20"/>
              </w:rPr>
            </w:pPr>
            <w:r w:rsidRPr="001A7494">
              <w:rPr>
                <w:rFonts w:ascii="Arial" w:eastAsia="Times New Roman" w:hAnsi="Arial" w:cs="Arial"/>
                <w:sz w:val="20"/>
                <w:szCs w:val="20"/>
              </w:rPr>
              <w:t xml:space="preserve"> </w:t>
            </w:r>
          </w:p>
        </w:tc>
        <w:tc>
          <w:tcPr>
            <w:tcW w:w="981" w:type="dxa"/>
          </w:tcPr>
          <w:p w14:paraId="2BF41813" w14:textId="77777777" w:rsidR="00334AA6" w:rsidRPr="001A7494" w:rsidRDefault="00000000" w:rsidP="001652E5">
            <w:pPr>
              <w:spacing w:line="360" w:lineRule="auto"/>
              <w:jc w:val="both"/>
              <w:rPr>
                <w:rFonts w:ascii="Arial" w:eastAsia="Times New Roman" w:hAnsi="Arial" w:cs="Arial"/>
                <w:sz w:val="20"/>
                <w:szCs w:val="20"/>
              </w:rPr>
            </w:pPr>
            <w:r w:rsidRPr="001A7494">
              <w:rPr>
                <w:rFonts w:ascii="Arial" w:eastAsia="Times New Roman" w:hAnsi="Arial" w:cs="Arial"/>
                <w:sz w:val="20"/>
                <w:szCs w:val="20"/>
              </w:rPr>
              <w:t>EtOH</w:t>
            </w:r>
          </w:p>
        </w:tc>
        <w:tc>
          <w:tcPr>
            <w:tcW w:w="579" w:type="dxa"/>
          </w:tcPr>
          <w:p w14:paraId="4E4C5829" w14:textId="77777777" w:rsidR="00334AA6" w:rsidRPr="001A7494" w:rsidRDefault="00000000" w:rsidP="001652E5">
            <w:pPr>
              <w:spacing w:line="360" w:lineRule="auto"/>
              <w:jc w:val="both"/>
              <w:rPr>
                <w:rFonts w:ascii="Arial" w:eastAsia="Times New Roman" w:hAnsi="Arial" w:cs="Arial"/>
                <w:sz w:val="20"/>
                <w:szCs w:val="20"/>
              </w:rPr>
            </w:pPr>
            <w:r w:rsidRPr="001A7494">
              <w:rPr>
                <w:rFonts w:ascii="Arial" w:eastAsia="Times New Roman" w:hAnsi="Arial" w:cs="Arial"/>
                <w:sz w:val="20"/>
                <w:szCs w:val="20"/>
              </w:rPr>
              <w:t>–</w:t>
            </w:r>
          </w:p>
        </w:tc>
        <w:tc>
          <w:tcPr>
            <w:tcW w:w="594" w:type="dxa"/>
          </w:tcPr>
          <w:p w14:paraId="61DEECC4" w14:textId="77777777" w:rsidR="00334AA6" w:rsidRPr="001A7494" w:rsidRDefault="00000000" w:rsidP="001652E5">
            <w:pPr>
              <w:spacing w:line="360" w:lineRule="auto"/>
              <w:jc w:val="both"/>
              <w:rPr>
                <w:rFonts w:ascii="Arial" w:eastAsia="Times New Roman" w:hAnsi="Arial" w:cs="Arial"/>
                <w:sz w:val="20"/>
                <w:szCs w:val="20"/>
              </w:rPr>
            </w:pPr>
            <w:r w:rsidRPr="001A7494">
              <w:rPr>
                <w:rFonts w:ascii="Arial" w:eastAsia="Times New Roman" w:hAnsi="Arial" w:cs="Arial"/>
                <w:sz w:val="20"/>
                <w:szCs w:val="20"/>
              </w:rPr>
              <w:t>–</w:t>
            </w:r>
          </w:p>
        </w:tc>
        <w:tc>
          <w:tcPr>
            <w:tcW w:w="563" w:type="dxa"/>
          </w:tcPr>
          <w:p w14:paraId="402E0D2B" w14:textId="77777777" w:rsidR="00334AA6" w:rsidRPr="001A7494" w:rsidRDefault="00000000" w:rsidP="001652E5">
            <w:pPr>
              <w:spacing w:line="360" w:lineRule="auto"/>
              <w:jc w:val="both"/>
              <w:rPr>
                <w:rFonts w:ascii="Arial" w:eastAsia="Times New Roman" w:hAnsi="Arial" w:cs="Arial"/>
                <w:sz w:val="20"/>
                <w:szCs w:val="20"/>
              </w:rPr>
            </w:pPr>
            <w:r w:rsidRPr="001A7494">
              <w:rPr>
                <w:rFonts w:ascii="Arial" w:eastAsia="Times New Roman" w:hAnsi="Arial" w:cs="Arial"/>
                <w:sz w:val="20"/>
                <w:szCs w:val="20"/>
              </w:rPr>
              <w:t>++</w:t>
            </w:r>
          </w:p>
        </w:tc>
        <w:tc>
          <w:tcPr>
            <w:tcW w:w="623" w:type="dxa"/>
          </w:tcPr>
          <w:p w14:paraId="41BC0F06" w14:textId="77777777" w:rsidR="00334AA6" w:rsidRPr="001A7494" w:rsidRDefault="00000000" w:rsidP="001652E5">
            <w:pPr>
              <w:spacing w:line="360" w:lineRule="auto"/>
              <w:jc w:val="both"/>
              <w:rPr>
                <w:rFonts w:ascii="Arial" w:eastAsia="Times New Roman" w:hAnsi="Arial" w:cs="Arial"/>
                <w:sz w:val="20"/>
                <w:szCs w:val="20"/>
              </w:rPr>
            </w:pPr>
            <w:r w:rsidRPr="001A7494">
              <w:rPr>
                <w:rFonts w:ascii="Arial" w:eastAsia="Times New Roman" w:hAnsi="Arial" w:cs="Arial"/>
                <w:sz w:val="20"/>
                <w:szCs w:val="20"/>
              </w:rPr>
              <w:t>++</w:t>
            </w:r>
          </w:p>
        </w:tc>
        <w:tc>
          <w:tcPr>
            <w:tcW w:w="608" w:type="dxa"/>
          </w:tcPr>
          <w:p w14:paraId="6699424D" w14:textId="77777777" w:rsidR="00334AA6" w:rsidRPr="001A7494" w:rsidRDefault="00000000" w:rsidP="001652E5">
            <w:pPr>
              <w:spacing w:line="360" w:lineRule="auto"/>
              <w:jc w:val="both"/>
              <w:rPr>
                <w:rFonts w:ascii="Arial" w:eastAsia="Times New Roman" w:hAnsi="Arial" w:cs="Arial"/>
                <w:sz w:val="20"/>
                <w:szCs w:val="20"/>
              </w:rPr>
            </w:pPr>
            <w:r w:rsidRPr="001A7494">
              <w:rPr>
                <w:rFonts w:ascii="Arial" w:eastAsia="Times New Roman" w:hAnsi="Arial" w:cs="Arial"/>
                <w:sz w:val="20"/>
                <w:szCs w:val="20"/>
              </w:rPr>
              <w:t>++</w:t>
            </w:r>
          </w:p>
        </w:tc>
        <w:tc>
          <w:tcPr>
            <w:tcW w:w="548" w:type="dxa"/>
          </w:tcPr>
          <w:p w14:paraId="20917E1C" w14:textId="77777777" w:rsidR="00334AA6" w:rsidRPr="001A7494" w:rsidRDefault="00000000" w:rsidP="001652E5">
            <w:pPr>
              <w:spacing w:line="360" w:lineRule="auto"/>
              <w:jc w:val="both"/>
              <w:rPr>
                <w:rFonts w:ascii="Arial" w:eastAsia="Times New Roman" w:hAnsi="Arial" w:cs="Arial"/>
                <w:sz w:val="20"/>
                <w:szCs w:val="20"/>
              </w:rPr>
            </w:pPr>
            <w:r w:rsidRPr="001A7494">
              <w:rPr>
                <w:rFonts w:ascii="Arial" w:eastAsia="Times New Roman" w:hAnsi="Arial" w:cs="Arial"/>
                <w:sz w:val="20"/>
                <w:szCs w:val="20"/>
              </w:rPr>
              <w:t>++</w:t>
            </w:r>
          </w:p>
        </w:tc>
        <w:tc>
          <w:tcPr>
            <w:tcW w:w="548" w:type="dxa"/>
          </w:tcPr>
          <w:p w14:paraId="089FAE80" w14:textId="77777777" w:rsidR="00334AA6" w:rsidRPr="001A7494" w:rsidRDefault="00000000" w:rsidP="001652E5">
            <w:pPr>
              <w:spacing w:line="360" w:lineRule="auto"/>
              <w:jc w:val="both"/>
              <w:rPr>
                <w:rFonts w:ascii="Arial" w:eastAsia="Times New Roman" w:hAnsi="Arial" w:cs="Arial"/>
                <w:sz w:val="20"/>
                <w:szCs w:val="20"/>
              </w:rPr>
            </w:pPr>
            <w:r w:rsidRPr="001A7494">
              <w:rPr>
                <w:rFonts w:ascii="Arial" w:eastAsia="Times New Roman" w:hAnsi="Arial" w:cs="Arial"/>
                <w:sz w:val="20"/>
                <w:szCs w:val="20"/>
              </w:rPr>
              <w:t>–</w:t>
            </w:r>
          </w:p>
        </w:tc>
        <w:tc>
          <w:tcPr>
            <w:tcW w:w="548" w:type="dxa"/>
          </w:tcPr>
          <w:p w14:paraId="70F60C0F" w14:textId="77777777" w:rsidR="00334AA6" w:rsidRPr="001A7494" w:rsidRDefault="00000000" w:rsidP="001652E5">
            <w:pPr>
              <w:spacing w:line="360" w:lineRule="auto"/>
              <w:jc w:val="both"/>
              <w:rPr>
                <w:rFonts w:ascii="Arial" w:eastAsia="Times New Roman" w:hAnsi="Arial" w:cs="Arial"/>
                <w:sz w:val="20"/>
                <w:szCs w:val="20"/>
              </w:rPr>
            </w:pPr>
            <w:r w:rsidRPr="001A7494">
              <w:rPr>
                <w:rFonts w:ascii="Arial" w:eastAsia="Times New Roman" w:hAnsi="Arial" w:cs="Arial"/>
                <w:sz w:val="20"/>
                <w:szCs w:val="20"/>
              </w:rPr>
              <w:t>++</w:t>
            </w:r>
          </w:p>
        </w:tc>
        <w:tc>
          <w:tcPr>
            <w:tcW w:w="608" w:type="dxa"/>
          </w:tcPr>
          <w:p w14:paraId="2A39980E" w14:textId="77777777" w:rsidR="00334AA6" w:rsidRPr="001A7494" w:rsidRDefault="00000000" w:rsidP="001652E5">
            <w:pPr>
              <w:spacing w:line="360" w:lineRule="auto"/>
              <w:jc w:val="both"/>
              <w:rPr>
                <w:rFonts w:ascii="Arial" w:eastAsia="Times New Roman" w:hAnsi="Arial" w:cs="Arial"/>
                <w:sz w:val="20"/>
                <w:szCs w:val="20"/>
              </w:rPr>
            </w:pPr>
            <w:r w:rsidRPr="001A7494">
              <w:rPr>
                <w:rFonts w:ascii="Arial" w:eastAsia="Times New Roman" w:hAnsi="Arial" w:cs="Arial"/>
                <w:sz w:val="20"/>
                <w:szCs w:val="20"/>
              </w:rPr>
              <w:t>–</w:t>
            </w:r>
          </w:p>
        </w:tc>
        <w:tc>
          <w:tcPr>
            <w:tcW w:w="578" w:type="dxa"/>
          </w:tcPr>
          <w:p w14:paraId="7E8B2D9E" w14:textId="77777777" w:rsidR="00334AA6" w:rsidRPr="001A7494" w:rsidRDefault="00000000" w:rsidP="001652E5">
            <w:pPr>
              <w:spacing w:line="360" w:lineRule="auto"/>
              <w:jc w:val="both"/>
              <w:rPr>
                <w:rFonts w:ascii="Arial" w:eastAsia="Times New Roman" w:hAnsi="Arial" w:cs="Arial"/>
                <w:sz w:val="20"/>
                <w:szCs w:val="20"/>
              </w:rPr>
            </w:pPr>
            <w:r w:rsidRPr="001A7494">
              <w:rPr>
                <w:rFonts w:ascii="Arial" w:eastAsia="Times New Roman" w:hAnsi="Arial" w:cs="Arial"/>
                <w:sz w:val="20"/>
                <w:szCs w:val="20"/>
              </w:rPr>
              <w:t>–</w:t>
            </w:r>
          </w:p>
        </w:tc>
        <w:tc>
          <w:tcPr>
            <w:tcW w:w="652" w:type="dxa"/>
          </w:tcPr>
          <w:p w14:paraId="3C62131D" w14:textId="77777777" w:rsidR="00334AA6" w:rsidRPr="001A7494" w:rsidRDefault="00000000" w:rsidP="001652E5">
            <w:pPr>
              <w:spacing w:line="360" w:lineRule="auto"/>
              <w:jc w:val="both"/>
              <w:rPr>
                <w:rFonts w:ascii="Arial" w:eastAsia="Times New Roman" w:hAnsi="Arial" w:cs="Arial"/>
                <w:sz w:val="20"/>
                <w:szCs w:val="20"/>
              </w:rPr>
            </w:pPr>
            <w:r w:rsidRPr="001A7494">
              <w:rPr>
                <w:rFonts w:ascii="Arial" w:eastAsia="Times New Roman" w:hAnsi="Arial" w:cs="Arial"/>
                <w:sz w:val="20"/>
                <w:szCs w:val="20"/>
              </w:rPr>
              <w:t>++</w:t>
            </w:r>
          </w:p>
        </w:tc>
        <w:tc>
          <w:tcPr>
            <w:tcW w:w="608" w:type="dxa"/>
          </w:tcPr>
          <w:p w14:paraId="19841E2C" w14:textId="77777777" w:rsidR="00334AA6" w:rsidRPr="001A7494" w:rsidRDefault="00000000" w:rsidP="001652E5">
            <w:pPr>
              <w:spacing w:line="360" w:lineRule="auto"/>
              <w:jc w:val="both"/>
              <w:rPr>
                <w:rFonts w:ascii="Arial" w:eastAsia="Times New Roman" w:hAnsi="Arial" w:cs="Arial"/>
                <w:sz w:val="20"/>
                <w:szCs w:val="20"/>
              </w:rPr>
            </w:pPr>
            <w:r w:rsidRPr="001A7494">
              <w:rPr>
                <w:rFonts w:ascii="Arial" w:eastAsia="Times New Roman" w:hAnsi="Arial" w:cs="Arial"/>
                <w:sz w:val="20"/>
                <w:szCs w:val="20"/>
              </w:rPr>
              <w:t>++</w:t>
            </w:r>
          </w:p>
        </w:tc>
        <w:tc>
          <w:tcPr>
            <w:tcW w:w="608" w:type="dxa"/>
          </w:tcPr>
          <w:p w14:paraId="7C864144" w14:textId="77777777" w:rsidR="00334AA6" w:rsidRPr="001A7494" w:rsidRDefault="00000000" w:rsidP="001652E5">
            <w:pPr>
              <w:spacing w:line="360" w:lineRule="auto"/>
              <w:jc w:val="both"/>
              <w:rPr>
                <w:rFonts w:ascii="Arial" w:eastAsia="Times New Roman" w:hAnsi="Arial" w:cs="Arial"/>
                <w:sz w:val="20"/>
                <w:szCs w:val="20"/>
              </w:rPr>
            </w:pPr>
            <w:r w:rsidRPr="001A7494">
              <w:rPr>
                <w:rFonts w:ascii="Arial" w:eastAsia="Times New Roman" w:hAnsi="Arial" w:cs="Arial"/>
                <w:sz w:val="20"/>
                <w:szCs w:val="20"/>
              </w:rPr>
              <w:t>+</w:t>
            </w:r>
          </w:p>
        </w:tc>
      </w:tr>
      <w:tr w:rsidR="00334AA6" w:rsidRPr="001A7494" w14:paraId="2A1290A1" w14:textId="77777777" w:rsidTr="004E6F86">
        <w:trPr>
          <w:trHeight w:val="435"/>
        </w:trPr>
        <w:tc>
          <w:tcPr>
            <w:tcW w:w="713" w:type="dxa"/>
          </w:tcPr>
          <w:p w14:paraId="46C8C787" w14:textId="77777777" w:rsidR="00334AA6" w:rsidRPr="001A7494" w:rsidRDefault="00000000" w:rsidP="001652E5">
            <w:pPr>
              <w:spacing w:line="360" w:lineRule="auto"/>
              <w:jc w:val="both"/>
              <w:rPr>
                <w:rFonts w:ascii="Arial" w:eastAsia="Times New Roman" w:hAnsi="Arial" w:cs="Arial"/>
                <w:sz w:val="20"/>
                <w:szCs w:val="20"/>
              </w:rPr>
            </w:pPr>
            <w:r w:rsidRPr="001A7494">
              <w:rPr>
                <w:rFonts w:ascii="Arial" w:eastAsia="Times New Roman" w:hAnsi="Arial" w:cs="Arial"/>
                <w:sz w:val="20"/>
                <w:szCs w:val="20"/>
              </w:rPr>
              <w:t xml:space="preserve"> </w:t>
            </w:r>
          </w:p>
        </w:tc>
        <w:tc>
          <w:tcPr>
            <w:tcW w:w="981" w:type="dxa"/>
          </w:tcPr>
          <w:p w14:paraId="1F9B5D90" w14:textId="77777777" w:rsidR="00334AA6" w:rsidRPr="001A7494" w:rsidRDefault="00000000" w:rsidP="001652E5">
            <w:pPr>
              <w:spacing w:line="360" w:lineRule="auto"/>
              <w:jc w:val="both"/>
              <w:rPr>
                <w:rFonts w:ascii="Arial" w:eastAsia="Times New Roman" w:hAnsi="Arial" w:cs="Arial"/>
                <w:sz w:val="20"/>
                <w:szCs w:val="20"/>
              </w:rPr>
            </w:pPr>
            <w:r w:rsidRPr="001A7494">
              <w:rPr>
                <w:rFonts w:ascii="Arial" w:eastAsia="Times New Roman" w:hAnsi="Arial" w:cs="Arial"/>
                <w:sz w:val="20"/>
                <w:szCs w:val="20"/>
              </w:rPr>
              <w:t>Aq</w:t>
            </w:r>
          </w:p>
        </w:tc>
        <w:tc>
          <w:tcPr>
            <w:tcW w:w="579" w:type="dxa"/>
          </w:tcPr>
          <w:p w14:paraId="266116C9" w14:textId="77777777" w:rsidR="00334AA6" w:rsidRPr="001A7494" w:rsidRDefault="00000000" w:rsidP="001652E5">
            <w:pPr>
              <w:spacing w:line="360" w:lineRule="auto"/>
              <w:jc w:val="both"/>
              <w:rPr>
                <w:rFonts w:ascii="Arial" w:eastAsia="Times New Roman" w:hAnsi="Arial" w:cs="Arial"/>
                <w:sz w:val="20"/>
                <w:szCs w:val="20"/>
              </w:rPr>
            </w:pPr>
            <w:r w:rsidRPr="001A7494">
              <w:rPr>
                <w:rFonts w:ascii="Arial" w:eastAsia="Times New Roman" w:hAnsi="Arial" w:cs="Arial"/>
                <w:sz w:val="20"/>
                <w:szCs w:val="20"/>
              </w:rPr>
              <w:t>–</w:t>
            </w:r>
          </w:p>
        </w:tc>
        <w:tc>
          <w:tcPr>
            <w:tcW w:w="594" w:type="dxa"/>
          </w:tcPr>
          <w:p w14:paraId="75B3DCB5" w14:textId="77777777" w:rsidR="00334AA6" w:rsidRPr="001A7494" w:rsidRDefault="00000000" w:rsidP="001652E5">
            <w:pPr>
              <w:spacing w:line="360" w:lineRule="auto"/>
              <w:jc w:val="both"/>
              <w:rPr>
                <w:rFonts w:ascii="Arial" w:eastAsia="Times New Roman" w:hAnsi="Arial" w:cs="Arial"/>
                <w:sz w:val="20"/>
                <w:szCs w:val="20"/>
              </w:rPr>
            </w:pPr>
            <w:r w:rsidRPr="001A7494">
              <w:rPr>
                <w:rFonts w:ascii="Arial" w:eastAsia="Times New Roman" w:hAnsi="Arial" w:cs="Arial"/>
                <w:sz w:val="20"/>
                <w:szCs w:val="20"/>
              </w:rPr>
              <w:t>+</w:t>
            </w:r>
          </w:p>
        </w:tc>
        <w:tc>
          <w:tcPr>
            <w:tcW w:w="563" w:type="dxa"/>
          </w:tcPr>
          <w:p w14:paraId="1026F4BB" w14:textId="77777777" w:rsidR="00334AA6" w:rsidRPr="001A7494" w:rsidRDefault="00000000" w:rsidP="001652E5">
            <w:pPr>
              <w:spacing w:line="360" w:lineRule="auto"/>
              <w:jc w:val="both"/>
              <w:rPr>
                <w:rFonts w:ascii="Arial" w:eastAsia="Times New Roman" w:hAnsi="Arial" w:cs="Arial"/>
                <w:sz w:val="20"/>
                <w:szCs w:val="20"/>
              </w:rPr>
            </w:pPr>
            <w:r w:rsidRPr="001A7494">
              <w:rPr>
                <w:rFonts w:ascii="Arial" w:eastAsia="Times New Roman" w:hAnsi="Arial" w:cs="Arial"/>
                <w:sz w:val="20"/>
                <w:szCs w:val="20"/>
              </w:rPr>
              <w:t>++</w:t>
            </w:r>
          </w:p>
        </w:tc>
        <w:tc>
          <w:tcPr>
            <w:tcW w:w="623" w:type="dxa"/>
          </w:tcPr>
          <w:p w14:paraId="41876FD8" w14:textId="77777777" w:rsidR="00334AA6" w:rsidRPr="001A7494" w:rsidRDefault="00000000" w:rsidP="001652E5">
            <w:pPr>
              <w:spacing w:line="360" w:lineRule="auto"/>
              <w:jc w:val="both"/>
              <w:rPr>
                <w:rFonts w:ascii="Arial" w:eastAsia="Times New Roman" w:hAnsi="Arial" w:cs="Arial"/>
                <w:sz w:val="20"/>
                <w:szCs w:val="20"/>
              </w:rPr>
            </w:pPr>
            <w:r w:rsidRPr="001A7494">
              <w:rPr>
                <w:rFonts w:ascii="Arial" w:eastAsia="Times New Roman" w:hAnsi="Arial" w:cs="Arial"/>
                <w:sz w:val="20"/>
                <w:szCs w:val="20"/>
              </w:rPr>
              <w:t>++</w:t>
            </w:r>
          </w:p>
        </w:tc>
        <w:tc>
          <w:tcPr>
            <w:tcW w:w="608" w:type="dxa"/>
          </w:tcPr>
          <w:p w14:paraId="03DA7702" w14:textId="77777777" w:rsidR="00334AA6" w:rsidRPr="001A7494" w:rsidRDefault="00000000" w:rsidP="001652E5">
            <w:pPr>
              <w:spacing w:line="360" w:lineRule="auto"/>
              <w:jc w:val="both"/>
              <w:rPr>
                <w:rFonts w:ascii="Arial" w:eastAsia="Times New Roman" w:hAnsi="Arial" w:cs="Arial"/>
                <w:sz w:val="20"/>
                <w:szCs w:val="20"/>
              </w:rPr>
            </w:pPr>
            <w:r w:rsidRPr="001A7494">
              <w:rPr>
                <w:rFonts w:ascii="Arial" w:eastAsia="Times New Roman" w:hAnsi="Arial" w:cs="Arial"/>
                <w:sz w:val="20"/>
                <w:szCs w:val="20"/>
              </w:rPr>
              <w:t>++</w:t>
            </w:r>
          </w:p>
        </w:tc>
        <w:tc>
          <w:tcPr>
            <w:tcW w:w="548" w:type="dxa"/>
          </w:tcPr>
          <w:p w14:paraId="6F142A6A" w14:textId="77777777" w:rsidR="00334AA6" w:rsidRPr="001A7494" w:rsidRDefault="00000000" w:rsidP="001652E5">
            <w:pPr>
              <w:spacing w:line="360" w:lineRule="auto"/>
              <w:jc w:val="both"/>
              <w:rPr>
                <w:rFonts w:ascii="Arial" w:eastAsia="Times New Roman" w:hAnsi="Arial" w:cs="Arial"/>
                <w:sz w:val="20"/>
                <w:szCs w:val="20"/>
              </w:rPr>
            </w:pPr>
            <w:r w:rsidRPr="001A7494">
              <w:rPr>
                <w:rFonts w:ascii="Arial" w:eastAsia="Times New Roman" w:hAnsi="Arial" w:cs="Arial"/>
                <w:sz w:val="20"/>
                <w:szCs w:val="20"/>
              </w:rPr>
              <w:t>–</w:t>
            </w:r>
          </w:p>
        </w:tc>
        <w:tc>
          <w:tcPr>
            <w:tcW w:w="548" w:type="dxa"/>
          </w:tcPr>
          <w:p w14:paraId="73AC2887" w14:textId="77777777" w:rsidR="00334AA6" w:rsidRPr="001A7494" w:rsidRDefault="00000000" w:rsidP="001652E5">
            <w:pPr>
              <w:spacing w:line="360" w:lineRule="auto"/>
              <w:jc w:val="both"/>
              <w:rPr>
                <w:rFonts w:ascii="Arial" w:eastAsia="Times New Roman" w:hAnsi="Arial" w:cs="Arial"/>
                <w:sz w:val="20"/>
                <w:szCs w:val="20"/>
              </w:rPr>
            </w:pPr>
            <w:r w:rsidRPr="001A7494">
              <w:rPr>
                <w:rFonts w:ascii="Arial" w:eastAsia="Times New Roman" w:hAnsi="Arial" w:cs="Arial"/>
                <w:sz w:val="20"/>
                <w:szCs w:val="20"/>
              </w:rPr>
              <w:t>–</w:t>
            </w:r>
          </w:p>
        </w:tc>
        <w:tc>
          <w:tcPr>
            <w:tcW w:w="548" w:type="dxa"/>
          </w:tcPr>
          <w:p w14:paraId="2E9BC558" w14:textId="77777777" w:rsidR="00334AA6" w:rsidRPr="001A7494" w:rsidRDefault="00000000" w:rsidP="001652E5">
            <w:pPr>
              <w:spacing w:line="360" w:lineRule="auto"/>
              <w:jc w:val="both"/>
              <w:rPr>
                <w:rFonts w:ascii="Arial" w:eastAsia="Times New Roman" w:hAnsi="Arial" w:cs="Arial"/>
                <w:sz w:val="20"/>
                <w:szCs w:val="20"/>
              </w:rPr>
            </w:pPr>
            <w:r w:rsidRPr="001A7494">
              <w:rPr>
                <w:rFonts w:ascii="Arial" w:eastAsia="Times New Roman" w:hAnsi="Arial" w:cs="Arial"/>
                <w:sz w:val="20"/>
                <w:szCs w:val="20"/>
              </w:rPr>
              <w:t>++</w:t>
            </w:r>
          </w:p>
        </w:tc>
        <w:tc>
          <w:tcPr>
            <w:tcW w:w="608" w:type="dxa"/>
          </w:tcPr>
          <w:p w14:paraId="28EE9604" w14:textId="77777777" w:rsidR="00334AA6" w:rsidRPr="001A7494" w:rsidRDefault="00000000" w:rsidP="001652E5">
            <w:pPr>
              <w:spacing w:line="360" w:lineRule="auto"/>
              <w:jc w:val="both"/>
              <w:rPr>
                <w:rFonts w:ascii="Arial" w:eastAsia="Times New Roman" w:hAnsi="Arial" w:cs="Arial"/>
                <w:sz w:val="20"/>
                <w:szCs w:val="20"/>
              </w:rPr>
            </w:pPr>
            <w:r w:rsidRPr="001A7494">
              <w:rPr>
                <w:rFonts w:ascii="Arial" w:eastAsia="Times New Roman" w:hAnsi="Arial" w:cs="Arial"/>
                <w:sz w:val="20"/>
                <w:szCs w:val="20"/>
              </w:rPr>
              <w:t>++</w:t>
            </w:r>
          </w:p>
        </w:tc>
        <w:tc>
          <w:tcPr>
            <w:tcW w:w="578" w:type="dxa"/>
          </w:tcPr>
          <w:p w14:paraId="63FDD125" w14:textId="77777777" w:rsidR="00334AA6" w:rsidRPr="001A7494" w:rsidRDefault="00000000" w:rsidP="001652E5">
            <w:pPr>
              <w:spacing w:line="360" w:lineRule="auto"/>
              <w:jc w:val="both"/>
              <w:rPr>
                <w:rFonts w:ascii="Arial" w:eastAsia="Times New Roman" w:hAnsi="Arial" w:cs="Arial"/>
                <w:sz w:val="20"/>
                <w:szCs w:val="20"/>
              </w:rPr>
            </w:pPr>
            <w:r w:rsidRPr="001A7494">
              <w:rPr>
                <w:rFonts w:ascii="Arial" w:eastAsia="Times New Roman" w:hAnsi="Arial" w:cs="Arial"/>
                <w:sz w:val="20"/>
                <w:szCs w:val="20"/>
              </w:rPr>
              <w:t>–</w:t>
            </w:r>
          </w:p>
        </w:tc>
        <w:tc>
          <w:tcPr>
            <w:tcW w:w="652" w:type="dxa"/>
          </w:tcPr>
          <w:p w14:paraId="1B4D7367" w14:textId="77777777" w:rsidR="00334AA6" w:rsidRPr="001A7494" w:rsidRDefault="00000000" w:rsidP="001652E5">
            <w:pPr>
              <w:spacing w:line="360" w:lineRule="auto"/>
              <w:jc w:val="both"/>
              <w:rPr>
                <w:rFonts w:ascii="Arial" w:eastAsia="Times New Roman" w:hAnsi="Arial" w:cs="Arial"/>
                <w:sz w:val="20"/>
                <w:szCs w:val="20"/>
              </w:rPr>
            </w:pPr>
            <w:r w:rsidRPr="001A7494">
              <w:rPr>
                <w:rFonts w:ascii="Arial" w:eastAsia="Times New Roman" w:hAnsi="Arial" w:cs="Arial"/>
                <w:sz w:val="20"/>
                <w:szCs w:val="20"/>
              </w:rPr>
              <w:t>+</w:t>
            </w:r>
          </w:p>
        </w:tc>
        <w:tc>
          <w:tcPr>
            <w:tcW w:w="608" w:type="dxa"/>
          </w:tcPr>
          <w:p w14:paraId="0550ECAC" w14:textId="77777777" w:rsidR="00334AA6" w:rsidRPr="001A7494" w:rsidRDefault="00000000" w:rsidP="001652E5">
            <w:pPr>
              <w:spacing w:line="360" w:lineRule="auto"/>
              <w:jc w:val="both"/>
              <w:rPr>
                <w:rFonts w:ascii="Arial" w:eastAsia="Times New Roman" w:hAnsi="Arial" w:cs="Arial"/>
                <w:sz w:val="20"/>
                <w:szCs w:val="20"/>
              </w:rPr>
            </w:pPr>
            <w:r w:rsidRPr="001A7494">
              <w:rPr>
                <w:rFonts w:ascii="Arial" w:eastAsia="Times New Roman" w:hAnsi="Arial" w:cs="Arial"/>
                <w:sz w:val="20"/>
                <w:szCs w:val="20"/>
              </w:rPr>
              <w:t>+</w:t>
            </w:r>
          </w:p>
        </w:tc>
        <w:tc>
          <w:tcPr>
            <w:tcW w:w="608" w:type="dxa"/>
          </w:tcPr>
          <w:p w14:paraId="0C942315" w14:textId="77777777" w:rsidR="00334AA6" w:rsidRPr="001A7494" w:rsidRDefault="00000000" w:rsidP="001652E5">
            <w:pPr>
              <w:spacing w:line="360" w:lineRule="auto"/>
              <w:jc w:val="both"/>
              <w:rPr>
                <w:rFonts w:ascii="Arial" w:eastAsia="Times New Roman" w:hAnsi="Arial" w:cs="Arial"/>
                <w:sz w:val="20"/>
                <w:szCs w:val="20"/>
              </w:rPr>
            </w:pPr>
            <w:r w:rsidRPr="001A7494">
              <w:rPr>
                <w:rFonts w:ascii="Arial" w:eastAsia="Times New Roman" w:hAnsi="Arial" w:cs="Arial"/>
                <w:sz w:val="20"/>
                <w:szCs w:val="20"/>
              </w:rPr>
              <w:t>–</w:t>
            </w:r>
          </w:p>
        </w:tc>
      </w:tr>
      <w:tr w:rsidR="00334AA6" w:rsidRPr="001A7494" w14:paraId="67CAD284" w14:textId="77777777" w:rsidTr="004E6F86">
        <w:trPr>
          <w:trHeight w:val="435"/>
        </w:trPr>
        <w:tc>
          <w:tcPr>
            <w:tcW w:w="713" w:type="dxa"/>
          </w:tcPr>
          <w:p w14:paraId="25434C94" w14:textId="77777777" w:rsidR="00334AA6" w:rsidRPr="001A7494" w:rsidRDefault="00000000" w:rsidP="001652E5">
            <w:pPr>
              <w:spacing w:line="360" w:lineRule="auto"/>
              <w:jc w:val="both"/>
              <w:rPr>
                <w:rFonts w:ascii="Arial" w:eastAsia="Times New Roman" w:hAnsi="Arial" w:cs="Arial"/>
                <w:sz w:val="20"/>
                <w:szCs w:val="20"/>
              </w:rPr>
            </w:pPr>
            <w:r w:rsidRPr="001A7494">
              <w:rPr>
                <w:rFonts w:ascii="Arial" w:eastAsia="Times New Roman" w:hAnsi="Arial" w:cs="Arial"/>
                <w:sz w:val="20"/>
                <w:szCs w:val="20"/>
              </w:rPr>
              <w:t>Bark</w:t>
            </w:r>
          </w:p>
        </w:tc>
        <w:tc>
          <w:tcPr>
            <w:tcW w:w="981" w:type="dxa"/>
          </w:tcPr>
          <w:p w14:paraId="21DD864F" w14:textId="77777777" w:rsidR="00334AA6" w:rsidRPr="001A7494" w:rsidRDefault="00000000" w:rsidP="001652E5">
            <w:pPr>
              <w:spacing w:line="360" w:lineRule="auto"/>
              <w:jc w:val="both"/>
              <w:rPr>
                <w:rFonts w:ascii="Arial" w:eastAsia="Times New Roman" w:hAnsi="Arial" w:cs="Arial"/>
                <w:sz w:val="20"/>
                <w:szCs w:val="20"/>
              </w:rPr>
            </w:pPr>
            <w:r w:rsidRPr="001A7494">
              <w:rPr>
                <w:rFonts w:ascii="Arial" w:eastAsia="Times New Roman" w:hAnsi="Arial" w:cs="Arial"/>
                <w:sz w:val="20"/>
                <w:szCs w:val="20"/>
              </w:rPr>
              <w:t>PE</w:t>
            </w:r>
          </w:p>
        </w:tc>
        <w:tc>
          <w:tcPr>
            <w:tcW w:w="579" w:type="dxa"/>
          </w:tcPr>
          <w:p w14:paraId="4A76558C" w14:textId="77777777" w:rsidR="00334AA6" w:rsidRPr="001A7494" w:rsidRDefault="00000000" w:rsidP="001652E5">
            <w:pPr>
              <w:spacing w:line="360" w:lineRule="auto"/>
              <w:jc w:val="both"/>
              <w:rPr>
                <w:rFonts w:ascii="Arial" w:eastAsia="Times New Roman" w:hAnsi="Arial" w:cs="Arial"/>
                <w:sz w:val="20"/>
                <w:szCs w:val="20"/>
              </w:rPr>
            </w:pPr>
            <w:r w:rsidRPr="001A7494">
              <w:rPr>
                <w:rFonts w:ascii="Arial" w:eastAsia="Times New Roman" w:hAnsi="Arial" w:cs="Arial"/>
                <w:sz w:val="20"/>
                <w:szCs w:val="20"/>
              </w:rPr>
              <w:t>–</w:t>
            </w:r>
          </w:p>
        </w:tc>
        <w:tc>
          <w:tcPr>
            <w:tcW w:w="594" w:type="dxa"/>
          </w:tcPr>
          <w:p w14:paraId="38BCB553" w14:textId="77777777" w:rsidR="00334AA6" w:rsidRPr="001A7494" w:rsidRDefault="00000000" w:rsidP="001652E5">
            <w:pPr>
              <w:spacing w:line="360" w:lineRule="auto"/>
              <w:jc w:val="both"/>
              <w:rPr>
                <w:rFonts w:ascii="Arial" w:eastAsia="Times New Roman" w:hAnsi="Arial" w:cs="Arial"/>
                <w:sz w:val="20"/>
                <w:szCs w:val="20"/>
              </w:rPr>
            </w:pPr>
            <w:r w:rsidRPr="001A7494">
              <w:rPr>
                <w:rFonts w:ascii="Arial" w:eastAsia="Times New Roman" w:hAnsi="Arial" w:cs="Arial"/>
                <w:sz w:val="20"/>
                <w:szCs w:val="20"/>
              </w:rPr>
              <w:t>–</w:t>
            </w:r>
          </w:p>
        </w:tc>
        <w:tc>
          <w:tcPr>
            <w:tcW w:w="563" w:type="dxa"/>
          </w:tcPr>
          <w:p w14:paraId="3A850659" w14:textId="77777777" w:rsidR="00334AA6" w:rsidRPr="001A7494" w:rsidRDefault="00000000" w:rsidP="001652E5">
            <w:pPr>
              <w:spacing w:line="360" w:lineRule="auto"/>
              <w:jc w:val="both"/>
              <w:rPr>
                <w:rFonts w:ascii="Arial" w:eastAsia="Times New Roman" w:hAnsi="Arial" w:cs="Arial"/>
                <w:sz w:val="20"/>
                <w:szCs w:val="20"/>
              </w:rPr>
            </w:pPr>
            <w:r w:rsidRPr="001A7494">
              <w:rPr>
                <w:rFonts w:ascii="Arial" w:eastAsia="Times New Roman" w:hAnsi="Arial" w:cs="Arial"/>
                <w:sz w:val="20"/>
                <w:szCs w:val="20"/>
              </w:rPr>
              <w:t>–</w:t>
            </w:r>
          </w:p>
        </w:tc>
        <w:tc>
          <w:tcPr>
            <w:tcW w:w="623" w:type="dxa"/>
          </w:tcPr>
          <w:p w14:paraId="1C514BF7" w14:textId="77777777" w:rsidR="00334AA6" w:rsidRPr="001A7494" w:rsidRDefault="00000000" w:rsidP="001652E5">
            <w:pPr>
              <w:spacing w:line="360" w:lineRule="auto"/>
              <w:jc w:val="both"/>
              <w:rPr>
                <w:rFonts w:ascii="Arial" w:eastAsia="Times New Roman" w:hAnsi="Arial" w:cs="Arial"/>
                <w:sz w:val="20"/>
                <w:szCs w:val="20"/>
              </w:rPr>
            </w:pPr>
            <w:r w:rsidRPr="001A7494">
              <w:rPr>
                <w:rFonts w:ascii="Arial" w:eastAsia="Times New Roman" w:hAnsi="Arial" w:cs="Arial"/>
                <w:sz w:val="20"/>
                <w:szCs w:val="20"/>
              </w:rPr>
              <w:t>–</w:t>
            </w:r>
          </w:p>
        </w:tc>
        <w:tc>
          <w:tcPr>
            <w:tcW w:w="608" w:type="dxa"/>
          </w:tcPr>
          <w:p w14:paraId="75DC0F14" w14:textId="77777777" w:rsidR="00334AA6" w:rsidRPr="001A7494" w:rsidRDefault="00000000" w:rsidP="001652E5">
            <w:pPr>
              <w:spacing w:line="360" w:lineRule="auto"/>
              <w:jc w:val="both"/>
              <w:rPr>
                <w:rFonts w:ascii="Arial" w:eastAsia="Times New Roman" w:hAnsi="Arial" w:cs="Arial"/>
                <w:sz w:val="20"/>
                <w:szCs w:val="20"/>
              </w:rPr>
            </w:pPr>
            <w:r w:rsidRPr="001A7494">
              <w:rPr>
                <w:rFonts w:ascii="Arial" w:eastAsia="Times New Roman" w:hAnsi="Arial" w:cs="Arial"/>
                <w:sz w:val="20"/>
                <w:szCs w:val="20"/>
              </w:rPr>
              <w:t>–</w:t>
            </w:r>
          </w:p>
        </w:tc>
        <w:tc>
          <w:tcPr>
            <w:tcW w:w="548" w:type="dxa"/>
          </w:tcPr>
          <w:p w14:paraId="163B75FE" w14:textId="77777777" w:rsidR="00334AA6" w:rsidRPr="001A7494" w:rsidRDefault="00000000" w:rsidP="001652E5">
            <w:pPr>
              <w:spacing w:line="360" w:lineRule="auto"/>
              <w:jc w:val="both"/>
              <w:rPr>
                <w:rFonts w:ascii="Arial" w:eastAsia="Times New Roman" w:hAnsi="Arial" w:cs="Arial"/>
                <w:sz w:val="20"/>
                <w:szCs w:val="20"/>
              </w:rPr>
            </w:pPr>
            <w:r w:rsidRPr="001A7494">
              <w:rPr>
                <w:rFonts w:ascii="Arial" w:eastAsia="Times New Roman" w:hAnsi="Arial" w:cs="Arial"/>
                <w:sz w:val="20"/>
                <w:szCs w:val="20"/>
              </w:rPr>
              <w:t>–</w:t>
            </w:r>
          </w:p>
        </w:tc>
        <w:tc>
          <w:tcPr>
            <w:tcW w:w="548" w:type="dxa"/>
          </w:tcPr>
          <w:p w14:paraId="022A5157" w14:textId="77777777" w:rsidR="00334AA6" w:rsidRPr="001A7494" w:rsidRDefault="00000000" w:rsidP="001652E5">
            <w:pPr>
              <w:spacing w:line="360" w:lineRule="auto"/>
              <w:jc w:val="both"/>
              <w:rPr>
                <w:rFonts w:ascii="Arial" w:eastAsia="Times New Roman" w:hAnsi="Arial" w:cs="Arial"/>
                <w:sz w:val="20"/>
                <w:szCs w:val="20"/>
              </w:rPr>
            </w:pPr>
            <w:r w:rsidRPr="001A7494">
              <w:rPr>
                <w:rFonts w:ascii="Arial" w:eastAsia="Times New Roman" w:hAnsi="Arial" w:cs="Arial"/>
                <w:sz w:val="20"/>
                <w:szCs w:val="20"/>
              </w:rPr>
              <w:t>–</w:t>
            </w:r>
          </w:p>
        </w:tc>
        <w:tc>
          <w:tcPr>
            <w:tcW w:w="548" w:type="dxa"/>
          </w:tcPr>
          <w:p w14:paraId="2C7F35B2" w14:textId="77777777" w:rsidR="00334AA6" w:rsidRPr="001A7494" w:rsidRDefault="00000000" w:rsidP="001652E5">
            <w:pPr>
              <w:spacing w:line="360" w:lineRule="auto"/>
              <w:jc w:val="both"/>
              <w:rPr>
                <w:rFonts w:ascii="Arial" w:eastAsia="Times New Roman" w:hAnsi="Arial" w:cs="Arial"/>
                <w:sz w:val="20"/>
                <w:szCs w:val="20"/>
              </w:rPr>
            </w:pPr>
            <w:r w:rsidRPr="001A7494">
              <w:rPr>
                <w:rFonts w:ascii="Arial" w:eastAsia="Times New Roman" w:hAnsi="Arial" w:cs="Arial"/>
                <w:sz w:val="20"/>
                <w:szCs w:val="20"/>
              </w:rPr>
              <w:t>–</w:t>
            </w:r>
          </w:p>
        </w:tc>
        <w:tc>
          <w:tcPr>
            <w:tcW w:w="608" w:type="dxa"/>
          </w:tcPr>
          <w:p w14:paraId="273BC542" w14:textId="77777777" w:rsidR="00334AA6" w:rsidRPr="001A7494" w:rsidRDefault="00000000" w:rsidP="001652E5">
            <w:pPr>
              <w:spacing w:line="360" w:lineRule="auto"/>
              <w:jc w:val="both"/>
              <w:rPr>
                <w:rFonts w:ascii="Arial" w:eastAsia="Times New Roman" w:hAnsi="Arial" w:cs="Arial"/>
                <w:sz w:val="20"/>
                <w:szCs w:val="20"/>
              </w:rPr>
            </w:pPr>
            <w:r w:rsidRPr="001A7494">
              <w:rPr>
                <w:rFonts w:ascii="Arial" w:eastAsia="Times New Roman" w:hAnsi="Arial" w:cs="Arial"/>
                <w:sz w:val="20"/>
                <w:szCs w:val="20"/>
              </w:rPr>
              <w:t>–</w:t>
            </w:r>
          </w:p>
        </w:tc>
        <w:tc>
          <w:tcPr>
            <w:tcW w:w="578" w:type="dxa"/>
          </w:tcPr>
          <w:p w14:paraId="3B0B4C6B" w14:textId="77777777" w:rsidR="00334AA6" w:rsidRPr="001A7494" w:rsidRDefault="00000000" w:rsidP="001652E5">
            <w:pPr>
              <w:spacing w:line="360" w:lineRule="auto"/>
              <w:jc w:val="both"/>
              <w:rPr>
                <w:rFonts w:ascii="Arial" w:eastAsia="Times New Roman" w:hAnsi="Arial" w:cs="Arial"/>
                <w:sz w:val="20"/>
                <w:szCs w:val="20"/>
              </w:rPr>
            </w:pPr>
            <w:r w:rsidRPr="001A7494">
              <w:rPr>
                <w:rFonts w:ascii="Arial" w:eastAsia="Times New Roman" w:hAnsi="Arial" w:cs="Arial"/>
                <w:sz w:val="20"/>
                <w:szCs w:val="20"/>
              </w:rPr>
              <w:t>–</w:t>
            </w:r>
          </w:p>
        </w:tc>
        <w:tc>
          <w:tcPr>
            <w:tcW w:w="652" w:type="dxa"/>
          </w:tcPr>
          <w:p w14:paraId="3B7F7DBD" w14:textId="77777777" w:rsidR="00334AA6" w:rsidRPr="001A7494" w:rsidRDefault="00000000" w:rsidP="001652E5">
            <w:pPr>
              <w:spacing w:line="360" w:lineRule="auto"/>
              <w:jc w:val="both"/>
              <w:rPr>
                <w:rFonts w:ascii="Arial" w:eastAsia="Times New Roman" w:hAnsi="Arial" w:cs="Arial"/>
                <w:sz w:val="20"/>
                <w:szCs w:val="20"/>
              </w:rPr>
            </w:pPr>
            <w:r w:rsidRPr="001A7494">
              <w:rPr>
                <w:rFonts w:ascii="Arial" w:eastAsia="Times New Roman" w:hAnsi="Arial" w:cs="Arial"/>
                <w:sz w:val="20"/>
                <w:szCs w:val="20"/>
              </w:rPr>
              <w:t>–</w:t>
            </w:r>
          </w:p>
        </w:tc>
        <w:tc>
          <w:tcPr>
            <w:tcW w:w="608" w:type="dxa"/>
          </w:tcPr>
          <w:p w14:paraId="25077F79" w14:textId="77777777" w:rsidR="00334AA6" w:rsidRPr="001A7494" w:rsidRDefault="00000000" w:rsidP="001652E5">
            <w:pPr>
              <w:spacing w:line="360" w:lineRule="auto"/>
              <w:jc w:val="both"/>
              <w:rPr>
                <w:rFonts w:ascii="Arial" w:eastAsia="Times New Roman" w:hAnsi="Arial" w:cs="Arial"/>
                <w:sz w:val="20"/>
                <w:szCs w:val="20"/>
              </w:rPr>
            </w:pPr>
            <w:r w:rsidRPr="001A7494">
              <w:rPr>
                <w:rFonts w:ascii="Arial" w:eastAsia="Times New Roman" w:hAnsi="Arial" w:cs="Arial"/>
                <w:sz w:val="20"/>
                <w:szCs w:val="20"/>
              </w:rPr>
              <w:t>–</w:t>
            </w:r>
          </w:p>
        </w:tc>
        <w:tc>
          <w:tcPr>
            <w:tcW w:w="608" w:type="dxa"/>
          </w:tcPr>
          <w:p w14:paraId="2BB20732" w14:textId="77777777" w:rsidR="00334AA6" w:rsidRPr="001A7494" w:rsidRDefault="00000000" w:rsidP="001652E5">
            <w:pPr>
              <w:spacing w:line="360" w:lineRule="auto"/>
              <w:jc w:val="both"/>
              <w:rPr>
                <w:rFonts w:ascii="Arial" w:eastAsia="Times New Roman" w:hAnsi="Arial" w:cs="Arial"/>
                <w:sz w:val="20"/>
                <w:szCs w:val="20"/>
              </w:rPr>
            </w:pPr>
            <w:r w:rsidRPr="001A7494">
              <w:rPr>
                <w:rFonts w:ascii="Arial" w:eastAsia="Times New Roman" w:hAnsi="Arial" w:cs="Arial"/>
                <w:sz w:val="20"/>
                <w:szCs w:val="20"/>
              </w:rPr>
              <w:t>–</w:t>
            </w:r>
          </w:p>
        </w:tc>
      </w:tr>
      <w:tr w:rsidR="00334AA6" w:rsidRPr="001A7494" w14:paraId="06647C54" w14:textId="77777777" w:rsidTr="004E6F86">
        <w:trPr>
          <w:trHeight w:val="435"/>
        </w:trPr>
        <w:tc>
          <w:tcPr>
            <w:tcW w:w="713" w:type="dxa"/>
          </w:tcPr>
          <w:p w14:paraId="6AFB0B7C" w14:textId="77777777" w:rsidR="00334AA6" w:rsidRPr="001A7494" w:rsidRDefault="00000000" w:rsidP="001652E5">
            <w:pPr>
              <w:spacing w:line="360" w:lineRule="auto"/>
              <w:jc w:val="both"/>
              <w:rPr>
                <w:rFonts w:ascii="Arial" w:eastAsia="Times New Roman" w:hAnsi="Arial" w:cs="Arial"/>
                <w:sz w:val="20"/>
                <w:szCs w:val="20"/>
              </w:rPr>
            </w:pPr>
            <w:r w:rsidRPr="001A7494">
              <w:rPr>
                <w:rFonts w:ascii="Arial" w:eastAsia="Times New Roman" w:hAnsi="Arial" w:cs="Arial"/>
                <w:sz w:val="20"/>
                <w:szCs w:val="20"/>
              </w:rPr>
              <w:t xml:space="preserve"> </w:t>
            </w:r>
          </w:p>
        </w:tc>
        <w:tc>
          <w:tcPr>
            <w:tcW w:w="981" w:type="dxa"/>
          </w:tcPr>
          <w:p w14:paraId="3BF485B7" w14:textId="77777777" w:rsidR="00334AA6" w:rsidRPr="001A7494" w:rsidRDefault="00000000" w:rsidP="001652E5">
            <w:pPr>
              <w:spacing w:line="360" w:lineRule="auto"/>
              <w:jc w:val="both"/>
              <w:rPr>
                <w:rFonts w:ascii="Arial" w:eastAsia="Times New Roman" w:hAnsi="Arial" w:cs="Arial"/>
                <w:sz w:val="20"/>
                <w:szCs w:val="20"/>
              </w:rPr>
            </w:pPr>
            <w:r w:rsidRPr="001A7494">
              <w:rPr>
                <w:rFonts w:ascii="Arial" w:eastAsia="Times New Roman" w:hAnsi="Arial" w:cs="Arial"/>
                <w:sz w:val="20"/>
                <w:szCs w:val="20"/>
              </w:rPr>
              <w:t>EA</w:t>
            </w:r>
          </w:p>
        </w:tc>
        <w:tc>
          <w:tcPr>
            <w:tcW w:w="579" w:type="dxa"/>
          </w:tcPr>
          <w:p w14:paraId="2EBA8616" w14:textId="77777777" w:rsidR="00334AA6" w:rsidRPr="001A7494" w:rsidRDefault="00000000" w:rsidP="001652E5">
            <w:pPr>
              <w:spacing w:line="360" w:lineRule="auto"/>
              <w:jc w:val="both"/>
              <w:rPr>
                <w:rFonts w:ascii="Arial" w:eastAsia="Times New Roman" w:hAnsi="Arial" w:cs="Arial"/>
                <w:sz w:val="20"/>
                <w:szCs w:val="20"/>
              </w:rPr>
            </w:pPr>
            <w:r w:rsidRPr="001A7494">
              <w:rPr>
                <w:rFonts w:ascii="Arial" w:eastAsia="Times New Roman" w:hAnsi="Arial" w:cs="Arial"/>
                <w:sz w:val="20"/>
                <w:szCs w:val="20"/>
              </w:rPr>
              <w:t>–</w:t>
            </w:r>
          </w:p>
        </w:tc>
        <w:tc>
          <w:tcPr>
            <w:tcW w:w="594" w:type="dxa"/>
          </w:tcPr>
          <w:p w14:paraId="44B6D435" w14:textId="1668B55C" w:rsidR="00334AA6" w:rsidRPr="001A7494" w:rsidRDefault="00765C7C" w:rsidP="001652E5">
            <w:pPr>
              <w:spacing w:line="360" w:lineRule="auto"/>
              <w:jc w:val="both"/>
              <w:rPr>
                <w:rFonts w:ascii="Arial" w:eastAsia="Times New Roman" w:hAnsi="Arial" w:cs="Arial"/>
                <w:sz w:val="20"/>
                <w:szCs w:val="20"/>
              </w:rPr>
            </w:pPr>
            <w:r w:rsidRPr="001A7494">
              <w:rPr>
                <w:rFonts w:ascii="Arial" w:eastAsia="Times New Roman" w:hAnsi="Arial" w:cs="Arial"/>
                <w:sz w:val="20"/>
                <w:szCs w:val="20"/>
              </w:rPr>
              <w:t>–</w:t>
            </w:r>
          </w:p>
        </w:tc>
        <w:tc>
          <w:tcPr>
            <w:tcW w:w="563" w:type="dxa"/>
          </w:tcPr>
          <w:p w14:paraId="34F7C368" w14:textId="23EBF216" w:rsidR="00334AA6" w:rsidRPr="001A7494" w:rsidRDefault="00000000" w:rsidP="001652E5">
            <w:pPr>
              <w:spacing w:line="360" w:lineRule="auto"/>
              <w:jc w:val="both"/>
              <w:rPr>
                <w:rFonts w:ascii="Arial" w:eastAsia="Times New Roman" w:hAnsi="Arial" w:cs="Arial"/>
                <w:sz w:val="20"/>
                <w:szCs w:val="20"/>
              </w:rPr>
            </w:pPr>
            <w:r w:rsidRPr="001A7494">
              <w:rPr>
                <w:rFonts w:ascii="Arial" w:eastAsia="Times New Roman" w:hAnsi="Arial" w:cs="Arial"/>
                <w:sz w:val="20"/>
                <w:szCs w:val="20"/>
              </w:rPr>
              <w:t>+</w:t>
            </w:r>
          </w:p>
        </w:tc>
        <w:tc>
          <w:tcPr>
            <w:tcW w:w="623" w:type="dxa"/>
          </w:tcPr>
          <w:p w14:paraId="20103191" w14:textId="187D2A96" w:rsidR="00334AA6" w:rsidRPr="001A7494" w:rsidRDefault="00E74EE1" w:rsidP="001652E5">
            <w:pPr>
              <w:spacing w:line="360" w:lineRule="auto"/>
              <w:jc w:val="both"/>
              <w:rPr>
                <w:rFonts w:ascii="Arial" w:eastAsia="Times New Roman" w:hAnsi="Arial" w:cs="Arial"/>
                <w:sz w:val="20"/>
                <w:szCs w:val="20"/>
              </w:rPr>
            </w:pPr>
            <w:r w:rsidRPr="001A7494">
              <w:rPr>
                <w:rFonts w:ascii="Arial" w:eastAsia="Times New Roman" w:hAnsi="Arial" w:cs="Arial"/>
                <w:sz w:val="20"/>
                <w:szCs w:val="20"/>
              </w:rPr>
              <w:t>+</w:t>
            </w:r>
          </w:p>
        </w:tc>
        <w:tc>
          <w:tcPr>
            <w:tcW w:w="608" w:type="dxa"/>
          </w:tcPr>
          <w:p w14:paraId="284A57C7" w14:textId="02EADA6C" w:rsidR="00334AA6" w:rsidRPr="001A7494" w:rsidRDefault="00000000" w:rsidP="001652E5">
            <w:pPr>
              <w:spacing w:line="360" w:lineRule="auto"/>
              <w:jc w:val="both"/>
              <w:rPr>
                <w:rFonts w:ascii="Arial" w:eastAsia="Times New Roman" w:hAnsi="Arial" w:cs="Arial"/>
                <w:sz w:val="20"/>
                <w:szCs w:val="20"/>
              </w:rPr>
            </w:pPr>
            <w:r w:rsidRPr="001A7494">
              <w:rPr>
                <w:rFonts w:ascii="Arial" w:eastAsia="Times New Roman" w:hAnsi="Arial" w:cs="Arial"/>
                <w:sz w:val="20"/>
                <w:szCs w:val="20"/>
              </w:rPr>
              <w:t>+</w:t>
            </w:r>
          </w:p>
        </w:tc>
        <w:tc>
          <w:tcPr>
            <w:tcW w:w="548" w:type="dxa"/>
          </w:tcPr>
          <w:p w14:paraId="47162770" w14:textId="77777777" w:rsidR="00334AA6" w:rsidRPr="001A7494" w:rsidRDefault="00000000" w:rsidP="001652E5">
            <w:pPr>
              <w:spacing w:line="360" w:lineRule="auto"/>
              <w:jc w:val="both"/>
              <w:rPr>
                <w:rFonts w:ascii="Arial" w:eastAsia="Times New Roman" w:hAnsi="Arial" w:cs="Arial"/>
                <w:sz w:val="20"/>
                <w:szCs w:val="20"/>
              </w:rPr>
            </w:pPr>
            <w:r w:rsidRPr="001A7494">
              <w:rPr>
                <w:rFonts w:ascii="Arial" w:eastAsia="Times New Roman" w:hAnsi="Arial" w:cs="Arial"/>
                <w:sz w:val="20"/>
                <w:szCs w:val="20"/>
              </w:rPr>
              <w:t>–</w:t>
            </w:r>
          </w:p>
        </w:tc>
        <w:tc>
          <w:tcPr>
            <w:tcW w:w="548" w:type="dxa"/>
          </w:tcPr>
          <w:p w14:paraId="37F3CBBB" w14:textId="77777777" w:rsidR="00334AA6" w:rsidRPr="001A7494" w:rsidRDefault="00000000" w:rsidP="001652E5">
            <w:pPr>
              <w:spacing w:line="360" w:lineRule="auto"/>
              <w:jc w:val="both"/>
              <w:rPr>
                <w:rFonts w:ascii="Arial" w:eastAsia="Times New Roman" w:hAnsi="Arial" w:cs="Arial"/>
                <w:sz w:val="20"/>
                <w:szCs w:val="20"/>
              </w:rPr>
            </w:pPr>
            <w:r w:rsidRPr="001A7494">
              <w:rPr>
                <w:rFonts w:ascii="Arial" w:eastAsia="Times New Roman" w:hAnsi="Arial" w:cs="Arial"/>
                <w:sz w:val="20"/>
                <w:szCs w:val="20"/>
              </w:rPr>
              <w:t>–</w:t>
            </w:r>
          </w:p>
        </w:tc>
        <w:tc>
          <w:tcPr>
            <w:tcW w:w="548" w:type="dxa"/>
          </w:tcPr>
          <w:p w14:paraId="1EDB88D2" w14:textId="77777777" w:rsidR="00334AA6" w:rsidRPr="001A7494" w:rsidRDefault="00000000" w:rsidP="001652E5">
            <w:pPr>
              <w:spacing w:line="360" w:lineRule="auto"/>
              <w:jc w:val="both"/>
              <w:rPr>
                <w:rFonts w:ascii="Arial" w:eastAsia="Times New Roman" w:hAnsi="Arial" w:cs="Arial"/>
                <w:sz w:val="20"/>
                <w:szCs w:val="20"/>
              </w:rPr>
            </w:pPr>
            <w:r w:rsidRPr="001A7494">
              <w:rPr>
                <w:rFonts w:ascii="Arial" w:eastAsia="Times New Roman" w:hAnsi="Arial" w:cs="Arial"/>
                <w:sz w:val="20"/>
                <w:szCs w:val="20"/>
              </w:rPr>
              <w:t>++</w:t>
            </w:r>
          </w:p>
        </w:tc>
        <w:tc>
          <w:tcPr>
            <w:tcW w:w="608" w:type="dxa"/>
          </w:tcPr>
          <w:p w14:paraId="671CA97E" w14:textId="5EF96CBF" w:rsidR="00334AA6" w:rsidRPr="001A7494" w:rsidRDefault="00E74EE1" w:rsidP="001652E5">
            <w:pPr>
              <w:spacing w:line="360" w:lineRule="auto"/>
              <w:jc w:val="both"/>
              <w:rPr>
                <w:rFonts w:ascii="Arial" w:eastAsia="Times New Roman" w:hAnsi="Arial" w:cs="Arial"/>
                <w:sz w:val="20"/>
                <w:szCs w:val="20"/>
              </w:rPr>
            </w:pPr>
            <w:r w:rsidRPr="001A7494">
              <w:rPr>
                <w:rFonts w:ascii="Arial" w:eastAsia="Times New Roman" w:hAnsi="Arial" w:cs="Arial"/>
                <w:sz w:val="20"/>
                <w:szCs w:val="20"/>
              </w:rPr>
              <w:t>++</w:t>
            </w:r>
          </w:p>
        </w:tc>
        <w:tc>
          <w:tcPr>
            <w:tcW w:w="578" w:type="dxa"/>
          </w:tcPr>
          <w:p w14:paraId="519F325F" w14:textId="6F34DB22" w:rsidR="00334AA6" w:rsidRPr="001A7494" w:rsidRDefault="00E74EE1" w:rsidP="001652E5">
            <w:pPr>
              <w:spacing w:line="360" w:lineRule="auto"/>
              <w:jc w:val="both"/>
              <w:rPr>
                <w:rFonts w:ascii="Arial" w:eastAsia="Times New Roman" w:hAnsi="Arial" w:cs="Arial"/>
                <w:sz w:val="20"/>
                <w:szCs w:val="20"/>
              </w:rPr>
            </w:pPr>
            <w:r w:rsidRPr="001A7494">
              <w:rPr>
                <w:rFonts w:ascii="Arial" w:eastAsia="Times New Roman" w:hAnsi="Arial" w:cs="Arial"/>
                <w:sz w:val="20"/>
                <w:szCs w:val="20"/>
              </w:rPr>
              <w:t>+</w:t>
            </w:r>
          </w:p>
        </w:tc>
        <w:tc>
          <w:tcPr>
            <w:tcW w:w="652" w:type="dxa"/>
          </w:tcPr>
          <w:p w14:paraId="635C3A0E" w14:textId="572F757A" w:rsidR="00334AA6" w:rsidRPr="001A7494" w:rsidRDefault="00E74EE1" w:rsidP="001652E5">
            <w:pPr>
              <w:spacing w:line="360" w:lineRule="auto"/>
              <w:jc w:val="both"/>
              <w:rPr>
                <w:rFonts w:ascii="Arial" w:eastAsia="Times New Roman" w:hAnsi="Arial" w:cs="Arial"/>
                <w:sz w:val="20"/>
                <w:szCs w:val="20"/>
              </w:rPr>
            </w:pPr>
            <w:r w:rsidRPr="001A7494">
              <w:rPr>
                <w:rFonts w:ascii="Arial" w:eastAsia="Times New Roman" w:hAnsi="Arial" w:cs="Arial"/>
                <w:sz w:val="20"/>
                <w:szCs w:val="20"/>
              </w:rPr>
              <w:t>+</w:t>
            </w:r>
          </w:p>
        </w:tc>
        <w:tc>
          <w:tcPr>
            <w:tcW w:w="608" w:type="dxa"/>
          </w:tcPr>
          <w:p w14:paraId="642C193B" w14:textId="3C2AEC32" w:rsidR="00334AA6" w:rsidRPr="001A7494" w:rsidRDefault="00765C7C" w:rsidP="001652E5">
            <w:pPr>
              <w:spacing w:line="360" w:lineRule="auto"/>
              <w:jc w:val="both"/>
              <w:rPr>
                <w:rFonts w:ascii="Arial" w:eastAsia="Times New Roman" w:hAnsi="Arial" w:cs="Arial"/>
                <w:sz w:val="20"/>
                <w:szCs w:val="20"/>
              </w:rPr>
            </w:pPr>
            <w:r w:rsidRPr="001A7494">
              <w:rPr>
                <w:rFonts w:ascii="Arial" w:eastAsia="Times New Roman" w:hAnsi="Arial" w:cs="Arial"/>
                <w:sz w:val="20"/>
                <w:szCs w:val="20"/>
              </w:rPr>
              <w:t>–</w:t>
            </w:r>
          </w:p>
        </w:tc>
        <w:tc>
          <w:tcPr>
            <w:tcW w:w="608" w:type="dxa"/>
          </w:tcPr>
          <w:p w14:paraId="0AD0C6BA" w14:textId="77777777" w:rsidR="00334AA6" w:rsidRPr="001A7494" w:rsidRDefault="00000000" w:rsidP="001652E5">
            <w:pPr>
              <w:spacing w:line="360" w:lineRule="auto"/>
              <w:jc w:val="both"/>
              <w:rPr>
                <w:rFonts w:ascii="Arial" w:eastAsia="Times New Roman" w:hAnsi="Arial" w:cs="Arial"/>
                <w:sz w:val="20"/>
                <w:szCs w:val="20"/>
              </w:rPr>
            </w:pPr>
            <w:r w:rsidRPr="001A7494">
              <w:rPr>
                <w:rFonts w:ascii="Arial" w:eastAsia="Times New Roman" w:hAnsi="Arial" w:cs="Arial"/>
                <w:sz w:val="20"/>
                <w:szCs w:val="20"/>
              </w:rPr>
              <w:t>–</w:t>
            </w:r>
          </w:p>
        </w:tc>
      </w:tr>
      <w:tr w:rsidR="00334AA6" w:rsidRPr="001A7494" w14:paraId="30366FD1" w14:textId="77777777" w:rsidTr="004E6F86">
        <w:trPr>
          <w:trHeight w:val="435"/>
        </w:trPr>
        <w:tc>
          <w:tcPr>
            <w:tcW w:w="713" w:type="dxa"/>
          </w:tcPr>
          <w:p w14:paraId="5802632D" w14:textId="77777777" w:rsidR="00334AA6" w:rsidRPr="001A7494" w:rsidRDefault="00000000" w:rsidP="001652E5">
            <w:pPr>
              <w:spacing w:line="360" w:lineRule="auto"/>
              <w:jc w:val="both"/>
              <w:rPr>
                <w:rFonts w:ascii="Arial" w:eastAsia="Times New Roman" w:hAnsi="Arial" w:cs="Arial"/>
                <w:sz w:val="20"/>
                <w:szCs w:val="20"/>
              </w:rPr>
            </w:pPr>
            <w:r w:rsidRPr="001A7494">
              <w:rPr>
                <w:rFonts w:ascii="Arial" w:eastAsia="Times New Roman" w:hAnsi="Arial" w:cs="Arial"/>
                <w:sz w:val="20"/>
                <w:szCs w:val="20"/>
              </w:rPr>
              <w:t xml:space="preserve"> </w:t>
            </w:r>
          </w:p>
        </w:tc>
        <w:tc>
          <w:tcPr>
            <w:tcW w:w="981" w:type="dxa"/>
          </w:tcPr>
          <w:p w14:paraId="6EA3AC2E" w14:textId="77777777" w:rsidR="00334AA6" w:rsidRPr="001A7494" w:rsidRDefault="00000000" w:rsidP="001652E5">
            <w:pPr>
              <w:spacing w:line="360" w:lineRule="auto"/>
              <w:jc w:val="both"/>
              <w:rPr>
                <w:rFonts w:ascii="Arial" w:eastAsia="Times New Roman" w:hAnsi="Arial" w:cs="Arial"/>
                <w:sz w:val="20"/>
                <w:szCs w:val="20"/>
              </w:rPr>
            </w:pPr>
            <w:r w:rsidRPr="001A7494">
              <w:rPr>
                <w:rFonts w:ascii="Arial" w:eastAsia="Times New Roman" w:hAnsi="Arial" w:cs="Arial"/>
                <w:sz w:val="20"/>
                <w:szCs w:val="20"/>
              </w:rPr>
              <w:t>MeOH</w:t>
            </w:r>
          </w:p>
        </w:tc>
        <w:tc>
          <w:tcPr>
            <w:tcW w:w="579" w:type="dxa"/>
          </w:tcPr>
          <w:p w14:paraId="18116410" w14:textId="77777777" w:rsidR="00334AA6" w:rsidRPr="001A7494" w:rsidRDefault="00000000" w:rsidP="001652E5">
            <w:pPr>
              <w:spacing w:line="360" w:lineRule="auto"/>
              <w:jc w:val="both"/>
              <w:rPr>
                <w:rFonts w:ascii="Arial" w:eastAsia="Times New Roman" w:hAnsi="Arial" w:cs="Arial"/>
                <w:sz w:val="20"/>
                <w:szCs w:val="20"/>
              </w:rPr>
            </w:pPr>
            <w:r w:rsidRPr="001A7494">
              <w:rPr>
                <w:rFonts w:ascii="Arial" w:eastAsia="Times New Roman" w:hAnsi="Arial" w:cs="Arial"/>
                <w:sz w:val="20"/>
                <w:szCs w:val="20"/>
              </w:rPr>
              <w:t>–</w:t>
            </w:r>
          </w:p>
        </w:tc>
        <w:tc>
          <w:tcPr>
            <w:tcW w:w="594" w:type="dxa"/>
          </w:tcPr>
          <w:p w14:paraId="6E387D52" w14:textId="27F875ED" w:rsidR="00334AA6" w:rsidRPr="001A7494" w:rsidRDefault="00000000" w:rsidP="001652E5">
            <w:pPr>
              <w:spacing w:line="360" w:lineRule="auto"/>
              <w:jc w:val="both"/>
              <w:rPr>
                <w:rFonts w:ascii="Arial" w:eastAsia="Times New Roman" w:hAnsi="Arial" w:cs="Arial"/>
                <w:sz w:val="20"/>
                <w:szCs w:val="20"/>
              </w:rPr>
            </w:pPr>
            <w:r w:rsidRPr="001A7494">
              <w:rPr>
                <w:rFonts w:ascii="Arial" w:eastAsia="Times New Roman" w:hAnsi="Arial" w:cs="Arial"/>
                <w:sz w:val="20"/>
                <w:szCs w:val="20"/>
              </w:rPr>
              <w:t>+</w:t>
            </w:r>
          </w:p>
        </w:tc>
        <w:tc>
          <w:tcPr>
            <w:tcW w:w="563" w:type="dxa"/>
          </w:tcPr>
          <w:p w14:paraId="082CA5E2" w14:textId="01D0BF65" w:rsidR="00334AA6" w:rsidRPr="001A7494" w:rsidRDefault="00000000" w:rsidP="001652E5">
            <w:pPr>
              <w:spacing w:line="360" w:lineRule="auto"/>
              <w:jc w:val="both"/>
              <w:rPr>
                <w:rFonts w:ascii="Arial" w:eastAsia="Times New Roman" w:hAnsi="Arial" w:cs="Arial"/>
                <w:sz w:val="20"/>
                <w:szCs w:val="20"/>
              </w:rPr>
            </w:pPr>
            <w:r w:rsidRPr="001A7494">
              <w:rPr>
                <w:rFonts w:ascii="Arial" w:eastAsia="Times New Roman" w:hAnsi="Arial" w:cs="Arial"/>
                <w:sz w:val="20"/>
                <w:szCs w:val="20"/>
              </w:rPr>
              <w:t>+</w:t>
            </w:r>
          </w:p>
        </w:tc>
        <w:tc>
          <w:tcPr>
            <w:tcW w:w="623" w:type="dxa"/>
          </w:tcPr>
          <w:p w14:paraId="33E48294" w14:textId="77777777" w:rsidR="00334AA6" w:rsidRPr="001A7494" w:rsidRDefault="00000000" w:rsidP="001652E5">
            <w:pPr>
              <w:spacing w:line="360" w:lineRule="auto"/>
              <w:jc w:val="both"/>
              <w:rPr>
                <w:rFonts w:ascii="Arial" w:eastAsia="Times New Roman" w:hAnsi="Arial" w:cs="Arial"/>
                <w:sz w:val="20"/>
                <w:szCs w:val="20"/>
              </w:rPr>
            </w:pPr>
            <w:r w:rsidRPr="001A7494">
              <w:rPr>
                <w:rFonts w:ascii="Arial" w:eastAsia="Times New Roman" w:hAnsi="Arial" w:cs="Arial"/>
                <w:sz w:val="20"/>
                <w:szCs w:val="20"/>
              </w:rPr>
              <w:t>++</w:t>
            </w:r>
          </w:p>
        </w:tc>
        <w:tc>
          <w:tcPr>
            <w:tcW w:w="608" w:type="dxa"/>
          </w:tcPr>
          <w:p w14:paraId="60723970" w14:textId="77777777" w:rsidR="00334AA6" w:rsidRPr="001A7494" w:rsidRDefault="00000000" w:rsidP="001652E5">
            <w:pPr>
              <w:spacing w:line="360" w:lineRule="auto"/>
              <w:jc w:val="both"/>
              <w:rPr>
                <w:rFonts w:ascii="Arial" w:eastAsia="Times New Roman" w:hAnsi="Arial" w:cs="Arial"/>
                <w:sz w:val="20"/>
                <w:szCs w:val="20"/>
              </w:rPr>
            </w:pPr>
            <w:r w:rsidRPr="001A7494">
              <w:rPr>
                <w:rFonts w:ascii="Arial" w:eastAsia="Times New Roman" w:hAnsi="Arial" w:cs="Arial"/>
                <w:sz w:val="20"/>
                <w:szCs w:val="20"/>
              </w:rPr>
              <w:t>++</w:t>
            </w:r>
          </w:p>
        </w:tc>
        <w:tc>
          <w:tcPr>
            <w:tcW w:w="548" w:type="dxa"/>
          </w:tcPr>
          <w:p w14:paraId="19125714" w14:textId="77777777" w:rsidR="00334AA6" w:rsidRPr="001A7494" w:rsidRDefault="00000000" w:rsidP="001652E5">
            <w:pPr>
              <w:spacing w:line="360" w:lineRule="auto"/>
              <w:jc w:val="both"/>
              <w:rPr>
                <w:rFonts w:ascii="Arial" w:eastAsia="Times New Roman" w:hAnsi="Arial" w:cs="Arial"/>
                <w:sz w:val="20"/>
                <w:szCs w:val="20"/>
              </w:rPr>
            </w:pPr>
            <w:r w:rsidRPr="001A7494">
              <w:rPr>
                <w:rFonts w:ascii="Arial" w:eastAsia="Times New Roman" w:hAnsi="Arial" w:cs="Arial"/>
                <w:sz w:val="20"/>
                <w:szCs w:val="20"/>
              </w:rPr>
              <w:t>+</w:t>
            </w:r>
          </w:p>
        </w:tc>
        <w:tc>
          <w:tcPr>
            <w:tcW w:w="548" w:type="dxa"/>
          </w:tcPr>
          <w:p w14:paraId="6FA3687D" w14:textId="77777777" w:rsidR="00334AA6" w:rsidRPr="001A7494" w:rsidRDefault="00000000" w:rsidP="001652E5">
            <w:pPr>
              <w:spacing w:line="360" w:lineRule="auto"/>
              <w:jc w:val="both"/>
              <w:rPr>
                <w:rFonts w:ascii="Arial" w:eastAsia="Times New Roman" w:hAnsi="Arial" w:cs="Arial"/>
                <w:sz w:val="20"/>
                <w:szCs w:val="20"/>
              </w:rPr>
            </w:pPr>
            <w:r w:rsidRPr="001A7494">
              <w:rPr>
                <w:rFonts w:ascii="Arial" w:eastAsia="Times New Roman" w:hAnsi="Arial" w:cs="Arial"/>
                <w:sz w:val="20"/>
                <w:szCs w:val="20"/>
              </w:rPr>
              <w:t>–</w:t>
            </w:r>
          </w:p>
        </w:tc>
        <w:tc>
          <w:tcPr>
            <w:tcW w:w="548" w:type="dxa"/>
          </w:tcPr>
          <w:p w14:paraId="6AEC7586" w14:textId="77777777" w:rsidR="00334AA6" w:rsidRPr="001A7494" w:rsidRDefault="00000000" w:rsidP="001652E5">
            <w:pPr>
              <w:spacing w:line="360" w:lineRule="auto"/>
              <w:jc w:val="both"/>
              <w:rPr>
                <w:rFonts w:ascii="Arial" w:eastAsia="Times New Roman" w:hAnsi="Arial" w:cs="Arial"/>
                <w:sz w:val="20"/>
                <w:szCs w:val="20"/>
              </w:rPr>
            </w:pPr>
            <w:r w:rsidRPr="001A7494">
              <w:rPr>
                <w:rFonts w:ascii="Arial" w:eastAsia="Times New Roman" w:hAnsi="Arial" w:cs="Arial"/>
                <w:sz w:val="20"/>
                <w:szCs w:val="20"/>
              </w:rPr>
              <w:t>++</w:t>
            </w:r>
          </w:p>
        </w:tc>
        <w:tc>
          <w:tcPr>
            <w:tcW w:w="608" w:type="dxa"/>
          </w:tcPr>
          <w:p w14:paraId="0C658819" w14:textId="77777777" w:rsidR="00334AA6" w:rsidRPr="001A7494" w:rsidRDefault="00000000" w:rsidP="001652E5">
            <w:pPr>
              <w:spacing w:line="360" w:lineRule="auto"/>
              <w:jc w:val="both"/>
              <w:rPr>
                <w:rFonts w:ascii="Arial" w:eastAsia="Times New Roman" w:hAnsi="Arial" w:cs="Arial"/>
                <w:sz w:val="20"/>
                <w:szCs w:val="20"/>
              </w:rPr>
            </w:pPr>
            <w:r w:rsidRPr="001A7494">
              <w:rPr>
                <w:rFonts w:ascii="Arial" w:eastAsia="Times New Roman" w:hAnsi="Arial" w:cs="Arial"/>
                <w:sz w:val="20"/>
                <w:szCs w:val="20"/>
              </w:rPr>
              <w:t>+</w:t>
            </w:r>
          </w:p>
        </w:tc>
        <w:tc>
          <w:tcPr>
            <w:tcW w:w="578" w:type="dxa"/>
          </w:tcPr>
          <w:p w14:paraId="2E22E8A5" w14:textId="404B454E" w:rsidR="00334AA6" w:rsidRPr="001A7494" w:rsidRDefault="00000000" w:rsidP="001652E5">
            <w:pPr>
              <w:spacing w:line="360" w:lineRule="auto"/>
              <w:jc w:val="both"/>
              <w:rPr>
                <w:rFonts w:ascii="Arial" w:eastAsia="Times New Roman" w:hAnsi="Arial" w:cs="Arial"/>
                <w:sz w:val="20"/>
                <w:szCs w:val="20"/>
              </w:rPr>
            </w:pPr>
            <w:r w:rsidRPr="001A7494">
              <w:rPr>
                <w:rFonts w:ascii="Arial" w:eastAsia="Times New Roman" w:hAnsi="Arial" w:cs="Arial"/>
                <w:sz w:val="20"/>
                <w:szCs w:val="20"/>
              </w:rPr>
              <w:t>+</w:t>
            </w:r>
          </w:p>
        </w:tc>
        <w:tc>
          <w:tcPr>
            <w:tcW w:w="652" w:type="dxa"/>
          </w:tcPr>
          <w:p w14:paraId="0C43D950" w14:textId="22AEA359" w:rsidR="00334AA6" w:rsidRPr="001A7494" w:rsidRDefault="00000000" w:rsidP="001652E5">
            <w:pPr>
              <w:spacing w:line="360" w:lineRule="auto"/>
              <w:jc w:val="both"/>
              <w:rPr>
                <w:rFonts w:ascii="Arial" w:eastAsia="Times New Roman" w:hAnsi="Arial" w:cs="Arial"/>
                <w:sz w:val="20"/>
                <w:szCs w:val="20"/>
              </w:rPr>
            </w:pPr>
            <w:r w:rsidRPr="001A7494">
              <w:rPr>
                <w:rFonts w:ascii="Arial" w:eastAsia="Times New Roman" w:hAnsi="Arial" w:cs="Arial"/>
                <w:sz w:val="20"/>
                <w:szCs w:val="20"/>
              </w:rPr>
              <w:t>+</w:t>
            </w:r>
          </w:p>
        </w:tc>
        <w:tc>
          <w:tcPr>
            <w:tcW w:w="608" w:type="dxa"/>
          </w:tcPr>
          <w:p w14:paraId="21F47D99" w14:textId="77777777" w:rsidR="00334AA6" w:rsidRPr="001A7494" w:rsidRDefault="00000000" w:rsidP="001652E5">
            <w:pPr>
              <w:spacing w:line="360" w:lineRule="auto"/>
              <w:jc w:val="both"/>
              <w:rPr>
                <w:rFonts w:ascii="Arial" w:eastAsia="Times New Roman" w:hAnsi="Arial" w:cs="Arial"/>
                <w:sz w:val="20"/>
                <w:szCs w:val="20"/>
              </w:rPr>
            </w:pPr>
            <w:r w:rsidRPr="001A7494">
              <w:rPr>
                <w:rFonts w:ascii="Arial" w:eastAsia="Times New Roman" w:hAnsi="Arial" w:cs="Arial"/>
                <w:sz w:val="20"/>
                <w:szCs w:val="20"/>
              </w:rPr>
              <w:t>–</w:t>
            </w:r>
          </w:p>
        </w:tc>
        <w:tc>
          <w:tcPr>
            <w:tcW w:w="608" w:type="dxa"/>
          </w:tcPr>
          <w:p w14:paraId="3B831E84" w14:textId="77777777" w:rsidR="00334AA6" w:rsidRPr="001A7494" w:rsidRDefault="00000000" w:rsidP="001652E5">
            <w:pPr>
              <w:spacing w:line="360" w:lineRule="auto"/>
              <w:jc w:val="both"/>
              <w:rPr>
                <w:rFonts w:ascii="Arial" w:eastAsia="Times New Roman" w:hAnsi="Arial" w:cs="Arial"/>
                <w:sz w:val="20"/>
                <w:szCs w:val="20"/>
              </w:rPr>
            </w:pPr>
            <w:r w:rsidRPr="001A7494">
              <w:rPr>
                <w:rFonts w:ascii="Arial" w:eastAsia="Times New Roman" w:hAnsi="Arial" w:cs="Arial"/>
                <w:sz w:val="20"/>
                <w:szCs w:val="20"/>
              </w:rPr>
              <w:t>–</w:t>
            </w:r>
          </w:p>
        </w:tc>
      </w:tr>
      <w:tr w:rsidR="00334AA6" w:rsidRPr="001A7494" w14:paraId="6B461A26" w14:textId="77777777" w:rsidTr="004E6F86">
        <w:trPr>
          <w:trHeight w:val="435"/>
        </w:trPr>
        <w:tc>
          <w:tcPr>
            <w:tcW w:w="713" w:type="dxa"/>
          </w:tcPr>
          <w:p w14:paraId="336C71CE" w14:textId="77777777" w:rsidR="00334AA6" w:rsidRPr="001A7494" w:rsidRDefault="00000000" w:rsidP="001652E5">
            <w:pPr>
              <w:spacing w:line="360" w:lineRule="auto"/>
              <w:jc w:val="both"/>
              <w:rPr>
                <w:rFonts w:ascii="Arial" w:eastAsia="Times New Roman" w:hAnsi="Arial" w:cs="Arial"/>
                <w:sz w:val="20"/>
                <w:szCs w:val="20"/>
              </w:rPr>
            </w:pPr>
            <w:r w:rsidRPr="001A7494">
              <w:rPr>
                <w:rFonts w:ascii="Arial" w:eastAsia="Times New Roman" w:hAnsi="Arial" w:cs="Arial"/>
                <w:sz w:val="20"/>
                <w:szCs w:val="20"/>
              </w:rPr>
              <w:t xml:space="preserve"> </w:t>
            </w:r>
          </w:p>
        </w:tc>
        <w:tc>
          <w:tcPr>
            <w:tcW w:w="981" w:type="dxa"/>
          </w:tcPr>
          <w:p w14:paraId="6256AD3F" w14:textId="77777777" w:rsidR="00334AA6" w:rsidRPr="001A7494" w:rsidRDefault="00000000" w:rsidP="001652E5">
            <w:pPr>
              <w:spacing w:line="360" w:lineRule="auto"/>
              <w:jc w:val="both"/>
              <w:rPr>
                <w:rFonts w:ascii="Arial" w:eastAsia="Times New Roman" w:hAnsi="Arial" w:cs="Arial"/>
                <w:sz w:val="20"/>
                <w:szCs w:val="20"/>
              </w:rPr>
            </w:pPr>
            <w:r w:rsidRPr="001A7494">
              <w:rPr>
                <w:rFonts w:ascii="Arial" w:eastAsia="Times New Roman" w:hAnsi="Arial" w:cs="Arial"/>
                <w:sz w:val="20"/>
                <w:szCs w:val="20"/>
              </w:rPr>
              <w:t>EtOH</w:t>
            </w:r>
          </w:p>
        </w:tc>
        <w:tc>
          <w:tcPr>
            <w:tcW w:w="579" w:type="dxa"/>
          </w:tcPr>
          <w:p w14:paraId="324139AE" w14:textId="77777777" w:rsidR="00334AA6" w:rsidRPr="001A7494" w:rsidRDefault="00000000" w:rsidP="001652E5">
            <w:pPr>
              <w:spacing w:line="360" w:lineRule="auto"/>
              <w:jc w:val="both"/>
              <w:rPr>
                <w:rFonts w:ascii="Arial" w:eastAsia="Times New Roman" w:hAnsi="Arial" w:cs="Arial"/>
                <w:sz w:val="20"/>
                <w:szCs w:val="20"/>
              </w:rPr>
            </w:pPr>
            <w:r w:rsidRPr="001A7494">
              <w:rPr>
                <w:rFonts w:ascii="Arial" w:eastAsia="Times New Roman" w:hAnsi="Arial" w:cs="Arial"/>
                <w:sz w:val="20"/>
                <w:szCs w:val="20"/>
              </w:rPr>
              <w:t>–</w:t>
            </w:r>
          </w:p>
        </w:tc>
        <w:tc>
          <w:tcPr>
            <w:tcW w:w="594" w:type="dxa"/>
          </w:tcPr>
          <w:p w14:paraId="0B4EA25A" w14:textId="760ADB9C" w:rsidR="00334AA6" w:rsidRPr="001A7494" w:rsidRDefault="00000000" w:rsidP="001652E5">
            <w:pPr>
              <w:spacing w:line="360" w:lineRule="auto"/>
              <w:jc w:val="both"/>
              <w:rPr>
                <w:rFonts w:ascii="Arial" w:eastAsia="Times New Roman" w:hAnsi="Arial" w:cs="Arial"/>
                <w:sz w:val="20"/>
                <w:szCs w:val="20"/>
              </w:rPr>
            </w:pPr>
            <w:r w:rsidRPr="001A7494">
              <w:rPr>
                <w:rFonts w:ascii="Arial" w:eastAsia="Times New Roman" w:hAnsi="Arial" w:cs="Arial"/>
                <w:sz w:val="20"/>
                <w:szCs w:val="20"/>
              </w:rPr>
              <w:t>+</w:t>
            </w:r>
          </w:p>
        </w:tc>
        <w:tc>
          <w:tcPr>
            <w:tcW w:w="563" w:type="dxa"/>
          </w:tcPr>
          <w:p w14:paraId="62B71DE0" w14:textId="3D474BB1" w:rsidR="00334AA6" w:rsidRPr="001A7494" w:rsidRDefault="00000000" w:rsidP="001652E5">
            <w:pPr>
              <w:spacing w:line="360" w:lineRule="auto"/>
              <w:jc w:val="both"/>
              <w:rPr>
                <w:rFonts w:ascii="Arial" w:eastAsia="Times New Roman" w:hAnsi="Arial" w:cs="Arial"/>
                <w:sz w:val="20"/>
                <w:szCs w:val="20"/>
              </w:rPr>
            </w:pPr>
            <w:r w:rsidRPr="001A7494">
              <w:rPr>
                <w:rFonts w:ascii="Arial" w:eastAsia="Times New Roman" w:hAnsi="Arial" w:cs="Arial"/>
                <w:sz w:val="20"/>
                <w:szCs w:val="20"/>
              </w:rPr>
              <w:t>+</w:t>
            </w:r>
          </w:p>
        </w:tc>
        <w:tc>
          <w:tcPr>
            <w:tcW w:w="623" w:type="dxa"/>
          </w:tcPr>
          <w:p w14:paraId="260209A5" w14:textId="77777777" w:rsidR="00334AA6" w:rsidRPr="001A7494" w:rsidRDefault="00000000" w:rsidP="001652E5">
            <w:pPr>
              <w:spacing w:line="360" w:lineRule="auto"/>
              <w:jc w:val="both"/>
              <w:rPr>
                <w:rFonts w:ascii="Arial" w:eastAsia="Times New Roman" w:hAnsi="Arial" w:cs="Arial"/>
                <w:sz w:val="20"/>
                <w:szCs w:val="20"/>
              </w:rPr>
            </w:pPr>
            <w:r w:rsidRPr="001A7494">
              <w:rPr>
                <w:rFonts w:ascii="Arial" w:eastAsia="Times New Roman" w:hAnsi="Arial" w:cs="Arial"/>
                <w:sz w:val="20"/>
                <w:szCs w:val="20"/>
              </w:rPr>
              <w:t>++</w:t>
            </w:r>
          </w:p>
        </w:tc>
        <w:tc>
          <w:tcPr>
            <w:tcW w:w="608" w:type="dxa"/>
          </w:tcPr>
          <w:p w14:paraId="3738CEAA" w14:textId="77777777" w:rsidR="00334AA6" w:rsidRPr="001A7494" w:rsidRDefault="00000000" w:rsidP="001652E5">
            <w:pPr>
              <w:spacing w:line="360" w:lineRule="auto"/>
              <w:jc w:val="both"/>
              <w:rPr>
                <w:rFonts w:ascii="Arial" w:eastAsia="Times New Roman" w:hAnsi="Arial" w:cs="Arial"/>
                <w:sz w:val="20"/>
                <w:szCs w:val="20"/>
              </w:rPr>
            </w:pPr>
            <w:r w:rsidRPr="001A7494">
              <w:rPr>
                <w:rFonts w:ascii="Arial" w:eastAsia="Times New Roman" w:hAnsi="Arial" w:cs="Arial"/>
                <w:sz w:val="20"/>
                <w:szCs w:val="20"/>
              </w:rPr>
              <w:t>++</w:t>
            </w:r>
          </w:p>
        </w:tc>
        <w:tc>
          <w:tcPr>
            <w:tcW w:w="548" w:type="dxa"/>
          </w:tcPr>
          <w:p w14:paraId="195D33CA" w14:textId="77777777" w:rsidR="00334AA6" w:rsidRPr="001A7494" w:rsidRDefault="00000000" w:rsidP="001652E5">
            <w:pPr>
              <w:spacing w:line="360" w:lineRule="auto"/>
              <w:jc w:val="both"/>
              <w:rPr>
                <w:rFonts w:ascii="Arial" w:eastAsia="Times New Roman" w:hAnsi="Arial" w:cs="Arial"/>
                <w:sz w:val="20"/>
                <w:szCs w:val="20"/>
              </w:rPr>
            </w:pPr>
            <w:r w:rsidRPr="001A7494">
              <w:rPr>
                <w:rFonts w:ascii="Arial" w:eastAsia="Times New Roman" w:hAnsi="Arial" w:cs="Arial"/>
                <w:sz w:val="20"/>
                <w:szCs w:val="20"/>
              </w:rPr>
              <w:t>+</w:t>
            </w:r>
          </w:p>
        </w:tc>
        <w:tc>
          <w:tcPr>
            <w:tcW w:w="548" w:type="dxa"/>
          </w:tcPr>
          <w:p w14:paraId="279892AB" w14:textId="77777777" w:rsidR="00334AA6" w:rsidRPr="001A7494" w:rsidRDefault="00000000" w:rsidP="001652E5">
            <w:pPr>
              <w:spacing w:line="360" w:lineRule="auto"/>
              <w:jc w:val="both"/>
              <w:rPr>
                <w:rFonts w:ascii="Arial" w:eastAsia="Times New Roman" w:hAnsi="Arial" w:cs="Arial"/>
                <w:sz w:val="20"/>
                <w:szCs w:val="20"/>
              </w:rPr>
            </w:pPr>
            <w:r w:rsidRPr="001A7494">
              <w:rPr>
                <w:rFonts w:ascii="Arial" w:eastAsia="Times New Roman" w:hAnsi="Arial" w:cs="Arial"/>
                <w:sz w:val="20"/>
                <w:szCs w:val="20"/>
              </w:rPr>
              <w:t>–</w:t>
            </w:r>
          </w:p>
        </w:tc>
        <w:tc>
          <w:tcPr>
            <w:tcW w:w="548" w:type="dxa"/>
          </w:tcPr>
          <w:p w14:paraId="233F6C23" w14:textId="77777777" w:rsidR="00334AA6" w:rsidRPr="001A7494" w:rsidRDefault="00000000" w:rsidP="001652E5">
            <w:pPr>
              <w:spacing w:line="360" w:lineRule="auto"/>
              <w:jc w:val="both"/>
              <w:rPr>
                <w:rFonts w:ascii="Arial" w:eastAsia="Times New Roman" w:hAnsi="Arial" w:cs="Arial"/>
                <w:sz w:val="20"/>
                <w:szCs w:val="20"/>
              </w:rPr>
            </w:pPr>
            <w:r w:rsidRPr="001A7494">
              <w:rPr>
                <w:rFonts w:ascii="Arial" w:eastAsia="Times New Roman" w:hAnsi="Arial" w:cs="Arial"/>
                <w:sz w:val="20"/>
                <w:szCs w:val="20"/>
              </w:rPr>
              <w:t>++</w:t>
            </w:r>
          </w:p>
        </w:tc>
        <w:tc>
          <w:tcPr>
            <w:tcW w:w="608" w:type="dxa"/>
          </w:tcPr>
          <w:p w14:paraId="53242F2A" w14:textId="68BBA697" w:rsidR="00334AA6" w:rsidRPr="001A7494" w:rsidRDefault="00000000" w:rsidP="001652E5">
            <w:pPr>
              <w:spacing w:line="360" w:lineRule="auto"/>
              <w:jc w:val="both"/>
              <w:rPr>
                <w:rFonts w:ascii="Arial" w:eastAsia="Times New Roman" w:hAnsi="Arial" w:cs="Arial"/>
                <w:sz w:val="20"/>
                <w:szCs w:val="20"/>
              </w:rPr>
            </w:pPr>
            <w:r w:rsidRPr="001A7494">
              <w:rPr>
                <w:rFonts w:ascii="Arial" w:eastAsia="Times New Roman" w:hAnsi="Arial" w:cs="Arial"/>
                <w:sz w:val="20"/>
                <w:szCs w:val="20"/>
              </w:rPr>
              <w:t>+</w:t>
            </w:r>
          </w:p>
        </w:tc>
        <w:tc>
          <w:tcPr>
            <w:tcW w:w="578" w:type="dxa"/>
          </w:tcPr>
          <w:p w14:paraId="2E323DCB" w14:textId="1997E264" w:rsidR="00334AA6" w:rsidRPr="001A7494" w:rsidRDefault="00000000" w:rsidP="001652E5">
            <w:pPr>
              <w:spacing w:line="360" w:lineRule="auto"/>
              <w:jc w:val="both"/>
              <w:rPr>
                <w:rFonts w:ascii="Arial" w:eastAsia="Times New Roman" w:hAnsi="Arial" w:cs="Arial"/>
                <w:sz w:val="20"/>
                <w:szCs w:val="20"/>
              </w:rPr>
            </w:pPr>
            <w:r w:rsidRPr="001A7494">
              <w:rPr>
                <w:rFonts w:ascii="Arial" w:eastAsia="Times New Roman" w:hAnsi="Arial" w:cs="Arial"/>
                <w:sz w:val="20"/>
                <w:szCs w:val="20"/>
              </w:rPr>
              <w:t>+</w:t>
            </w:r>
          </w:p>
        </w:tc>
        <w:tc>
          <w:tcPr>
            <w:tcW w:w="652" w:type="dxa"/>
          </w:tcPr>
          <w:p w14:paraId="58795EED" w14:textId="72D4CD66" w:rsidR="00334AA6" w:rsidRPr="001A7494" w:rsidRDefault="00000000" w:rsidP="001652E5">
            <w:pPr>
              <w:spacing w:line="360" w:lineRule="auto"/>
              <w:jc w:val="both"/>
              <w:rPr>
                <w:rFonts w:ascii="Arial" w:eastAsia="Times New Roman" w:hAnsi="Arial" w:cs="Arial"/>
                <w:sz w:val="20"/>
                <w:szCs w:val="20"/>
              </w:rPr>
            </w:pPr>
            <w:r w:rsidRPr="001A7494">
              <w:rPr>
                <w:rFonts w:ascii="Arial" w:eastAsia="Times New Roman" w:hAnsi="Arial" w:cs="Arial"/>
                <w:sz w:val="20"/>
                <w:szCs w:val="20"/>
              </w:rPr>
              <w:t>+</w:t>
            </w:r>
          </w:p>
        </w:tc>
        <w:tc>
          <w:tcPr>
            <w:tcW w:w="608" w:type="dxa"/>
          </w:tcPr>
          <w:p w14:paraId="433B7D31" w14:textId="77777777" w:rsidR="00334AA6" w:rsidRPr="001A7494" w:rsidRDefault="00000000" w:rsidP="001652E5">
            <w:pPr>
              <w:spacing w:line="360" w:lineRule="auto"/>
              <w:jc w:val="both"/>
              <w:rPr>
                <w:rFonts w:ascii="Arial" w:eastAsia="Times New Roman" w:hAnsi="Arial" w:cs="Arial"/>
                <w:sz w:val="20"/>
                <w:szCs w:val="20"/>
              </w:rPr>
            </w:pPr>
            <w:r w:rsidRPr="001A7494">
              <w:rPr>
                <w:rFonts w:ascii="Arial" w:eastAsia="Times New Roman" w:hAnsi="Arial" w:cs="Arial"/>
                <w:sz w:val="20"/>
                <w:szCs w:val="20"/>
              </w:rPr>
              <w:t>–</w:t>
            </w:r>
          </w:p>
        </w:tc>
        <w:tc>
          <w:tcPr>
            <w:tcW w:w="608" w:type="dxa"/>
          </w:tcPr>
          <w:p w14:paraId="5C3EAB7F" w14:textId="77777777" w:rsidR="00334AA6" w:rsidRPr="001A7494" w:rsidRDefault="00000000" w:rsidP="001652E5">
            <w:pPr>
              <w:spacing w:line="360" w:lineRule="auto"/>
              <w:jc w:val="both"/>
              <w:rPr>
                <w:rFonts w:ascii="Arial" w:eastAsia="Times New Roman" w:hAnsi="Arial" w:cs="Arial"/>
                <w:sz w:val="20"/>
                <w:szCs w:val="20"/>
              </w:rPr>
            </w:pPr>
            <w:r w:rsidRPr="001A7494">
              <w:rPr>
                <w:rFonts w:ascii="Arial" w:eastAsia="Times New Roman" w:hAnsi="Arial" w:cs="Arial"/>
                <w:sz w:val="20"/>
                <w:szCs w:val="20"/>
              </w:rPr>
              <w:t>–</w:t>
            </w:r>
          </w:p>
        </w:tc>
      </w:tr>
      <w:tr w:rsidR="00334AA6" w:rsidRPr="001A7494" w14:paraId="22FFA664" w14:textId="77777777" w:rsidTr="004E6F86">
        <w:trPr>
          <w:trHeight w:val="435"/>
        </w:trPr>
        <w:tc>
          <w:tcPr>
            <w:tcW w:w="713" w:type="dxa"/>
          </w:tcPr>
          <w:p w14:paraId="7B661D09" w14:textId="77777777" w:rsidR="00334AA6" w:rsidRPr="001A7494" w:rsidRDefault="00000000" w:rsidP="001652E5">
            <w:pPr>
              <w:spacing w:line="360" w:lineRule="auto"/>
              <w:jc w:val="both"/>
              <w:rPr>
                <w:rFonts w:ascii="Arial" w:eastAsia="Times New Roman" w:hAnsi="Arial" w:cs="Arial"/>
                <w:sz w:val="20"/>
                <w:szCs w:val="20"/>
              </w:rPr>
            </w:pPr>
            <w:r w:rsidRPr="001A7494">
              <w:rPr>
                <w:rFonts w:ascii="Arial" w:eastAsia="Times New Roman" w:hAnsi="Arial" w:cs="Arial"/>
                <w:sz w:val="20"/>
                <w:szCs w:val="20"/>
              </w:rPr>
              <w:t xml:space="preserve"> </w:t>
            </w:r>
          </w:p>
        </w:tc>
        <w:tc>
          <w:tcPr>
            <w:tcW w:w="981" w:type="dxa"/>
          </w:tcPr>
          <w:p w14:paraId="1774DE94" w14:textId="77777777" w:rsidR="00334AA6" w:rsidRPr="001A7494" w:rsidRDefault="00000000" w:rsidP="001652E5">
            <w:pPr>
              <w:spacing w:line="360" w:lineRule="auto"/>
              <w:jc w:val="both"/>
              <w:rPr>
                <w:rFonts w:ascii="Arial" w:eastAsia="Times New Roman" w:hAnsi="Arial" w:cs="Arial"/>
                <w:sz w:val="20"/>
                <w:szCs w:val="20"/>
              </w:rPr>
            </w:pPr>
            <w:r w:rsidRPr="001A7494">
              <w:rPr>
                <w:rFonts w:ascii="Arial" w:eastAsia="Times New Roman" w:hAnsi="Arial" w:cs="Arial"/>
                <w:sz w:val="20"/>
                <w:szCs w:val="20"/>
              </w:rPr>
              <w:t>Aq</w:t>
            </w:r>
          </w:p>
        </w:tc>
        <w:tc>
          <w:tcPr>
            <w:tcW w:w="579" w:type="dxa"/>
          </w:tcPr>
          <w:p w14:paraId="798B946D" w14:textId="77777777" w:rsidR="00334AA6" w:rsidRPr="001A7494" w:rsidRDefault="00000000" w:rsidP="001652E5">
            <w:pPr>
              <w:spacing w:line="360" w:lineRule="auto"/>
              <w:jc w:val="both"/>
              <w:rPr>
                <w:rFonts w:ascii="Arial" w:eastAsia="Times New Roman" w:hAnsi="Arial" w:cs="Arial"/>
                <w:sz w:val="20"/>
                <w:szCs w:val="20"/>
              </w:rPr>
            </w:pPr>
            <w:r w:rsidRPr="001A7494">
              <w:rPr>
                <w:rFonts w:ascii="Arial" w:eastAsia="Times New Roman" w:hAnsi="Arial" w:cs="Arial"/>
                <w:sz w:val="20"/>
                <w:szCs w:val="20"/>
              </w:rPr>
              <w:t>–</w:t>
            </w:r>
          </w:p>
        </w:tc>
        <w:tc>
          <w:tcPr>
            <w:tcW w:w="594" w:type="dxa"/>
          </w:tcPr>
          <w:p w14:paraId="7ACA106E" w14:textId="77777777" w:rsidR="00334AA6" w:rsidRPr="001A7494" w:rsidRDefault="00000000" w:rsidP="001652E5">
            <w:pPr>
              <w:spacing w:line="360" w:lineRule="auto"/>
              <w:jc w:val="both"/>
              <w:rPr>
                <w:rFonts w:ascii="Arial" w:eastAsia="Times New Roman" w:hAnsi="Arial" w:cs="Arial"/>
                <w:sz w:val="20"/>
                <w:szCs w:val="20"/>
              </w:rPr>
            </w:pPr>
            <w:r w:rsidRPr="001A7494">
              <w:rPr>
                <w:rFonts w:ascii="Arial" w:eastAsia="Times New Roman" w:hAnsi="Arial" w:cs="Arial"/>
                <w:sz w:val="20"/>
                <w:szCs w:val="20"/>
              </w:rPr>
              <w:t>+</w:t>
            </w:r>
          </w:p>
        </w:tc>
        <w:tc>
          <w:tcPr>
            <w:tcW w:w="563" w:type="dxa"/>
          </w:tcPr>
          <w:p w14:paraId="34E54F76" w14:textId="68D8AF4C" w:rsidR="00334AA6" w:rsidRPr="001A7494" w:rsidRDefault="00000000" w:rsidP="001652E5">
            <w:pPr>
              <w:spacing w:line="360" w:lineRule="auto"/>
              <w:jc w:val="both"/>
              <w:rPr>
                <w:rFonts w:ascii="Arial" w:eastAsia="Times New Roman" w:hAnsi="Arial" w:cs="Arial"/>
                <w:sz w:val="20"/>
                <w:szCs w:val="20"/>
              </w:rPr>
            </w:pPr>
            <w:r w:rsidRPr="001A7494">
              <w:rPr>
                <w:rFonts w:ascii="Arial" w:eastAsia="Times New Roman" w:hAnsi="Arial" w:cs="Arial"/>
                <w:sz w:val="20"/>
                <w:szCs w:val="20"/>
              </w:rPr>
              <w:t>+</w:t>
            </w:r>
          </w:p>
        </w:tc>
        <w:tc>
          <w:tcPr>
            <w:tcW w:w="623" w:type="dxa"/>
          </w:tcPr>
          <w:p w14:paraId="5C263350" w14:textId="5BC9F084" w:rsidR="00334AA6" w:rsidRPr="001A7494" w:rsidRDefault="00000000" w:rsidP="001652E5">
            <w:pPr>
              <w:spacing w:line="360" w:lineRule="auto"/>
              <w:jc w:val="both"/>
              <w:rPr>
                <w:rFonts w:ascii="Arial" w:eastAsia="Times New Roman" w:hAnsi="Arial" w:cs="Arial"/>
                <w:sz w:val="20"/>
                <w:szCs w:val="20"/>
              </w:rPr>
            </w:pPr>
            <w:r w:rsidRPr="001A7494">
              <w:rPr>
                <w:rFonts w:ascii="Arial" w:eastAsia="Times New Roman" w:hAnsi="Arial" w:cs="Arial"/>
                <w:sz w:val="20"/>
                <w:szCs w:val="20"/>
              </w:rPr>
              <w:t>+</w:t>
            </w:r>
          </w:p>
        </w:tc>
        <w:tc>
          <w:tcPr>
            <w:tcW w:w="608" w:type="dxa"/>
          </w:tcPr>
          <w:p w14:paraId="408B6EE9" w14:textId="322E4BFA" w:rsidR="00334AA6" w:rsidRPr="001A7494" w:rsidRDefault="00000000" w:rsidP="001652E5">
            <w:pPr>
              <w:spacing w:line="360" w:lineRule="auto"/>
              <w:jc w:val="both"/>
              <w:rPr>
                <w:rFonts w:ascii="Arial" w:eastAsia="Times New Roman" w:hAnsi="Arial" w:cs="Arial"/>
                <w:sz w:val="20"/>
                <w:szCs w:val="20"/>
              </w:rPr>
            </w:pPr>
            <w:r w:rsidRPr="001A7494">
              <w:rPr>
                <w:rFonts w:ascii="Arial" w:eastAsia="Times New Roman" w:hAnsi="Arial" w:cs="Arial"/>
                <w:sz w:val="20"/>
                <w:szCs w:val="20"/>
              </w:rPr>
              <w:t>+</w:t>
            </w:r>
          </w:p>
        </w:tc>
        <w:tc>
          <w:tcPr>
            <w:tcW w:w="548" w:type="dxa"/>
          </w:tcPr>
          <w:p w14:paraId="402ABB3C" w14:textId="77777777" w:rsidR="00334AA6" w:rsidRPr="001A7494" w:rsidRDefault="00000000" w:rsidP="001652E5">
            <w:pPr>
              <w:spacing w:line="360" w:lineRule="auto"/>
              <w:jc w:val="both"/>
              <w:rPr>
                <w:rFonts w:ascii="Arial" w:eastAsia="Times New Roman" w:hAnsi="Arial" w:cs="Arial"/>
                <w:sz w:val="20"/>
                <w:szCs w:val="20"/>
              </w:rPr>
            </w:pPr>
            <w:r w:rsidRPr="001A7494">
              <w:rPr>
                <w:rFonts w:ascii="Arial" w:eastAsia="Times New Roman" w:hAnsi="Arial" w:cs="Arial"/>
                <w:sz w:val="20"/>
                <w:szCs w:val="20"/>
              </w:rPr>
              <w:t>+</w:t>
            </w:r>
          </w:p>
        </w:tc>
        <w:tc>
          <w:tcPr>
            <w:tcW w:w="548" w:type="dxa"/>
          </w:tcPr>
          <w:p w14:paraId="425DB76D" w14:textId="08B42760" w:rsidR="00334AA6" w:rsidRPr="001A7494" w:rsidRDefault="00E74EE1" w:rsidP="001652E5">
            <w:pPr>
              <w:spacing w:line="360" w:lineRule="auto"/>
              <w:jc w:val="both"/>
              <w:rPr>
                <w:rFonts w:ascii="Arial" w:eastAsia="Times New Roman" w:hAnsi="Arial" w:cs="Arial"/>
                <w:sz w:val="20"/>
                <w:szCs w:val="20"/>
              </w:rPr>
            </w:pPr>
            <w:r w:rsidRPr="001A7494">
              <w:rPr>
                <w:rFonts w:ascii="Arial" w:eastAsia="Times New Roman" w:hAnsi="Arial" w:cs="Arial"/>
                <w:sz w:val="20"/>
                <w:szCs w:val="20"/>
              </w:rPr>
              <w:t>+</w:t>
            </w:r>
          </w:p>
        </w:tc>
        <w:tc>
          <w:tcPr>
            <w:tcW w:w="548" w:type="dxa"/>
          </w:tcPr>
          <w:p w14:paraId="2052A724" w14:textId="77777777" w:rsidR="00334AA6" w:rsidRPr="001A7494" w:rsidRDefault="00000000" w:rsidP="001652E5">
            <w:pPr>
              <w:spacing w:line="360" w:lineRule="auto"/>
              <w:jc w:val="both"/>
              <w:rPr>
                <w:rFonts w:ascii="Arial" w:eastAsia="Times New Roman" w:hAnsi="Arial" w:cs="Arial"/>
                <w:sz w:val="20"/>
                <w:szCs w:val="20"/>
              </w:rPr>
            </w:pPr>
            <w:r w:rsidRPr="001A7494">
              <w:rPr>
                <w:rFonts w:ascii="Arial" w:eastAsia="Times New Roman" w:hAnsi="Arial" w:cs="Arial"/>
                <w:sz w:val="20"/>
                <w:szCs w:val="20"/>
              </w:rPr>
              <w:t>–</w:t>
            </w:r>
          </w:p>
        </w:tc>
        <w:tc>
          <w:tcPr>
            <w:tcW w:w="608" w:type="dxa"/>
          </w:tcPr>
          <w:p w14:paraId="1DE2E20D" w14:textId="16FA5590" w:rsidR="00334AA6" w:rsidRPr="001A7494" w:rsidRDefault="00E74EE1" w:rsidP="001652E5">
            <w:pPr>
              <w:spacing w:line="360" w:lineRule="auto"/>
              <w:jc w:val="both"/>
              <w:rPr>
                <w:rFonts w:ascii="Arial" w:eastAsia="Times New Roman" w:hAnsi="Arial" w:cs="Arial"/>
                <w:sz w:val="20"/>
                <w:szCs w:val="20"/>
              </w:rPr>
            </w:pPr>
            <w:r w:rsidRPr="001A7494">
              <w:rPr>
                <w:rFonts w:ascii="Arial" w:eastAsia="Times New Roman" w:hAnsi="Arial" w:cs="Arial"/>
                <w:sz w:val="20"/>
                <w:szCs w:val="20"/>
              </w:rPr>
              <w:t>++</w:t>
            </w:r>
          </w:p>
        </w:tc>
        <w:tc>
          <w:tcPr>
            <w:tcW w:w="578" w:type="dxa"/>
          </w:tcPr>
          <w:p w14:paraId="2406DBA0" w14:textId="77777777" w:rsidR="00334AA6" w:rsidRPr="001A7494" w:rsidRDefault="00000000" w:rsidP="001652E5">
            <w:pPr>
              <w:spacing w:line="360" w:lineRule="auto"/>
              <w:jc w:val="both"/>
              <w:rPr>
                <w:rFonts w:ascii="Arial" w:eastAsia="Times New Roman" w:hAnsi="Arial" w:cs="Arial"/>
                <w:sz w:val="20"/>
                <w:szCs w:val="20"/>
              </w:rPr>
            </w:pPr>
            <w:r w:rsidRPr="001A7494">
              <w:rPr>
                <w:rFonts w:ascii="Arial" w:eastAsia="Times New Roman" w:hAnsi="Arial" w:cs="Arial"/>
                <w:sz w:val="20"/>
                <w:szCs w:val="20"/>
              </w:rPr>
              <w:t>+</w:t>
            </w:r>
          </w:p>
        </w:tc>
        <w:tc>
          <w:tcPr>
            <w:tcW w:w="652" w:type="dxa"/>
          </w:tcPr>
          <w:p w14:paraId="362446DE" w14:textId="77777777" w:rsidR="00334AA6" w:rsidRPr="001A7494" w:rsidRDefault="00000000" w:rsidP="001652E5">
            <w:pPr>
              <w:spacing w:line="360" w:lineRule="auto"/>
              <w:jc w:val="both"/>
              <w:rPr>
                <w:rFonts w:ascii="Arial" w:eastAsia="Times New Roman" w:hAnsi="Arial" w:cs="Arial"/>
                <w:sz w:val="20"/>
                <w:szCs w:val="20"/>
              </w:rPr>
            </w:pPr>
            <w:r w:rsidRPr="001A7494">
              <w:rPr>
                <w:rFonts w:ascii="Arial" w:eastAsia="Times New Roman" w:hAnsi="Arial" w:cs="Arial"/>
                <w:sz w:val="20"/>
                <w:szCs w:val="20"/>
              </w:rPr>
              <w:t>++</w:t>
            </w:r>
          </w:p>
        </w:tc>
        <w:tc>
          <w:tcPr>
            <w:tcW w:w="608" w:type="dxa"/>
          </w:tcPr>
          <w:p w14:paraId="28BF7FE7" w14:textId="77777777" w:rsidR="00334AA6" w:rsidRPr="001A7494" w:rsidRDefault="00000000" w:rsidP="001652E5">
            <w:pPr>
              <w:spacing w:line="360" w:lineRule="auto"/>
              <w:jc w:val="both"/>
              <w:rPr>
                <w:rFonts w:ascii="Arial" w:eastAsia="Times New Roman" w:hAnsi="Arial" w:cs="Arial"/>
                <w:sz w:val="20"/>
                <w:szCs w:val="20"/>
              </w:rPr>
            </w:pPr>
            <w:r w:rsidRPr="001A7494">
              <w:rPr>
                <w:rFonts w:ascii="Arial" w:eastAsia="Times New Roman" w:hAnsi="Arial" w:cs="Arial"/>
                <w:sz w:val="20"/>
                <w:szCs w:val="20"/>
              </w:rPr>
              <w:t>–</w:t>
            </w:r>
          </w:p>
        </w:tc>
        <w:tc>
          <w:tcPr>
            <w:tcW w:w="608" w:type="dxa"/>
          </w:tcPr>
          <w:p w14:paraId="559A7ECF" w14:textId="77777777" w:rsidR="00334AA6" w:rsidRPr="001A7494" w:rsidRDefault="00000000" w:rsidP="001652E5">
            <w:pPr>
              <w:spacing w:line="360" w:lineRule="auto"/>
              <w:jc w:val="both"/>
              <w:rPr>
                <w:rFonts w:ascii="Arial" w:eastAsia="Times New Roman" w:hAnsi="Arial" w:cs="Arial"/>
                <w:sz w:val="20"/>
                <w:szCs w:val="20"/>
              </w:rPr>
            </w:pPr>
            <w:r w:rsidRPr="001A7494">
              <w:rPr>
                <w:rFonts w:ascii="Arial" w:eastAsia="Times New Roman" w:hAnsi="Arial" w:cs="Arial"/>
                <w:sz w:val="20"/>
                <w:szCs w:val="20"/>
              </w:rPr>
              <w:t>–</w:t>
            </w:r>
          </w:p>
        </w:tc>
      </w:tr>
    </w:tbl>
    <w:p w14:paraId="56944C8D" w14:textId="2E7B653D" w:rsidR="00487478" w:rsidRPr="004E6F86" w:rsidRDefault="00000000" w:rsidP="001652E5">
      <w:pPr>
        <w:spacing w:line="360" w:lineRule="auto"/>
        <w:jc w:val="both"/>
        <w:rPr>
          <w:rFonts w:ascii="Arial" w:eastAsia="Times New Roman" w:hAnsi="Arial" w:cs="Arial"/>
          <w:i/>
          <w:iCs/>
          <w:sz w:val="20"/>
          <w:szCs w:val="20"/>
        </w:rPr>
      </w:pPr>
      <w:r w:rsidRPr="004E6F86">
        <w:rPr>
          <w:rFonts w:ascii="Arial" w:eastAsia="Times New Roman" w:hAnsi="Arial" w:cs="Arial"/>
          <w:i/>
          <w:iCs/>
          <w:sz w:val="20"/>
          <w:szCs w:val="20"/>
        </w:rPr>
        <w:t>Abbreviations: PE, petroleum ether; EA, ethyl acetate; MeOH, methanol; EtOH, ethanol; Aq, aqueous; Lig, lignin; Alk, alkaloids; Fla, flavonoids; Tan, tannins; Phe, phenols; Dit, diterpenes; Tri, triterpenes; Ste, sterols; Sap, saponins; CG, cardiac glycosides; Cou, coumarins; Qui, quinones; Ant, anthraquinones. Symbols: (+) present; (++) strongly present; (–) absent.</w:t>
      </w:r>
    </w:p>
    <w:p w14:paraId="60A7961C" w14:textId="77777777" w:rsidR="004E6F86" w:rsidRPr="001A7494" w:rsidRDefault="004E6F86" w:rsidP="001652E5">
      <w:pPr>
        <w:spacing w:line="360" w:lineRule="auto"/>
        <w:jc w:val="both"/>
        <w:rPr>
          <w:rFonts w:ascii="Arial" w:eastAsia="Times New Roman" w:hAnsi="Arial" w:cs="Arial"/>
          <w:sz w:val="20"/>
          <w:szCs w:val="20"/>
        </w:rPr>
      </w:pPr>
    </w:p>
    <w:p w14:paraId="1586C4C5" w14:textId="077D77D0" w:rsidR="00EE4568" w:rsidRPr="006D7293" w:rsidRDefault="00EE4568" w:rsidP="001652E5">
      <w:pPr>
        <w:pStyle w:val="ListParagraph"/>
        <w:numPr>
          <w:ilvl w:val="1"/>
          <w:numId w:val="3"/>
        </w:numPr>
        <w:pBdr>
          <w:top w:val="nil"/>
          <w:left w:val="nil"/>
          <w:bottom w:val="nil"/>
          <w:right w:val="nil"/>
          <w:between w:val="nil"/>
        </w:pBdr>
        <w:spacing w:line="360" w:lineRule="auto"/>
        <w:contextualSpacing w:val="0"/>
        <w:jc w:val="both"/>
        <w:rPr>
          <w:rFonts w:ascii="Arial" w:eastAsia="Times New Roman" w:hAnsi="Arial" w:cs="Arial"/>
          <w:b/>
          <w:bCs/>
          <w:sz w:val="20"/>
          <w:szCs w:val="20"/>
        </w:rPr>
      </w:pPr>
      <w:r w:rsidRPr="006D7293">
        <w:rPr>
          <w:rFonts w:ascii="Arial" w:eastAsia="Times New Roman" w:hAnsi="Arial" w:cs="Arial"/>
          <w:b/>
          <w:bCs/>
          <w:sz w:val="20"/>
          <w:szCs w:val="20"/>
        </w:rPr>
        <w:t>Quantitative Analysis</w:t>
      </w:r>
      <w:r w:rsidR="004E6F86">
        <w:rPr>
          <w:rFonts w:ascii="Arial" w:eastAsia="Times New Roman" w:hAnsi="Arial" w:cs="Arial"/>
          <w:b/>
          <w:bCs/>
          <w:sz w:val="20"/>
          <w:szCs w:val="20"/>
        </w:rPr>
        <w:t>.</w:t>
      </w:r>
    </w:p>
    <w:p w14:paraId="637281B9" w14:textId="07D31ED0" w:rsidR="00EE4568" w:rsidRPr="004E6F86" w:rsidRDefault="004E6F86" w:rsidP="004E6F86">
      <w:pPr>
        <w:pBdr>
          <w:top w:val="nil"/>
          <w:left w:val="nil"/>
          <w:bottom w:val="nil"/>
          <w:right w:val="nil"/>
          <w:between w:val="nil"/>
        </w:pBdr>
        <w:spacing w:after="240" w:line="360" w:lineRule="auto"/>
        <w:jc w:val="both"/>
        <w:rPr>
          <w:rFonts w:ascii="Arial" w:eastAsia="Times New Roman" w:hAnsi="Arial" w:cs="Arial"/>
          <w:sz w:val="20"/>
          <w:szCs w:val="20"/>
        </w:rPr>
      </w:pPr>
      <w:r w:rsidRPr="004E6F86">
        <w:rPr>
          <w:rFonts w:ascii="Arial" w:eastAsia="Times New Roman" w:hAnsi="Arial" w:cs="Arial"/>
          <w:sz w:val="20"/>
          <w:szCs w:val="20"/>
        </w:rPr>
        <w:t>The extraction yield obtained for quantitative analysis and in vitro antioxidant assays varied among the different plant parts. The highest yield was recorded for ELDL (21.108% w/w), followed by ESDL (13.13% w/w) and EBDL (12.844% w/w). These extracts were further used for quantitative phytochemical estimation and antioxidant assays.</w:t>
      </w:r>
    </w:p>
    <w:p w14:paraId="21396033" w14:textId="1D1DA66F" w:rsidR="0060487D" w:rsidRPr="006D7293" w:rsidRDefault="0060487D" w:rsidP="001652E5">
      <w:pPr>
        <w:pStyle w:val="ListParagraph"/>
        <w:numPr>
          <w:ilvl w:val="2"/>
          <w:numId w:val="3"/>
        </w:numPr>
        <w:pBdr>
          <w:top w:val="nil"/>
          <w:left w:val="nil"/>
          <w:bottom w:val="nil"/>
          <w:right w:val="nil"/>
          <w:between w:val="nil"/>
        </w:pBdr>
        <w:spacing w:line="360" w:lineRule="auto"/>
        <w:contextualSpacing w:val="0"/>
        <w:jc w:val="both"/>
        <w:rPr>
          <w:rFonts w:ascii="Arial" w:eastAsia="Times New Roman" w:hAnsi="Arial" w:cs="Arial"/>
          <w:b/>
          <w:bCs/>
          <w:sz w:val="20"/>
          <w:szCs w:val="20"/>
        </w:rPr>
      </w:pPr>
      <w:r w:rsidRPr="006D7293">
        <w:rPr>
          <w:rFonts w:ascii="Arial" w:eastAsia="Times New Roman" w:hAnsi="Arial" w:cs="Arial"/>
          <w:b/>
          <w:bCs/>
          <w:sz w:val="20"/>
          <w:szCs w:val="20"/>
        </w:rPr>
        <w:t>Determination Total Phenols.</w:t>
      </w:r>
    </w:p>
    <w:p w14:paraId="090C3BD0" w14:textId="3D3FC9A6" w:rsidR="0060487D" w:rsidRPr="001A7494" w:rsidRDefault="0060487D" w:rsidP="004E6F86">
      <w:pPr>
        <w:pBdr>
          <w:top w:val="nil"/>
          <w:left w:val="nil"/>
          <w:bottom w:val="nil"/>
          <w:right w:val="nil"/>
          <w:between w:val="nil"/>
        </w:pBdr>
        <w:spacing w:after="240" w:line="360" w:lineRule="auto"/>
        <w:jc w:val="both"/>
        <w:rPr>
          <w:rFonts w:ascii="Arial" w:eastAsia="Times New Roman" w:hAnsi="Arial" w:cs="Arial"/>
          <w:sz w:val="20"/>
          <w:szCs w:val="20"/>
          <w:lang w:val="en-GB"/>
        </w:rPr>
      </w:pPr>
      <w:r w:rsidRPr="001A7494">
        <w:rPr>
          <w:rFonts w:ascii="Arial" w:eastAsia="Times New Roman" w:hAnsi="Arial" w:cs="Arial"/>
          <w:sz w:val="20"/>
          <w:szCs w:val="20"/>
          <w:lang w:val="en-GB"/>
        </w:rPr>
        <w:t xml:space="preserve">The total phenolic content (TP) of </w:t>
      </w:r>
      <w:r w:rsidRPr="001A7494">
        <w:rPr>
          <w:rFonts w:ascii="Arial" w:eastAsia="Times New Roman" w:hAnsi="Arial" w:cs="Arial"/>
          <w:i/>
          <w:iCs/>
          <w:sz w:val="20"/>
          <w:szCs w:val="20"/>
          <w:lang w:val="en-GB"/>
        </w:rPr>
        <w:t>D. latifolia</w:t>
      </w:r>
      <w:r w:rsidRPr="001A7494">
        <w:rPr>
          <w:rFonts w:ascii="Arial" w:eastAsia="Times New Roman" w:hAnsi="Arial" w:cs="Arial"/>
          <w:sz w:val="20"/>
          <w:szCs w:val="20"/>
          <w:lang w:val="en-GB"/>
        </w:rPr>
        <w:t xml:space="preserve"> extracts showed minor variation among the different plant parts (Figure </w:t>
      </w:r>
      <w:r w:rsidR="00537318" w:rsidRPr="001A7494">
        <w:rPr>
          <w:rFonts w:ascii="Arial" w:eastAsia="Times New Roman" w:hAnsi="Arial" w:cs="Arial"/>
          <w:sz w:val="20"/>
          <w:szCs w:val="20"/>
          <w:lang w:val="en-GB"/>
        </w:rPr>
        <w:t>3.</w:t>
      </w:r>
      <w:r w:rsidRPr="001A7494">
        <w:rPr>
          <w:rFonts w:ascii="Arial" w:eastAsia="Times New Roman" w:hAnsi="Arial" w:cs="Arial"/>
          <w:sz w:val="20"/>
          <w:szCs w:val="20"/>
          <w:lang w:val="en-GB"/>
        </w:rPr>
        <w:t>). The leaf extract (ELDL) showed the highest TP value (8.09 ± 1.12 mg GAE/g), followed by the stem extract (ESDL) (7.11 ± 0.34 mg GAE/g) and bark extract (EBDL) (6.72 ± 0.17 mg GAE/g). However, one-way ANOVA showed that the difference in TP among the extracts was not statistically significant (</w:t>
      </w:r>
      <w:r w:rsidRPr="001A7494">
        <w:rPr>
          <w:rFonts w:ascii="Arial" w:eastAsia="Times New Roman" w:hAnsi="Arial" w:cs="Arial"/>
          <w:i/>
          <w:iCs/>
          <w:sz w:val="20"/>
          <w:szCs w:val="20"/>
          <w:lang w:val="en-GB"/>
        </w:rPr>
        <w:t>P = 0.1115</w:t>
      </w:r>
      <w:r w:rsidRPr="001A7494">
        <w:rPr>
          <w:rFonts w:ascii="Arial" w:eastAsia="Times New Roman" w:hAnsi="Arial" w:cs="Arial"/>
          <w:sz w:val="20"/>
          <w:szCs w:val="20"/>
          <w:lang w:val="en-GB"/>
        </w:rPr>
        <w:t>).</w:t>
      </w:r>
    </w:p>
    <w:p w14:paraId="5ABB7D7E" w14:textId="10C31361" w:rsidR="00487478" w:rsidRPr="006D7293" w:rsidRDefault="0060487D" w:rsidP="001652E5">
      <w:pPr>
        <w:pStyle w:val="ListParagraph"/>
        <w:numPr>
          <w:ilvl w:val="2"/>
          <w:numId w:val="3"/>
        </w:numPr>
        <w:pBdr>
          <w:top w:val="nil"/>
          <w:left w:val="nil"/>
          <w:bottom w:val="nil"/>
          <w:right w:val="nil"/>
          <w:between w:val="nil"/>
        </w:pBdr>
        <w:spacing w:line="360" w:lineRule="auto"/>
        <w:contextualSpacing w:val="0"/>
        <w:jc w:val="both"/>
        <w:rPr>
          <w:rFonts w:ascii="Arial" w:eastAsia="Times New Roman" w:hAnsi="Arial" w:cs="Arial"/>
          <w:b/>
          <w:bCs/>
          <w:sz w:val="20"/>
          <w:szCs w:val="20"/>
        </w:rPr>
      </w:pPr>
      <w:r w:rsidRPr="006D7293">
        <w:rPr>
          <w:rFonts w:ascii="Arial" w:eastAsia="Times New Roman" w:hAnsi="Arial" w:cs="Arial"/>
          <w:b/>
          <w:bCs/>
          <w:sz w:val="20"/>
          <w:szCs w:val="20"/>
          <w:lang w:val="en-GB"/>
        </w:rPr>
        <w:t xml:space="preserve">Determination of </w:t>
      </w:r>
      <w:r w:rsidRPr="006D7293">
        <w:rPr>
          <w:rFonts w:ascii="Arial" w:eastAsia="Times New Roman" w:hAnsi="Arial" w:cs="Arial"/>
          <w:b/>
          <w:bCs/>
          <w:sz w:val="20"/>
          <w:szCs w:val="20"/>
        </w:rPr>
        <w:t>Total Flavonoids</w:t>
      </w:r>
      <w:r w:rsidR="00487478" w:rsidRPr="006D7293">
        <w:rPr>
          <w:rFonts w:ascii="Arial" w:eastAsia="Times New Roman" w:hAnsi="Arial" w:cs="Arial"/>
          <w:b/>
          <w:bCs/>
          <w:sz w:val="20"/>
          <w:szCs w:val="20"/>
        </w:rPr>
        <w:t>.</w:t>
      </w:r>
    </w:p>
    <w:p w14:paraId="53D30514" w14:textId="6E8296F9" w:rsidR="0060487D" w:rsidRPr="001A7494" w:rsidRDefault="0060487D" w:rsidP="004E6F86">
      <w:pPr>
        <w:pBdr>
          <w:top w:val="nil"/>
          <w:left w:val="nil"/>
          <w:bottom w:val="nil"/>
          <w:right w:val="nil"/>
          <w:between w:val="nil"/>
        </w:pBdr>
        <w:spacing w:after="240" w:line="360" w:lineRule="auto"/>
        <w:jc w:val="both"/>
        <w:rPr>
          <w:rFonts w:ascii="Arial" w:eastAsia="Times New Roman" w:hAnsi="Arial" w:cs="Arial"/>
          <w:color w:val="000000"/>
          <w:sz w:val="20"/>
          <w:szCs w:val="20"/>
        </w:rPr>
      </w:pPr>
      <w:r w:rsidRPr="001A7494">
        <w:rPr>
          <w:rFonts w:ascii="Arial" w:eastAsia="Times New Roman" w:hAnsi="Arial" w:cs="Arial"/>
          <w:color w:val="000000"/>
          <w:sz w:val="20"/>
          <w:szCs w:val="20"/>
        </w:rPr>
        <w:t xml:space="preserve">The total flavonoid content (TF) was also comparable among the extracts (Figure </w:t>
      </w:r>
      <w:r w:rsidR="00537318" w:rsidRPr="001A7494">
        <w:rPr>
          <w:rFonts w:ascii="Arial" w:eastAsia="Times New Roman" w:hAnsi="Arial" w:cs="Arial"/>
          <w:color w:val="000000"/>
          <w:sz w:val="20"/>
          <w:szCs w:val="20"/>
        </w:rPr>
        <w:t>3.</w:t>
      </w:r>
      <w:r w:rsidRPr="001A7494">
        <w:rPr>
          <w:rFonts w:ascii="Arial" w:eastAsia="Times New Roman" w:hAnsi="Arial" w:cs="Arial"/>
          <w:color w:val="000000"/>
          <w:sz w:val="20"/>
          <w:szCs w:val="20"/>
        </w:rPr>
        <w:t xml:space="preserve">). The stem extract (ESDL) showed the highest TF value (3.68 ± 0.01 mg QE/g), followed by the leaf extract (ELDL) (3.60 ± 0.00 mg QE/g) and bark extract (EBDL) (3.51 ± 0.04 mg QE/g). </w:t>
      </w:r>
      <w:r w:rsidR="00BF16AF" w:rsidRPr="001A7494">
        <w:rPr>
          <w:rFonts w:ascii="Arial" w:eastAsia="Times New Roman" w:hAnsi="Arial" w:cs="Arial"/>
          <w:color w:val="000000"/>
          <w:sz w:val="20"/>
          <w:szCs w:val="20"/>
        </w:rPr>
        <w:t>One-way ANOVA showed a statistically significant difference in total flavonoid content among the extracts (</w:t>
      </w:r>
      <w:r w:rsidR="00BF16AF" w:rsidRPr="001A7494">
        <w:rPr>
          <w:rFonts w:ascii="Arial" w:eastAsia="Times New Roman" w:hAnsi="Arial" w:cs="Arial"/>
          <w:i/>
          <w:iCs/>
          <w:color w:val="000000"/>
          <w:sz w:val="20"/>
          <w:szCs w:val="20"/>
        </w:rPr>
        <w:t>P = 0.000449</w:t>
      </w:r>
      <w:r w:rsidR="00BF16AF" w:rsidRPr="001A7494">
        <w:rPr>
          <w:rFonts w:ascii="Arial" w:eastAsia="Times New Roman" w:hAnsi="Arial" w:cs="Arial"/>
          <w:color w:val="000000"/>
          <w:sz w:val="20"/>
          <w:szCs w:val="20"/>
        </w:rPr>
        <w:t>). Tukey’s post hoc test revealed that ESDL had significantly higher flavonoid content than ELDL (</w:t>
      </w:r>
      <w:r w:rsidR="00BF16AF" w:rsidRPr="001A7494">
        <w:rPr>
          <w:rFonts w:ascii="Arial" w:eastAsia="Times New Roman" w:hAnsi="Arial" w:cs="Arial"/>
          <w:i/>
          <w:iCs/>
          <w:color w:val="000000"/>
          <w:sz w:val="20"/>
          <w:szCs w:val="20"/>
        </w:rPr>
        <w:t>P = 0.0167</w:t>
      </w:r>
      <w:r w:rsidR="00BF16AF" w:rsidRPr="001A7494">
        <w:rPr>
          <w:rFonts w:ascii="Arial" w:eastAsia="Times New Roman" w:hAnsi="Arial" w:cs="Arial"/>
          <w:color w:val="000000"/>
          <w:sz w:val="20"/>
          <w:szCs w:val="20"/>
        </w:rPr>
        <w:t>) and EBDL (</w:t>
      </w:r>
      <w:r w:rsidR="00BF16AF" w:rsidRPr="001A7494">
        <w:rPr>
          <w:rFonts w:ascii="Arial" w:eastAsia="Times New Roman" w:hAnsi="Arial" w:cs="Arial"/>
          <w:i/>
          <w:iCs/>
          <w:color w:val="000000"/>
          <w:sz w:val="20"/>
          <w:szCs w:val="20"/>
        </w:rPr>
        <w:t xml:space="preserve">P = </w:t>
      </w:r>
      <w:r w:rsidR="00BF16AF" w:rsidRPr="001A7494">
        <w:rPr>
          <w:rFonts w:ascii="Arial" w:eastAsia="Times New Roman" w:hAnsi="Arial" w:cs="Arial"/>
          <w:i/>
          <w:iCs/>
          <w:color w:val="000000"/>
          <w:sz w:val="20"/>
          <w:szCs w:val="20"/>
        </w:rPr>
        <w:lastRenderedPageBreak/>
        <w:t>0.0004</w:t>
      </w:r>
      <w:r w:rsidR="00BF16AF" w:rsidRPr="001A7494">
        <w:rPr>
          <w:rFonts w:ascii="Arial" w:eastAsia="Times New Roman" w:hAnsi="Arial" w:cs="Arial"/>
          <w:color w:val="000000"/>
          <w:sz w:val="20"/>
          <w:szCs w:val="20"/>
        </w:rPr>
        <w:t>). ELDL also showed significantly higher flavonoid content than EBDL (</w:t>
      </w:r>
      <w:r w:rsidR="00BF16AF" w:rsidRPr="001A7494">
        <w:rPr>
          <w:rFonts w:ascii="Arial" w:eastAsia="Times New Roman" w:hAnsi="Arial" w:cs="Arial"/>
          <w:i/>
          <w:iCs/>
          <w:color w:val="000000"/>
          <w:sz w:val="20"/>
          <w:szCs w:val="20"/>
        </w:rPr>
        <w:t>P = 0.0098)</w:t>
      </w:r>
      <w:r w:rsidR="00BF16AF" w:rsidRPr="001A7494">
        <w:rPr>
          <w:rFonts w:ascii="Arial" w:eastAsia="Times New Roman" w:hAnsi="Arial" w:cs="Arial"/>
          <w:color w:val="000000"/>
          <w:sz w:val="20"/>
          <w:szCs w:val="20"/>
        </w:rPr>
        <w:t>. Based on the mean values, the total flavonoid content followed the order ESDL &gt; ELDL &gt; EBDL, with all groups differing significantly from each other.</w:t>
      </w:r>
    </w:p>
    <w:p w14:paraId="6E9EBF10" w14:textId="744872F0" w:rsidR="00976BC0" w:rsidRPr="001A7494" w:rsidRDefault="00976BC0" w:rsidP="001652E5">
      <w:pPr>
        <w:pBdr>
          <w:top w:val="nil"/>
          <w:left w:val="nil"/>
          <w:bottom w:val="nil"/>
          <w:right w:val="nil"/>
          <w:between w:val="nil"/>
        </w:pBdr>
        <w:spacing w:line="360" w:lineRule="auto"/>
        <w:jc w:val="both"/>
        <w:rPr>
          <w:rFonts w:ascii="Arial" w:eastAsia="Times New Roman" w:hAnsi="Arial" w:cs="Arial"/>
          <w:b/>
          <w:bCs/>
          <w:i/>
          <w:iCs/>
          <w:color w:val="000000"/>
          <w:sz w:val="20"/>
          <w:szCs w:val="20"/>
          <w:lang w:val="en-GB"/>
        </w:rPr>
      </w:pPr>
    </w:p>
    <w:p w14:paraId="02FF879A" w14:textId="042F9FDE" w:rsidR="0066189B" w:rsidRPr="001A7494" w:rsidRDefault="004C1FD4" w:rsidP="001652E5">
      <w:pPr>
        <w:keepNext/>
        <w:pBdr>
          <w:top w:val="nil"/>
          <w:left w:val="nil"/>
          <w:bottom w:val="nil"/>
          <w:right w:val="nil"/>
          <w:between w:val="nil"/>
        </w:pBdr>
        <w:spacing w:line="360" w:lineRule="auto"/>
        <w:jc w:val="both"/>
        <w:rPr>
          <w:rFonts w:ascii="Arial" w:hAnsi="Arial" w:cs="Arial"/>
          <w:sz w:val="20"/>
          <w:szCs w:val="20"/>
        </w:rPr>
      </w:pPr>
      <w:r w:rsidRPr="001A7494">
        <w:rPr>
          <w:rFonts w:ascii="Arial" w:hAnsi="Arial" w:cs="Arial"/>
          <w:noProof/>
          <w:sz w:val="20"/>
          <w:szCs w:val="20"/>
        </w:rPr>
        <w:drawing>
          <wp:inline distT="0" distB="0" distL="0" distR="0" wp14:anchorId="4FF463CE" wp14:editId="350485B6">
            <wp:extent cx="3572189" cy="3134148"/>
            <wp:effectExtent l="19050" t="19050" r="9525" b="28575"/>
            <wp:docPr id="121909148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90876" cy="3150543"/>
                    </a:xfrm>
                    <a:prstGeom prst="rect">
                      <a:avLst/>
                    </a:prstGeom>
                    <a:noFill/>
                    <a:ln>
                      <a:solidFill>
                        <a:schemeClr val="tx1"/>
                      </a:solidFill>
                    </a:ln>
                  </pic:spPr>
                </pic:pic>
              </a:graphicData>
            </a:graphic>
          </wp:inline>
        </w:drawing>
      </w:r>
    </w:p>
    <w:p w14:paraId="6F2CA11E" w14:textId="7DD5AD5B" w:rsidR="00DF7FDB" w:rsidRPr="00DF7FDB" w:rsidRDefault="004E6F86" w:rsidP="00DF7FDB">
      <w:pPr>
        <w:pStyle w:val="Caption"/>
        <w:spacing w:after="0" w:line="360" w:lineRule="auto"/>
        <w:ind w:right="1422"/>
        <w:jc w:val="both"/>
        <w:rPr>
          <w:rFonts w:ascii="Arial" w:eastAsia="Times New Roman" w:hAnsi="Arial" w:cs="Arial"/>
          <w:b/>
          <w:bCs/>
          <w:i w:val="0"/>
          <w:iCs w:val="0"/>
          <w:color w:val="000000"/>
          <w:sz w:val="20"/>
          <w:szCs w:val="20"/>
          <w:lang w:val="en-GB"/>
        </w:rPr>
      </w:pPr>
      <w:r w:rsidRPr="00DF7FDB">
        <w:rPr>
          <w:rFonts w:ascii="Arial" w:eastAsia="Times New Roman" w:hAnsi="Arial" w:cs="Arial"/>
          <w:b/>
          <w:bCs/>
          <w:i w:val="0"/>
          <w:iCs w:val="0"/>
          <w:color w:val="000000"/>
          <w:sz w:val="20"/>
          <w:szCs w:val="20"/>
          <w:lang w:val="en-GB"/>
        </w:rPr>
        <w:t>Figure 3. Estimation of Total Phenols and Flavonoids of Dalbergia latifolia</w:t>
      </w:r>
      <w:r w:rsidR="00DF7FDB" w:rsidRPr="00DF7FDB">
        <w:rPr>
          <w:rFonts w:ascii="Arial" w:eastAsia="Times New Roman" w:hAnsi="Arial" w:cs="Arial"/>
          <w:b/>
          <w:bCs/>
          <w:i w:val="0"/>
          <w:iCs w:val="0"/>
          <w:color w:val="000000"/>
          <w:sz w:val="20"/>
          <w:szCs w:val="20"/>
          <w:lang w:val="en-GB"/>
        </w:rPr>
        <w:t xml:space="preserve"> </w:t>
      </w:r>
      <w:r w:rsidRPr="00DF7FDB">
        <w:rPr>
          <w:rFonts w:ascii="Arial" w:eastAsia="Times New Roman" w:hAnsi="Arial" w:cs="Arial"/>
          <w:b/>
          <w:bCs/>
          <w:i w:val="0"/>
          <w:iCs w:val="0"/>
          <w:color w:val="000000"/>
          <w:sz w:val="20"/>
          <w:szCs w:val="20"/>
          <w:lang w:val="en-GB"/>
        </w:rPr>
        <w:t>extracts.</w:t>
      </w:r>
    </w:p>
    <w:p w14:paraId="6771B4AA" w14:textId="54F8FDC7" w:rsidR="009C6FC0" w:rsidRPr="00DF7FDB" w:rsidRDefault="0066189B" w:rsidP="00DF7FDB">
      <w:pPr>
        <w:pStyle w:val="Caption"/>
        <w:spacing w:after="0" w:line="360" w:lineRule="auto"/>
        <w:ind w:right="2272"/>
        <w:jc w:val="both"/>
        <w:rPr>
          <w:rFonts w:ascii="Arial" w:hAnsi="Arial" w:cs="Arial"/>
          <w:color w:val="auto"/>
          <w:sz w:val="20"/>
          <w:szCs w:val="20"/>
        </w:rPr>
      </w:pPr>
      <w:r w:rsidRPr="00DF7FDB">
        <w:rPr>
          <w:rFonts w:ascii="Arial" w:hAnsi="Arial" w:cs="Arial"/>
          <w:color w:val="auto"/>
          <w:sz w:val="20"/>
          <w:szCs w:val="20"/>
        </w:rPr>
        <w:t>TP</w:t>
      </w:r>
      <w:r w:rsidR="00976BC0" w:rsidRPr="00DF7FDB">
        <w:rPr>
          <w:rFonts w:ascii="Arial" w:hAnsi="Arial" w:cs="Arial"/>
          <w:color w:val="auto"/>
          <w:sz w:val="20"/>
          <w:szCs w:val="20"/>
        </w:rPr>
        <w:t xml:space="preserve">, </w:t>
      </w:r>
      <w:r w:rsidRPr="00DF7FDB">
        <w:rPr>
          <w:rFonts w:ascii="Arial" w:hAnsi="Arial" w:cs="Arial"/>
          <w:color w:val="auto"/>
          <w:sz w:val="20"/>
          <w:szCs w:val="20"/>
        </w:rPr>
        <w:t>Total Phenols</w:t>
      </w:r>
      <w:r w:rsidR="00976BC0" w:rsidRPr="00DF7FDB">
        <w:rPr>
          <w:rFonts w:ascii="Arial" w:hAnsi="Arial" w:cs="Arial"/>
          <w:color w:val="auto"/>
          <w:sz w:val="20"/>
          <w:szCs w:val="20"/>
        </w:rPr>
        <w:t>;</w:t>
      </w:r>
      <w:r w:rsidRPr="00DF7FDB">
        <w:rPr>
          <w:rFonts w:ascii="Arial" w:hAnsi="Arial" w:cs="Arial"/>
          <w:color w:val="auto"/>
          <w:sz w:val="20"/>
          <w:szCs w:val="20"/>
        </w:rPr>
        <w:t xml:space="preserve"> TF</w:t>
      </w:r>
      <w:r w:rsidR="00976BC0" w:rsidRPr="00DF7FDB">
        <w:rPr>
          <w:rFonts w:ascii="Arial" w:hAnsi="Arial" w:cs="Arial"/>
          <w:color w:val="auto"/>
          <w:sz w:val="20"/>
          <w:szCs w:val="20"/>
        </w:rPr>
        <w:t xml:space="preserve">, </w:t>
      </w:r>
      <w:r w:rsidRPr="00DF7FDB">
        <w:rPr>
          <w:rFonts w:ascii="Arial" w:hAnsi="Arial" w:cs="Arial"/>
          <w:color w:val="auto"/>
          <w:sz w:val="20"/>
          <w:szCs w:val="20"/>
        </w:rPr>
        <w:t>Total Flavonoids, SE</w:t>
      </w:r>
      <w:r w:rsidR="00976BC0" w:rsidRPr="00DF7FDB">
        <w:rPr>
          <w:rFonts w:ascii="Arial" w:hAnsi="Arial" w:cs="Arial"/>
          <w:color w:val="auto"/>
          <w:sz w:val="20"/>
          <w:szCs w:val="20"/>
        </w:rPr>
        <w:t xml:space="preserve">, </w:t>
      </w:r>
      <w:r w:rsidRPr="00DF7FDB">
        <w:rPr>
          <w:rFonts w:ascii="Arial" w:hAnsi="Arial" w:cs="Arial"/>
          <w:color w:val="auto"/>
          <w:sz w:val="20"/>
          <w:szCs w:val="20"/>
        </w:rPr>
        <w:t>Standard equivalents.</w:t>
      </w:r>
      <w:r w:rsidR="00976BC0" w:rsidRPr="00DF7FDB">
        <w:rPr>
          <w:rFonts w:ascii="Arial" w:hAnsi="Arial" w:cs="Arial"/>
          <w:color w:val="auto"/>
          <w:sz w:val="20"/>
          <w:szCs w:val="20"/>
        </w:rPr>
        <w:t xml:space="preserve"> </w:t>
      </w:r>
      <w:r w:rsidRPr="00DF7FDB">
        <w:rPr>
          <w:rFonts w:ascii="Arial" w:hAnsi="Arial" w:cs="Arial"/>
          <w:color w:val="auto"/>
          <w:sz w:val="20"/>
          <w:szCs w:val="20"/>
        </w:rPr>
        <w:t>Values expressed as mean</w:t>
      </w:r>
      <w:r w:rsidR="00976BC0" w:rsidRPr="00DF7FDB">
        <w:rPr>
          <w:rFonts w:ascii="Arial" w:hAnsi="Arial" w:cs="Arial"/>
          <w:color w:val="auto"/>
          <w:sz w:val="20"/>
          <w:szCs w:val="20"/>
        </w:rPr>
        <w:t xml:space="preserve"> ±</w:t>
      </w:r>
      <w:r w:rsidRPr="00DF7FDB">
        <w:rPr>
          <w:rFonts w:ascii="Arial" w:hAnsi="Arial" w:cs="Arial"/>
          <w:color w:val="auto"/>
          <w:sz w:val="20"/>
          <w:szCs w:val="20"/>
        </w:rPr>
        <w:t xml:space="preserve"> SD, </w:t>
      </w:r>
      <w:r w:rsidR="00BF16AF" w:rsidRPr="00DF7FDB">
        <w:rPr>
          <w:rFonts w:ascii="Arial" w:hAnsi="Arial" w:cs="Arial"/>
          <w:color w:val="auto"/>
          <w:sz w:val="20"/>
          <w:szCs w:val="20"/>
        </w:rPr>
        <w:t>n</w:t>
      </w:r>
      <w:r w:rsidRPr="00DF7FDB">
        <w:rPr>
          <w:rFonts w:ascii="Arial" w:hAnsi="Arial" w:cs="Arial"/>
          <w:color w:val="auto"/>
          <w:sz w:val="20"/>
          <w:szCs w:val="20"/>
        </w:rPr>
        <w:t>=3.</w:t>
      </w:r>
    </w:p>
    <w:p w14:paraId="1B100AD6" w14:textId="77777777" w:rsidR="004E6F86" w:rsidRPr="004E6F86" w:rsidRDefault="004E6F86" w:rsidP="004E6F86">
      <w:pPr>
        <w:rPr>
          <w:lang w:val="en-GB"/>
        </w:rPr>
      </w:pPr>
    </w:p>
    <w:p w14:paraId="49CAB7F5" w14:textId="2D5B0013" w:rsidR="006D7293" w:rsidRPr="006D7293" w:rsidRDefault="006D7293" w:rsidP="001652E5">
      <w:pPr>
        <w:pStyle w:val="ListParagraph"/>
        <w:numPr>
          <w:ilvl w:val="1"/>
          <w:numId w:val="3"/>
        </w:numPr>
        <w:pBdr>
          <w:top w:val="nil"/>
          <w:left w:val="nil"/>
          <w:bottom w:val="nil"/>
          <w:right w:val="nil"/>
          <w:between w:val="nil"/>
        </w:pBdr>
        <w:spacing w:line="360" w:lineRule="auto"/>
        <w:contextualSpacing w:val="0"/>
        <w:jc w:val="both"/>
        <w:rPr>
          <w:rFonts w:ascii="Arial" w:eastAsia="Times New Roman" w:hAnsi="Arial" w:cs="Arial"/>
          <w:b/>
          <w:bCs/>
          <w:color w:val="000000"/>
          <w:sz w:val="20"/>
          <w:szCs w:val="20"/>
        </w:rPr>
      </w:pPr>
      <w:r w:rsidRPr="006D7293">
        <w:rPr>
          <w:rFonts w:ascii="Arial" w:eastAsia="Times New Roman" w:hAnsi="Arial" w:cs="Arial"/>
          <w:b/>
          <w:bCs/>
          <w:color w:val="000000"/>
          <w:sz w:val="20"/>
          <w:szCs w:val="20"/>
        </w:rPr>
        <w:t>In vitro Antioxidant Assays</w:t>
      </w:r>
      <w:r w:rsidR="004E6F86">
        <w:rPr>
          <w:rFonts w:ascii="Arial" w:eastAsia="Times New Roman" w:hAnsi="Arial" w:cs="Arial"/>
          <w:b/>
          <w:bCs/>
          <w:color w:val="000000"/>
          <w:sz w:val="20"/>
          <w:szCs w:val="20"/>
        </w:rPr>
        <w:t>.</w:t>
      </w:r>
    </w:p>
    <w:p w14:paraId="0B83291F" w14:textId="4913DC31" w:rsidR="005D3F35" w:rsidRPr="006D7293" w:rsidRDefault="009C6FC0" w:rsidP="001652E5">
      <w:pPr>
        <w:pStyle w:val="ListParagraph"/>
        <w:numPr>
          <w:ilvl w:val="2"/>
          <w:numId w:val="3"/>
        </w:numPr>
        <w:pBdr>
          <w:top w:val="nil"/>
          <w:left w:val="nil"/>
          <w:bottom w:val="nil"/>
          <w:right w:val="nil"/>
          <w:between w:val="nil"/>
        </w:pBdr>
        <w:spacing w:line="360" w:lineRule="auto"/>
        <w:contextualSpacing w:val="0"/>
        <w:jc w:val="both"/>
        <w:rPr>
          <w:rFonts w:ascii="Arial" w:eastAsia="Times New Roman" w:hAnsi="Arial" w:cs="Arial"/>
          <w:b/>
          <w:bCs/>
          <w:color w:val="000000"/>
          <w:sz w:val="20"/>
          <w:szCs w:val="20"/>
        </w:rPr>
      </w:pPr>
      <w:r w:rsidRPr="006D7293">
        <w:rPr>
          <w:rFonts w:ascii="Arial" w:eastAsia="Times New Roman" w:hAnsi="Arial" w:cs="Arial"/>
          <w:b/>
          <w:bCs/>
          <w:color w:val="000000"/>
          <w:sz w:val="20"/>
          <w:szCs w:val="20"/>
        </w:rPr>
        <w:t>Total Antioxidant Capacity</w:t>
      </w:r>
      <w:r w:rsidR="005D3F35" w:rsidRPr="006D7293">
        <w:rPr>
          <w:rFonts w:ascii="Arial" w:eastAsia="Times New Roman" w:hAnsi="Arial" w:cs="Arial"/>
          <w:b/>
          <w:bCs/>
          <w:color w:val="000000"/>
          <w:sz w:val="20"/>
          <w:szCs w:val="20"/>
        </w:rPr>
        <w:t xml:space="preserve"> Assay (TAC)</w:t>
      </w:r>
      <w:r w:rsidR="004E6F86">
        <w:rPr>
          <w:rFonts w:ascii="Arial" w:eastAsia="Times New Roman" w:hAnsi="Arial" w:cs="Arial"/>
          <w:b/>
          <w:bCs/>
          <w:color w:val="000000"/>
          <w:sz w:val="20"/>
          <w:szCs w:val="20"/>
        </w:rPr>
        <w:t>.</w:t>
      </w:r>
    </w:p>
    <w:p w14:paraId="4DC86AF1" w14:textId="1F14CE6F" w:rsidR="005D3F35" w:rsidRPr="001A7494" w:rsidRDefault="005D3F35" w:rsidP="001652E5">
      <w:pPr>
        <w:pBdr>
          <w:top w:val="nil"/>
          <w:left w:val="nil"/>
          <w:bottom w:val="nil"/>
          <w:right w:val="nil"/>
          <w:between w:val="nil"/>
        </w:pBdr>
        <w:spacing w:line="360" w:lineRule="auto"/>
        <w:jc w:val="both"/>
        <w:rPr>
          <w:rFonts w:ascii="Arial" w:eastAsia="Times New Roman" w:hAnsi="Arial" w:cs="Arial"/>
          <w:sz w:val="20"/>
          <w:szCs w:val="20"/>
        </w:rPr>
      </w:pPr>
      <w:r w:rsidRPr="001A7494">
        <w:rPr>
          <w:rFonts w:ascii="Arial" w:eastAsia="Times New Roman" w:hAnsi="Arial" w:cs="Arial"/>
          <w:color w:val="000000"/>
          <w:sz w:val="20"/>
          <w:szCs w:val="20"/>
          <w:lang w:val="en-GB"/>
        </w:rPr>
        <w:t xml:space="preserve">The total antioxidant capacity of </w:t>
      </w:r>
      <w:r w:rsidRPr="001A7494">
        <w:rPr>
          <w:rFonts w:ascii="Arial" w:eastAsia="Times New Roman" w:hAnsi="Arial" w:cs="Arial"/>
          <w:i/>
          <w:iCs/>
          <w:color w:val="000000"/>
          <w:sz w:val="20"/>
          <w:szCs w:val="20"/>
          <w:lang w:val="en-GB"/>
        </w:rPr>
        <w:t>D. latifolia</w:t>
      </w:r>
      <w:r w:rsidRPr="001A7494">
        <w:rPr>
          <w:rFonts w:ascii="Arial" w:eastAsia="Times New Roman" w:hAnsi="Arial" w:cs="Arial"/>
          <w:color w:val="000000"/>
          <w:sz w:val="20"/>
          <w:szCs w:val="20"/>
          <w:lang w:val="en-GB"/>
        </w:rPr>
        <w:t xml:space="preserve"> extracts is presented in Figure </w:t>
      </w:r>
      <w:r w:rsidR="00A5524E" w:rsidRPr="001A7494">
        <w:rPr>
          <w:rFonts w:ascii="Arial" w:eastAsia="Times New Roman" w:hAnsi="Arial" w:cs="Arial"/>
          <w:color w:val="000000"/>
          <w:sz w:val="20"/>
          <w:szCs w:val="20"/>
          <w:lang w:val="en-GB"/>
        </w:rPr>
        <w:t>4</w:t>
      </w:r>
      <w:r w:rsidRPr="001A7494">
        <w:rPr>
          <w:rFonts w:ascii="Arial" w:eastAsia="Times New Roman" w:hAnsi="Arial" w:cs="Arial"/>
          <w:color w:val="000000"/>
          <w:sz w:val="20"/>
          <w:szCs w:val="20"/>
          <w:lang w:val="en-GB"/>
        </w:rPr>
        <w:t xml:space="preserve">. The TAC values showed variation among the extracts, with EBDL exhibiting the highest activity (323.83 ± 3.70 mg AAE/g), followed by ESDL (313.33 ± 1.57 mg AAE/g), and ELDL (211.48 ± 3.78 mg AAE/g). One-way ANOVA followed by Tukey’s post hoc test revealed significant differences among the extracts. ELDL showed significantly lower TAC compared to both ESDL (p &lt; 0.0001) and EBDL (p &lt; 0.0001). Additionally, ESDL exhibited significantly lower TAC compared to EBDL (p = 0.0379). </w:t>
      </w:r>
      <w:r w:rsidRPr="001A7494">
        <w:rPr>
          <w:rFonts w:ascii="Arial" w:eastAsia="Times New Roman" w:hAnsi="Arial" w:cs="Arial"/>
          <w:sz w:val="20"/>
          <w:szCs w:val="20"/>
        </w:rPr>
        <w:t>EBDL &gt; ESDL &gt; ELDL</w:t>
      </w:r>
      <w:r w:rsidR="00976BC0" w:rsidRPr="001A7494">
        <w:rPr>
          <w:rFonts w:ascii="Arial" w:eastAsia="Times New Roman" w:hAnsi="Arial" w:cs="Arial"/>
          <w:sz w:val="20"/>
          <w:szCs w:val="20"/>
        </w:rPr>
        <w:t>.</w:t>
      </w:r>
    </w:p>
    <w:p w14:paraId="7B6D56C6" w14:textId="4BCB9A16" w:rsidR="00976BC0" w:rsidRPr="001A7494" w:rsidRDefault="00976BC0" w:rsidP="001652E5">
      <w:pPr>
        <w:pBdr>
          <w:top w:val="nil"/>
          <w:left w:val="nil"/>
          <w:bottom w:val="nil"/>
          <w:right w:val="nil"/>
          <w:between w:val="nil"/>
        </w:pBdr>
        <w:spacing w:line="360" w:lineRule="auto"/>
        <w:jc w:val="both"/>
        <w:rPr>
          <w:rFonts w:ascii="Arial" w:eastAsia="Times New Roman" w:hAnsi="Arial" w:cs="Arial"/>
          <w:b/>
          <w:bCs/>
          <w:i/>
          <w:iCs/>
          <w:sz w:val="20"/>
          <w:szCs w:val="20"/>
        </w:rPr>
      </w:pPr>
    </w:p>
    <w:p w14:paraId="4AB83746" w14:textId="772B5700" w:rsidR="00976BC0" w:rsidRPr="001A7494" w:rsidRDefault="00A5524E" w:rsidP="001652E5">
      <w:pPr>
        <w:keepNext/>
        <w:pBdr>
          <w:top w:val="nil"/>
          <w:left w:val="nil"/>
          <w:bottom w:val="nil"/>
          <w:right w:val="nil"/>
          <w:between w:val="nil"/>
        </w:pBdr>
        <w:spacing w:line="360" w:lineRule="auto"/>
        <w:jc w:val="both"/>
        <w:rPr>
          <w:rFonts w:ascii="Arial" w:hAnsi="Arial" w:cs="Arial"/>
          <w:sz w:val="20"/>
          <w:szCs w:val="20"/>
        </w:rPr>
      </w:pPr>
      <w:r w:rsidRPr="001A7494">
        <w:rPr>
          <w:rFonts w:ascii="Arial" w:hAnsi="Arial" w:cs="Arial"/>
          <w:noProof/>
          <w:sz w:val="20"/>
          <w:szCs w:val="20"/>
        </w:rPr>
        <w:lastRenderedPageBreak/>
        <w:drawing>
          <wp:inline distT="0" distB="0" distL="0" distR="0" wp14:anchorId="3D27E1C1" wp14:editId="6707C4AE">
            <wp:extent cx="3748617" cy="3663880"/>
            <wp:effectExtent l="19050" t="19050" r="23495" b="13335"/>
            <wp:docPr id="43606125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763439" cy="3678367"/>
                    </a:xfrm>
                    <a:prstGeom prst="rect">
                      <a:avLst/>
                    </a:prstGeom>
                    <a:noFill/>
                    <a:ln>
                      <a:solidFill>
                        <a:schemeClr val="tx1"/>
                      </a:solidFill>
                    </a:ln>
                  </pic:spPr>
                </pic:pic>
              </a:graphicData>
            </a:graphic>
          </wp:inline>
        </w:drawing>
      </w:r>
    </w:p>
    <w:p w14:paraId="676632A5" w14:textId="7CDB870A" w:rsidR="00DF7FDB" w:rsidRPr="00DF7FDB" w:rsidRDefault="00DF7FDB" w:rsidP="00DF7FDB">
      <w:pPr>
        <w:pStyle w:val="Caption"/>
        <w:spacing w:after="0" w:line="360" w:lineRule="auto"/>
        <w:ind w:right="146"/>
        <w:jc w:val="both"/>
        <w:rPr>
          <w:rFonts w:ascii="Arial" w:eastAsia="Times New Roman" w:hAnsi="Arial" w:cs="Arial"/>
          <w:b/>
          <w:bCs/>
          <w:i w:val="0"/>
          <w:iCs w:val="0"/>
          <w:color w:val="auto"/>
          <w:sz w:val="20"/>
          <w:szCs w:val="20"/>
        </w:rPr>
      </w:pPr>
      <w:r w:rsidRPr="00DF7FDB">
        <w:rPr>
          <w:rFonts w:ascii="Arial" w:eastAsia="Times New Roman" w:hAnsi="Arial" w:cs="Arial"/>
          <w:b/>
          <w:bCs/>
          <w:i w:val="0"/>
          <w:iCs w:val="0"/>
          <w:color w:val="auto"/>
          <w:sz w:val="20"/>
          <w:szCs w:val="20"/>
        </w:rPr>
        <w:t>Figure 4. Total Antioxidant Capacity and Reducing Power Activity assays of Dalbergia latifolia extracts.</w:t>
      </w:r>
    </w:p>
    <w:p w14:paraId="7F1A022B" w14:textId="56B1C4E6" w:rsidR="005D3F35" w:rsidRPr="00DF7FDB" w:rsidRDefault="00976BC0" w:rsidP="00DF7FDB">
      <w:pPr>
        <w:pStyle w:val="Caption"/>
        <w:spacing w:after="160" w:line="360" w:lineRule="auto"/>
        <w:ind w:right="146"/>
        <w:jc w:val="both"/>
        <w:rPr>
          <w:rFonts w:ascii="Arial" w:eastAsia="Times New Roman" w:hAnsi="Arial" w:cs="Arial"/>
          <w:color w:val="auto"/>
          <w:sz w:val="20"/>
          <w:szCs w:val="20"/>
          <w:lang w:val="en-GB"/>
        </w:rPr>
      </w:pPr>
      <w:r w:rsidRPr="00DF7FDB">
        <w:rPr>
          <w:rFonts w:ascii="Arial" w:eastAsia="Times New Roman" w:hAnsi="Arial" w:cs="Arial"/>
          <w:color w:val="auto"/>
          <w:sz w:val="20"/>
          <w:szCs w:val="20"/>
        </w:rPr>
        <w:t>TAC, Total antioxidant capacity; RPA, Reducing power activity; SE, standard equivalent. V</w:t>
      </w:r>
      <w:r w:rsidRPr="00DF7FDB">
        <w:rPr>
          <w:rFonts w:ascii="Arial" w:hAnsi="Arial" w:cs="Arial"/>
          <w:color w:val="auto"/>
          <w:sz w:val="20"/>
          <w:szCs w:val="20"/>
        </w:rPr>
        <w:t xml:space="preserve">alues expressed as mean ± SD, </w:t>
      </w:r>
      <w:r w:rsidR="00BF16AF" w:rsidRPr="00DF7FDB">
        <w:rPr>
          <w:rFonts w:ascii="Arial" w:hAnsi="Arial" w:cs="Arial"/>
          <w:color w:val="auto"/>
          <w:sz w:val="20"/>
          <w:szCs w:val="20"/>
        </w:rPr>
        <w:t>n</w:t>
      </w:r>
      <w:r w:rsidRPr="00DF7FDB">
        <w:rPr>
          <w:rFonts w:ascii="Arial" w:hAnsi="Arial" w:cs="Arial"/>
          <w:color w:val="auto"/>
          <w:sz w:val="20"/>
          <w:szCs w:val="20"/>
        </w:rPr>
        <w:t>=3</w:t>
      </w:r>
      <w:r w:rsidRPr="00DF7FDB">
        <w:rPr>
          <w:rFonts w:ascii="Arial" w:eastAsia="Times New Roman" w:hAnsi="Arial" w:cs="Arial"/>
          <w:color w:val="auto"/>
          <w:sz w:val="20"/>
          <w:szCs w:val="20"/>
          <w:lang w:val="en-GB"/>
        </w:rPr>
        <w:t>.</w:t>
      </w:r>
    </w:p>
    <w:p w14:paraId="1F3DA8D2" w14:textId="77777777" w:rsidR="004E6F86" w:rsidRPr="004E6F86" w:rsidRDefault="004E6F86" w:rsidP="004E6F86">
      <w:pPr>
        <w:rPr>
          <w:lang w:val="en-GB"/>
        </w:rPr>
      </w:pPr>
    </w:p>
    <w:p w14:paraId="21EEB921" w14:textId="1B82460D" w:rsidR="009C6FC0" w:rsidRPr="006D7293" w:rsidRDefault="005D3F35" w:rsidP="001652E5">
      <w:pPr>
        <w:pStyle w:val="ListParagraph"/>
        <w:numPr>
          <w:ilvl w:val="2"/>
          <w:numId w:val="3"/>
        </w:numPr>
        <w:pBdr>
          <w:top w:val="nil"/>
          <w:left w:val="nil"/>
          <w:bottom w:val="nil"/>
          <w:right w:val="nil"/>
          <w:between w:val="nil"/>
        </w:pBdr>
        <w:spacing w:line="360" w:lineRule="auto"/>
        <w:contextualSpacing w:val="0"/>
        <w:jc w:val="both"/>
        <w:rPr>
          <w:rFonts w:ascii="Arial" w:eastAsia="Times New Roman" w:hAnsi="Arial" w:cs="Arial"/>
          <w:b/>
          <w:bCs/>
          <w:color w:val="000000"/>
          <w:sz w:val="20"/>
          <w:szCs w:val="20"/>
          <w:lang w:val="en-GB"/>
        </w:rPr>
      </w:pPr>
      <w:r w:rsidRPr="006D7293">
        <w:rPr>
          <w:rFonts w:ascii="Arial" w:eastAsia="Times New Roman" w:hAnsi="Arial" w:cs="Arial"/>
          <w:b/>
          <w:bCs/>
          <w:color w:val="000000"/>
          <w:sz w:val="20"/>
          <w:szCs w:val="20"/>
        </w:rPr>
        <w:t>Reducing Power Assay (RPA)</w:t>
      </w:r>
      <w:r w:rsidR="004E6F86">
        <w:rPr>
          <w:rFonts w:ascii="Arial" w:eastAsia="Times New Roman" w:hAnsi="Arial" w:cs="Arial"/>
          <w:b/>
          <w:bCs/>
          <w:color w:val="000000"/>
          <w:sz w:val="20"/>
          <w:szCs w:val="20"/>
        </w:rPr>
        <w:t>.</w:t>
      </w:r>
    </w:p>
    <w:p w14:paraId="05EA3D0B" w14:textId="4D036F04" w:rsidR="00334AA6" w:rsidRPr="001A7494" w:rsidRDefault="005D3F35" w:rsidP="004E6F86">
      <w:pPr>
        <w:spacing w:after="240" w:line="360" w:lineRule="auto"/>
        <w:jc w:val="both"/>
        <w:rPr>
          <w:rFonts w:ascii="Arial" w:eastAsia="Times New Roman" w:hAnsi="Arial" w:cs="Arial"/>
          <w:sz w:val="20"/>
          <w:szCs w:val="20"/>
        </w:rPr>
      </w:pPr>
      <w:r w:rsidRPr="001A7494">
        <w:rPr>
          <w:rFonts w:ascii="Arial" w:eastAsia="Times New Roman" w:hAnsi="Arial" w:cs="Arial"/>
          <w:sz w:val="20"/>
          <w:szCs w:val="20"/>
        </w:rPr>
        <w:t xml:space="preserve">The reducing power of the extracts is shown in Figure </w:t>
      </w:r>
      <w:r w:rsidR="00A5524E" w:rsidRPr="001A7494">
        <w:rPr>
          <w:rFonts w:ascii="Arial" w:eastAsia="Times New Roman" w:hAnsi="Arial" w:cs="Arial"/>
          <w:sz w:val="20"/>
          <w:szCs w:val="20"/>
        </w:rPr>
        <w:t>4</w:t>
      </w:r>
      <w:r w:rsidRPr="001A7494">
        <w:rPr>
          <w:rFonts w:ascii="Arial" w:eastAsia="Times New Roman" w:hAnsi="Arial" w:cs="Arial"/>
          <w:sz w:val="20"/>
          <w:szCs w:val="20"/>
        </w:rPr>
        <w:t xml:space="preserve">. The RPA values were 272.84 ± 6.23 mg BHT/g for ELDL, 274.07 ± 5.09 mg BHT/g for ESDL, and 286.22 ± 9.37 mg BHT/g for EBDL, indicating relatively similar reducing capacities across the extracts. One-way ANOVA revealed no statistically significant differences in reducing power among the extracts (p = 0.1621). These findings indicate that the reducing power of ELDL, ESDL, and EBDL is comparable, with no extract demonstrating significantly stronger or weaker activity than the others. </w:t>
      </w:r>
    </w:p>
    <w:p w14:paraId="7A18919C" w14:textId="1A7EC128" w:rsidR="005D3F35" w:rsidRPr="006D7293" w:rsidRDefault="005D3F35" w:rsidP="001652E5">
      <w:pPr>
        <w:pStyle w:val="ListParagraph"/>
        <w:numPr>
          <w:ilvl w:val="2"/>
          <w:numId w:val="3"/>
        </w:numPr>
        <w:pBdr>
          <w:top w:val="nil"/>
          <w:left w:val="nil"/>
          <w:bottom w:val="nil"/>
          <w:right w:val="nil"/>
          <w:between w:val="nil"/>
        </w:pBdr>
        <w:spacing w:line="360" w:lineRule="auto"/>
        <w:contextualSpacing w:val="0"/>
        <w:jc w:val="both"/>
        <w:rPr>
          <w:rFonts w:ascii="Arial" w:eastAsia="Times New Roman" w:hAnsi="Arial" w:cs="Arial"/>
          <w:b/>
          <w:bCs/>
          <w:sz w:val="20"/>
          <w:szCs w:val="20"/>
        </w:rPr>
      </w:pPr>
      <w:r w:rsidRPr="006D7293">
        <w:rPr>
          <w:rFonts w:ascii="Arial" w:eastAsia="Times New Roman" w:hAnsi="Arial" w:cs="Arial"/>
          <w:b/>
          <w:bCs/>
          <w:sz w:val="20"/>
          <w:szCs w:val="20"/>
        </w:rPr>
        <w:t>DPPH Radical Scavenging Activity</w:t>
      </w:r>
      <w:r w:rsidR="0010785D">
        <w:rPr>
          <w:rFonts w:ascii="Arial" w:eastAsia="Times New Roman" w:hAnsi="Arial" w:cs="Arial"/>
          <w:b/>
          <w:bCs/>
          <w:sz w:val="20"/>
          <w:szCs w:val="20"/>
        </w:rPr>
        <w:t>.</w:t>
      </w:r>
    </w:p>
    <w:p w14:paraId="66C5E0FA" w14:textId="6E76C0D9" w:rsidR="005D3F35" w:rsidRDefault="005D3F35" w:rsidP="001652E5">
      <w:pPr>
        <w:pBdr>
          <w:top w:val="nil"/>
          <w:left w:val="nil"/>
          <w:bottom w:val="nil"/>
          <w:right w:val="nil"/>
          <w:between w:val="nil"/>
        </w:pBdr>
        <w:spacing w:line="360" w:lineRule="auto"/>
        <w:jc w:val="both"/>
        <w:rPr>
          <w:rFonts w:ascii="Arial" w:eastAsia="Caudex" w:hAnsi="Arial" w:cs="Arial"/>
          <w:sz w:val="20"/>
          <w:szCs w:val="20"/>
        </w:rPr>
      </w:pPr>
      <w:r w:rsidRPr="001A7494">
        <w:rPr>
          <w:rFonts w:ascii="Arial" w:eastAsia="Times New Roman" w:hAnsi="Arial" w:cs="Arial"/>
          <w:sz w:val="20"/>
          <w:szCs w:val="20"/>
          <w:lang w:val="en-GB"/>
        </w:rPr>
        <w:t xml:space="preserve">The DPPH radical scavenging activity of </w:t>
      </w:r>
      <w:r w:rsidRPr="001A7494">
        <w:rPr>
          <w:rFonts w:ascii="Arial" w:eastAsia="Times New Roman" w:hAnsi="Arial" w:cs="Arial"/>
          <w:i/>
          <w:iCs/>
          <w:sz w:val="20"/>
          <w:szCs w:val="20"/>
          <w:lang w:val="en-GB"/>
        </w:rPr>
        <w:t>D. latifolia</w:t>
      </w:r>
      <w:r w:rsidRPr="001A7494">
        <w:rPr>
          <w:rFonts w:ascii="Arial" w:eastAsia="Times New Roman" w:hAnsi="Arial" w:cs="Arial"/>
          <w:sz w:val="20"/>
          <w:szCs w:val="20"/>
          <w:lang w:val="en-GB"/>
        </w:rPr>
        <w:t xml:space="preserve"> extracts increased in a concentration-dependent manner (Figure </w:t>
      </w:r>
      <w:r w:rsidR="00A5524E" w:rsidRPr="001A7494">
        <w:rPr>
          <w:rFonts w:ascii="Arial" w:eastAsia="Times New Roman" w:hAnsi="Arial" w:cs="Arial"/>
          <w:sz w:val="20"/>
          <w:szCs w:val="20"/>
          <w:lang w:val="en-GB"/>
        </w:rPr>
        <w:t>5</w:t>
      </w:r>
      <w:r w:rsidRPr="001A7494">
        <w:rPr>
          <w:rFonts w:ascii="Arial" w:eastAsia="Times New Roman" w:hAnsi="Arial" w:cs="Arial"/>
          <w:sz w:val="20"/>
          <w:szCs w:val="20"/>
          <w:lang w:val="en-GB"/>
        </w:rPr>
        <w:t>). All extracts showed a gradual rise in % inhibition with increasing concentration, reaching a plateau at higher concentrations. The standard (ascorbic acid) achieved comparable inhibition at lower concentrations.</w:t>
      </w:r>
      <w:r w:rsidR="00A5524E" w:rsidRPr="001A7494">
        <w:rPr>
          <w:rFonts w:ascii="Arial" w:eastAsia="Times New Roman" w:hAnsi="Arial" w:cs="Arial"/>
          <w:sz w:val="20"/>
          <w:szCs w:val="20"/>
          <w:lang w:val="en-GB"/>
        </w:rPr>
        <w:t xml:space="preserve"> </w:t>
      </w:r>
      <w:r w:rsidRPr="001A7494">
        <w:rPr>
          <w:rFonts w:ascii="Arial" w:eastAsia="Times New Roman" w:hAnsi="Arial" w:cs="Arial"/>
          <w:sz w:val="20"/>
          <w:szCs w:val="20"/>
          <w:lang w:val="en-GB"/>
        </w:rPr>
        <w:t>ELDL and ESDL exhibited comparable IC</w:t>
      </w:r>
      <w:r w:rsidRPr="001A7494">
        <w:rPr>
          <w:rFonts w:ascii="Cambria Math" w:eastAsia="Times New Roman" w:hAnsi="Cambria Math" w:cs="Cambria Math"/>
          <w:sz w:val="20"/>
          <w:szCs w:val="20"/>
          <w:lang w:val="en-GB"/>
        </w:rPr>
        <w:t>₅₀</w:t>
      </w:r>
      <w:r w:rsidRPr="001A7494">
        <w:rPr>
          <w:rFonts w:ascii="Arial" w:eastAsia="Times New Roman" w:hAnsi="Arial" w:cs="Arial"/>
          <w:sz w:val="20"/>
          <w:szCs w:val="20"/>
          <w:lang w:val="en-GB"/>
        </w:rPr>
        <w:t xml:space="preserve"> values (16.00 ± 0.76 µg/mL and 16.18 ± 0.18 </w:t>
      </w:r>
      <w:r w:rsidRPr="001A7494">
        <w:rPr>
          <w:rFonts w:ascii="Arial" w:eastAsia="Times New Roman" w:hAnsi="Arial" w:cs="Arial"/>
          <w:sz w:val="20"/>
          <w:szCs w:val="20"/>
          <w:lang w:val="en-GB"/>
        </w:rPr>
        <w:lastRenderedPageBreak/>
        <w:t>µg/mL, respectively), while EBDL showed a higher IC</w:t>
      </w:r>
      <w:r w:rsidRPr="001A7494">
        <w:rPr>
          <w:rFonts w:ascii="Cambria Math" w:eastAsia="Times New Roman" w:hAnsi="Cambria Math" w:cs="Cambria Math"/>
          <w:sz w:val="20"/>
          <w:szCs w:val="20"/>
          <w:lang w:val="en-GB"/>
        </w:rPr>
        <w:t>₅₀</w:t>
      </w:r>
      <w:r w:rsidRPr="001A7494">
        <w:rPr>
          <w:rFonts w:ascii="Arial" w:eastAsia="Times New Roman" w:hAnsi="Arial" w:cs="Arial"/>
          <w:sz w:val="20"/>
          <w:szCs w:val="20"/>
          <w:lang w:val="en-GB"/>
        </w:rPr>
        <w:t xml:space="preserve"> value (31.26 ± 3.67 µg/mL). The standard demonstrated an IC</w:t>
      </w:r>
      <w:r w:rsidRPr="001A7494">
        <w:rPr>
          <w:rFonts w:ascii="Cambria Math" w:eastAsia="Times New Roman" w:hAnsi="Cambria Math" w:cs="Cambria Math"/>
          <w:sz w:val="20"/>
          <w:szCs w:val="20"/>
          <w:lang w:val="en-GB"/>
        </w:rPr>
        <w:t>₅₀</w:t>
      </w:r>
      <w:r w:rsidRPr="001A7494">
        <w:rPr>
          <w:rFonts w:ascii="Arial" w:eastAsia="Times New Roman" w:hAnsi="Arial" w:cs="Arial"/>
          <w:sz w:val="20"/>
          <w:szCs w:val="20"/>
          <w:lang w:val="en-GB"/>
        </w:rPr>
        <w:t xml:space="preserve"> of 21.68 ± 0.36 µg/mL. One-way ANOVA revealed significant differences among the groups (p &lt; 0.001). Tukey’s post hoc analysis indicated no significant difference between ELDL and ESDL (p = 0.9994). Both ELDL and ESDL showed significantly lower IC</w:t>
      </w:r>
      <w:r w:rsidRPr="001A7494">
        <w:rPr>
          <w:rFonts w:ascii="Cambria Math" w:eastAsia="Times New Roman" w:hAnsi="Cambria Math" w:cs="Cambria Math"/>
          <w:sz w:val="20"/>
          <w:szCs w:val="20"/>
          <w:lang w:val="en-GB"/>
        </w:rPr>
        <w:t>₅₀</w:t>
      </w:r>
      <w:r w:rsidRPr="001A7494">
        <w:rPr>
          <w:rFonts w:ascii="Arial" w:eastAsia="Times New Roman" w:hAnsi="Arial" w:cs="Arial"/>
          <w:sz w:val="20"/>
          <w:szCs w:val="20"/>
          <w:lang w:val="en-GB"/>
        </w:rPr>
        <w:t xml:space="preserve"> values compared to the standard (ELDL vs STD, p = 0.0254; ESDL vs STD, p = 0.0297). In contrast, EBDL exhibited significantly higher IC</w:t>
      </w:r>
      <w:r w:rsidRPr="001A7494">
        <w:rPr>
          <w:rFonts w:ascii="Cambria Math" w:eastAsia="Times New Roman" w:hAnsi="Cambria Math" w:cs="Cambria Math"/>
          <w:sz w:val="20"/>
          <w:szCs w:val="20"/>
          <w:lang w:val="en-GB"/>
        </w:rPr>
        <w:t>₅₀</w:t>
      </w:r>
      <w:r w:rsidRPr="001A7494">
        <w:rPr>
          <w:rFonts w:ascii="Arial" w:eastAsia="Times New Roman" w:hAnsi="Arial" w:cs="Arial"/>
          <w:sz w:val="20"/>
          <w:szCs w:val="20"/>
          <w:lang w:val="en-GB"/>
        </w:rPr>
        <w:t xml:space="preserve"> values compared to all other groups (ELDL vs EBDL, p &lt; 0.0001; ESDL vs EBDL, p &lt; 0.0001; EBDL vs STD, p = 0.0011). </w:t>
      </w:r>
      <w:r w:rsidRPr="001A7494">
        <w:rPr>
          <w:rFonts w:ascii="Arial" w:eastAsia="Caudex" w:hAnsi="Arial" w:cs="Arial"/>
          <w:sz w:val="20"/>
          <w:szCs w:val="20"/>
        </w:rPr>
        <w:t>ELDL ≈ ESDL &gt; STD &gt; EBDL</w:t>
      </w:r>
      <w:r w:rsidR="004E6F86">
        <w:rPr>
          <w:rFonts w:ascii="Arial" w:eastAsia="Caudex" w:hAnsi="Arial" w:cs="Arial"/>
          <w:sz w:val="20"/>
          <w:szCs w:val="20"/>
        </w:rPr>
        <w:t>.</w:t>
      </w:r>
    </w:p>
    <w:p w14:paraId="041E6096" w14:textId="77777777" w:rsidR="00DF7FDB" w:rsidRPr="001A7494" w:rsidRDefault="00DF7FDB" w:rsidP="001652E5">
      <w:pPr>
        <w:pBdr>
          <w:top w:val="nil"/>
          <w:left w:val="nil"/>
          <w:bottom w:val="nil"/>
          <w:right w:val="nil"/>
          <w:between w:val="nil"/>
        </w:pBdr>
        <w:spacing w:line="360" w:lineRule="auto"/>
        <w:jc w:val="both"/>
        <w:rPr>
          <w:rFonts w:ascii="Arial" w:eastAsia="Times New Roman" w:hAnsi="Arial" w:cs="Arial"/>
          <w:sz w:val="20"/>
          <w:szCs w:val="20"/>
          <w:lang w:val="en-GB"/>
        </w:rPr>
      </w:pPr>
    </w:p>
    <w:p w14:paraId="001DD5A1" w14:textId="77777777" w:rsidR="00976BC0" w:rsidRPr="001A7494" w:rsidRDefault="00436B3D" w:rsidP="001652E5">
      <w:pPr>
        <w:keepNext/>
        <w:pBdr>
          <w:top w:val="nil"/>
          <w:left w:val="nil"/>
          <w:bottom w:val="nil"/>
          <w:right w:val="nil"/>
          <w:between w:val="nil"/>
        </w:pBdr>
        <w:spacing w:line="360" w:lineRule="auto"/>
        <w:jc w:val="both"/>
        <w:rPr>
          <w:rFonts w:ascii="Arial" w:hAnsi="Arial" w:cs="Arial"/>
          <w:sz w:val="20"/>
          <w:szCs w:val="20"/>
        </w:rPr>
      </w:pPr>
      <w:r w:rsidRPr="001A7494">
        <w:rPr>
          <w:rFonts w:ascii="Arial" w:eastAsia="Caudex" w:hAnsi="Arial" w:cs="Arial"/>
          <w:noProof/>
          <w:sz w:val="20"/>
          <w:szCs w:val="20"/>
        </w:rPr>
        <w:drawing>
          <wp:inline distT="0" distB="0" distL="0" distR="0" wp14:anchorId="2288164F" wp14:editId="28797C09">
            <wp:extent cx="5330391" cy="3259667"/>
            <wp:effectExtent l="19050" t="19050" r="22860" b="17145"/>
            <wp:docPr id="6042775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32556" cy="3260991"/>
                    </a:xfrm>
                    <a:prstGeom prst="rect">
                      <a:avLst/>
                    </a:prstGeom>
                    <a:noFill/>
                    <a:ln>
                      <a:solidFill>
                        <a:schemeClr val="tx1"/>
                      </a:solidFill>
                    </a:ln>
                  </pic:spPr>
                </pic:pic>
              </a:graphicData>
            </a:graphic>
          </wp:inline>
        </w:drawing>
      </w:r>
    </w:p>
    <w:p w14:paraId="1C6C0FB2" w14:textId="77777777" w:rsidR="00DF7FDB" w:rsidRPr="00DF7FDB" w:rsidRDefault="00DF7FDB" w:rsidP="00DF7FDB">
      <w:pPr>
        <w:pBdr>
          <w:top w:val="nil"/>
          <w:left w:val="nil"/>
          <w:bottom w:val="nil"/>
          <w:right w:val="nil"/>
          <w:between w:val="nil"/>
        </w:pBdr>
        <w:spacing w:after="0" w:line="360" w:lineRule="auto"/>
        <w:jc w:val="both"/>
        <w:rPr>
          <w:rFonts w:ascii="Arial" w:eastAsia="Caudex" w:hAnsi="Arial" w:cs="Arial"/>
          <w:b/>
          <w:bCs/>
          <w:sz w:val="20"/>
          <w:szCs w:val="20"/>
        </w:rPr>
      </w:pPr>
      <w:r w:rsidRPr="00DF7FDB">
        <w:rPr>
          <w:rFonts w:ascii="Arial" w:eastAsia="Caudex" w:hAnsi="Arial" w:cs="Arial"/>
          <w:b/>
          <w:bCs/>
          <w:sz w:val="20"/>
          <w:szCs w:val="20"/>
        </w:rPr>
        <w:t>Figure 5. DPPH Scavenging Activity of Dalbergia latifolia extracts.</w:t>
      </w:r>
    </w:p>
    <w:p w14:paraId="1E099CBE" w14:textId="5C626448" w:rsidR="00436B3D" w:rsidRPr="00DF7FDB" w:rsidRDefault="00976BC0" w:rsidP="001652E5">
      <w:pPr>
        <w:pStyle w:val="Caption"/>
        <w:spacing w:after="160" w:line="360" w:lineRule="auto"/>
        <w:jc w:val="both"/>
        <w:rPr>
          <w:rFonts w:ascii="Arial" w:eastAsia="Times New Roman" w:hAnsi="Arial" w:cs="Arial"/>
          <w:color w:val="auto"/>
          <w:sz w:val="20"/>
          <w:szCs w:val="20"/>
          <w:lang w:val="en-GB"/>
        </w:rPr>
      </w:pPr>
      <w:r w:rsidRPr="00DF7FDB">
        <w:rPr>
          <w:rFonts w:ascii="Arial" w:eastAsia="Times New Roman" w:hAnsi="Arial" w:cs="Arial"/>
          <w:color w:val="auto"/>
          <w:sz w:val="20"/>
          <w:szCs w:val="20"/>
          <w:lang w:val="en-GB"/>
        </w:rPr>
        <w:t xml:space="preserve">STD AA- standard ascorbic acid. </w:t>
      </w:r>
      <w:r w:rsidR="000A31D1" w:rsidRPr="00DF7FDB">
        <w:rPr>
          <w:rFonts w:ascii="Arial" w:eastAsia="Times New Roman" w:hAnsi="Arial" w:cs="Arial"/>
          <w:color w:val="auto"/>
          <w:sz w:val="20"/>
          <w:szCs w:val="20"/>
        </w:rPr>
        <w:t xml:space="preserve"> V</w:t>
      </w:r>
      <w:r w:rsidR="000A31D1" w:rsidRPr="00DF7FDB">
        <w:rPr>
          <w:rFonts w:ascii="Arial" w:hAnsi="Arial" w:cs="Arial"/>
          <w:color w:val="auto"/>
          <w:sz w:val="20"/>
          <w:szCs w:val="20"/>
        </w:rPr>
        <w:t xml:space="preserve">alues plotted as mean ± SD, </w:t>
      </w:r>
      <w:r w:rsidR="00DF7FDB">
        <w:rPr>
          <w:rFonts w:ascii="Arial" w:hAnsi="Arial" w:cs="Arial"/>
          <w:color w:val="auto"/>
          <w:sz w:val="20"/>
          <w:szCs w:val="20"/>
        </w:rPr>
        <w:t>n</w:t>
      </w:r>
      <w:r w:rsidR="0010785D">
        <w:rPr>
          <w:rFonts w:ascii="Arial" w:hAnsi="Arial" w:cs="Arial"/>
          <w:color w:val="auto"/>
          <w:sz w:val="20"/>
          <w:szCs w:val="20"/>
        </w:rPr>
        <w:t xml:space="preserve"> </w:t>
      </w:r>
      <w:r w:rsidR="000A31D1" w:rsidRPr="00DF7FDB">
        <w:rPr>
          <w:rFonts w:ascii="Arial" w:hAnsi="Arial" w:cs="Arial"/>
          <w:color w:val="auto"/>
          <w:sz w:val="20"/>
          <w:szCs w:val="20"/>
        </w:rPr>
        <w:t xml:space="preserve">=3. </w:t>
      </w:r>
    </w:p>
    <w:p w14:paraId="13BB7587" w14:textId="6F991917" w:rsidR="00334AA6" w:rsidRPr="001A7494" w:rsidRDefault="00334AA6" w:rsidP="001652E5">
      <w:pPr>
        <w:pBdr>
          <w:top w:val="nil"/>
          <w:left w:val="nil"/>
          <w:bottom w:val="nil"/>
          <w:right w:val="nil"/>
          <w:between w:val="nil"/>
        </w:pBdr>
        <w:spacing w:line="360" w:lineRule="auto"/>
        <w:jc w:val="both"/>
        <w:rPr>
          <w:rFonts w:ascii="Arial" w:eastAsia="Times New Roman" w:hAnsi="Arial" w:cs="Arial"/>
          <w:sz w:val="20"/>
          <w:szCs w:val="20"/>
        </w:rPr>
      </w:pPr>
    </w:p>
    <w:p w14:paraId="19987524" w14:textId="46648CEA" w:rsidR="00334AA6" w:rsidRPr="006D7293" w:rsidRDefault="005D3F35" w:rsidP="001652E5">
      <w:pPr>
        <w:pStyle w:val="ListParagraph"/>
        <w:numPr>
          <w:ilvl w:val="2"/>
          <w:numId w:val="3"/>
        </w:numPr>
        <w:spacing w:line="360" w:lineRule="auto"/>
        <w:contextualSpacing w:val="0"/>
        <w:jc w:val="both"/>
        <w:rPr>
          <w:rFonts w:ascii="Arial" w:eastAsia="Times New Roman" w:hAnsi="Arial" w:cs="Arial"/>
          <w:b/>
          <w:bCs/>
          <w:sz w:val="20"/>
          <w:szCs w:val="20"/>
        </w:rPr>
      </w:pPr>
      <w:r w:rsidRPr="006D7293">
        <w:rPr>
          <w:rFonts w:ascii="Arial" w:eastAsia="Times New Roman" w:hAnsi="Arial" w:cs="Arial"/>
          <w:b/>
          <w:bCs/>
          <w:sz w:val="20"/>
          <w:szCs w:val="20"/>
        </w:rPr>
        <w:t>ABTS Radical Scavenging Activity</w:t>
      </w:r>
      <w:r w:rsidR="0010785D">
        <w:rPr>
          <w:rFonts w:ascii="Arial" w:eastAsia="Times New Roman" w:hAnsi="Arial" w:cs="Arial"/>
          <w:b/>
          <w:bCs/>
          <w:sz w:val="20"/>
          <w:szCs w:val="20"/>
        </w:rPr>
        <w:t>.</w:t>
      </w:r>
    </w:p>
    <w:p w14:paraId="6D82F7D2" w14:textId="4EA828C2" w:rsidR="005D3F35" w:rsidRDefault="005D3F35" w:rsidP="001652E5">
      <w:pPr>
        <w:spacing w:line="360" w:lineRule="auto"/>
        <w:jc w:val="both"/>
        <w:rPr>
          <w:rFonts w:ascii="Arial" w:eastAsia="Caudex" w:hAnsi="Arial" w:cs="Arial"/>
          <w:sz w:val="20"/>
          <w:szCs w:val="20"/>
        </w:rPr>
      </w:pPr>
      <w:r w:rsidRPr="001A7494">
        <w:rPr>
          <w:rFonts w:ascii="Arial" w:eastAsia="Times New Roman" w:hAnsi="Arial" w:cs="Arial"/>
          <w:sz w:val="20"/>
          <w:szCs w:val="20"/>
          <w:lang w:val="en-GB"/>
        </w:rPr>
        <w:t xml:space="preserve">The ABTS radical scavenging activity of the extracts also increased with concentration (Figure </w:t>
      </w:r>
      <w:r w:rsidR="005A279B" w:rsidRPr="001A7494">
        <w:rPr>
          <w:rFonts w:ascii="Arial" w:eastAsia="Times New Roman" w:hAnsi="Arial" w:cs="Arial"/>
          <w:sz w:val="20"/>
          <w:szCs w:val="20"/>
          <w:lang w:val="en-GB"/>
        </w:rPr>
        <w:t>6.</w:t>
      </w:r>
      <w:r w:rsidRPr="001A7494">
        <w:rPr>
          <w:rFonts w:ascii="Arial" w:eastAsia="Times New Roman" w:hAnsi="Arial" w:cs="Arial"/>
          <w:sz w:val="20"/>
          <w:szCs w:val="20"/>
          <w:lang w:val="en-GB"/>
        </w:rPr>
        <w:t>). EBDL showed a pronounced increase, reaching near-complete inhibition (~100%) at higher concentrations. ELDL and ESDL exhibited comparable activity at lower to moderate concentrations, achieving approximately 70–80% inhibition. The standard (Trolox) demonstrated high scavenging activity at relatively lower concentrations.</w:t>
      </w:r>
      <w:r w:rsidR="005A279B" w:rsidRPr="001A7494">
        <w:rPr>
          <w:rFonts w:ascii="Arial" w:eastAsia="Times New Roman" w:hAnsi="Arial" w:cs="Arial"/>
          <w:sz w:val="20"/>
          <w:szCs w:val="20"/>
          <w:lang w:val="en-GB"/>
        </w:rPr>
        <w:t xml:space="preserve"> </w:t>
      </w:r>
      <w:r w:rsidRPr="001A7494">
        <w:rPr>
          <w:rFonts w:ascii="Arial" w:eastAsia="Times New Roman" w:hAnsi="Arial" w:cs="Arial"/>
          <w:sz w:val="20"/>
          <w:szCs w:val="20"/>
          <w:lang w:val="en-GB"/>
        </w:rPr>
        <w:t>ELDL and ESDL exhibited IC</w:t>
      </w:r>
      <w:r w:rsidRPr="001A7494">
        <w:rPr>
          <w:rFonts w:ascii="Cambria Math" w:eastAsia="Times New Roman" w:hAnsi="Cambria Math" w:cs="Cambria Math"/>
          <w:sz w:val="20"/>
          <w:szCs w:val="20"/>
          <w:lang w:val="en-GB"/>
        </w:rPr>
        <w:t>₅₀</w:t>
      </w:r>
      <w:r w:rsidRPr="001A7494">
        <w:rPr>
          <w:rFonts w:ascii="Arial" w:eastAsia="Times New Roman" w:hAnsi="Arial" w:cs="Arial"/>
          <w:sz w:val="20"/>
          <w:szCs w:val="20"/>
          <w:lang w:val="en-GB"/>
        </w:rPr>
        <w:t xml:space="preserve"> values of 5.53 ± 0.34 µg/mL and 7.33 ± 1.83 µg/mL, respectively, while EBDL showed a higher IC</w:t>
      </w:r>
      <w:r w:rsidRPr="001A7494">
        <w:rPr>
          <w:rFonts w:ascii="Cambria Math" w:eastAsia="Times New Roman" w:hAnsi="Cambria Math" w:cs="Cambria Math"/>
          <w:sz w:val="20"/>
          <w:szCs w:val="20"/>
          <w:lang w:val="en-GB"/>
        </w:rPr>
        <w:t>₅₀</w:t>
      </w:r>
      <w:r w:rsidRPr="001A7494">
        <w:rPr>
          <w:rFonts w:ascii="Arial" w:eastAsia="Times New Roman" w:hAnsi="Arial" w:cs="Arial"/>
          <w:sz w:val="20"/>
          <w:szCs w:val="20"/>
          <w:lang w:val="en-GB"/>
        </w:rPr>
        <w:t xml:space="preserve"> value (22.82 ± 0.70 µg/mL). The standard demonstrated </w:t>
      </w:r>
      <w:r w:rsidRPr="001A7494">
        <w:rPr>
          <w:rFonts w:ascii="Arial" w:eastAsia="Times New Roman" w:hAnsi="Arial" w:cs="Arial"/>
          <w:sz w:val="20"/>
          <w:szCs w:val="20"/>
          <w:lang w:val="en-GB"/>
        </w:rPr>
        <w:lastRenderedPageBreak/>
        <w:t>the lowest IC</w:t>
      </w:r>
      <w:r w:rsidRPr="001A7494">
        <w:rPr>
          <w:rFonts w:ascii="Cambria Math" w:eastAsia="Times New Roman" w:hAnsi="Cambria Math" w:cs="Cambria Math"/>
          <w:sz w:val="20"/>
          <w:szCs w:val="20"/>
          <w:lang w:val="en-GB"/>
        </w:rPr>
        <w:t>₅₀</w:t>
      </w:r>
      <w:r w:rsidRPr="001A7494">
        <w:rPr>
          <w:rFonts w:ascii="Arial" w:eastAsia="Times New Roman" w:hAnsi="Arial" w:cs="Arial"/>
          <w:sz w:val="20"/>
          <w:szCs w:val="20"/>
          <w:lang w:val="en-GB"/>
        </w:rPr>
        <w:t xml:space="preserve"> (2.97 ± 0.26 µg/mL). One-way ANOVA indicated significant differences among the groups (p &lt; 0.001). Tukey’s post hoc test showed no significant difference between ELDL and ESDL (p = 0.2015). ELDL did not differ significantly from the standard (p = 0.0563), whereas ESDL exhibited a significantly higher IC</w:t>
      </w:r>
      <w:r w:rsidRPr="001A7494">
        <w:rPr>
          <w:rFonts w:ascii="Cambria Math" w:eastAsia="Times New Roman" w:hAnsi="Cambria Math" w:cs="Cambria Math"/>
          <w:sz w:val="20"/>
          <w:szCs w:val="20"/>
          <w:lang w:val="en-GB"/>
        </w:rPr>
        <w:t>₅₀</w:t>
      </w:r>
      <w:r w:rsidRPr="001A7494">
        <w:rPr>
          <w:rFonts w:ascii="Arial" w:eastAsia="Times New Roman" w:hAnsi="Arial" w:cs="Arial"/>
          <w:sz w:val="20"/>
          <w:szCs w:val="20"/>
          <w:lang w:val="en-GB"/>
        </w:rPr>
        <w:t xml:space="preserve"> compared to the standard (p = 0.0031). Both ELDL and ESDL showed significantly lower IC</w:t>
      </w:r>
      <w:r w:rsidRPr="001A7494">
        <w:rPr>
          <w:rFonts w:ascii="Cambria Math" w:eastAsia="Times New Roman" w:hAnsi="Cambria Math" w:cs="Cambria Math"/>
          <w:sz w:val="20"/>
          <w:szCs w:val="20"/>
          <w:lang w:val="en-GB"/>
        </w:rPr>
        <w:t>₅₀</w:t>
      </w:r>
      <w:r w:rsidRPr="001A7494">
        <w:rPr>
          <w:rFonts w:ascii="Arial" w:eastAsia="Times New Roman" w:hAnsi="Arial" w:cs="Arial"/>
          <w:sz w:val="20"/>
          <w:szCs w:val="20"/>
          <w:lang w:val="en-GB"/>
        </w:rPr>
        <w:t xml:space="preserve"> values compared to EBDL (ELDL vs EBDL, p &lt; 0.0001; ESDL vs EBDL, p &lt; 0.0001), and EBDL also showed significantly higher IC</w:t>
      </w:r>
      <w:r w:rsidRPr="001A7494">
        <w:rPr>
          <w:rFonts w:ascii="Cambria Math" w:eastAsia="Times New Roman" w:hAnsi="Cambria Math" w:cs="Cambria Math"/>
          <w:sz w:val="20"/>
          <w:szCs w:val="20"/>
          <w:lang w:val="en-GB"/>
        </w:rPr>
        <w:t>₅₀</w:t>
      </w:r>
      <w:r w:rsidRPr="001A7494">
        <w:rPr>
          <w:rFonts w:ascii="Arial" w:eastAsia="Times New Roman" w:hAnsi="Arial" w:cs="Arial"/>
          <w:sz w:val="20"/>
          <w:szCs w:val="20"/>
          <w:lang w:val="en-GB"/>
        </w:rPr>
        <w:t xml:space="preserve"> compared to the standard (p &lt; 0.0001)</w:t>
      </w:r>
      <w:r w:rsidR="00436B3D" w:rsidRPr="001A7494">
        <w:rPr>
          <w:rFonts w:ascii="Arial" w:eastAsia="Times New Roman" w:hAnsi="Arial" w:cs="Arial"/>
          <w:sz w:val="20"/>
          <w:szCs w:val="20"/>
          <w:lang w:val="en-GB"/>
        </w:rPr>
        <w:t xml:space="preserve"> </w:t>
      </w:r>
      <w:r w:rsidR="00436B3D" w:rsidRPr="001A7494">
        <w:rPr>
          <w:rFonts w:ascii="Arial" w:eastAsia="Caudex" w:hAnsi="Arial" w:cs="Arial"/>
          <w:sz w:val="20"/>
          <w:szCs w:val="20"/>
        </w:rPr>
        <w:t>STD &gt; ELDL ≈ ESDL &gt; EBDL</w:t>
      </w:r>
      <w:r w:rsidR="000A31D1" w:rsidRPr="001A7494">
        <w:rPr>
          <w:rFonts w:ascii="Arial" w:eastAsia="Caudex" w:hAnsi="Arial" w:cs="Arial"/>
          <w:sz w:val="20"/>
          <w:szCs w:val="20"/>
        </w:rPr>
        <w:t>.</w:t>
      </w:r>
    </w:p>
    <w:p w14:paraId="3C0239A3" w14:textId="77777777" w:rsidR="0010785D" w:rsidRPr="001A7494" w:rsidRDefault="0010785D" w:rsidP="001652E5">
      <w:pPr>
        <w:spacing w:line="360" w:lineRule="auto"/>
        <w:jc w:val="both"/>
        <w:rPr>
          <w:rFonts w:ascii="Arial" w:eastAsia="Times New Roman" w:hAnsi="Arial" w:cs="Arial"/>
          <w:sz w:val="20"/>
          <w:szCs w:val="20"/>
          <w:lang w:val="en-GB"/>
        </w:rPr>
      </w:pPr>
    </w:p>
    <w:p w14:paraId="3FC759E2" w14:textId="2C4C96DC" w:rsidR="000A31D1" w:rsidRPr="001A7494" w:rsidRDefault="00C13338" w:rsidP="001652E5">
      <w:pPr>
        <w:keepNext/>
        <w:spacing w:line="360" w:lineRule="auto"/>
        <w:jc w:val="both"/>
        <w:rPr>
          <w:rFonts w:ascii="Arial" w:hAnsi="Arial" w:cs="Arial"/>
          <w:sz w:val="20"/>
          <w:szCs w:val="20"/>
        </w:rPr>
      </w:pPr>
      <w:r w:rsidRPr="001A7494">
        <w:rPr>
          <w:rFonts w:ascii="Arial" w:eastAsia="Times New Roman" w:hAnsi="Arial" w:cs="Arial"/>
          <w:noProof/>
          <w:sz w:val="20"/>
          <w:szCs w:val="20"/>
        </w:rPr>
        <w:drawing>
          <wp:inline distT="0" distB="0" distL="0" distR="0" wp14:anchorId="3DA8722F" wp14:editId="09BAE01F">
            <wp:extent cx="5314950" cy="3260449"/>
            <wp:effectExtent l="19050" t="19050" r="19050" b="16510"/>
            <wp:docPr id="8204740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18869" cy="3262853"/>
                    </a:xfrm>
                    <a:prstGeom prst="rect">
                      <a:avLst/>
                    </a:prstGeom>
                    <a:noFill/>
                    <a:ln>
                      <a:solidFill>
                        <a:schemeClr val="tx1"/>
                      </a:solidFill>
                    </a:ln>
                  </pic:spPr>
                </pic:pic>
              </a:graphicData>
            </a:graphic>
          </wp:inline>
        </w:drawing>
      </w:r>
    </w:p>
    <w:p w14:paraId="3C6A026C" w14:textId="77777777" w:rsidR="0010785D" w:rsidRPr="0010785D" w:rsidRDefault="0010785D" w:rsidP="0010785D">
      <w:pPr>
        <w:spacing w:after="0" w:line="360" w:lineRule="auto"/>
        <w:jc w:val="both"/>
        <w:rPr>
          <w:rFonts w:ascii="Arial" w:eastAsia="Times New Roman" w:hAnsi="Arial" w:cs="Arial"/>
          <w:b/>
          <w:bCs/>
          <w:sz w:val="20"/>
          <w:szCs w:val="20"/>
          <w:lang w:val="en-GB"/>
        </w:rPr>
      </w:pPr>
      <w:r w:rsidRPr="0010785D">
        <w:rPr>
          <w:rFonts w:ascii="Arial" w:eastAsia="Caudex" w:hAnsi="Arial" w:cs="Arial"/>
          <w:b/>
          <w:bCs/>
          <w:sz w:val="20"/>
          <w:szCs w:val="20"/>
        </w:rPr>
        <w:t>Figure 6. ABTS Scavenging Activity of Dalbergia latifolia extracts.</w:t>
      </w:r>
    </w:p>
    <w:p w14:paraId="356DD08D" w14:textId="45A0D6FD" w:rsidR="00BA3040" w:rsidRPr="0010785D" w:rsidRDefault="000A31D1" w:rsidP="001652E5">
      <w:pPr>
        <w:pStyle w:val="Caption"/>
        <w:spacing w:after="160" w:line="360" w:lineRule="auto"/>
        <w:jc w:val="both"/>
        <w:rPr>
          <w:rFonts w:ascii="Arial" w:hAnsi="Arial" w:cs="Arial"/>
          <w:color w:val="auto"/>
          <w:sz w:val="20"/>
          <w:szCs w:val="20"/>
        </w:rPr>
      </w:pPr>
      <w:r w:rsidRPr="0010785D">
        <w:rPr>
          <w:rFonts w:ascii="Arial" w:eastAsia="Times New Roman" w:hAnsi="Arial" w:cs="Arial"/>
          <w:color w:val="auto"/>
          <w:sz w:val="20"/>
          <w:szCs w:val="20"/>
        </w:rPr>
        <w:t xml:space="preserve">STD TO- standard </w:t>
      </w:r>
      <w:r w:rsidR="009A4760" w:rsidRPr="0010785D">
        <w:rPr>
          <w:rFonts w:ascii="Arial" w:eastAsia="Times New Roman" w:hAnsi="Arial" w:cs="Arial"/>
          <w:color w:val="auto"/>
          <w:sz w:val="20"/>
          <w:szCs w:val="20"/>
        </w:rPr>
        <w:t>Trolox</w:t>
      </w:r>
      <w:r w:rsidRPr="0010785D">
        <w:rPr>
          <w:rFonts w:ascii="Arial" w:eastAsia="Times New Roman" w:hAnsi="Arial" w:cs="Arial"/>
          <w:color w:val="auto"/>
          <w:sz w:val="20"/>
          <w:szCs w:val="20"/>
        </w:rPr>
        <w:t>.  V</w:t>
      </w:r>
      <w:r w:rsidRPr="0010785D">
        <w:rPr>
          <w:rFonts w:ascii="Arial" w:hAnsi="Arial" w:cs="Arial"/>
          <w:color w:val="auto"/>
          <w:sz w:val="20"/>
          <w:szCs w:val="20"/>
        </w:rPr>
        <w:t xml:space="preserve">alues plotted as mean ± SD, </w:t>
      </w:r>
      <w:r w:rsidR="0010785D">
        <w:rPr>
          <w:rFonts w:ascii="Arial" w:hAnsi="Arial" w:cs="Arial"/>
          <w:color w:val="auto"/>
          <w:sz w:val="20"/>
          <w:szCs w:val="20"/>
        </w:rPr>
        <w:t>n</w:t>
      </w:r>
      <w:r w:rsidRPr="0010785D">
        <w:rPr>
          <w:rFonts w:ascii="Arial" w:hAnsi="Arial" w:cs="Arial"/>
          <w:color w:val="auto"/>
          <w:sz w:val="20"/>
          <w:szCs w:val="20"/>
        </w:rPr>
        <w:t xml:space="preserve">=3. </w:t>
      </w:r>
    </w:p>
    <w:p w14:paraId="7EAD26DA" w14:textId="77777777" w:rsidR="006D7293" w:rsidRDefault="006D7293" w:rsidP="001652E5">
      <w:pPr>
        <w:pStyle w:val="Caption"/>
        <w:spacing w:after="160" w:line="360" w:lineRule="auto"/>
        <w:jc w:val="both"/>
        <w:rPr>
          <w:rFonts w:ascii="Arial" w:eastAsia="Times New Roman" w:hAnsi="Arial" w:cs="Arial"/>
          <w:b/>
          <w:bCs/>
          <w:i w:val="0"/>
          <w:iCs w:val="0"/>
          <w:color w:val="000000" w:themeColor="text1"/>
          <w:sz w:val="22"/>
          <w:szCs w:val="22"/>
        </w:rPr>
      </w:pPr>
    </w:p>
    <w:p w14:paraId="20F5C5D8" w14:textId="6134A94D" w:rsidR="000A31D1" w:rsidRPr="006D7293" w:rsidRDefault="000A31D1" w:rsidP="001652E5">
      <w:pPr>
        <w:pStyle w:val="Caption"/>
        <w:numPr>
          <w:ilvl w:val="0"/>
          <w:numId w:val="3"/>
        </w:numPr>
        <w:spacing w:after="160" w:line="360" w:lineRule="auto"/>
        <w:jc w:val="both"/>
        <w:rPr>
          <w:rFonts w:ascii="Arial" w:eastAsia="Times New Roman" w:hAnsi="Arial" w:cs="Arial"/>
          <w:i w:val="0"/>
          <w:iCs w:val="0"/>
          <w:color w:val="auto"/>
          <w:sz w:val="22"/>
          <w:szCs w:val="22"/>
          <w:lang w:val="en-GB"/>
        </w:rPr>
      </w:pPr>
      <w:r w:rsidRPr="006D7293">
        <w:rPr>
          <w:rFonts w:ascii="Arial" w:eastAsia="Times New Roman" w:hAnsi="Arial" w:cs="Arial"/>
          <w:b/>
          <w:bCs/>
          <w:i w:val="0"/>
          <w:iCs w:val="0"/>
          <w:color w:val="000000" w:themeColor="text1"/>
          <w:sz w:val="22"/>
          <w:szCs w:val="22"/>
        </w:rPr>
        <w:t>DISCUSSION</w:t>
      </w:r>
      <w:r w:rsidR="004E6F86">
        <w:rPr>
          <w:rFonts w:ascii="Arial" w:eastAsia="Times New Roman" w:hAnsi="Arial" w:cs="Arial"/>
          <w:b/>
          <w:bCs/>
          <w:i w:val="0"/>
          <w:iCs w:val="0"/>
          <w:color w:val="000000" w:themeColor="text1"/>
          <w:sz w:val="22"/>
          <w:szCs w:val="22"/>
        </w:rPr>
        <w:t>.</w:t>
      </w:r>
    </w:p>
    <w:p w14:paraId="7214F90E" w14:textId="0927F39A" w:rsidR="00B34D54" w:rsidRPr="001A7494" w:rsidRDefault="00B34D54" w:rsidP="001652E5">
      <w:pPr>
        <w:spacing w:line="360" w:lineRule="auto"/>
        <w:jc w:val="both"/>
        <w:rPr>
          <w:rFonts w:ascii="Arial" w:eastAsia="Times New Roman" w:hAnsi="Arial" w:cs="Arial"/>
          <w:sz w:val="20"/>
          <w:szCs w:val="20"/>
          <w:lang w:val="en-GB"/>
        </w:rPr>
      </w:pPr>
      <w:r w:rsidRPr="001A7494">
        <w:rPr>
          <w:rFonts w:ascii="Arial" w:eastAsia="Times New Roman" w:hAnsi="Arial" w:cs="Arial"/>
          <w:sz w:val="20"/>
          <w:szCs w:val="20"/>
          <w:lang w:val="en-GB"/>
        </w:rPr>
        <w:t xml:space="preserve">Phenolics and flavonoids are important contributors to plant antioxidant activity because their hydroxylated aromatic structures allow them to donate electrons or hydrogen atoms, stabilize radical species, and participate in redox reactions. In </w:t>
      </w:r>
      <w:r w:rsidRPr="001A7494">
        <w:rPr>
          <w:rFonts w:ascii="Arial" w:eastAsia="Times New Roman" w:hAnsi="Arial" w:cs="Arial"/>
          <w:i/>
          <w:iCs/>
          <w:sz w:val="20"/>
          <w:szCs w:val="20"/>
          <w:lang w:val="en-GB"/>
        </w:rPr>
        <w:t>Dalbergia latifolia</w:t>
      </w:r>
      <w:r w:rsidRPr="001A7494">
        <w:rPr>
          <w:rFonts w:ascii="Arial" w:eastAsia="Times New Roman" w:hAnsi="Arial" w:cs="Arial"/>
          <w:sz w:val="20"/>
          <w:szCs w:val="20"/>
          <w:lang w:val="en-GB"/>
        </w:rPr>
        <w:t xml:space="preserve">, previous phytochemical reports have identified several phenolic and flavonoid-related compounds, particularly from the wood and heartwood. Reported constituents include dalbergin, latifolin, dalbin, dalbinol, latinone, dalcriodain, and (R)-dalbergione, along with broader classes such as neoflavonoids, benzofurans, rotenoids, and triterpenoids </w:t>
      </w:r>
      <w:r w:rsidR="005C28C1" w:rsidRPr="001A7494">
        <w:rPr>
          <w:rFonts w:ascii="Arial" w:eastAsia="Times New Roman" w:hAnsi="Arial" w:cs="Arial"/>
          <w:sz w:val="20"/>
          <w:szCs w:val="20"/>
          <w:lang w:val="en-GB"/>
        </w:rPr>
        <w:fldChar w:fldCharType="begin"/>
      </w:r>
      <w:r w:rsidR="005C28C1" w:rsidRPr="001A7494">
        <w:rPr>
          <w:rFonts w:ascii="Arial" w:eastAsia="Times New Roman" w:hAnsi="Arial" w:cs="Arial"/>
          <w:sz w:val="20"/>
          <w:szCs w:val="20"/>
          <w:lang w:val="en-GB"/>
        </w:rPr>
        <w:instrText xml:space="preserve"> ADDIN ZOTERO_ITEM CSL_CITATION {"citationID":"lohhZk2M","properties":{"formattedCitation":"(Deshmukh et al., 2021)","plainCitation":"(Deshmukh et al., 2021)","noteIndex":0},"citationItems":[{"id":4694,"uris":["http://zotero.org/users/10343621/items/37ECZGTV"],"itemData":{"id":4694,"type":"article-journal","container-title":"Journal of Pharmacognosy and Phytochemistry","DOI":"10.22271/phyto.2021.v10.i4d.14174","ISSN":"22784136, 23498234","issue":"4","journalAbbreviation":"J Pharmacogn Phytochem","page":"340-345","source":"DOI.org (Crossref)","title":"Chemical characterization and therapeutics of Dalbergia latifolia Roxb: A review","title-short":"Chemical characterization and therapeutics of Dalbergia latifolia Roxb","volume":"10","author":[{"family":"Deshmukh","given":"Vishal P"},{"family":"Lunge","given":"Mithun S"},{"family":"Rajurkar","given":"Ajay V"},{"family":"Dharkar","given":"Ninad S"},{"family":"Raut","given":"Shivani R"},{"family":"Dhoran","given":"Varsha S"}],"issued":{"date-parts":[["2021",7,1]]}}}],"schema":"https://github.com/citation-style-language/schema/raw/master/csl-citation.json"} </w:instrText>
      </w:r>
      <w:r w:rsidR="005C28C1" w:rsidRPr="001A7494">
        <w:rPr>
          <w:rFonts w:ascii="Arial" w:eastAsia="Times New Roman" w:hAnsi="Arial" w:cs="Arial"/>
          <w:sz w:val="20"/>
          <w:szCs w:val="20"/>
          <w:lang w:val="en-GB"/>
        </w:rPr>
        <w:fldChar w:fldCharType="separate"/>
      </w:r>
      <w:r w:rsidR="00F964F1" w:rsidRPr="00F964F1">
        <w:rPr>
          <w:rFonts w:ascii="Arial" w:hAnsi="Arial" w:cs="Arial"/>
          <w:sz w:val="20"/>
          <w:lang w:val="en-GB"/>
        </w:rPr>
        <w:t>(Deshmukh et al., 2021)</w:t>
      </w:r>
      <w:r w:rsidR="005C28C1" w:rsidRPr="001A7494">
        <w:rPr>
          <w:rFonts w:ascii="Arial" w:eastAsia="Times New Roman" w:hAnsi="Arial" w:cs="Arial"/>
          <w:sz w:val="20"/>
          <w:szCs w:val="20"/>
          <w:lang w:val="en-GB"/>
        </w:rPr>
        <w:fldChar w:fldCharType="end"/>
      </w:r>
      <w:r w:rsidRPr="001A7494">
        <w:rPr>
          <w:rFonts w:ascii="Arial" w:eastAsia="Times New Roman" w:hAnsi="Arial" w:cs="Arial"/>
          <w:sz w:val="20"/>
          <w:szCs w:val="20"/>
          <w:lang w:val="en-GB"/>
        </w:rPr>
        <w:t xml:space="preserve">. A separate study on heartwood neoflavonoids reported dalbergiphenols, dalbergiones, dalbergins, </w:t>
      </w:r>
      <w:r w:rsidRPr="001A7494">
        <w:rPr>
          <w:rFonts w:ascii="Arial" w:eastAsia="Times New Roman" w:hAnsi="Arial" w:cs="Arial"/>
          <w:sz w:val="20"/>
          <w:szCs w:val="20"/>
          <w:lang w:val="en-GB"/>
        </w:rPr>
        <w:lastRenderedPageBreak/>
        <w:t xml:space="preserve">benzophenones, and other neoflavonoid-type compounds from D. latifolia </w:t>
      </w:r>
      <w:r w:rsidR="00806C1D" w:rsidRPr="001A7494">
        <w:rPr>
          <w:rFonts w:ascii="Arial" w:eastAsia="Times New Roman" w:hAnsi="Arial" w:cs="Arial"/>
          <w:sz w:val="20"/>
          <w:szCs w:val="20"/>
          <w:lang w:val="en-GB"/>
        </w:rPr>
        <w:fldChar w:fldCharType="begin"/>
      </w:r>
      <w:r w:rsidR="00806C1D" w:rsidRPr="001A7494">
        <w:rPr>
          <w:rFonts w:ascii="Arial" w:eastAsia="Times New Roman" w:hAnsi="Arial" w:cs="Arial"/>
          <w:sz w:val="20"/>
          <w:szCs w:val="20"/>
          <w:lang w:val="en-GB"/>
        </w:rPr>
        <w:instrText xml:space="preserve"> ADDIN ZOTERO_ITEM CSL_CITATION {"citationID":"un11ptzT","properties":{"formattedCitation":"(Masendra et al., 2021)","plainCitation":"(Masendra et al., 2021)","noteIndex":0},"citationItems":[{"id":4059,"uris":["http://zotero.org/users/10343621/items/SQB2JU9E"],"itemData":{"id":4059,"type":"article-journal","abstract":"Dalbergia latifolia wood is a beautiful wood with color of dark purple to dark brown and rich in flavonoid compounds. This study aimed to investigate the presence of flavonoid compounds from D. latifolia wood and their contribution to its color. The D. latifolia wood sample was powdered and extracted with ethanol-toluene (1/2, v/v). The ethanol- toluene extract then was column chromatographed to obtain fraction 1 to fraction 12. Methylation was conducted to each fraction to detect flavonoid compounds by GC-MS. The results of GC-MS analysis showed that ethanol- toluene extract gave Fr- 1- Fr. 3 as soluble flavonoids (34.2%) and Fr. 4- Fr. 12 as insoluble polymers (62.6%). Furthermore, 12 flavonoids i.e latifolin, dalbergiphenol, chalcone, dalbergin, and their derivatives were characterised and these compounds might be significance in contributing to color of D. latifolia wood.","container-title":"Wood Research Journal","DOI":"10.51850/wrj.2021.12.2.53-60","ISSN":"2774-9320","issue":"2","language":"en","page":"53-60","source":"ejournalmapeki.org","title":"Investigation of Flavonoid Extractives and their Contribution to Color of Dalbergia latifolia Roxb Wood","volume":"12","author":[{"family":"Masendra","given":"Masendra"},{"family":"Purba","given":"Brandon Aristo Verick"},{"family":"Irawati","given":"Denny"},{"family":"Lukmandaru","given":"Ganis"}],"issued":{"date-parts":[["2021"]]}}}],"schema":"https://github.com/citation-style-language/schema/raw/master/csl-citation.json"} </w:instrText>
      </w:r>
      <w:r w:rsidR="00806C1D" w:rsidRPr="001A7494">
        <w:rPr>
          <w:rFonts w:ascii="Arial" w:eastAsia="Times New Roman" w:hAnsi="Arial" w:cs="Arial"/>
          <w:sz w:val="20"/>
          <w:szCs w:val="20"/>
          <w:lang w:val="en-GB"/>
        </w:rPr>
        <w:fldChar w:fldCharType="separate"/>
      </w:r>
      <w:r w:rsidR="00F964F1" w:rsidRPr="00F964F1">
        <w:rPr>
          <w:rFonts w:ascii="Arial" w:hAnsi="Arial" w:cs="Arial"/>
          <w:sz w:val="20"/>
          <w:lang w:val="en-GB"/>
        </w:rPr>
        <w:t>(Masendra et al., 2021)</w:t>
      </w:r>
      <w:r w:rsidR="00806C1D" w:rsidRPr="001A7494">
        <w:rPr>
          <w:rFonts w:ascii="Arial" w:eastAsia="Times New Roman" w:hAnsi="Arial" w:cs="Arial"/>
          <w:sz w:val="20"/>
          <w:szCs w:val="20"/>
          <w:lang w:val="en-GB"/>
        </w:rPr>
        <w:fldChar w:fldCharType="end"/>
      </w:r>
      <w:r w:rsidR="00806C1D" w:rsidRPr="001A7494">
        <w:rPr>
          <w:rFonts w:ascii="Arial" w:eastAsia="Times New Roman" w:hAnsi="Arial" w:cs="Arial"/>
          <w:sz w:val="20"/>
          <w:szCs w:val="20"/>
          <w:lang w:val="en-GB"/>
        </w:rPr>
        <w:t>.</w:t>
      </w:r>
      <w:r w:rsidRPr="001A7494">
        <w:rPr>
          <w:rFonts w:ascii="Arial" w:eastAsia="Times New Roman" w:hAnsi="Arial" w:cs="Arial"/>
          <w:sz w:val="20"/>
          <w:szCs w:val="20"/>
          <w:lang w:val="en-GB"/>
        </w:rPr>
        <w:t xml:space="preserve"> These compounds are relevant because neoflavonoids and related phenolic metabolites are structurally suited for redox activity and may contribute to the antioxidant </w:t>
      </w:r>
      <w:r w:rsidR="009A4760" w:rsidRPr="001A7494">
        <w:rPr>
          <w:rFonts w:ascii="Arial" w:eastAsia="Times New Roman" w:hAnsi="Arial" w:cs="Arial"/>
          <w:sz w:val="20"/>
          <w:szCs w:val="20"/>
          <w:lang w:val="en-GB"/>
        </w:rPr>
        <w:t>behaviour</w:t>
      </w:r>
      <w:r w:rsidRPr="001A7494">
        <w:rPr>
          <w:rFonts w:ascii="Arial" w:eastAsia="Times New Roman" w:hAnsi="Arial" w:cs="Arial"/>
          <w:sz w:val="20"/>
          <w:szCs w:val="20"/>
          <w:lang w:val="en-GB"/>
        </w:rPr>
        <w:t xml:space="preserve"> observed in the present study. </w:t>
      </w:r>
    </w:p>
    <w:p w14:paraId="2CAC1C12" w14:textId="77777777" w:rsidR="00CD0729" w:rsidRPr="001A7494" w:rsidRDefault="00B34D54" w:rsidP="001652E5">
      <w:pPr>
        <w:spacing w:line="360" w:lineRule="auto"/>
        <w:jc w:val="both"/>
        <w:rPr>
          <w:rFonts w:ascii="Arial" w:eastAsia="Times New Roman" w:hAnsi="Arial" w:cs="Arial"/>
          <w:sz w:val="20"/>
          <w:szCs w:val="20"/>
        </w:rPr>
      </w:pPr>
      <w:r w:rsidRPr="001A7494">
        <w:rPr>
          <w:rFonts w:ascii="Arial" w:eastAsia="Times New Roman" w:hAnsi="Arial" w:cs="Arial"/>
          <w:sz w:val="20"/>
          <w:szCs w:val="20"/>
          <w:lang w:val="en-GB"/>
        </w:rPr>
        <w:t xml:space="preserve">The preliminary phytochemical screening in the present study showed that ethanolic extracts contained a broader range of secondary metabolites than aqueous extracts, particularly phenolics, flavonoids, tannins, coumarins, sterols, terpenoids, and quinones. This supports the suitability of ethanol for extracting moderately polar phytochemicals from </w:t>
      </w:r>
      <w:r w:rsidRPr="001A7494">
        <w:rPr>
          <w:rFonts w:ascii="Arial" w:eastAsia="Times New Roman" w:hAnsi="Arial" w:cs="Arial"/>
          <w:i/>
          <w:iCs/>
          <w:sz w:val="20"/>
          <w:szCs w:val="20"/>
          <w:lang w:val="en-GB"/>
        </w:rPr>
        <w:t>D. latifolia</w:t>
      </w:r>
      <w:r w:rsidRPr="001A7494">
        <w:rPr>
          <w:rFonts w:ascii="Arial" w:eastAsia="Times New Roman" w:hAnsi="Arial" w:cs="Arial"/>
          <w:sz w:val="20"/>
          <w:szCs w:val="20"/>
          <w:lang w:val="en-GB"/>
        </w:rPr>
        <w:t xml:space="preserve">. </w:t>
      </w:r>
      <w:r w:rsidR="00CD0729" w:rsidRPr="001A7494">
        <w:rPr>
          <w:rFonts w:ascii="Arial" w:eastAsia="Times New Roman" w:hAnsi="Arial" w:cs="Arial"/>
          <w:sz w:val="20"/>
          <w:szCs w:val="20"/>
        </w:rPr>
        <w:t>Quantitatively, total phenolic content showed no significant difference among leaf, stem, and bark extracts, although ELDL recorded the highest value. In contrast, total flavonoid content differed significantly among the extracts, with ESDL showing the highest value, followed by ELDL and EBDL. However, the absolute TF values remained within a narrow range of approximately 3.5–3.7 mg QE/g, suggesting that the statistical difference reflects consistent but small variations among replicates rather than a large biological separation. Therefore, the antioxidant differences observed across assays may not be explained solely by total phenolic or flavonoid quantity. Instead, they are more likely influenced by the specific chemical composition, structural features, polarity, and assay-specific reactivity of individual constituents present in each extract.</w:t>
      </w:r>
    </w:p>
    <w:p w14:paraId="07FB145E" w14:textId="50B61012" w:rsidR="00B34D54" w:rsidRPr="001A7494" w:rsidRDefault="00B34D54" w:rsidP="001652E5">
      <w:pPr>
        <w:spacing w:line="360" w:lineRule="auto"/>
        <w:jc w:val="both"/>
        <w:rPr>
          <w:rFonts w:ascii="Arial" w:eastAsia="Times New Roman" w:hAnsi="Arial" w:cs="Arial"/>
          <w:sz w:val="20"/>
          <w:szCs w:val="20"/>
          <w:lang w:val="en-GB"/>
        </w:rPr>
      </w:pPr>
      <w:r w:rsidRPr="001A7494">
        <w:rPr>
          <w:rFonts w:ascii="Arial" w:eastAsia="Times New Roman" w:hAnsi="Arial" w:cs="Arial"/>
          <w:sz w:val="20"/>
          <w:szCs w:val="20"/>
          <w:lang w:val="en-GB"/>
        </w:rPr>
        <w:t xml:space="preserve">The total antioxidant capacity assay showed a clear part-specific pattern, with EBDL exhibiting the highest TAC, followed by ESDL and ELDL. Since TAC reflects the cumulative electron-donating and reducing capacity of the extract, the higher value in EBDL suggests that bark may contain a stronger pool of compounds capable of broad antioxidant reduction. This agrees with </w:t>
      </w:r>
      <w:r w:rsidR="00806C1D" w:rsidRPr="001A7494">
        <w:rPr>
          <w:rFonts w:ascii="Arial" w:eastAsia="Times New Roman" w:hAnsi="Arial" w:cs="Arial"/>
          <w:sz w:val="20"/>
          <w:szCs w:val="20"/>
          <w:lang w:val="en-GB"/>
        </w:rPr>
        <w:fldChar w:fldCharType="begin"/>
      </w:r>
      <w:r w:rsidR="00806C1D" w:rsidRPr="001A7494">
        <w:rPr>
          <w:rFonts w:ascii="Arial" w:eastAsia="Times New Roman" w:hAnsi="Arial" w:cs="Arial"/>
          <w:sz w:val="20"/>
          <w:szCs w:val="20"/>
          <w:lang w:val="en-GB"/>
        </w:rPr>
        <w:instrText xml:space="preserve"> ADDIN ZOTERO_ITEM CSL_CITATION {"citationID":"xBsn7Our","properties":{"formattedCitation":"(Khalid &amp; Freed, 2011)","plainCitation":"(Khalid &amp; Freed, 2011)","noteIndex":0},"citationItems":[{"id":4673,"uris":["http://zotero.org/users/10343621/items/AYBPJT3N"],"itemData":{"id":4673,"type":"paper-conference","abstract":"Dalbergia latifolia Roxb. (Family: Fabaceae) is a traditional herb, contain latinone and dalcriodain flavonoid having excellence medicinal value. Antioxidants play an important role for protecting the human body against damage by reactive free radicals. Methods: The antioxidant activities and phenolic contents of the ethanolic extract of the bark of Dalbergia latifolia was evaluated using in vitro standard procedures for the determinations of total phenol, total flavonoid. Gallic acid and rutin equivalents were used for these parameters. The antioxidant activities of the bark extract of Dalbergia latifolia were determined by the 1,1-Diphenyl-2- picrylhydrazyl (DPPH), nitrous oxide thiocyanate and reducing antioxidant property methods. Results: The total phenolic content was found to be 210±1.16 µg mL ; however the flavonoid content was 46±3.61 µg mL for 11 D. latifolia bark extract. DPPH, NO and thiocyanate percentage inhibition scavenging activity 92.10±1.10, 86.39±2.12 and 87.22±2.47 respectively. Conclusion: The antioxidant played an important role of protecting the human body against free radicals. The present data demonstrated that D. latifolia bark exerted significant anti- oxidant scavenging potential. Further, it requires identifying the exact phytoconstituents responsible for the activity.","source":"Semantic Scholar","title":"In-vitro Assessment of Antioxidant Activity of Dalbergia latifolia Barks Extract Against Free Radicals","URL":"https://www.semanticscholar.org/paper/In-vitro-Assessment-of-Antioxidant-Activity-of-Free-Khalid-Freed/939c944084e32c27f82484b9325085fbef36512d","author":[{"family":"Khalid","given":"M."},{"family":"Freed","given":"S."}],"accessed":{"date-parts":[["2026",4,30]]},"issued":{"date-parts":[["2011"]]}}}],"schema":"https://github.com/citation-style-language/schema/raw/master/csl-citation.json"} </w:instrText>
      </w:r>
      <w:r w:rsidR="00806C1D" w:rsidRPr="001A7494">
        <w:rPr>
          <w:rFonts w:ascii="Arial" w:eastAsia="Times New Roman" w:hAnsi="Arial" w:cs="Arial"/>
          <w:sz w:val="20"/>
          <w:szCs w:val="20"/>
          <w:lang w:val="en-GB"/>
        </w:rPr>
        <w:fldChar w:fldCharType="separate"/>
      </w:r>
      <w:r w:rsidR="00F964F1" w:rsidRPr="00F964F1">
        <w:rPr>
          <w:rFonts w:ascii="Arial" w:hAnsi="Arial" w:cs="Arial"/>
          <w:sz w:val="20"/>
          <w:lang w:val="en-GB"/>
        </w:rPr>
        <w:t>(Khalid &amp; Freed, 2011)</w:t>
      </w:r>
      <w:r w:rsidR="00806C1D" w:rsidRPr="001A7494">
        <w:rPr>
          <w:rFonts w:ascii="Arial" w:eastAsia="Times New Roman" w:hAnsi="Arial" w:cs="Arial"/>
          <w:sz w:val="20"/>
          <w:szCs w:val="20"/>
          <w:lang w:val="en-GB"/>
        </w:rPr>
        <w:fldChar w:fldCharType="end"/>
      </w:r>
      <w:r w:rsidRPr="001A7494">
        <w:rPr>
          <w:rFonts w:ascii="Arial" w:eastAsia="Times New Roman" w:hAnsi="Arial" w:cs="Arial"/>
          <w:sz w:val="20"/>
          <w:szCs w:val="20"/>
          <w:lang w:val="en-GB"/>
        </w:rPr>
        <w:t xml:space="preserve">, who reported strong antioxidant activity in ethanolic bark extract of D. latifolia, including DPPH, nitric oxide, and thiocyanate radical inhibition. The strong TAC of bark also aligns with studies where bark extracts showed systemic protective effects in oxidative stress-linked models, including anti-obesity and antidiabetic studies </w:t>
      </w:r>
      <w:r w:rsidR="00806C1D" w:rsidRPr="001A7494">
        <w:rPr>
          <w:rFonts w:ascii="Arial" w:eastAsia="Times New Roman" w:hAnsi="Arial" w:cs="Arial"/>
          <w:sz w:val="20"/>
          <w:szCs w:val="20"/>
          <w:lang w:val="en-GB"/>
        </w:rPr>
        <w:fldChar w:fldCharType="begin"/>
      </w:r>
      <w:r w:rsidR="00806C1D" w:rsidRPr="001A7494">
        <w:rPr>
          <w:rFonts w:ascii="Arial" w:eastAsia="Times New Roman" w:hAnsi="Arial" w:cs="Arial"/>
          <w:sz w:val="20"/>
          <w:szCs w:val="20"/>
          <w:lang w:val="en-GB"/>
        </w:rPr>
        <w:instrText xml:space="preserve"> ADDIN ZOTERO_ITEM CSL_CITATION {"citationID":"EavHOaUI","properties":{"formattedCitation":"(Khalid et al., 2020; Tiwari &amp; Choudhary, 2021)","plainCitation":"(Khalid et al., 2020; Tiwari &amp; Choudhary, 2021)","noteIndex":0},"citationItems":[{"id":4055,"uris":["http://zotero.org/users/10343621/items/JDHKP4EW"],"itemData":{"id":4055,"type":"article-journal","abstract":"Obesity is an alarming sign and considered as a threat word wide. Since it not only hurt the human body but plays as a basis for other serious diseases like cardiovascular and many more. The 50% hydro-ethanolic extract of Dalbergia latifolia bark (D. latifolia) (DLBE; %yield = 16.34) and methanolic extract (4.32%) of D. latifolia were made. The DLBE was used for the acute oral toxicity and anti-obesity activity in the rodent. However, methanolic extract was used for characterization by high-performance thin layer chromatography (HPTLC) method. During acute toxicity study, it was shown that certainly there was no mortality or morbidity observed up to the maximum dose of 2000 mg/kg after administration of DLBE. The ultimate body weight, food intake, liver weight, total cholesterol (TC), high-density lipoprotein (HDL), low-density lipoprotein (LDL), very low-density lipoprotein (VLDL), triglycerides (TG), aspartate aminotransferase (AST), alanine transaminase (ALT), serum creatinine and blood urea nitrogen (BUN) of rats treated with DLBE at a dose of 200 and 400 mg/kg respectively was considerably diminished to p &lt; 0.01 and p &lt; 0.05 as compared with high-fat diet (HFD) induced obese animals. However, DLBE treated with quite smaller dose revealed a non-significant (p &gt; 0.05) effects on above parameters. The histopathological findings of the study from the cross section of liver and kidney show normal architecture in the cells treated with DLBE at a dose of 200 and 400 mg/kg respectively. Thus we can conclude that the bark extract of D. latifolia can be used for the treatment of obesity and a novel approach for further investigations of its pathology.","container-title":"3 Biotech","DOI":"10.1007/s13205-020-02491-z","ISSN":"2190-5738","issue":"11","journalAbbreviation":"3 Biotech","language":"en","page":"493","source":"Springer Link","title":"Anti obesity prospective of Dalbergia latifolia (Roxb.) hydroalcoholic bark extract in high fat diet induced obese rats","volume":"10","author":[{"family":"Khalid","given":"Mohammad"},{"family":"Shoaib","given":"Ambreen"},{"family":"Akhtar","given":"Juber"},{"family":"Alqarni","given":"Mohammed H."},{"literal":"Badruddeen"},{"family":"Siddiqui","given":"Hefazat H."},{"family":"Foudah","given":"Ahmed I."}],"issued":{"date-parts":[["2020",10,27]]}}},{"id":4058,"uris":["http://zotero.org/users/10343621/items/ATH39BXK"],"itemData":{"id":4058,"type":"article-journal","abstract":"It is essential to gauge the herbal plants scientifically and proper documentation should be made to understand their medicinal properties. In current scenario there exists a very high demand for the herbal products in the entire world that led to the extensive research in many pharmaceutical industries on plant materials for the exploration of potential medicinal value. This inclination seems to be a result of people finding various alternative systems of drugs. A large number of drugs are reported to have excellent medicinal value and are in use for the treatment of diabetes. Dalbergia latifolia Roxb is evergreen, deciduous tree belongs to fabaceae family, it consist of white small flower and identified by grey bark which peels in long fibers. In the present study, qualitative and quantitative phytochemical screening of Hydroalcoholic extract of bark of Dalbergia latifolia (DLExt) and pharmacological studies involved acute oral toxicity study, oral glucose tolerance test (OGTT) hypoglycemic activity and antidiabetic activity of DLExt was done. The results suggested that Dalbergia latifolia (DLExt) induced a potent reduction in glycaemia exhibited potential to reduce the blood glucose level (BGL). The study showed that Hydroalcoholic extract of bark of Dalbergia latifolia protect massive body weight loss significantly decreased MDA in pancreas and in kidney and enhances SOD, CAT, GPx and GST activity. The involvement of DLExt reduction in level of TG, TC, LDL, VLDL and elevation in HDL level in diabetic rats was also demonstrated. The study was supported with histopathology studies and showed remarkable improvement in pancreatic tissues, normal architecture of hepatocytes and normal architecture of bowman’s capsule and renal tubules.","container-title":"Journal of Advanced Scientific Research","DOI":"10.55218/JASR.s2202112312","ISSN":"0976-9595","issue":"03 Suppl 2","language":"en","license":"Copyright (c) 2021 Journal of Advanced Scientific Research","page":"95-109","source":"www.sciensage.info","title":"PHYTOPHARMACOLOGICAL EVALUATION OF DALBERGIA LATIFOLIA ROXB FOR ANTIDIABETIC ACTIVITY AND ITS EFFECT ON LIPID PROFILE AND HEPATIC ENZYMES OF GLUCOSE METABOLISM IN DIABETIC RATS","volume":"12","author":[{"family":"Tiwari","given":"Akhilendra"},{"family":"Choudhary","given":"Naveen Kumar"}],"issued":{"date-parts":[["2021",10,31]]}}}],"schema":"https://github.com/citation-style-language/schema/raw/master/csl-citation.json"} </w:instrText>
      </w:r>
      <w:r w:rsidR="00806C1D" w:rsidRPr="001A7494">
        <w:rPr>
          <w:rFonts w:ascii="Arial" w:eastAsia="Times New Roman" w:hAnsi="Arial" w:cs="Arial"/>
          <w:sz w:val="20"/>
          <w:szCs w:val="20"/>
          <w:lang w:val="en-GB"/>
        </w:rPr>
        <w:fldChar w:fldCharType="separate"/>
      </w:r>
      <w:r w:rsidR="00F964F1" w:rsidRPr="00F964F1">
        <w:rPr>
          <w:rFonts w:ascii="Arial" w:hAnsi="Arial" w:cs="Arial"/>
          <w:sz w:val="20"/>
          <w:lang w:val="en-GB"/>
        </w:rPr>
        <w:t>(Khalid et al., 2020; Tiwari &amp; Choudhary, 2021)</w:t>
      </w:r>
      <w:r w:rsidR="00806C1D" w:rsidRPr="001A7494">
        <w:rPr>
          <w:rFonts w:ascii="Arial" w:eastAsia="Times New Roman" w:hAnsi="Arial" w:cs="Arial"/>
          <w:sz w:val="20"/>
          <w:szCs w:val="20"/>
          <w:lang w:val="en-GB"/>
        </w:rPr>
        <w:fldChar w:fldCharType="end"/>
      </w:r>
      <w:r w:rsidR="00806C1D" w:rsidRPr="001A7494">
        <w:rPr>
          <w:rFonts w:ascii="Arial" w:eastAsia="Times New Roman" w:hAnsi="Arial" w:cs="Arial"/>
          <w:sz w:val="20"/>
          <w:szCs w:val="20"/>
          <w:lang w:val="en-GB"/>
        </w:rPr>
        <w:t xml:space="preserve">. </w:t>
      </w:r>
      <w:r w:rsidRPr="001A7494">
        <w:rPr>
          <w:rFonts w:ascii="Arial" w:eastAsia="Times New Roman" w:hAnsi="Arial" w:cs="Arial"/>
          <w:sz w:val="20"/>
          <w:szCs w:val="20"/>
          <w:lang w:val="en-GB"/>
        </w:rPr>
        <w:t>In contrast, the reducing power assay did not show significant differences among ELDL, ESDL, and EBDL. RPA reflects the ability of extracts to donate electrons and reduce oxidized intermediates, which is biologically relevant to redox balance</w:t>
      </w:r>
      <w:r w:rsidR="00390402" w:rsidRPr="001A7494">
        <w:rPr>
          <w:rFonts w:ascii="Arial" w:eastAsia="Times New Roman" w:hAnsi="Arial" w:cs="Arial"/>
          <w:sz w:val="20"/>
          <w:szCs w:val="20"/>
          <w:lang w:val="en-GB"/>
        </w:rPr>
        <w:fldChar w:fldCharType="begin"/>
      </w:r>
      <w:r w:rsidR="00390402" w:rsidRPr="001A7494">
        <w:rPr>
          <w:rFonts w:ascii="Arial" w:eastAsia="Times New Roman" w:hAnsi="Arial" w:cs="Arial"/>
          <w:sz w:val="20"/>
          <w:szCs w:val="20"/>
          <w:lang w:val="en-GB"/>
        </w:rPr>
        <w:instrText xml:space="preserve"> ADDIN ZOTERO_ITEM CSL_CITATION {"citationID":"ScHaQiOK","properties":{"formattedCitation":"(Sadeer et al., 2020)","plainCitation":"(Sadeer et al., 2020)","noteIndex":0},"citationItems":[{"id":4695,"uris":["http://zotero.org/users/10343621/items/968BXSQ2"],"itemData":{"id":4695,"type":"article-journal","abstract":"Currently, there is a growing interest in screening and quantifying antioxidants from biological samples in the quest for natural and effective antioxidants to combat free radical-related pathological complications. Antioxidant assays play a crucial ...","container-title":"Antioxidants","DOI":"10.3390/antiox9080709","issue":"8","language":"en","page":"709","PMID":"32764410","source":"pmc.ncbi.nlm.nih.gov","title":"The Versatility of Antioxidant Assays in Food Science and Safety—Chemistry, Applications, Strengths, and Limitations","volume":"9","author":[{"family":"Sadeer","given":"Nabeelah Bibi"},{"family":"Montesano","given":"Domenico"},{"family":"Albrizio","given":"Stefania"},{"family":"Zengin","given":"Gokhan"},{"family":"Mahomoodally","given":"Mohamad Fawzi"}],"issued":{"date-parts":[["2020",8,5]]}}}],"schema":"https://github.com/citation-style-language/schema/raw/master/csl-citation.json"} </w:instrText>
      </w:r>
      <w:r w:rsidR="00390402" w:rsidRPr="001A7494">
        <w:rPr>
          <w:rFonts w:ascii="Arial" w:eastAsia="Times New Roman" w:hAnsi="Arial" w:cs="Arial"/>
          <w:sz w:val="20"/>
          <w:szCs w:val="20"/>
          <w:lang w:val="en-GB"/>
        </w:rPr>
        <w:fldChar w:fldCharType="separate"/>
      </w:r>
      <w:r w:rsidR="00F964F1" w:rsidRPr="00F964F1">
        <w:rPr>
          <w:rFonts w:ascii="Arial" w:hAnsi="Arial" w:cs="Arial"/>
          <w:sz w:val="20"/>
          <w:lang w:val="en-GB"/>
        </w:rPr>
        <w:t>(Sadeer et al., 2020)</w:t>
      </w:r>
      <w:r w:rsidR="00390402" w:rsidRPr="001A7494">
        <w:rPr>
          <w:rFonts w:ascii="Arial" w:eastAsia="Times New Roman" w:hAnsi="Arial" w:cs="Arial"/>
          <w:sz w:val="20"/>
          <w:szCs w:val="20"/>
          <w:lang w:val="en-GB"/>
        </w:rPr>
        <w:fldChar w:fldCharType="end"/>
      </w:r>
      <w:r w:rsidRPr="001A7494">
        <w:rPr>
          <w:rFonts w:ascii="Arial" w:eastAsia="Times New Roman" w:hAnsi="Arial" w:cs="Arial"/>
          <w:sz w:val="20"/>
          <w:szCs w:val="20"/>
          <w:lang w:val="en-GB"/>
        </w:rPr>
        <w:t>. The absence of significant difference indicates that reducing capacity is distributed across all three plant parts. Therefore, while EBDL showed the highest TAC, its reducing power was not statistically stronger than leaf or stem extracts. This distinction is important because TAC and RPA do not measure identical antioxidant mechanisms.</w:t>
      </w:r>
    </w:p>
    <w:p w14:paraId="46491CC3" w14:textId="7A7E4D0E" w:rsidR="00B34D54" w:rsidRPr="001A7494" w:rsidRDefault="00B34D54" w:rsidP="001652E5">
      <w:pPr>
        <w:spacing w:line="360" w:lineRule="auto"/>
        <w:jc w:val="both"/>
        <w:rPr>
          <w:rFonts w:ascii="Arial" w:eastAsia="Times New Roman" w:hAnsi="Arial" w:cs="Arial"/>
          <w:sz w:val="20"/>
          <w:szCs w:val="20"/>
          <w:lang w:val="en-GB"/>
        </w:rPr>
      </w:pPr>
      <w:r w:rsidRPr="001A7494">
        <w:rPr>
          <w:rFonts w:ascii="Arial" w:eastAsia="Times New Roman" w:hAnsi="Arial" w:cs="Arial"/>
          <w:sz w:val="20"/>
          <w:szCs w:val="20"/>
          <w:lang w:val="en-GB"/>
        </w:rPr>
        <w:t>The DPPH and ABTS assays provided a different antioxidant pattern. These assays estimate the direct radical scavenging ability of extracts, with lower IC</w:t>
      </w:r>
      <w:r w:rsidRPr="001A7494">
        <w:rPr>
          <w:rFonts w:ascii="Cambria Math" w:eastAsia="Times New Roman" w:hAnsi="Cambria Math" w:cs="Cambria Math"/>
          <w:sz w:val="20"/>
          <w:szCs w:val="20"/>
          <w:lang w:val="en-GB"/>
        </w:rPr>
        <w:t>₅₀</w:t>
      </w:r>
      <w:r w:rsidRPr="001A7494">
        <w:rPr>
          <w:rFonts w:ascii="Arial" w:eastAsia="Times New Roman" w:hAnsi="Arial" w:cs="Arial"/>
          <w:sz w:val="20"/>
          <w:szCs w:val="20"/>
          <w:lang w:val="en-GB"/>
        </w:rPr>
        <w:t xml:space="preserve"> indicating stronger scavenging potency</w:t>
      </w:r>
      <w:r w:rsidR="00390402" w:rsidRPr="001A7494">
        <w:rPr>
          <w:rFonts w:ascii="Arial" w:eastAsia="Times New Roman" w:hAnsi="Arial" w:cs="Arial"/>
          <w:sz w:val="20"/>
          <w:szCs w:val="20"/>
          <w:lang w:val="en-GB"/>
        </w:rPr>
        <w:t xml:space="preserve"> </w:t>
      </w:r>
      <w:r w:rsidR="00390402" w:rsidRPr="001A7494">
        <w:rPr>
          <w:rFonts w:ascii="Arial" w:eastAsia="Times New Roman" w:hAnsi="Arial" w:cs="Arial"/>
          <w:sz w:val="20"/>
          <w:szCs w:val="20"/>
          <w:lang w:val="en-GB"/>
        </w:rPr>
        <w:fldChar w:fldCharType="begin"/>
      </w:r>
      <w:r w:rsidR="00390402" w:rsidRPr="001A7494">
        <w:rPr>
          <w:rFonts w:ascii="Arial" w:eastAsia="Times New Roman" w:hAnsi="Arial" w:cs="Arial"/>
          <w:sz w:val="20"/>
          <w:szCs w:val="20"/>
          <w:lang w:val="en-GB"/>
        </w:rPr>
        <w:instrText xml:space="preserve"> ADDIN ZOTERO_ITEM CSL_CITATION {"citationID":"sydpeeF2","properties":{"formattedCitation":"(Jaganjac et al., 2021)","plainCitation":"(Jaganjac et al., 2021)","noteIndex":0},"citationItems":[{"id":4697,"uris":["http://zotero.org/users/10343621/items/VL8DGP3W"],"itemData":{"id":4697,"type":"article-journal","abstract":"Impaired systemic redox homeostasis is implicated in the onset and development of various diseases, including skin diseases. Therefore, continuous search for natural products with antioxidant bioactivities applicable in biomedicine is attractive topic of general interest. Research efforts aiming to validate antioxidant potentials of natural products has led to the development of several assays based on various test principles. Hence, understanding the advantages and limitations of various assays is important for selection of assays useful to study antioxidant and related bioactivities of natural products of biomedical interest. This review paper gives a short overview on some chemical and cellular bioassays used to estimate the antioxidant activity of chosen natural products together with a brief overview on the use of natural products with antioxidant activities as adjuvant medicinal remedies in dermatology.","container-title":"Molecules","DOI":"10.3390/molecules26175301","ISSN":"1420-3049","issue":"17","journalAbbreviation":"Molecules","page":"5301","PMID":"34500732","PMCID":"PMC8433703","source":"PubMed Central","title":"Short Overview of Some Assays for the Measurement of Antioxidant Activity of Natural Products and Their Relevance in Dermatology","volume":"26","author":[{"family":"Jaganjac","given":"Morana"},{"family":"Sredoja Tisma","given":"Vesna"},{"family":"Zarkovic","given":"Neven"}],"issued":{"date-parts":[["2021",8,31]]}}}],"schema":"https://github.com/citation-style-language/schema/raw/master/csl-citation.json"} </w:instrText>
      </w:r>
      <w:r w:rsidR="00390402" w:rsidRPr="001A7494">
        <w:rPr>
          <w:rFonts w:ascii="Arial" w:eastAsia="Times New Roman" w:hAnsi="Arial" w:cs="Arial"/>
          <w:sz w:val="20"/>
          <w:szCs w:val="20"/>
          <w:lang w:val="en-GB"/>
        </w:rPr>
        <w:fldChar w:fldCharType="separate"/>
      </w:r>
      <w:r w:rsidR="00F964F1" w:rsidRPr="00F964F1">
        <w:rPr>
          <w:rFonts w:ascii="Arial" w:hAnsi="Arial" w:cs="Arial"/>
          <w:sz w:val="20"/>
          <w:lang w:val="en-GB"/>
        </w:rPr>
        <w:t>(Jaganjac et al., 2021)</w:t>
      </w:r>
      <w:r w:rsidR="00390402" w:rsidRPr="001A7494">
        <w:rPr>
          <w:rFonts w:ascii="Arial" w:eastAsia="Times New Roman" w:hAnsi="Arial" w:cs="Arial"/>
          <w:sz w:val="20"/>
          <w:szCs w:val="20"/>
          <w:lang w:val="en-GB"/>
        </w:rPr>
        <w:fldChar w:fldCharType="end"/>
      </w:r>
      <w:r w:rsidRPr="001A7494">
        <w:rPr>
          <w:rFonts w:ascii="Arial" w:eastAsia="Times New Roman" w:hAnsi="Arial" w:cs="Arial"/>
          <w:sz w:val="20"/>
          <w:szCs w:val="20"/>
          <w:lang w:val="en-GB"/>
        </w:rPr>
        <w:t>. In DPPH, ELDL and ESDL showed comparable and stronger activity than EBDL, with both extracts also showing lower IC</w:t>
      </w:r>
      <w:r w:rsidRPr="001A7494">
        <w:rPr>
          <w:rFonts w:ascii="Cambria Math" w:eastAsia="Times New Roman" w:hAnsi="Cambria Math" w:cs="Cambria Math"/>
          <w:sz w:val="20"/>
          <w:szCs w:val="20"/>
          <w:lang w:val="en-GB"/>
        </w:rPr>
        <w:t>₅₀</w:t>
      </w:r>
      <w:r w:rsidRPr="001A7494">
        <w:rPr>
          <w:rFonts w:ascii="Arial" w:eastAsia="Times New Roman" w:hAnsi="Arial" w:cs="Arial"/>
          <w:sz w:val="20"/>
          <w:szCs w:val="20"/>
          <w:lang w:val="en-GB"/>
        </w:rPr>
        <w:t xml:space="preserve"> values than the standard</w:t>
      </w:r>
      <w:r w:rsidR="005A279B" w:rsidRPr="001A7494">
        <w:rPr>
          <w:rFonts w:ascii="Arial" w:eastAsia="Times New Roman" w:hAnsi="Arial" w:cs="Arial"/>
          <w:sz w:val="20"/>
          <w:szCs w:val="20"/>
          <w:lang w:val="en-GB"/>
        </w:rPr>
        <w:t xml:space="preserve"> (Figure 7.)</w:t>
      </w:r>
      <w:r w:rsidRPr="001A7494">
        <w:rPr>
          <w:rFonts w:ascii="Arial" w:eastAsia="Times New Roman" w:hAnsi="Arial" w:cs="Arial"/>
          <w:sz w:val="20"/>
          <w:szCs w:val="20"/>
          <w:lang w:val="en-GB"/>
        </w:rPr>
        <w:t>. In ABTS, ELDL and ESDL again showed comparable scavenging activity, while EBDL had significantly higher IC</w:t>
      </w:r>
      <w:r w:rsidRPr="001A7494">
        <w:rPr>
          <w:rFonts w:ascii="Cambria Math" w:eastAsia="Times New Roman" w:hAnsi="Cambria Math" w:cs="Cambria Math"/>
          <w:sz w:val="20"/>
          <w:szCs w:val="20"/>
          <w:lang w:val="en-GB"/>
        </w:rPr>
        <w:t>₅₀</w:t>
      </w:r>
      <w:r w:rsidRPr="001A7494">
        <w:rPr>
          <w:rFonts w:ascii="Arial" w:eastAsia="Times New Roman" w:hAnsi="Arial" w:cs="Arial"/>
          <w:sz w:val="20"/>
          <w:szCs w:val="20"/>
          <w:lang w:val="en-GB"/>
        </w:rPr>
        <w:t xml:space="preserve"> and therefore weaker scavenging potency. Thus, although EBDL was strongest in TAC, leaf and stem extracts were more </w:t>
      </w:r>
      <w:r w:rsidRPr="001A7494">
        <w:rPr>
          <w:rFonts w:ascii="Arial" w:eastAsia="Times New Roman" w:hAnsi="Arial" w:cs="Arial"/>
          <w:sz w:val="20"/>
          <w:szCs w:val="20"/>
          <w:lang w:val="en-GB"/>
        </w:rPr>
        <w:lastRenderedPageBreak/>
        <w:t>effective in direct radical scavenging. This suggests that bark may contribute more to total reducing capacity, while leaf and stem may contain constituents that react more efficiently with DPPH and ABTS radicals.</w:t>
      </w:r>
    </w:p>
    <w:p w14:paraId="04BD1914" w14:textId="4B2F47A6" w:rsidR="00B34D54" w:rsidRPr="001A7494" w:rsidRDefault="00EE4568" w:rsidP="009A4760">
      <w:pPr>
        <w:keepNext/>
        <w:spacing w:after="0" w:line="360" w:lineRule="auto"/>
        <w:jc w:val="both"/>
        <w:rPr>
          <w:rFonts w:ascii="Arial" w:hAnsi="Arial" w:cs="Arial"/>
          <w:sz w:val="20"/>
          <w:szCs w:val="20"/>
        </w:rPr>
      </w:pPr>
      <w:r w:rsidRPr="001A7494">
        <w:rPr>
          <w:rFonts w:ascii="Arial" w:eastAsia="Times New Roman" w:hAnsi="Arial" w:cs="Arial"/>
          <w:noProof/>
          <w:sz w:val="20"/>
          <w:szCs w:val="20"/>
        </w:rPr>
        <w:drawing>
          <wp:inline distT="0" distB="0" distL="0" distR="0" wp14:anchorId="0DC74171" wp14:editId="5DF6ECCA">
            <wp:extent cx="3459480" cy="3124200"/>
            <wp:effectExtent l="19050" t="19050" r="26670" b="19050"/>
            <wp:docPr id="26199271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59480" cy="3124200"/>
                    </a:xfrm>
                    <a:prstGeom prst="rect">
                      <a:avLst/>
                    </a:prstGeom>
                    <a:noFill/>
                    <a:ln>
                      <a:solidFill>
                        <a:schemeClr val="tx1"/>
                      </a:solidFill>
                    </a:ln>
                  </pic:spPr>
                </pic:pic>
              </a:graphicData>
            </a:graphic>
          </wp:inline>
        </w:drawing>
      </w:r>
    </w:p>
    <w:p w14:paraId="4993364D" w14:textId="77777777" w:rsidR="0010785D" w:rsidRPr="0010785D" w:rsidRDefault="0010785D" w:rsidP="0010785D">
      <w:pPr>
        <w:spacing w:after="0" w:line="360" w:lineRule="auto"/>
        <w:jc w:val="both"/>
        <w:rPr>
          <w:rFonts w:ascii="Arial" w:eastAsia="Times New Roman" w:hAnsi="Arial" w:cs="Arial"/>
          <w:b/>
          <w:bCs/>
          <w:sz w:val="20"/>
          <w:szCs w:val="20"/>
        </w:rPr>
      </w:pPr>
      <w:r w:rsidRPr="0010785D">
        <w:rPr>
          <w:rFonts w:ascii="Arial" w:eastAsia="Times New Roman" w:hAnsi="Arial" w:cs="Arial"/>
          <w:b/>
          <w:bCs/>
          <w:sz w:val="20"/>
          <w:szCs w:val="20"/>
        </w:rPr>
        <w:t>Figure 7. IC</w:t>
      </w:r>
      <w:r w:rsidRPr="0010785D">
        <w:rPr>
          <w:rFonts w:ascii="Cambria Math" w:eastAsia="Times New Roman" w:hAnsi="Cambria Math" w:cs="Cambria Math"/>
          <w:b/>
          <w:bCs/>
          <w:sz w:val="20"/>
          <w:szCs w:val="20"/>
        </w:rPr>
        <w:t>₅₀</w:t>
      </w:r>
      <w:r w:rsidRPr="0010785D">
        <w:rPr>
          <w:rFonts w:ascii="Arial" w:eastAsia="Times New Roman" w:hAnsi="Arial" w:cs="Arial"/>
          <w:b/>
          <w:bCs/>
          <w:sz w:val="20"/>
          <w:szCs w:val="20"/>
        </w:rPr>
        <w:t xml:space="preserve"> Values for DPPH and ABTS radicals of Dalbergia latifolia extracts.</w:t>
      </w:r>
    </w:p>
    <w:p w14:paraId="6577BCBA" w14:textId="1A80440C" w:rsidR="00B34D54" w:rsidRPr="0010785D" w:rsidRDefault="00B34D54" w:rsidP="009A4760">
      <w:pPr>
        <w:pStyle w:val="Caption"/>
        <w:tabs>
          <w:tab w:val="left" w:pos="6946"/>
        </w:tabs>
        <w:spacing w:line="360" w:lineRule="auto"/>
        <w:ind w:right="2414"/>
        <w:jc w:val="both"/>
        <w:rPr>
          <w:rFonts w:ascii="Arial" w:eastAsia="Times New Roman" w:hAnsi="Arial" w:cs="Arial"/>
          <w:color w:val="auto"/>
          <w:sz w:val="20"/>
          <w:szCs w:val="20"/>
          <w:lang w:val="en-GB"/>
        </w:rPr>
      </w:pPr>
      <w:r w:rsidRPr="0010785D">
        <w:rPr>
          <w:rFonts w:ascii="Arial" w:eastAsia="Times New Roman" w:hAnsi="Arial" w:cs="Arial"/>
          <w:color w:val="auto"/>
          <w:sz w:val="20"/>
          <w:szCs w:val="20"/>
        </w:rPr>
        <w:t>V</w:t>
      </w:r>
      <w:r w:rsidRPr="0010785D">
        <w:rPr>
          <w:rFonts w:ascii="Arial" w:hAnsi="Arial" w:cs="Arial"/>
          <w:color w:val="auto"/>
          <w:sz w:val="20"/>
          <w:szCs w:val="20"/>
        </w:rPr>
        <w:t xml:space="preserve">alues expressed as mean ± SD, </w:t>
      </w:r>
      <w:r w:rsidR="0010785D">
        <w:rPr>
          <w:rFonts w:ascii="Arial" w:hAnsi="Arial" w:cs="Arial"/>
          <w:color w:val="auto"/>
          <w:sz w:val="20"/>
          <w:szCs w:val="20"/>
        </w:rPr>
        <w:t>n</w:t>
      </w:r>
      <w:r w:rsidRPr="0010785D">
        <w:rPr>
          <w:rFonts w:ascii="Arial" w:hAnsi="Arial" w:cs="Arial"/>
          <w:color w:val="auto"/>
          <w:sz w:val="20"/>
          <w:szCs w:val="20"/>
        </w:rPr>
        <w:t>=3. Significance difference (</w:t>
      </w:r>
      <w:r w:rsidRPr="0010785D">
        <w:rPr>
          <w:rFonts w:ascii="Arial" w:eastAsia="Times New Roman" w:hAnsi="Arial" w:cs="Arial"/>
          <w:color w:val="auto"/>
          <w:sz w:val="20"/>
          <w:szCs w:val="20"/>
          <w:lang w:val="en-GB"/>
        </w:rPr>
        <w:t xml:space="preserve"> p &lt; 0.05).</w:t>
      </w:r>
    </w:p>
    <w:p w14:paraId="0B65DDFD" w14:textId="77777777" w:rsidR="004E6F86" w:rsidRPr="004E6F86" w:rsidRDefault="004E6F86" w:rsidP="004E6F86">
      <w:pPr>
        <w:rPr>
          <w:lang w:val="en-GB"/>
        </w:rPr>
      </w:pPr>
    </w:p>
    <w:p w14:paraId="7DE141AA" w14:textId="612C6A9A" w:rsidR="00B34D54" w:rsidRPr="001A7494" w:rsidRDefault="00B34D54" w:rsidP="009A4760">
      <w:pPr>
        <w:spacing w:before="240" w:after="0" w:line="360" w:lineRule="auto"/>
        <w:jc w:val="both"/>
        <w:rPr>
          <w:rFonts w:ascii="Arial" w:eastAsia="Times New Roman" w:hAnsi="Arial" w:cs="Arial"/>
          <w:sz w:val="20"/>
          <w:szCs w:val="20"/>
          <w:lang w:val="en-GB"/>
        </w:rPr>
      </w:pPr>
      <w:r w:rsidRPr="001A7494">
        <w:rPr>
          <w:rFonts w:ascii="Arial" w:eastAsia="Times New Roman" w:hAnsi="Arial" w:cs="Arial"/>
          <w:sz w:val="20"/>
          <w:szCs w:val="20"/>
          <w:lang w:val="en-GB"/>
        </w:rPr>
        <w:t>This assay-dependent variation is scientifically meaningful. TAC gives an estimate of total antioxidant capacity, RPA reflects electron-donating power, while DPPH and ABTS more directly represent free radical neutralization</w:t>
      </w:r>
      <w:r w:rsidR="009D1B6C" w:rsidRPr="001A7494">
        <w:rPr>
          <w:rFonts w:ascii="Arial" w:eastAsia="Times New Roman" w:hAnsi="Arial" w:cs="Arial"/>
          <w:sz w:val="20"/>
          <w:szCs w:val="20"/>
          <w:lang w:val="en-GB"/>
        </w:rPr>
        <w:t xml:space="preserve"> </w:t>
      </w:r>
      <w:r w:rsidR="00390402" w:rsidRPr="001A7494">
        <w:rPr>
          <w:rFonts w:ascii="Arial" w:eastAsia="Times New Roman" w:hAnsi="Arial" w:cs="Arial"/>
          <w:sz w:val="20"/>
          <w:szCs w:val="20"/>
          <w:lang w:val="en-GB"/>
        </w:rPr>
        <w:fldChar w:fldCharType="begin"/>
      </w:r>
      <w:r w:rsidR="00390402" w:rsidRPr="001A7494">
        <w:rPr>
          <w:rFonts w:ascii="Arial" w:eastAsia="Times New Roman" w:hAnsi="Arial" w:cs="Arial"/>
          <w:sz w:val="20"/>
          <w:szCs w:val="20"/>
          <w:lang w:val="en-GB"/>
        </w:rPr>
        <w:instrText xml:space="preserve"> ADDIN ZOTERO_ITEM CSL_CITATION {"citationID":"iwI6eved","properties":{"formattedCitation":"(Jaganjac et al., 2021; Sadeer et al., 2020)","plainCitation":"(Jaganjac et al., 2021; Sadeer et al., 2020)","noteIndex":0},"citationItems":[{"id":4697,"uris":["http://zotero.org/users/10343621/items/VL8DGP3W"],"itemData":{"id":4697,"type":"article-journal","abstract":"Impaired systemic redox homeostasis is implicated in the onset and development of various diseases, including skin diseases. Therefore, continuous search for natural products with antioxidant bioactivities applicable in biomedicine is attractive topic of general interest. Research efforts aiming to validate antioxidant potentials of natural products has led to the development of several assays based on various test principles. Hence, understanding the advantages and limitations of various assays is important for selection of assays useful to study antioxidant and related bioactivities of natural products of biomedical interest. This review paper gives a short overview on some chemical and cellular bioassays used to estimate the antioxidant activity of chosen natural products together with a brief overview on the use of natural products with antioxidant activities as adjuvant medicinal remedies in dermatology.","container-title":"Molecules","DOI":"10.3390/molecules26175301","ISSN":"1420-3049","issue":"17","journalAbbreviation":"Molecules","page":"5301","PMID":"34500732","PMCID":"PMC8433703","source":"PubMed Central","title":"Short Overview of Some Assays for the Measurement of Antioxidant Activity of Natural Products and Their Relevance in Dermatology","volume":"26","author":[{"family":"Jaganjac","given":"Morana"},{"family":"Sredoja Tisma","given":"Vesna"},{"family":"Zarkovic","given":"Neven"}],"issued":{"date-parts":[["2021",8,31]]}}},{"id":4695,"uris":["http://zotero.org/users/10343621/items/968BXSQ2"],"itemData":{"id":4695,"type":"article-journal","abstract":"Currently, there is a growing interest in screening and quantifying antioxidants from biological samples in the quest for natural and effective antioxidants to combat free radical-related pathological complications. Antioxidant assays play a crucial ...","container-title":"Antioxidants","DOI":"10.3390/antiox9080709","issue":"8","language":"en","page":"709","PMID":"32764410","source":"pmc.ncbi.nlm.nih.gov","title":"The Versatility of Antioxidant Assays in Food Science and Safety—Chemistry, Applications, Strengths, and Limitations","volume":"9","author":[{"family":"Sadeer","given":"Nabeelah Bibi"},{"family":"Montesano","given":"Domenico"},{"family":"Albrizio","given":"Stefania"},{"family":"Zengin","given":"Gokhan"},{"family":"Mahomoodally","given":"Mohamad Fawzi"}],"issued":{"date-parts":[["2020",8,5]]}}}],"schema":"https://github.com/citation-style-language/schema/raw/master/csl-citation.json"} </w:instrText>
      </w:r>
      <w:r w:rsidR="00390402" w:rsidRPr="001A7494">
        <w:rPr>
          <w:rFonts w:ascii="Arial" w:eastAsia="Times New Roman" w:hAnsi="Arial" w:cs="Arial"/>
          <w:sz w:val="20"/>
          <w:szCs w:val="20"/>
          <w:lang w:val="en-GB"/>
        </w:rPr>
        <w:fldChar w:fldCharType="separate"/>
      </w:r>
      <w:r w:rsidR="00F964F1" w:rsidRPr="00F964F1">
        <w:rPr>
          <w:rFonts w:ascii="Arial" w:hAnsi="Arial" w:cs="Arial"/>
          <w:sz w:val="20"/>
          <w:lang w:val="en-GB"/>
        </w:rPr>
        <w:t>(Jaganjac et al., 2021; Sadeer et al., 2020)</w:t>
      </w:r>
      <w:r w:rsidR="00390402" w:rsidRPr="001A7494">
        <w:rPr>
          <w:rFonts w:ascii="Arial" w:eastAsia="Times New Roman" w:hAnsi="Arial" w:cs="Arial"/>
          <w:sz w:val="20"/>
          <w:szCs w:val="20"/>
          <w:lang w:val="en-GB"/>
        </w:rPr>
        <w:fldChar w:fldCharType="end"/>
      </w:r>
      <w:r w:rsidRPr="001A7494">
        <w:rPr>
          <w:rFonts w:ascii="Arial" w:eastAsia="Times New Roman" w:hAnsi="Arial" w:cs="Arial"/>
          <w:sz w:val="20"/>
          <w:szCs w:val="20"/>
          <w:lang w:val="en-GB"/>
        </w:rPr>
        <w:t>. Therefore, the present results show that antioxidant activity in D. latifolia is not uniform across plant parts or assay systems. EBDL may be more relevant where broad reducing capacity is required, whereas ELDL and ESDL may be more relevant for rapid radical scavenging. Such variation also explains why single-assay antioxidant evaluation can be misleading.</w:t>
      </w:r>
    </w:p>
    <w:p w14:paraId="45A109B3" w14:textId="68279F53" w:rsidR="00B34D54" w:rsidRPr="001A7494" w:rsidRDefault="00B34D54" w:rsidP="009A4760">
      <w:pPr>
        <w:spacing w:before="240" w:after="0" w:line="360" w:lineRule="auto"/>
        <w:jc w:val="both"/>
        <w:rPr>
          <w:rFonts w:ascii="Arial" w:eastAsia="Times New Roman" w:hAnsi="Arial" w:cs="Arial"/>
          <w:sz w:val="20"/>
          <w:szCs w:val="20"/>
          <w:lang w:val="en-GB"/>
        </w:rPr>
      </w:pPr>
      <w:r w:rsidRPr="001A7494">
        <w:rPr>
          <w:rFonts w:ascii="Arial" w:eastAsia="Times New Roman" w:hAnsi="Arial" w:cs="Arial"/>
          <w:sz w:val="20"/>
          <w:szCs w:val="20"/>
          <w:lang w:val="en-GB"/>
        </w:rPr>
        <w:t xml:space="preserve">The present findings are consistent with earlier reports that link D. latifolia bioactivity to oxidative stress modulation. </w:t>
      </w:r>
      <w:r w:rsidR="00390402" w:rsidRPr="001A7494">
        <w:rPr>
          <w:rFonts w:ascii="Arial" w:eastAsia="Times New Roman" w:hAnsi="Arial" w:cs="Arial"/>
          <w:sz w:val="20"/>
          <w:szCs w:val="20"/>
          <w:lang w:val="en-GB"/>
        </w:rPr>
        <w:fldChar w:fldCharType="begin"/>
      </w:r>
      <w:r w:rsidR="00390402" w:rsidRPr="001A7494">
        <w:rPr>
          <w:rFonts w:ascii="Arial" w:eastAsia="Times New Roman" w:hAnsi="Arial" w:cs="Arial"/>
          <w:sz w:val="20"/>
          <w:szCs w:val="20"/>
          <w:lang w:val="en-GB"/>
        </w:rPr>
        <w:instrText xml:space="preserve"> ADDIN ZOTERO_ITEM CSL_CITATION {"citationID":"34Tlqr2i","properties":{"formattedCitation":"(Nagarathna &amp; Kumari, 2018)","plainCitation":"(Nagarathna &amp; Kumari, 2018)","noteIndex":0},"citationItems":[{"id":4676,"uris":["http://zotero.org/users/10343621/items/XGK89GTC"],"itemData":{"id":4676,"type":"article-journal","container-title":"Asian Journal of Science and Technology","ISSN":"0976-3376","issue":"4","page":"7897–7904","title":"SCREENING OF CARDIOPROTECTIVE AND ANTIOXIDANT ACTIVITY OF “DALBERGIA LATIFOLIA”","volume":"9","author":[{"family":"Nagarathna","given":"P. K. M."},{"family":"Kumari","given":"Anjali"}],"issued":{"date-parts":[["2018",4]]}}}],"schema":"https://github.com/citation-style-language/schema/raw/master/csl-citation.json"} </w:instrText>
      </w:r>
      <w:r w:rsidR="00390402" w:rsidRPr="001A7494">
        <w:rPr>
          <w:rFonts w:ascii="Arial" w:eastAsia="Times New Roman" w:hAnsi="Arial" w:cs="Arial"/>
          <w:sz w:val="20"/>
          <w:szCs w:val="20"/>
          <w:lang w:val="en-GB"/>
        </w:rPr>
        <w:fldChar w:fldCharType="separate"/>
      </w:r>
      <w:r w:rsidR="00F964F1" w:rsidRPr="00F964F1">
        <w:rPr>
          <w:rFonts w:ascii="Arial" w:hAnsi="Arial" w:cs="Arial"/>
          <w:sz w:val="20"/>
          <w:lang w:val="en-GB"/>
        </w:rPr>
        <w:t>(Nagarathna &amp; Kumari, 2018)</w:t>
      </w:r>
      <w:r w:rsidR="00390402" w:rsidRPr="001A7494">
        <w:rPr>
          <w:rFonts w:ascii="Arial" w:eastAsia="Times New Roman" w:hAnsi="Arial" w:cs="Arial"/>
          <w:sz w:val="20"/>
          <w:szCs w:val="20"/>
          <w:lang w:val="en-GB"/>
        </w:rPr>
        <w:fldChar w:fldCharType="end"/>
      </w:r>
      <w:r w:rsidR="00390402" w:rsidRPr="001A7494">
        <w:rPr>
          <w:rFonts w:ascii="Arial" w:eastAsia="Times New Roman" w:hAnsi="Arial" w:cs="Arial"/>
          <w:sz w:val="20"/>
          <w:szCs w:val="20"/>
          <w:lang w:val="en-GB"/>
        </w:rPr>
        <w:t xml:space="preserve"> </w:t>
      </w:r>
      <w:r w:rsidRPr="001A7494">
        <w:rPr>
          <w:rFonts w:ascii="Arial" w:eastAsia="Times New Roman" w:hAnsi="Arial" w:cs="Arial"/>
          <w:sz w:val="20"/>
          <w:szCs w:val="20"/>
          <w:lang w:val="en-GB"/>
        </w:rPr>
        <w:t xml:space="preserve">reported that D. latifolia leaf extract protected against 5-FU-induced cardiotoxicity by improving antioxidant enzyme status and reducing oxidative injury. This supports the strong radical scavenging activity of ELDL observed in the present study. </w:t>
      </w:r>
      <w:r w:rsidR="00390402" w:rsidRPr="001A7494">
        <w:rPr>
          <w:rFonts w:ascii="Arial" w:eastAsia="Times New Roman" w:hAnsi="Arial" w:cs="Arial"/>
          <w:sz w:val="20"/>
          <w:szCs w:val="20"/>
          <w:lang w:val="en-GB"/>
        </w:rPr>
        <w:fldChar w:fldCharType="begin"/>
      </w:r>
      <w:r w:rsidR="00390402" w:rsidRPr="001A7494">
        <w:rPr>
          <w:rFonts w:ascii="Arial" w:eastAsia="Times New Roman" w:hAnsi="Arial" w:cs="Arial"/>
          <w:sz w:val="20"/>
          <w:szCs w:val="20"/>
          <w:lang w:val="en-GB"/>
        </w:rPr>
        <w:instrText xml:space="preserve"> ADDIN ZOTERO_ITEM CSL_CITATION {"citationID":"HWN8m5JE","properties":{"formattedCitation":"(Tiwari &amp; Choudhary, 2021)","plainCitation":"(Tiwari &amp; Choudhary, 2021)","noteIndex":0},"citationItems":[{"id":4058,"uris":["http://zotero.org/users/10343621/items/ATH39BXK"],"itemData":{"id":4058,"type":"article-journal","abstract":"It is essential to gauge the herbal plants scientifically and proper documentation should be made to understand their medicinal properties. In current scenario there exists a very high demand for the herbal products in the entire world that led to the extensive research in many pharmaceutical industries on plant materials for the exploration of potential medicinal value. This inclination seems to be a result of people finding various alternative systems of drugs. A large number of drugs are reported to have excellent medicinal value and are in use for the treatment of diabetes. Dalbergia latifolia Roxb is evergreen, deciduous tree belongs to fabaceae family, it consist of white small flower and identified by grey bark which peels in long fibers. In the present study, qualitative and quantitative phytochemical screening of Hydroalcoholic extract of bark of Dalbergia latifolia (DLExt) and pharmacological studies involved acute oral toxicity study, oral glucose tolerance test (OGTT) hypoglycemic activity and antidiabetic activity of DLExt was done. The results suggested that Dalbergia latifolia (DLExt) induced a potent reduction in glycaemia exhibited potential to reduce the blood glucose level (BGL). The study showed that Hydroalcoholic extract of bark of Dalbergia latifolia protect massive body weight loss significantly decreased MDA in pancreas and in kidney and enhances SOD, CAT, GPx and GST activity. The involvement of DLExt reduction in level of TG, TC, LDL, VLDL and elevation in HDL level in diabetic rats was also demonstrated. The study was supported with histopathology studies and showed remarkable improvement in pancreatic tissues, normal architecture of hepatocytes and normal architecture of bowman’s capsule and renal tubules.","container-title":"Journal of Advanced Scientific Research","DOI":"10.55218/JASR.s2202112312","ISSN":"0976-9595","issue":"03 Suppl 2","language":"en","license":"Copyright (c) 2021 Journal of Advanced Scientific Research","page":"95-109","source":"www.sciensage.info","title":"PHYTOPHARMACOLOGICAL EVALUATION OF DALBERGIA LATIFOLIA ROXB FOR ANTIDIABETIC ACTIVITY AND ITS EFFECT ON LIPID PROFILE AND HEPATIC ENZYMES OF GLUCOSE METABOLISM IN DIABETIC RATS","volume":"12","author":[{"family":"Tiwari","given":"Akhilendra"},{"family":"Choudhary","given":"Naveen Kumar"}],"issued":{"date-parts":[["2021",10,31]]}}}],"schema":"https://github.com/citation-style-language/schema/raw/master/csl-citation.json"} </w:instrText>
      </w:r>
      <w:r w:rsidR="00390402" w:rsidRPr="001A7494">
        <w:rPr>
          <w:rFonts w:ascii="Arial" w:eastAsia="Times New Roman" w:hAnsi="Arial" w:cs="Arial"/>
          <w:sz w:val="20"/>
          <w:szCs w:val="20"/>
          <w:lang w:val="en-GB"/>
        </w:rPr>
        <w:fldChar w:fldCharType="separate"/>
      </w:r>
      <w:r w:rsidR="00F964F1" w:rsidRPr="00F964F1">
        <w:rPr>
          <w:rFonts w:ascii="Arial" w:hAnsi="Arial" w:cs="Arial"/>
          <w:sz w:val="20"/>
          <w:lang w:val="en-GB"/>
        </w:rPr>
        <w:t>(Tiwari &amp; Choudhary, 2021)</w:t>
      </w:r>
      <w:r w:rsidR="00390402" w:rsidRPr="001A7494">
        <w:rPr>
          <w:rFonts w:ascii="Arial" w:eastAsia="Times New Roman" w:hAnsi="Arial" w:cs="Arial"/>
          <w:sz w:val="20"/>
          <w:szCs w:val="20"/>
          <w:lang w:val="en-GB"/>
        </w:rPr>
        <w:fldChar w:fldCharType="end"/>
      </w:r>
      <w:r w:rsidRPr="001A7494">
        <w:rPr>
          <w:rFonts w:ascii="Arial" w:eastAsia="Times New Roman" w:hAnsi="Arial" w:cs="Arial"/>
          <w:sz w:val="20"/>
          <w:szCs w:val="20"/>
          <w:lang w:val="en-GB"/>
        </w:rPr>
        <w:t xml:space="preserve"> showed that hydroalcoholic bark extract improved antioxidant enzymes such as SOD, CAT, GPx, and GST in diabetic rats, which corresponds well with the strong TAC observed for EBDL. </w:t>
      </w:r>
      <w:r w:rsidR="00390402" w:rsidRPr="001A7494">
        <w:rPr>
          <w:rFonts w:ascii="Arial" w:eastAsia="Times New Roman" w:hAnsi="Arial" w:cs="Arial"/>
          <w:sz w:val="20"/>
          <w:szCs w:val="20"/>
          <w:lang w:val="en-GB"/>
        </w:rPr>
        <w:fldChar w:fldCharType="begin"/>
      </w:r>
      <w:r w:rsidR="00390402" w:rsidRPr="001A7494">
        <w:rPr>
          <w:rFonts w:ascii="Arial" w:eastAsia="Times New Roman" w:hAnsi="Arial" w:cs="Arial"/>
          <w:sz w:val="20"/>
          <w:szCs w:val="20"/>
          <w:lang w:val="en-GB"/>
        </w:rPr>
        <w:instrText xml:space="preserve"> ADDIN ZOTERO_ITEM CSL_CITATION {"citationID":"ymYqKmTD","properties":{"formattedCitation":"(Khalid et al., 2020)","plainCitation":"(Khalid et al., 2020)","noteIndex":0},"citationItems":[{"id":4055,"uris":["http://zotero.org/users/10343621/items/JDHKP4EW"],"itemData":{"id":4055,"type":"article-journal","abstract":"Obesity is an alarming sign and considered as a threat word wide. Since it not only hurt the human body but plays as a basis for other serious diseases like cardiovascular and many more. The 50% hydro-ethanolic extract of Dalbergia latifolia bark (D. latifolia) (DLBE; %yield = 16.34) and methanolic extract (4.32%) of D. latifolia were made. The DLBE was used for the acute oral toxicity and anti-obesity activity in the rodent. However, methanolic extract was used for characterization by high-performance thin layer chromatography (HPTLC) method. During acute toxicity study, it was shown that certainly there was no mortality or morbidity observed up to the maximum dose of 2000 mg/kg after administration of DLBE. The ultimate body weight, food intake, liver weight, total cholesterol (TC), high-density lipoprotein (HDL), low-density lipoprotein (LDL), very low-density lipoprotein (VLDL), triglycerides (TG), aspartate aminotransferase (AST), alanine transaminase (ALT), serum creatinine and blood urea nitrogen (BUN) of rats treated with DLBE at a dose of 200 and 400 mg/kg respectively was considerably diminished to p &lt; 0.01 and p &lt; 0.05 as compared with high-fat diet (HFD) induced obese animals. However, DLBE treated with quite smaller dose revealed a non-significant (p &gt; 0.05) effects on above parameters. The histopathological findings of the study from the cross section of liver and kidney show normal architecture in the cells treated with DLBE at a dose of 200 and 400 mg/kg respectively. Thus we can conclude that the bark extract of D. latifolia can be used for the treatment of obesity and a novel approach for further investigations of its pathology.","container-title":"3 Biotech","DOI":"10.1007/s13205-020-02491-z","ISSN":"2190-5738","issue":"11","journalAbbreviation":"3 Biotech","language":"en","page":"493","source":"Springer Link","title":"Anti obesity prospective of Dalbergia latifolia (Roxb.) hydroalcoholic bark extract in high fat diet induced obese rats","volume":"10","author":[{"family":"Khalid","given":"Mohammad"},{"family":"Shoaib","given":"Ambreen"},{"family":"Akhtar","given":"Juber"},{"family":"Alqarni","given":"Mohammed H."},{"literal":"Badruddeen"},{"family":"Siddiqui","given":"Hefazat H."},{"family":"Foudah","given":"Ahmed I."}],"issued":{"date-parts":[["2020",10,27]]}}}],"schema":"https://github.com/citation-style-language/schema/raw/master/csl-citation.json"} </w:instrText>
      </w:r>
      <w:r w:rsidR="00390402" w:rsidRPr="001A7494">
        <w:rPr>
          <w:rFonts w:ascii="Arial" w:eastAsia="Times New Roman" w:hAnsi="Arial" w:cs="Arial"/>
          <w:sz w:val="20"/>
          <w:szCs w:val="20"/>
          <w:lang w:val="en-GB"/>
        </w:rPr>
        <w:fldChar w:fldCharType="separate"/>
      </w:r>
      <w:r w:rsidR="00F964F1" w:rsidRPr="00F964F1">
        <w:rPr>
          <w:rFonts w:ascii="Arial" w:hAnsi="Arial" w:cs="Arial"/>
          <w:sz w:val="20"/>
          <w:lang w:val="en-GB"/>
        </w:rPr>
        <w:t>(Khalid et al., 2020)</w:t>
      </w:r>
      <w:r w:rsidR="00390402" w:rsidRPr="001A7494">
        <w:rPr>
          <w:rFonts w:ascii="Arial" w:eastAsia="Times New Roman" w:hAnsi="Arial" w:cs="Arial"/>
          <w:sz w:val="20"/>
          <w:szCs w:val="20"/>
          <w:lang w:val="en-GB"/>
        </w:rPr>
        <w:fldChar w:fldCharType="end"/>
      </w:r>
      <w:r w:rsidRPr="001A7494">
        <w:rPr>
          <w:rFonts w:ascii="Arial" w:eastAsia="Times New Roman" w:hAnsi="Arial" w:cs="Arial"/>
          <w:sz w:val="20"/>
          <w:szCs w:val="20"/>
          <w:lang w:val="en-GB"/>
        </w:rPr>
        <w:t xml:space="preserve"> also </w:t>
      </w:r>
      <w:r w:rsidRPr="001A7494">
        <w:rPr>
          <w:rFonts w:ascii="Arial" w:eastAsia="Times New Roman" w:hAnsi="Arial" w:cs="Arial"/>
          <w:sz w:val="20"/>
          <w:szCs w:val="20"/>
          <w:lang w:val="en-GB"/>
        </w:rPr>
        <w:lastRenderedPageBreak/>
        <w:t>reported metabolic and histological improvement with bark extract in high-fat diet-induced obesity, further supporting the relevance of bark antioxidant capacity in systemic oxidative stress.</w:t>
      </w:r>
    </w:p>
    <w:p w14:paraId="094D09F8" w14:textId="5CDBC4E4" w:rsidR="004E6F86" w:rsidRDefault="00B34D54" w:rsidP="004E6F86">
      <w:pPr>
        <w:spacing w:before="240" w:after="0" w:line="360" w:lineRule="auto"/>
        <w:jc w:val="both"/>
        <w:rPr>
          <w:rFonts w:ascii="Arial" w:eastAsia="Times New Roman" w:hAnsi="Arial" w:cs="Arial"/>
          <w:sz w:val="20"/>
          <w:szCs w:val="20"/>
          <w:lang w:val="en-GB"/>
        </w:rPr>
      </w:pPr>
      <w:r w:rsidRPr="001A7494">
        <w:rPr>
          <w:rFonts w:ascii="Arial" w:eastAsia="Times New Roman" w:hAnsi="Arial" w:cs="Arial"/>
          <w:sz w:val="20"/>
          <w:szCs w:val="20"/>
          <w:lang w:val="en-GB"/>
        </w:rPr>
        <w:t xml:space="preserve">The ethnomedicinal uses of D. latifolia also fit with the current antioxidant findings. Bark has traditionally been used for </w:t>
      </w:r>
      <w:r w:rsidR="009A4760" w:rsidRPr="001A7494">
        <w:rPr>
          <w:rFonts w:ascii="Arial" w:eastAsia="Times New Roman" w:hAnsi="Arial" w:cs="Arial"/>
          <w:sz w:val="20"/>
          <w:szCs w:val="20"/>
          <w:lang w:val="en-GB"/>
        </w:rPr>
        <w:t>diarrhoea</w:t>
      </w:r>
      <w:r w:rsidRPr="001A7494">
        <w:rPr>
          <w:rFonts w:ascii="Arial" w:eastAsia="Times New Roman" w:hAnsi="Arial" w:cs="Arial"/>
          <w:sz w:val="20"/>
          <w:szCs w:val="20"/>
          <w:lang w:val="en-GB"/>
        </w:rPr>
        <w:t xml:space="preserve">, dyspepsia, leprosy, obesity, worms, body pain, and as a bitter tonic, stomachic, stimulant, anthelminthic, and spasmogogue. Bark, leaves, and roots are also used for chronic ulcers, polyuria, urinary bladder disorders, </w:t>
      </w:r>
      <w:r w:rsidR="009A4760" w:rsidRPr="001A7494">
        <w:rPr>
          <w:rFonts w:ascii="Arial" w:eastAsia="Times New Roman" w:hAnsi="Arial" w:cs="Arial"/>
          <w:sz w:val="20"/>
          <w:szCs w:val="20"/>
          <w:lang w:val="en-GB"/>
        </w:rPr>
        <w:t>leukoderma</w:t>
      </w:r>
      <w:r w:rsidRPr="001A7494">
        <w:rPr>
          <w:rFonts w:ascii="Arial" w:eastAsia="Times New Roman" w:hAnsi="Arial" w:cs="Arial"/>
          <w:sz w:val="20"/>
          <w:szCs w:val="20"/>
          <w:lang w:val="en-GB"/>
        </w:rPr>
        <w:t>, wounds, and skin diseases</w:t>
      </w:r>
      <w:r w:rsidR="00BA3040" w:rsidRPr="001A7494">
        <w:rPr>
          <w:rFonts w:ascii="Arial" w:eastAsia="Times New Roman" w:hAnsi="Arial" w:cs="Arial"/>
          <w:sz w:val="20"/>
          <w:szCs w:val="20"/>
          <w:lang w:val="en-GB"/>
        </w:rPr>
        <w:t xml:space="preserve"> </w:t>
      </w:r>
      <w:r w:rsidR="00BA3040" w:rsidRPr="001A7494">
        <w:rPr>
          <w:rFonts w:ascii="Arial" w:eastAsia="Times New Roman" w:hAnsi="Arial" w:cs="Arial"/>
          <w:sz w:val="20"/>
          <w:szCs w:val="20"/>
          <w:lang w:val="en-GB"/>
        </w:rPr>
        <w:fldChar w:fldCharType="begin"/>
      </w:r>
      <w:r w:rsidR="00BA3040" w:rsidRPr="001A7494">
        <w:rPr>
          <w:rFonts w:ascii="Arial" w:eastAsia="Times New Roman" w:hAnsi="Arial" w:cs="Arial"/>
          <w:sz w:val="20"/>
          <w:szCs w:val="20"/>
          <w:lang w:val="en-GB"/>
        </w:rPr>
        <w:instrText xml:space="preserve"> ADDIN ZOTERO_ITEM CSL_CITATION {"citationID":"QJ6IlK4G","properties":{"formattedCitation":"(Almeida &amp; Almeida, 2010; Bhatnagar, 1985; Jain, 1991; Kirtikar &amp; Basu, 1918)","plainCitation":"(Almeida &amp; Almeida, 2010; Bhatnagar, 1985; Jain, 1991; Kirtikar &amp; Basu, 1918)","noteIndex":0},"citationItems":[{"id":596,"uris":["http://zotero.org/users/10343621/items/4S2LA5CF"],"itemData":{"id":596,"type":"book","number-of-pages":"489","publisher":"Orient Press Ltd. Mumbai","source":"Google Scholar","title":"Hand book of diseases and their herbal remedies in Maharashtra","volume":"2","author":[{"family":"Almeida","given":"S. M."},{"family":"Almeida","given":"M. R."}],"issued":{"date-parts":[["2010"]]}}},{"id":4688,"uris":["http://zotero.org/users/10343621/items/QH4FSZQ4"],"itemData":{"id":4688,"type":"book","abstract":"Describes plants, their origin, habitat, and use.","ISBN":"978-81-85038-97-1","publisher":"Publications &amp; Information Directorate, Council of Scientific &amp; Industrial Research,","source":"books.google.co.in","title":"The Wealth of India: A Dictionary of Indian Raw Materials &amp; Industrial Products, Volume 3","URL":"https://books.google.com/books/about/The_Wealth_of_India.html?id=EYzd1kVUmZUC","volume":"3","author":[{"family":"Bhatnagar","given":"S.S"}],"accessed":{"date-parts":[["2026",5,13]]},"issued":{"date-parts":[["1985"]]}}},{"id":4691,"uris":["http://zotero.org/users/10343621/items/JDUNYDI5"],"itemData":{"id":4691,"type":"book","ISBN":"978-81-85622-00-2","language":"en","publisher":"Deep Publications,","source":"lib.icimod.org","title":"Dictionary of Indian folk medicine and ethnobotany","URL":"https://lib.icimod.org/records/btvnb-7q452","author":[{"family":"Jain","given":"S. K."}],"accessed":{"date-parts":[["2026",5,13]]},"issued":{"date-parts":[["1991"]]}}},{"id":4689,"uris":["http://zotero.org/users/10343621/items/WSPTYKE3"],"itemData":{"id":4689,"type":"book","language":"en","note":"Google-Books-ID: cR1AAQAAMAAJ","number-of-pages":"840","publisher":"Lalit Mohan Basu","publisher-place":"Allahbad, India","source":"Google Books","title":"Indian Medicinal Plants","volume":"2","author":[{"family":"Kirtikar","given":"Kanhoba Ranchoddas"},{"family":"Basu","given":"Baman Das"}],"issued":{"date-parts":[["1918"]]}}}],"schema":"https://github.com/citation-style-language/schema/raw/master/csl-citation.json"} </w:instrText>
      </w:r>
      <w:r w:rsidR="00BA3040" w:rsidRPr="001A7494">
        <w:rPr>
          <w:rFonts w:ascii="Arial" w:eastAsia="Times New Roman" w:hAnsi="Arial" w:cs="Arial"/>
          <w:sz w:val="20"/>
          <w:szCs w:val="20"/>
          <w:lang w:val="en-GB"/>
        </w:rPr>
        <w:fldChar w:fldCharType="separate"/>
      </w:r>
      <w:r w:rsidR="00F964F1" w:rsidRPr="00F964F1">
        <w:rPr>
          <w:rFonts w:ascii="Arial" w:hAnsi="Arial" w:cs="Arial"/>
          <w:sz w:val="20"/>
        </w:rPr>
        <w:t>(Almeida &amp; Almeida, 2010; Bhatnagar, 1985; Jain, 1991; Kirtikar &amp; Basu, 1918)</w:t>
      </w:r>
      <w:r w:rsidR="00BA3040" w:rsidRPr="001A7494">
        <w:rPr>
          <w:rFonts w:ascii="Arial" w:eastAsia="Times New Roman" w:hAnsi="Arial" w:cs="Arial"/>
          <w:sz w:val="20"/>
          <w:szCs w:val="20"/>
          <w:lang w:val="en-GB"/>
        </w:rPr>
        <w:fldChar w:fldCharType="end"/>
      </w:r>
      <w:r w:rsidRPr="001A7494">
        <w:rPr>
          <w:rFonts w:ascii="Arial" w:eastAsia="Times New Roman" w:hAnsi="Arial" w:cs="Arial"/>
          <w:sz w:val="20"/>
          <w:szCs w:val="20"/>
          <w:lang w:val="en-GB"/>
        </w:rPr>
        <w:t>. Oxidative stress is commonly involved in chronic wounds, inflammatory skin conditions, ulcers, metabolic disorders, and tissue injury</w:t>
      </w:r>
      <w:r w:rsidR="00BA3040" w:rsidRPr="001A7494">
        <w:rPr>
          <w:rFonts w:ascii="Arial" w:eastAsia="Times New Roman" w:hAnsi="Arial" w:cs="Arial"/>
          <w:sz w:val="20"/>
          <w:szCs w:val="20"/>
          <w:lang w:val="en-GB"/>
        </w:rPr>
        <w:t xml:space="preserve"> </w:t>
      </w:r>
      <w:r w:rsidR="00BA3040" w:rsidRPr="001A7494">
        <w:rPr>
          <w:rFonts w:ascii="Arial" w:eastAsia="Times New Roman" w:hAnsi="Arial" w:cs="Arial"/>
          <w:sz w:val="20"/>
          <w:szCs w:val="20"/>
          <w:lang w:val="en-GB"/>
        </w:rPr>
        <w:fldChar w:fldCharType="begin"/>
      </w:r>
      <w:r w:rsidR="00BA3040" w:rsidRPr="001A7494">
        <w:rPr>
          <w:rFonts w:ascii="Arial" w:eastAsia="Times New Roman" w:hAnsi="Arial" w:cs="Arial"/>
          <w:sz w:val="20"/>
          <w:szCs w:val="20"/>
          <w:lang w:val="en-GB"/>
        </w:rPr>
        <w:instrText xml:space="preserve"> ADDIN ZOTERO_ITEM CSL_CITATION {"citationID":"ZsGgqUBq","properties":{"formattedCitation":"(Feng et al., 2022; Masenga et al., 2023; Rani et al., 2016)","plainCitation":"(Feng et al., 2022; Masenga et al., 2023; Rani et al., 2016)","noteIndex":0},"citationItems":[{"id":4450,"uris":["http://zotero.org/users/10343621/items/R9DL2UWS"],"itemData":{"id":4450,"type":"article-journal","abstract":"Diabetic ulcers are one of the major complications of diabetes, and patients usually suffer from amputation and death due to delayed ulcer wound healing. Persistent inflammation and oxidative stress at the wound site are the main manifestations of delayed wound healing in diabetic ulcers. In addition, chronic hyperglycemia in patients can lead to circulatory accumulation of lipid peroxidation products and impaired iron metabolism pathways leading to the presence of multiple free irons in plasma. Ferroptosis, a newly discovered form of cell death, is characterized by intracellular iron overload and accumulation of iron-dependent lipid peroxides. These indicate that ferroptosis is one of the potential mechanisms of delayed wound healing in diabetic ulcers and will hopefully be a novel therapeutic target for delayed wound healing in diabetic patients. This review explored the pathogenesis of diabetic ulcer wound healing, reveals that oxidative stress and lipid peroxidation are common pathological mechanisms of ferroptosis and delayed wound healing in diabetic ulcers. Based on strong evidence, it is speculated that ferroptosis and diabetic ulcers are closely related, and have value of in-depth research. We attempted to clarify prospective associations between ferroptosis and diabetic ulcers in terms of GPX4, iron overload, ferroptosis inhibitors, AGEs, and HO-1, to provide new ideas for exploring the clinical treatment of diabetic ulcers.","container-title":"Frontiers in Cell and Developmental Biology","DOI":"10.3389/fcell.2022.898657","ISSN":"2296-634X","journalAbbreviation":"Front Cell Dev Biol","page":"898657","PMID":"35874833","PMCID":"PMC9304626","source":"PubMed Central","title":"Oxidative Stress and Lipid Peroxidation: Prospective Associations Between Ferroptosis and Delayed Wound Healing in Diabetic Ulcers","title-short":"Oxidative Stress and Lipid Peroxidation","volume":"10","author":[{"family":"Feng","given":"Jiawei"},{"family":"Wang","given":"Jialin"},{"family":"Wang","given":"Yuqing"},{"family":"Huang","given":"Xiaoting"},{"family":"Shao","given":"Tengteng"},{"family":"Deng","given":"Xiaofei"},{"family":"Cao","given":"Yemin"},{"family":"Zhou","given":"Mingmei"},{"family":"Zhao","given":"Cheng"}],"issued":{"date-parts":[["2022",7,8]]}}},{"id":4680,"uris":["http://zotero.org/users/10343621/items/R6PV3CFF"],"itemData":{"id":4680,"type":"article-journal","abstract":"Metabolic syndrome is a cluster of conditions associated with the risk of diabetes mellitus type 2 and cardiovascular diseases (CVDs). Metabolic syndrome is closely related to obesity. Increased adiposity promotes inflammation and oxidative stress, which are precursors of various complications involving metabolic syndrome components, namely insulin resistance, hypertension, and hyperlipidemia. An increasing number of studies confirm the importance of oxidative stress and chronic inflammation in the etiology of metabolic syndrome. However, few studies have reviewed the mechanisms underlying the role of oxidative stress in contributing to metabolic syndrome. In this review, we highlight mechanisms by which reactive oxygen species (ROS) increase mitochondrial dysfunction, protein damage, lipid peroxidation, and impair antioxidant function in metabolic syndrome. Biomarkers of oxidative stress can be used in disease diagnosis and evaluation of severity.","container-title":"International Journal of Molecular Sciences","DOI":"10.3390/ijms24097898","ISSN":"1422-0067","issue":"9","journalAbbreviation":"Int J Mol Sci","page":"7898","PMID":"37175603","PMCID":"PMC10178199","source":"PubMed Central","title":"Mechanisms of Oxidative Stress in Metabolic Syndrome","volume":"24","author":[{"family":"Masenga","given":"Sepiso K."},{"family":"Kabwe","given":"Lombe S."},{"family":"Chakulya","given":"Martin"},{"family":"Kirabo","given":"Annet"}],"issued":{"date-parts":[["2023",4,26]]}}},{"id":4678,"uris":["http://zotero.org/users/10343621/items/T9L85HAJ"],"itemData":{"id":4678,"type":"article-journal","abstract":"Increased body weight and metabolic disorder including insulin resistance, type 2 diabetes and cardiovascular complications together constitute metabolic syndrome. The pathogenesis of metabolic syndrome involves multitude of factors. A number of studies however indicate, with some conformity, that oxidative stress along with chronic inflammatory condition pave the way for the development of metabolic diseases. Oxidative stress, a state of lost balance between the oxidative and anti-oxidative systems of the cells and tissues, results in the over production of oxidative free radicals and reactive oxygen species (ROS). Excessive ROS generated could attack the cellular proteins, lipids and nucleic acids leading to cellular dysfunction including loss of energy metabolism, altered cell signalling and cell cycle control, genetic mutations, altered cellular transport mechanisms and overall decreased biological activity, immune activation and inflammation. In addition, nutritional stress such as that caused by high fat high carbohydrate diet also promotes oxidative stress as evident by increased lipid peroxidation products, protein carbonylation, and decreased antioxidant system and reduced glutathione (GSH) levels. These changes lead to initiation of pathogenic milieu and development of several chronic diseases. Studies suggest that in obese person oxidative stress and chronic inflammation are the important underlying factors that lead to development of pathologies such as carcinogenesis, obesity, diabetes, and cardiovascular diseases through altered cellular and nuclear mechanisms, including impaired DNA damage repair and cell cycle regulation. Here we discuss the aspects of metabolic disorders-induced oxidative stress in major pathological conditions and strategies for their prevention and therapy.","container-title":"Life Sciences","DOI":"10.1016/j.lfs.2016.02.002","ISSN":"0024-3205","journalAbbreviation":"Life Sciences","page":"183-193","source":"ScienceDirect","title":"Oxidative stress and metabolic disorders: Pathogenesis and therapeutic strategies","title-short":"Oxidative stress and metabolic disorders","volume":"148","author":[{"family":"Rani","given":"Vibha"},{"family":"Deep","given":"Gagan"},{"family":"Singh","given":"Rakesh K."},{"family":"Palle","given":"Komaraiah"},{"family":"Yadav","given":"Umesh C. S."}],"issued":{"date-parts":[["2016",3,1]]}}}],"schema":"https://github.com/citation-style-language/schema/raw/master/csl-citation.json"} </w:instrText>
      </w:r>
      <w:r w:rsidR="00BA3040" w:rsidRPr="001A7494">
        <w:rPr>
          <w:rFonts w:ascii="Arial" w:eastAsia="Times New Roman" w:hAnsi="Arial" w:cs="Arial"/>
          <w:sz w:val="20"/>
          <w:szCs w:val="20"/>
          <w:lang w:val="en-GB"/>
        </w:rPr>
        <w:fldChar w:fldCharType="separate"/>
      </w:r>
      <w:r w:rsidR="00F964F1" w:rsidRPr="00F964F1">
        <w:rPr>
          <w:rFonts w:ascii="Arial" w:hAnsi="Arial" w:cs="Arial"/>
          <w:sz w:val="20"/>
          <w:lang w:val="en-GB"/>
        </w:rPr>
        <w:t>(Feng et al., 2022; Masenga et al., 2023; Rani et al., 2016)</w:t>
      </w:r>
      <w:r w:rsidR="00BA3040" w:rsidRPr="001A7494">
        <w:rPr>
          <w:rFonts w:ascii="Arial" w:eastAsia="Times New Roman" w:hAnsi="Arial" w:cs="Arial"/>
          <w:sz w:val="20"/>
          <w:szCs w:val="20"/>
          <w:lang w:val="en-GB"/>
        </w:rPr>
        <w:fldChar w:fldCharType="end"/>
      </w:r>
      <w:r w:rsidRPr="001A7494">
        <w:rPr>
          <w:rFonts w:ascii="Arial" w:eastAsia="Times New Roman" w:hAnsi="Arial" w:cs="Arial"/>
          <w:sz w:val="20"/>
          <w:szCs w:val="20"/>
          <w:lang w:val="en-GB"/>
        </w:rPr>
        <w:t>. The high TAC of EBDL may partly support the traditional use of bark in systemic and inflammatory conditions, while the strong DPPH and ABTS scavenging activity of ELDL and ESDL may support the relevance of leaf and stem parts in oxidative injury and skin-related applications. The reported tribal use of stem-derived oil for eczema and bark preparations for severe skin diseases</w:t>
      </w:r>
      <w:r w:rsidR="00BA3040" w:rsidRPr="001A7494">
        <w:rPr>
          <w:rFonts w:ascii="Arial" w:eastAsia="Times New Roman" w:hAnsi="Arial" w:cs="Arial"/>
          <w:sz w:val="20"/>
          <w:szCs w:val="20"/>
          <w:lang w:val="en-GB"/>
        </w:rPr>
        <w:t xml:space="preserve"> </w:t>
      </w:r>
      <w:r w:rsidR="00BA3040" w:rsidRPr="001A7494">
        <w:rPr>
          <w:rFonts w:ascii="Arial" w:eastAsia="Times New Roman" w:hAnsi="Arial" w:cs="Arial"/>
          <w:sz w:val="20"/>
          <w:szCs w:val="20"/>
          <w:lang w:val="en-GB"/>
        </w:rPr>
        <w:fldChar w:fldCharType="begin"/>
      </w:r>
      <w:r w:rsidR="00BA3040" w:rsidRPr="001A7494">
        <w:rPr>
          <w:rFonts w:ascii="Arial" w:eastAsia="Times New Roman" w:hAnsi="Arial" w:cs="Arial"/>
          <w:sz w:val="20"/>
          <w:szCs w:val="20"/>
          <w:lang w:val="en-GB"/>
        </w:rPr>
        <w:instrText xml:space="preserve"> ADDIN ZOTERO_ITEM CSL_CITATION {"citationID":"mkGsuGM8","properties":{"formattedCitation":"(Bharathiraja et al., 2014)","plainCitation":"(Bharathiraja et al., 2014)","noteIndex":0},"citationItems":[{"id":4699,"uris":["http://zotero.org/users/10343621/items/ZUUCFSVG"],"itemData":{"id":4699,"type":"book","edition":"First Edition","ISBN":"978-93-80485-39-3","publisher":"Sams Publishers","publisher-place":"Chennai","title":"Folk Medicines A Guide to Folklore Medicinal Herbs of Nilagiri","author":[{"family":"Bharathiraja","given":"B"},{"family":"Balaji","given":"Sripathi"},{"family":"Praveenkumar","given":"R"}],"issued":{"date-parts":[["2014"]]}}}],"schema":"https://github.com/citation-style-language/schema/raw/master/csl-citation.json"} </w:instrText>
      </w:r>
      <w:r w:rsidR="00BA3040" w:rsidRPr="001A7494">
        <w:rPr>
          <w:rFonts w:ascii="Arial" w:eastAsia="Times New Roman" w:hAnsi="Arial" w:cs="Arial"/>
          <w:sz w:val="20"/>
          <w:szCs w:val="20"/>
          <w:lang w:val="en-GB"/>
        </w:rPr>
        <w:fldChar w:fldCharType="separate"/>
      </w:r>
      <w:r w:rsidR="00F964F1" w:rsidRPr="00F964F1">
        <w:rPr>
          <w:rFonts w:ascii="Arial" w:hAnsi="Arial" w:cs="Arial"/>
          <w:sz w:val="20"/>
          <w:lang w:val="en-GB"/>
        </w:rPr>
        <w:t>(Bharathiraja et al., 2014)</w:t>
      </w:r>
      <w:r w:rsidR="00BA3040" w:rsidRPr="001A7494">
        <w:rPr>
          <w:rFonts w:ascii="Arial" w:eastAsia="Times New Roman" w:hAnsi="Arial" w:cs="Arial"/>
          <w:sz w:val="20"/>
          <w:szCs w:val="20"/>
          <w:lang w:val="en-GB"/>
        </w:rPr>
        <w:fldChar w:fldCharType="end"/>
      </w:r>
      <w:r w:rsidRPr="001A7494">
        <w:rPr>
          <w:rFonts w:ascii="Arial" w:eastAsia="Times New Roman" w:hAnsi="Arial" w:cs="Arial"/>
          <w:sz w:val="20"/>
          <w:szCs w:val="20"/>
          <w:lang w:val="en-GB"/>
        </w:rPr>
        <w:t xml:space="preserve"> is therefore consistent with the antioxidant potential observed across these plant parts.</w:t>
      </w:r>
    </w:p>
    <w:p w14:paraId="4FEE4E91" w14:textId="77777777" w:rsidR="004E6F86" w:rsidRPr="001A7494" w:rsidRDefault="004E6F86" w:rsidP="004E6F86">
      <w:pPr>
        <w:spacing w:after="0" w:line="360" w:lineRule="auto"/>
        <w:jc w:val="both"/>
        <w:rPr>
          <w:rFonts w:ascii="Arial" w:eastAsia="Times New Roman" w:hAnsi="Arial" w:cs="Arial"/>
          <w:sz w:val="20"/>
          <w:szCs w:val="20"/>
          <w:lang w:val="en-GB"/>
        </w:rPr>
      </w:pPr>
    </w:p>
    <w:p w14:paraId="0AF5C737" w14:textId="60B8B1A5" w:rsidR="00C13338" w:rsidRPr="006D7293" w:rsidRDefault="00C13338" w:rsidP="006D7293">
      <w:pPr>
        <w:pStyle w:val="ListParagraph"/>
        <w:numPr>
          <w:ilvl w:val="0"/>
          <w:numId w:val="3"/>
        </w:numPr>
        <w:spacing w:before="240" w:after="0" w:line="360" w:lineRule="auto"/>
        <w:jc w:val="both"/>
        <w:rPr>
          <w:rFonts w:ascii="Arial" w:eastAsia="Times New Roman" w:hAnsi="Arial" w:cs="Arial"/>
          <w:sz w:val="20"/>
          <w:szCs w:val="20"/>
          <w:lang w:val="en-GB"/>
        </w:rPr>
      </w:pPr>
      <w:r w:rsidRPr="006D7293">
        <w:rPr>
          <w:rFonts w:ascii="Arial" w:eastAsia="Times New Roman" w:hAnsi="Arial" w:cs="Arial"/>
          <w:b/>
          <w:bCs/>
          <w:lang w:val="en-GB"/>
        </w:rPr>
        <w:t>CONCLUSION</w:t>
      </w:r>
    </w:p>
    <w:p w14:paraId="2D65D090" w14:textId="77777777" w:rsidR="008D24CA" w:rsidRPr="001A7494" w:rsidRDefault="00C13338" w:rsidP="009A4760">
      <w:pPr>
        <w:spacing w:before="240" w:after="0" w:line="360" w:lineRule="auto"/>
        <w:jc w:val="both"/>
        <w:rPr>
          <w:rFonts w:ascii="Arial" w:eastAsia="Times New Roman" w:hAnsi="Arial" w:cs="Arial"/>
          <w:sz w:val="20"/>
          <w:szCs w:val="20"/>
        </w:rPr>
      </w:pPr>
      <w:r w:rsidRPr="001A7494">
        <w:rPr>
          <w:rFonts w:ascii="Arial" w:eastAsia="Times New Roman" w:hAnsi="Arial" w:cs="Arial"/>
          <w:sz w:val="20"/>
          <w:szCs w:val="20"/>
          <w:lang w:val="en-GB"/>
        </w:rPr>
        <w:t>Overall, the present study shows that different parts of D. latifolia express different antioxidant strengths. EBDL was superior in total antioxidant capacity, while ELDL and ESDL showed stronger radical scavenging potency in DPPH and ABTS assays. The comparable TP and TF levels suggest that antioxidant activity depends not only on the total amount of phenolics and flavonoids, but also on the specific chemical composition of each extract.</w:t>
      </w:r>
      <w:r w:rsidR="00F62F19" w:rsidRPr="001A7494">
        <w:rPr>
          <w:rFonts w:ascii="Arial" w:eastAsia="Times New Roman" w:hAnsi="Arial" w:cs="Arial"/>
          <w:sz w:val="20"/>
          <w:szCs w:val="20"/>
          <w:lang w:val="en-GB"/>
        </w:rPr>
        <w:t xml:space="preserve"> </w:t>
      </w:r>
      <w:r w:rsidR="008D24CA" w:rsidRPr="001A7494">
        <w:rPr>
          <w:rFonts w:ascii="Arial" w:eastAsia="Times New Roman" w:hAnsi="Arial" w:cs="Arial"/>
          <w:sz w:val="20"/>
          <w:szCs w:val="20"/>
        </w:rPr>
        <w:t xml:space="preserve">However, the present study was limited to ethanolic extracts and selected in vitro antioxidant assays; therefore, the findings should be interpreted within this experimental scope. The active compounds responsible for the observed activity were not individually characterized through HPLC/LC-MS-based profiling, and cellular or in vivo antioxidant responses were not assessed. Further studies involving solvent-fractionated extracts, compound-level identification, samples from different geographical or seasonal conditions, and biological validation models would help establish the therapeutic relevance of </w:t>
      </w:r>
      <w:r w:rsidR="008D24CA" w:rsidRPr="001A7494">
        <w:rPr>
          <w:rFonts w:ascii="Arial" w:eastAsia="Times New Roman" w:hAnsi="Arial" w:cs="Arial"/>
          <w:i/>
          <w:iCs/>
          <w:sz w:val="20"/>
          <w:szCs w:val="20"/>
        </w:rPr>
        <w:t>D. latifolia</w:t>
      </w:r>
      <w:r w:rsidR="008D24CA" w:rsidRPr="001A7494">
        <w:rPr>
          <w:rFonts w:ascii="Arial" w:eastAsia="Times New Roman" w:hAnsi="Arial" w:cs="Arial"/>
          <w:sz w:val="20"/>
          <w:szCs w:val="20"/>
        </w:rPr>
        <w:t xml:space="preserve"> more comprehensively.</w:t>
      </w:r>
    </w:p>
    <w:p w14:paraId="0D94E774" w14:textId="77777777" w:rsidR="008D24CA" w:rsidRPr="001A7494" w:rsidRDefault="008D24CA" w:rsidP="009A4760">
      <w:pPr>
        <w:spacing w:before="240" w:after="0" w:line="360" w:lineRule="auto"/>
        <w:jc w:val="both"/>
        <w:rPr>
          <w:rFonts w:ascii="Arial" w:eastAsia="Times New Roman" w:hAnsi="Arial" w:cs="Arial"/>
          <w:sz w:val="20"/>
          <w:szCs w:val="20"/>
        </w:rPr>
      </w:pPr>
    </w:p>
    <w:p w14:paraId="156FA5A9" w14:textId="35FEDDEF" w:rsidR="00C13338" w:rsidRPr="006D7293" w:rsidRDefault="00C13338" w:rsidP="00A526EF">
      <w:pPr>
        <w:pStyle w:val="ListParagraph"/>
        <w:numPr>
          <w:ilvl w:val="0"/>
          <w:numId w:val="3"/>
        </w:numPr>
        <w:spacing w:after="0" w:line="360" w:lineRule="auto"/>
        <w:jc w:val="both"/>
        <w:rPr>
          <w:rFonts w:ascii="Arial" w:eastAsia="Times New Roman" w:hAnsi="Arial" w:cs="Arial"/>
          <w:sz w:val="20"/>
          <w:szCs w:val="20"/>
          <w:lang w:val="en-GB"/>
        </w:rPr>
      </w:pPr>
      <w:r w:rsidRPr="006D7293">
        <w:rPr>
          <w:rFonts w:ascii="Arial" w:eastAsia="Times New Roman" w:hAnsi="Arial" w:cs="Arial"/>
          <w:b/>
          <w:bCs/>
          <w:lang w:val="en-GB"/>
        </w:rPr>
        <w:t>FUTURE SCOPE</w:t>
      </w:r>
      <w:r w:rsidRPr="006D7293">
        <w:rPr>
          <w:rFonts w:ascii="Arial" w:eastAsia="Times New Roman" w:hAnsi="Arial" w:cs="Arial"/>
          <w:b/>
          <w:bCs/>
          <w:sz w:val="20"/>
          <w:szCs w:val="20"/>
          <w:lang w:val="en-GB"/>
        </w:rPr>
        <w:t> </w:t>
      </w:r>
    </w:p>
    <w:p w14:paraId="77330D4C" w14:textId="77777777" w:rsidR="00C13338" w:rsidRDefault="00C13338" w:rsidP="00A526EF">
      <w:pPr>
        <w:spacing w:before="120" w:after="0" w:line="360" w:lineRule="auto"/>
        <w:jc w:val="both"/>
        <w:rPr>
          <w:rFonts w:ascii="Arial" w:eastAsia="Times New Roman" w:hAnsi="Arial" w:cs="Arial"/>
          <w:sz w:val="20"/>
          <w:szCs w:val="20"/>
          <w:lang w:val="en-GB"/>
        </w:rPr>
      </w:pPr>
      <w:r w:rsidRPr="001A7494">
        <w:rPr>
          <w:rFonts w:ascii="Arial" w:eastAsia="Times New Roman" w:hAnsi="Arial" w:cs="Arial"/>
          <w:sz w:val="20"/>
          <w:szCs w:val="20"/>
          <w:lang w:val="en-GB"/>
        </w:rPr>
        <w:t xml:space="preserve">As these findings strengthen the pharmacological relevance of D. latifolia, it can support further work focused on compound-level profiling, especially of phenolic and neoflavonoid constituents, to identify the metabolites responsible for the observed antioxidant effects. Bioactivity-guided approaches such as TLC bioautography and online HPLC-DPPH, HPLC-ABTS, or HPLC-FRAP assays coupled with mass </w:t>
      </w:r>
      <w:r w:rsidRPr="001A7494">
        <w:rPr>
          <w:rFonts w:ascii="Arial" w:eastAsia="Times New Roman" w:hAnsi="Arial" w:cs="Arial"/>
          <w:sz w:val="20"/>
          <w:szCs w:val="20"/>
          <w:lang w:val="en-GB"/>
        </w:rPr>
        <w:lastRenderedPageBreak/>
        <w:t>spectrometry can help separate and identify active compounds. Further confirmation may be carried out using LC-MS/MS, HRMS, and NMR. In silico docking against antioxidant or oxidative stress-related targets can provide preliminary mechanistic insights. Active fractions or purified compounds should then be evaluated in cell-based and in vivo models to confirm efficacy, safety, and therapeutic relevance.</w:t>
      </w:r>
    </w:p>
    <w:p w14:paraId="139AB5D3" w14:textId="77777777" w:rsidR="00A526EF" w:rsidRDefault="00A526EF" w:rsidP="007E4845">
      <w:pPr>
        <w:spacing w:before="240" w:after="240" w:line="360" w:lineRule="auto"/>
        <w:jc w:val="both"/>
        <w:rPr>
          <w:rFonts w:ascii="Arial" w:eastAsia="Times New Roman" w:hAnsi="Arial" w:cs="Arial"/>
          <w:sz w:val="20"/>
          <w:szCs w:val="20"/>
          <w:lang w:val="en-GB"/>
        </w:rPr>
      </w:pPr>
    </w:p>
    <w:p w14:paraId="33DEFD08" w14:textId="1AA9F571" w:rsidR="0010785D" w:rsidRDefault="0010785D" w:rsidP="00A526EF">
      <w:pPr>
        <w:spacing w:after="0" w:line="360" w:lineRule="auto"/>
        <w:jc w:val="both"/>
        <w:rPr>
          <w:rFonts w:ascii="Arial" w:eastAsia="Times New Roman" w:hAnsi="Arial" w:cs="Arial"/>
          <w:b/>
          <w:bCs/>
          <w:lang w:val="en-GB"/>
        </w:rPr>
      </w:pPr>
      <w:r w:rsidRPr="0010785D">
        <w:rPr>
          <w:rFonts w:ascii="Arial" w:eastAsia="Times New Roman" w:hAnsi="Arial" w:cs="Arial"/>
          <w:b/>
          <w:bCs/>
          <w:lang w:val="en-GB"/>
        </w:rPr>
        <w:t>ACKNOWLEGDEGMENTS</w:t>
      </w:r>
      <w:r w:rsidR="00661EF9">
        <w:rPr>
          <w:rFonts w:ascii="Arial" w:eastAsia="Times New Roman" w:hAnsi="Arial" w:cs="Arial"/>
          <w:b/>
          <w:bCs/>
          <w:lang w:val="en-GB"/>
        </w:rPr>
        <w:t xml:space="preserve"> and Fundings</w:t>
      </w:r>
    </w:p>
    <w:p w14:paraId="7695AF80" w14:textId="3615D664" w:rsidR="007E4845" w:rsidRDefault="007E4845" w:rsidP="007E4845">
      <w:pPr>
        <w:spacing w:before="120" w:after="360" w:line="360" w:lineRule="auto"/>
        <w:jc w:val="both"/>
        <w:rPr>
          <w:rFonts w:ascii="Arial" w:eastAsia="Times New Roman" w:hAnsi="Arial" w:cs="Arial"/>
          <w:sz w:val="20"/>
          <w:szCs w:val="20"/>
        </w:rPr>
      </w:pPr>
      <w:r w:rsidRPr="007E4845">
        <w:rPr>
          <w:rFonts w:ascii="Arial" w:eastAsia="Times New Roman" w:hAnsi="Arial" w:cs="Arial"/>
          <w:sz w:val="20"/>
          <w:szCs w:val="20"/>
        </w:rPr>
        <w:t xml:space="preserve">The authors gratefully acknowledge the Department of Biotechnology (DBT), Ministry of Science and Technology, for funding this project [BT/INF/22/SP41293/2020]. The authors also thank the </w:t>
      </w:r>
      <w:r>
        <w:rPr>
          <w:rFonts w:ascii="Arial" w:eastAsia="Times New Roman" w:hAnsi="Arial" w:cs="Arial"/>
          <w:sz w:val="20"/>
          <w:szCs w:val="20"/>
        </w:rPr>
        <w:t>Assistant Curator, Mr. Praveen Kale and the Director</w:t>
      </w:r>
      <w:r w:rsidRPr="007E4845">
        <w:rPr>
          <w:rFonts w:ascii="Arial" w:eastAsia="Times New Roman" w:hAnsi="Arial" w:cs="Arial"/>
          <w:sz w:val="20"/>
          <w:szCs w:val="20"/>
        </w:rPr>
        <w:t xml:space="preserve"> </w:t>
      </w:r>
      <w:r>
        <w:rPr>
          <w:rFonts w:ascii="Arial" w:eastAsia="Times New Roman" w:hAnsi="Arial" w:cs="Arial"/>
          <w:sz w:val="20"/>
          <w:szCs w:val="20"/>
        </w:rPr>
        <w:t xml:space="preserve">Dr. </w:t>
      </w:r>
      <w:proofErr w:type="spellStart"/>
      <w:r>
        <w:rPr>
          <w:rFonts w:ascii="Arial" w:eastAsia="Times New Roman" w:hAnsi="Arial" w:cs="Arial"/>
          <w:sz w:val="20"/>
          <w:szCs w:val="20"/>
        </w:rPr>
        <w:t>Rajdeo</w:t>
      </w:r>
      <w:proofErr w:type="spellEnd"/>
      <w:r>
        <w:rPr>
          <w:rFonts w:ascii="Arial" w:eastAsia="Times New Roman" w:hAnsi="Arial" w:cs="Arial"/>
          <w:sz w:val="20"/>
          <w:szCs w:val="20"/>
        </w:rPr>
        <w:t xml:space="preserve"> Singh </w:t>
      </w:r>
      <w:r w:rsidRPr="007E4845">
        <w:rPr>
          <w:rFonts w:ascii="Arial" w:eastAsia="Times New Roman" w:hAnsi="Arial" w:cs="Arial"/>
          <w:sz w:val="20"/>
          <w:szCs w:val="20"/>
        </w:rPr>
        <w:t>of the Blatter Herbarium</w:t>
      </w:r>
      <w:r>
        <w:rPr>
          <w:rFonts w:ascii="Arial" w:eastAsia="Times New Roman" w:hAnsi="Arial" w:cs="Arial"/>
          <w:sz w:val="20"/>
          <w:szCs w:val="20"/>
        </w:rPr>
        <w:t xml:space="preserve">, </w:t>
      </w:r>
      <w:r w:rsidRPr="007E4845">
        <w:rPr>
          <w:rFonts w:ascii="Arial" w:eastAsia="Times New Roman" w:hAnsi="Arial" w:cs="Arial"/>
          <w:sz w:val="20"/>
          <w:szCs w:val="20"/>
        </w:rPr>
        <w:t>St. Xavier’s College (Autonomous), Mumbai, for</w:t>
      </w:r>
      <w:r>
        <w:rPr>
          <w:rFonts w:ascii="Arial" w:eastAsia="Times New Roman" w:hAnsi="Arial" w:cs="Arial"/>
          <w:sz w:val="20"/>
          <w:szCs w:val="20"/>
        </w:rPr>
        <w:t xml:space="preserve"> their guidance in plant identification and authentication</w:t>
      </w:r>
      <w:r w:rsidRPr="007E4845">
        <w:rPr>
          <w:rFonts w:ascii="Arial" w:eastAsia="Times New Roman" w:hAnsi="Arial" w:cs="Arial"/>
          <w:sz w:val="20"/>
          <w:szCs w:val="20"/>
        </w:rPr>
        <w:t xml:space="preserve">. Sincere thanks are extended to Ms. Jidnyasa Tare </w:t>
      </w:r>
      <w:r>
        <w:rPr>
          <w:rFonts w:ascii="Arial" w:eastAsia="Times New Roman" w:hAnsi="Arial" w:cs="Arial"/>
          <w:sz w:val="20"/>
          <w:szCs w:val="20"/>
        </w:rPr>
        <w:t xml:space="preserve">for her </w:t>
      </w:r>
      <w:r w:rsidRPr="007E4845">
        <w:rPr>
          <w:rFonts w:ascii="Arial" w:eastAsia="Times New Roman" w:hAnsi="Arial" w:cs="Arial"/>
          <w:sz w:val="20"/>
          <w:szCs w:val="20"/>
        </w:rPr>
        <w:t>valuable assistance</w:t>
      </w:r>
      <w:r>
        <w:rPr>
          <w:rFonts w:ascii="Arial" w:eastAsia="Times New Roman" w:hAnsi="Arial" w:cs="Arial"/>
          <w:sz w:val="20"/>
          <w:szCs w:val="20"/>
        </w:rPr>
        <w:t xml:space="preserve"> in the field for plant collection</w:t>
      </w:r>
      <w:r w:rsidRPr="007E4845">
        <w:rPr>
          <w:rFonts w:ascii="Arial" w:eastAsia="Times New Roman" w:hAnsi="Arial" w:cs="Arial"/>
          <w:sz w:val="20"/>
          <w:szCs w:val="20"/>
        </w:rPr>
        <w:t>.</w:t>
      </w:r>
    </w:p>
    <w:p w14:paraId="535CE10F" w14:textId="77777777" w:rsidR="00661EF9" w:rsidRPr="00661EF9" w:rsidRDefault="00661EF9" w:rsidP="00661EF9">
      <w:pPr>
        <w:spacing w:before="120" w:after="0" w:line="360" w:lineRule="auto"/>
        <w:jc w:val="both"/>
        <w:rPr>
          <w:rFonts w:ascii="Arial" w:eastAsia="Times New Roman" w:hAnsi="Arial" w:cs="Arial"/>
          <w:b/>
          <w:bCs/>
          <w:sz w:val="20"/>
          <w:szCs w:val="20"/>
          <w:lang w:val="en-GB"/>
        </w:rPr>
      </w:pPr>
      <w:r w:rsidRPr="00661EF9">
        <w:rPr>
          <w:rFonts w:ascii="Arial" w:eastAsia="Times New Roman" w:hAnsi="Arial" w:cs="Arial"/>
          <w:b/>
          <w:bCs/>
          <w:sz w:val="20"/>
          <w:szCs w:val="20"/>
          <w:lang w:val="en-GB"/>
        </w:rPr>
        <w:t>Disclaimer (Artificial intelligence)</w:t>
      </w:r>
    </w:p>
    <w:p w14:paraId="7A5B5D05" w14:textId="112B93E1" w:rsidR="007E4845" w:rsidRDefault="00661EF9" w:rsidP="00661EF9">
      <w:pPr>
        <w:spacing w:before="120" w:after="0" w:line="360" w:lineRule="auto"/>
        <w:jc w:val="both"/>
        <w:rPr>
          <w:rFonts w:ascii="Arial" w:eastAsia="Times New Roman" w:hAnsi="Arial" w:cs="Arial"/>
          <w:sz w:val="20"/>
          <w:szCs w:val="20"/>
          <w:lang w:val="en-GB"/>
        </w:rPr>
      </w:pPr>
      <w:r w:rsidRPr="00661EF9">
        <w:rPr>
          <w:rFonts w:ascii="Arial" w:eastAsia="Times New Roman" w:hAnsi="Arial" w:cs="Arial"/>
          <w:sz w:val="20"/>
          <w:szCs w:val="20"/>
          <w:lang w:val="en-GB"/>
        </w:rPr>
        <w:t xml:space="preserve">Author(s) hereby </w:t>
      </w:r>
      <w:proofErr w:type="gramStart"/>
      <w:r w:rsidRPr="00661EF9">
        <w:rPr>
          <w:rFonts w:ascii="Arial" w:eastAsia="Times New Roman" w:hAnsi="Arial" w:cs="Arial"/>
          <w:sz w:val="20"/>
          <w:szCs w:val="20"/>
          <w:lang w:val="en-GB"/>
        </w:rPr>
        <w:t>declare</w:t>
      </w:r>
      <w:proofErr w:type="gramEnd"/>
      <w:r w:rsidRPr="00661EF9">
        <w:rPr>
          <w:rFonts w:ascii="Arial" w:eastAsia="Times New Roman" w:hAnsi="Arial" w:cs="Arial"/>
          <w:sz w:val="20"/>
          <w:szCs w:val="20"/>
          <w:lang w:val="en-GB"/>
        </w:rPr>
        <w:t xml:space="preserve"> that NO generative AI technologies such as Large Language Models (ChatGPT, COPILOT, etc.) and text-to-image generators have been used during the writing or editing of this manuscript.</w:t>
      </w:r>
    </w:p>
    <w:p w14:paraId="6119C030" w14:textId="77777777" w:rsidR="007E4845" w:rsidRPr="007E4845" w:rsidRDefault="007E4845" w:rsidP="007E4845">
      <w:pPr>
        <w:spacing w:before="120" w:after="0" w:line="360" w:lineRule="auto"/>
        <w:jc w:val="both"/>
        <w:rPr>
          <w:rFonts w:ascii="Arial" w:eastAsia="Times New Roman" w:hAnsi="Arial" w:cs="Arial"/>
          <w:lang w:val="en-GB"/>
        </w:rPr>
      </w:pPr>
    </w:p>
    <w:p w14:paraId="71F4EF67" w14:textId="14A2917A" w:rsidR="00BA3040" w:rsidRPr="001A7494" w:rsidRDefault="00BA3040" w:rsidP="004E6F86">
      <w:pPr>
        <w:pStyle w:val="Bibliography"/>
        <w:numPr>
          <w:ilvl w:val="0"/>
          <w:numId w:val="3"/>
        </w:numPr>
        <w:spacing w:after="240" w:line="360" w:lineRule="auto"/>
        <w:rPr>
          <w:rFonts w:ascii="Arial" w:hAnsi="Arial" w:cs="Arial"/>
          <w:b/>
          <w:bCs/>
          <w:sz w:val="20"/>
          <w:szCs w:val="20"/>
        </w:rPr>
      </w:pPr>
      <w:r w:rsidRPr="006D7293">
        <w:rPr>
          <w:rFonts w:ascii="Arial" w:eastAsia="Times New Roman" w:hAnsi="Arial" w:cs="Arial"/>
          <w:b/>
          <w:bCs/>
        </w:rPr>
        <w:t>REFERENCES</w:t>
      </w:r>
    </w:p>
    <w:p w14:paraId="03BA835C" w14:textId="77777777" w:rsidR="00F964F1" w:rsidRPr="00F964F1" w:rsidRDefault="00BA3040" w:rsidP="00F964F1">
      <w:pPr>
        <w:pStyle w:val="Bibliography"/>
        <w:numPr>
          <w:ilvl w:val="0"/>
          <w:numId w:val="11"/>
        </w:numPr>
        <w:spacing w:line="360" w:lineRule="auto"/>
      </w:pPr>
      <w:r w:rsidRPr="001A7494">
        <w:rPr>
          <w:rFonts w:eastAsia="Times New Roman"/>
          <w:szCs w:val="20"/>
        </w:rPr>
        <w:fldChar w:fldCharType="begin"/>
      </w:r>
      <w:r w:rsidR="00F964F1">
        <w:rPr>
          <w:rFonts w:eastAsia="Times New Roman"/>
          <w:szCs w:val="20"/>
        </w:rPr>
        <w:instrText xml:space="preserve"> ADDIN ZOTERO_BIBL {"uncited":[],"omitted":[],"custom":[]} CSL_BIBLIOGRAPHY </w:instrText>
      </w:r>
      <w:r w:rsidRPr="001A7494">
        <w:rPr>
          <w:rFonts w:eastAsia="Times New Roman"/>
          <w:szCs w:val="20"/>
        </w:rPr>
        <w:fldChar w:fldCharType="separate"/>
      </w:r>
      <w:r w:rsidR="00F964F1" w:rsidRPr="00F964F1">
        <w:t xml:space="preserve">Masenga, S. K., Kabwe, L. S., Chakulya, M., &amp; Kirabo, A. (2023). Mechanisms of Oxidative Stress in Metabolic Syndrome. </w:t>
      </w:r>
      <w:r w:rsidR="00F964F1" w:rsidRPr="00F964F1">
        <w:rPr>
          <w:i/>
          <w:iCs/>
        </w:rPr>
        <w:t>International Journal of Molecular Sciences</w:t>
      </w:r>
      <w:r w:rsidR="00F964F1" w:rsidRPr="00F964F1">
        <w:t xml:space="preserve">, </w:t>
      </w:r>
      <w:r w:rsidR="00F964F1" w:rsidRPr="00F964F1">
        <w:rPr>
          <w:i/>
          <w:iCs/>
        </w:rPr>
        <w:t>24</w:t>
      </w:r>
      <w:r w:rsidR="00F964F1" w:rsidRPr="00F964F1">
        <w:t>(9), 7898. https://doi.org/10.3390/ijms24097898</w:t>
      </w:r>
    </w:p>
    <w:p w14:paraId="254E0391" w14:textId="77777777" w:rsidR="00F964F1" w:rsidRPr="00F964F1" w:rsidRDefault="00F964F1" w:rsidP="00F964F1">
      <w:pPr>
        <w:pStyle w:val="Bibliography"/>
        <w:numPr>
          <w:ilvl w:val="0"/>
          <w:numId w:val="11"/>
        </w:numPr>
        <w:spacing w:line="360" w:lineRule="auto"/>
      </w:pPr>
      <w:r w:rsidRPr="00F964F1">
        <w:t xml:space="preserve">Rani, V., Deep, G., Singh, R. K., Palle, K., &amp; Yadav, U. C. S. (2016). Oxidative stress and metabolic disorders: Pathogenesis and therapeutic strategies. </w:t>
      </w:r>
      <w:r w:rsidRPr="00F964F1">
        <w:rPr>
          <w:i/>
          <w:iCs/>
        </w:rPr>
        <w:t>Life Sciences</w:t>
      </w:r>
      <w:r w:rsidRPr="00F964F1">
        <w:t xml:space="preserve">, </w:t>
      </w:r>
      <w:r w:rsidRPr="00F964F1">
        <w:rPr>
          <w:i/>
          <w:iCs/>
        </w:rPr>
        <w:t>148</w:t>
      </w:r>
      <w:r w:rsidRPr="00F964F1">
        <w:t>, 183–193. https://doi.org/10.1016/j.lfs.2016.02.002</w:t>
      </w:r>
    </w:p>
    <w:p w14:paraId="3CEB8C6C" w14:textId="77777777" w:rsidR="00F964F1" w:rsidRPr="00F964F1" w:rsidRDefault="00F964F1" w:rsidP="00F964F1">
      <w:pPr>
        <w:pStyle w:val="Bibliography"/>
        <w:numPr>
          <w:ilvl w:val="0"/>
          <w:numId w:val="11"/>
        </w:numPr>
        <w:spacing w:line="360" w:lineRule="auto"/>
      </w:pPr>
      <w:r w:rsidRPr="00F964F1">
        <w:t xml:space="preserve">Lourenço, S. C., Moldão-Martins, M., &amp; Alves, V. D. (2019). Antioxidants of Natural Plant Origins: From Sources to Food Industry Applications. </w:t>
      </w:r>
      <w:r w:rsidRPr="00F964F1">
        <w:rPr>
          <w:i/>
          <w:iCs/>
        </w:rPr>
        <w:t>Molecules</w:t>
      </w:r>
      <w:r w:rsidRPr="00F964F1">
        <w:t xml:space="preserve">, </w:t>
      </w:r>
      <w:r w:rsidRPr="00F964F1">
        <w:rPr>
          <w:i/>
          <w:iCs/>
        </w:rPr>
        <w:t>24</w:t>
      </w:r>
      <w:r w:rsidRPr="00F964F1">
        <w:t>(22), 4132. https://doi.org/10.3390/molecules24224132</w:t>
      </w:r>
    </w:p>
    <w:p w14:paraId="3376CE4C" w14:textId="77777777" w:rsidR="00F964F1" w:rsidRPr="00F964F1" w:rsidRDefault="00F964F1" w:rsidP="00F964F1">
      <w:pPr>
        <w:pStyle w:val="Bibliography"/>
        <w:numPr>
          <w:ilvl w:val="0"/>
          <w:numId w:val="11"/>
        </w:numPr>
        <w:spacing w:line="360" w:lineRule="auto"/>
      </w:pPr>
      <w:r w:rsidRPr="00F964F1">
        <w:t xml:space="preserve">Xu, D.-P., Li, Y., Meng, X., Zhou, T., Zhou, Y., Zheng, J., Zhang, J.-J., &amp; Li, H.-B. (2017). Natural Antioxidants in Foods and Medicinal Plants: Extraction, Assessment and Resources. </w:t>
      </w:r>
      <w:r w:rsidRPr="00F964F1">
        <w:rPr>
          <w:i/>
          <w:iCs/>
        </w:rPr>
        <w:t>International Journal of Molecular Sciences</w:t>
      </w:r>
      <w:r w:rsidRPr="00F964F1">
        <w:t xml:space="preserve">, </w:t>
      </w:r>
      <w:r w:rsidRPr="00F964F1">
        <w:rPr>
          <w:i/>
          <w:iCs/>
        </w:rPr>
        <w:t>18</w:t>
      </w:r>
      <w:r w:rsidRPr="00F964F1">
        <w:t>(1). https://doi.org/10.3390/ijms18010096</w:t>
      </w:r>
    </w:p>
    <w:p w14:paraId="6FD502E3" w14:textId="77777777" w:rsidR="00F964F1" w:rsidRPr="00F964F1" w:rsidRDefault="00F964F1" w:rsidP="00F964F1">
      <w:pPr>
        <w:pStyle w:val="Bibliography"/>
        <w:numPr>
          <w:ilvl w:val="0"/>
          <w:numId w:val="11"/>
        </w:numPr>
        <w:spacing w:line="360" w:lineRule="auto"/>
      </w:pPr>
      <w:r w:rsidRPr="00F964F1">
        <w:lastRenderedPageBreak/>
        <w:t xml:space="preserve">Zahra, M., Abrahamse, H., &amp; George, B. P. (2024). Flavonoids: Antioxidant Powerhouses and Their Role in Nanomedicine. </w:t>
      </w:r>
      <w:r w:rsidRPr="00F964F1">
        <w:rPr>
          <w:i/>
          <w:iCs/>
        </w:rPr>
        <w:t>Antioxidants</w:t>
      </w:r>
      <w:r w:rsidRPr="00F964F1">
        <w:t xml:space="preserve">, </w:t>
      </w:r>
      <w:r w:rsidRPr="00F964F1">
        <w:rPr>
          <w:i/>
          <w:iCs/>
        </w:rPr>
        <w:t>13</w:t>
      </w:r>
      <w:r w:rsidRPr="00F964F1">
        <w:t>(8). https://doi.org/10.3390/antiox13080922</w:t>
      </w:r>
    </w:p>
    <w:p w14:paraId="59DCB107" w14:textId="77777777" w:rsidR="00F964F1" w:rsidRPr="00F964F1" w:rsidRDefault="00F964F1" w:rsidP="00F964F1">
      <w:pPr>
        <w:pStyle w:val="Bibliography"/>
        <w:numPr>
          <w:ilvl w:val="0"/>
          <w:numId w:val="11"/>
        </w:numPr>
        <w:spacing w:line="360" w:lineRule="auto"/>
      </w:pPr>
      <w:r w:rsidRPr="00F964F1">
        <w:t xml:space="preserve">Zhang, H., &amp; Tsao, R. (2016). Dietary polyphenols, oxidative stress and antioxidant and anti-inflammatory effects. </w:t>
      </w:r>
      <w:r w:rsidRPr="00F964F1">
        <w:rPr>
          <w:i/>
          <w:iCs/>
        </w:rPr>
        <w:t>Current Opinion in Food Science, Food Microbiology • Functional Foods and Nutrition</w:t>
      </w:r>
      <w:r w:rsidRPr="00F964F1">
        <w:t xml:space="preserve">, </w:t>
      </w:r>
      <w:r w:rsidRPr="00F964F1">
        <w:rPr>
          <w:i/>
          <w:iCs/>
        </w:rPr>
        <w:t>8</w:t>
      </w:r>
      <w:r w:rsidRPr="00F964F1">
        <w:t>, 33–42. https://doi.org/10.1016/j.cofs.2016.02.002</w:t>
      </w:r>
    </w:p>
    <w:p w14:paraId="02804F69" w14:textId="77777777" w:rsidR="00F964F1" w:rsidRPr="00F964F1" w:rsidRDefault="00F964F1" w:rsidP="00F964F1">
      <w:pPr>
        <w:pStyle w:val="Bibliography"/>
        <w:numPr>
          <w:ilvl w:val="0"/>
          <w:numId w:val="11"/>
        </w:numPr>
        <w:spacing w:line="360" w:lineRule="auto"/>
      </w:pPr>
      <w:r w:rsidRPr="00F964F1">
        <w:t xml:space="preserve">Vasudeva, N., Vats, M., Sharma, S., &amp; Sardana, S. (2009). </w:t>
      </w:r>
      <w:r w:rsidRPr="00F964F1">
        <w:rPr>
          <w:i/>
          <w:iCs/>
        </w:rPr>
        <w:t>Chemistry and biological activities of the genus Dalbergia—A review</w:t>
      </w:r>
      <w:r w:rsidRPr="00F964F1">
        <w:t>. 307–319.</w:t>
      </w:r>
    </w:p>
    <w:p w14:paraId="0F7317E9" w14:textId="77777777" w:rsidR="00F964F1" w:rsidRPr="00F964F1" w:rsidRDefault="00F964F1" w:rsidP="00F964F1">
      <w:pPr>
        <w:pStyle w:val="Bibliography"/>
        <w:numPr>
          <w:ilvl w:val="0"/>
          <w:numId w:val="11"/>
        </w:numPr>
        <w:spacing w:line="360" w:lineRule="auto"/>
      </w:pPr>
      <w:r w:rsidRPr="00F964F1">
        <w:t xml:space="preserve">Roy, N., Laskar, R. A., Sk, I., Kumari, D., Ghosh, T., &amp; Begum, N. A. (2011). A detailed study on the antioxidant activity of the stem bark of </w:t>
      </w:r>
      <w:r w:rsidRPr="00F964F1">
        <w:rPr>
          <w:i/>
          <w:iCs/>
        </w:rPr>
        <w:t>Dalbergia sissoo</w:t>
      </w:r>
      <w:r w:rsidRPr="00F964F1">
        <w:t xml:space="preserve"> Roxb., an Indian medicinal plant. </w:t>
      </w:r>
      <w:r w:rsidRPr="00F964F1">
        <w:rPr>
          <w:i/>
          <w:iCs/>
        </w:rPr>
        <w:t>Food Chemistry</w:t>
      </w:r>
      <w:r w:rsidRPr="00F964F1">
        <w:t xml:space="preserve">, </w:t>
      </w:r>
      <w:r w:rsidRPr="00F964F1">
        <w:rPr>
          <w:i/>
          <w:iCs/>
        </w:rPr>
        <w:t>126</w:t>
      </w:r>
      <w:r w:rsidRPr="00F964F1">
        <w:t>(3), 1115–1121. https://doi.org/10.1016/j.foodchem.2010.11.143</w:t>
      </w:r>
    </w:p>
    <w:p w14:paraId="4D68F1EE" w14:textId="77777777" w:rsidR="00F964F1" w:rsidRPr="00F964F1" w:rsidRDefault="00F964F1" w:rsidP="00F964F1">
      <w:pPr>
        <w:pStyle w:val="Bibliography"/>
        <w:numPr>
          <w:ilvl w:val="0"/>
          <w:numId w:val="11"/>
        </w:numPr>
        <w:spacing w:line="360" w:lineRule="auto"/>
      </w:pPr>
      <w:r w:rsidRPr="00F964F1">
        <w:t xml:space="preserve">Arunkumar, A. N., Warrier, R. R., Kher, M. M., &amp; Teixeira da Silva, J. A. (2022). Indian rosewood (Dalbergia latifolia Roxb.): Biology, utilisation, and conservation practices. </w:t>
      </w:r>
      <w:r w:rsidRPr="00F964F1">
        <w:rPr>
          <w:i/>
          <w:iCs/>
        </w:rPr>
        <w:t>Trees</w:t>
      </w:r>
      <w:r w:rsidRPr="00F964F1">
        <w:t xml:space="preserve">, </w:t>
      </w:r>
      <w:r w:rsidRPr="00F964F1">
        <w:rPr>
          <w:i/>
          <w:iCs/>
        </w:rPr>
        <w:t>36</w:t>
      </w:r>
      <w:r w:rsidRPr="00F964F1">
        <w:t>(3), 883–898. https://doi.org/10.1007/s00468-021-02243-3</w:t>
      </w:r>
    </w:p>
    <w:p w14:paraId="4E160F5A" w14:textId="77777777" w:rsidR="00F964F1" w:rsidRPr="00F964F1" w:rsidRDefault="00F964F1" w:rsidP="00F964F1">
      <w:pPr>
        <w:pStyle w:val="Bibliography"/>
        <w:numPr>
          <w:ilvl w:val="0"/>
          <w:numId w:val="11"/>
        </w:numPr>
        <w:spacing w:line="360" w:lineRule="auto"/>
      </w:pPr>
      <w:r w:rsidRPr="00F964F1">
        <w:t xml:space="preserve">Almeida, S. M., &amp; Almeida, M. R. (2010). </w:t>
      </w:r>
      <w:r w:rsidRPr="00F964F1">
        <w:rPr>
          <w:i/>
          <w:iCs/>
        </w:rPr>
        <w:t>Hand book of diseases and their herbal remedies in Maharashtra</w:t>
      </w:r>
      <w:r w:rsidRPr="00F964F1">
        <w:t xml:space="preserve"> (Vol. 2). Orient Press Ltd. Mumbai.</w:t>
      </w:r>
    </w:p>
    <w:p w14:paraId="3F57CC02" w14:textId="77777777" w:rsidR="00F964F1" w:rsidRPr="00F964F1" w:rsidRDefault="00F964F1" w:rsidP="00F964F1">
      <w:pPr>
        <w:pStyle w:val="Bibliography"/>
        <w:numPr>
          <w:ilvl w:val="0"/>
          <w:numId w:val="11"/>
        </w:numPr>
        <w:spacing w:line="360" w:lineRule="auto"/>
      </w:pPr>
      <w:r w:rsidRPr="00F964F1">
        <w:t xml:space="preserve">Bhatnagar, S. S. (1985). </w:t>
      </w:r>
      <w:r w:rsidRPr="00F964F1">
        <w:rPr>
          <w:i/>
          <w:iCs/>
        </w:rPr>
        <w:t>The Wealth of India: A Dictionary of Indian Raw Materials &amp; Industrial Products, Volume 3</w:t>
      </w:r>
      <w:r w:rsidRPr="00F964F1">
        <w:t xml:space="preserve"> (Vol. 3). Publications &amp; Information Directorate, Council of Scientific &amp; Industrial Research,. https://books.google.com/books/about/The_Wealth_of_India.html?id=EYzd1kVUmZUC</w:t>
      </w:r>
    </w:p>
    <w:p w14:paraId="263A3A2D" w14:textId="77777777" w:rsidR="00F964F1" w:rsidRPr="00F964F1" w:rsidRDefault="00F964F1" w:rsidP="00F964F1">
      <w:pPr>
        <w:pStyle w:val="Bibliography"/>
        <w:numPr>
          <w:ilvl w:val="0"/>
          <w:numId w:val="11"/>
        </w:numPr>
        <w:spacing w:line="360" w:lineRule="auto"/>
      </w:pPr>
      <w:r w:rsidRPr="00F964F1">
        <w:t xml:space="preserve">Jain, S. K. (1991). </w:t>
      </w:r>
      <w:r w:rsidRPr="00F964F1">
        <w:rPr>
          <w:i/>
          <w:iCs/>
        </w:rPr>
        <w:t>Dictionary of Indian folk medicine and ethnobotany</w:t>
      </w:r>
      <w:r w:rsidRPr="00F964F1">
        <w:t>. Deep Publications,. https://lib.icimod.org/records/btvnb-7q452</w:t>
      </w:r>
    </w:p>
    <w:p w14:paraId="22D694D6" w14:textId="77777777" w:rsidR="00F964F1" w:rsidRPr="00F964F1" w:rsidRDefault="00F964F1" w:rsidP="00F964F1">
      <w:pPr>
        <w:pStyle w:val="Bibliography"/>
        <w:numPr>
          <w:ilvl w:val="0"/>
          <w:numId w:val="11"/>
        </w:numPr>
        <w:spacing w:line="360" w:lineRule="auto"/>
      </w:pPr>
      <w:r w:rsidRPr="00F964F1">
        <w:t xml:space="preserve">Kirtikar, K. R., &amp; Basu, B. D. (1918). </w:t>
      </w:r>
      <w:r w:rsidRPr="00F964F1">
        <w:rPr>
          <w:i/>
          <w:iCs/>
        </w:rPr>
        <w:t>Indian Medicinal Plants</w:t>
      </w:r>
      <w:r w:rsidRPr="00F964F1">
        <w:t xml:space="preserve"> (Vol. 2). Lalit Mohan Basu.</w:t>
      </w:r>
    </w:p>
    <w:p w14:paraId="1D1889F8" w14:textId="77777777" w:rsidR="00F964F1" w:rsidRPr="00F964F1" w:rsidRDefault="00F964F1" w:rsidP="00F964F1">
      <w:pPr>
        <w:pStyle w:val="Bibliography"/>
        <w:numPr>
          <w:ilvl w:val="0"/>
          <w:numId w:val="11"/>
        </w:numPr>
        <w:spacing w:line="360" w:lineRule="auto"/>
      </w:pPr>
      <w:r w:rsidRPr="00F964F1">
        <w:t xml:space="preserve">Masendra, M., Irawati, D., Ridlo, A. S., &amp; Lukmandaru, G. (2020). Phenol Contents and Antioxidant Activity of Sonokeling (Dalbergia latifolia Roxb) Wood. </w:t>
      </w:r>
      <w:r w:rsidRPr="00F964F1">
        <w:rPr>
          <w:i/>
          <w:iCs/>
        </w:rPr>
        <w:t>Wood Research Journal</w:t>
      </w:r>
      <w:r w:rsidRPr="00F964F1">
        <w:t xml:space="preserve">, </w:t>
      </w:r>
      <w:r w:rsidRPr="00F964F1">
        <w:rPr>
          <w:i/>
          <w:iCs/>
        </w:rPr>
        <w:t>11</w:t>
      </w:r>
      <w:r w:rsidRPr="00F964F1">
        <w:t>(1), 27–34. https://doi.org/10.51850/wrj.2020.11.1.27-34</w:t>
      </w:r>
    </w:p>
    <w:p w14:paraId="5171B9B9" w14:textId="77777777" w:rsidR="00F964F1" w:rsidRPr="00F964F1" w:rsidRDefault="00F964F1" w:rsidP="00F964F1">
      <w:pPr>
        <w:pStyle w:val="Bibliography"/>
        <w:numPr>
          <w:ilvl w:val="0"/>
          <w:numId w:val="11"/>
        </w:numPr>
        <w:spacing w:line="360" w:lineRule="auto"/>
      </w:pPr>
      <w:r w:rsidRPr="00F964F1">
        <w:t xml:space="preserve">Shrestha, S. P., Amano, Y., Narukawa, Y., &amp; Takeda, T. (2008). Nitric Oxide Production Inhibitory Activity of Flavonoids Contained in Trunk Exudates of Dalbergia sissoo. </w:t>
      </w:r>
      <w:r w:rsidRPr="00F964F1">
        <w:rPr>
          <w:i/>
          <w:iCs/>
        </w:rPr>
        <w:t>Journal of Natural Products</w:t>
      </w:r>
      <w:r w:rsidRPr="00F964F1">
        <w:t xml:space="preserve">, </w:t>
      </w:r>
      <w:r w:rsidRPr="00F964F1">
        <w:rPr>
          <w:i/>
          <w:iCs/>
        </w:rPr>
        <w:t>71</w:t>
      </w:r>
      <w:r w:rsidRPr="00F964F1">
        <w:t>(1), 98–101. https://doi.org/10.1021/np070478h</w:t>
      </w:r>
    </w:p>
    <w:p w14:paraId="12EEC4C1" w14:textId="77777777" w:rsidR="00F964F1" w:rsidRPr="00F964F1" w:rsidRDefault="00F964F1" w:rsidP="00F964F1">
      <w:pPr>
        <w:pStyle w:val="Bibliography"/>
        <w:numPr>
          <w:ilvl w:val="0"/>
          <w:numId w:val="11"/>
        </w:numPr>
        <w:spacing w:line="360" w:lineRule="auto"/>
      </w:pPr>
      <w:r w:rsidRPr="00F964F1">
        <w:t xml:space="preserve">Wu, W.-Y., Chen, H.-J., Cheng, H.-L., Zhu, Z.-T., Wan, J., Yi, J.-L., &amp; Zhou, X.-M. (2025). Three Novel Flavonoid Derivatives From the Roots of Dalbergia odorifera. </w:t>
      </w:r>
      <w:r w:rsidRPr="00F964F1">
        <w:rPr>
          <w:i/>
          <w:iCs/>
        </w:rPr>
        <w:t>Chemistry &amp; Biodiversity</w:t>
      </w:r>
      <w:r w:rsidRPr="00F964F1">
        <w:t xml:space="preserve">, </w:t>
      </w:r>
      <w:r w:rsidRPr="00F964F1">
        <w:rPr>
          <w:i/>
          <w:iCs/>
        </w:rPr>
        <w:t>22</w:t>
      </w:r>
      <w:r w:rsidRPr="00F964F1">
        <w:t>(10), e01535. https://doi.org/10.1002/cbdv.202501535</w:t>
      </w:r>
    </w:p>
    <w:p w14:paraId="6CFECBB8" w14:textId="77777777" w:rsidR="00F964F1" w:rsidRPr="00F964F1" w:rsidRDefault="00F964F1" w:rsidP="00F964F1">
      <w:pPr>
        <w:pStyle w:val="Bibliography"/>
        <w:numPr>
          <w:ilvl w:val="0"/>
          <w:numId w:val="11"/>
        </w:numPr>
        <w:spacing w:line="360" w:lineRule="auto"/>
      </w:pPr>
      <w:r w:rsidRPr="00F964F1">
        <w:lastRenderedPageBreak/>
        <w:t xml:space="preserve">Xu, W., Zhu, Q., Wang, M., Li, J., Dai, X., Meng, X., Zhang, N., Liu, Y., Chen, L., &amp; Liu, R. (2026). (±)-odoriferols A–E, five pairs of enantiomeric flavonoids and benzofurans from </w:t>
      </w:r>
      <w:r w:rsidRPr="00F964F1">
        <w:rPr>
          <w:i/>
          <w:iCs/>
        </w:rPr>
        <w:t>Dalbergia odorifera</w:t>
      </w:r>
      <w:r w:rsidRPr="00F964F1">
        <w:t xml:space="preserve"> with anti-inflammatory activity. </w:t>
      </w:r>
      <w:r w:rsidRPr="00F964F1">
        <w:rPr>
          <w:i/>
          <w:iCs/>
        </w:rPr>
        <w:t>Phytochemistry</w:t>
      </w:r>
      <w:r w:rsidRPr="00F964F1">
        <w:t xml:space="preserve">, </w:t>
      </w:r>
      <w:r w:rsidRPr="00F964F1">
        <w:rPr>
          <w:i/>
          <w:iCs/>
        </w:rPr>
        <w:t>247</w:t>
      </w:r>
      <w:r w:rsidRPr="00F964F1">
        <w:t>, 114837. https://doi.org/10.1016/j.phytochem.2026.114837</w:t>
      </w:r>
    </w:p>
    <w:p w14:paraId="05DA471C" w14:textId="77777777" w:rsidR="00F964F1" w:rsidRPr="00F964F1" w:rsidRDefault="00F964F1" w:rsidP="00F964F1">
      <w:pPr>
        <w:pStyle w:val="Bibliography"/>
        <w:numPr>
          <w:ilvl w:val="0"/>
          <w:numId w:val="11"/>
        </w:numPr>
        <w:spacing w:line="360" w:lineRule="auto"/>
      </w:pPr>
      <w:r w:rsidRPr="00F964F1">
        <w:t xml:space="preserve">Dong, L., Lee, H., Liu, Z., &amp; Lee, D.-S. (2023). Anti-Skin Inflammatory and Anti-Oxidative Effects of the Neoflavonoid Latifolin Isolated from Dalbergia odorifera in HaCaT and BJ-5ta Cells. </w:t>
      </w:r>
      <w:r w:rsidRPr="00F964F1">
        <w:rPr>
          <w:i/>
          <w:iCs/>
        </w:rPr>
        <w:t>International Journal of Molecular Sciences</w:t>
      </w:r>
      <w:r w:rsidRPr="00F964F1">
        <w:t xml:space="preserve">, </w:t>
      </w:r>
      <w:r w:rsidRPr="00F964F1">
        <w:rPr>
          <w:i/>
          <w:iCs/>
        </w:rPr>
        <w:t>24</w:t>
      </w:r>
      <w:r w:rsidRPr="00F964F1">
        <w:t>(8), 7371. https://doi.org/10.3390/ijms24087371</w:t>
      </w:r>
    </w:p>
    <w:p w14:paraId="21E6BAFD" w14:textId="77777777" w:rsidR="00F964F1" w:rsidRPr="00F964F1" w:rsidRDefault="00F964F1" w:rsidP="00F964F1">
      <w:pPr>
        <w:pStyle w:val="Bibliography"/>
        <w:numPr>
          <w:ilvl w:val="0"/>
          <w:numId w:val="11"/>
        </w:numPr>
        <w:spacing w:line="360" w:lineRule="auto"/>
      </w:pPr>
      <w:r w:rsidRPr="00F964F1">
        <w:t xml:space="preserve">Drabińska, N., Jeż, M., &amp; Nogueira, M. (2021). Variation in the Accumulation of Phytochemicals and Their Bioactive Properties among the Aerial Parts of Cauliflower. </w:t>
      </w:r>
      <w:r w:rsidRPr="00F964F1">
        <w:rPr>
          <w:i/>
          <w:iCs/>
        </w:rPr>
        <w:t>Antioxidants</w:t>
      </w:r>
      <w:r w:rsidRPr="00F964F1">
        <w:t xml:space="preserve">, </w:t>
      </w:r>
      <w:r w:rsidRPr="00F964F1">
        <w:rPr>
          <w:i/>
          <w:iCs/>
        </w:rPr>
        <w:t>10</w:t>
      </w:r>
      <w:r w:rsidRPr="00F964F1">
        <w:t>(10). https://doi.org/10.3390/antiox10101597</w:t>
      </w:r>
    </w:p>
    <w:p w14:paraId="2BA05022" w14:textId="77777777" w:rsidR="00F964F1" w:rsidRPr="00F964F1" w:rsidRDefault="00F964F1" w:rsidP="00F964F1">
      <w:pPr>
        <w:pStyle w:val="Bibliography"/>
        <w:numPr>
          <w:ilvl w:val="0"/>
          <w:numId w:val="11"/>
        </w:numPr>
        <w:spacing w:line="360" w:lineRule="auto"/>
      </w:pPr>
      <w:r w:rsidRPr="00F964F1">
        <w:t>Lavola, A., Salonen, A., Virjamo, V., &amp; Julkunen-Tiitto, R. (2017). Phytochemical variation in the plant-part specific phenols of wild crowberry (</w:t>
      </w:r>
      <w:r w:rsidRPr="00F964F1">
        <w:rPr>
          <w:i/>
          <w:iCs/>
        </w:rPr>
        <w:t>Empetrum hermaphroditum</w:t>
      </w:r>
      <w:r w:rsidRPr="00F964F1">
        <w:t xml:space="preserve"> Hagerup) populations. </w:t>
      </w:r>
      <w:r w:rsidRPr="00F964F1">
        <w:rPr>
          <w:i/>
          <w:iCs/>
        </w:rPr>
        <w:t>Phytochemistry Letters, Critical Assessment of Small Molecules Identification 2016</w:t>
      </w:r>
      <w:r w:rsidRPr="00F964F1">
        <w:t xml:space="preserve">, </w:t>
      </w:r>
      <w:r w:rsidRPr="00F964F1">
        <w:rPr>
          <w:i/>
          <w:iCs/>
        </w:rPr>
        <w:t>21</w:t>
      </w:r>
      <w:r w:rsidRPr="00F964F1">
        <w:t>, 11–20. https://doi.org/10.1016/j.phytol.2017.05.016</w:t>
      </w:r>
    </w:p>
    <w:p w14:paraId="402EE21F" w14:textId="77777777" w:rsidR="00F964F1" w:rsidRPr="00F964F1" w:rsidRDefault="00F964F1" w:rsidP="00F964F1">
      <w:pPr>
        <w:pStyle w:val="Bibliography"/>
        <w:numPr>
          <w:ilvl w:val="0"/>
          <w:numId w:val="11"/>
        </w:numPr>
        <w:spacing w:line="360" w:lineRule="auto"/>
      </w:pPr>
      <w:r w:rsidRPr="00F964F1">
        <w:t xml:space="preserve">Shaikh, J. R., &amp; Patil, M. K. (2020). Qualitative tests for preliminary phytochemical screening: An overview. </w:t>
      </w:r>
      <w:r w:rsidRPr="00F964F1">
        <w:rPr>
          <w:i/>
          <w:iCs/>
        </w:rPr>
        <w:t>International Journal of Chemical Studies</w:t>
      </w:r>
      <w:r w:rsidRPr="00F964F1">
        <w:t xml:space="preserve">, </w:t>
      </w:r>
      <w:r w:rsidRPr="00F964F1">
        <w:rPr>
          <w:i/>
          <w:iCs/>
        </w:rPr>
        <w:t>8</w:t>
      </w:r>
      <w:r w:rsidRPr="00F964F1">
        <w:t>(2), 603–608. https://doi.org/10.22271/chemi.2020.v8.i2i.8834</w:t>
      </w:r>
    </w:p>
    <w:p w14:paraId="61A59AD3" w14:textId="77777777" w:rsidR="00F964F1" w:rsidRPr="00F964F1" w:rsidRDefault="00F964F1" w:rsidP="00F964F1">
      <w:pPr>
        <w:pStyle w:val="Bibliography"/>
        <w:numPr>
          <w:ilvl w:val="0"/>
          <w:numId w:val="11"/>
        </w:numPr>
        <w:spacing w:line="360" w:lineRule="auto"/>
      </w:pPr>
      <w:r w:rsidRPr="00F964F1">
        <w:t xml:space="preserve">Singleton, V. L., Orthofer, R., &amp; Lamuela-Raventós, R. M. (1999). Analysis of total phenols and other oxidation substrates and antioxidants by means of folin-ciocalteu reagent. In </w:t>
      </w:r>
      <w:r w:rsidRPr="00F964F1">
        <w:rPr>
          <w:i/>
          <w:iCs/>
        </w:rPr>
        <w:t>Methods in Enzymology</w:t>
      </w:r>
      <w:r w:rsidRPr="00F964F1">
        <w:t xml:space="preserve"> (Vol. 299, pp. 152–178). Academic Press. https://doi.org/10.1016/S0076-6879(99)99017-1</w:t>
      </w:r>
    </w:p>
    <w:p w14:paraId="29316925" w14:textId="77777777" w:rsidR="00F964F1" w:rsidRPr="00F964F1" w:rsidRDefault="00F964F1" w:rsidP="00F964F1">
      <w:pPr>
        <w:pStyle w:val="Bibliography"/>
        <w:numPr>
          <w:ilvl w:val="0"/>
          <w:numId w:val="11"/>
        </w:numPr>
        <w:spacing w:line="360" w:lineRule="auto"/>
      </w:pPr>
      <w:r w:rsidRPr="00F964F1">
        <w:t xml:space="preserve">Chang, C.-C., Yang, M.-H., Wen, H.-M., &amp; Chern, J.-C. (2020). Estimation of total flavonoid content in propolis by two complementary colometric methods. </w:t>
      </w:r>
      <w:r w:rsidRPr="00F964F1">
        <w:rPr>
          <w:i/>
          <w:iCs/>
        </w:rPr>
        <w:t>Journal of Food and Drug Analysis</w:t>
      </w:r>
      <w:r w:rsidRPr="00F964F1">
        <w:t xml:space="preserve">, </w:t>
      </w:r>
      <w:r w:rsidRPr="00F964F1">
        <w:rPr>
          <w:i/>
          <w:iCs/>
        </w:rPr>
        <w:t>10</w:t>
      </w:r>
      <w:r w:rsidRPr="00F964F1">
        <w:t>(3). https://doi.org/10.38212/2224-6614.2748</w:t>
      </w:r>
    </w:p>
    <w:p w14:paraId="679B77C5" w14:textId="77777777" w:rsidR="00F964F1" w:rsidRPr="00F964F1" w:rsidRDefault="00F964F1" w:rsidP="00F964F1">
      <w:pPr>
        <w:pStyle w:val="Bibliography"/>
        <w:numPr>
          <w:ilvl w:val="0"/>
          <w:numId w:val="11"/>
        </w:numPr>
        <w:spacing w:line="360" w:lineRule="auto"/>
      </w:pPr>
      <w:r w:rsidRPr="00F964F1">
        <w:t xml:space="preserve">Prieto, P., Pineda, M., &amp; Aguilar, M. (1999). Spectrophotometric Quantitation of Antioxidant Capacity through the Formation of a Phosphomolybdenum Complex: Specific Application to the Determination of Vitamin E. </w:t>
      </w:r>
      <w:r w:rsidRPr="00F964F1">
        <w:rPr>
          <w:i/>
          <w:iCs/>
        </w:rPr>
        <w:t>Analytical Biochemistry</w:t>
      </w:r>
      <w:r w:rsidRPr="00F964F1">
        <w:t xml:space="preserve">, </w:t>
      </w:r>
      <w:r w:rsidRPr="00F964F1">
        <w:rPr>
          <w:i/>
          <w:iCs/>
        </w:rPr>
        <w:t>269</w:t>
      </w:r>
      <w:r w:rsidRPr="00F964F1">
        <w:t>(2), 337–341. https://doi.org/10.1006/abio.1999.4019</w:t>
      </w:r>
    </w:p>
    <w:p w14:paraId="524EBDC5" w14:textId="77777777" w:rsidR="00F964F1" w:rsidRPr="00F964F1" w:rsidRDefault="00F964F1" w:rsidP="00F964F1">
      <w:pPr>
        <w:pStyle w:val="Bibliography"/>
        <w:numPr>
          <w:ilvl w:val="0"/>
          <w:numId w:val="11"/>
        </w:numPr>
        <w:spacing w:line="360" w:lineRule="auto"/>
      </w:pPr>
      <w:r w:rsidRPr="00F964F1">
        <w:t xml:space="preserve">Oyaizu, M. (1986). Studies on products of browning reaction. Antioxidative activities of products of browning reaction prepared from glucosamine. </w:t>
      </w:r>
      <w:r w:rsidRPr="00F964F1">
        <w:rPr>
          <w:i/>
          <w:iCs/>
        </w:rPr>
        <w:t>The Japanese Journal of Nutrition and Dietetics</w:t>
      </w:r>
      <w:r w:rsidRPr="00F964F1">
        <w:t>. https://doi.org/10.5264/eiyogakuzashi.44.307</w:t>
      </w:r>
    </w:p>
    <w:p w14:paraId="31D31C6A" w14:textId="77777777" w:rsidR="00F964F1" w:rsidRPr="00F964F1" w:rsidRDefault="00F964F1" w:rsidP="00F964F1">
      <w:pPr>
        <w:pStyle w:val="Bibliography"/>
        <w:numPr>
          <w:ilvl w:val="0"/>
          <w:numId w:val="11"/>
        </w:numPr>
        <w:spacing w:line="360" w:lineRule="auto"/>
      </w:pPr>
      <w:r w:rsidRPr="00F964F1">
        <w:lastRenderedPageBreak/>
        <w:t xml:space="preserve">Prieto, J. M. (2012). Procedure: Preparation of DPPH Radical, and Antioxidant Scavenging Assay. . </w:t>
      </w:r>
      <w:r w:rsidRPr="00F964F1">
        <w:rPr>
          <w:i/>
          <w:iCs/>
        </w:rPr>
        <w:t>Dr Prieto’s DPPH Microplate Protocol</w:t>
      </w:r>
      <w:r w:rsidRPr="00F964F1">
        <w:t>, 1–3.</w:t>
      </w:r>
    </w:p>
    <w:p w14:paraId="0AF5CCED" w14:textId="77777777" w:rsidR="00F964F1" w:rsidRPr="00F964F1" w:rsidRDefault="00F964F1" w:rsidP="00F964F1">
      <w:pPr>
        <w:pStyle w:val="Bibliography"/>
        <w:numPr>
          <w:ilvl w:val="0"/>
          <w:numId w:val="11"/>
        </w:numPr>
        <w:spacing w:line="360" w:lineRule="auto"/>
      </w:pPr>
      <w:r w:rsidRPr="00F964F1">
        <w:t xml:space="preserve">Kazi, Z., Singh, S., &amp; Lobo, V. (2025). Phytochemical evaluation and in vitro antioxidant potential of Cycas circinalis L. </w:t>
      </w:r>
      <w:r w:rsidRPr="00F964F1">
        <w:rPr>
          <w:i/>
          <w:iCs/>
        </w:rPr>
        <w:t>Current Botany</w:t>
      </w:r>
      <w:r w:rsidRPr="00F964F1">
        <w:t>, 59–67. https://doi.org/10.25081/cb.2025.v16.9123</w:t>
      </w:r>
    </w:p>
    <w:p w14:paraId="12C35F57" w14:textId="77777777" w:rsidR="00F964F1" w:rsidRPr="00F964F1" w:rsidRDefault="00F964F1" w:rsidP="00F964F1">
      <w:pPr>
        <w:pStyle w:val="Bibliography"/>
        <w:numPr>
          <w:ilvl w:val="0"/>
          <w:numId w:val="11"/>
        </w:numPr>
        <w:spacing w:line="360" w:lineRule="auto"/>
      </w:pPr>
      <w:r w:rsidRPr="00F964F1">
        <w:t xml:space="preserve">Re, R., Pellegrini, N., Proteggente, A., Pannala, A., Yang, M., &amp; Rice-Evans, C. (1999). Antioxidant activity applying an improved ABTS radical cation decolorization assay. </w:t>
      </w:r>
      <w:r w:rsidRPr="00F964F1">
        <w:rPr>
          <w:i/>
          <w:iCs/>
        </w:rPr>
        <w:t>Free Radical Biology &amp; Medicine</w:t>
      </w:r>
      <w:r w:rsidRPr="00F964F1">
        <w:t xml:space="preserve">, </w:t>
      </w:r>
      <w:r w:rsidRPr="00F964F1">
        <w:rPr>
          <w:i/>
          <w:iCs/>
        </w:rPr>
        <w:t>26</w:t>
      </w:r>
      <w:r w:rsidRPr="00F964F1">
        <w:t>(9–10), 1231–1237. https://doi.org/10.1016/s0891-5849(98)00315-3</w:t>
      </w:r>
    </w:p>
    <w:p w14:paraId="6C2D4BC5" w14:textId="77777777" w:rsidR="00F964F1" w:rsidRPr="00F964F1" w:rsidRDefault="00F964F1" w:rsidP="00F964F1">
      <w:pPr>
        <w:pStyle w:val="Bibliography"/>
        <w:numPr>
          <w:ilvl w:val="0"/>
          <w:numId w:val="11"/>
        </w:numPr>
        <w:spacing w:line="360" w:lineRule="auto"/>
      </w:pPr>
      <w:r w:rsidRPr="00F964F1">
        <w:t xml:space="preserve">Deshmukh, V. P., Lunge, M. S., Rajurkar, A. V., Dharkar, N. S., Raut, S. R., &amp; Dhoran, V. S. (2021). Chemical characterization and therapeutics of Dalbergia latifolia Roxb: A review. </w:t>
      </w:r>
      <w:r w:rsidRPr="00F964F1">
        <w:rPr>
          <w:i/>
          <w:iCs/>
        </w:rPr>
        <w:t>Journal of Pharmacognosy and Phytochemistry</w:t>
      </w:r>
      <w:r w:rsidRPr="00F964F1">
        <w:t xml:space="preserve">, </w:t>
      </w:r>
      <w:r w:rsidRPr="00F964F1">
        <w:rPr>
          <w:i/>
          <w:iCs/>
        </w:rPr>
        <w:t>10</w:t>
      </w:r>
      <w:r w:rsidRPr="00F964F1">
        <w:t>(4), 340–345. https://doi.org/10.22271/phyto.2021.v10.i4d.14174</w:t>
      </w:r>
    </w:p>
    <w:p w14:paraId="20C0A321" w14:textId="77777777" w:rsidR="00F964F1" w:rsidRPr="00F964F1" w:rsidRDefault="00F964F1" w:rsidP="00F964F1">
      <w:pPr>
        <w:pStyle w:val="Bibliography"/>
        <w:numPr>
          <w:ilvl w:val="0"/>
          <w:numId w:val="11"/>
        </w:numPr>
        <w:spacing w:line="360" w:lineRule="auto"/>
      </w:pPr>
      <w:r w:rsidRPr="00F964F1">
        <w:t xml:space="preserve">Masendra, M., Purba, B. A. V., Irawati, D., &amp; Lukmandaru, G. (2021). Investigation of Flavonoid Extractives and their Contribution to Color of Dalbergia latifolia Roxb Wood. </w:t>
      </w:r>
      <w:r w:rsidRPr="00F964F1">
        <w:rPr>
          <w:i/>
          <w:iCs/>
        </w:rPr>
        <w:t>Wood Research Journal</w:t>
      </w:r>
      <w:r w:rsidRPr="00F964F1">
        <w:t xml:space="preserve">, </w:t>
      </w:r>
      <w:r w:rsidRPr="00F964F1">
        <w:rPr>
          <w:i/>
          <w:iCs/>
        </w:rPr>
        <w:t>12</w:t>
      </w:r>
      <w:r w:rsidRPr="00F964F1">
        <w:t>(2), 53–60. https://doi.org/10.51850/wrj.2021.12.2.53-60</w:t>
      </w:r>
    </w:p>
    <w:p w14:paraId="193EE575" w14:textId="77777777" w:rsidR="00F964F1" w:rsidRPr="00F964F1" w:rsidRDefault="00F964F1" w:rsidP="00F964F1">
      <w:pPr>
        <w:pStyle w:val="Bibliography"/>
        <w:numPr>
          <w:ilvl w:val="0"/>
          <w:numId w:val="11"/>
        </w:numPr>
        <w:spacing w:line="360" w:lineRule="auto"/>
      </w:pPr>
      <w:r w:rsidRPr="00F964F1">
        <w:t xml:space="preserve">Khalid, M., &amp; Freed, S. (2011). </w:t>
      </w:r>
      <w:r w:rsidRPr="00F964F1">
        <w:rPr>
          <w:i/>
          <w:iCs/>
        </w:rPr>
        <w:t>In-vitro Assessment of Antioxidant Activity of Dalbergia latifolia Barks Extract Against Free Radicals</w:t>
      </w:r>
      <w:r w:rsidRPr="00F964F1">
        <w:t>. https://www.semanticscholar.org/paper/In-vitro-Assessment-of-Antioxidant-Activity-of-Free-Khalid-Freed/939c944084e32c27f82484b9325085fbef36512d</w:t>
      </w:r>
    </w:p>
    <w:p w14:paraId="1CF58363" w14:textId="77777777" w:rsidR="00F964F1" w:rsidRPr="00F964F1" w:rsidRDefault="00F964F1" w:rsidP="00F964F1">
      <w:pPr>
        <w:pStyle w:val="Bibliography"/>
        <w:numPr>
          <w:ilvl w:val="0"/>
          <w:numId w:val="11"/>
        </w:numPr>
        <w:spacing w:line="360" w:lineRule="auto"/>
      </w:pPr>
      <w:r w:rsidRPr="00F964F1">
        <w:t xml:space="preserve">Khalid, M., Shoaib, A., Akhtar, J., Alqarni, M. H., Badruddeen, Siddiqui, H. H., &amp; Foudah, A. I. (2020). Anti obesity prospective of Dalbergia latifolia (Roxb.) hydroalcoholic bark extract in high fat diet induced obese rats. </w:t>
      </w:r>
      <w:r w:rsidRPr="00F964F1">
        <w:rPr>
          <w:i/>
          <w:iCs/>
        </w:rPr>
        <w:t>3 Biotech</w:t>
      </w:r>
      <w:r w:rsidRPr="00F964F1">
        <w:t xml:space="preserve">, </w:t>
      </w:r>
      <w:r w:rsidRPr="00F964F1">
        <w:rPr>
          <w:i/>
          <w:iCs/>
        </w:rPr>
        <w:t>10</w:t>
      </w:r>
      <w:r w:rsidRPr="00F964F1">
        <w:t>(11), 493. https://doi.org/10.1007/s13205-020-02491-z</w:t>
      </w:r>
    </w:p>
    <w:p w14:paraId="11BE2431" w14:textId="77777777" w:rsidR="00F964F1" w:rsidRPr="00F964F1" w:rsidRDefault="00F964F1" w:rsidP="00F964F1">
      <w:pPr>
        <w:pStyle w:val="Bibliography"/>
        <w:numPr>
          <w:ilvl w:val="0"/>
          <w:numId w:val="11"/>
        </w:numPr>
        <w:spacing w:line="360" w:lineRule="auto"/>
      </w:pPr>
      <w:r w:rsidRPr="00F964F1">
        <w:t xml:space="preserve">Tiwari, A., &amp; Choudhary, N. K. (2021). PHYTOPHARMACOLOGICAL EVALUATION OF DALBERGIA LATIFOLIA ROXB FOR ANTIDIABETIC ACTIVITY AND ITS EFFECT ON LIPID PROFILE AND HEPATIC ENZYMES OF GLUCOSE METABOLISM IN DIABETIC RATS. </w:t>
      </w:r>
      <w:r w:rsidRPr="00F964F1">
        <w:rPr>
          <w:i/>
          <w:iCs/>
        </w:rPr>
        <w:t>Journal of Advanced Scientific Research</w:t>
      </w:r>
      <w:r w:rsidRPr="00F964F1">
        <w:t xml:space="preserve">, </w:t>
      </w:r>
      <w:r w:rsidRPr="00F964F1">
        <w:rPr>
          <w:i/>
          <w:iCs/>
        </w:rPr>
        <w:t>12</w:t>
      </w:r>
      <w:r w:rsidRPr="00F964F1">
        <w:t>(03 Suppl 2), 95–109. https://doi.org/10.55218/JASR.s2202112312</w:t>
      </w:r>
    </w:p>
    <w:p w14:paraId="467F1A42" w14:textId="77777777" w:rsidR="00F964F1" w:rsidRPr="00F964F1" w:rsidRDefault="00F964F1" w:rsidP="00F964F1">
      <w:pPr>
        <w:pStyle w:val="Bibliography"/>
        <w:numPr>
          <w:ilvl w:val="0"/>
          <w:numId w:val="11"/>
        </w:numPr>
        <w:spacing w:line="360" w:lineRule="auto"/>
      </w:pPr>
      <w:r w:rsidRPr="00F964F1">
        <w:t xml:space="preserve">Sadeer, N. B., Montesano, D., Albrizio, S., Zengin, G., &amp; Mahomoodally, M. F. (2020). The Versatility of Antioxidant Assays in Food Science and Safety—Chemistry, Applications, Strengths, and Limitations. </w:t>
      </w:r>
      <w:r w:rsidRPr="00F964F1">
        <w:rPr>
          <w:i/>
          <w:iCs/>
        </w:rPr>
        <w:t>Antioxidants</w:t>
      </w:r>
      <w:r w:rsidRPr="00F964F1">
        <w:t xml:space="preserve">, </w:t>
      </w:r>
      <w:r w:rsidRPr="00F964F1">
        <w:rPr>
          <w:i/>
          <w:iCs/>
        </w:rPr>
        <w:t>9</w:t>
      </w:r>
      <w:r w:rsidRPr="00F964F1">
        <w:t>(8), 709. https://doi.org/10.3390/antiox9080709</w:t>
      </w:r>
    </w:p>
    <w:p w14:paraId="151F2122" w14:textId="77777777" w:rsidR="00F964F1" w:rsidRPr="00F964F1" w:rsidRDefault="00F964F1" w:rsidP="00F964F1">
      <w:pPr>
        <w:pStyle w:val="Bibliography"/>
        <w:numPr>
          <w:ilvl w:val="0"/>
          <w:numId w:val="11"/>
        </w:numPr>
        <w:spacing w:line="360" w:lineRule="auto"/>
      </w:pPr>
      <w:r w:rsidRPr="00F964F1">
        <w:t xml:space="preserve">Jaganjac, M., Sredoja Tisma, V., &amp; Zarkovic, N. (2021). Short Overview of Some Assays for the Measurement of Antioxidant Activity of Natural Products and Their Relevance in Dermatology. </w:t>
      </w:r>
      <w:r w:rsidRPr="00F964F1">
        <w:rPr>
          <w:i/>
          <w:iCs/>
        </w:rPr>
        <w:t>Molecules</w:t>
      </w:r>
      <w:r w:rsidRPr="00F964F1">
        <w:t xml:space="preserve">, </w:t>
      </w:r>
      <w:r w:rsidRPr="00F964F1">
        <w:rPr>
          <w:i/>
          <w:iCs/>
        </w:rPr>
        <w:t>26</w:t>
      </w:r>
      <w:r w:rsidRPr="00F964F1">
        <w:t>(17), 5301. https://doi.org/10.3390/molecules26175301</w:t>
      </w:r>
    </w:p>
    <w:p w14:paraId="6646CFF2" w14:textId="77777777" w:rsidR="00F964F1" w:rsidRPr="00F964F1" w:rsidRDefault="00F964F1" w:rsidP="00F964F1">
      <w:pPr>
        <w:pStyle w:val="Bibliography"/>
        <w:numPr>
          <w:ilvl w:val="0"/>
          <w:numId w:val="11"/>
        </w:numPr>
        <w:spacing w:line="360" w:lineRule="auto"/>
      </w:pPr>
      <w:r w:rsidRPr="00F964F1">
        <w:lastRenderedPageBreak/>
        <w:t xml:space="preserve">Nagarathna, P. K. M., &amp; Kumari, A. (2018). SCREENING OF CARDIOPROTECTIVE AND ANTIOXIDANT ACTIVITY OF “DALBERGIA LATIFOLIA.” </w:t>
      </w:r>
      <w:r w:rsidRPr="00F964F1">
        <w:rPr>
          <w:i/>
          <w:iCs/>
        </w:rPr>
        <w:t>Asian Journal of Science and Technology</w:t>
      </w:r>
      <w:r w:rsidRPr="00F964F1">
        <w:t xml:space="preserve">, </w:t>
      </w:r>
      <w:r w:rsidRPr="00F964F1">
        <w:rPr>
          <w:i/>
          <w:iCs/>
        </w:rPr>
        <w:t>9</w:t>
      </w:r>
      <w:r w:rsidRPr="00F964F1">
        <w:t>(4), 7897–7904.</w:t>
      </w:r>
    </w:p>
    <w:p w14:paraId="45A45267" w14:textId="77777777" w:rsidR="00F964F1" w:rsidRPr="00F964F1" w:rsidRDefault="00F964F1" w:rsidP="00F964F1">
      <w:pPr>
        <w:pStyle w:val="Bibliography"/>
        <w:numPr>
          <w:ilvl w:val="0"/>
          <w:numId w:val="11"/>
        </w:numPr>
        <w:spacing w:line="360" w:lineRule="auto"/>
      </w:pPr>
      <w:r w:rsidRPr="00F964F1">
        <w:t xml:space="preserve">Feng, J., Wang, J., Wang, Y., Huang, X., Shao, T., Deng, X., Cao, Y., Zhou, M., &amp; Zhao, C. (2022). Oxidative Stress and Lipid Peroxidation: Prospective Associations Between Ferroptosis and Delayed Wound Healing in Diabetic Ulcers. </w:t>
      </w:r>
      <w:r w:rsidRPr="00F964F1">
        <w:rPr>
          <w:i/>
          <w:iCs/>
        </w:rPr>
        <w:t>Frontiers in Cell and Developmental Biology</w:t>
      </w:r>
      <w:r w:rsidRPr="00F964F1">
        <w:t xml:space="preserve">, </w:t>
      </w:r>
      <w:r w:rsidRPr="00F964F1">
        <w:rPr>
          <w:i/>
          <w:iCs/>
        </w:rPr>
        <w:t>10</w:t>
      </w:r>
      <w:r w:rsidRPr="00F964F1">
        <w:t>, 898657. https://doi.org/10.3389/fcell.2022.898657</w:t>
      </w:r>
    </w:p>
    <w:p w14:paraId="4BFA0AF1" w14:textId="77777777" w:rsidR="00F964F1" w:rsidRPr="00F964F1" w:rsidRDefault="00F964F1" w:rsidP="00F964F1">
      <w:pPr>
        <w:pStyle w:val="Bibliography"/>
        <w:numPr>
          <w:ilvl w:val="0"/>
          <w:numId w:val="11"/>
        </w:numPr>
        <w:spacing w:line="360" w:lineRule="auto"/>
      </w:pPr>
      <w:r w:rsidRPr="00F964F1">
        <w:t xml:space="preserve">Bharathiraja, B., Balaji, S., &amp; Praveenkumar, R. (2014). </w:t>
      </w:r>
      <w:r w:rsidRPr="00F964F1">
        <w:rPr>
          <w:i/>
          <w:iCs/>
        </w:rPr>
        <w:t>Folk Medicines A Guide to Folklore Medicinal Herbs of Nilagiri</w:t>
      </w:r>
      <w:r w:rsidRPr="00F964F1">
        <w:t xml:space="preserve"> (First Edition). Sams Publishers.</w:t>
      </w:r>
    </w:p>
    <w:p w14:paraId="54777BBD" w14:textId="751B7BD4" w:rsidR="00FD5F0A" w:rsidRPr="001A7494" w:rsidRDefault="00BA3040" w:rsidP="00F964F1">
      <w:pPr>
        <w:pBdr>
          <w:top w:val="nil"/>
          <w:left w:val="nil"/>
          <w:bottom w:val="nil"/>
          <w:right w:val="nil"/>
          <w:between w:val="nil"/>
        </w:pBdr>
        <w:spacing w:before="240" w:after="240" w:line="360" w:lineRule="auto"/>
        <w:jc w:val="center"/>
        <w:rPr>
          <w:rFonts w:ascii="Arial" w:eastAsia="Times New Roman" w:hAnsi="Arial" w:cs="Arial"/>
          <w:sz w:val="20"/>
          <w:szCs w:val="20"/>
        </w:rPr>
      </w:pPr>
      <w:r w:rsidRPr="001A7494">
        <w:rPr>
          <w:rFonts w:ascii="Arial" w:eastAsia="Times New Roman" w:hAnsi="Arial" w:cs="Arial"/>
          <w:sz w:val="20"/>
          <w:szCs w:val="20"/>
        </w:rPr>
        <w:fldChar w:fldCharType="end"/>
      </w:r>
    </w:p>
    <w:p w14:paraId="5D00AF11" w14:textId="1DD34D6C" w:rsidR="00D14CAB" w:rsidRPr="001A7494" w:rsidRDefault="00FD5F0A" w:rsidP="00FD5F0A">
      <w:pPr>
        <w:pBdr>
          <w:top w:val="nil"/>
          <w:left w:val="nil"/>
          <w:bottom w:val="nil"/>
          <w:right w:val="nil"/>
          <w:between w:val="nil"/>
        </w:pBdr>
        <w:spacing w:before="240" w:after="240" w:line="360" w:lineRule="auto"/>
        <w:jc w:val="center"/>
        <w:rPr>
          <w:rFonts w:ascii="Arial" w:eastAsia="Times New Roman" w:hAnsi="Arial" w:cs="Arial"/>
          <w:sz w:val="20"/>
          <w:szCs w:val="20"/>
        </w:rPr>
      </w:pPr>
      <w:r w:rsidRPr="001A7494">
        <w:rPr>
          <w:rFonts w:ascii="Arial" w:eastAsia="Times New Roman" w:hAnsi="Arial" w:cs="Arial"/>
          <w:sz w:val="20"/>
          <w:szCs w:val="20"/>
        </w:rPr>
        <w:t>--------X----------------X--------</w:t>
      </w:r>
    </w:p>
    <w:p w14:paraId="1EE73B6D" w14:textId="77777777" w:rsidR="00666CAD" w:rsidRPr="001A7494" w:rsidRDefault="00666CAD" w:rsidP="009A4760">
      <w:pPr>
        <w:spacing w:line="360" w:lineRule="auto"/>
        <w:jc w:val="both"/>
        <w:rPr>
          <w:rFonts w:ascii="Arial" w:eastAsia="Times New Roman" w:hAnsi="Arial" w:cs="Arial"/>
          <w:sz w:val="20"/>
          <w:szCs w:val="20"/>
        </w:rPr>
      </w:pPr>
    </w:p>
    <w:sectPr w:rsidR="00666CAD" w:rsidRPr="001A7494" w:rsidSect="001A7494">
      <w:footerReference w:type="default" r:id="rId16"/>
      <w:pgSz w:w="12240" w:h="15840"/>
      <w:pgMar w:top="1440" w:right="1440" w:bottom="1440" w:left="1440" w:header="720" w:footer="72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7A4C19" w14:textId="77777777" w:rsidR="0074698B" w:rsidRDefault="0074698B" w:rsidP="001A7494">
      <w:pPr>
        <w:spacing w:after="0" w:line="240" w:lineRule="auto"/>
      </w:pPr>
      <w:r>
        <w:separator/>
      </w:r>
    </w:p>
  </w:endnote>
  <w:endnote w:type="continuationSeparator" w:id="0">
    <w:p w14:paraId="6464D95A" w14:textId="77777777" w:rsidR="0074698B" w:rsidRDefault="0074698B" w:rsidP="001A74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BE24C7FE-0821-4845-9F04-3E404E0E996D}"/>
    <w:embedBold r:id="rId2" w:fontKey="{3C625CD6-0408-4007-91BD-59572EA4A00E}"/>
    <w:embedItalic r:id="rId3" w:fontKey="{3DD3109F-13D7-49BB-835F-8E49CBB546C5}"/>
    <w:embedBoldItalic r:id="rId4" w:fontKey="{09439B8D-B622-4E00-96A6-06D13D53C8AD}"/>
  </w:font>
  <w:font w:name="Georgia">
    <w:panose1 w:val="02040502050405020303"/>
    <w:charset w:val="00"/>
    <w:family w:val="roman"/>
    <w:pitch w:val="variable"/>
    <w:sig w:usb0="00000287" w:usb1="00000000" w:usb2="00000000" w:usb3="00000000" w:csb0="0000009F" w:csb1="00000000"/>
    <w:embedItalic r:id="rId5" w:fontKey="{5357560A-97FF-44A8-963E-FDF9C576A2ED}"/>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embedRegular r:id="rId6" w:fontKey="{2F613A97-619C-48D8-90E8-26FB65D7F032}"/>
    <w:embedBold r:id="rId7" w:fontKey="{2024ED6D-9CC6-47FE-A968-3B8B393477BC}"/>
    <w:embedItalic r:id="rId8" w:fontKey="{3FF5599E-A9D9-45AD-B359-F50198205163}"/>
  </w:font>
  <w:font w:name="Caudex">
    <w:charset w:val="00"/>
    <w:family w:val="auto"/>
    <w:pitch w:val="default"/>
    <w:embedRegular r:id="rId9" w:fontKey="{22D8E791-B6AE-42CD-A3AB-83D3596C7966}"/>
    <w:embedBold r:id="rId10" w:fontKey="{5F36AEF5-B761-44A2-A2BF-C56D3B0C6BC7}"/>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embedRegular r:id="rId11" w:fontKey="{177656F4-C92B-4AD4-AF63-771A29AF168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2B0E73" w14:textId="31FA7A5A" w:rsidR="001A7494" w:rsidRPr="00230C8E" w:rsidRDefault="001A7494" w:rsidP="001A7494">
    <w:pPr>
      <w:spacing w:line="240" w:lineRule="auto"/>
      <w:ind w:left="-5"/>
      <w:rPr>
        <w:rFonts w:ascii="Times New Roman" w:hAnsi="Times New Roman" w:cs="Times New Roman"/>
        <w:b/>
        <w:bCs/>
        <w:sz w:val="24"/>
        <w:szCs w:val="24"/>
      </w:rPr>
    </w:pPr>
  </w:p>
  <w:p w14:paraId="4C75FBF9" w14:textId="76469FA1" w:rsidR="001A7494" w:rsidRDefault="001A7494">
    <w:pPr>
      <w:pStyle w:val="Footer"/>
    </w:pPr>
  </w:p>
  <w:p w14:paraId="60040E6B" w14:textId="77777777" w:rsidR="001A7494" w:rsidRDefault="001A749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6B2D10" w14:textId="77777777" w:rsidR="0074698B" w:rsidRDefault="0074698B" w:rsidP="001A7494">
      <w:pPr>
        <w:spacing w:after="0" w:line="240" w:lineRule="auto"/>
      </w:pPr>
      <w:r>
        <w:separator/>
      </w:r>
    </w:p>
  </w:footnote>
  <w:footnote w:type="continuationSeparator" w:id="0">
    <w:p w14:paraId="31CD2949" w14:textId="77777777" w:rsidR="0074698B" w:rsidRDefault="0074698B" w:rsidP="001A749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597C37"/>
    <w:multiLevelType w:val="multilevel"/>
    <w:tmpl w:val="F808F3BE"/>
    <w:lvl w:ilvl="0">
      <w:start w:val="1"/>
      <w:numFmt w:val="decimal"/>
      <w:lvlText w:val="%1."/>
      <w:lvlJc w:val="left"/>
      <w:pPr>
        <w:ind w:left="0" w:firstLine="0"/>
      </w:pPr>
      <w:rPr>
        <w:rFonts w:hint="default"/>
        <w:b/>
        <w:bCs/>
      </w:rPr>
    </w:lvl>
    <w:lvl w:ilvl="1">
      <w:start w:val="1"/>
      <w:numFmt w:val="decimal"/>
      <w:lvlText w:val="%1.%2."/>
      <w:lvlJc w:val="left"/>
      <w:pPr>
        <w:ind w:left="0" w:firstLine="0"/>
      </w:pPr>
      <w:rPr>
        <w:rFonts w:hint="default"/>
        <w:b/>
        <w:bCs/>
      </w:rPr>
    </w:lvl>
    <w:lvl w:ilvl="2">
      <w:start w:val="1"/>
      <w:numFmt w:val="decimal"/>
      <w:lvlText w:val="%1.%2.%3."/>
      <w:lvlJc w:val="left"/>
      <w:pPr>
        <w:ind w:left="0" w:firstLine="0"/>
      </w:pPr>
      <w:rPr>
        <w:rFonts w:hint="default"/>
        <w:b/>
        <w:bCs/>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1" w15:restartNumberingAfterBreak="0">
    <w:nsid w:val="0AC60305"/>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280213A0"/>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2B645388"/>
    <w:multiLevelType w:val="hybridMultilevel"/>
    <w:tmpl w:val="81B4679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49B6D3B"/>
    <w:multiLevelType w:val="multilevel"/>
    <w:tmpl w:val="09FEB820"/>
    <w:lvl w:ilvl="0">
      <w:start w:val="1"/>
      <w:numFmt w:val="decimal"/>
      <w:lvlText w:val="%1."/>
      <w:lvlJc w:val="left"/>
      <w:pPr>
        <w:ind w:left="0" w:firstLine="0"/>
      </w:pPr>
      <w:rPr>
        <w:rFonts w:hint="default"/>
      </w:rPr>
    </w:lvl>
    <w:lvl w:ilvl="1">
      <w:start w:val="1"/>
      <w:numFmt w:val="decimal"/>
      <w:lvlText w:val="%1.%2."/>
      <w:lvlJc w:val="left"/>
      <w:pPr>
        <w:ind w:left="0" w:firstLine="0"/>
      </w:pPr>
      <w:rPr>
        <w:rFonts w:hint="default"/>
        <w:b/>
        <w:bCs/>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5" w15:restartNumberingAfterBreak="0">
    <w:nsid w:val="37EF0D27"/>
    <w:multiLevelType w:val="multilevel"/>
    <w:tmpl w:val="F808F3BE"/>
    <w:lvl w:ilvl="0">
      <w:start w:val="1"/>
      <w:numFmt w:val="decimal"/>
      <w:lvlText w:val="%1."/>
      <w:lvlJc w:val="left"/>
      <w:pPr>
        <w:ind w:left="0" w:firstLine="0"/>
      </w:pPr>
      <w:rPr>
        <w:rFonts w:hint="default"/>
        <w:b/>
        <w:bCs/>
      </w:rPr>
    </w:lvl>
    <w:lvl w:ilvl="1">
      <w:start w:val="1"/>
      <w:numFmt w:val="decimal"/>
      <w:lvlText w:val="%1.%2."/>
      <w:lvlJc w:val="left"/>
      <w:pPr>
        <w:ind w:left="0" w:firstLine="0"/>
      </w:pPr>
      <w:rPr>
        <w:rFonts w:hint="default"/>
        <w:b/>
        <w:bCs/>
      </w:rPr>
    </w:lvl>
    <w:lvl w:ilvl="2">
      <w:start w:val="1"/>
      <w:numFmt w:val="decimal"/>
      <w:lvlText w:val="%1.%2.%3."/>
      <w:lvlJc w:val="left"/>
      <w:pPr>
        <w:ind w:left="0" w:firstLine="0"/>
      </w:pPr>
      <w:rPr>
        <w:rFonts w:hint="default"/>
        <w:b/>
        <w:bCs/>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6" w15:restartNumberingAfterBreak="0">
    <w:nsid w:val="42B854F9"/>
    <w:multiLevelType w:val="multilevel"/>
    <w:tmpl w:val="F808F3BE"/>
    <w:lvl w:ilvl="0">
      <w:start w:val="1"/>
      <w:numFmt w:val="decimal"/>
      <w:lvlText w:val="%1."/>
      <w:lvlJc w:val="left"/>
      <w:pPr>
        <w:ind w:left="0" w:firstLine="0"/>
      </w:pPr>
      <w:rPr>
        <w:rFonts w:hint="default"/>
        <w:b/>
        <w:bCs/>
      </w:rPr>
    </w:lvl>
    <w:lvl w:ilvl="1">
      <w:start w:val="1"/>
      <w:numFmt w:val="decimal"/>
      <w:lvlText w:val="%1.%2."/>
      <w:lvlJc w:val="left"/>
      <w:pPr>
        <w:ind w:left="0" w:firstLine="0"/>
      </w:pPr>
      <w:rPr>
        <w:rFonts w:hint="default"/>
        <w:b/>
        <w:bCs/>
      </w:rPr>
    </w:lvl>
    <w:lvl w:ilvl="2">
      <w:start w:val="1"/>
      <w:numFmt w:val="decimal"/>
      <w:lvlText w:val="%1.%2.%3."/>
      <w:lvlJc w:val="left"/>
      <w:pPr>
        <w:ind w:left="0" w:firstLine="0"/>
      </w:pPr>
      <w:rPr>
        <w:rFonts w:hint="default"/>
        <w:b/>
        <w:bCs/>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7" w15:restartNumberingAfterBreak="0">
    <w:nsid w:val="507D18F4"/>
    <w:multiLevelType w:val="hybridMultilevel"/>
    <w:tmpl w:val="8C9CCEF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695F2E1C"/>
    <w:multiLevelType w:val="multilevel"/>
    <w:tmpl w:val="267CE836"/>
    <w:lvl w:ilvl="0">
      <w:start w:val="1"/>
      <w:numFmt w:val="decimal"/>
      <w:lvlText w:val="%1."/>
      <w:lvlJc w:val="left"/>
      <w:pPr>
        <w:ind w:left="0" w:firstLine="0"/>
      </w:pPr>
      <w:rPr>
        <w:rFonts w:hint="default"/>
      </w:rPr>
    </w:lvl>
    <w:lvl w:ilvl="1">
      <w:start w:val="1"/>
      <w:numFmt w:val="decimal"/>
      <w:lvlText w:val="%1.%2."/>
      <w:lvlJc w:val="left"/>
      <w:pPr>
        <w:ind w:left="0" w:firstLine="0"/>
      </w:pPr>
      <w:rPr>
        <w:rFonts w:hint="default"/>
        <w:b/>
        <w:bCs/>
      </w:rPr>
    </w:lvl>
    <w:lvl w:ilvl="2">
      <w:start w:val="1"/>
      <w:numFmt w:val="decimal"/>
      <w:lvlText w:val="%1.%2.%3."/>
      <w:lvlJc w:val="left"/>
      <w:pPr>
        <w:ind w:left="0" w:firstLine="0"/>
      </w:pPr>
      <w:rPr>
        <w:rFonts w:hint="default"/>
        <w:b/>
        <w:bCs/>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9" w15:restartNumberingAfterBreak="0">
    <w:nsid w:val="762942A0"/>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951210725">
    <w:abstractNumId w:val="7"/>
  </w:num>
  <w:num w:numId="2" w16cid:durableId="1956017327">
    <w:abstractNumId w:val="3"/>
  </w:num>
  <w:num w:numId="3" w16cid:durableId="1481388159">
    <w:abstractNumId w:val="5"/>
  </w:num>
  <w:num w:numId="4" w16cid:durableId="301692344">
    <w:abstractNumId w:val="9"/>
  </w:num>
  <w:num w:numId="5" w16cid:durableId="306590272">
    <w:abstractNumId w:val="1"/>
  </w:num>
  <w:num w:numId="6" w16cid:durableId="78388429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743066213">
    <w:abstractNumId w:val="2"/>
  </w:num>
  <w:num w:numId="8" w16cid:durableId="2094550719">
    <w:abstractNumId w:val="4"/>
  </w:num>
  <w:num w:numId="9" w16cid:durableId="1322856580">
    <w:abstractNumId w:val="8"/>
  </w:num>
  <w:num w:numId="10" w16cid:durableId="1830631387">
    <w:abstractNumId w:val="0"/>
  </w:num>
  <w:num w:numId="11" w16cid:durableId="4281580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4AA6"/>
    <w:rsid w:val="000035F3"/>
    <w:rsid w:val="00037428"/>
    <w:rsid w:val="000A31D1"/>
    <w:rsid w:val="0010785D"/>
    <w:rsid w:val="001474C3"/>
    <w:rsid w:val="001652E5"/>
    <w:rsid w:val="00180921"/>
    <w:rsid w:val="001A7494"/>
    <w:rsid w:val="001B4216"/>
    <w:rsid w:val="001F1C10"/>
    <w:rsid w:val="002258C0"/>
    <w:rsid w:val="0029396C"/>
    <w:rsid w:val="002F4EF3"/>
    <w:rsid w:val="00315A9A"/>
    <w:rsid w:val="00334AA6"/>
    <w:rsid w:val="00336DC7"/>
    <w:rsid w:val="003520D3"/>
    <w:rsid w:val="00390402"/>
    <w:rsid w:val="003D54EE"/>
    <w:rsid w:val="004022F5"/>
    <w:rsid w:val="00436B3D"/>
    <w:rsid w:val="00437026"/>
    <w:rsid w:val="004415B0"/>
    <w:rsid w:val="00462C56"/>
    <w:rsid w:val="00487478"/>
    <w:rsid w:val="004C1FD4"/>
    <w:rsid w:val="004D3ACD"/>
    <w:rsid w:val="004E6F86"/>
    <w:rsid w:val="004F7903"/>
    <w:rsid w:val="00537318"/>
    <w:rsid w:val="005A279B"/>
    <w:rsid w:val="005B023F"/>
    <w:rsid w:val="005B4391"/>
    <w:rsid w:val="005C28C1"/>
    <w:rsid w:val="005D3F35"/>
    <w:rsid w:val="0060487D"/>
    <w:rsid w:val="00621D66"/>
    <w:rsid w:val="0066189B"/>
    <w:rsid w:val="00661EF9"/>
    <w:rsid w:val="00666CAD"/>
    <w:rsid w:val="0067641A"/>
    <w:rsid w:val="00686462"/>
    <w:rsid w:val="006A2AB8"/>
    <w:rsid w:val="006B1B48"/>
    <w:rsid w:val="006D2A57"/>
    <w:rsid w:val="006D7293"/>
    <w:rsid w:val="007121CA"/>
    <w:rsid w:val="0074698B"/>
    <w:rsid w:val="00757964"/>
    <w:rsid w:val="00765C7C"/>
    <w:rsid w:val="007A044D"/>
    <w:rsid w:val="007A44B8"/>
    <w:rsid w:val="007B68F7"/>
    <w:rsid w:val="007E4845"/>
    <w:rsid w:val="00806C1D"/>
    <w:rsid w:val="00822175"/>
    <w:rsid w:val="008A1B96"/>
    <w:rsid w:val="008C6411"/>
    <w:rsid w:val="008D24CA"/>
    <w:rsid w:val="008F62C7"/>
    <w:rsid w:val="00917A94"/>
    <w:rsid w:val="009304BF"/>
    <w:rsid w:val="00953921"/>
    <w:rsid w:val="00976BC0"/>
    <w:rsid w:val="009A4760"/>
    <w:rsid w:val="009B6A57"/>
    <w:rsid w:val="009C6FC0"/>
    <w:rsid w:val="009D0BEB"/>
    <w:rsid w:val="009D1B6C"/>
    <w:rsid w:val="009E376D"/>
    <w:rsid w:val="00A526EF"/>
    <w:rsid w:val="00A5524E"/>
    <w:rsid w:val="00A650B9"/>
    <w:rsid w:val="00A76FCB"/>
    <w:rsid w:val="00AC2B4D"/>
    <w:rsid w:val="00B135D8"/>
    <w:rsid w:val="00B34D54"/>
    <w:rsid w:val="00B736EC"/>
    <w:rsid w:val="00BA3040"/>
    <w:rsid w:val="00BF16AF"/>
    <w:rsid w:val="00C13338"/>
    <w:rsid w:val="00C80004"/>
    <w:rsid w:val="00C97510"/>
    <w:rsid w:val="00CA11CF"/>
    <w:rsid w:val="00CD0729"/>
    <w:rsid w:val="00D14CAB"/>
    <w:rsid w:val="00D41B8C"/>
    <w:rsid w:val="00DA7186"/>
    <w:rsid w:val="00DF22CF"/>
    <w:rsid w:val="00DF7FDB"/>
    <w:rsid w:val="00E74EE1"/>
    <w:rsid w:val="00E93363"/>
    <w:rsid w:val="00EA6104"/>
    <w:rsid w:val="00EE4568"/>
    <w:rsid w:val="00F62F19"/>
    <w:rsid w:val="00F83549"/>
    <w:rsid w:val="00F94D6D"/>
    <w:rsid w:val="00F964F1"/>
    <w:rsid w:val="00FA4FA1"/>
    <w:rsid w:val="00FD5F0A"/>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9C6868"/>
  <w15:docId w15:val="{4725D277-7670-4C6D-BB2C-946C16EF05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D54EE"/>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Pr>
  </w:style>
  <w:style w:type="paragraph" w:styleId="NormalWeb">
    <w:name w:val="Normal (Web)"/>
    <w:basedOn w:val="Normal"/>
    <w:uiPriority w:val="99"/>
    <w:semiHidden/>
    <w:unhideWhenUsed/>
    <w:rsid w:val="00917A94"/>
    <w:rPr>
      <w:rFonts w:ascii="Times New Roman" w:hAnsi="Times New Roman" w:cs="Times New Roman"/>
      <w:sz w:val="24"/>
      <w:szCs w:val="24"/>
    </w:rPr>
  </w:style>
  <w:style w:type="table" w:styleId="TableGrid">
    <w:name w:val="Table Grid"/>
    <w:basedOn w:val="TableNormal"/>
    <w:uiPriority w:val="39"/>
    <w:rsid w:val="006618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66189B"/>
    <w:pPr>
      <w:spacing w:after="200" w:line="240" w:lineRule="auto"/>
    </w:pPr>
    <w:rPr>
      <w:i/>
      <w:iCs/>
      <w:color w:val="1F497D" w:themeColor="text2"/>
      <w:sz w:val="18"/>
      <w:szCs w:val="18"/>
    </w:rPr>
  </w:style>
  <w:style w:type="character" w:styleId="PlaceholderText">
    <w:name w:val="Placeholder Text"/>
    <w:basedOn w:val="DefaultParagraphFont"/>
    <w:uiPriority w:val="99"/>
    <w:semiHidden/>
    <w:rsid w:val="00C13338"/>
    <w:rPr>
      <w:color w:val="666666"/>
    </w:rPr>
  </w:style>
  <w:style w:type="paragraph" w:styleId="Bibliography">
    <w:name w:val="Bibliography"/>
    <w:basedOn w:val="Normal"/>
    <w:next w:val="Normal"/>
    <w:uiPriority w:val="37"/>
    <w:unhideWhenUsed/>
    <w:rsid w:val="00BA3040"/>
    <w:pPr>
      <w:spacing w:after="0" w:line="480" w:lineRule="auto"/>
      <w:ind w:left="720" w:hanging="720"/>
    </w:pPr>
  </w:style>
  <w:style w:type="paragraph" w:styleId="Header">
    <w:name w:val="header"/>
    <w:basedOn w:val="Normal"/>
    <w:link w:val="HeaderChar"/>
    <w:uiPriority w:val="99"/>
    <w:unhideWhenUsed/>
    <w:rsid w:val="001A7494"/>
    <w:pPr>
      <w:tabs>
        <w:tab w:val="center" w:pos="4513"/>
        <w:tab w:val="right" w:pos="9026"/>
      </w:tabs>
      <w:spacing w:after="0" w:line="240" w:lineRule="auto"/>
    </w:pPr>
  </w:style>
  <w:style w:type="character" w:customStyle="1" w:styleId="HeaderChar">
    <w:name w:val="Header Char"/>
    <w:basedOn w:val="DefaultParagraphFont"/>
    <w:link w:val="Header"/>
    <w:uiPriority w:val="99"/>
    <w:rsid w:val="001A7494"/>
  </w:style>
  <w:style w:type="paragraph" w:styleId="Footer">
    <w:name w:val="footer"/>
    <w:basedOn w:val="Normal"/>
    <w:link w:val="FooterChar"/>
    <w:uiPriority w:val="99"/>
    <w:unhideWhenUsed/>
    <w:rsid w:val="001A7494"/>
    <w:pPr>
      <w:tabs>
        <w:tab w:val="center" w:pos="4513"/>
        <w:tab w:val="right" w:pos="9026"/>
      </w:tabs>
      <w:spacing w:after="0" w:line="240" w:lineRule="auto"/>
    </w:pPr>
  </w:style>
  <w:style w:type="character" w:customStyle="1" w:styleId="FooterChar">
    <w:name w:val="Footer Char"/>
    <w:basedOn w:val="DefaultParagraphFont"/>
    <w:link w:val="Footer"/>
    <w:uiPriority w:val="99"/>
    <w:rsid w:val="001A7494"/>
  </w:style>
  <w:style w:type="paragraph" w:styleId="ListParagraph">
    <w:name w:val="List Paragraph"/>
    <w:basedOn w:val="Normal"/>
    <w:uiPriority w:val="34"/>
    <w:qFormat/>
    <w:rsid w:val="001A7494"/>
    <w:pPr>
      <w:ind w:left="720"/>
      <w:contextualSpacing/>
    </w:pPr>
  </w:style>
  <w:style w:type="table" w:styleId="PlainTable2">
    <w:name w:val="Plain Table 2"/>
    <w:basedOn w:val="TableNormal"/>
    <w:uiPriority w:val="42"/>
    <w:rsid w:val="004E6F86"/>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X9NeDGsgR6P9GV72yJyJZfoIKEw==">CgMxLjAaJQoBMBIgCh4IB0IaCg9UaW1lcyBOZXcgUm9tYW4SB0d1bmdzdWgaJQoBMRIgCh4IB0IaCg9UaW1lcyBOZXcgUm9tYW4SB0d1bmdzdWgaJQoBMhIgCh4IB0IaCg9UaW1lcyBOZXcgUm9tYW4SB0d1bmdzdWgaJAoBMxIfCh0IB0IZCg9UaW1lcyBOZXcgUm9tYW4SBkNhdWRleBokCgE0Eh8KHQgHQhkKD1RpbWVzIE5ldyBSb21hbhIGQ2F1ZGV4MghoLmdqZGd4czIJaC4zMGowemxsMgloLjFmb2I5dGUyDmgueTM3YWQ2aXBoaXVhMg5oLnQ5aTd0NHJtZjhzeDgAciExZDRXMUlIdzRaTG1MWTFTaXRKdTBzSnUwenVSMG9aNm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B14B9183-2A86-4B8C-8514-154488B3BE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6719</TotalTime>
  <Pages>21</Pages>
  <Words>18521</Words>
  <Characters>105574</Characters>
  <Application>Microsoft Office Word</Application>
  <DocSecurity>0</DocSecurity>
  <Lines>879</Lines>
  <Paragraphs>247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123848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Zoofishan Kazi</dc:creator>
  <cp:lastModifiedBy>Editor-1183</cp:lastModifiedBy>
  <cp:revision>39</cp:revision>
  <cp:lastPrinted>2026-05-13T15:06:00Z</cp:lastPrinted>
  <dcterms:created xsi:type="dcterms:W3CDTF">2026-04-29T22:04:00Z</dcterms:created>
  <dcterms:modified xsi:type="dcterms:W3CDTF">2026-05-23T12:10:00Z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zotero-version="9.0.3"&gt;&lt;session id="kIqjIhN0"/&gt;&lt;style id="http://www.zotero.org/styles/apa" locale="en-US" hasBibliography="1" bibliographyStyleHasBeenSet="1"/&gt;&lt;prefs&gt;&lt;pref name="fieldType" value="Field"/&gt;&lt;/prefs&gt;&lt;/data&gt;</vt:lpwstr>
  </property>
</Properties>
</file>