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C0381" w14:textId="1D75262C"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Data-driven risk modeling for infrastructure project delivery to mitigate schedule and cost overruns</w:t>
      </w:r>
    </w:p>
    <w:p w14:paraId="475CA941" w14:textId="77777777" w:rsidR="00D874E4" w:rsidRDefault="00D874E4">
      <w:pPr>
        <w:jc w:val="both"/>
        <w:rPr>
          <w:rFonts w:ascii="Times New Roman" w:eastAsia="Times New Roman" w:hAnsi="Times New Roman" w:cs="Times New Roman"/>
          <w:b/>
          <w:bCs/>
          <w:color w:val="000000"/>
          <w:sz w:val="22"/>
          <w:szCs w:val="22"/>
        </w:rPr>
      </w:pPr>
    </w:p>
    <w:p w14:paraId="6BC8125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Abstract</w:t>
      </w:r>
    </w:p>
    <w:p w14:paraId="7574A26A" w14:textId="349AB3FD"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 xml:space="preserve">Despite the development of digital systems and project controls, infrastructure projects are still prone to uncontrolled risks, delays in schedules, and higher costs. This scoping review explores how data-driven risk </w:t>
      </w:r>
      <w:r w:rsidR="00304171">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can be used to make predictions, quantify, and manage schedule and cost risks in infrastructure delivery environments. Scopus, Web of Science Core Collection, and Engineering Village were used to find studies published between 2015 and 2025 using a PCC-framed question and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-managed process. A </w:t>
      </w:r>
      <w:proofErr w:type="spellStart"/>
      <w:r w:rsidR="00304171">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was then used to screen and chart them. A total of 19 empirical studies were </w:t>
      </w:r>
      <w:proofErr w:type="spellStart"/>
      <w:r w:rsidR="00304171">
        <w:rPr>
          <w:rFonts w:ascii="Times New Roman" w:eastAsia="Times New Roman" w:hAnsi="Times New Roman" w:cs="Times New Roman"/>
          <w:color w:val="000000"/>
          <w:sz w:val="22"/>
          <w:szCs w:val="22"/>
        </w:rPr>
        <w:t>synthesised</w:t>
      </w:r>
      <w:proofErr w:type="spellEnd"/>
      <w:r>
        <w:rPr>
          <w:rFonts w:ascii="Times New Roman" w:eastAsia="Times New Roman" w:hAnsi="Times New Roman" w:cs="Times New Roman"/>
          <w:color w:val="000000"/>
          <w:sz w:val="22"/>
          <w:szCs w:val="22"/>
        </w:rPr>
        <w:t xml:space="preserve">, all of which were highways, roads, railways, metro systems, marine works, irrigation, educational infrastructure, utilities, and portfolios of public infrastructure, in developed and developing contexts. The approaches reviewed involved machine learning, Bayesian networks, Monte Carlo simulation, with hidden Markov models, earned value-based forecasting, fuzzy systems, and hybrid analytics, and were tested against cost overrun, delay, contingency, and risk outcomes. </w:t>
      </w:r>
      <w:r w:rsidR="00304171" w:rsidRPr="00304171">
        <w:rPr>
          <w:rFonts w:ascii="Times New Roman" w:eastAsia="Times New Roman" w:hAnsi="Times New Roman" w:cs="Times New Roman"/>
          <w:color w:val="000000"/>
          <w:sz w:val="22"/>
          <w:szCs w:val="22"/>
        </w:rPr>
        <w:t>Although data-driven and probabilistic models improve decision support and prediction across most applications, wider adoption is constrained by issues such as limited validation beyond single settings, weak integration with live control systems and poor data quality.</w:t>
      </w:r>
      <w:r w:rsidR="00304171">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This review provides coherent evidence, which has been fragmented around identified priorities of governance, validation, and integration.</w:t>
      </w:r>
    </w:p>
    <w:p w14:paraId="1687C4C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Keywords: infrastructure delivery; cost overrun; schedule delay; risk modeling; predictive analytics</w:t>
      </w:r>
    </w:p>
    <w:p w14:paraId="7195D5E5" w14:textId="06996912" w:rsidR="00506EDB" w:rsidRDefault="006922C6">
      <w:pPr>
        <w:numPr>
          <w:ilvl w:val="1"/>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Background</w:t>
      </w:r>
    </w:p>
    <w:p w14:paraId="1C3BA1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Infrastructure projects are still key drivers of economic productivity, geographical connectivity, the provision of public services, and long-term social well-being, but their execution continues to be compromised by ongoing cost overruns and the hindrance of schedules in both developed and developing environments. Public infrastructure in Jordan provided evidence that delays and cost escalation occurred repeatedly, rather than one time as an event, and final reports available on completed projects highlighted a combination of different underlying causes that interacted with each other in routine project implementation (Al-Hazim et al., 2017). Similar trends have been observed within the gas-oil construction industry in Iran, where poor delivery performance was marred by inaccuracy in estimating, flawed planning, alteration of design,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limitations, and volatile prices (</w:t>
      </w:r>
      <w:proofErr w:type="spellStart"/>
      <w:r>
        <w:rPr>
          <w:rFonts w:ascii="Times New Roman" w:eastAsia="Times New Roman" w:hAnsi="Times New Roman" w:cs="Times New Roman"/>
          <w:color w:val="000000"/>
          <w:sz w:val="22"/>
          <w:szCs w:val="22"/>
        </w:rPr>
        <w:t>Derakhshanel</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Avijeh</w:t>
      </w:r>
      <w:proofErr w:type="spellEnd"/>
      <w:r>
        <w:rPr>
          <w:rFonts w:ascii="Times New Roman" w:eastAsia="Times New Roman" w:hAnsi="Times New Roman" w:cs="Times New Roman"/>
          <w:color w:val="000000"/>
          <w:sz w:val="22"/>
          <w:szCs w:val="22"/>
        </w:rPr>
        <w:t xml:space="preserve"> &amp; Teixeira, 2017). Similar concerns can be observed in municipal roads in Palestine, Egyptian mega-projects, and global tunnel megaprojects, which suggests that overruns are not limited to a specific geographic, project scale, or type of asset, but are a structural phenomenon or aspect of infrastructure implementation under uncertainty (Daoud et al., 2023; De Marco &amp; </w:t>
      </w:r>
      <w:proofErr w:type="spellStart"/>
      <w:r>
        <w:rPr>
          <w:rFonts w:ascii="Times New Roman" w:eastAsia="Times New Roman" w:hAnsi="Times New Roman" w:cs="Times New Roman"/>
          <w:color w:val="000000"/>
          <w:sz w:val="22"/>
          <w:szCs w:val="22"/>
        </w:rPr>
        <w:t>Narbaev</w:t>
      </w:r>
      <w:proofErr w:type="spellEnd"/>
      <w:r>
        <w:rPr>
          <w:rFonts w:ascii="Times New Roman" w:eastAsia="Times New Roman" w:hAnsi="Times New Roman" w:cs="Times New Roman"/>
          <w:color w:val="000000"/>
          <w:sz w:val="22"/>
          <w:szCs w:val="22"/>
        </w:rPr>
        <w:t xml:space="preserve">, 2021; Issa et al., 2022). Even in places where performance seems more regulated, in English road schemes, long-term improvement has relied on intentional changes in the practice of estimation, procurement strategy, and </w:t>
      </w:r>
      <w:proofErr w:type="spellStart"/>
      <w:r>
        <w:rPr>
          <w:rFonts w:ascii="Times New Roman" w:eastAsia="Times New Roman" w:hAnsi="Times New Roman" w:cs="Times New Roman"/>
          <w:color w:val="000000"/>
          <w:sz w:val="22"/>
          <w:szCs w:val="22"/>
        </w:rPr>
        <w:t>programme</w:t>
      </w:r>
      <w:proofErr w:type="spellEnd"/>
      <w:r>
        <w:rPr>
          <w:rFonts w:ascii="Times New Roman" w:eastAsia="Times New Roman" w:hAnsi="Times New Roman" w:cs="Times New Roman"/>
          <w:color w:val="000000"/>
          <w:sz w:val="22"/>
          <w:szCs w:val="22"/>
        </w:rPr>
        <w:t xml:space="preserve"> management as well as institutional learning, as opposed to the role of routine project administration on its own (Chapman, 2024).</w:t>
      </w:r>
    </w:p>
    <w:p w14:paraId="36BC5B18" w14:textId="79471E25"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broader picture indicates that infrastructure underperformance cannot be perceived merely as the inability to execute competently at the construction level. Instead, it represents weaknesses that may arise due to project definition, front-end estimation, decision-making structures, coordination practices, and </w:t>
      </w:r>
      <w:r>
        <w:rPr>
          <w:rFonts w:ascii="Times New Roman" w:eastAsia="Times New Roman" w:hAnsi="Times New Roman" w:cs="Times New Roman"/>
          <w:color w:val="000000"/>
          <w:sz w:val="22"/>
          <w:szCs w:val="22"/>
        </w:rPr>
        <w:lastRenderedPageBreak/>
        <w:t>managing uncertainty during the project lifecycle. Studies on large-scale government projects have demonstrated that realistic costing is not an independent technical pursuit since front-end estimating is accomplished by data accessibility, organizational functioning, and management of uncertainty of budget and approval systems (Berg et al., 2025). Connected literature in Egypt on value management also shows that proactive and systematic management strategies can enhance control over project cost, which means that improvement in production is based on the project frame, probe, and governance prior to and during implementation (</w:t>
      </w: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&amp; El Ghandour, 2019). In that regard, the problem with infrastructural projects going out of control is not merely that they do so too late, but that, traditionally, management structures are so ill-configured that when issues emerge, they are identified reactively and managed using instruments and tools less responsive to the changing delivery factors. Figure </w:t>
      </w:r>
      <w:r w:rsidR="0052348B">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summarises</w:t>
      </w:r>
      <w:proofErr w:type="spellEnd"/>
      <w:r>
        <w:rPr>
          <w:rFonts w:ascii="Times New Roman" w:eastAsia="Times New Roman" w:hAnsi="Times New Roman" w:cs="Times New Roman"/>
          <w:color w:val="000000"/>
          <w:sz w:val="22"/>
          <w:szCs w:val="22"/>
        </w:rPr>
        <w:t xml:space="preserve"> the core governance and delivery conditions that consistently lead to schedule delays and cost overruns in infrastructure projects.</w:t>
      </w:r>
    </w:p>
    <w:p w14:paraId="72FF851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1D183217" wp14:editId="44466BDB">
            <wp:extent cx="4838700" cy="3225800"/>
            <wp:effectExtent l="0" t="0" r="0" b="0"/>
            <wp:docPr id="927031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38700" cy="3225800"/>
                    </a:xfrm>
                    <a:prstGeom prst="rect">
                      <a:avLst/>
                    </a:prstGeom>
                    <a:ln/>
                  </pic:spPr>
                </pic:pic>
              </a:graphicData>
            </a:graphic>
          </wp:inline>
        </w:drawing>
      </w:r>
    </w:p>
    <w:p w14:paraId="4FA1368B" w14:textId="77777777" w:rsidR="00506EDB" w:rsidRDefault="00EA765F">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1. Conceptual summary of recurrent governance and delivery factors underlying schedule delays and cost overruns in infrastructure projects.</w:t>
      </w:r>
    </w:p>
    <w:p w14:paraId="76B64A16" w14:textId="2BB4777F"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Meanwhile, infrastructure delivery is entering an acceleration stage of digital transformation. A growing number of digital tools, coordination through platforms, and data-intensive management practices are becoming more and more prominent features of project environments, but there is still an uneven integration of them in project governance (Chen et al., 2025). In construction, the value of digital transformation has been connected to the necessity to redesign stakeholder processes, enhance communication, and reinforce project-wide flows of information instead of simply introducing isolated technologies (</w:t>
      </w:r>
      <w:proofErr w:type="spellStart"/>
      <w:r>
        <w:rPr>
          <w:rFonts w:ascii="Times New Roman" w:eastAsia="Times New Roman" w:hAnsi="Times New Roman" w:cs="Times New Roman"/>
          <w:color w:val="000000"/>
          <w:sz w:val="22"/>
          <w:szCs w:val="22"/>
        </w:rPr>
        <w:t>Prebanić</w:t>
      </w:r>
      <w:proofErr w:type="spellEnd"/>
      <w:r>
        <w:rPr>
          <w:rFonts w:ascii="Times New Roman" w:eastAsia="Times New Roman" w:hAnsi="Times New Roman" w:cs="Times New Roman"/>
          <w:color w:val="000000"/>
          <w:sz w:val="22"/>
          <w:szCs w:val="22"/>
        </w:rPr>
        <w:t xml:space="preserve"> &amp; Vukomanović, 2021). Digital transformation readiness research also indicates that management, policy, technology, and infrastructure states during project phases contribute to successful transformation (Naji et al., 2024). In this framework, artificial intelligence and associated analytical systems are acquiring focus as strengthening risk management, prediction, and decision support techniques, despite their limited relevance to date due to the quality of the data, interpretability, and capacity issues (Tian et al., 2025). That said, the context behind this review is practical and strategic: infrastructure delivery is under sustained cost and time </w:t>
      </w:r>
      <w:r>
        <w:rPr>
          <w:rFonts w:ascii="Times New Roman" w:eastAsia="Times New Roman" w:hAnsi="Times New Roman" w:cs="Times New Roman"/>
          <w:color w:val="000000"/>
          <w:sz w:val="22"/>
          <w:szCs w:val="22"/>
        </w:rPr>
        <w:lastRenderedPageBreak/>
        <w:t>pressure, and a digital transformation is posing fresh opportunities of applying projects risk management that is more anticipatory and more data-driven.</w:t>
      </w:r>
      <w:r w:rsidR="00285545">
        <w:rPr>
          <w:rFonts w:ascii="Times New Roman" w:eastAsia="Times New Roman" w:hAnsi="Times New Roman" w:cs="Times New Roman"/>
          <w:color w:val="000000"/>
          <w:sz w:val="22"/>
          <w:szCs w:val="22"/>
        </w:rPr>
        <w:t xml:space="preserve"> </w:t>
      </w:r>
      <w:r w:rsidR="00285545" w:rsidRPr="00EF37D7">
        <w:rPr>
          <w:rFonts w:ascii="Times New Roman" w:eastAsia="Times New Roman" w:hAnsi="Times New Roman" w:cs="Times New Roman"/>
          <w:color w:val="EE0000"/>
          <w:sz w:val="22"/>
          <w:szCs w:val="22"/>
        </w:rPr>
        <w:t xml:space="preserve">For both conceptual and practical reasons, the review period was limited to 2015–2025. Around the mid-2010s, there was a clear shift in the literature from broad descriptive accounts of general risk factors and cost overruns towards more predictive, digitally supported and probabilistic approaches to project risk assessment. Earlier synthesis work had examined construction risk modelling more broadly and reviewed infrastructure overruns primarily from governance and explanatory perspectives, rather than from an empirical, data-driven standpoint (Love et al., 2015; </w:t>
      </w:r>
      <w:proofErr w:type="spellStart"/>
      <w:r w:rsidR="00285545" w:rsidRPr="00EF37D7">
        <w:rPr>
          <w:rFonts w:ascii="Times New Roman" w:eastAsia="Times New Roman" w:hAnsi="Times New Roman" w:cs="Times New Roman"/>
          <w:color w:val="EE0000"/>
          <w:sz w:val="22"/>
          <w:szCs w:val="22"/>
        </w:rPr>
        <w:t>Taroun</w:t>
      </w:r>
      <w:proofErr w:type="spellEnd"/>
      <w:r w:rsidR="00285545" w:rsidRPr="00EF37D7">
        <w:rPr>
          <w:rFonts w:ascii="Times New Roman" w:eastAsia="Times New Roman" w:hAnsi="Times New Roman" w:cs="Times New Roman"/>
          <w:color w:val="EE0000"/>
          <w:sz w:val="22"/>
          <w:szCs w:val="22"/>
        </w:rPr>
        <w:t>, 2014). In contrast, post-2015 literature more clearly reflects the emergence of machine learning, simulation-based forecasting, Bayesian reasoning, and operationally oriented analytics within project delivery settings. Therefore, restricting the review to this period allowed the study to focus on the contemporary phase of the evidence base most closely aligned with its aim.</w:t>
      </w:r>
    </w:p>
    <w:p w14:paraId="4A4514C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 Methodology</w:t>
      </w:r>
    </w:p>
    <w:p w14:paraId="573B91A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2.1 Review design and reporting approach</w:t>
      </w:r>
    </w:p>
    <w:p w14:paraId="23508333" w14:textId="3D527B2C"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research followed a scoping review design by mapping the scope, nature, and use of evidence on the topic of data-based risk modelling in infrastructure project delivery, with a specific focus on schedule and cost overruns. The use of a scoping approach was deemed suitable due to the fact that the field covers a wide scope and there is no one methodological approach that would adequately capture this and the associated heterogeneity of infrastructure settings, model families, outcome measures, and implementation settings. Instead of estimating a pooled effect, the aim of the review was to determine how data-driven methods have been applied, what </w:t>
      </w:r>
      <w:r w:rsidR="00285545">
        <w:rPr>
          <w:rFonts w:ascii="Times New Roman" w:eastAsia="Times New Roman" w:hAnsi="Times New Roman" w:cs="Times New Roman"/>
          <w:color w:val="000000"/>
          <w:sz w:val="22"/>
          <w:szCs w:val="22"/>
        </w:rPr>
        <w:t>risk factors they capture, how their outputs are validated, and to what extent that supports</w:t>
      </w:r>
      <w:r>
        <w:rPr>
          <w:rFonts w:ascii="Times New Roman" w:eastAsia="Times New Roman" w:hAnsi="Times New Roman" w:cs="Times New Roman"/>
          <w:color w:val="000000"/>
          <w:sz w:val="22"/>
          <w:szCs w:val="22"/>
        </w:rPr>
        <w:t xml:space="preserve"> their mitigation and decision-making in practice.</w:t>
      </w:r>
    </w:p>
    <w:p w14:paraId="62C5FD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ensure that the review questions, eligibility criteria, and evidence synthesis align with the scope of the study, the review was planned and structured with the Population-Concept-Context (PCC) tool. The process of reporting was conducted based on the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 principles to provide clear documentation of the search, screening, selection, and charting procedure.</w:t>
      </w:r>
    </w:p>
    <w:p w14:paraId="60A7F16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2.2 Review aim and questions</w:t>
      </w:r>
    </w:p>
    <w:p w14:paraId="25E5D803" w14:textId="1AB8BA8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purpose of this review was to map data-driven techniques in predicting and managing schedule and cost risks in infrastructure projects, with consideration to risk drivers, </w:t>
      </w:r>
      <w:r w:rsidR="00EF37D7">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techniques, forecasting precision, as well as decision-support integration to mitigate planning.</w:t>
      </w:r>
    </w:p>
    <w:p w14:paraId="7D9CB6C4"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review was guided by three questions:</w:t>
      </w:r>
    </w:p>
    <w:p w14:paraId="001C6894" w14:textId="019F3538"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What </w:t>
      </w:r>
      <w:r w:rsidR="00EF37D7">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approaches are used for schedule and cost risk prediction in infrastructure delivery, and what inputs are most common?</w:t>
      </w:r>
    </w:p>
    <w:p w14:paraId="5CE4B47B" w14:textId="77777777"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Which risk factors recur across project types, and how are they quantified?</w:t>
      </w:r>
    </w:p>
    <w:p w14:paraId="4CECADCC" w14:textId="0319E63E" w:rsidR="00506EDB" w:rsidRDefault="00EA765F">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How are models validated, and how are outputs </w:t>
      </w:r>
      <w:proofErr w:type="spellStart"/>
      <w:r w:rsidR="00EF37D7">
        <w:rPr>
          <w:rFonts w:ascii="Times New Roman" w:eastAsia="Times New Roman" w:hAnsi="Times New Roman" w:cs="Times New Roman"/>
          <w:color w:val="000000"/>
          <w:sz w:val="22"/>
          <w:szCs w:val="22"/>
        </w:rPr>
        <w:t>operationalised</w:t>
      </w:r>
      <w:proofErr w:type="spellEnd"/>
      <w:r>
        <w:rPr>
          <w:rFonts w:ascii="Times New Roman" w:eastAsia="Times New Roman" w:hAnsi="Times New Roman" w:cs="Times New Roman"/>
          <w:color w:val="000000"/>
          <w:sz w:val="22"/>
          <w:szCs w:val="22"/>
        </w:rPr>
        <w:t xml:space="preserve"> for early warning, contingency setting, and mitigation action?</w:t>
      </w:r>
    </w:p>
    <w:p w14:paraId="137A1DC0" w14:textId="77777777" w:rsidR="00EF37D7" w:rsidRDefault="00EF37D7">
      <w:pPr>
        <w:jc w:val="both"/>
        <w:rPr>
          <w:rFonts w:ascii="Times New Roman" w:eastAsia="Times New Roman" w:hAnsi="Times New Roman" w:cs="Times New Roman"/>
          <w:b/>
          <w:bCs/>
          <w:color w:val="000000"/>
          <w:sz w:val="22"/>
          <w:szCs w:val="22"/>
        </w:rPr>
      </w:pPr>
    </w:p>
    <w:p w14:paraId="374C3266" w14:textId="77777777" w:rsidR="00EF37D7" w:rsidRDefault="00EF37D7">
      <w:pPr>
        <w:jc w:val="both"/>
        <w:rPr>
          <w:rFonts w:ascii="Times New Roman" w:eastAsia="Times New Roman" w:hAnsi="Times New Roman" w:cs="Times New Roman"/>
          <w:b/>
          <w:bCs/>
          <w:color w:val="000000"/>
          <w:sz w:val="22"/>
          <w:szCs w:val="22"/>
        </w:rPr>
      </w:pPr>
    </w:p>
    <w:p w14:paraId="2ED44E8A" w14:textId="4ED40838"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2.3 Eligibility criteria</w:t>
      </w:r>
    </w:p>
    <w:p w14:paraId="21D5DF6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PCC framework was used to develop the eligibility criteria, ensuring consistency between the study aim and the included evidence.</w:t>
      </w:r>
    </w:p>
    <w:p w14:paraId="24E808A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Population:</w:t>
      </w:r>
      <w:r>
        <w:rPr>
          <w:rFonts w:ascii="Times New Roman" w:eastAsia="Times New Roman" w:hAnsi="Times New Roman" w:cs="Times New Roman"/>
          <w:color w:val="000000"/>
          <w:sz w:val="22"/>
          <w:szCs w:val="22"/>
        </w:rPr>
        <w:t xml:space="preserve"> Studies were eligible if they focused on infrastructure projects, infrastructure-related delivery systems, or portfolios of infrastructure. These projects included roads, irrigation systems, highways, railways, public buildings, tunnels, marine works, metro systems, utilities, educational infrastructure and other public works or heavy civil engineering projects.</w:t>
      </w:r>
    </w:p>
    <w:p w14:paraId="74A1864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Concept:</w:t>
      </w:r>
      <w:r>
        <w:rPr>
          <w:rFonts w:ascii="Times New Roman" w:eastAsia="Times New Roman" w:hAnsi="Times New Roman" w:cs="Times New Roman"/>
          <w:color w:val="000000"/>
          <w:sz w:val="22"/>
          <w:szCs w:val="22"/>
        </w:rPr>
        <w:t xml:space="preserve"> The review included studies that applied data-driven, predictive, probabilistic or quantitative modelling approaches to assess delivery risk. Eligible methods included ensemble learning, machine learning, hidden Markov models, Monte Carlo simulation, Bayesian networks, earned value-based forecasting, fuzzy systems, and other hybrid or analytical methods used to predict, estimate, quantify, or monitor schedule and cost risk.</w:t>
      </w:r>
    </w:p>
    <w:p w14:paraId="73AA0D5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Context:</w:t>
      </w:r>
      <w:r>
        <w:rPr>
          <w:rFonts w:ascii="Times New Roman" w:eastAsia="Times New Roman" w:hAnsi="Times New Roman" w:cs="Times New Roman"/>
          <w:color w:val="000000"/>
          <w:sz w:val="22"/>
          <w:szCs w:val="22"/>
        </w:rPr>
        <w:t xml:space="preserve"> Studies were included if they addressed infrastructure project delivery in any country or income setting, and at any relevant stage of the project lifecycle, including procurement, monitoring, planning, construction, bidding, control, or close-out.</w:t>
      </w:r>
    </w:p>
    <w:p w14:paraId="5DCDB211" w14:textId="6F50B384"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 addition, only peer-reviewed journal articles published in English between 2015 and 2025 were considered. </w:t>
      </w:r>
      <w:r w:rsidR="00EF37D7" w:rsidRPr="00EF37D7">
        <w:rPr>
          <w:rFonts w:ascii="Times New Roman" w:eastAsia="Times New Roman" w:hAnsi="Times New Roman" w:cs="Times New Roman"/>
          <w:color w:val="EE0000"/>
          <w:sz w:val="22"/>
          <w:szCs w:val="22"/>
        </w:rPr>
        <w:t xml:space="preserve">The 2015 cut-off was chosen to capture the period when the literature shifted towards more predictive, digitally and probabilistically enabled risk modelling approaches, as opposed to the predominantly descriptive and factor identification studies that </w:t>
      </w:r>
      <w:proofErr w:type="spellStart"/>
      <w:r w:rsidR="00EF37D7" w:rsidRPr="00EF37D7">
        <w:rPr>
          <w:rFonts w:ascii="Times New Roman" w:eastAsia="Times New Roman" w:hAnsi="Times New Roman" w:cs="Times New Roman"/>
          <w:color w:val="EE0000"/>
          <w:sz w:val="22"/>
          <w:szCs w:val="22"/>
        </w:rPr>
        <w:t>characterised</w:t>
      </w:r>
      <w:proofErr w:type="spellEnd"/>
      <w:r w:rsidR="00EF37D7" w:rsidRPr="00EF37D7">
        <w:rPr>
          <w:rFonts w:ascii="Times New Roman" w:eastAsia="Times New Roman" w:hAnsi="Times New Roman" w:cs="Times New Roman"/>
          <w:color w:val="EE0000"/>
          <w:sz w:val="22"/>
          <w:szCs w:val="22"/>
        </w:rPr>
        <w:t xml:space="preserve"> much of the earlier literature.</w:t>
      </w:r>
    </w:p>
    <w:p w14:paraId="758A8754" w14:textId="2B699C14" w:rsidR="002B653A" w:rsidRPr="00EF5C6A" w:rsidRDefault="002B653A">
      <w:pPr>
        <w:jc w:val="both"/>
        <w:rPr>
          <w:rFonts w:ascii="Times New Roman" w:eastAsia="Times New Roman" w:hAnsi="Times New Roman" w:cs="Times New Roman"/>
          <w:b/>
          <w:bCs/>
          <w:color w:val="000000"/>
          <w:sz w:val="22"/>
          <w:szCs w:val="22"/>
        </w:rPr>
      </w:pPr>
      <w:r w:rsidRPr="00EF5C6A">
        <w:rPr>
          <w:rFonts w:ascii="Times New Roman" w:eastAsia="Times New Roman" w:hAnsi="Times New Roman" w:cs="Times New Roman"/>
          <w:b/>
          <w:bCs/>
          <w:color w:val="000000"/>
          <w:sz w:val="22"/>
          <w:szCs w:val="22"/>
        </w:rPr>
        <w:t>Table 1.</w:t>
      </w:r>
      <w:r w:rsidR="00111BFC">
        <w:rPr>
          <w:rFonts w:ascii="Times New Roman" w:eastAsia="Times New Roman" w:hAnsi="Times New Roman" w:cs="Times New Roman"/>
          <w:b/>
          <w:bCs/>
          <w:color w:val="000000"/>
          <w:sz w:val="22"/>
          <w:szCs w:val="22"/>
        </w:rPr>
        <w:t xml:space="preserve"> </w:t>
      </w:r>
      <w:r w:rsidR="00111BFC">
        <w:rPr>
          <w:rFonts w:ascii="Times New Roman" w:eastAsia="Times New Roman" w:hAnsi="Times New Roman" w:cs="Times New Roman"/>
          <w:b/>
          <w:bCs/>
          <w:sz w:val="22"/>
          <w:szCs w:val="22"/>
        </w:rPr>
        <w:t>Inclusion and Exclusion Criteria for different Items</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506EDB" w14:paraId="5438ABC0" w14:textId="77777777">
        <w:trPr>
          <w:jc w:val="center"/>
        </w:trPr>
        <w:tc>
          <w:tcPr>
            <w:tcW w:w="1620" w:type="dxa"/>
          </w:tcPr>
          <w:p w14:paraId="373527B1"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Item</w:t>
            </w:r>
          </w:p>
        </w:tc>
        <w:tc>
          <w:tcPr>
            <w:tcW w:w="5268" w:type="dxa"/>
          </w:tcPr>
          <w:p w14:paraId="0D409243"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Inclusion Criteria</w:t>
            </w:r>
          </w:p>
        </w:tc>
        <w:tc>
          <w:tcPr>
            <w:tcW w:w="3462" w:type="dxa"/>
          </w:tcPr>
          <w:p w14:paraId="0137C978"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Exclusion Criteria</w:t>
            </w:r>
          </w:p>
        </w:tc>
      </w:tr>
      <w:tr w:rsidR="00506EDB" w14:paraId="76AA76B4" w14:textId="77777777">
        <w:trPr>
          <w:jc w:val="center"/>
        </w:trPr>
        <w:tc>
          <w:tcPr>
            <w:tcW w:w="1620" w:type="dxa"/>
          </w:tcPr>
          <w:p w14:paraId="1D21D69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Population</w:t>
            </w:r>
          </w:p>
        </w:tc>
        <w:tc>
          <w:tcPr>
            <w:tcW w:w="5268" w:type="dxa"/>
          </w:tcPr>
          <w:p w14:paraId="36315A9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Infrastructure projects, infrastructure portfolios, or infrastructure-related delivery systems, including roads, highways, railways, metro systems, marine works, utilities, irrigation systems, public buildings, educational infrastructure, and other public works or heavy civil projects</w:t>
            </w:r>
          </w:p>
        </w:tc>
        <w:tc>
          <w:tcPr>
            <w:tcW w:w="3462" w:type="dxa"/>
          </w:tcPr>
          <w:p w14:paraId="1E6DD5A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Non-infrastructure sectors; studies with no project-delivery relevance</w:t>
            </w:r>
          </w:p>
        </w:tc>
      </w:tr>
      <w:tr w:rsidR="00506EDB" w14:paraId="050467F9" w14:textId="77777777">
        <w:trPr>
          <w:jc w:val="center"/>
        </w:trPr>
        <w:tc>
          <w:tcPr>
            <w:tcW w:w="1620" w:type="dxa"/>
          </w:tcPr>
          <w:p w14:paraId="0498CE15"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Concept (Intervention)</w:t>
            </w:r>
          </w:p>
        </w:tc>
        <w:tc>
          <w:tcPr>
            <w:tcW w:w="5268" w:type="dxa"/>
          </w:tcPr>
          <w:p w14:paraId="7526A45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Data-driven or quantitative risk-modeling approaches used to predict, estimate, quantify, monitor, or manage schedule and/or cost risks, including machine learning, Bayesian networks, Monte Carlo simulation, hidden Markov models, earned value-based forecasting, fuzzy systems, and hybrid analytics</w:t>
            </w:r>
          </w:p>
        </w:tc>
        <w:tc>
          <w:tcPr>
            <w:tcW w:w="3462" w:type="dxa"/>
          </w:tcPr>
          <w:p w14:paraId="667A831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with no modeling component; purely descriptive overrun studies; correlational studies without predictive or decision-support value; finance-only or investment models with no delivery-risk linkage</w:t>
            </w:r>
          </w:p>
        </w:tc>
      </w:tr>
      <w:tr w:rsidR="00506EDB" w14:paraId="597CAA61" w14:textId="77777777">
        <w:trPr>
          <w:jc w:val="center"/>
        </w:trPr>
        <w:tc>
          <w:tcPr>
            <w:tcW w:w="1620" w:type="dxa"/>
          </w:tcPr>
          <w:p w14:paraId="151561A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w:t>
            </w:r>
          </w:p>
        </w:tc>
        <w:tc>
          <w:tcPr>
            <w:tcW w:w="5268" w:type="dxa"/>
          </w:tcPr>
          <w:p w14:paraId="7050CF6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Any country, any income setting, and any relevant project phase, including planning, bidding, procurement, construction, monitoring, control, and close-out</w:t>
            </w:r>
          </w:p>
        </w:tc>
        <w:tc>
          <w:tcPr>
            <w:tcW w:w="3462" w:type="dxa"/>
          </w:tcPr>
          <w:p w14:paraId="6730E2E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Contexts unrelated to infrastructure project delivery</w:t>
            </w:r>
          </w:p>
        </w:tc>
      </w:tr>
      <w:tr w:rsidR="00506EDB" w14:paraId="0A9778A0" w14:textId="77777777">
        <w:trPr>
          <w:jc w:val="center"/>
        </w:trPr>
        <w:tc>
          <w:tcPr>
            <w:tcW w:w="1620" w:type="dxa"/>
          </w:tcPr>
          <w:p w14:paraId="1EA1208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Study Designs</w:t>
            </w:r>
          </w:p>
        </w:tc>
        <w:tc>
          <w:tcPr>
            <w:tcW w:w="5268" w:type="dxa"/>
          </w:tcPr>
          <w:p w14:paraId="2668E9D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Empirical peer-reviewed studies, including case studies, retrospective project database analyses, model-development studies with validation, mixed-method empirical studies, and implementation-oriented analytics studies</w:t>
            </w:r>
          </w:p>
        </w:tc>
        <w:tc>
          <w:tcPr>
            <w:tcW w:w="3462" w:type="dxa"/>
          </w:tcPr>
          <w:p w14:paraId="21DF324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Narrative reviews, systematic reviews, scoping reviews, editorials, letters, protocols without results, conference abstracts without full text</w:t>
            </w:r>
          </w:p>
        </w:tc>
      </w:tr>
      <w:tr w:rsidR="00506EDB" w14:paraId="72E00F9B" w14:textId="77777777">
        <w:trPr>
          <w:jc w:val="center"/>
        </w:trPr>
        <w:tc>
          <w:tcPr>
            <w:tcW w:w="1620" w:type="dxa"/>
          </w:tcPr>
          <w:p w14:paraId="6FFB4E8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Outcomes</w:t>
            </w:r>
          </w:p>
        </w:tc>
        <w:tc>
          <w:tcPr>
            <w:tcW w:w="5268" w:type="dxa"/>
          </w:tcPr>
          <w:p w14:paraId="1700073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Schedule delay, time overrun, cost overrun, cost variance, duration variance, liquidated damages, contingency estimates, risk probability, early warning outputs, mitigation prioritization, or comparable delivery-risk measures</w:t>
            </w:r>
          </w:p>
        </w:tc>
        <w:tc>
          <w:tcPr>
            <w:tcW w:w="3462" w:type="dxa"/>
          </w:tcPr>
          <w:p w14:paraId="77221DD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 unrelated to infrastructure delivery performance; theoretical models with no usable project outcome</w:t>
            </w:r>
          </w:p>
        </w:tc>
      </w:tr>
      <w:tr w:rsidR="00506EDB" w14:paraId="25FD77B0" w14:textId="77777777">
        <w:trPr>
          <w:jc w:val="center"/>
        </w:trPr>
        <w:tc>
          <w:tcPr>
            <w:tcW w:w="1620" w:type="dxa"/>
          </w:tcPr>
          <w:p w14:paraId="18C39E3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Publication Type</w:t>
            </w:r>
          </w:p>
        </w:tc>
        <w:tc>
          <w:tcPr>
            <w:tcW w:w="5268" w:type="dxa"/>
          </w:tcPr>
          <w:p w14:paraId="2399E6B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Peer-reviewed journal articles</w:t>
            </w:r>
          </w:p>
        </w:tc>
        <w:tc>
          <w:tcPr>
            <w:tcW w:w="3462" w:type="dxa"/>
          </w:tcPr>
          <w:p w14:paraId="6234FDE7"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Preprints, theses, reports, guidelines, books/chapters, and grey literature</w:t>
            </w:r>
          </w:p>
        </w:tc>
      </w:tr>
      <w:tr w:rsidR="00506EDB" w14:paraId="2B9FC9FF" w14:textId="77777777">
        <w:trPr>
          <w:jc w:val="center"/>
        </w:trPr>
        <w:tc>
          <w:tcPr>
            <w:tcW w:w="1620" w:type="dxa"/>
          </w:tcPr>
          <w:p w14:paraId="07E55C9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Language</w:t>
            </w:r>
          </w:p>
        </w:tc>
        <w:tc>
          <w:tcPr>
            <w:tcW w:w="5268" w:type="dxa"/>
          </w:tcPr>
          <w:p w14:paraId="051D51BE"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p>
        </w:tc>
        <w:tc>
          <w:tcPr>
            <w:tcW w:w="3462" w:type="dxa"/>
          </w:tcPr>
          <w:p w14:paraId="50D58D6F"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Non-English</w:t>
            </w:r>
          </w:p>
        </w:tc>
      </w:tr>
      <w:tr w:rsidR="00506EDB" w14:paraId="5C84FC91" w14:textId="77777777">
        <w:trPr>
          <w:jc w:val="center"/>
        </w:trPr>
        <w:tc>
          <w:tcPr>
            <w:tcW w:w="1620" w:type="dxa"/>
          </w:tcPr>
          <w:p w14:paraId="2C14F9F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Timeframe</w:t>
            </w:r>
          </w:p>
        </w:tc>
        <w:tc>
          <w:tcPr>
            <w:tcW w:w="5268" w:type="dxa"/>
          </w:tcPr>
          <w:p w14:paraId="3BC6CA75" w14:textId="5FEB99D8"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w:t>
            </w:r>
            <w:r w:rsidR="00ED7DA1">
              <w:rPr>
                <w:rFonts w:ascii="Times New Roman" w:eastAsia="Times New Roman" w:hAnsi="Times New Roman" w:cs="Times New Roman"/>
                <w:sz w:val="22"/>
                <w:szCs w:val="22"/>
              </w:rPr>
              <w:t xml:space="preserve">5 </w:t>
            </w:r>
            <w:r>
              <w:rPr>
                <w:rFonts w:ascii="Times New Roman" w:eastAsia="Times New Roman" w:hAnsi="Times New Roman" w:cs="Times New Roman"/>
                <w:sz w:val="22"/>
                <w:szCs w:val="22"/>
              </w:rPr>
              <w:t>-</w:t>
            </w:r>
            <w:r w:rsidR="00ED7DA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2025</w:t>
            </w:r>
          </w:p>
        </w:tc>
        <w:tc>
          <w:tcPr>
            <w:tcW w:w="3462" w:type="dxa"/>
          </w:tcPr>
          <w:p w14:paraId="5451ADC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published outside this timeframe</w:t>
            </w:r>
          </w:p>
        </w:tc>
      </w:tr>
    </w:tbl>
    <w:p w14:paraId="74DA2CE0" w14:textId="77777777" w:rsidR="00506EDB" w:rsidRDefault="00506EDB">
      <w:pPr>
        <w:jc w:val="both"/>
        <w:rPr>
          <w:rFonts w:ascii="Times New Roman" w:eastAsia="Times New Roman" w:hAnsi="Times New Roman" w:cs="Times New Roman"/>
          <w:color w:val="000000"/>
          <w:sz w:val="22"/>
          <w:szCs w:val="22"/>
        </w:rPr>
      </w:pPr>
    </w:p>
    <w:p w14:paraId="70F88449"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2.4 Information Sources</w:t>
      </w:r>
    </w:p>
    <w:p w14:paraId="08F7C88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retrieval process was restricted to peer-reviewed literature indexed in three selected databases, which cover project management, civil engineering, construction analytics, infrastructure delivery research, and transport systems in a broad and complementary way. The following bibliographic databases were consulted: Scopus, Engineering Village (</w:t>
      </w:r>
      <w:proofErr w:type="spellStart"/>
      <w:r>
        <w:rPr>
          <w:rFonts w:ascii="Times New Roman" w:eastAsia="Times New Roman" w:hAnsi="Times New Roman" w:cs="Times New Roman"/>
          <w:color w:val="000000"/>
          <w:sz w:val="22"/>
          <w:szCs w:val="22"/>
        </w:rPr>
        <w:t>Compendex</w:t>
      </w:r>
      <w:proofErr w:type="spellEnd"/>
      <w:r>
        <w:rPr>
          <w:rFonts w:ascii="Times New Roman" w:eastAsia="Times New Roman" w:hAnsi="Times New Roman" w:cs="Times New Roman"/>
          <w:color w:val="000000"/>
          <w:sz w:val="22"/>
          <w:szCs w:val="22"/>
        </w:rPr>
        <w:t>), and the Web of Science Core Collection. No grey literature sources were consulted. All retrieved records were exported to reference-management software for de-duplication prior to screening. Screening was conducted first at the title/abstract level and then at the full-text level, with eligibility decisions guided by the PCC criteria.</w:t>
      </w:r>
    </w:p>
    <w:p w14:paraId="24D58F95"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2.5 Search Strategy</w:t>
      </w:r>
    </w:p>
    <w:p w14:paraId="2FF2101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Database-specific search strategies were developed by combining free-text terms and database-appropriate indexing conventions for the PCC elements. Priority was given to sensitivity to ensure that studies employing different risk terminology, infrastructure labels, and modelling approaches were captured. The search was then restricted to English-language, peer-reviewed journal articles published between 2015 and 2025 using filters. The search strings were tested and refined to improve retrieval across model families and infrastructure contexts. Table 2 presents the search strings used in each database.</w:t>
      </w:r>
    </w:p>
    <w:p w14:paraId="7460D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Table 2. Search String</w:t>
      </w:r>
    </w:p>
    <w:tbl>
      <w:tblPr>
        <w:tblStyle w:val="a0"/>
        <w:tblW w:w="11160" w:type="dxa"/>
        <w:tblInd w:w="-90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06EDB" w14:paraId="37E7B725" w14:textId="77777777">
        <w:trPr>
          <w:trHeight w:val="404"/>
        </w:trPr>
        <w:tc>
          <w:tcPr>
            <w:tcW w:w="2340" w:type="dxa"/>
            <w:tcBorders>
              <w:top w:val="single" w:sz="4" w:space="0" w:color="000000"/>
              <w:bottom w:val="single" w:sz="4" w:space="0" w:color="000000"/>
            </w:tcBorders>
          </w:tcPr>
          <w:p w14:paraId="426C763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Database</w:t>
            </w:r>
          </w:p>
        </w:tc>
        <w:tc>
          <w:tcPr>
            <w:tcW w:w="8820" w:type="dxa"/>
            <w:tcBorders>
              <w:top w:val="single" w:sz="4" w:space="0" w:color="000000"/>
              <w:bottom w:val="single" w:sz="4" w:space="0" w:color="000000"/>
            </w:tcBorders>
          </w:tcPr>
          <w:p w14:paraId="55FF22D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Search string</w:t>
            </w:r>
          </w:p>
        </w:tc>
      </w:tr>
      <w:tr w:rsidR="00506EDB" w14:paraId="3C326E0D" w14:textId="77777777">
        <w:tc>
          <w:tcPr>
            <w:tcW w:w="2340" w:type="dxa"/>
            <w:tcBorders>
              <w:top w:val="single" w:sz="4" w:space="0" w:color="000000"/>
            </w:tcBorders>
          </w:tcPr>
          <w:p w14:paraId="4F69CCA6"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Scopus</w:t>
            </w:r>
          </w:p>
        </w:tc>
        <w:tc>
          <w:tcPr>
            <w:tcW w:w="8820" w:type="dxa"/>
            <w:tcBorders>
              <w:top w:val="single" w:sz="4" w:space="0" w:color="000000"/>
            </w:tcBorders>
          </w:tcPr>
          <w:p w14:paraId="28DCDDB7"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TITLE-ABS-KEY ( ("infrastructure project*" OR "construction project*" OR highway OR road OR railway OR rail OR metro OR tunnel OR bridge OR utility OR "public works" OR "public building*" OR "heavy civil" OR marine OR irrigation) AND ("cost overrun*" OR "schedule overrun*" OR "time overrun*" OR delay* OR "cost variance" OR "duration variance" OR contingency OR "liquidated damages" OR "risk assessment" OR "risk prediction" OR forecasting) AND ("machine learning" OR "artificial intelligence" OR "Bayesian network*" OR "Monte Carlo" OR "earned value" OR "hidden Markov" OR fuzzy OR predictive OR probabilistic OR analytics) ) AND PUBYEAR &gt; 2014 AND PUBYEAR &lt; 2026 AND ( LIMIT-TO ( DOCTYPE, "</w:t>
            </w:r>
            <w:proofErr w:type="spellStart"/>
            <w:r>
              <w:rPr>
                <w:rFonts w:ascii="Times New Roman" w:eastAsia="Times New Roman" w:hAnsi="Times New Roman" w:cs="Times New Roman"/>
                <w:sz w:val="22"/>
                <w:szCs w:val="22"/>
              </w:rPr>
              <w:t>ar</w:t>
            </w:r>
            <w:proofErr w:type="spellEnd"/>
            <w:r>
              <w:rPr>
                <w:rFonts w:ascii="Times New Roman" w:eastAsia="Times New Roman" w:hAnsi="Times New Roman" w:cs="Times New Roman"/>
                <w:sz w:val="22"/>
                <w:szCs w:val="22"/>
              </w:rPr>
              <w:t>" ) ) AND ( LIMIT-TO ( LANGUAGE, "English" ) )</w:t>
            </w:r>
          </w:p>
        </w:tc>
      </w:tr>
      <w:tr w:rsidR="00506EDB" w14:paraId="435CFE40" w14:textId="77777777">
        <w:tc>
          <w:tcPr>
            <w:tcW w:w="2340" w:type="dxa"/>
          </w:tcPr>
          <w:p w14:paraId="75B4C7E1"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Web of Science Core Collection</w:t>
            </w:r>
          </w:p>
        </w:tc>
        <w:tc>
          <w:tcPr>
            <w:tcW w:w="8820" w:type="dxa"/>
          </w:tcPr>
          <w:p w14:paraId="3364F6C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TS=((“infrastructure project*” OR “construction project*” OR highway OR road OR railway OR rail OR metro OR tunnel OR bridge OR utility OR “public works” OR “public building*” OR “heavy civil” OR marine OR irrigation) AND (“cost overrun*” OR “schedule overrun*” OR “time overrun*” OR delay* OR “cost variance” OR “duration variance” OR contingency OR “liquidated damages” OR “risk assessment” OR “risk prediction” OR forecasting) AND </w:t>
            </w:r>
            <w:r>
              <w:rPr>
                <w:rFonts w:ascii="Times New Roman" w:eastAsia="Times New Roman" w:hAnsi="Times New Roman" w:cs="Times New Roman"/>
                <w:sz w:val="22"/>
                <w:szCs w:val="22"/>
              </w:rPr>
              <w:lastRenderedPageBreak/>
              <w:t>(“machine learning” OR “artificial intelligence” OR “Bayesian network*” OR “Monte Carlo” OR “earned value” OR “hidden Markov” OR fuzzy OR predictive OR probabilistic OR analytics)) Refined by: Document Types=(Article) and Languages=(English)</w:t>
            </w:r>
          </w:p>
        </w:tc>
      </w:tr>
      <w:tr w:rsidR="00506EDB" w14:paraId="7A1EB2E0" w14:textId="77777777">
        <w:tc>
          <w:tcPr>
            <w:tcW w:w="2340" w:type="dxa"/>
          </w:tcPr>
          <w:p w14:paraId="6192A6A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lastRenderedPageBreak/>
              <w:t>Engineering Village (</w:t>
            </w:r>
            <w:proofErr w:type="spellStart"/>
            <w:r>
              <w:rPr>
                <w:rFonts w:ascii="Times New Roman" w:eastAsia="Times New Roman" w:hAnsi="Times New Roman" w:cs="Times New Roman"/>
                <w:b/>
                <w:bCs/>
                <w:sz w:val="22"/>
                <w:szCs w:val="22"/>
              </w:rPr>
              <w:t>Compendex</w:t>
            </w:r>
            <w:proofErr w:type="spellEnd"/>
            <w:r>
              <w:rPr>
                <w:rFonts w:ascii="Times New Roman" w:eastAsia="Times New Roman" w:hAnsi="Times New Roman" w:cs="Times New Roman"/>
                <w:b/>
                <w:bCs/>
                <w:sz w:val="22"/>
                <w:szCs w:val="22"/>
              </w:rPr>
              <w:t>)</w:t>
            </w:r>
          </w:p>
        </w:tc>
        <w:tc>
          <w:tcPr>
            <w:tcW w:w="8820" w:type="dxa"/>
          </w:tcPr>
          <w:p w14:paraId="52113B59"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(("infrastructure project*" OR "construction project*" OR highway OR road OR railway OR metro OR tunnel OR bridge OR utility OR "public works" OR marine OR irrigation OR "public building*" OR "heavy civil") WN KY) AND (("cost overrun*" OR "schedule overrun*" OR "time overrun*" OR delay* OR contingency OR "cost variance" OR "duration variance" OR "liquidated damages" OR "risk assessment" OR "risk prediction" OR forecasting) WN KY) AND (("machine learning" OR "artificial intelligence" OR "Bayesian network*" OR "Monte Carlo" OR "earned value" OR "hidden Markov" OR fuzzy OR predictive OR probabilistic OR analytics) WN KY) Limits: Journal articles; English; 2015–2025</w:t>
            </w:r>
          </w:p>
        </w:tc>
      </w:tr>
    </w:tbl>
    <w:p w14:paraId="06C12AA6" w14:textId="77777777" w:rsidR="00506EDB" w:rsidRDefault="00506EDB">
      <w:pPr>
        <w:rPr>
          <w:rFonts w:ascii="Times New Roman" w:eastAsia="Times New Roman" w:hAnsi="Times New Roman" w:cs="Times New Roman"/>
          <w:color w:val="000000"/>
          <w:sz w:val="22"/>
          <w:szCs w:val="22"/>
        </w:rPr>
      </w:pPr>
    </w:p>
    <w:p w14:paraId="3B8DCBBE" w14:textId="77777777" w:rsidR="00506EDB" w:rsidRDefault="00506EDB">
      <w:pPr>
        <w:jc w:val="both"/>
        <w:rPr>
          <w:rFonts w:ascii="Times New Roman" w:eastAsia="Times New Roman" w:hAnsi="Times New Roman" w:cs="Times New Roman"/>
          <w:b/>
          <w:bCs/>
          <w:color w:val="000000"/>
          <w:sz w:val="22"/>
          <w:szCs w:val="22"/>
        </w:rPr>
      </w:pPr>
    </w:p>
    <w:p w14:paraId="49CDFCA8" w14:textId="77777777" w:rsidR="00506EDB" w:rsidRDefault="00506EDB">
      <w:pPr>
        <w:jc w:val="both"/>
        <w:rPr>
          <w:rFonts w:ascii="Times New Roman" w:eastAsia="Times New Roman" w:hAnsi="Times New Roman" w:cs="Times New Roman"/>
          <w:b/>
          <w:bCs/>
          <w:color w:val="000000"/>
          <w:sz w:val="22"/>
          <w:szCs w:val="22"/>
        </w:rPr>
      </w:pPr>
    </w:p>
    <w:p w14:paraId="7E62A18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2.6 Data Extraction and Synthesis</w:t>
      </w:r>
    </w:p>
    <w:p w14:paraId="28DCAD5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Data charting was conducted using a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which was initially piloted and subsequently refined to ensure consistency with the aims and questions of the review. Extracted variables included: infrastructure setting; bibliographic details; validation or performance assessment; country or regional context; data source or sample; study characteristics; modelling approach; main risk inputs or predictors; target outcomes; and decision-support relevance.</w:t>
      </w:r>
    </w:p>
    <w:p w14:paraId="34F293A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synthesis was descriptive and mapping-oriented rather than effect-estimating. A numerical summary of the evidence base was prepared, including counts by publication year, study setting, infrastructure type, modelling family, and outcome domain. In addition, a narrative thematic synthesis was undertaken to </w:t>
      </w:r>
      <w:proofErr w:type="spellStart"/>
      <w:r>
        <w:rPr>
          <w:rFonts w:ascii="Times New Roman" w:eastAsia="Times New Roman" w:hAnsi="Times New Roman" w:cs="Times New Roman"/>
          <w:color w:val="000000"/>
          <w:sz w:val="22"/>
          <w:szCs w:val="22"/>
        </w:rPr>
        <w:t>organise</w:t>
      </w:r>
      <w:proofErr w:type="spellEnd"/>
      <w:r>
        <w:rPr>
          <w:rFonts w:ascii="Times New Roman" w:eastAsia="Times New Roman" w:hAnsi="Times New Roman" w:cs="Times New Roman"/>
          <w:color w:val="000000"/>
          <w:sz w:val="22"/>
          <w:szCs w:val="22"/>
        </w:rPr>
        <w:t xml:space="preserve"> the findings into three higher-order themes: (1) modelling architectures used for schedule and cost risk prediction; (2) recurrent risk drivers and quantification approaches; and (3) validation practices and </w:t>
      </w:r>
      <w:proofErr w:type="spellStart"/>
      <w:r>
        <w:rPr>
          <w:rFonts w:ascii="Times New Roman" w:eastAsia="Times New Roman" w:hAnsi="Times New Roman" w:cs="Times New Roman"/>
          <w:color w:val="000000"/>
          <w:sz w:val="22"/>
          <w:szCs w:val="22"/>
        </w:rPr>
        <w:t>operationalisation</w:t>
      </w:r>
      <w:proofErr w:type="spellEnd"/>
      <w:r>
        <w:rPr>
          <w:rFonts w:ascii="Times New Roman" w:eastAsia="Times New Roman" w:hAnsi="Times New Roman" w:cs="Times New Roman"/>
          <w:color w:val="000000"/>
          <w:sz w:val="22"/>
          <w:szCs w:val="22"/>
        </w:rPr>
        <w:t xml:space="preserve"> for decision support and mitigation planning. This approach enabled the review to move beyond simple cataloguing and identify the current application of data-driven risk modelling across infrastructure delivery systems.</w:t>
      </w:r>
    </w:p>
    <w:p w14:paraId="591879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3.0 Result</w:t>
      </w:r>
    </w:p>
    <w:p w14:paraId="1AF7A7D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3.1 Screening and selection.</w:t>
      </w:r>
    </w:p>
    <w:p w14:paraId="29EF8B86" w14:textId="76A7FB5C"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database search yielded 452 records. After removing 241 duplicates, the remaining 211 records were screened against the eligibility criteria based on their titles and abstracts. Of these, 125 were excluded at this stage. The remaining 86 articles were assessed in full for eligibility. A further 67 papers were excluded at this stage (ineligible publication type = 32; not infrastructure- or project-delivery relevant = 13; no modelling or decision-support component = 14; outcomes unrelated to infrastructure delivery performance or no usable project outcome = 8). Finally, 19 studies that met all the </w:t>
      </w:r>
      <w:r w:rsidR="0052348B">
        <w:rPr>
          <w:rFonts w:ascii="Times New Roman" w:eastAsia="Times New Roman" w:hAnsi="Times New Roman" w:cs="Times New Roman"/>
          <w:color w:val="000000"/>
          <w:sz w:val="22"/>
          <w:szCs w:val="22"/>
        </w:rPr>
        <w:t xml:space="preserve">eligibility </w:t>
      </w:r>
      <w:r>
        <w:rPr>
          <w:rFonts w:ascii="Times New Roman" w:eastAsia="Times New Roman" w:hAnsi="Times New Roman" w:cs="Times New Roman"/>
          <w:color w:val="000000"/>
          <w:sz w:val="22"/>
          <w:szCs w:val="22"/>
        </w:rPr>
        <w:t xml:space="preserve">criteria were included in the review (see Fig. </w:t>
      </w:r>
      <w:r w:rsidR="001830DE">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rPr>
        <w:t>).</w:t>
      </w:r>
    </w:p>
    <w:p w14:paraId="65C85D0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noProof/>
          <w:sz w:val="22"/>
          <w:szCs w:val="22"/>
        </w:rPr>
        <w:lastRenderedPageBreak/>
        <w:drawing>
          <wp:inline distT="0" distB="0" distL="0" distR="0" wp14:anchorId="5CA47FAE" wp14:editId="2DC32F39">
            <wp:extent cx="5943600" cy="3547745"/>
            <wp:effectExtent l="0" t="0" r="0" b="0"/>
            <wp:docPr id="927031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47745"/>
                    </a:xfrm>
                    <a:prstGeom prst="rect">
                      <a:avLst/>
                    </a:prstGeom>
                    <a:ln/>
                  </pic:spPr>
                </pic:pic>
              </a:graphicData>
            </a:graphic>
          </wp:inline>
        </w:drawing>
      </w:r>
    </w:p>
    <w:p w14:paraId="52A5F5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2. PRISMA flow diagram of study identification, screening, eligibility assessment, and inclusion for the scoping review</w:t>
      </w:r>
    </w:p>
    <w:p w14:paraId="43C5BB5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3.2 Summary of study characteristics</w:t>
      </w:r>
    </w:p>
    <w:p w14:paraId="13B15A9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19 included studies (Table 3), which were predominantly empirical applications of data-driven risk modelling in infrastructure and closely related project-delivery settings, were published between 2019 and 2025. The studies covered various areas, including highways, railways, roads, educational infrastructure, marine works, urban rail PPPs, irrigation canal rehabilitation, broader public-sector infrastructure portfolios, public buildings, and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-optic networks. While most studies used historical project datasets, some combined archival data with surveys, expert interviews, scenario-based inputs, or questionnaires. Sample sizes included case studies (single projects), as well as multi-project databases (122, 138, 175, 234, and 1,277 cases). The approaches to methodology used in the studies were varied and encompassed machine learning, Monte Carlo simulation, Bayesian networks, ensemble learning, probabilistic conceptual models, hidden Markov models, improved earned value management, and real-time data integration frameworks. The resulting outcomes were primarily concerned with cost and time overruns, repair costs, contingencies, liquidated damages, probability of a delay, and the identification of risks. The majority of the studies were applied and decision-oriented as opposed to being purely explanatory in control and design.</w:t>
      </w:r>
    </w:p>
    <w:p w14:paraId="15ED261B" w14:textId="3E556268"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w:t>
      </w:r>
      <w:r w:rsidR="0052348B">
        <w:rPr>
          <w:rFonts w:ascii="Times New Roman" w:eastAsia="Times New Roman" w:hAnsi="Times New Roman" w:cs="Times New Roman"/>
          <w:b/>
          <w:bCs/>
          <w:color w:val="000000"/>
          <w:sz w:val="22"/>
          <w:szCs w:val="22"/>
        </w:rPr>
        <w:t>3</w:t>
      </w:r>
      <w:r>
        <w:rPr>
          <w:rFonts w:ascii="Times New Roman" w:eastAsia="Times New Roman" w:hAnsi="Times New Roman" w:cs="Times New Roman"/>
          <w:b/>
          <w:bCs/>
          <w:color w:val="000000"/>
          <w:sz w:val="22"/>
          <w:szCs w:val="22"/>
        </w:rPr>
        <w:t xml:space="preserve"> Thematic Analysis</w:t>
      </w:r>
    </w:p>
    <w:p w14:paraId="45DB85B7"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1: Risk modeling is moving from static estimates to adaptive, uncertainty-aware forecasting</w:t>
      </w:r>
    </w:p>
    <w:p w14:paraId="11A5A842" w14:textId="77777777" w:rsidR="00506EDB" w:rsidRDefault="00EA765F">
      <w:pPr>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 xml:space="preserve">A clear pattern emerging from the included studies is the shift away from single-value forecasting towards models that can handle uncertainty, changing project conditions, and interaction effects. Early-stage </w:t>
      </w:r>
      <w:r>
        <w:rPr>
          <w:rFonts w:ascii="Times New Roman" w:eastAsia="Times New Roman" w:hAnsi="Times New Roman" w:cs="Times New Roman"/>
          <w:color w:val="000000"/>
          <w:sz w:val="22"/>
          <w:szCs w:val="22"/>
        </w:rPr>
        <w:lastRenderedPageBreak/>
        <w:t xml:space="preserve">regression and classification models were used to assess cost or delay exposure prior to </w:t>
      </w:r>
      <w:proofErr w:type="spellStart"/>
      <w:r>
        <w:rPr>
          <w:rFonts w:ascii="Times New Roman" w:eastAsia="Times New Roman" w:hAnsi="Times New Roman" w:cs="Times New Roman"/>
          <w:color w:val="000000"/>
          <w:sz w:val="22"/>
          <w:szCs w:val="22"/>
        </w:rPr>
        <w:t>finalising</w:t>
      </w:r>
      <w:proofErr w:type="spellEnd"/>
      <w:r>
        <w:rPr>
          <w:rFonts w:ascii="Times New Roman" w:eastAsia="Times New Roman" w:hAnsi="Times New Roman" w:cs="Times New Roman"/>
          <w:color w:val="000000"/>
          <w:sz w:val="22"/>
          <w:szCs w:val="22"/>
        </w:rPr>
        <w:t xml:space="preserve"> contracts, as demonstrated by Moon et al. (2020) for public projects and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for highway liquidated damages. Subsequent studies took this further by embedding uncertainty directly into the modelling architecture. For example, Deng and Jian (2022) combined improved earned value management with CPM, Monte Carlo simulation, and PERT in order to replace deterministic completion estimates with activity-level priorities and probabilistic ranges. </w:t>
      </w:r>
      <w:proofErr w:type="spellStart"/>
      <w:r>
        <w:rPr>
          <w:rFonts w:ascii="Times New Roman" w:eastAsia="Times New Roman" w:hAnsi="Times New Roman" w:cs="Times New Roman"/>
          <w:color w:val="000000"/>
          <w:sz w:val="22"/>
          <w:szCs w:val="22"/>
        </w:rPr>
        <w:t>Ichsan</w:t>
      </w:r>
      <w:proofErr w:type="spellEnd"/>
      <w:r>
        <w:rPr>
          <w:rFonts w:ascii="Times New Roman" w:eastAsia="Times New Roman" w:hAnsi="Times New Roman" w:cs="Times New Roman"/>
          <w:color w:val="000000"/>
          <w:sz w:val="22"/>
          <w:szCs w:val="22"/>
        </w:rPr>
        <w:t xml:space="preserve"> et al. (2025) used a Monte Carlo simulation on a railway station project to quantify schedule exposure before and after mitigation rather than merely reporting delay afterwards. The most mature models aimed to explain variance, not just predict it. </w:t>
      </w:r>
      <w:proofErr w:type="spellStart"/>
      <w:r>
        <w:rPr>
          <w:rFonts w:ascii="Times New Roman" w:eastAsia="Times New Roman" w:hAnsi="Times New Roman" w:cs="Times New Roman"/>
          <w:color w:val="000000"/>
          <w:sz w:val="22"/>
          <w:szCs w:val="22"/>
        </w:rPr>
        <w:t>Elmousalami</w:t>
      </w:r>
      <w:proofErr w:type="spellEnd"/>
      <w:r>
        <w:rPr>
          <w:rFonts w:ascii="Times New Roman" w:eastAsia="Times New Roman" w:hAnsi="Times New Roman" w:cs="Times New Roman"/>
          <w:color w:val="000000"/>
          <w:sz w:val="22"/>
          <w:szCs w:val="22"/>
        </w:rPr>
        <w:t xml:space="preserve"> et al. (2024) predicted project duration, cost, and their variances at the same time. Sing et al. (2025) improved cost-contingency estimation by adding interval prediction and a complexity index to ANN models. The study by Leu et al. (2023) presented a real-time hidden Markov model to investigate how dynamic monitoring can be more effective than a historically-oriented average-only approach; the cost data of the projects themselves were used. A similar technique was utilized by Liben et al. (2025), implementing both deterministic and probabilistic scheduling logic to deliver public buildings.</w:t>
      </w:r>
    </w:p>
    <w:p w14:paraId="1B34993C"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2: The most persistent risk drivers are governance, procurement, and scope instability, rather than purely technical uncertainty</w:t>
      </w:r>
    </w:p>
    <w:p w14:paraId="4BE7618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various sectors, complexities of engineering projects were not the sole factors that led to overruns in costs and time. Rather, they swarmed around procurement structure, approval systems, managerial friction, and scope changes. According to a study by Gomez-Cabrera et al. (2025), some factors were highly related to the differences in the educational infrastructure projects in Colombia. These factors were project type, bidders, contract value, growth of award, process type, and time suspended. Liben et al. (2025) identified government shutdowns, regulatory approvals, project location, risk management strategy, and site conditions as key influences on duration reliability in Addis Ababa. In South Asia, Andrić et al. (2024) found that cost overruns were linked to time overruns, project size, and implementation period, and that random forest provided the best fit among the functions tested.</w:t>
      </w:r>
    </w:p>
    <w:p w14:paraId="06960E0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Research has shown that the risk of problems during delivery gets worse when there are changes to the contract or the design while the project is being carried out. Leśniak and Janowiec (2019) identified additional works in railway investments as a significant cause of time and cost escalation, demonstrating that Bayesian networks can trace the propagation of such changes through the project.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found that change-order variables and adjustment days were deeply entangled with uncertainty in highway liquidated damages prediction. </w:t>
      </w:r>
      <w:proofErr w:type="spellStart"/>
      <w:r>
        <w:rPr>
          <w:rFonts w:ascii="Times New Roman" w:eastAsia="Times New Roman" w:hAnsi="Times New Roman" w:cs="Times New Roman"/>
          <w:color w:val="000000"/>
          <w:sz w:val="22"/>
          <w:szCs w:val="22"/>
        </w:rPr>
        <w:t>Senić</w:t>
      </w:r>
      <w:proofErr w:type="spellEnd"/>
      <w:r>
        <w:rPr>
          <w:rFonts w:ascii="Times New Roman" w:eastAsia="Times New Roman" w:hAnsi="Times New Roman" w:cs="Times New Roman"/>
          <w:color w:val="000000"/>
          <w:sz w:val="22"/>
          <w:szCs w:val="22"/>
        </w:rPr>
        <w:t xml:space="preserve"> et al. (2024) quantified the risks associated with increases in contract price and time extension, grouping them into clusters for funding and prevention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Nassar and </w:t>
      </w:r>
      <w:proofErr w:type="spellStart"/>
      <w:r>
        <w:rPr>
          <w:rFonts w:ascii="Times New Roman" w:eastAsia="Times New Roman" w:hAnsi="Times New Roman" w:cs="Times New Roman"/>
          <w:color w:val="000000"/>
          <w:sz w:val="22"/>
          <w:szCs w:val="22"/>
        </w:rPr>
        <w:t>Elbisy</w:t>
      </w:r>
      <w:proofErr w:type="spellEnd"/>
      <w:r>
        <w:rPr>
          <w:rFonts w:ascii="Times New Roman" w:eastAsia="Times New Roman" w:hAnsi="Times New Roman" w:cs="Times New Roman"/>
          <w:color w:val="000000"/>
          <w:sz w:val="22"/>
          <w:szCs w:val="22"/>
        </w:rPr>
        <w:t xml:space="preserve"> (2024) built on this research by identifying 43 delay factors across nine categories in marine projects. Meanwhile, Nyarko-Boateng et al. (2020) demonstrated that infrastructure repair costs in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 xml:space="preserve"> networks are heavily dependent on the cause and location of failure, as well as the mean time to repair.</w:t>
      </w:r>
    </w:p>
    <w:p w14:paraId="750E8DC0" w14:textId="77777777" w:rsidR="0052348B" w:rsidRPr="0052348B" w:rsidRDefault="0052348B">
      <w:pPr>
        <w:jc w:val="both"/>
        <w:rPr>
          <w:rFonts w:ascii="Times New Roman" w:eastAsia="Times New Roman" w:hAnsi="Times New Roman" w:cs="Times New Roman"/>
          <w:color w:val="000000"/>
          <w:sz w:val="22"/>
          <w:szCs w:val="22"/>
          <w:lang w:val="en-US"/>
        </w:rPr>
        <w:sectPr w:rsidR="0052348B" w:rsidRPr="005234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4A60FD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Table 3: Included Studies Data Extraction Table</w:t>
      </w:r>
    </w:p>
    <w:tbl>
      <w:tblPr>
        <w:tblStyle w:val="a1"/>
        <w:tblW w:w="15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0"/>
        <w:gridCol w:w="1559"/>
        <w:gridCol w:w="1984"/>
        <w:gridCol w:w="2127"/>
        <w:gridCol w:w="1842"/>
        <w:gridCol w:w="2268"/>
        <w:gridCol w:w="2410"/>
      </w:tblGrid>
      <w:tr w:rsidR="00506EDB" w14:paraId="1BDC2D9F" w14:textId="77777777">
        <w:trPr>
          <w:trHeight w:val="351"/>
          <w:jc w:val="center"/>
        </w:trPr>
        <w:tc>
          <w:tcPr>
            <w:tcW w:w="1560" w:type="dxa"/>
          </w:tcPr>
          <w:p w14:paraId="05E26B3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Study</w:t>
            </w:r>
          </w:p>
        </w:tc>
        <w:tc>
          <w:tcPr>
            <w:tcW w:w="1560" w:type="dxa"/>
          </w:tcPr>
          <w:p w14:paraId="5A38A4BA"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Infrastructure/setting</w:t>
            </w:r>
          </w:p>
        </w:tc>
        <w:tc>
          <w:tcPr>
            <w:tcW w:w="1559" w:type="dxa"/>
          </w:tcPr>
          <w:p w14:paraId="4A145BCC"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Data/sample</w:t>
            </w:r>
          </w:p>
        </w:tc>
        <w:tc>
          <w:tcPr>
            <w:tcW w:w="1984" w:type="dxa"/>
          </w:tcPr>
          <w:p w14:paraId="0A126DF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Modeling approach</w:t>
            </w:r>
          </w:p>
        </w:tc>
        <w:tc>
          <w:tcPr>
            <w:tcW w:w="2127" w:type="dxa"/>
          </w:tcPr>
          <w:p w14:paraId="0012445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Main inputs/risk drivers</w:t>
            </w:r>
          </w:p>
        </w:tc>
        <w:tc>
          <w:tcPr>
            <w:tcW w:w="1842" w:type="dxa"/>
          </w:tcPr>
          <w:p w14:paraId="57D3ED95"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Outcome/target</w:t>
            </w:r>
          </w:p>
        </w:tc>
        <w:tc>
          <w:tcPr>
            <w:tcW w:w="2268" w:type="dxa"/>
          </w:tcPr>
          <w:p w14:paraId="784E474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Validation/performance</w:t>
            </w:r>
          </w:p>
        </w:tc>
        <w:tc>
          <w:tcPr>
            <w:tcW w:w="2410" w:type="dxa"/>
          </w:tcPr>
          <w:p w14:paraId="6E10F6E2"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Decision-support relevance</w:t>
            </w:r>
          </w:p>
        </w:tc>
      </w:tr>
      <w:tr w:rsidR="00506EDB" w14:paraId="63B0BF94" w14:textId="77777777">
        <w:trPr>
          <w:jc w:val="center"/>
        </w:trPr>
        <w:tc>
          <w:tcPr>
            <w:tcW w:w="1560" w:type="dxa"/>
          </w:tcPr>
          <w:p w14:paraId="68CEE76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Alshboul</w:t>
            </w:r>
            <w:proofErr w:type="spellEnd"/>
            <w:r>
              <w:rPr>
                <w:rFonts w:ascii="Times New Roman" w:eastAsia="Times New Roman" w:hAnsi="Times New Roman" w:cs="Times New Roman"/>
                <w:b/>
                <w:bCs/>
                <w:color w:val="000000"/>
                <w:sz w:val="22"/>
                <w:szCs w:val="22"/>
              </w:rPr>
              <w:t xml:space="preserve"> et al. (2022)</w:t>
            </w:r>
          </w:p>
        </w:tc>
        <w:tc>
          <w:tcPr>
            <w:tcW w:w="1560" w:type="dxa"/>
          </w:tcPr>
          <w:p w14:paraId="649149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Highway construction; United States</w:t>
            </w:r>
          </w:p>
        </w:tc>
        <w:tc>
          <w:tcPr>
            <w:tcW w:w="1559" w:type="dxa"/>
          </w:tcPr>
          <w:p w14:paraId="34BA5B4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years of real project data</w:t>
            </w:r>
          </w:p>
        </w:tc>
        <w:tc>
          <w:tcPr>
            <w:tcW w:w="1984" w:type="dxa"/>
          </w:tcPr>
          <w:p w14:paraId="6C4C584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Modified regression models hybridized with ML; second-order prediction model</w:t>
            </w:r>
          </w:p>
        </w:tc>
        <w:tc>
          <w:tcPr>
            <w:tcW w:w="2127" w:type="dxa"/>
          </w:tcPr>
          <w:p w14:paraId="47E2AEE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Total bid amount, funding indicator, change-order variables, and total adjustment days</w:t>
            </w:r>
          </w:p>
        </w:tc>
        <w:tc>
          <w:tcPr>
            <w:tcW w:w="1842" w:type="dxa"/>
          </w:tcPr>
          <w:p w14:paraId="5E5D70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Liquidated damages as a delivery-risk proxy</w:t>
            </w:r>
          </w:p>
        </w:tc>
        <w:tc>
          <w:tcPr>
            <w:tcW w:w="2268" w:type="dxa"/>
          </w:tcPr>
          <w:p w14:paraId="41B46CE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Seven regression-based models showed high accuracy; the second-order model improved estimation</w:t>
            </w:r>
          </w:p>
        </w:tc>
        <w:tc>
          <w:tcPr>
            <w:tcW w:w="2410" w:type="dxa"/>
          </w:tcPr>
          <w:p w14:paraId="41C2A7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earlier LD forecasting and contractor/owner decision-making</w:t>
            </w:r>
          </w:p>
        </w:tc>
      </w:tr>
      <w:tr w:rsidR="00506EDB" w14:paraId="26057F58" w14:textId="77777777">
        <w:trPr>
          <w:jc w:val="center"/>
        </w:trPr>
        <w:tc>
          <w:tcPr>
            <w:tcW w:w="1560" w:type="dxa"/>
          </w:tcPr>
          <w:p w14:paraId="0EB28F7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Andrić et al. (2024)</w:t>
            </w:r>
          </w:p>
        </w:tc>
        <w:tc>
          <w:tcPr>
            <w:tcW w:w="1560" w:type="dxa"/>
          </w:tcPr>
          <w:p w14:paraId="7336CE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South Asia</w:t>
            </w:r>
          </w:p>
        </w:tc>
        <w:tc>
          <w:tcPr>
            <w:tcW w:w="1559" w:type="dxa"/>
          </w:tcPr>
          <w:p w14:paraId="189731C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138 projects</w:t>
            </w:r>
          </w:p>
        </w:tc>
        <w:tc>
          <w:tcPr>
            <w:tcW w:w="1984" w:type="dxa"/>
          </w:tcPr>
          <w:p w14:paraId="7B5D8C7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Probabilistic/statistical analysis, linear/quadratic regression, random forest, content analysis</w:t>
            </w:r>
          </w:p>
        </w:tc>
        <w:tc>
          <w:tcPr>
            <w:tcW w:w="2127" w:type="dxa"/>
          </w:tcPr>
          <w:p w14:paraId="4EE27D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size, implementation period, time overruns, and coded root causes</w:t>
            </w:r>
          </w:p>
        </w:tc>
        <w:tc>
          <w:tcPr>
            <w:tcW w:w="1842" w:type="dxa"/>
          </w:tcPr>
          <w:p w14:paraId="61FB7A5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and cause structure</w:t>
            </w:r>
          </w:p>
        </w:tc>
        <w:tc>
          <w:tcPr>
            <w:tcW w:w="2268" w:type="dxa"/>
          </w:tcPr>
          <w:p w14:paraId="0791FD9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cost overrun 3.3%; random forest best fit among tested functions</w:t>
            </w:r>
          </w:p>
        </w:tc>
        <w:tc>
          <w:tcPr>
            <w:tcW w:w="2410" w:type="dxa"/>
          </w:tcPr>
          <w:p w14:paraId="06B9EEA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front-end cost estimation and risk-aware decision-making</w:t>
            </w:r>
          </w:p>
        </w:tc>
      </w:tr>
      <w:tr w:rsidR="00506EDB" w14:paraId="02C7BE0E" w14:textId="77777777">
        <w:trPr>
          <w:jc w:val="center"/>
        </w:trPr>
        <w:tc>
          <w:tcPr>
            <w:tcW w:w="1560" w:type="dxa"/>
          </w:tcPr>
          <w:p w14:paraId="3BF3246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Ariza Flores &amp; Zavala </w:t>
            </w:r>
            <w:proofErr w:type="spellStart"/>
            <w:r>
              <w:rPr>
                <w:rFonts w:ascii="Times New Roman" w:eastAsia="Times New Roman" w:hAnsi="Times New Roman" w:cs="Times New Roman"/>
                <w:b/>
                <w:bCs/>
                <w:color w:val="000000"/>
                <w:sz w:val="22"/>
                <w:szCs w:val="22"/>
              </w:rPr>
              <w:t>Ascaño</w:t>
            </w:r>
            <w:proofErr w:type="spellEnd"/>
            <w:r>
              <w:rPr>
                <w:rFonts w:ascii="Times New Roman" w:eastAsia="Times New Roman" w:hAnsi="Times New Roman" w:cs="Times New Roman"/>
                <w:b/>
                <w:bCs/>
                <w:color w:val="000000"/>
                <w:sz w:val="22"/>
                <w:szCs w:val="22"/>
              </w:rPr>
              <w:t xml:space="preserve"> (2025)</w:t>
            </w:r>
          </w:p>
        </w:tc>
        <w:tc>
          <w:tcPr>
            <w:tcW w:w="1560" w:type="dxa"/>
          </w:tcPr>
          <w:p w14:paraId="79C8E1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Peru</w:t>
            </w:r>
          </w:p>
        </w:tc>
        <w:tc>
          <w:tcPr>
            <w:tcW w:w="1559" w:type="dxa"/>
          </w:tcPr>
          <w:p w14:paraId="2A7A3AA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road projects</w:t>
            </w:r>
          </w:p>
        </w:tc>
        <w:tc>
          <w:tcPr>
            <w:tcW w:w="1984" w:type="dxa"/>
          </w:tcPr>
          <w:p w14:paraId="2E28BD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Quantitative risk analysis framework combining Monte Carlo simulation and schedule risk analysis</w:t>
            </w:r>
          </w:p>
        </w:tc>
        <w:tc>
          <w:tcPr>
            <w:tcW w:w="2127" w:type="dxa"/>
          </w:tcPr>
          <w:p w14:paraId="6BE7D33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PERT, triangular, and normal distributions; cost and time uncertainty</w:t>
            </w:r>
          </w:p>
        </w:tc>
        <w:tc>
          <w:tcPr>
            <w:tcW w:w="1842" w:type="dxa"/>
          </w:tcPr>
          <w:p w14:paraId="379F990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and schedule contingency</w:t>
            </w:r>
          </w:p>
        </w:tc>
        <w:tc>
          <w:tcPr>
            <w:tcW w:w="2268" w:type="dxa"/>
          </w:tcPr>
          <w:p w14:paraId="00BDD77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contingencies 1.34%–11%; schedule contingencies 28.71%–91.67%</w:t>
            </w:r>
          </w:p>
        </w:tc>
        <w:tc>
          <w:tcPr>
            <w:tcW w:w="2410" w:type="dxa"/>
          </w:tcPr>
          <w:p w14:paraId="0DFECB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Practical low-capacity framework for contingency planning and schedule realism</w:t>
            </w:r>
          </w:p>
        </w:tc>
      </w:tr>
      <w:tr w:rsidR="00506EDB" w14:paraId="6EEEA5A3" w14:textId="77777777">
        <w:trPr>
          <w:jc w:val="center"/>
        </w:trPr>
        <w:tc>
          <w:tcPr>
            <w:tcW w:w="1560" w:type="dxa"/>
          </w:tcPr>
          <w:p w14:paraId="43D2C45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Boamah et al. (2025)</w:t>
            </w:r>
          </w:p>
        </w:tc>
        <w:tc>
          <w:tcPr>
            <w:tcW w:w="1560" w:type="dxa"/>
          </w:tcPr>
          <w:p w14:paraId="07C3F8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0420E4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risk data</w:t>
            </w:r>
          </w:p>
        </w:tc>
        <w:tc>
          <w:tcPr>
            <w:tcW w:w="1984" w:type="dxa"/>
          </w:tcPr>
          <w:p w14:paraId="7CEF82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AI-driven risk identification using semantic matching of historical risks</w:t>
            </w:r>
          </w:p>
        </w:tc>
        <w:tc>
          <w:tcPr>
            <w:tcW w:w="2127" w:type="dxa"/>
          </w:tcPr>
          <w:p w14:paraId="0B68815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frequency, risk consequence, and semantic similarity to prior cases</w:t>
            </w:r>
          </w:p>
        </w:tc>
        <w:tc>
          <w:tcPr>
            <w:tcW w:w="1842" w:type="dxa"/>
          </w:tcPr>
          <w:p w14:paraId="433623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Early risk identification</w:t>
            </w:r>
          </w:p>
        </w:tc>
        <w:tc>
          <w:tcPr>
            <w:tcW w:w="2268" w:type="dxa"/>
          </w:tcPr>
          <w:p w14:paraId="0F0435A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reliability over expert-only identification</w:t>
            </w:r>
          </w:p>
        </w:tc>
        <w:tc>
          <w:tcPr>
            <w:tcW w:w="2410" w:type="dxa"/>
          </w:tcPr>
          <w:p w14:paraId="2F8A7D1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proactive mitigation planning at early stages</w:t>
            </w:r>
          </w:p>
        </w:tc>
      </w:tr>
      <w:tr w:rsidR="00506EDB" w14:paraId="15B70C59" w14:textId="77777777">
        <w:trPr>
          <w:jc w:val="center"/>
        </w:trPr>
        <w:tc>
          <w:tcPr>
            <w:tcW w:w="1560" w:type="dxa"/>
          </w:tcPr>
          <w:p w14:paraId="545551D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Deng &amp; Jian (2022)</w:t>
            </w:r>
          </w:p>
        </w:tc>
        <w:tc>
          <w:tcPr>
            <w:tcW w:w="1560" w:type="dxa"/>
          </w:tcPr>
          <w:p w14:paraId="6831165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project case</w:t>
            </w:r>
          </w:p>
        </w:tc>
        <w:tc>
          <w:tcPr>
            <w:tcW w:w="1559" w:type="dxa"/>
          </w:tcPr>
          <w:p w14:paraId="3E33102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Experimental project application</w:t>
            </w:r>
          </w:p>
        </w:tc>
        <w:tc>
          <w:tcPr>
            <w:tcW w:w="1984" w:type="dxa"/>
          </w:tcPr>
          <w:p w14:paraId="47FE738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EVM + CPM + PERT + Monte Carlo simulation</w:t>
            </w:r>
          </w:p>
        </w:tc>
        <w:tc>
          <w:tcPr>
            <w:tcW w:w="2127" w:type="dxa"/>
          </w:tcPr>
          <w:p w14:paraId="07A26B4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Activity logic, resource categories, activity performance</w:t>
            </w:r>
          </w:p>
        </w:tc>
        <w:tc>
          <w:tcPr>
            <w:tcW w:w="1842" w:type="dxa"/>
          </w:tcPr>
          <w:p w14:paraId="7CF9E12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Duration and cost at completion under uncertainty</w:t>
            </w:r>
          </w:p>
        </w:tc>
        <w:tc>
          <w:tcPr>
            <w:tcW w:w="2268" w:type="dxa"/>
          </w:tcPr>
          <w:p w14:paraId="193F59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Detected serious delay/cost overrun and prioritized critical activities</w:t>
            </w:r>
          </w:p>
        </w:tc>
        <w:tc>
          <w:tcPr>
            <w:tcW w:w="2410" w:type="dxa"/>
          </w:tcPr>
          <w:p w14:paraId="2E5F36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corrective action prioritization during execution</w:t>
            </w:r>
          </w:p>
        </w:tc>
      </w:tr>
      <w:tr w:rsidR="00506EDB" w14:paraId="1A11B29F" w14:textId="77777777">
        <w:trPr>
          <w:jc w:val="center"/>
        </w:trPr>
        <w:tc>
          <w:tcPr>
            <w:tcW w:w="1560" w:type="dxa"/>
          </w:tcPr>
          <w:p w14:paraId="2A6180A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Elmousalami</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799099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Irrigation canal rehabilitation / FCIPs</w:t>
            </w:r>
          </w:p>
        </w:tc>
        <w:tc>
          <w:tcPr>
            <w:tcW w:w="1559" w:type="dxa"/>
          </w:tcPr>
          <w:p w14:paraId="3B60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1,277 historical cases</w:t>
            </w:r>
          </w:p>
        </w:tc>
        <w:tc>
          <w:tcPr>
            <w:tcW w:w="1984" w:type="dxa"/>
          </w:tcPr>
          <w:p w14:paraId="7BF319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Automated CDVP system; 48 ML models; Bayesian optimization; SHAP</w:t>
            </w:r>
          </w:p>
        </w:tc>
        <w:tc>
          <w:tcPr>
            <w:tcW w:w="2127" w:type="dxa"/>
          </w:tcPr>
          <w:p w14:paraId="381EC3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 initial parameters reduced to 5 key drivers</w:t>
            </w:r>
          </w:p>
        </w:tc>
        <w:tc>
          <w:tcPr>
            <w:tcW w:w="1842" w:type="dxa"/>
          </w:tcPr>
          <w:p w14:paraId="0F4534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duration, cost variance, duration variance</w:t>
            </w:r>
          </w:p>
        </w:tc>
        <w:tc>
          <w:tcPr>
            <w:tcW w:w="2268" w:type="dxa"/>
          </w:tcPr>
          <w:p w14:paraId="6CEFF0B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Adjusted R² &gt; 0.93; MAPE &lt; 8.97</w:t>
            </w:r>
          </w:p>
        </w:tc>
        <w:tc>
          <w:tcPr>
            <w:tcW w:w="2410" w:type="dxa"/>
          </w:tcPr>
          <w:p w14:paraId="4BF1E6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Produces proactive multi-output forecasts and interpretable drivers</w:t>
            </w:r>
          </w:p>
        </w:tc>
      </w:tr>
      <w:tr w:rsidR="00506EDB" w14:paraId="46458A5B" w14:textId="77777777">
        <w:trPr>
          <w:jc w:val="center"/>
        </w:trPr>
        <w:tc>
          <w:tcPr>
            <w:tcW w:w="1560" w:type="dxa"/>
          </w:tcPr>
          <w:p w14:paraId="33FE33B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Gómez-Cabrera et al. (2025)</w:t>
            </w:r>
          </w:p>
        </w:tc>
        <w:tc>
          <w:tcPr>
            <w:tcW w:w="1560" w:type="dxa"/>
          </w:tcPr>
          <w:p w14:paraId="3A129E9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Educational infrastructure: Colombia</w:t>
            </w:r>
          </w:p>
        </w:tc>
        <w:tc>
          <w:tcPr>
            <w:tcW w:w="1559" w:type="dxa"/>
          </w:tcPr>
          <w:p w14:paraId="7759E52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175 procurement records from the public data platform</w:t>
            </w:r>
          </w:p>
        </w:tc>
        <w:tc>
          <w:tcPr>
            <w:tcW w:w="1984" w:type="dxa"/>
          </w:tcPr>
          <w:p w14:paraId="4EB9307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Data-driven statistical analysis of deviation patterns</w:t>
            </w:r>
          </w:p>
        </w:tc>
        <w:tc>
          <w:tcPr>
            <w:tcW w:w="2127" w:type="dxa"/>
          </w:tcPr>
          <w:p w14:paraId="3185CF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type, contract value, process type, initial duration, award growth, bidders, project intensity, time suspended</w:t>
            </w:r>
          </w:p>
        </w:tc>
        <w:tc>
          <w:tcPr>
            <w:tcW w:w="1842" w:type="dxa"/>
          </w:tcPr>
          <w:p w14:paraId="757FD6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deviation and cost deviation</w:t>
            </w:r>
          </w:p>
        </w:tc>
        <w:tc>
          <w:tcPr>
            <w:tcW w:w="2268" w:type="dxa"/>
          </w:tcPr>
          <w:p w14:paraId="444B96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time deviation 77.73%; cost deviation 22.17%; significant correlation</w:t>
            </w:r>
          </w:p>
        </w:tc>
        <w:tc>
          <w:tcPr>
            <w:tcW w:w="2410" w:type="dxa"/>
          </w:tcPr>
          <w:p w14:paraId="22CDA52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Useful for portfolio-level planning and procurement reform</w:t>
            </w:r>
          </w:p>
        </w:tc>
      </w:tr>
      <w:tr w:rsidR="00506EDB" w14:paraId="76045464" w14:textId="77777777">
        <w:trPr>
          <w:jc w:val="center"/>
        </w:trPr>
        <w:tc>
          <w:tcPr>
            <w:tcW w:w="1560" w:type="dxa"/>
          </w:tcPr>
          <w:p w14:paraId="74D99FF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Ichsan</w:t>
            </w:r>
            <w:proofErr w:type="spellEnd"/>
            <w:r>
              <w:rPr>
                <w:rFonts w:ascii="Times New Roman" w:eastAsia="Times New Roman" w:hAnsi="Times New Roman" w:cs="Times New Roman"/>
                <w:b/>
                <w:bCs/>
                <w:color w:val="000000"/>
                <w:sz w:val="22"/>
                <w:szCs w:val="22"/>
              </w:rPr>
              <w:t xml:space="preserve"> et al. (2025)</w:t>
            </w:r>
          </w:p>
        </w:tc>
        <w:tc>
          <w:tcPr>
            <w:tcW w:w="1560" w:type="dxa"/>
          </w:tcPr>
          <w:p w14:paraId="5BD9ED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Jakarta Central Railway Station project; Indonesia</w:t>
            </w:r>
          </w:p>
        </w:tc>
        <w:tc>
          <w:tcPr>
            <w:tcW w:w="1559" w:type="dxa"/>
          </w:tcPr>
          <w:p w14:paraId="5275E7E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risk inputs from structured practitioner/expert interviews</w:t>
            </w:r>
          </w:p>
        </w:tc>
        <w:tc>
          <w:tcPr>
            <w:tcW w:w="1984" w:type="dxa"/>
          </w:tcPr>
          <w:p w14:paraId="104F68E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Monte Carlo simulation with PERT in @RISK</w:t>
            </w:r>
          </w:p>
        </w:tc>
        <w:tc>
          <w:tcPr>
            <w:tcW w:w="2127" w:type="dxa"/>
          </w:tcPr>
          <w:p w14:paraId="517959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Identified key risks affecting critical-path activities</w:t>
            </w:r>
          </w:p>
        </w:tc>
        <w:tc>
          <w:tcPr>
            <w:tcW w:w="1842" w:type="dxa"/>
          </w:tcPr>
          <w:p w14:paraId="3770A0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Schedule completion forecast</w:t>
            </w:r>
          </w:p>
        </w:tc>
        <w:tc>
          <w:tcPr>
            <w:tcW w:w="2268" w:type="dxa"/>
          </w:tcPr>
          <w:p w14:paraId="76CEEED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Pre-mitigation duration 130.81%–136.25%; post-mitigation approx. 95.82%–102.23%</w:t>
            </w:r>
          </w:p>
        </w:tc>
        <w:tc>
          <w:tcPr>
            <w:tcW w:w="2410" w:type="dxa"/>
          </w:tcPr>
          <w:p w14:paraId="7BAEA5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quantified schedule-risk monitoring and mitigation testing</w:t>
            </w:r>
          </w:p>
        </w:tc>
      </w:tr>
      <w:tr w:rsidR="00506EDB" w14:paraId="24478D26" w14:textId="77777777">
        <w:trPr>
          <w:jc w:val="center"/>
        </w:trPr>
        <w:tc>
          <w:tcPr>
            <w:tcW w:w="1560" w:type="dxa"/>
          </w:tcPr>
          <w:p w14:paraId="1F26697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Leśniak &amp; Janowiec (2019)</w:t>
            </w:r>
          </w:p>
        </w:tc>
        <w:tc>
          <w:tcPr>
            <w:tcW w:w="1560" w:type="dxa"/>
          </w:tcPr>
          <w:p w14:paraId="1FA85AF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Railway construction investments</w:t>
            </w:r>
          </w:p>
        </w:tc>
        <w:tc>
          <w:tcPr>
            <w:tcW w:w="1559" w:type="dxa"/>
          </w:tcPr>
          <w:p w14:paraId="18B7593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Scenario-based railway risk analysis</w:t>
            </w:r>
          </w:p>
        </w:tc>
        <w:tc>
          <w:tcPr>
            <w:tcW w:w="1984" w:type="dxa"/>
          </w:tcPr>
          <w:p w14:paraId="4CE5E9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 for additional work risk</w:t>
            </w:r>
          </w:p>
        </w:tc>
        <w:tc>
          <w:tcPr>
            <w:tcW w:w="2127" w:type="dxa"/>
          </w:tcPr>
          <w:p w14:paraId="2B4328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 changes, implementation-condition changes, additional-works drivers</w:t>
            </w:r>
          </w:p>
        </w:tc>
        <w:tc>
          <w:tcPr>
            <w:tcW w:w="1842" w:type="dxa"/>
          </w:tcPr>
          <w:p w14:paraId="4A6D2B1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of additional works and financial implications</w:t>
            </w:r>
          </w:p>
        </w:tc>
        <w:tc>
          <w:tcPr>
            <w:tcW w:w="2268" w:type="dxa"/>
          </w:tcPr>
          <w:p w14:paraId="591B2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shown through event scenarios and mitigation comparisons</w:t>
            </w:r>
          </w:p>
        </w:tc>
        <w:tc>
          <w:tcPr>
            <w:tcW w:w="2410" w:type="dxa"/>
          </w:tcPr>
          <w:p w14:paraId="01FB64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choosing mitigation paths and acceptable risk levels</w:t>
            </w:r>
          </w:p>
        </w:tc>
      </w:tr>
      <w:tr w:rsidR="00506EDB" w14:paraId="3C9FCA74" w14:textId="77777777">
        <w:trPr>
          <w:jc w:val="center"/>
        </w:trPr>
        <w:tc>
          <w:tcPr>
            <w:tcW w:w="1560" w:type="dxa"/>
          </w:tcPr>
          <w:p w14:paraId="67FEBA7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Leu et al. (2023)</w:t>
            </w:r>
          </w:p>
        </w:tc>
        <w:tc>
          <w:tcPr>
            <w:tcW w:w="1560" w:type="dxa"/>
          </w:tcPr>
          <w:p w14:paraId="3243E83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SRC building project; Taiwan</w:t>
            </w:r>
          </w:p>
        </w:tc>
        <w:tc>
          <w:tcPr>
            <w:tcW w:w="1559" w:type="dxa"/>
          </w:tcPr>
          <w:p w14:paraId="722FFA9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project-owned cost data</w:t>
            </w:r>
          </w:p>
        </w:tc>
        <w:tc>
          <w:tcPr>
            <w:tcW w:w="1984" w:type="dxa"/>
          </w:tcPr>
          <w:p w14:paraId="35AD5B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Hidden Markov model with particle filter; Poisson event assumption</w:t>
            </w:r>
          </w:p>
        </w:tc>
        <w:tc>
          <w:tcPr>
            <w:tcW w:w="2127" w:type="dxa"/>
          </w:tcPr>
          <w:p w14:paraId="56A3008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cost performance data, cost overrun events, and corrective actions</w:t>
            </w:r>
          </w:p>
        </w:tc>
        <w:tc>
          <w:tcPr>
            <w:tcW w:w="1842" w:type="dxa"/>
          </w:tcPr>
          <w:p w14:paraId="4658C8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risk</w:t>
            </w:r>
          </w:p>
        </w:tc>
        <w:tc>
          <w:tcPr>
            <w:tcW w:w="2268" w:type="dxa"/>
          </w:tcPr>
          <w:p w14:paraId="5715DD8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Posterior probabilities tracked real cost-overrun ratios closely</w:t>
            </w:r>
          </w:p>
        </w:tc>
        <w:tc>
          <w:tcPr>
            <w:tcW w:w="2410" w:type="dxa"/>
          </w:tcPr>
          <w:p w14:paraId="7CE01C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Provides early warning and targeted cost-control actions</w:t>
            </w:r>
          </w:p>
        </w:tc>
      </w:tr>
      <w:tr w:rsidR="00506EDB" w14:paraId="35926FB7" w14:textId="77777777">
        <w:trPr>
          <w:jc w:val="center"/>
        </w:trPr>
        <w:tc>
          <w:tcPr>
            <w:tcW w:w="1560" w:type="dxa"/>
          </w:tcPr>
          <w:p w14:paraId="5926878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Liben et al. (2025)</w:t>
            </w:r>
          </w:p>
        </w:tc>
        <w:tc>
          <w:tcPr>
            <w:tcW w:w="1560" w:type="dxa"/>
          </w:tcPr>
          <w:p w14:paraId="36291EA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building projects; Addis Ababa</w:t>
            </w:r>
          </w:p>
        </w:tc>
        <w:tc>
          <w:tcPr>
            <w:tcW w:w="1559" w:type="dxa"/>
          </w:tcPr>
          <w:p w14:paraId="6289CEB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 from clients, consultants, and supervisors</w:t>
            </w:r>
          </w:p>
        </w:tc>
        <w:tc>
          <w:tcPr>
            <w:tcW w:w="1984" w:type="dxa"/>
          </w:tcPr>
          <w:p w14:paraId="5BCD6CA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Integrated deterministic-probabilistic conceptual model; Monte Carlo + PERT</w:t>
            </w:r>
          </w:p>
        </w:tc>
        <w:tc>
          <w:tcPr>
            <w:tcW w:w="2127" w:type="dxa"/>
          </w:tcPr>
          <w:p w14:paraId="72CEE2E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Number of buildings, regulatory approvals, government shutdowns, location, risk management, site conditions, and historical data</w:t>
            </w:r>
          </w:p>
        </w:tc>
        <w:tc>
          <w:tcPr>
            <w:tcW w:w="1842" w:type="dxa"/>
          </w:tcPr>
          <w:p w14:paraId="05E4227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duration estimation and monitoring</w:t>
            </w:r>
          </w:p>
        </w:tc>
        <w:tc>
          <w:tcPr>
            <w:tcW w:w="2268" w:type="dxa"/>
          </w:tcPr>
          <w:p w14:paraId="1C0A37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roadmap validated with MAE, RMSE, and R²</w:t>
            </w:r>
          </w:p>
        </w:tc>
        <w:tc>
          <w:tcPr>
            <w:tcW w:w="2410" w:type="dxa"/>
          </w:tcPr>
          <w:p w14:paraId="4F02B2C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schedule realism in uncertain public-sector settings</w:t>
            </w:r>
          </w:p>
        </w:tc>
      </w:tr>
      <w:tr w:rsidR="00506EDB" w14:paraId="7C3372FE" w14:textId="77777777">
        <w:trPr>
          <w:jc w:val="center"/>
        </w:trPr>
        <w:tc>
          <w:tcPr>
            <w:tcW w:w="1560" w:type="dxa"/>
          </w:tcPr>
          <w:p w14:paraId="4DD482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Liu et al. (2021)</w:t>
            </w:r>
          </w:p>
        </w:tc>
        <w:tc>
          <w:tcPr>
            <w:tcW w:w="1560" w:type="dxa"/>
          </w:tcPr>
          <w:p w14:paraId="6C8CB8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Urban rail transit PPP; Xuzhou Metro Line 3, China</w:t>
            </w:r>
          </w:p>
        </w:tc>
        <w:tc>
          <w:tcPr>
            <w:tcW w:w="1559" w:type="dxa"/>
          </w:tcPr>
          <w:p w14:paraId="6D95D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Interviews, surveys, questionnaires, and case verification</w:t>
            </w:r>
          </w:p>
        </w:tc>
        <w:tc>
          <w:tcPr>
            <w:tcW w:w="1984" w:type="dxa"/>
          </w:tcPr>
          <w:p w14:paraId="27FCDB4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w:t>
            </w:r>
          </w:p>
        </w:tc>
        <w:tc>
          <w:tcPr>
            <w:tcW w:w="2127" w:type="dxa"/>
          </w:tcPr>
          <w:p w14:paraId="2A7594B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PPP-induced construction security risks; occurrence probability, reasoning paths, sensitivity</w:t>
            </w:r>
          </w:p>
        </w:tc>
        <w:tc>
          <w:tcPr>
            <w:tcW w:w="1842" w:type="dxa"/>
          </w:tcPr>
          <w:p w14:paraId="7BD689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Security-risk assessment during construction</w:t>
            </w:r>
          </w:p>
        </w:tc>
        <w:tc>
          <w:tcPr>
            <w:tcW w:w="2268" w:type="dxa"/>
          </w:tcPr>
          <w:p w14:paraId="706C3B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verified in the metro PPP case</w:t>
            </w:r>
          </w:p>
        </w:tc>
        <w:tc>
          <w:tcPr>
            <w:tcW w:w="2410" w:type="dxa"/>
          </w:tcPr>
          <w:p w14:paraId="0333FB1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construction-stage risk reasoning and sensitivity-based control</w:t>
            </w:r>
          </w:p>
        </w:tc>
      </w:tr>
      <w:tr w:rsidR="00506EDB" w14:paraId="3903E41C" w14:textId="77777777">
        <w:trPr>
          <w:jc w:val="center"/>
        </w:trPr>
        <w:tc>
          <w:tcPr>
            <w:tcW w:w="1560" w:type="dxa"/>
          </w:tcPr>
          <w:p w14:paraId="5CCF86D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Moon et al. (2020)</w:t>
            </w:r>
          </w:p>
        </w:tc>
        <w:tc>
          <w:tcPr>
            <w:tcW w:w="1560" w:type="dxa"/>
          </w:tcPr>
          <w:p w14:paraId="2074CDB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projects; South Korea</w:t>
            </w:r>
          </w:p>
        </w:tc>
        <w:tc>
          <w:tcPr>
            <w:tcW w:w="1559" w:type="dxa"/>
          </w:tcPr>
          <w:p w14:paraId="3C0560C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234 public-sector projects</w:t>
            </w:r>
          </w:p>
        </w:tc>
        <w:tc>
          <w:tcPr>
            <w:tcW w:w="1984" w:type="dxa"/>
          </w:tcPr>
          <w:p w14:paraId="355F07C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Ensemble-learning classification model</w:t>
            </w:r>
          </w:p>
        </w:tc>
        <w:tc>
          <w:tcPr>
            <w:tcW w:w="2127" w:type="dxa"/>
          </w:tcPr>
          <w:p w14:paraId="19B9B0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Delivery method, project type, cost, schedule, award method, bidders, bid/estimate ratio, joint ventures</w:t>
            </w:r>
          </w:p>
        </w:tc>
        <w:tc>
          <w:tcPr>
            <w:tcW w:w="1842" w:type="dxa"/>
          </w:tcPr>
          <w:p w14:paraId="03BA2D2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at the bidding stage</w:t>
            </w:r>
          </w:p>
        </w:tc>
        <w:tc>
          <w:tcPr>
            <w:tcW w:w="2268" w:type="dxa"/>
          </w:tcPr>
          <w:p w14:paraId="186376D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accuracy 61.41% across five runs</w:t>
            </w:r>
          </w:p>
        </w:tc>
        <w:tc>
          <w:tcPr>
            <w:tcW w:w="2410" w:type="dxa"/>
          </w:tcPr>
          <w:p w14:paraId="3AD2834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Screens high-risk bids before contract finalization</w:t>
            </w:r>
          </w:p>
        </w:tc>
      </w:tr>
      <w:tr w:rsidR="00506EDB" w14:paraId="23C44831" w14:textId="77777777">
        <w:trPr>
          <w:jc w:val="center"/>
        </w:trPr>
        <w:tc>
          <w:tcPr>
            <w:tcW w:w="1560" w:type="dxa"/>
          </w:tcPr>
          <w:p w14:paraId="6552D66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Moussa et al. (2024)</w:t>
            </w:r>
          </w:p>
        </w:tc>
        <w:tc>
          <w:tcPr>
            <w:tcW w:w="1560" w:type="dxa"/>
          </w:tcPr>
          <w:p w14:paraId="35F8B55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2150B43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data</w:t>
            </w:r>
          </w:p>
        </w:tc>
        <w:tc>
          <w:tcPr>
            <w:tcW w:w="1984" w:type="dxa"/>
          </w:tcPr>
          <w:p w14:paraId="301ED9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ML for risk interactions and systemic risks</w:t>
            </w:r>
          </w:p>
        </w:tc>
        <w:tc>
          <w:tcPr>
            <w:tcW w:w="2127" w:type="dxa"/>
          </w:tcPr>
          <w:p w14:paraId="2A92B6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Interacting risks, systemic risk structures, and project-performance indicators</w:t>
            </w:r>
          </w:p>
        </w:tc>
        <w:tc>
          <w:tcPr>
            <w:tcW w:w="1842" w:type="dxa"/>
          </w:tcPr>
          <w:p w14:paraId="598017C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Predicted performance impacts under interacting/systemic risks</w:t>
            </w:r>
          </w:p>
        </w:tc>
        <w:tc>
          <w:tcPr>
            <w:tcW w:w="2268" w:type="dxa"/>
          </w:tcPr>
          <w:p w14:paraId="221C44C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Reported accurate and practical data-driven predictions</w:t>
            </w:r>
          </w:p>
        </w:tc>
        <w:tc>
          <w:tcPr>
            <w:tcW w:w="2410" w:type="dxa"/>
          </w:tcPr>
          <w:p w14:paraId="318704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more integrated mitigation than isolated-risk models</w:t>
            </w:r>
          </w:p>
        </w:tc>
      </w:tr>
      <w:tr w:rsidR="00506EDB" w14:paraId="494BC858" w14:textId="77777777">
        <w:trPr>
          <w:jc w:val="center"/>
        </w:trPr>
        <w:tc>
          <w:tcPr>
            <w:tcW w:w="1560" w:type="dxa"/>
          </w:tcPr>
          <w:p w14:paraId="3C12414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Nassar &amp; </w:t>
            </w:r>
            <w:proofErr w:type="spellStart"/>
            <w:r>
              <w:rPr>
                <w:rFonts w:ascii="Times New Roman" w:eastAsia="Times New Roman" w:hAnsi="Times New Roman" w:cs="Times New Roman"/>
                <w:b/>
                <w:bCs/>
                <w:color w:val="000000"/>
                <w:sz w:val="22"/>
                <w:szCs w:val="22"/>
              </w:rPr>
              <w:t>Elbisy</w:t>
            </w:r>
            <w:proofErr w:type="spellEnd"/>
            <w:r>
              <w:rPr>
                <w:rFonts w:ascii="Times New Roman" w:eastAsia="Times New Roman" w:hAnsi="Times New Roman" w:cs="Times New Roman"/>
                <w:b/>
                <w:bCs/>
                <w:color w:val="000000"/>
                <w:sz w:val="22"/>
                <w:szCs w:val="22"/>
              </w:rPr>
              <w:t xml:space="preserve"> (2024)</w:t>
            </w:r>
          </w:p>
        </w:tc>
        <w:tc>
          <w:tcPr>
            <w:tcW w:w="1560" w:type="dxa"/>
          </w:tcPr>
          <w:p w14:paraId="235F84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Marine construction projects</w:t>
            </w:r>
          </w:p>
        </w:tc>
        <w:tc>
          <w:tcPr>
            <w:tcW w:w="1559" w:type="dxa"/>
          </w:tcPr>
          <w:p w14:paraId="2262942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Expert-derived factor set</w:t>
            </w:r>
          </w:p>
        </w:tc>
        <w:tc>
          <w:tcPr>
            <w:tcW w:w="1984" w:type="dxa"/>
          </w:tcPr>
          <w:p w14:paraId="3ADB49E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SVM, Tree Boost; Taylor diagram and five statistics</w:t>
            </w:r>
          </w:p>
        </w:tc>
        <w:tc>
          <w:tcPr>
            <w:tcW w:w="2127" w:type="dxa"/>
          </w:tcPr>
          <w:p w14:paraId="09AF0EA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 factors in 9 groups; ranked by relative importance index</w:t>
            </w:r>
          </w:p>
        </w:tc>
        <w:tc>
          <w:tcPr>
            <w:tcW w:w="1842" w:type="dxa"/>
          </w:tcPr>
          <w:p w14:paraId="1BD271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delay</w:t>
            </w:r>
          </w:p>
        </w:tc>
        <w:tc>
          <w:tcPr>
            <w:tcW w:w="2268" w:type="dxa"/>
          </w:tcPr>
          <w:p w14:paraId="734F17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outperformed SVM and Tree Boost</w:t>
            </w:r>
          </w:p>
        </w:tc>
        <w:tc>
          <w:tcPr>
            <w:tcW w:w="2410" w:type="dxa"/>
          </w:tcPr>
          <w:p w14:paraId="3C349BD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Provides a usable delay-prediction tool for marine projects</w:t>
            </w:r>
          </w:p>
        </w:tc>
      </w:tr>
      <w:tr w:rsidR="00506EDB" w14:paraId="43515B10" w14:textId="77777777">
        <w:trPr>
          <w:jc w:val="center"/>
        </w:trPr>
        <w:tc>
          <w:tcPr>
            <w:tcW w:w="1560" w:type="dxa"/>
          </w:tcPr>
          <w:p w14:paraId="7B51C31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Nyarko-Boateng et al. (2020)</w:t>
            </w:r>
          </w:p>
        </w:tc>
        <w:tc>
          <w:tcPr>
            <w:tcW w:w="1560" w:type="dxa"/>
          </w:tcPr>
          <w:p w14:paraId="0AB7260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Underground fiber-optic infrastructure</w:t>
            </w:r>
          </w:p>
        </w:tc>
        <w:tc>
          <w:tcPr>
            <w:tcW w:w="1559" w:type="dxa"/>
          </w:tcPr>
          <w:p w14:paraId="2F39883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failure records</w:t>
            </w:r>
          </w:p>
        </w:tc>
        <w:tc>
          <w:tcPr>
            <w:tcW w:w="1984" w:type="dxa"/>
          </w:tcPr>
          <w:p w14:paraId="4D2BAB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FFNN and linear regression</w:t>
            </w:r>
          </w:p>
        </w:tc>
        <w:tc>
          <w:tcPr>
            <w:tcW w:w="2127" w:type="dxa"/>
          </w:tcPr>
          <w:p w14:paraId="1F5981D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Cause of failure, geographic area, mean time to repair</w:t>
            </w:r>
          </w:p>
        </w:tc>
        <w:tc>
          <w:tcPr>
            <w:tcW w:w="1842" w:type="dxa"/>
          </w:tcPr>
          <w:p w14:paraId="47D6453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Repair cost of hard failures</w:t>
            </w:r>
          </w:p>
        </w:tc>
        <w:tc>
          <w:tcPr>
            <w:tcW w:w="2268" w:type="dxa"/>
          </w:tcPr>
          <w:p w14:paraId="022AD0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 predictive accuracy reported</w:t>
            </w:r>
          </w:p>
        </w:tc>
        <w:tc>
          <w:tcPr>
            <w:tcW w:w="2410" w:type="dxa"/>
          </w:tcPr>
          <w:p w14:paraId="3F8DF08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Helps utilities anticipate repair costs before failure response</w:t>
            </w:r>
          </w:p>
        </w:tc>
      </w:tr>
      <w:tr w:rsidR="00506EDB" w14:paraId="6C7527D4" w14:textId="77777777">
        <w:trPr>
          <w:jc w:val="center"/>
        </w:trPr>
        <w:tc>
          <w:tcPr>
            <w:tcW w:w="1560" w:type="dxa"/>
          </w:tcPr>
          <w:p w14:paraId="231F54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Radman et al. (2025)</w:t>
            </w:r>
          </w:p>
        </w:tc>
        <w:tc>
          <w:tcPr>
            <w:tcW w:w="1560" w:type="dxa"/>
          </w:tcPr>
          <w:p w14:paraId="03F9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projects using BIM, cloud PM, and site data</w:t>
            </w:r>
          </w:p>
        </w:tc>
        <w:tc>
          <w:tcPr>
            <w:tcW w:w="1559" w:type="dxa"/>
          </w:tcPr>
          <w:p w14:paraId="1187DC7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Comparative analysis of 8 case studies</w:t>
            </w:r>
          </w:p>
        </w:tc>
        <w:tc>
          <w:tcPr>
            <w:tcW w:w="1984" w:type="dxa"/>
          </w:tcPr>
          <w:p w14:paraId="2421ACA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real-time data-driven framework</w:t>
            </w:r>
          </w:p>
        </w:tc>
        <w:tc>
          <w:tcPr>
            <w:tcW w:w="2127" w:type="dxa"/>
          </w:tcPr>
          <w:p w14:paraId="3AEA54D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Multi-source project data integration, EVM/ESM indicators, process latency</w:t>
            </w:r>
          </w:p>
        </w:tc>
        <w:tc>
          <w:tcPr>
            <w:tcW w:w="1842" w:type="dxa"/>
          </w:tcPr>
          <w:p w14:paraId="4AC4CC5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Forecasting accuracy, schedule adherence, and cost management</w:t>
            </w:r>
          </w:p>
        </w:tc>
        <w:tc>
          <w:tcPr>
            <w:tcW w:w="2268" w:type="dxa"/>
          </w:tcPr>
          <w:p w14:paraId="7ADEF29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Gains confirmed using EVM/ESM plus Shapiro–Wilk and Wilcoxon tests</w:t>
            </w:r>
          </w:p>
        </w:tc>
        <w:tc>
          <w:tcPr>
            <w:tcW w:w="2410" w:type="dxa"/>
          </w:tcPr>
          <w:p w14:paraId="560DDA1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Strong evidence for real-time delay notification and proactive control</w:t>
            </w:r>
          </w:p>
        </w:tc>
      </w:tr>
      <w:tr w:rsidR="00506EDB" w14:paraId="3E2C28A3" w14:textId="77777777">
        <w:trPr>
          <w:jc w:val="center"/>
        </w:trPr>
        <w:tc>
          <w:tcPr>
            <w:tcW w:w="1560" w:type="dxa"/>
          </w:tcPr>
          <w:p w14:paraId="6585F10A"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Senić</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5E7D04B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projects</w:t>
            </w:r>
          </w:p>
        </w:tc>
        <w:tc>
          <w:tcPr>
            <w:tcW w:w="1559" w:type="dxa"/>
          </w:tcPr>
          <w:p w14:paraId="7D2BCD6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Literature review plus completed project analysis</w:t>
            </w:r>
          </w:p>
        </w:tc>
        <w:tc>
          <w:tcPr>
            <w:tcW w:w="1984" w:type="dxa"/>
          </w:tcPr>
          <w:p w14:paraId="1472F2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quantification and clustering model</w:t>
            </w:r>
          </w:p>
        </w:tc>
        <w:tc>
          <w:tcPr>
            <w:tcW w:w="2127" w:type="dxa"/>
          </w:tcPr>
          <w:p w14:paraId="18D5D5F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Risks driving an increase in contract price and extension of time; occurrence probabilities</w:t>
            </w:r>
          </w:p>
        </w:tc>
        <w:tc>
          <w:tcPr>
            <w:tcW w:w="1842" w:type="dxa"/>
          </w:tcPr>
          <w:p w14:paraId="5E7DE76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ICP and </w:t>
            </w:r>
            <w:proofErr w:type="spellStart"/>
            <w:r>
              <w:rPr>
                <w:rFonts w:ascii="Times New Roman" w:eastAsia="Times New Roman" w:hAnsi="Times New Roman" w:cs="Times New Roman"/>
                <w:color w:val="000000"/>
                <w:sz w:val="22"/>
                <w:szCs w:val="22"/>
              </w:rPr>
              <w:t>EoT</w:t>
            </w:r>
            <w:proofErr w:type="spellEnd"/>
            <w:r>
              <w:rPr>
                <w:rFonts w:ascii="Times New Roman" w:eastAsia="Times New Roman" w:hAnsi="Times New Roman" w:cs="Times New Roman"/>
                <w:color w:val="000000"/>
                <w:sz w:val="22"/>
                <w:szCs w:val="22"/>
              </w:rPr>
              <w:t xml:space="preserve"> risk quantification</w:t>
            </w:r>
          </w:p>
        </w:tc>
        <w:tc>
          <w:tcPr>
            <w:tcW w:w="2268" w:type="dxa"/>
          </w:tcPr>
          <w:p w14:paraId="1F242F1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Quantified values and probabilities are used to define priority clusters</w:t>
            </w:r>
          </w:p>
        </w:tc>
        <w:tc>
          <w:tcPr>
            <w:tcW w:w="2410" w:type="dxa"/>
          </w:tcPr>
          <w:p w14:paraId="4A3068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Directly links quantified risks to preventive funding and action priorities</w:t>
            </w:r>
          </w:p>
        </w:tc>
      </w:tr>
      <w:tr w:rsidR="00506EDB" w14:paraId="0CC860D9" w14:textId="77777777">
        <w:trPr>
          <w:jc w:val="center"/>
        </w:trPr>
        <w:tc>
          <w:tcPr>
            <w:tcW w:w="1560" w:type="dxa"/>
          </w:tcPr>
          <w:p w14:paraId="3F1FB7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Sing et al. (2025)</w:t>
            </w:r>
          </w:p>
        </w:tc>
        <w:tc>
          <w:tcPr>
            <w:tcW w:w="1560" w:type="dxa"/>
          </w:tcPr>
          <w:p w14:paraId="3ED925F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from public works departments</w:t>
            </w:r>
          </w:p>
        </w:tc>
        <w:tc>
          <w:tcPr>
            <w:tcW w:w="1559" w:type="dxa"/>
          </w:tcPr>
          <w:p w14:paraId="2B92D0D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122 projects totaling HKD 5,465 billion</w:t>
            </w:r>
          </w:p>
        </w:tc>
        <w:tc>
          <w:tcPr>
            <w:tcW w:w="1984" w:type="dxa"/>
          </w:tcPr>
          <w:p w14:paraId="3A63C7D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Seven ML algorithms; ANN best; interval prediction with bootstrapping and Monte Carlo dropout; complexity index</w:t>
            </w:r>
          </w:p>
        </w:tc>
        <w:tc>
          <w:tcPr>
            <w:tcW w:w="2127" w:type="dxa"/>
          </w:tcPr>
          <w:p w14:paraId="20F5575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size, duration, complexity index</w:t>
            </w:r>
          </w:p>
        </w:tc>
        <w:tc>
          <w:tcPr>
            <w:tcW w:w="1842" w:type="dxa"/>
          </w:tcPr>
          <w:p w14:paraId="7F25A5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estimation</w:t>
            </w:r>
          </w:p>
        </w:tc>
        <w:tc>
          <w:tcPr>
            <w:tcW w:w="2268" w:type="dxa"/>
          </w:tcPr>
          <w:p w14:paraId="623A30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 R² improved from 0.808 to 0.889 with the complexity index</w:t>
            </w:r>
          </w:p>
        </w:tc>
        <w:tc>
          <w:tcPr>
            <w:tcW w:w="2410" w:type="dxa"/>
          </w:tcPr>
          <w:p w14:paraId="6D66689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contingency estimation with uncertainty intervals</w:t>
            </w:r>
          </w:p>
        </w:tc>
      </w:tr>
    </w:tbl>
    <w:p w14:paraId="7E382A96" w14:textId="77777777" w:rsidR="00506EDB" w:rsidRDefault="00506EDB">
      <w:pPr>
        <w:jc w:val="both"/>
        <w:rPr>
          <w:rFonts w:ascii="Times New Roman" w:eastAsia="Times New Roman" w:hAnsi="Times New Roman" w:cs="Times New Roman"/>
          <w:color w:val="000000"/>
          <w:sz w:val="22"/>
          <w:szCs w:val="22"/>
        </w:rPr>
        <w:sectPr w:rsidR="00506EDB">
          <w:pgSz w:w="15840" w:h="12240" w:orient="landscape"/>
          <w:pgMar w:top="1440" w:right="1440" w:bottom="1440" w:left="1440" w:header="720" w:footer="720" w:gutter="0"/>
          <w:cols w:space="720"/>
        </w:sectPr>
      </w:pPr>
    </w:p>
    <w:p w14:paraId="79F683CB" w14:textId="77777777" w:rsidR="0052348B" w:rsidRDefault="0052348B" w:rsidP="0052348B">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Theme 3: The real frontier is not prediction alone, but whether models are embedded in live mitigation and control systems</w:t>
      </w:r>
    </w:p>
    <w:p w14:paraId="012AED4C" w14:textId="77777777" w:rsidR="0052348B" w:rsidRDefault="0052348B" w:rsidP="0052348B">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Boamah et al. (2025) applied semantic matching and historical project data in enhancing risk identification prior to the occurrence of major problems, explicitly defining the model as a support tool in proactive mitigation planning. Leśniak and Janowiec (2019) expanded the concept by showing that a Bayesian network is capable of comparing the various ways of mitigating the risks of further work on railway projects and determining whether the effect is material or not. Leu et al. (2023) have translated real-time prediction of cost overrun into early warning mechanisms and suggested corrective responses to cost management measures. Meanwhile, Ariza Flores and Zavala Ascaano (2025) handled a different implementation barrier by developing a quantitative framework that can be implemented by professionals with minimal probabilistic competence when working on road projects.</w:t>
      </w:r>
    </w:p>
    <w:p w14:paraId="66DE3B79" w14:textId="7DA2A207" w:rsidR="0052348B" w:rsidRDefault="0052348B" w:rsidP="0052348B">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 xml:space="preserve">Moreover, some papers have started the procedure of assembling the forecasting, operational response functions, and monitoring. The study by Radman et al. (2025) revealed that the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improved data integration, schedule adherence, early delays identification, and cost management when compared to the current </w:t>
      </w:r>
      <w:proofErr w:type="spellStart"/>
      <w:r>
        <w:rPr>
          <w:rFonts w:ascii="Times New Roman" w:eastAsia="Times New Roman" w:hAnsi="Times New Roman" w:cs="Times New Roman"/>
          <w:color w:val="000000"/>
          <w:sz w:val="22"/>
          <w:szCs w:val="22"/>
        </w:rPr>
        <w:t>practises</w:t>
      </w:r>
      <w:proofErr w:type="spellEnd"/>
      <w:r>
        <w:rPr>
          <w:rFonts w:ascii="Times New Roman" w:eastAsia="Times New Roman" w:hAnsi="Times New Roman" w:cs="Times New Roman"/>
          <w:color w:val="000000"/>
          <w:sz w:val="22"/>
          <w:szCs w:val="22"/>
        </w:rPr>
        <w:t xml:space="preserve">. By </w:t>
      </w:r>
      <w:r w:rsidR="008948DC">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systems and interacting risks instead of single factors, Moussa et al. (2024) considerably overcame this critical gap when making predictions to capture the complicated nature of infrastructure delivery. Liu et al. (2021) further provided an additional step by applying a Bayesian assessment to assess the likelihood of occurrence, sensitivity, and reasoning in a particular case of an urban rail PPP.</w:t>
      </w:r>
    </w:p>
    <w:p w14:paraId="769C7A01" w14:textId="50D77576" w:rsidR="0052348B" w:rsidRDefault="0052348B" w:rsidP="0052348B">
      <w:pPr>
        <w:jc w:val="both"/>
        <w:rPr>
          <w:rFonts w:ascii="Times New Roman" w:eastAsia="Times New Roman" w:hAnsi="Times New Roman" w:cs="Times New Roman"/>
          <w:color w:val="000000"/>
          <w:sz w:val="22"/>
          <w:szCs w:val="22"/>
          <w:lang w:val="en-US"/>
        </w:rPr>
      </w:pPr>
      <w:r w:rsidRPr="0052348B">
        <w:rPr>
          <w:rFonts w:ascii="Times New Roman" w:eastAsia="Times New Roman" w:hAnsi="Times New Roman" w:cs="Times New Roman"/>
          <w:color w:val="000000"/>
          <w:sz w:val="22"/>
          <w:szCs w:val="22"/>
          <w:lang w:val="en-US"/>
        </w:rPr>
        <w:t xml:space="preserve">To further </w:t>
      </w:r>
      <w:proofErr w:type="spellStart"/>
      <w:r w:rsidR="008948DC">
        <w:rPr>
          <w:rFonts w:ascii="Times New Roman" w:eastAsia="Times New Roman" w:hAnsi="Times New Roman" w:cs="Times New Roman"/>
          <w:color w:val="000000"/>
          <w:sz w:val="22"/>
          <w:szCs w:val="22"/>
          <w:lang w:val="en-US"/>
        </w:rPr>
        <w:t>synthesise</w:t>
      </w:r>
      <w:proofErr w:type="spellEnd"/>
      <w:r w:rsidRPr="0052348B">
        <w:rPr>
          <w:rFonts w:ascii="Times New Roman" w:eastAsia="Times New Roman" w:hAnsi="Times New Roman" w:cs="Times New Roman"/>
          <w:color w:val="000000"/>
          <w:sz w:val="22"/>
          <w:szCs w:val="22"/>
          <w:lang w:val="en-US"/>
        </w:rPr>
        <w:t xml:space="preserve"> the included evidence, Table 4 maps the main analytical contributions of the studies against the three review themes. This shows that the literature is most heavily concentrated in uncertainty-aware forecasting and predictive </w:t>
      </w:r>
      <w:r w:rsidR="008948DC">
        <w:rPr>
          <w:rFonts w:ascii="Times New Roman" w:eastAsia="Times New Roman" w:hAnsi="Times New Roman" w:cs="Times New Roman"/>
          <w:color w:val="000000"/>
          <w:sz w:val="22"/>
          <w:szCs w:val="22"/>
          <w:lang w:val="en-US"/>
        </w:rPr>
        <w:t>modelling</w:t>
      </w:r>
      <w:r w:rsidRPr="0052348B">
        <w:rPr>
          <w:rFonts w:ascii="Times New Roman" w:eastAsia="Times New Roman" w:hAnsi="Times New Roman" w:cs="Times New Roman"/>
          <w:color w:val="000000"/>
          <w:sz w:val="22"/>
          <w:szCs w:val="22"/>
          <w:lang w:val="en-US"/>
        </w:rPr>
        <w:t>, followed by studies identifying recurrent drivers of delivery risk related to governance, procurement, and scope. Conversely, fewer studies move beyond prediction to demonstrate how model outputs are embedded in early warning routines, live control systems, active mitigation planning, or contingency setting. This uneven distribution indicates that the field is advancing more quickly in terms of model development than implementation, suggesting that rather than algorithm availability, the main research gap now lies in operational integration.</w:t>
      </w:r>
    </w:p>
    <w:p w14:paraId="41AF793C" w14:textId="752E51C9" w:rsidR="0046547A" w:rsidRPr="0052348B" w:rsidRDefault="0046547A" w:rsidP="0046547A">
      <w:pPr>
        <w:jc w:val="center"/>
        <w:rPr>
          <w:rFonts w:ascii="Times New Roman" w:eastAsia="Times New Roman" w:hAnsi="Times New Roman" w:cs="Times New Roman"/>
          <w:b/>
          <w:bCs/>
          <w:color w:val="000000"/>
          <w:sz w:val="22"/>
          <w:szCs w:val="22"/>
          <w:lang w:val="en-US"/>
        </w:rPr>
      </w:pPr>
      <w:r w:rsidRPr="0046547A">
        <w:rPr>
          <w:rFonts w:ascii="Times New Roman" w:eastAsia="Times New Roman" w:hAnsi="Times New Roman" w:cs="Times New Roman"/>
          <w:b/>
          <w:bCs/>
          <w:color w:val="000000"/>
          <w:sz w:val="22"/>
          <w:szCs w:val="22"/>
        </w:rPr>
        <w:t>Table 4. Cross-study mapping of the included evidence against the three review themes</w:t>
      </w:r>
    </w:p>
    <w:tbl>
      <w:tblPr>
        <w:tblStyle w:val="TableGrid"/>
        <w:tblW w:w="0" w:type="auto"/>
        <w:tblInd w:w="-147" w:type="dxa"/>
        <w:tblLook w:val="04A0" w:firstRow="1" w:lastRow="0" w:firstColumn="1" w:lastColumn="0" w:noHBand="0" w:noVBand="1"/>
      </w:tblPr>
      <w:tblGrid>
        <w:gridCol w:w="1083"/>
        <w:gridCol w:w="2325"/>
        <w:gridCol w:w="3186"/>
        <w:gridCol w:w="2903"/>
      </w:tblGrid>
      <w:tr w:rsidR="0046547A" w:rsidRPr="0046547A" w14:paraId="013E84AE" w14:textId="77777777" w:rsidTr="0046547A">
        <w:tc>
          <w:tcPr>
            <w:tcW w:w="1083" w:type="dxa"/>
            <w:hideMark/>
          </w:tcPr>
          <w:p w14:paraId="50AAE036"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Theme</w:t>
            </w:r>
          </w:p>
        </w:tc>
        <w:tc>
          <w:tcPr>
            <w:tcW w:w="0" w:type="auto"/>
            <w:hideMark/>
          </w:tcPr>
          <w:p w14:paraId="466866D0"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Main analytical focus</w:t>
            </w:r>
          </w:p>
        </w:tc>
        <w:tc>
          <w:tcPr>
            <w:tcW w:w="0" w:type="auto"/>
            <w:hideMark/>
          </w:tcPr>
          <w:p w14:paraId="2E3D0252"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Representative included studies</w:t>
            </w:r>
          </w:p>
        </w:tc>
        <w:tc>
          <w:tcPr>
            <w:tcW w:w="0" w:type="auto"/>
            <w:hideMark/>
          </w:tcPr>
          <w:p w14:paraId="758EC593"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Review-level interpretation</w:t>
            </w:r>
          </w:p>
        </w:tc>
      </w:tr>
      <w:tr w:rsidR="0046547A" w:rsidRPr="0046547A" w14:paraId="452FAC07" w14:textId="77777777" w:rsidTr="0046547A">
        <w:tc>
          <w:tcPr>
            <w:tcW w:w="1083" w:type="dxa"/>
            <w:hideMark/>
          </w:tcPr>
          <w:p w14:paraId="5674A674"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Theme 1</w:t>
            </w:r>
          </w:p>
        </w:tc>
        <w:tc>
          <w:tcPr>
            <w:tcW w:w="0" w:type="auto"/>
            <w:hideMark/>
          </w:tcPr>
          <w:p w14:paraId="5422A687"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Movement from static estimates to adaptive, uncertainty-aware forecasting</w:t>
            </w:r>
          </w:p>
        </w:tc>
        <w:tc>
          <w:tcPr>
            <w:tcW w:w="0" w:type="auto"/>
            <w:hideMark/>
          </w:tcPr>
          <w:p w14:paraId="505B6E0C"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Moon et al. (2020); </w:t>
            </w:r>
            <w:proofErr w:type="spellStart"/>
            <w:r w:rsidRPr="0046547A">
              <w:rPr>
                <w:rFonts w:ascii="Times New Roman" w:eastAsia="Times New Roman" w:hAnsi="Times New Roman" w:cs="Times New Roman"/>
                <w:sz w:val="24"/>
                <w:szCs w:val="24"/>
                <w:lang w:val="en-US"/>
              </w:rPr>
              <w:t>Alshboul</w:t>
            </w:r>
            <w:proofErr w:type="spellEnd"/>
            <w:r w:rsidRPr="0046547A">
              <w:rPr>
                <w:rFonts w:ascii="Times New Roman" w:eastAsia="Times New Roman" w:hAnsi="Times New Roman" w:cs="Times New Roman"/>
                <w:sz w:val="24"/>
                <w:szCs w:val="24"/>
                <w:lang w:val="en-US"/>
              </w:rPr>
              <w:t xml:space="preserve"> et al. (2022); Deng and Jian (2022); </w:t>
            </w:r>
            <w:proofErr w:type="spellStart"/>
            <w:r w:rsidRPr="0046547A">
              <w:rPr>
                <w:rFonts w:ascii="Times New Roman" w:eastAsia="Times New Roman" w:hAnsi="Times New Roman" w:cs="Times New Roman"/>
                <w:sz w:val="24"/>
                <w:szCs w:val="24"/>
                <w:lang w:val="en-US"/>
              </w:rPr>
              <w:t>Elmousalami</w:t>
            </w:r>
            <w:proofErr w:type="spellEnd"/>
            <w:r w:rsidRPr="0046547A">
              <w:rPr>
                <w:rFonts w:ascii="Times New Roman" w:eastAsia="Times New Roman" w:hAnsi="Times New Roman" w:cs="Times New Roman"/>
                <w:sz w:val="24"/>
                <w:szCs w:val="24"/>
                <w:lang w:val="en-US"/>
              </w:rPr>
              <w:t xml:space="preserve"> et al. (2024); Leu et al. (2023); Liben et al. (2025); Sing et al. (2025)</w:t>
            </w:r>
          </w:p>
        </w:tc>
        <w:tc>
          <w:tcPr>
            <w:tcW w:w="0" w:type="auto"/>
            <w:hideMark/>
          </w:tcPr>
          <w:p w14:paraId="5E999681"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 strongest concentration of evidence lies in predictive and probabilistic modeling, particularly for cost, contingency, and variance estimation.</w:t>
            </w:r>
          </w:p>
        </w:tc>
      </w:tr>
      <w:tr w:rsidR="0046547A" w:rsidRPr="0046547A" w14:paraId="7812AD7C" w14:textId="77777777" w:rsidTr="0046547A">
        <w:tc>
          <w:tcPr>
            <w:tcW w:w="1083" w:type="dxa"/>
            <w:hideMark/>
          </w:tcPr>
          <w:p w14:paraId="50E7683A"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Theme 2</w:t>
            </w:r>
          </w:p>
        </w:tc>
        <w:tc>
          <w:tcPr>
            <w:tcW w:w="0" w:type="auto"/>
            <w:hideMark/>
          </w:tcPr>
          <w:p w14:paraId="5896512F"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Recurrent risk drivers linked to governance, procurement, approvals, scope </w:t>
            </w:r>
            <w:r w:rsidRPr="0046547A">
              <w:rPr>
                <w:rFonts w:ascii="Times New Roman" w:eastAsia="Times New Roman" w:hAnsi="Times New Roman" w:cs="Times New Roman"/>
                <w:sz w:val="24"/>
                <w:szCs w:val="24"/>
                <w:lang w:val="en-US"/>
              </w:rPr>
              <w:lastRenderedPageBreak/>
              <w:t>change, and delivery instability</w:t>
            </w:r>
          </w:p>
        </w:tc>
        <w:tc>
          <w:tcPr>
            <w:tcW w:w="0" w:type="auto"/>
            <w:hideMark/>
          </w:tcPr>
          <w:p w14:paraId="19B5694B"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 xml:space="preserve">Andrić et al. (2024); Gómez-Cabrera et al. </w:t>
            </w:r>
            <w:r w:rsidRPr="0046547A">
              <w:rPr>
                <w:rFonts w:ascii="Times New Roman" w:eastAsia="Times New Roman" w:hAnsi="Times New Roman" w:cs="Times New Roman"/>
                <w:sz w:val="24"/>
                <w:szCs w:val="24"/>
                <w:lang w:val="pl-PL"/>
              </w:rPr>
              <w:t xml:space="preserve">(2025); Leśniak and Janowiec (2019); Liben et al. </w:t>
            </w:r>
            <w:r w:rsidRPr="0046547A">
              <w:rPr>
                <w:rFonts w:ascii="Times New Roman" w:eastAsia="Times New Roman" w:hAnsi="Times New Roman" w:cs="Times New Roman"/>
                <w:sz w:val="24"/>
                <w:szCs w:val="24"/>
                <w:lang w:val="en-US"/>
              </w:rPr>
              <w:t xml:space="preserve">(2025); </w:t>
            </w:r>
            <w:proofErr w:type="spellStart"/>
            <w:r w:rsidRPr="0046547A">
              <w:rPr>
                <w:rFonts w:ascii="Times New Roman" w:eastAsia="Times New Roman" w:hAnsi="Times New Roman" w:cs="Times New Roman"/>
                <w:sz w:val="24"/>
                <w:szCs w:val="24"/>
                <w:lang w:val="en-US"/>
              </w:rPr>
              <w:t>Senić</w:t>
            </w:r>
            <w:proofErr w:type="spellEnd"/>
            <w:r w:rsidRPr="0046547A">
              <w:rPr>
                <w:rFonts w:ascii="Times New Roman" w:eastAsia="Times New Roman" w:hAnsi="Times New Roman" w:cs="Times New Roman"/>
                <w:sz w:val="24"/>
                <w:szCs w:val="24"/>
                <w:lang w:val="en-US"/>
              </w:rPr>
              <w:t xml:space="preserve"> et al. (2024); </w:t>
            </w:r>
            <w:r w:rsidRPr="0046547A">
              <w:rPr>
                <w:rFonts w:ascii="Times New Roman" w:eastAsia="Times New Roman" w:hAnsi="Times New Roman" w:cs="Times New Roman"/>
                <w:sz w:val="24"/>
                <w:szCs w:val="24"/>
                <w:lang w:val="en-US"/>
              </w:rPr>
              <w:lastRenderedPageBreak/>
              <w:t xml:space="preserve">Nassar and </w:t>
            </w:r>
            <w:proofErr w:type="spellStart"/>
            <w:r w:rsidRPr="0046547A">
              <w:rPr>
                <w:rFonts w:ascii="Times New Roman" w:eastAsia="Times New Roman" w:hAnsi="Times New Roman" w:cs="Times New Roman"/>
                <w:sz w:val="24"/>
                <w:szCs w:val="24"/>
                <w:lang w:val="en-US"/>
              </w:rPr>
              <w:t>Elbisy</w:t>
            </w:r>
            <w:proofErr w:type="spellEnd"/>
            <w:r w:rsidRPr="0046547A">
              <w:rPr>
                <w:rFonts w:ascii="Times New Roman" w:eastAsia="Times New Roman" w:hAnsi="Times New Roman" w:cs="Times New Roman"/>
                <w:sz w:val="24"/>
                <w:szCs w:val="24"/>
                <w:lang w:val="en-US"/>
              </w:rPr>
              <w:t xml:space="preserve"> (2024); Nyarko-Boateng et al. (2020)</w:t>
            </w:r>
          </w:p>
        </w:tc>
        <w:tc>
          <w:tcPr>
            <w:tcW w:w="0" w:type="auto"/>
            <w:hideMark/>
          </w:tcPr>
          <w:p w14:paraId="5F952754"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 xml:space="preserve">Delivery risk is shaped less by isolated technical uncertainty than by recurring organizational, </w:t>
            </w:r>
            <w:r w:rsidRPr="0046547A">
              <w:rPr>
                <w:rFonts w:ascii="Times New Roman" w:eastAsia="Times New Roman" w:hAnsi="Times New Roman" w:cs="Times New Roman"/>
                <w:sz w:val="24"/>
                <w:szCs w:val="24"/>
                <w:lang w:val="en-US"/>
              </w:rPr>
              <w:lastRenderedPageBreak/>
              <w:t>contractual, and implementation frictions.</w:t>
            </w:r>
          </w:p>
        </w:tc>
      </w:tr>
      <w:tr w:rsidR="0046547A" w:rsidRPr="0046547A" w14:paraId="42784580" w14:textId="77777777" w:rsidTr="0046547A">
        <w:tc>
          <w:tcPr>
            <w:tcW w:w="1083" w:type="dxa"/>
            <w:hideMark/>
          </w:tcPr>
          <w:p w14:paraId="7F96646E"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Theme 3</w:t>
            </w:r>
          </w:p>
        </w:tc>
        <w:tc>
          <w:tcPr>
            <w:tcW w:w="0" w:type="auto"/>
            <w:hideMark/>
          </w:tcPr>
          <w:p w14:paraId="4797CFDD"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Embedding model outputs into mitigation, early warning, contingency planning, and live control systems</w:t>
            </w:r>
          </w:p>
        </w:tc>
        <w:tc>
          <w:tcPr>
            <w:tcW w:w="0" w:type="auto"/>
            <w:hideMark/>
          </w:tcPr>
          <w:p w14:paraId="260E2D86"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Boamah et al. (2025); Ariza Flores and Zavala </w:t>
            </w:r>
            <w:proofErr w:type="spellStart"/>
            <w:r w:rsidRPr="0046547A">
              <w:rPr>
                <w:rFonts w:ascii="Times New Roman" w:eastAsia="Times New Roman" w:hAnsi="Times New Roman" w:cs="Times New Roman"/>
                <w:sz w:val="24"/>
                <w:szCs w:val="24"/>
                <w:lang w:val="en-US"/>
              </w:rPr>
              <w:t>Ascaño</w:t>
            </w:r>
            <w:proofErr w:type="spellEnd"/>
            <w:r w:rsidRPr="0046547A">
              <w:rPr>
                <w:rFonts w:ascii="Times New Roman" w:eastAsia="Times New Roman" w:hAnsi="Times New Roman" w:cs="Times New Roman"/>
                <w:sz w:val="24"/>
                <w:szCs w:val="24"/>
                <w:lang w:val="en-US"/>
              </w:rPr>
              <w:t xml:space="preserve"> (2025); Leu et al. (2023); Moussa et al. (2024); Radman et al. (2025); Liu et al. (2021)</w:t>
            </w:r>
          </w:p>
        </w:tc>
        <w:tc>
          <w:tcPr>
            <w:tcW w:w="0" w:type="auto"/>
            <w:hideMark/>
          </w:tcPr>
          <w:p w14:paraId="08F53829"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This is the most innovative but least mature area of the evidence base; operational integration remains promising but uneven and highly case-bound.</w:t>
            </w:r>
          </w:p>
        </w:tc>
      </w:tr>
    </w:tbl>
    <w:p w14:paraId="232FC071" w14:textId="77777777" w:rsidR="0052348B" w:rsidRPr="0052348B" w:rsidRDefault="0052348B">
      <w:pPr>
        <w:jc w:val="both"/>
        <w:rPr>
          <w:rFonts w:ascii="Times New Roman" w:eastAsia="Times New Roman" w:hAnsi="Times New Roman" w:cs="Times New Roman"/>
          <w:b/>
          <w:bCs/>
          <w:color w:val="000000"/>
          <w:sz w:val="22"/>
          <w:szCs w:val="22"/>
          <w:lang w:val="en-US"/>
        </w:rPr>
      </w:pPr>
    </w:p>
    <w:p w14:paraId="4BC6C0D1" w14:textId="278B39A9"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4.0 Discussion</w:t>
      </w:r>
    </w:p>
    <w:p w14:paraId="22DFE36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4.1 Summary of key findings</w:t>
      </w:r>
    </w:p>
    <w:p w14:paraId="02229E5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Across the 19 studies, data-driven models were shown to consistently improve the management and prediction of cost risks and schedule, although the level of maturity and performance varied depending on the approach taken. Machine-learning models often outperformed traditional methods in predicting liquidated damages, delays, contingencies, and variance, with artificial neural networks, random forest, GRNN, and gradient boosting frequently proving effective. Probabilistic approaches also proved valuable. For example, Bayesian networks clarified causal pathways and mitigation options in urban rail PPP and railway risks, while Monte Carlo-based models converted uncertainty into cost contingencies and actionable time. Several studies identified several recurring drivers, particularly implementation period, project size, project complexity, contract value, regulatory approvals, change orders, site conditions, bidders, and time-related disruption variables. The most valuable contributions translated model outputs into decisions such as dashboard-based monitoring,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risks, setting contingencies, providing early warnings, taking activity-level corrective actions, and enabling real-time. However, validation was usually internal and case-based, and rarely demonstrated cross-project </w:t>
      </w:r>
      <w:proofErr w:type="spellStart"/>
      <w:r>
        <w:rPr>
          <w:rFonts w:ascii="Times New Roman" w:eastAsia="Times New Roman" w:hAnsi="Times New Roman" w:cs="Times New Roman"/>
          <w:color w:val="000000"/>
          <w:sz w:val="22"/>
          <w:szCs w:val="22"/>
        </w:rPr>
        <w:t>generalisation</w:t>
      </w:r>
      <w:proofErr w:type="spellEnd"/>
      <w:r>
        <w:rPr>
          <w:rFonts w:ascii="Times New Roman" w:eastAsia="Times New Roman" w:hAnsi="Times New Roman" w:cs="Times New Roman"/>
          <w:color w:val="000000"/>
          <w:sz w:val="22"/>
          <w:szCs w:val="22"/>
        </w:rPr>
        <w:t xml:space="preserve"> or post-deployment impact.</w:t>
      </w:r>
    </w:p>
    <w:p w14:paraId="7C7D6E81" w14:textId="33386C33" w:rsidR="008E5654" w:rsidRDefault="008E5654">
      <w:pPr>
        <w:jc w:val="both"/>
        <w:rPr>
          <w:rFonts w:ascii="Times New Roman" w:eastAsia="Times New Roman" w:hAnsi="Times New Roman" w:cs="Times New Roman"/>
          <w:color w:val="000000"/>
          <w:sz w:val="22"/>
          <w:szCs w:val="22"/>
        </w:rPr>
      </w:pPr>
      <w:r w:rsidRPr="008E5654">
        <w:rPr>
          <w:rFonts w:ascii="Times New Roman" w:eastAsia="Times New Roman" w:hAnsi="Times New Roman" w:cs="Times New Roman"/>
          <w:color w:val="000000"/>
          <w:sz w:val="22"/>
          <w:szCs w:val="22"/>
        </w:rPr>
        <w:t xml:space="preserve">A more critical examination of the evidence reveals that validation was primarily driven by internal and study-specific methods. Several studies assessed model performance mainly through within-sample fit statistics or error measures such as MAPE, R²,  RMSE and MAE (see Sing et al., 2025; </w:t>
      </w:r>
      <w:proofErr w:type="spellStart"/>
      <w:r w:rsidRPr="008E5654">
        <w:rPr>
          <w:rFonts w:ascii="Times New Roman" w:eastAsia="Times New Roman" w:hAnsi="Times New Roman" w:cs="Times New Roman"/>
          <w:color w:val="000000"/>
          <w:sz w:val="22"/>
          <w:szCs w:val="22"/>
        </w:rPr>
        <w:t>Elmousalami</w:t>
      </w:r>
      <w:proofErr w:type="spellEnd"/>
      <w:r w:rsidRPr="008E5654">
        <w:rPr>
          <w:rFonts w:ascii="Times New Roman" w:eastAsia="Times New Roman" w:hAnsi="Times New Roman" w:cs="Times New Roman"/>
          <w:color w:val="000000"/>
          <w:sz w:val="22"/>
          <w:szCs w:val="22"/>
        </w:rPr>
        <w:t xml:space="preserve"> et al., 2024; and Liben et al., 2025). Other studies relied on model comparison or repeated runs within the same dataset (Moon et al., 2020), or on sensitivity analysis and scenario testing (Ariza Flores &amp; Zavala Ascaño, 2025; Leśniak &amp; Janowiec, 2019). Case verification was also common, particularly in the studies of Leu et al. (2023) and Liu et al. (2021). However, robust cross-project external validation was not provided by any of the included studies, and no study demonstrated post-deployment effects on actual overrun reduction. This suggests that the evidence base is more robust with regard to proof-of-concept accuracy than institutional adoption, transferability,  or demonstrated delivery improvement.</w:t>
      </w:r>
    </w:p>
    <w:p w14:paraId="05220A04"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4.2 Comparison of Findings with Global Literature</w:t>
      </w:r>
    </w:p>
    <w:p w14:paraId="05E6DFBA"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Compared with global evidence, this review demonstrates that infrastructure risk modelling is evolving from descriptive explanations of cost and time overruns to the development of tools that facilitate earlier intervention. Ottaviani et al. (2025) demonstrate that automated machine learning pipelines can enhance the duration forecasts and precision of cost. Similarly, Lagos et al. (2024) demonstrate that schedule performance can be predicted early on using Last Planner System indicators. Al-</w:t>
      </w:r>
      <w:proofErr w:type="spellStart"/>
      <w:r>
        <w:rPr>
          <w:rFonts w:ascii="Times New Roman" w:eastAsia="Times New Roman" w:hAnsi="Times New Roman" w:cs="Times New Roman"/>
          <w:color w:val="000000"/>
          <w:sz w:val="22"/>
          <w:szCs w:val="22"/>
        </w:rPr>
        <w:t>Ghazawi</w:t>
      </w:r>
      <w:proofErr w:type="spellEnd"/>
      <w:r>
        <w:rPr>
          <w:rFonts w:ascii="Times New Roman" w:eastAsia="Times New Roman" w:hAnsi="Times New Roman" w:cs="Times New Roman"/>
          <w:color w:val="000000"/>
          <w:sz w:val="22"/>
          <w:szCs w:val="22"/>
        </w:rPr>
        <w:t xml:space="preserve"> and El-Rayes </w:t>
      </w:r>
      <w:r>
        <w:rPr>
          <w:rFonts w:ascii="Times New Roman" w:eastAsia="Times New Roman" w:hAnsi="Times New Roman" w:cs="Times New Roman"/>
          <w:color w:val="000000"/>
          <w:sz w:val="22"/>
          <w:szCs w:val="22"/>
        </w:rPr>
        <w:lastRenderedPageBreak/>
        <w:t xml:space="preserve">(2024) demonstrate that machine learning can quantify operational disruption during airport expansion independently of simulation. Al-Nahhas et al. (2024) demonstrate the continued usefulness of fuzzy inference systems in situations of high uncertainty where expert judgement must remain interpretable. Earned value management can provide accurate forecasts on real project data, as demonstrated by </w:t>
      </w: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xml:space="preserve"> (2015). De Andrade et al. (2019) demonstrate that earned duration-based forecasting improves time prediction when considering schedule performance and adherence together.</w:t>
      </w:r>
    </w:p>
    <w:p w14:paraId="05218362"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review aligns with the global body of literature in demonstrating that cost overruns are caused by recurring delivery risks rather than by isolated technical failures. Herrera et al. (2020) identify design failures, variations in material prices, changes in scope, inadequate planning, and design changes as the main causes of cost overruns in road infrastructure projects. Similarly, Ammar et al. (2022) report that variation orders, scope modifications, inaccurate </w:t>
      </w:r>
      <w:proofErr w:type="spellStart"/>
      <w:r>
        <w:rPr>
          <w:rFonts w:ascii="Times New Roman" w:eastAsia="Times New Roman" w:hAnsi="Times New Roman" w:cs="Times New Roman"/>
          <w:color w:val="000000"/>
          <w:sz w:val="22"/>
          <w:szCs w:val="22"/>
        </w:rPr>
        <w:t>estimation,and</w:t>
      </w:r>
      <w:proofErr w:type="spellEnd"/>
      <w:r>
        <w:rPr>
          <w:rFonts w:ascii="Times New Roman" w:eastAsia="Times New Roman" w:hAnsi="Times New Roman" w:cs="Times New Roman"/>
          <w:color w:val="000000"/>
          <w:sz w:val="22"/>
          <w:szCs w:val="22"/>
        </w:rPr>
        <w:t xml:space="preserve"> inflation are key drivers of cost overruns in Egyptian road networks. Love et al. (2015) argue that research into cost overruns must consider both external factors and internal project processes. Ogbu and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xml:space="preserve"> (2020) demonstrate that the site environment and location significantly impact contractor cost risk in road projects. Pham et al. (2020) demonstrate that party competence, resources, risks, and machinery-related costs are particularly influential in transmission-line projects. Abdul Nabi and El-Adaway (2021) add that poor coordination, late design changes,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shortages, and logistics affect cost and schedule performance. Khanh et al. (2023) demonstrate that productivity risk is shaped by technology use, task complexity,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conditions, and accidents.</w:t>
      </w:r>
    </w:p>
    <w:p w14:paraId="71BA003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sharpest point of comparison concerns validation and transferability. The research by Molinari et al. (2023) indicates that transport overruns vary depending on the project phase and the asset type. This suggests that risk models might not be directly applicable across different contexts. Park's (2021) research shows that reference class forecasting can enhance estimation when it is firmly established within institutions and backed by solid evidence. However, Zani et al. (2024) demonstrate that benchmarking becomes more challenging when adequate reference classes are unavailable.</w:t>
      </w:r>
    </w:p>
    <w:p w14:paraId="07A86C4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4.3 Implications for Policy and Practice</w:t>
      </w:r>
    </w:p>
    <w:p w14:paraId="634EFD5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Policy: </w:t>
      </w:r>
      <w:r>
        <w:rPr>
          <w:rFonts w:ascii="Times New Roman" w:eastAsia="Times New Roman" w:hAnsi="Times New Roman" w:cs="Times New Roman"/>
          <w:color w:val="000000"/>
          <w:sz w:val="22"/>
          <w:szCs w:val="22"/>
        </w:rPr>
        <w:t xml:space="preserve">Risk management informed by data needs to be formalized and part of infrastructure governance as a matter of project delivery and not a discretionary technical activity. This necessitates the stage-based risk overview throughout the project preparation to close-out, facilitated by the continuous capturing of core delivery information, such as schedule, cost, scope, procurement, change orders, weather, claims, productivity, and approvals. Agencies and government authorities at the policy level must insist on risk registers, which ought to be updated on a regular basis, and these must be connected to the forecasting or the probabilistic evaluation instruments with the explicit reporting of assumptions, data sources, levels of uncertainty, and time of revision. The procurement and approval processes must also assist in the preservation and reuse of the historical project data to ensure that the past performance of delivery can be used to inform the benchmarking, contingency establishment, and forward planning. Simultaneously, the minimum standards in the application of models ought to be put in place, such as sensitivity tests, recalibration, error reporting, and clear statements about the limits of transferability, before outputs are used to make significant decisions. In areas where institutional and financial capacity are limited, a practical and scalable approach, including structured risk scoring, Monte Carlo-based contingency, simple dashboard </w:t>
      </w:r>
      <w:r>
        <w:rPr>
          <w:rFonts w:ascii="Times New Roman" w:eastAsia="Times New Roman" w:hAnsi="Times New Roman" w:cs="Times New Roman"/>
          <w:color w:val="000000"/>
          <w:sz w:val="22"/>
          <w:szCs w:val="22"/>
        </w:rPr>
        <w:lastRenderedPageBreak/>
        <w:t>reporting, and shared repositories with completed projects, should be added at first, as well as incremental digital reform and targeted staff training.</w:t>
      </w:r>
    </w:p>
    <w:p w14:paraId="0034D43C" w14:textId="4234FC4A"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Practice:</w:t>
      </w:r>
      <w:r>
        <w:rPr>
          <w:rFonts w:ascii="Times New Roman" w:eastAsia="Times New Roman" w:hAnsi="Times New Roman" w:cs="Times New Roman"/>
          <w:color w:val="000000"/>
          <w:sz w:val="22"/>
          <w:szCs w:val="22"/>
        </w:rPr>
        <w:t xml:space="preserve"> Project teams are advised in practice to use a never-ending risk management cycle that commences with an initial identification procedure and proceeds with forecasting, response, and consistent revisions. The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of risks must be reviewed at critical decision-making stages, particularly those in the planning, procurement, </w:t>
      </w:r>
      <w:proofErr w:type="spellStart"/>
      <w:r>
        <w:rPr>
          <w:rFonts w:ascii="Times New Roman" w:eastAsia="Times New Roman" w:hAnsi="Times New Roman" w:cs="Times New Roman"/>
          <w:color w:val="000000"/>
          <w:sz w:val="22"/>
          <w:szCs w:val="22"/>
        </w:rPr>
        <w:t>mobilisation</w:t>
      </w:r>
      <w:proofErr w:type="spellEnd"/>
      <w:r>
        <w:rPr>
          <w:rFonts w:ascii="Times New Roman" w:eastAsia="Times New Roman" w:hAnsi="Times New Roman" w:cs="Times New Roman"/>
          <w:color w:val="000000"/>
          <w:sz w:val="22"/>
          <w:szCs w:val="22"/>
        </w:rPr>
        <w:t xml:space="preserve">, and execution stages. The type of method must be based on the nature of the project and the quality of available data. Machine learning can be applicable in data sets that are large and reliable, whereas Bayesian, modeling on fuzzy or simulation models can be more suitable where the uncertainty is high or expert opinion matters. Regardless of the approach, the result must be rendered into comprehensible management response, including initial-warning limits, contingency zones, resequencing trains, buys decision, prioritized mitigation strategy. The approaches which are not transparent and require poor-quality data and cannot be updated during the delivery should be avoided. Application should also be specific to the project stage, type of infrastructure, the contractual environment, and capacity of </w:t>
      </w:r>
      <w:proofErr w:type="spellStart"/>
      <w:r>
        <w:rPr>
          <w:rFonts w:ascii="Times New Roman" w:eastAsia="Times New Roman" w:hAnsi="Times New Roman" w:cs="Times New Roman"/>
          <w:color w:val="000000"/>
          <w:sz w:val="22"/>
          <w:szCs w:val="22"/>
        </w:rPr>
        <w:t>organisation</w:t>
      </w:r>
      <w:proofErr w:type="spellEnd"/>
      <w:r>
        <w:rPr>
          <w:rFonts w:ascii="Times New Roman" w:eastAsia="Times New Roman" w:hAnsi="Times New Roman" w:cs="Times New Roman"/>
          <w:color w:val="000000"/>
          <w:sz w:val="22"/>
          <w:szCs w:val="22"/>
        </w:rPr>
        <w:t xml:space="preserve">. Effective measures should be used to monitor performance based on practical indicators that include forecast bias, mean absolute error, schedule compliance, contingency </w:t>
      </w:r>
      <w:proofErr w:type="spellStart"/>
      <w:r>
        <w:rPr>
          <w:rFonts w:ascii="Times New Roman" w:eastAsia="Times New Roman" w:hAnsi="Times New Roman" w:cs="Times New Roman"/>
          <w:color w:val="000000"/>
          <w:sz w:val="22"/>
          <w:szCs w:val="22"/>
        </w:rPr>
        <w:t>utilisation</w:t>
      </w:r>
      <w:proofErr w:type="spellEnd"/>
      <w:r>
        <w:rPr>
          <w:rFonts w:ascii="Times New Roman" w:eastAsia="Times New Roman" w:hAnsi="Times New Roman" w:cs="Times New Roman"/>
          <w:color w:val="000000"/>
          <w:sz w:val="22"/>
          <w:szCs w:val="22"/>
        </w:rPr>
        <w:t xml:space="preserve">, frequency of changes that are made and the speed at which the risks fall. Routine learning and continuous improvement should then be informed by these measures. The training required in data quality, uncertainty interpretation, </w:t>
      </w:r>
      <w:proofErr w:type="spellStart"/>
      <w:r w:rsidR="008E5654">
        <w:rPr>
          <w:rFonts w:ascii="Times New Roman" w:eastAsia="Times New Roman" w:hAnsi="Times New Roman" w:cs="Times New Roman"/>
          <w:color w:val="000000"/>
          <w:sz w:val="22"/>
          <w:szCs w:val="22"/>
        </w:rPr>
        <w:t>utilisation</w:t>
      </w:r>
      <w:proofErr w:type="spellEnd"/>
      <w:r>
        <w:rPr>
          <w:rFonts w:ascii="Times New Roman" w:eastAsia="Times New Roman" w:hAnsi="Times New Roman" w:cs="Times New Roman"/>
          <w:color w:val="000000"/>
          <w:sz w:val="22"/>
          <w:szCs w:val="22"/>
        </w:rPr>
        <w:t xml:space="preserve"> of dashboards and project controls must be provided to teams in day-to-day decisions.</w:t>
      </w:r>
    </w:p>
    <w:p w14:paraId="05BEA312"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4.4 Limitations of the review  </w:t>
      </w:r>
    </w:p>
    <w:p w14:paraId="5A1621DD" w14:textId="7CDAF22A" w:rsidR="00293D40" w:rsidRPr="00293D40" w:rsidRDefault="00293D40" w:rsidP="00293D40">
      <w:pPr>
        <w:jc w:val="both"/>
        <w:rPr>
          <w:rFonts w:ascii="Times New Roman" w:eastAsia="Times New Roman" w:hAnsi="Times New Roman" w:cs="Times New Roman"/>
          <w:color w:val="000000"/>
          <w:sz w:val="22"/>
          <w:szCs w:val="22"/>
        </w:rPr>
      </w:pPr>
      <w:r w:rsidRPr="00293D40">
        <w:rPr>
          <w:rFonts w:ascii="Times New Roman" w:eastAsia="Times New Roman" w:hAnsi="Times New Roman" w:cs="Times New Roman"/>
          <w:color w:val="000000"/>
          <w:sz w:val="22"/>
          <w:szCs w:val="22"/>
        </w:rPr>
        <w:t>This review has several limitations. Firstly, the review was restricted to English-language, peer-reviewed journal articles published between 2015 and 2025. Consequently, relevant studies published in other languages or outside the selected period may have been overlooked. Secondly, grey literature was excluded. This is significant because infrastructure risk management is frequently influenced by practical work carried out by transport authorities, multilateral institutions, government agencies, industry bodies and consultants. Excluding such sources may have reduced the review’s ability to capture implementation experiences, real-world digital, operational models, and risk tools used in practice but not reported in academic journals.</w:t>
      </w:r>
    </w:p>
    <w:p w14:paraId="3685420A" w14:textId="768923C6" w:rsidR="00293D40" w:rsidRDefault="00293D40" w:rsidP="00293D40">
      <w:pPr>
        <w:jc w:val="both"/>
        <w:rPr>
          <w:rFonts w:ascii="Times New Roman" w:eastAsia="Times New Roman" w:hAnsi="Times New Roman" w:cs="Times New Roman"/>
          <w:color w:val="000000"/>
          <w:sz w:val="22"/>
          <w:szCs w:val="22"/>
        </w:rPr>
      </w:pPr>
      <w:r w:rsidRPr="00293D40">
        <w:rPr>
          <w:rFonts w:ascii="Times New Roman" w:eastAsia="Times New Roman" w:hAnsi="Times New Roman" w:cs="Times New Roman"/>
          <w:color w:val="000000"/>
          <w:sz w:val="22"/>
          <w:szCs w:val="22"/>
        </w:rPr>
        <w:t xml:space="preserve">Thirdly, the evidence base was heterogeneous and relatively small, spanning project stages, outcome </w:t>
      </w:r>
      <w:proofErr w:type="spellStart"/>
      <w:r w:rsidRPr="00293D40">
        <w:rPr>
          <w:rFonts w:ascii="Times New Roman" w:eastAsia="Times New Roman" w:hAnsi="Times New Roman" w:cs="Times New Roman"/>
          <w:color w:val="000000"/>
          <w:sz w:val="22"/>
          <w:szCs w:val="22"/>
        </w:rPr>
        <w:t>measuresdifferent</w:t>
      </w:r>
      <w:proofErr w:type="spellEnd"/>
      <w:r w:rsidRPr="00293D40">
        <w:rPr>
          <w:rFonts w:ascii="Times New Roman" w:eastAsia="Times New Roman" w:hAnsi="Times New Roman" w:cs="Times New Roman"/>
          <w:color w:val="000000"/>
          <w:sz w:val="22"/>
          <w:szCs w:val="22"/>
        </w:rPr>
        <w:t xml:space="preserve"> infrastructure sectors, model families and datasets. This limited direct comparability across studies and constrained the extent to which strong </w:t>
      </w:r>
      <w:proofErr w:type="spellStart"/>
      <w:r w:rsidRPr="00293D40">
        <w:rPr>
          <w:rFonts w:ascii="Times New Roman" w:eastAsia="Times New Roman" w:hAnsi="Times New Roman" w:cs="Times New Roman"/>
          <w:color w:val="000000"/>
          <w:sz w:val="22"/>
          <w:szCs w:val="22"/>
        </w:rPr>
        <w:t>generalisations</w:t>
      </w:r>
      <w:proofErr w:type="spellEnd"/>
      <w:r w:rsidRPr="00293D40">
        <w:rPr>
          <w:rFonts w:ascii="Times New Roman" w:eastAsia="Times New Roman" w:hAnsi="Times New Roman" w:cs="Times New Roman"/>
          <w:color w:val="000000"/>
          <w:sz w:val="22"/>
          <w:szCs w:val="22"/>
        </w:rPr>
        <w:t xml:space="preserve"> could be made. Fourthly, most of the included studies were based on case studies and relied on internal, scenario-specific or study-bound validation. Very few tested transferability across jurisdictions or sectors, and none demonstrated the effects of deployment on actual overrun reduction. Finally, as this was a scoping review, no formal quality appraisal was undertaken. Therefore, the review maps the character and range of the available evidence, but does not provide a weighted assessment of methodological quality or risk of bias.</w:t>
      </w:r>
    </w:p>
    <w:p w14:paraId="14C919C7" w14:textId="4EFC0CD6" w:rsidR="00506EDB" w:rsidRDefault="00EA765F" w:rsidP="00293D4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5.0 Conclusion</w:t>
      </w:r>
    </w:p>
    <w:p w14:paraId="01EEB20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scoping review </w:t>
      </w:r>
      <w:proofErr w:type="spellStart"/>
      <w:r>
        <w:rPr>
          <w:rFonts w:ascii="Times New Roman" w:eastAsia="Times New Roman" w:hAnsi="Times New Roman" w:cs="Times New Roman"/>
          <w:color w:val="000000"/>
          <w:sz w:val="22"/>
          <w:szCs w:val="22"/>
        </w:rPr>
        <w:t>synthesised</w:t>
      </w:r>
      <w:proofErr w:type="spellEnd"/>
      <w:r>
        <w:rPr>
          <w:rFonts w:ascii="Times New Roman" w:eastAsia="Times New Roman" w:hAnsi="Times New Roman" w:cs="Times New Roman"/>
          <w:color w:val="000000"/>
          <w:sz w:val="22"/>
          <w:szCs w:val="22"/>
        </w:rPr>
        <w:t xml:space="preserve"> 19 empirical applications of data-driven risk modelling for schedule and cost outcomes in infrastructure project delivery. Across diverse project types and settings, machine learning, Monte Carlo, and Bayesian approaches, as well as other hybrid methods, generally improved the prediction of cost overruns, liquidated damages, contingencies, and related risk signals. However, the </w:t>
      </w:r>
      <w:r>
        <w:rPr>
          <w:rFonts w:ascii="Times New Roman" w:eastAsia="Times New Roman" w:hAnsi="Times New Roman" w:cs="Times New Roman"/>
          <w:color w:val="000000"/>
          <w:sz w:val="22"/>
          <w:szCs w:val="22"/>
        </w:rPr>
        <w:lastRenderedPageBreak/>
        <w:t xml:space="preserve">forecasting of schedule delays and durations remained more operationally challenging and context-sensitive. But most applications used separate or special sets of data, were checked mainly in one place, and were only partly part of normal project control and problem-solving systems. Overall, the evidence suggests that data-driven risk modelling can strengthen infrastructure delivery when models are built on well-governed, reliable data that is transparently validated and translated into practical decisions, such as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mitigation, providing early warnings, and setting contingencies. Future work should </w:t>
      </w:r>
      <w:proofErr w:type="spellStart"/>
      <w:r>
        <w:rPr>
          <w:rFonts w:ascii="Times New Roman" w:eastAsia="Times New Roman" w:hAnsi="Times New Roman" w:cs="Times New Roman"/>
          <w:color w:val="000000"/>
          <w:sz w:val="22"/>
          <w:szCs w:val="22"/>
        </w:rPr>
        <w:t>prioritise</w:t>
      </w:r>
      <w:proofErr w:type="spellEnd"/>
      <w:r>
        <w:rPr>
          <w:rFonts w:ascii="Times New Roman" w:eastAsia="Times New Roman" w:hAnsi="Times New Roman" w:cs="Times New Roman"/>
          <w:color w:val="000000"/>
          <w:sz w:val="22"/>
          <w:szCs w:val="22"/>
        </w:rPr>
        <w:t xml:space="preserve"> cross-project benchmarking, external and temporal validation, stronger evidence on dashboards, transferability, and tighter integration with project controls, BIM-enabled environments, and broader enterprise systems. It should also focus on developing explainable, user-</w:t>
      </w:r>
      <w:proofErr w:type="spellStart"/>
      <w:r>
        <w:rPr>
          <w:rFonts w:ascii="Times New Roman" w:eastAsia="Times New Roman" w:hAnsi="Times New Roman" w:cs="Times New Roman"/>
          <w:color w:val="000000"/>
          <w:sz w:val="22"/>
          <w:szCs w:val="22"/>
        </w:rPr>
        <w:t>centred</w:t>
      </w:r>
      <w:proofErr w:type="spellEnd"/>
      <w:r>
        <w:rPr>
          <w:rFonts w:ascii="Times New Roman" w:eastAsia="Times New Roman" w:hAnsi="Times New Roman" w:cs="Times New Roman"/>
          <w:color w:val="000000"/>
          <w:sz w:val="22"/>
          <w:szCs w:val="22"/>
        </w:rPr>
        <w:t xml:space="preserve"> tools. These should be linked to clear performance indicators. These indicators should include forecast bias, out-of-sample error, schedule adherence, and response time to emerging risks. It is vital that these gaps are addressed if data-driven risk modelling is to progress from its current state of promising case-based applications to a more mature capability for delivering infrastructure that is more resilient, time-efficient, and cost-conscious.</w:t>
      </w:r>
    </w:p>
    <w:p w14:paraId="4EFD3D6B" w14:textId="77777777" w:rsidR="00C21B06" w:rsidRDefault="00C21B06">
      <w:pPr>
        <w:jc w:val="both"/>
        <w:rPr>
          <w:rFonts w:ascii="Times New Roman" w:eastAsia="Times New Roman" w:hAnsi="Times New Roman" w:cs="Times New Roman"/>
          <w:color w:val="000000"/>
          <w:sz w:val="22"/>
          <w:szCs w:val="22"/>
        </w:rPr>
      </w:pPr>
    </w:p>
    <w:p w14:paraId="5930EB38" w14:textId="77777777" w:rsidR="00C21B06" w:rsidRP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COMPETING INTERESTS DISCLAIMER:</w:t>
      </w:r>
    </w:p>
    <w:p w14:paraId="3BCDF9C4" w14:textId="38067233" w:rsid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Authors have declared that they have no known competing financial interests OR non-financial interests OR personal relationships that could have appeared to influence the work reported in this paper.</w:t>
      </w:r>
    </w:p>
    <w:p w14:paraId="6F53A7D5" w14:textId="77777777" w:rsidR="006047A1" w:rsidRPr="00CA3906" w:rsidRDefault="006047A1" w:rsidP="006047A1">
      <w:pPr>
        <w:rPr>
          <w:b/>
          <w:highlight w:val="yellow"/>
        </w:rPr>
      </w:pPr>
      <w:r w:rsidRPr="00CA3906">
        <w:rPr>
          <w:b/>
          <w:highlight w:val="yellow"/>
        </w:rPr>
        <w:t>Disclaimer (Artificial intelligence)</w:t>
      </w:r>
    </w:p>
    <w:p w14:paraId="775A79CE" w14:textId="77777777" w:rsidR="006047A1" w:rsidRPr="00740879" w:rsidRDefault="006047A1" w:rsidP="006047A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A57DC60" w14:textId="77777777" w:rsidR="006047A1" w:rsidRDefault="006047A1" w:rsidP="00C21B06">
      <w:pPr>
        <w:jc w:val="both"/>
        <w:rPr>
          <w:rFonts w:ascii="Times New Roman" w:eastAsia="Times New Roman" w:hAnsi="Times New Roman" w:cs="Times New Roman"/>
          <w:color w:val="000000"/>
          <w:sz w:val="22"/>
          <w:szCs w:val="22"/>
        </w:rPr>
      </w:pPr>
    </w:p>
    <w:p w14:paraId="3D2F6126" w14:textId="77777777" w:rsidR="00506EDB" w:rsidRDefault="00EA765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References</w:t>
      </w:r>
    </w:p>
    <w:p w14:paraId="5DAEBCA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Abdul Nabi, M., &amp; El-Adaway, I. H. (2021). </w:t>
      </w:r>
      <w:r>
        <w:rPr>
          <w:rFonts w:ascii="Times New Roman" w:eastAsia="Times New Roman" w:hAnsi="Times New Roman" w:cs="Times New Roman"/>
          <w:color w:val="000000"/>
          <w:sz w:val="22"/>
          <w:szCs w:val="22"/>
        </w:rPr>
        <w:t>Understanding the key risks affecting cost and schedule performance of modular construction projects. </w:t>
      </w:r>
      <w:r>
        <w:rPr>
          <w:rFonts w:ascii="Times New Roman" w:eastAsia="Times New Roman" w:hAnsi="Times New Roman" w:cs="Times New Roman"/>
          <w:i/>
          <w:iCs/>
          <w:color w:val="000000"/>
          <w:sz w:val="22"/>
          <w:szCs w:val="22"/>
        </w:rPr>
        <w:t>Journal of management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37</w:t>
      </w:r>
      <w:r>
        <w:rPr>
          <w:rFonts w:ascii="Times New Roman" w:eastAsia="Times New Roman" w:hAnsi="Times New Roman" w:cs="Times New Roman"/>
          <w:color w:val="000000"/>
          <w:sz w:val="22"/>
          <w:szCs w:val="22"/>
        </w:rPr>
        <w:t xml:space="preserve">(4), 04021023. </w:t>
      </w:r>
      <w:hyperlink r:id="rId16">
        <w:r w:rsidR="00506EDB">
          <w:rPr>
            <w:rFonts w:ascii="Times New Roman" w:eastAsia="Times New Roman" w:hAnsi="Times New Roman" w:cs="Times New Roman"/>
            <w:color w:val="0000FF"/>
            <w:sz w:val="22"/>
            <w:szCs w:val="22"/>
            <w:u w:val="single"/>
          </w:rPr>
          <w:t>https://doi.org/10.1061/(ASCE)ME.1943-5479.000091</w:t>
        </w:r>
      </w:hyperlink>
    </w:p>
    <w:p w14:paraId="13885F5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Al-Hazim, N., Salem, Z. A., &amp; Ahmad, H. (2017). Delay and cost overrun in infrastructure projects in Jordan. Procedia Engineering, 182, 18-24. </w:t>
      </w:r>
      <w:hyperlink r:id="rId17">
        <w:r w:rsidR="00506EDB">
          <w:rPr>
            <w:rFonts w:ascii="Times New Roman" w:eastAsia="Times New Roman" w:hAnsi="Times New Roman" w:cs="Times New Roman"/>
            <w:color w:val="0000FF"/>
            <w:sz w:val="22"/>
            <w:szCs w:val="22"/>
            <w:u w:val="single"/>
          </w:rPr>
          <w:t>https://doi.org/10.1016/j.proeng.2017.03.105</w:t>
        </w:r>
      </w:hyperlink>
    </w:p>
    <w:p w14:paraId="71BD313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O., Alzubaidi, M. A., </w:t>
      </w:r>
      <w:proofErr w:type="spellStart"/>
      <w:r>
        <w:rPr>
          <w:rFonts w:ascii="Times New Roman" w:eastAsia="Times New Roman" w:hAnsi="Times New Roman" w:cs="Times New Roman"/>
          <w:color w:val="000000"/>
          <w:sz w:val="22"/>
          <w:szCs w:val="22"/>
        </w:rPr>
        <w:t>Mamlook</w:t>
      </w:r>
      <w:proofErr w:type="spellEnd"/>
      <w:r>
        <w:rPr>
          <w:rFonts w:ascii="Times New Roman" w:eastAsia="Times New Roman" w:hAnsi="Times New Roman" w:cs="Times New Roman"/>
          <w:color w:val="000000"/>
          <w:sz w:val="22"/>
          <w:szCs w:val="22"/>
        </w:rPr>
        <w:t xml:space="preserve">, R. E. A., </w:t>
      </w:r>
      <w:proofErr w:type="spellStart"/>
      <w:r>
        <w:rPr>
          <w:rFonts w:ascii="Times New Roman" w:eastAsia="Times New Roman" w:hAnsi="Times New Roman" w:cs="Times New Roman"/>
          <w:color w:val="000000"/>
          <w:sz w:val="22"/>
          <w:szCs w:val="22"/>
        </w:rPr>
        <w:t>Almasabha</w:t>
      </w:r>
      <w:proofErr w:type="spellEnd"/>
      <w:r>
        <w:rPr>
          <w:rFonts w:ascii="Times New Roman" w:eastAsia="Times New Roman" w:hAnsi="Times New Roman" w:cs="Times New Roman"/>
          <w:color w:val="000000"/>
          <w:sz w:val="22"/>
          <w:szCs w:val="22"/>
        </w:rPr>
        <w:t xml:space="preserve">, G., Almuflih, A. S., &amp; Shehadeh, A. (2022). Forecasting Liquidated Damages via Machine Learning-Based Modified Regression Models for Highway Construction Projects. Sustainability, 14(10), 5835. </w:t>
      </w:r>
      <w:hyperlink r:id="rId18">
        <w:r w:rsidR="00506EDB">
          <w:rPr>
            <w:rFonts w:ascii="Times New Roman" w:eastAsia="Times New Roman" w:hAnsi="Times New Roman" w:cs="Times New Roman"/>
            <w:color w:val="0000FF"/>
            <w:sz w:val="22"/>
            <w:szCs w:val="22"/>
            <w:u w:val="single"/>
          </w:rPr>
          <w:t>https://doi.org/10.3390/su14105835</w:t>
        </w:r>
      </w:hyperlink>
    </w:p>
    <w:p w14:paraId="0215EA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Al-</w:t>
      </w:r>
      <w:proofErr w:type="spellStart"/>
      <w:r w:rsidRPr="00111BFC">
        <w:rPr>
          <w:rFonts w:ascii="Times New Roman" w:eastAsia="Times New Roman" w:hAnsi="Times New Roman" w:cs="Times New Roman"/>
          <w:color w:val="000000"/>
          <w:sz w:val="22"/>
          <w:szCs w:val="22"/>
          <w:lang w:val="es-US"/>
        </w:rPr>
        <w:t>Ghzawi</w:t>
      </w:r>
      <w:proofErr w:type="spellEnd"/>
      <w:r w:rsidRPr="00111BFC">
        <w:rPr>
          <w:rFonts w:ascii="Times New Roman" w:eastAsia="Times New Roman" w:hAnsi="Times New Roman" w:cs="Times New Roman"/>
          <w:color w:val="000000"/>
          <w:sz w:val="22"/>
          <w:szCs w:val="22"/>
          <w:lang w:val="es-US"/>
        </w:rPr>
        <w:t xml:space="preserve">, M., &amp; El-Rayes, K. (2024). </w:t>
      </w:r>
      <w:r>
        <w:rPr>
          <w:rFonts w:ascii="Times New Roman" w:eastAsia="Times New Roman" w:hAnsi="Times New Roman" w:cs="Times New Roman"/>
          <w:color w:val="000000"/>
          <w:sz w:val="22"/>
          <w:szCs w:val="22"/>
        </w:rPr>
        <w:t>Machine learning for predicting the impact of construction activities on air traffic operations during airport expansion projects.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158</w:t>
      </w:r>
      <w:r>
        <w:rPr>
          <w:rFonts w:ascii="Times New Roman" w:eastAsia="Times New Roman" w:hAnsi="Times New Roman" w:cs="Times New Roman"/>
          <w:color w:val="000000"/>
          <w:sz w:val="22"/>
          <w:szCs w:val="22"/>
        </w:rPr>
        <w:t>, 105189.</w:t>
      </w:r>
      <w:hyperlink r:id="rId19">
        <w:r w:rsidR="00506EDB">
          <w:rPr>
            <w:rFonts w:ascii="Times New Roman" w:eastAsia="Times New Roman" w:hAnsi="Times New Roman" w:cs="Times New Roman"/>
            <w:color w:val="0000FF"/>
            <w:sz w:val="22"/>
            <w:szCs w:val="22"/>
            <w:u w:val="single"/>
          </w:rPr>
          <w:t>https://doi.org/10.1016/j.autcon.2023.105189</w:t>
        </w:r>
      </w:hyperlink>
    </w:p>
    <w:p w14:paraId="1DDE13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Ammar, T., Abdel-Monem, M., &amp; El-Dash, K. (2022). </w:t>
      </w:r>
      <w:r>
        <w:rPr>
          <w:rFonts w:ascii="Times New Roman" w:eastAsia="Times New Roman" w:hAnsi="Times New Roman" w:cs="Times New Roman"/>
          <w:color w:val="000000"/>
          <w:sz w:val="22"/>
          <w:szCs w:val="22"/>
        </w:rPr>
        <w:t>Risk factors causing cost overruns in road networks.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(5), 101720.</w:t>
      </w:r>
      <w:hyperlink r:id="rId20">
        <w:r w:rsidR="00506EDB">
          <w:rPr>
            <w:rFonts w:ascii="Times New Roman" w:eastAsia="Times New Roman" w:hAnsi="Times New Roman" w:cs="Times New Roman"/>
            <w:color w:val="0000FF"/>
            <w:sz w:val="22"/>
            <w:szCs w:val="22"/>
            <w:u w:val="single"/>
          </w:rPr>
          <w:t>https://doi.org/10.1016/j.asej.2022.101720</w:t>
        </w:r>
      </w:hyperlink>
    </w:p>
    <w:p w14:paraId="6BA636E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Andrić, J. M., Lin, S., Cheng, Y., &amp; Sun, B. (2024). Determining Cost and Causes of Overruns in Infrastructure Projects in South Asia. Sustainability, 16(24), 11159. </w:t>
      </w:r>
      <w:hyperlink r:id="rId21">
        <w:r w:rsidR="00506EDB">
          <w:rPr>
            <w:rFonts w:ascii="Times New Roman" w:eastAsia="Times New Roman" w:hAnsi="Times New Roman" w:cs="Times New Roman"/>
            <w:color w:val="0000FF"/>
            <w:sz w:val="22"/>
            <w:szCs w:val="22"/>
            <w:u w:val="single"/>
          </w:rPr>
          <w:t>https://doi.org/10.3390/su162411159</w:t>
        </w:r>
      </w:hyperlink>
    </w:p>
    <w:p w14:paraId="629454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Ariza Flores, V. A., &amp; Zavala </w:t>
      </w:r>
      <w:proofErr w:type="spellStart"/>
      <w:r w:rsidRPr="00111BFC">
        <w:rPr>
          <w:rFonts w:ascii="Times New Roman" w:eastAsia="Times New Roman" w:hAnsi="Times New Roman" w:cs="Times New Roman"/>
          <w:color w:val="000000"/>
          <w:sz w:val="22"/>
          <w:szCs w:val="22"/>
          <w:lang w:val="es-US"/>
        </w:rPr>
        <w:t>Ascaño</w:t>
      </w:r>
      <w:proofErr w:type="spellEnd"/>
      <w:r w:rsidRPr="00111BFC">
        <w:rPr>
          <w:rFonts w:ascii="Times New Roman" w:eastAsia="Times New Roman" w:hAnsi="Times New Roman" w:cs="Times New Roman"/>
          <w:color w:val="000000"/>
          <w:sz w:val="22"/>
          <w:szCs w:val="22"/>
          <w:lang w:val="es-US"/>
        </w:rPr>
        <w:t xml:space="preserve">, G. (2025). </w:t>
      </w:r>
      <w:r>
        <w:rPr>
          <w:rFonts w:ascii="Times New Roman" w:eastAsia="Times New Roman" w:hAnsi="Times New Roman" w:cs="Times New Roman"/>
          <w:color w:val="000000"/>
          <w:sz w:val="22"/>
          <w:szCs w:val="22"/>
        </w:rPr>
        <w:t xml:space="preserve">Quantitative Risk Analysis Framework for Cost and Time Estimation in Road Infrastructure Projects. Infrastructures, 10(6), 139. </w:t>
      </w:r>
      <w:hyperlink r:id="rId22">
        <w:r w:rsidR="00506EDB">
          <w:rPr>
            <w:rFonts w:ascii="Times New Roman" w:eastAsia="Times New Roman" w:hAnsi="Times New Roman" w:cs="Times New Roman"/>
            <w:color w:val="0000FF"/>
            <w:sz w:val="22"/>
            <w:szCs w:val="22"/>
            <w:u w:val="single"/>
          </w:rPr>
          <w:t>https://doi.org/10.3390/infrastructures10060139</w:t>
        </w:r>
      </w:hyperlink>
    </w:p>
    <w:p w14:paraId="6F86B22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J., &amp;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M. (2015). Empirical evaluation of earned value management forecasting accuracy for time and cost. </w:t>
      </w:r>
      <w:r>
        <w:rPr>
          <w:rFonts w:ascii="Times New Roman" w:eastAsia="Times New Roman" w:hAnsi="Times New Roman" w:cs="Times New Roman"/>
          <w:i/>
          <w:iCs/>
          <w:color w:val="000000"/>
          <w:sz w:val="22"/>
          <w:szCs w:val="22"/>
        </w:rPr>
        <w:t>Journal of Construction Engineering and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141</w:t>
      </w:r>
      <w:r>
        <w:rPr>
          <w:rFonts w:ascii="Times New Roman" w:eastAsia="Times New Roman" w:hAnsi="Times New Roman" w:cs="Times New Roman"/>
          <w:color w:val="000000"/>
          <w:sz w:val="22"/>
          <w:szCs w:val="22"/>
        </w:rPr>
        <w:t xml:space="preserve">(11), 05015010. </w:t>
      </w:r>
      <w:hyperlink r:id="rId23">
        <w:r w:rsidR="00506EDB">
          <w:rPr>
            <w:rFonts w:ascii="Times New Roman" w:eastAsia="Times New Roman" w:hAnsi="Times New Roman" w:cs="Times New Roman"/>
            <w:color w:val="0000FF"/>
            <w:sz w:val="22"/>
            <w:szCs w:val="22"/>
            <w:u w:val="single"/>
          </w:rPr>
          <w:t>https://doi.org/10.1061/(ASCE)CO.1943-7862.00010</w:t>
        </w:r>
      </w:hyperlink>
    </w:p>
    <w:p w14:paraId="1D6DBFB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Berg, H., Larsen, A. S. A., Klakegg, O. J., &amp; Welde, M. (2025). </w:t>
      </w:r>
      <w:r>
        <w:rPr>
          <w:rFonts w:ascii="Times New Roman" w:eastAsia="Times New Roman" w:hAnsi="Times New Roman" w:cs="Times New Roman"/>
          <w:color w:val="000000"/>
          <w:sz w:val="22"/>
          <w:szCs w:val="22"/>
        </w:rPr>
        <w:t>Cost estimation in major public projects’ front-end phase: An empirical study on how to improve current practices.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w:t>
      </w:r>
      <w:r>
        <w:rPr>
          <w:rFonts w:ascii="Times New Roman" w:eastAsia="Times New Roman" w:hAnsi="Times New Roman" w:cs="Times New Roman"/>
          <w:color w:val="000000"/>
          <w:sz w:val="22"/>
          <w:szCs w:val="22"/>
        </w:rPr>
        <w:t xml:space="preserve">, 100171. </w:t>
      </w:r>
      <w:hyperlink r:id="rId24">
        <w:r w:rsidR="00506EDB">
          <w:rPr>
            <w:rFonts w:ascii="Times New Roman" w:eastAsia="Times New Roman" w:hAnsi="Times New Roman" w:cs="Times New Roman"/>
            <w:color w:val="0000FF"/>
            <w:sz w:val="22"/>
            <w:szCs w:val="22"/>
            <w:u w:val="single"/>
          </w:rPr>
          <w:t>https://doi.org/10.1016/j.plas.2024.100171</w:t>
        </w:r>
      </w:hyperlink>
    </w:p>
    <w:p w14:paraId="16617E6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Boamah, F. A., Jin, X., </w:t>
      </w:r>
      <w:proofErr w:type="spellStart"/>
      <w:r w:rsidRPr="00111BFC">
        <w:rPr>
          <w:rFonts w:ascii="Times New Roman" w:eastAsia="Times New Roman" w:hAnsi="Times New Roman" w:cs="Times New Roman"/>
          <w:color w:val="000000"/>
          <w:sz w:val="22"/>
          <w:szCs w:val="22"/>
          <w:lang w:val="es-US"/>
        </w:rPr>
        <w:t>Senaratne</w:t>
      </w:r>
      <w:proofErr w:type="spellEnd"/>
      <w:r w:rsidRPr="00111BFC">
        <w:rPr>
          <w:rFonts w:ascii="Times New Roman" w:eastAsia="Times New Roman" w:hAnsi="Times New Roman" w:cs="Times New Roman"/>
          <w:color w:val="000000"/>
          <w:sz w:val="22"/>
          <w:szCs w:val="22"/>
          <w:lang w:val="es-US"/>
        </w:rPr>
        <w:t xml:space="preserve">, S., &amp; Perera, S. (2025). </w:t>
      </w:r>
      <w:r>
        <w:rPr>
          <w:rFonts w:ascii="Times New Roman" w:eastAsia="Times New Roman" w:hAnsi="Times New Roman" w:cs="Times New Roman"/>
          <w:color w:val="000000"/>
          <w:sz w:val="22"/>
          <w:szCs w:val="22"/>
        </w:rPr>
        <w:t xml:space="preserve">AI-driven risk identification model for infrastructure project: </w:t>
      </w:r>
      <w:proofErr w:type="spellStart"/>
      <w:r>
        <w:rPr>
          <w:rFonts w:ascii="Times New Roman" w:eastAsia="Times New Roman" w:hAnsi="Times New Roman" w:cs="Times New Roman"/>
          <w:color w:val="000000"/>
          <w:sz w:val="22"/>
          <w:szCs w:val="22"/>
        </w:rPr>
        <w:t>Utilising</w:t>
      </w:r>
      <w:proofErr w:type="spellEnd"/>
      <w:r>
        <w:rPr>
          <w:rFonts w:ascii="Times New Roman" w:eastAsia="Times New Roman" w:hAnsi="Times New Roman" w:cs="Times New Roman"/>
          <w:color w:val="000000"/>
          <w:sz w:val="22"/>
          <w:szCs w:val="22"/>
        </w:rPr>
        <w:t xml:space="preserve"> past project data.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283</w:t>
      </w:r>
      <w:r>
        <w:rPr>
          <w:rFonts w:ascii="Times New Roman" w:eastAsia="Times New Roman" w:hAnsi="Times New Roman" w:cs="Times New Roman"/>
          <w:color w:val="000000"/>
          <w:sz w:val="22"/>
          <w:szCs w:val="22"/>
        </w:rPr>
        <w:t xml:space="preserve">, 127891. </w:t>
      </w:r>
      <w:hyperlink r:id="rId25">
        <w:r w:rsidR="00506EDB">
          <w:rPr>
            <w:rFonts w:ascii="Times New Roman" w:eastAsia="Times New Roman" w:hAnsi="Times New Roman" w:cs="Times New Roman"/>
            <w:color w:val="0000FF"/>
            <w:sz w:val="22"/>
            <w:szCs w:val="22"/>
            <w:u w:val="single"/>
          </w:rPr>
          <w:t>https://doi.org/10.1016/j.eswa.2025.127891</w:t>
        </w:r>
      </w:hyperlink>
    </w:p>
    <w:p w14:paraId="353B90A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Chapman, P. (2024). Project delivery performance: Insights from English roads major schemes.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5</w:t>
      </w:r>
      <w:r>
        <w:rPr>
          <w:rFonts w:ascii="Times New Roman" w:eastAsia="Times New Roman" w:hAnsi="Times New Roman" w:cs="Times New Roman"/>
          <w:color w:val="000000"/>
          <w:sz w:val="22"/>
          <w:szCs w:val="22"/>
        </w:rPr>
        <w:t xml:space="preserve">, 100128. </w:t>
      </w:r>
      <w:hyperlink r:id="rId26">
        <w:r w:rsidR="00506EDB">
          <w:rPr>
            <w:rFonts w:ascii="Times New Roman" w:eastAsia="Times New Roman" w:hAnsi="Times New Roman" w:cs="Times New Roman"/>
            <w:color w:val="0000FF"/>
            <w:sz w:val="22"/>
            <w:szCs w:val="22"/>
            <w:u w:val="single"/>
          </w:rPr>
          <w:t>https://doi.org/10.1016/j.plas.2024.100128</w:t>
        </w:r>
      </w:hyperlink>
    </w:p>
    <w:p w14:paraId="4929694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Chen, M., Martins, T. S., Zhang, L., &amp; Dong, H. (2025). </w:t>
      </w:r>
      <w:r>
        <w:rPr>
          <w:rFonts w:ascii="Times New Roman" w:eastAsia="Times New Roman" w:hAnsi="Times New Roman" w:cs="Times New Roman"/>
          <w:color w:val="000000"/>
          <w:sz w:val="22"/>
          <w:szCs w:val="22"/>
        </w:rPr>
        <w:t>Digital transformation in project management: A systematic review and research agenda. </w:t>
      </w:r>
      <w:r>
        <w:rPr>
          <w:rFonts w:ascii="Times New Roman" w:eastAsia="Times New Roman" w:hAnsi="Times New Roman" w:cs="Times New Roman"/>
          <w:i/>
          <w:iCs/>
          <w:color w:val="000000"/>
          <w:sz w:val="22"/>
          <w:szCs w:val="22"/>
        </w:rPr>
        <w:t>Systems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(8), 625.</w:t>
      </w:r>
      <w:hyperlink r:id="rId27">
        <w:r w:rsidR="00506EDB">
          <w:rPr>
            <w:rFonts w:ascii="Times New Roman" w:eastAsia="Times New Roman" w:hAnsi="Times New Roman" w:cs="Times New Roman"/>
            <w:color w:val="0000FF"/>
            <w:sz w:val="22"/>
            <w:szCs w:val="22"/>
            <w:u w:val="single"/>
          </w:rPr>
          <w:t>https://doi.org/10.3390/systems13080625</w:t>
        </w:r>
      </w:hyperlink>
    </w:p>
    <w:p w14:paraId="54B99AD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Daoud, A. O., El </w:t>
      </w:r>
      <w:proofErr w:type="spellStart"/>
      <w:r w:rsidRPr="00111BFC">
        <w:rPr>
          <w:rFonts w:ascii="Times New Roman" w:eastAsia="Times New Roman" w:hAnsi="Times New Roman" w:cs="Times New Roman"/>
          <w:color w:val="000000"/>
          <w:sz w:val="22"/>
          <w:szCs w:val="22"/>
          <w:lang w:val="es-US"/>
        </w:rPr>
        <w:t>Hefnawy</w:t>
      </w:r>
      <w:proofErr w:type="spellEnd"/>
      <w:r w:rsidRPr="00111BFC">
        <w:rPr>
          <w:rFonts w:ascii="Times New Roman" w:eastAsia="Times New Roman" w:hAnsi="Times New Roman" w:cs="Times New Roman"/>
          <w:color w:val="000000"/>
          <w:sz w:val="22"/>
          <w:szCs w:val="22"/>
          <w:lang w:val="es-US"/>
        </w:rPr>
        <w:t xml:space="preserve">, M., &amp; </w:t>
      </w:r>
      <w:proofErr w:type="spellStart"/>
      <w:r w:rsidRPr="00111BFC">
        <w:rPr>
          <w:rFonts w:ascii="Times New Roman" w:eastAsia="Times New Roman" w:hAnsi="Times New Roman" w:cs="Times New Roman"/>
          <w:color w:val="000000"/>
          <w:sz w:val="22"/>
          <w:szCs w:val="22"/>
          <w:lang w:val="es-US"/>
        </w:rPr>
        <w:t>Wefki</w:t>
      </w:r>
      <w:proofErr w:type="spellEnd"/>
      <w:r w:rsidRPr="00111BFC">
        <w:rPr>
          <w:rFonts w:ascii="Times New Roman" w:eastAsia="Times New Roman" w:hAnsi="Times New Roman" w:cs="Times New Roman"/>
          <w:color w:val="000000"/>
          <w:sz w:val="22"/>
          <w:szCs w:val="22"/>
          <w:lang w:val="es-US"/>
        </w:rPr>
        <w:t xml:space="preserve">, H. (2023). </w:t>
      </w:r>
      <w:r>
        <w:rPr>
          <w:rFonts w:ascii="Times New Roman" w:eastAsia="Times New Roman" w:hAnsi="Times New Roman" w:cs="Times New Roman"/>
          <w:color w:val="000000"/>
          <w:sz w:val="22"/>
          <w:szCs w:val="22"/>
        </w:rPr>
        <w:t>Investigation of critical factors affecting cost overruns and delays in Egyptian mega construction projects. </w:t>
      </w:r>
      <w:r>
        <w:rPr>
          <w:rFonts w:ascii="Times New Roman" w:eastAsia="Times New Roman" w:hAnsi="Times New Roman" w:cs="Times New Roman"/>
          <w:i/>
          <w:iCs/>
          <w:color w:val="000000"/>
          <w:sz w:val="22"/>
          <w:szCs w:val="22"/>
        </w:rPr>
        <w:t>Alexandria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83</w:t>
      </w:r>
      <w:r>
        <w:rPr>
          <w:rFonts w:ascii="Times New Roman" w:eastAsia="Times New Roman" w:hAnsi="Times New Roman" w:cs="Times New Roman"/>
          <w:color w:val="000000"/>
          <w:sz w:val="22"/>
          <w:szCs w:val="22"/>
        </w:rPr>
        <w:t xml:space="preserve">, 326-334. </w:t>
      </w:r>
      <w:hyperlink r:id="rId28">
        <w:r w:rsidR="00506EDB">
          <w:rPr>
            <w:rFonts w:ascii="Times New Roman" w:eastAsia="Times New Roman" w:hAnsi="Times New Roman" w:cs="Times New Roman"/>
            <w:color w:val="0000FF"/>
            <w:sz w:val="22"/>
            <w:szCs w:val="22"/>
            <w:u w:val="single"/>
          </w:rPr>
          <w:t>https://doi.org/10.1016/j.aej.2023.10.052</w:t>
        </w:r>
      </w:hyperlink>
    </w:p>
    <w:p w14:paraId="6F77261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de Andrade, P. A., Martens, A., &amp; Vanhoucke, M. (2019). </w:t>
      </w:r>
      <w:r>
        <w:rPr>
          <w:rFonts w:ascii="Times New Roman" w:eastAsia="Times New Roman" w:hAnsi="Times New Roman" w:cs="Times New Roman"/>
          <w:color w:val="000000"/>
          <w:sz w:val="22"/>
          <w:szCs w:val="22"/>
        </w:rPr>
        <w:t>Using real project schedule data to compare earned schedule and earned duration management project time forecasting capabilities.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99</w:t>
      </w:r>
      <w:r>
        <w:rPr>
          <w:rFonts w:ascii="Times New Roman" w:eastAsia="Times New Roman" w:hAnsi="Times New Roman" w:cs="Times New Roman"/>
          <w:color w:val="000000"/>
          <w:sz w:val="22"/>
          <w:szCs w:val="22"/>
        </w:rPr>
        <w:t xml:space="preserve">, 68-78.  </w:t>
      </w:r>
      <w:hyperlink r:id="rId29">
        <w:r w:rsidR="00506EDB">
          <w:rPr>
            <w:rFonts w:ascii="Times New Roman" w:eastAsia="Times New Roman" w:hAnsi="Times New Roman" w:cs="Times New Roman"/>
            <w:color w:val="0000FF"/>
            <w:sz w:val="22"/>
            <w:szCs w:val="22"/>
            <w:u w:val="single"/>
          </w:rPr>
          <w:t>https://doi.org/10.1016/j.autcon.2018.11.030</w:t>
        </w:r>
      </w:hyperlink>
    </w:p>
    <w:p w14:paraId="48FC37D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Deng, J., &amp; Jian, W. (2022). Estimating Construction Project Duration and Costs upon Completion Using Monte Carlo Simulations and Improved Earned Value Management. Buildings, 12(12), 2173. </w:t>
      </w:r>
      <w:hyperlink r:id="rId30">
        <w:r w:rsidR="00506EDB">
          <w:rPr>
            <w:rFonts w:ascii="Times New Roman" w:eastAsia="Times New Roman" w:hAnsi="Times New Roman" w:cs="Times New Roman"/>
            <w:color w:val="0000FF"/>
            <w:sz w:val="22"/>
            <w:szCs w:val="22"/>
            <w:u w:val="single"/>
          </w:rPr>
          <w:t>https://doi.org/10.3390/buildings12122173</w:t>
        </w:r>
      </w:hyperlink>
    </w:p>
    <w:p w14:paraId="0EF6E8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Derakhshanalavijeh</w:t>
      </w:r>
      <w:proofErr w:type="spellEnd"/>
      <w:r>
        <w:rPr>
          <w:rFonts w:ascii="Times New Roman" w:eastAsia="Times New Roman" w:hAnsi="Times New Roman" w:cs="Times New Roman"/>
          <w:color w:val="000000"/>
          <w:sz w:val="22"/>
          <w:szCs w:val="22"/>
        </w:rPr>
        <w:t xml:space="preserve">, R., &amp; Teixeira, J. M. C. (2017). Cost overrun in construction projects in developing countries, Gas-Oil industry of Iran as a case study. Journal of Civil Engineering and Management, 23(1), 125-136. </w:t>
      </w:r>
      <w:hyperlink r:id="rId31">
        <w:r w:rsidR="00506EDB">
          <w:rPr>
            <w:rFonts w:ascii="Times New Roman" w:eastAsia="Times New Roman" w:hAnsi="Times New Roman" w:cs="Times New Roman"/>
            <w:color w:val="0000FF"/>
            <w:sz w:val="22"/>
            <w:szCs w:val="22"/>
            <w:u w:val="single"/>
          </w:rPr>
          <w:t>https://doi.org/10.3846/13923730.2014.992467</w:t>
        </w:r>
      </w:hyperlink>
    </w:p>
    <w:p w14:paraId="3149302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De Marco, A., &amp; Narbaev, T. (2021). </w:t>
      </w:r>
      <w:r>
        <w:rPr>
          <w:rFonts w:ascii="Times New Roman" w:eastAsia="Times New Roman" w:hAnsi="Times New Roman" w:cs="Times New Roman"/>
          <w:color w:val="000000"/>
          <w:sz w:val="22"/>
          <w:szCs w:val="22"/>
        </w:rPr>
        <w:t>Factors of schedule and cost performance of tunnel construction megaprojects. </w:t>
      </w:r>
      <w:r>
        <w:rPr>
          <w:rFonts w:ascii="Times New Roman" w:eastAsia="Times New Roman" w:hAnsi="Times New Roman" w:cs="Times New Roman"/>
          <w:i/>
          <w:iCs/>
          <w:color w:val="000000"/>
          <w:sz w:val="22"/>
          <w:szCs w:val="22"/>
        </w:rPr>
        <w:t>The open civil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w:t>
      </w:r>
      <w:r>
        <w:rPr>
          <w:rFonts w:ascii="Times New Roman" w:eastAsia="Times New Roman" w:hAnsi="Times New Roman" w:cs="Times New Roman"/>
          <w:color w:val="000000"/>
          <w:sz w:val="22"/>
          <w:szCs w:val="22"/>
        </w:rPr>
        <w:t xml:space="preserve">(1). </w:t>
      </w:r>
      <w:hyperlink r:id="rId32">
        <w:r w:rsidR="00506EDB">
          <w:rPr>
            <w:rFonts w:ascii="Times New Roman" w:eastAsia="Times New Roman" w:hAnsi="Times New Roman" w:cs="Times New Roman"/>
            <w:color w:val="0000FF"/>
            <w:sz w:val="22"/>
            <w:szCs w:val="22"/>
            <w:u w:val="single"/>
          </w:rPr>
          <w:t>https://doi.org/10.2174/1874149502115010038</w:t>
        </w:r>
      </w:hyperlink>
    </w:p>
    <w:p w14:paraId="5FCA2DC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Elmousalami</w:t>
      </w:r>
      <w:proofErr w:type="spellEnd"/>
      <w:r>
        <w:rPr>
          <w:rFonts w:ascii="Times New Roman" w:eastAsia="Times New Roman" w:hAnsi="Times New Roman" w:cs="Times New Roman"/>
          <w:color w:val="000000"/>
          <w:sz w:val="22"/>
          <w:szCs w:val="22"/>
        </w:rPr>
        <w:t xml:space="preserve">, H., </w:t>
      </w:r>
      <w:proofErr w:type="spellStart"/>
      <w:r>
        <w:rPr>
          <w:rFonts w:ascii="Times New Roman" w:eastAsia="Times New Roman" w:hAnsi="Times New Roman" w:cs="Times New Roman"/>
          <w:color w:val="000000"/>
          <w:sz w:val="22"/>
          <w:szCs w:val="22"/>
        </w:rPr>
        <w:t>Elshaboury</w:t>
      </w:r>
      <w:proofErr w:type="spellEnd"/>
      <w:r>
        <w:rPr>
          <w:rFonts w:ascii="Times New Roman" w:eastAsia="Times New Roman" w:hAnsi="Times New Roman" w:cs="Times New Roman"/>
          <w:color w:val="000000"/>
          <w:sz w:val="22"/>
          <w:szCs w:val="22"/>
        </w:rPr>
        <w:t xml:space="preserve">, N., &amp; </w:t>
      </w:r>
      <w:proofErr w:type="spellStart"/>
      <w:r>
        <w:rPr>
          <w:rFonts w:ascii="Times New Roman" w:eastAsia="Times New Roman" w:hAnsi="Times New Roman" w:cs="Times New Roman"/>
          <w:color w:val="000000"/>
          <w:sz w:val="22"/>
          <w:szCs w:val="22"/>
        </w:rPr>
        <w:t>Elyamany</w:t>
      </w:r>
      <w:proofErr w:type="spellEnd"/>
      <w:r>
        <w:rPr>
          <w:rFonts w:ascii="Times New Roman" w:eastAsia="Times New Roman" w:hAnsi="Times New Roman" w:cs="Times New Roman"/>
          <w:color w:val="000000"/>
          <w:sz w:val="22"/>
          <w:szCs w:val="22"/>
        </w:rPr>
        <w:t>, A. H. (2024). Green artificial intelligence for cost-duration variance prediction (CDVP) for irrigation canals rehabilitation projects.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249</w:t>
      </w:r>
      <w:r>
        <w:rPr>
          <w:rFonts w:ascii="Times New Roman" w:eastAsia="Times New Roman" w:hAnsi="Times New Roman" w:cs="Times New Roman"/>
          <w:color w:val="000000"/>
          <w:sz w:val="22"/>
          <w:szCs w:val="22"/>
        </w:rPr>
        <w:t>, 123789.</w:t>
      </w:r>
      <w:hyperlink r:id="rId33">
        <w:r w:rsidR="00506EDB">
          <w:rPr>
            <w:rFonts w:ascii="Times New Roman" w:eastAsia="Times New Roman" w:hAnsi="Times New Roman" w:cs="Times New Roman"/>
            <w:color w:val="0000FF"/>
            <w:sz w:val="22"/>
            <w:szCs w:val="22"/>
            <w:u w:val="single"/>
          </w:rPr>
          <w:t>https://doi.org/10.1016/j.eswa.2024.123789</w:t>
        </w:r>
      </w:hyperlink>
    </w:p>
    <w:p w14:paraId="6A4BEA2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Gómez-Cabrera, A., León, L. C., </w:t>
      </w:r>
      <w:proofErr w:type="spellStart"/>
      <w:r w:rsidRPr="00111BFC">
        <w:rPr>
          <w:rFonts w:ascii="Times New Roman" w:eastAsia="Times New Roman" w:hAnsi="Times New Roman" w:cs="Times New Roman"/>
          <w:color w:val="000000"/>
          <w:sz w:val="22"/>
          <w:szCs w:val="22"/>
          <w:lang w:val="es-US"/>
        </w:rPr>
        <w:t>Lopez</w:t>
      </w:r>
      <w:proofErr w:type="spellEnd"/>
      <w:r w:rsidRPr="00111BFC">
        <w:rPr>
          <w:rFonts w:ascii="Times New Roman" w:eastAsia="Times New Roman" w:hAnsi="Times New Roman" w:cs="Times New Roman"/>
          <w:color w:val="000000"/>
          <w:sz w:val="22"/>
          <w:szCs w:val="22"/>
          <w:lang w:val="es-US"/>
        </w:rPr>
        <w:t xml:space="preserve">, M. L., &amp; Torres, A. (2025). </w:t>
      </w:r>
      <w:r>
        <w:rPr>
          <w:rFonts w:ascii="Times New Roman" w:eastAsia="Times New Roman" w:hAnsi="Times New Roman" w:cs="Times New Roman"/>
          <w:color w:val="000000"/>
          <w:sz w:val="22"/>
          <w:szCs w:val="22"/>
        </w:rPr>
        <w:t xml:space="preserve">Analyzing Time and Cost Deviations in Educational Infrastructure Projects: A Data-Driven Approach Using Colombia’s Public Data Platform. Buildings, 15(19), 3505. </w:t>
      </w:r>
      <w:hyperlink r:id="rId34">
        <w:r w:rsidR="00506EDB">
          <w:rPr>
            <w:rFonts w:ascii="Times New Roman" w:eastAsia="Times New Roman" w:hAnsi="Times New Roman" w:cs="Times New Roman"/>
            <w:color w:val="0000FF"/>
            <w:sz w:val="22"/>
            <w:szCs w:val="22"/>
            <w:u w:val="single"/>
          </w:rPr>
          <w:t>https://doi.org/10.3390/buildings15193505</w:t>
        </w:r>
      </w:hyperlink>
    </w:p>
    <w:p w14:paraId="7D640FA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Herrera, R. F., Sánchez, O., Castañeda, K., &amp; Porras, H. (2020). </w:t>
      </w:r>
      <w:r>
        <w:rPr>
          <w:rFonts w:ascii="Times New Roman" w:eastAsia="Times New Roman" w:hAnsi="Times New Roman" w:cs="Times New Roman"/>
          <w:color w:val="000000"/>
          <w:sz w:val="22"/>
          <w:szCs w:val="22"/>
        </w:rPr>
        <w:t xml:space="preserve">Cost Overrun Causative Factors in Road Infrastructure Projects: A Frequency and Importance Analysis. Applied Sciences, 10(16), 5506. </w:t>
      </w:r>
      <w:hyperlink r:id="rId35">
        <w:r w:rsidR="00506EDB">
          <w:rPr>
            <w:rFonts w:ascii="Times New Roman" w:eastAsia="Times New Roman" w:hAnsi="Times New Roman" w:cs="Times New Roman"/>
            <w:color w:val="0000FF"/>
            <w:sz w:val="22"/>
            <w:szCs w:val="22"/>
            <w:u w:val="single"/>
          </w:rPr>
          <w:t>https://doi.org/10.3390/app10165506</w:t>
        </w:r>
      </w:hyperlink>
      <w:r>
        <w:rPr>
          <w:rFonts w:ascii="Times New Roman" w:eastAsia="Times New Roman" w:hAnsi="Times New Roman" w:cs="Times New Roman"/>
          <w:color w:val="000000"/>
          <w:sz w:val="22"/>
          <w:szCs w:val="22"/>
        </w:rPr>
        <w:t xml:space="preserve"> </w:t>
      </w:r>
    </w:p>
    <w:p w14:paraId="02BA2A5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lastRenderedPageBreak/>
        <w:t>Ichsan</w:t>
      </w:r>
      <w:proofErr w:type="spellEnd"/>
      <w:r>
        <w:rPr>
          <w:rFonts w:ascii="Times New Roman" w:eastAsia="Times New Roman" w:hAnsi="Times New Roman" w:cs="Times New Roman"/>
          <w:color w:val="000000"/>
          <w:sz w:val="22"/>
          <w:szCs w:val="22"/>
        </w:rPr>
        <w:t xml:space="preserve">, M., Isvara, W., &amp; Karim, S. (2025). Monte Carlo Simulation for Enhancing the Schedule Completion Forecast of Jakarta Central Railway Station Construction Project. Applied Sciences, 15(13), 7464. </w:t>
      </w:r>
      <w:hyperlink r:id="rId36">
        <w:r w:rsidR="00506EDB">
          <w:rPr>
            <w:rFonts w:ascii="Times New Roman" w:eastAsia="Times New Roman" w:hAnsi="Times New Roman" w:cs="Times New Roman"/>
            <w:color w:val="0000FF"/>
            <w:sz w:val="22"/>
            <w:szCs w:val="22"/>
            <w:u w:val="single"/>
          </w:rPr>
          <w:t>https://doi.org/10.3390/app15137464</w:t>
        </w:r>
      </w:hyperlink>
    </w:p>
    <w:p w14:paraId="3AF6A14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Issa, A., </w:t>
      </w:r>
      <w:proofErr w:type="spellStart"/>
      <w:r>
        <w:rPr>
          <w:rFonts w:ascii="Times New Roman" w:eastAsia="Times New Roman" w:hAnsi="Times New Roman" w:cs="Times New Roman"/>
          <w:color w:val="000000"/>
          <w:sz w:val="22"/>
          <w:szCs w:val="22"/>
        </w:rPr>
        <w:t>Bdair</w:t>
      </w:r>
      <w:proofErr w:type="spellEnd"/>
      <w:r>
        <w:rPr>
          <w:rFonts w:ascii="Times New Roman" w:eastAsia="Times New Roman" w:hAnsi="Times New Roman" w:cs="Times New Roman"/>
          <w:color w:val="000000"/>
          <w:sz w:val="22"/>
          <w:szCs w:val="22"/>
        </w:rPr>
        <w:t>, R., &amp; Abu-Eisheh, S. (2022). Assessment of compliance to planned cost and time for implemented municipal roads projects in Palestine.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 101578. </w:t>
      </w:r>
      <w:hyperlink r:id="rId37">
        <w:r w:rsidR="00506EDB">
          <w:rPr>
            <w:rFonts w:ascii="Times New Roman" w:eastAsia="Times New Roman" w:hAnsi="Times New Roman" w:cs="Times New Roman"/>
            <w:color w:val="0000FF"/>
            <w:sz w:val="22"/>
            <w:szCs w:val="22"/>
            <w:u w:val="single"/>
          </w:rPr>
          <w:t>https://doi.org/10.1016/j.asej.2021.09.005</w:t>
        </w:r>
      </w:hyperlink>
    </w:p>
    <w:p w14:paraId="2295BC3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pl-PL"/>
        </w:rPr>
        <w:t xml:space="preserve">Khanh, H. D., Kim, S. Y., &amp; Linh, L. Q. (2023). </w:t>
      </w:r>
      <w:r>
        <w:rPr>
          <w:rFonts w:ascii="Times New Roman" w:eastAsia="Times New Roman" w:hAnsi="Times New Roman" w:cs="Times New Roman"/>
          <w:color w:val="000000"/>
          <w:sz w:val="22"/>
          <w:szCs w:val="22"/>
        </w:rPr>
        <w:t>Construction productivity prediction through Bayesian networks for building projects: case from Vietnam. </w:t>
      </w:r>
      <w:r>
        <w:rPr>
          <w:rFonts w:ascii="Times New Roman" w:eastAsia="Times New Roman" w:hAnsi="Times New Roman" w:cs="Times New Roman"/>
          <w:i/>
          <w:iCs/>
          <w:color w:val="000000"/>
          <w:sz w:val="22"/>
          <w:szCs w:val="22"/>
        </w:rPr>
        <w:t>Engineering, Construction and Architectural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30</w:t>
      </w:r>
      <w:r>
        <w:rPr>
          <w:rFonts w:ascii="Times New Roman" w:eastAsia="Times New Roman" w:hAnsi="Times New Roman" w:cs="Times New Roman"/>
          <w:color w:val="000000"/>
          <w:sz w:val="22"/>
          <w:szCs w:val="22"/>
        </w:rPr>
        <w:t xml:space="preserve">(5), 2075-2100. </w:t>
      </w:r>
      <w:hyperlink r:id="rId38">
        <w:r w:rsidR="00506EDB">
          <w:rPr>
            <w:rFonts w:ascii="Times New Roman" w:eastAsia="Times New Roman" w:hAnsi="Times New Roman" w:cs="Times New Roman"/>
            <w:color w:val="0000FF"/>
            <w:sz w:val="22"/>
            <w:szCs w:val="22"/>
            <w:u w:val="single"/>
          </w:rPr>
          <w:t>https://doi.org/10.1108/ECAM-07-2021-0602</w:t>
        </w:r>
      </w:hyperlink>
    </w:p>
    <w:p w14:paraId="65628D4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L. M., &amp; El Ghandour, A. (2019). Examining the role of value management in controlling cost overrun [application on residential construction projects in Egypt]. Ain Shams Engineering Journal, 10(3), 471-479. </w:t>
      </w:r>
      <w:hyperlink r:id="rId39">
        <w:r w:rsidR="00506EDB">
          <w:rPr>
            <w:rFonts w:ascii="Times New Roman" w:eastAsia="Times New Roman" w:hAnsi="Times New Roman" w:cs="Times New Roman"/>
            <w:color w:val="0000FF"/>
            <w:sz w:val="22"/>
            <w:szCs w:val="22"/>
            <w:u w:val="single"/>
          </w:rPr>
          <w:t>https://doi.org/10.1016/j.asej.2018.11.008</w:t>
        </w:r>
      </w:hyperlink>
    </w:p>
    <w:p w14:paraId="10D1D97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Lagos, C. I., Herrera, R. F., Mac Cawley, A. F., &amp; Alarcón, L. F. (2024). </w:t>
      </w:r>
      <w:r>
        <w:rPr>
          <w:rFonts w:ascii="Times New Roman" w:eastAsia="Times New Roman" w:hAnsi="Times New Roman" w:cs="Times New Roman"/>
          <w:color w:val="000000"/>
          <w:sz w:val="22"/>
          <w:szCs w:val="22"/>
        </w:rPr>
        <w:t xml:space="preserve">Predicting construction schedule performance with last planner system and machine learning. Automation in Construction, 167, 105716. </w:t>
      </w:r>
      <w:hyperlink r:id="rId40">
        <w:r w:rsidR="00506EDB">
          <w:rPr>
            <w:rFonts w:ascii="Times New Roman" w:eastAsia="Times New Roman" w:hAnsi="Times New Roman" w:cs="Times New Roman"/>
            <w:color w:val="0000FF"/>
            <w:sz w:val="22"/>
            <w:szCs w:val="22"/>
            <w:u w:val="single"/>
          </w:rPr>
          <w:t>https://doi.org/10.1016/j.autcon.2024.105716</w:t>
        </w:r>
      </w:hyperlink>
    </w:p>
    <w:p w14:paraId="5D8FB44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Leśniak, A., &amp; Janowiec, F. (2019). Risk Assessment of Additional Works in Railway Construction Investments Using the Bayes Network. Sustainability, 11(19), 5388. </w:t>
      </w:r>
      <w:hyperlink r:id="rId41">
        <w:r w:rsidR="00506EDB">
          <w:rPr>
            <w:rFonts w:ascii="Times New Roman" w:eastAsia="Times New Roman" w:hAnsi="Times New Roman" w:cs="Times New Roman"/>
            <w:color w:val="0000FF"/>
            <w:sz w:val="22"/>
            <w:szCs w:val="22"/>
            <w:u w:val="single"/>
          </w:rPr>
          <w:t>https://doi.org/10.3390/su11195388</w:t>
        </w:r>
      </w:hyperlink>
    </w:p>
    <w:p w14:paraId="6D047ED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Leu, S.-S., Liu, Y., &amp; Wu, P.-L. (2023). </w:t>
      </w:r>
      <w:r>
        <w:rPr>
          <w:rFonts w:ascii="Times New Roman" w:eastAsia="Times New Roman" w:hAnsi="Times New Roman" w:cs="Times New Roman"/>
          <w:color w:val="000000"/>
          <w:sz w:val="22"/>
          <w:szCs w:val="22"/>
        </w:rPr>
        <w:t xml:space="preserve">Project Cost Overrun Risk Prediction Using Hidden Markov Chain Analysis. Buildings, 13(3), 667. </w:t>
      </w:r>
      <w:hyperlink r:id="rId42">
        <w:r w:rsidR="00506EDB">
          <w:rPr>
            <w:rFonts w:ascii="Times New Roman" w:eastAsia="Times New Roman" w:hAnsi="Times New Roman" w:cs="Times New Roman"/>
            <w:color w:val="0000FF"/>
            <w:sz w:val="22"/>
            <w:szCs w:val="22"/>
            <w:u w:val="single"/>
          </w:rPr>
          <w:t>https://doi.org/10.3390/buildings13030667</w:t>
        </w:r>
      </w:hyperlink>
    </w:p>
    <w:p w14:paraId="6082863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Liben, S. M., Belachew, D. A., &amp; Elsaigh, W. A. (2025). </w:t>
      </w:r>
      <w:r>
        <w:rPr>
          <w:rFonts w:ascii="Times New Roman" w:eastAsia="Times New Roman" w:hAnsi="Times New Roman" w:cs="Times New Roman"/>
          <w:color w:val="000000"/>
          <w:sz w:val="22"/>
          <w:szCs w:val="22"/>
        </w:rPr>
        <w:t>Optimizing construction duration estimation and monitoring for public building projects in Addis Ababa through an integrated deterministic and probabilistic conceptual model. </w:t>
      </w:r>
      <w:r>
        <w:rPr>
          <w:rFonts w:ascii="Times New Roman" w:eastAsia="Times New Roman" w:hAnsi="Times New Roman" w:cs="Times New Roman"/>
          <w:i/>
          <w:iCs/>
          <w:color w:val="000000"/>
          <w:sz w:val="22"/>
          <w:szCs w:val="22"/>
        </w:rPr>
        <w:t>Journal of Asian Architecture and Building Engineering</w:t>
      </w:r>
      <w:r>
        <w:rPr>
          <w:rFonts w:ascii="Times New Roman" w:eastAsia="Times New Roman" w:hAnsi="Times New Roman" w:cs="Times New Roman"/>
          <w:color w:val="000000"/>
          <w:sz w:val="22"/>
          <w:szCs w:val="22"/>
        </w:rPr>
        <w:t>, 1-20.</w:t>
      </w:r>
    </w:p>
    <w:p w14:paraId="0A631D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pl-PL"/>
        </w:rPr>
        <w:t xml:space="preserve">Liu, Z., Jiao, Y., Li, A., &amp; Liu, X. (2021). </w:t>
      </w:r>
      <w:r>
        <w:rPr>
          <w:rFonts w:ascii="Times New Roman" w:eastAsia="Times New Roman" w:hAnsi="Times New Roman" w:cs="Times New Roman"/>
          <w:color w:val="000000"/>
          <w:sz w:val="22"/>
          <w:szCs w:val="22"/>
        </w:rPr>
        <w:t xml:space="preserve">Risk Assessment of Urban Rail Transit PPP Project Construction Based on Bayesian Network. Sustainability, 13(20), 11507. </w:t>
      </w:r>
      <w:hyperlink r:id="rId43">
        <w:r w:rsidR="00506EDB">
          <w:rPr>
            <w:rFonts w:ascii="Times New Roman" w:eastAsia="Times New Roman" w:hAnsi="Times New Roman" w:cs="Times New Roman"/>
            <w:color w:val="0000FF"/>
            <w:sz w:val="22"/>
            <w:szCs w:val="22"/>
            <w:u w:val="single"/>
          </w:rPr>
          <w:t>https://doi.org/10.3390/su132011507</w:t>
        </w:r>
      </w:hyperlink>
    </w:p>
    <w:p w14:paraId="17767D2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Love, P. E., Smith, J., Simpson, I., Regan, M., &amp; Olatunji, O. (2015). Understanding the landscape of overruns in transport infrastructure projects. </w:t>
      </w:r>
      <w:r>
        <w:rPr>
          <w:rFonts w:ascii="Times New Roman" w:eastAsia="Times New Roman" w:hAnsi="Times New Roman" w:cs="Times New Roman"/>
          <w:i/>
          <w:iCs/>
          <w:color w:val="000000"/>
          <w:sz w:val="22"/>
          <w:szCs w:val="22"/>
        </w:rPr>
        <w:t>Environment and planning B: planning and design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42</w:t>
      </w:r>
      <w:r>
        <w:rPr>
          <w:rFonts w:ascii="Times New Roman" w:eastAsia="Times New Roman" w:hAnsi="Times New Roman" w:cs="Times New Roman"/>
          <w:color w:val="000000"/>
          <w:sz w:val="22"/>
          <w:szCs w:val="22"/>
        </w:rPr>
        <w:t xml:space="preserve">(3), 490-509. </w:t>
      </w:r>
      <w:hyperlink r:id="rId44">
        <w:r w:rsidR="00506EDB">
          <w:rPr>
            <w:rFonts w:ascii="Times New Roman" w:eastAsia="Times New Roman" w:hAnsi="Times New Roman" w:cs="Times New Roman"/>
            <w:color w:val="0000FF"/>
            <w:sz w:val="22"/>
            <w:szCs w:val="22"/>
            <w:u w:val="single"/>
          </w:rPr>
          <w:t>https://doi.org/10.1068/b130102p</w:t>
        </w:r>
      </w:hyperlink>
    </w:p>
    <w:p w14:paraId="37ACB61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Molinari, L., </w:t>
      </w:r>
      <w:proofErr w:type="spellStart"/>
      <w:r>
        <w:rPr>
          <w:rFonts w:ascii="Times New Roman" w:eastAsia="Times New Roman" w:hAnsi="Times New Roman" w:cs="Times New Roman"/>
          <w:color w:val="000000"/>
          <w:sz w:val="22"/>
          <w:szCs w:val="22"/>
        </w:rPr>
        <w:t>Haezendonck</w:t>
      </w:r>
      <w:proofErr w:type="spellEnd"/>
      <w:r>
        <w:rPr>
          <w:rFonts w:ascii="Times New Roman" w:eastAsia="Times New Roman" w:hAnsi="Times New Roman" w:cs="Times New Roman"/>
          <w:color w:val="000000"/>
          <w:sz w:val="22"/>
          <w:szCs w:val="22"/>
        </w:rPr>
        <w:t xml:space="preserve">, E., &amp; Mabillard, V. (2023). Cost overruns of Belgian transport infrastructure projects: Analyzing variations over three land transport modes and two project phases. Transport Policy, 134, 167-179. </w:t>
      </w:r>
      <w:hyperlink r:id="rId45">
        <w:r w:rsidR="00506EDB">
          <w:rPr>
            <w:rFonts w:ascii="Times New Roman" w:eastAsia="Times New Roman" w:hAnsi="Times New Roman" w:cs="Times New Roman"/>
            <w:color w:val="0000FF"/>
            <w:sz w:val="22"/>
            <w:szCs w:val="22"/>
            <w:u w:val="single"/>
          </w:rPr>
          <w:t>https://doi.org/10.1016/j.tranpol.2023.02.017</w:t>
        </w:r>
      </w:hyperlink>
    </w:p>
    <w:p w14:paraId="77D321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Moon, H., Williams, T. P., Lee, H. S., &amp; Park, M. (2020). Predicting project cost overrun levels in bidding stage using ensemble learning. </w:t>
      </w:r>
      <w:r>
        <w:rPr>
          <w:rFonts w:ascii="Times New Roman" w:eastAsia="Times New Roman" w:hAnsi="Times New Roman" w:cs="Times New Roman"/>
          <w:i/>
          <w:iCs/>
          <w:color w:val="000000"/>
          <w:sz w:val="22"/>
          <w:szCs w:val="22"/>
        </w:rPr>
        <w:t>Journal of Asian Architecture and Building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19</w:t>
      </w:r>
      <w:r>
        <w:rPr>
          <w:rFonts w:ascii="Times New Roman" w:eastAsia="Times New Roman" w:hAnsi="Times New Roman" w:cs="Times New Roman"/>
          <w:color w:val="000000"/>
          <w:sz w:val="22"/>
          <w:szCs w:val="22"/>
        </w:rPr>
        <w:t>(6), 586-599.</w:t>
      </w:r>
    </w:p>
    <w:p w14:paraId="79C0751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Moussa, A., </w:t>
      </w:r>
      <w:proofErr w:type="spellStart"/>
      <w:r>
        <w:rPr>
          <w:rFonts w:ascii="Times New Roman" w:eastAsia="Times New Roman" w:hAnsi="Times New Roman" w:cs="Times New Roman"/>
          <w:color w:val="000000"/>
          <w:sz w:val="22"/>
          <w:szCs w:val="22"/>
        </w:rPr>
        <w:t>Ezzeldin</w:t>
      </w:r>
      <w:proofErr w:type="spellEnd"/>
      <w:r>
        <w:rPr>
          <w:rFonts w:ascii="Times New Roman" w:eastAsia="Times New Roman" w:hAnsi="Times New Roman" w:cs="Times New Roman"/>
          <w:color w:val="000000"/>
          <w:sz w:val="22"/>
          <w:szCs w:val="22"/>
        </w:rPr>
        <w:t>, M., &amp; El-</w:t>
      </w:r>
      <w:proofErr w:type="spellStart"/>
      <w:r>
        <w:rPr>
          <w:rFonts w:ascii="Times New Roman" w:eastAsia="Times New Roman" w:hAnsi="Times New Roman" w:cs="Times New Roman"/>
          <w:color w:val="000000"/>
          <w:sz w:val="22"/>
          <w:szCs w:val="22"/>
        </w:rPr>
        <w:t>Dakhakhni</w:t>
      </w:r>
      <w:proofErr w:type="spellEnd"/>
      <w:r>
        <w:rPr>
          <w:rFonts w:ascii="Times New Roman" w:eastAsia="Times New Roman" w:hAnsi="Times New Roman" w:cs="Times New Roman"/>
          <w:color w:val="000000"/>
          <w:sz w:val="22"/>
          <w:szCs w:val="22"/>
        </w:rPr>
        <w:t xml:space="preserve">, W. (2024). Predicting and managing risk interactions and systemic risks in infrastructure projects using machine learning. Automation in construction, 168, 105836. </w:t>
      </w:r>
      <w:hyperlink r:id="rId46">
        <w:r w:rsidR="00506EDB">
          <w:rPr>
            <w:rFonts w:ascii="Times New Roman" w:eastAsia="Times New Roman" w:hAnsi="Times New Roman" w:cs="Times New Roman"/>
            <w:color w:val="0000FF"/>
            <w:sz w:val="22"/>
            <w:szCs w:val="22"/>
            <w:u w:val="single"/>
          </w:rPr>
          <w:t>https://doi.org/10.1016/j.autcon.2024.105836</w:t>
        </w:r>
      </w:hyperlink>
    </w:p>
    <w:p w14:paraId="6759D67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Naji, K. K., Gunduz, M., </w:t>
      </w:r>
      <w:proofErr w:type="spellStart"/>
      <w:r w:rsidRPr="00111BFC">
        <w:rPr>
          <w:rFonts w:ascii="Times New Roman" w:eastAsia="Times New Roman" w:hAnsi="Times New Roman" w:cs="Times New Roman"/>
          <w:color w:val="000000"/>
          <w:sz w:val="22"/>
          <w:szCs w:val="22"/>
          <w:lang w:val="es-US"/>
        </w:rPr>
        <w:t>Alhenzab</w:t>
      </w:r>
      <w:proofErr w:type="spellEnd"/>
      <w:r w:rsidRPr="00111BFC">
        <w:rPr>
          <w:rFonts w:ascii="Times New Roman" w:eastAsia="Times New Roman" w:hAnsi="Times New Roman" w:cs="Times New Roman"/>
          <w:color w:val="000000"/>
          <w:sz w:val="22"/>
          <w:szCs w:val="22"/>
          <w:lang w:val="es-US"/>
        </w:rPr>
        <w:t>, F., Al-</w:t>
      </w:r>
      <w:proofErr w:type="spellStart"/>
      <w:r w:rsidRPr="00111BFC">
        <w:rPr>
          <w:rFonts w:ascii="Times New Roman" w:eastAsia="Times New Roman" w:hAnsi="Times New Roman" w:cs="Times New Roman"/>
          <w:color w:val="000000"/>
          <w:sz w:val="22"/>
          <w:szCs w:val="22"/>
          <w:lang w:val="es-US"/>
        </w:rPr>
        <w:t>Hababi</w:t>
      </w:r>
      <w:proofErr w:type="spellEnd"/>
      <w:r w:rsidRPr="00111BFC">
        <w:rPr>
          <w:rFonts w:ascii="Times New Roman" w:eastAsia="Times New Roman" w:hAnsi="Times New Roman" w:cs="Times New Roman"/>
          <w:color w:val="000000"/>
          <w:sz w:val="22"/>
          <w:szCs w:val="22"/>
          <w:lang w:val="es-US"/>
        </w:rPr>
        <w:t xml:space="preserve">, H., &amp; Al-Qahtani, A. (2024). </w:t>
      </w:r>
      <w:r>
        <w:rPr>
          <w:rFonts w:ascii="Times New Roman" w:eastAsia="Times New Roman" w:hAnsi="Times New Roman" w:cs="Times New Roman"/>
          <w:color w:val="000000"/>
          <w:sz w:val="22"/>
          <w:szCs w:val="22"/>
        </w:rPr>
        <w:t>Assessing the digital transformation readiness of the construction industry utilizing the Delphi Method.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(3), 601. </w:t>
      </w:r>
      <w:hyperlink r:id="rId47">
        <w:r w:rsidR="00506EDB">
          <w:rPr>
            <w:rFonts w:ascii="Times New Roman" w:eastAsia="Times New Roman" w:hAnsi="Times New Roman" w:cs="Times New Roman"/>
            <w:color w:val="0000FF"/>
            <w:sz w:val="22"/>
            <w:szCs w:val="22"/>
            <w:u w:val="single"/>
          </w:rPr>
          <w:t>https://doi.org/10.3390/buildings14030601</w:t>
        </w:r>
      </w:hyperlink>
    </w:p>
    <w:p w14:paraId="7C847F1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lastRenderedPageBreak/>
        <w:t xml:space="preserve">Nassar, A. H., &amp; </w:t>
      </w:r>
      <w:proofErr w:type="spellStart"/>
      <w:r w:rsidRPr="00111BFC">
        <w:rPr>
          <w:rFonts w:ascii="Times New Roman" w:eastAsia="Times New Roman" w:hAnsi="Times New Roman" w:cs="Times New Roman"/>
          <w:color w:val="000000"/>
          <w:sz w:val="22"/>
          <w:szCs w:val="22"/>
          <w:lang w:val="es-US"/>
        </w:rPr>
        <w:t>Elbisy</w:t>
      </w:r>
      <w:proofErr w:type="spellEnd"/>
      <w:r w:rsidRPr="00111BFC">
        <w:rPr>
          <w:rFonts w:ascii="Times New Roman" w:eastAsia="Times New Roman" w:hAnsi="Times New Roman" w:cs="Times New Roman"/>
          <w:color w:val="000000"/>
          <w:sz w:val="22"/>
          <w:szCs w:val="22"/>
          <w:lang w:val="es-US"/>
        </w:rPr>
        <w:t xml:space="preserve">, A. M. (2024). </w:t>
      </w:r>
      <w:r>
        <w:rPr>
          <w:rFonts w:ascii="Times New Roman" w:eastAsia="Times New Roman" w:hAnsi="Times New Roman" w:cs="Times New Roman"/>
          <w:color w:val="000000"/>
          <w:sz w:val="22"/>
          <w:szCs w:val="22"/>
        </w:rPr>
        <w:t>A Machine Learning Approach to Predict Time Delays in Marine Construction Projects. </w:t>
      </w:r>
      <w:r>
        <w:rPr>
          <w:rFonts w:ascii="Times New Roman" w:eastAsia="Times New Roman" w:hAnsi="Times New Roman" w:cs="Times New Roman"/>
          <w:i/>
          <w:iCs/>
          <w:color w:val="000000"/>
          <w:sz w:val="22"/>
          <w:szCs w:val="22"/>
        </w:rPr>
        <w:t>Engineering, Technology &amp; Applied Science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(5), 16125–16134. </w:t>
      </w:r>
      <w:hyperlink r:id="rId48">
        <w:r w:rsidR="00506EDB">
          <w:rPr>
            <w:rFonts w:ascii="Times New Roman" w:eastAsia="Times New Roman" w:hAnsi="Times New Roman" w:cs="Times New Roman"/>
            <w:color w:val="0000FF"/>
            <w:sz w:val="22"/>
            <w:szCs w:val="22"/>
            <w:u w:val="single"/>
          </w:rPr>
          <w:t>https://doi.org/10.48084/etasr.8173</w:t>
        </w:r>
      </w:hyperlink>
    </w:p>
    <w:p w14:paraId="020CB7F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Nyarko-Boateng, O., Adekoya, A.F. &amp; </w:t>
      </w:r>
      <w:proofErr w:type="spellStart"/>
      <w:r>
        <w:rPr>
          <w:rFonts w:ascii="Times New Roman" w:eastAsia="Times New Roman" w:hAnsi="Times New Roman" w:cs="Times New Roman"/>
          <w:color w:val="000000"/>
          <w:sz w:val="22"/>
          <w:szCs w:val="22"/>
        </w:rPr>
        <w:t>Weyori</w:t>
      </w:r>
      <w:proofErr w:type="spellEnd"/>
      <w:r>
        <w:rPr>
          <w:rFonts w:ascii="Times New Roman" w:eastAsia="Times New Roman" w:hAnsi="Times New Roman" w:cs="Times New Roman"/>
          <w:color w:val="000000"/>
          <w:sz w:val="22"/>
          <w:szCs w:val="22"/>
        </w:rPr>
        <w:t>, B.A. Using machine learning techniques to predict the cost of repairing hard failures in underground fiber optics networks. </w:t>
      </w:r>
      <w:r>
        <w:rPr>
          <w:rFonts w:ascii="Times New Roman" w:eastAsia="Times New Roman" w:hAnsi="Times New Roman" w:cs="Times New Roman"/>
          <w:i/>
          <w:iCs/>
          <w:color w:val="000000"/>
          <w:sz w:val="22"/>
          <w:szCs w:val="22"/>
        </w:rPr>
        <w:t>J Big Data</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7</w:t>
      </w:r>
      <w:r>
        <w:rPr>
          <w:rFonts w:ascii="Times New Roman" w:eastAsia="Times New Roman" w:hAnsi="Times New Roman" w:cs="Times New Roman"/>
          <w:color w:val="000000"/>
          <w:sz w:val="22"/>
          <w:szCs w:val="22"/>
        </w:rPr>
        <w:t xml:space="preserve">, 64 (2020). </w:t>
      </w:r>
      <w:hyperlink r:id="rId49">
        <w:r w:rsidR="00506EDB">
          <w:rPr>
            <w:rFonts w:ascii="Times New Roman" w:eastAsia="Times New Roman" w:hAnsi="Times New Roman" w:cs="Times New Roman"/>
            <w:color w:val="0000FF"/>
            <w:sz w:val="22"/>
            <w:szCs w:val="22"/>
            <w:u w:val="single"/>
          </w:rPr>
          <w:t>https://doi.org/10.1186/s40537-020-00343-4</w:t>
        </w:r>
      </w:hyperlink>
    </w:p>
    <w:p w14:paraId="3CF9C56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Ogbu, C. P., &amp;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C. C. (2020). Direct risk factors and cost performance of road projects in developing countries: contractors’ perspective. </w:t>
      </w:r>
      <w:r>
        <w:rPr>
          <w:rFonts w:ascii="Times New Roman" w:eastAsia="Times New Roman" w:hAnsi="Times New Roman" w:cs="Times New Roman"/>
          <w:i/>
          <w:iCs/>
          <w:color w:val="000000"/>
          <w:sz w:val="22"/>
          <w:szCs w:val="22"/>
        </w:rPr>
        <w:t>Journal of Engineering, Design and Technology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18</w:t>
      </w:r>
      <w:r>
        <w:rPr>
          <w:rFonts w:ascii="Times New Roman" w:eastAsia="Times New Roman" w:hAnsi="Times New Roman" w:cs="Times New Roman"/>
          <w:color w:val="000000"/>
          <w:sz w:val="22"/>
          <w:szCs w:val="22"/>
        </w:rPr>
        <w:t xml:space="preserve">(2), 326-342. </w:t>
      </w:r>
      <w:hyperlink r:id="rId50">
        <w:r w:rsidR="00506EDB">
          <w:rPr>
            <w:rFonts w:ascii="Times New Roman" w:eastAsia="Times New Roman" w:hAnsi="Times New Roman" w:cs="Times New Roman"/>
            <w:color w:val="0000FF"/>
            <w:sz w:val="22"/>
            <w:szCs w:val="22"/>
            <w:u w:val="single"/>
          </w:rPr>
          <w:t>https://doi.org/10.1108/JEDT-05-2019-0121</w:t>
        </w:r>
      </w:hyperlink>
    </w:p>
    <w:p w14:paraId="551728B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Ottaviani, F. M., Ballesteros-Pérez, P., &amp; Narbaev, T. (2025). </w:t>
      </w:r>
      <w:r>
        <w:rPr>
          <w:rFonts w:ascii="Times New Roman" w:eastAsia="Times New Roman" w:hAnsi="Times New Roman" w:cs="Times New Roman"/>
          <w:color w:val="000000"/>
          <w:sz w:val="22"/>
          <w:szCs w:val="22"/>
        </w:rPr>
        <w:t>Automated machine learning pipeline for robust project cost and duration forecasting.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178</w:t>
      </w:r>
      <w:r>
        <w:rPr>
          <w:rFonts w:ascii="Times New Roman" w:eastAsia="Times New Roman" w:hAnsi="Times New Roman" w:cs="Times New Roman"/>
          <w:color w:val="000000"/>
          <w:sz w:val="22"/>
          <w:szCs w:val="22"/>
        </w:rPr>
        <w:t xml:space="preserve">, 106426. </w:t>
      </w:r>
      <w:hyperlink r:id="rId51">
        <w:r w:rsidR="00506EDB">
          <w:rPr>
            <w:rFonts w:ascii="Times New Roman" w:eastAsia="Times New Roman" w:hAnsi="Times New Roman" w:cs="Times New Roman"/>
            <w:color w:val="0000FF"/>
            <w:sz w:val="22"/>
            <w:szCs w:val="22"/>
            <w:u w:val="single"/>
          </w:rPr>
          <w:t>https://doi.org/10.1016/j.autcon.2025.106426</w:t>
        </w:r>
      </w:hyperlink>
    </w:p>
    <w:p w14:paraId="7481973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Park, J. E. (2021). Curbing cost overruns in infrastructure investment: Has reference class forecasting delivered its promised success?. </w:t>
      </w:r>
      <w:r>
        <w:rPr>
          <w:rFonts w:ascii="Times New Roman" w:eastAsia="Times New Roman" w:hAnsi="Times New Roman" w:cs="Times New Roman"/>
          <w:i/>
          <w:iCs/>
          <w:color w:val="000000"/>
          <w:sz w:val="22"/>
          <w:szCs w:val="22"/>
        </w:rPr>
        <w:t>European Journal of Transport and Infrastructure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21</w:t>
      </w:r>
      <w:r>
        <w:rPr>
          <w:rFonts w:ascii="Times New Roman" w:eastAsia="Times New Roman" w:hAnsi="Times New Roman" w:cs="Times New Roman"/>
          <w:color w:val="000000"/>
          <w:sz w:val="22"/>
          <w:szCs w:val="22"/>
        </w:rPr>
        <w:t>(2), 120–136. https://doi.org/10.18757/ejtir.2021.21.2.5504</w:t>
      </w:r>
    </w:p>
    <w:p w14:paraId="2A94308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Pham, H., Luu, TV., Kim, SY. </w:t>
      </w:r>
      <w:r>
        <w:rPr>
          <w:rFonts w:ascii="Times New Roman" w:eastAsia="Times New Roman" w:hAnsi="Times New Roman" w:cs="Times New Roman"/>
          <w:i/>
          <w:iCs/>
          <w:color w:val="000000"/>
          <w:sz w:val="22"/>
          <w:szCs w:val="22"/>
        </w:rPr>
        <w:t>et al.</w:t>
      </w:r>
      <w:r>
        <w:rPr>
          <w:rFonts w:ascii="Times New Roman" w:eastAsia="Times New Roman" w:hAnsi="Times New Roman" w:cs="Times New Roman"/>
          <w:color w:val="000000"/>
          <w:sz w:val="22"/>
          <w:szCs w:val="22"/>
        </w:rPr>
        <w:t> Assessing the Impact of Cost Overrun Causes in Transmission Lines Construction Projects. </w:t>
      </w:r>
      <w:r>
        <w:rPr>
          <w:rFonts w:ascii="Times New Roman" w:eastAsia="Times New Roman" w:hAnsi="Times New Roman" w:cs="Times New Roman"/>
          <w:i/>
          <w:iCs/>
          <w:color w:val="000000"/>
          <w:sz w:val="22"/>
          <w:szCs w:val="22"/>
        </w:rPr>
        <w:t>KSCE J Civ Eng</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24</w:t>
      </w:r>
      <w:r>
        <w:rPr>
          <w:rFonts w:ascii="Times New Roman" w:eastAsia="Times New Roman" w:hAnsi="Times New Roman" w:cs="Times New Roman"/>
          <w:color w:val="000000"/>
          <w:sz w:val="22"/>
          <w:szCs w:val="22"/>
        </w:rPr>
        <w:t xml:space="preserve">, 1029–1036 (2020). </w:t>
      </w:r>
      <w:hyperlink r:id="rId52">
        <w:r w:rsidR="00506EDB">
          <w:rPr>
            <w:rFonts w:ascii="Times New Roman" w:eastAsia="Times New Roman" w:hAnsi="Times New Roman" w:cs="Times New Roman"/>
            <w:color w:val="0000FF"/>
            <w:sz w:val="22"/>
            <w:szCs w:val="22"/>
            <w:u w:val="single"/>
          </w:rPr>
          <w:t>https://doi.org/10.1007/s12205-020-1391-5</w:t>
        </w:r>
      </w:hyperlink>
      <w:r>
        <w:rPr>
          <w:rFonts w:ascii="Times New Roman" w:eastAsia="Times New Roman" w:hAnsi="Times New Roman" w:cs="Times New Roman"/>
          <w:color w:val="000000"/>
          <w:sz w:val="22"/>
          <w:szCs w:val="22"/>
        </w:rPr>
        <w:t xml:space="preserve"> </w:t>
      </w:r>
    </w:p>
    <w:p w14:paraId="12160FB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Prebanić</w:t>
      </w:r>
      <w:proofErr w:type="spellEnd"/>
      <w:r w:rsidRPr="00111BFC">
        <w:rPr>
          <w:rFonts w:ascii="Times New Roman" w:eastAsia="Times New Roman" w:hAnsi="Times New Roman" w:cs="Times New Roman"/>
          <w:color w:val="000000"/>
          <w:sz w:val="22"/>
          <w:szCs w:val="22"/>
          <w:lang w:val="es-US"/>
        </w:rPr>
        <w:t xml:space="preserve">, K. R., &amp; Vukomanović, M. (2021). </w:t>
      </w:r>
      <w:r>
        <w:rPr>
          <w:rFonts w:ascii="Times New Roman" w:eastAsia="Times New Roman" w:hAnsi="Times New Roman" w:cs="Times New Roman"/>
          <w:color w:val="000000"/>
          <w:sz w:val="22"/>
          <w:szCs w:val="22"/>
        </w:rPr>
        <w:t>Realizing the need for digital transformation of stakeholder management: A systematic review in the construction industry. </w:t>
      </w:r>
      <w:r>
        <w:rPr>
          <w:rFonts w:ascii="Times New Roman" w:eastAsia="Times New Roman" w:hAnsi="Times New Roman" w:cs="Times New Roman"/>
          <w:i/>
          <w:iCs/>
          <w:color w:val="000000"/>
          <w:sz w:val="22"/>
          <w:szCs w:val="22"/>
        </w:rPr>
        <w:t>Sustainability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(22), 12690. </w:t>
      </w:r>
      <w:hyperlink r:id="rId53">
        <w:r w:rsidR="00506EDB">
          <w:rPr>
            <w:rFonts w:ascii="Times New Roman" w:eastAsia="Times New Roman" w:hAnsi="Times New Roman" w:cs="Times New Roman"/>
            <w:color w:val="0000FF"/>
            <w:sz w:val="22"/>
            <w:szCs w:val="22"/>
            <w:u w:val="single"/>
          </w:rPr>
          <w:t>https://doi.org/10.3390/su132212690</w:t>
        </w:r>
      </w:hyperlink>
    </w:p>
    <w:p w14:paraId="7364EE0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Radman, K., </w:t>
      </w:r>
      <w:proofErr w:type="spellStart"/>
      <w:r w:rsidRPr="00111BFC">
        <w:rPr>
          <w:rFonts w:ascii="Times New Roman" w:eastAsia="Times New Roman" w:hAnsi="Times New Roman" w:cs="Times New Roman"/>
          <w:color w:val="000000"/>
          <w:sz w:val="22"/>
          <w:szCs w:val="22"/>
          <w:lang w:val="es-US"/>
        </w:rPr>
        <w:t>Jelodar</w:t>
      </w:r>
      <w:proofErr w:type="spellEnd"/>
      <w:r w:rsidRPr="00111BFC">
        <w:rPr>
          <w:rFonts w:ascii="Times New Roman" w:eastAsia="Times New Roman" w:hAnsi="Times New Roman" w:cs="Times New Roman"/>
          <w:color w:val="000000"/>
          <w:sz w:val="22"/>
          <w:szCs w:val="22"/>
          <w:lang w:val="es-US"/>
        </w:rPr>
        <w:t xml:space="preserve">, M. B., </w:t>
      </w:r>
      <w:proofErr w:type="spellStart"/>
      <w:r w:rsidRPr="00111BFC">
        <w:rPr>
          <w:rFonts w:ascii="Times New Roman" w:eastAsia="Times New Roman" w:hAnsi="Times New Roman" w:cs="Times New Roman"/>
          <w:color w:val="000000"/>
          <w:sz w:val="22"/>
          <w:szCs w:val="22"/>
          <w:lang w:val="es-US"/>
        </w:rPr>
        <w:t>Lovreglio</w:t>
      </w:r>
      <w:proofErr w:type="spellEnd"/>
      <w:r w:rsidRPr="00111BFC">
        <w:rPr>
          <w:rFonts w:ascii="Times New Roman" w:eastAsia="Times New Roman" w:hAnsi="Times New Roman" w:cs="Times New Roman"/>
          <w:color w:val="000000"/>
          <w:sz w:val="22"/>
          <w:szCs w:val="22"/>
          <w:lang w:val="es-US"/>
        </w:rPr>
        <w:t xml:space="preserve">, R., </w:t>
      </w:r>
      <w:proofErr w:type="spellStart"/>
      <w:r w:rsidRPr="00111BFC">
        <w:rPr>
          <w:rFonts w:ascii="Times New Roman" w:eastAsia="Times New Roman" w:hAnsi="Times New Roman" w:cs="Times New Roman"/>
          <w:color w:val="000000"/>
          <w:sz w:val="22"/>
          <w:szCs w:val="22"/>
          <w:lang w:val="es-US"/>
        </w:rPr>
        <w:t>Ghazizadeh</w:t>
      </w:r>
      <w:proofErr w:type="spellEnd"/>
      <w:r w:rsidRPr="00111BFC">
        <w:rPr>
          <w:rFonts w:ascii="Times New Roman" w:eastAsia="Times New Roman" w:hAnsi="Times New Roman" w:cs="Times New Roman"/>
          <w:color w:val="000000"/>
          <w:sz w:val="22"/>
          <w:szCs w:val="22"/>
          <w:lang w:val="es-US"/>
        </w:rPr>
        <w:t xml:space="preserve">, E., &amp; Wilkinson, S. (2025). </w:t>
      </w:r>
      <w:r>
        <w:rPr>
          <w:rFonts w:ascii="Times New Roman" w:eastAsia="Times New Roman" w:hAnsi="Times New Roman" w:cs="Times New Roman"/>
          <w:color w:val="000000"/>
          <w:sz w:val="22"/>
          <w:szCs w:val="22"/>
        </w:rPr>
        <w:t xml:space="preserve">Real-Time tracking and analysis in construction projects: A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w:t>
      </w:r>
      <w:r>
        <w:rPr>
          <w:rFonts w:ascii="Times New Roman" w:eastAsia="Times New Roman" w:hAnsi="Times New Roman" w:cs="Times New Roman"/>
          <w:i/>
          <w:iCs/>
          <w:color w:val="000000"/>
          <w:sz w:val="22"/>
          <w:szCs w:val="22"/>
        </w:rPr>
        <w:t>Advanced Engineering Informatics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67</w:t>
      </w:r>
      <w:r>
        <w:rPr>
          <w:rFonts w:ascii="Times New Roman" w:eastAsia="Times New Roman" w:hAnsi="Times New Roman" w:cs="Times New Roman"/>
          <w:color w:val="000000"/>
          <w:sz w:val="22"/>
          <w:szCs w:val="22"/>
        </w:rPr>
        <w:t>, 103511. https://doi.org/10.1016/j.aei.2025.103511</w:t>
      </w:r>
    </w:p>
    <w:p w14:paraId="020CCF5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Senić</w:t>
      </w:r>
      <w:proofErr w:type="spellEnd"/>
      <w:r w:rsidRPr="00111BFC">
        <w:rPr>
          <w:rFonts w:ascii="Times New Roman" w:eastAsia="Times New Roman" w:hAnsi="Times New Roman" w:cs="Times New Roman"/>
          <w:color w:val="000000"/>
          <w:sz w:val="22"/>
          <w:szCs w:val="22"/>
          <w:lang w:val="es-US"/>
        </w:rPr>
        <w:t xml:space="preserve">, A., </w:t>
      </w:r>
      <w:proofErr w:type="spellStart"/>
      <w:r w:rsidRPr="00111BFC">
        <w:rPr>
          <w:rFonts w:ascii="Times New Roman" w:eastAsia="Times New Roman" w:hAnsi="Times New Roman" w:cs="Times New Roman"/>
          <w:color w:val="000000"/>
          <w:sz w:val="22"/>
          <w:szCs w:val="22"/>
          <w:lang w:val="es-US"/>
        </w:rPr>
        <w:t>Dobrodolac</w:t>
      </w:r>
      <w:proofErr w:type="spellEnd"/>
      <w:r w:rsidRPr="00111BFC">
        <w:rPr>
          <w:rFonts w:ascii="Times New Roman" w:eastAsia="Times New Roman" w:hAnsi="Times New Roman" w:cs="Times New Roman"/>
          <w:color w:val="000000"/>
          <w:sz w:val="22"/>
          <w:szCs w:val="22"/>
          <w:lang w:val="es-US"/>
        </w:rPr>
        <w:t xml:space="preserve">, M., &amp; Stojadinović, Z. (2024). </w:t>
      </w:r>
      <w:r>
        <w:rPr>
          <w:rFonts w:ascii="Times New Roman" w:eastAsia="Times New Roman" w:hAnsi="Times New Roman" w:cs="Times New Roman"/>
          <w:color w:val="000000"/>
          <w:sz w:val="22"/>
          <w:szCs w:val="22"/>
        </w:rPr>
        <w:t xml:space="preserve">Development of Risk Quantification Models in Road Infrastructure Projects. Sustainability, 16(17), 7694. </w:t>
      </w:r>
      <w:hyperlink r:id="rId54">
        <w:r w:rsidR="00506EDB">
          <w:rPr>
            <w:rFonts w:ascii="Times New Roman" w:eastAsia="Times New Roman" w:hAnsi="Times New Roman" w:cs="Times New Roman"/>
            <w:color w:val="0000FF"/>
            <w:sz w:val="22"/>
            <w:szCs w:val="22"/>
            <w:u w:val="single"/>
          </w:rPr>
          <w:t>https://doi.org/10.3390/su16177694</w:t>
        </w:r>
      </w:hyperlink>
    </w:p>
    <w:p w14:paraId="407A66F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Sing, M. C. P., Ma, Q., &amp; Gu, Q. (2025). </w:t>
      </w:r>
      <w:r>
        <w:rPr>
          <w:rFonts w:ascii="Times New Roman" w:eastAsia="Times New Roman" w:hAnsi="Times New Roman" w:cs="Times New Roman"/>
          <w:color w:val="000000"/>
          <w:sz w:val="22"/>
          <w:szCs w:val="22"/>
        </w:rPr>
        <w:t xml:space="preserve">Improving Cost Contingency Estimation in Infrastructure Projects with Artificial Neural Networks and a Complexity Index. Applied Sciences, 15(7), 3519. </w:t>
      </w:r>
      <w:hyperlink r:id="rId55">
        <w:r w:rsidR="00506EDB">
          <w:rPr>
            <w:rFonts w:ascii="Times New Roman" w:eastAsia="Times New Roman" w:hAnsi="Times New Roman" w:cs="Times New Roman"/>
            <w:color w:val="0000FF"/>
            <w:sz w:val="22"/>
            <w:szCs w:val="22"/>
            <w:u w:val="single"/>
          </w:rPr>
          <w:t>https://doi.org/10.3390/app15073519</w:t>
        </w:r>
      </w:hyperlink>
    </w:p>
    <w:p w14:paraId="62A2D4A2" w14:textId="77777777" w:rsidR="00EF37D7" w:rsidRDefault="00EF37D7">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EF37D7">
        <w:rPr>
          <w:rFonts w:ascii="Times New Roman" w:eastAsia="Times New Roman" w:hAnsi="Times New Roman" w:cs="Times New Roman"/>
          <w:color w:val="000000"/>
          <w:sz w:val="22"/>
          <w:szCs w:val="22"/>
        </w:rPr>
        <w:t>Taroun</w:t>
      </w:r>
      <w:proofErr w:type="spellEnd"/>
      <w:r w:rsidRPr="00EF37D7">
        <w:rPr>
          <w:rFonts w:ascii="Times New Roman" w:eastAsia="Times New Roman" w:hAnsi="Times New Roman" w:cs="Times New Roman"/>
          <w:color w:val="000000"/>
          <w:sz w:val="22"/>
          <w:szCs w:val="22"/>
        </w:rPr>
        <w:t xml:space="preserve">, A. (2014). Towards a better modelling and assessment of construction risk: Insights from a literature review. </w:t>
      </w:r>
      <w:r w:rsidRPr="00EF37D7">
        <w:rPr>
          <w:rFonts w:ascii="Times New Roman" w:eastAsia="Times New Roman" w:hAnsi="Times New Roman" w:cs="Times New Roman"/>
          <w:i/>
          <w:iCs/>
          <w:color w:val="000000"/>
          <w:sz w:val="22"/>
          <w:szCs w:val="22"/>
        </w:rPr>
        <w:t>International Journal of Project Management, 32</w:t>
      </w:r>
      <w:r w:rsidRPr="00EF37D7">
        <w:rPr>
          <w:rFonts w:ascii="Times New Roman" w:eastAsia="Times New Roman" w:hAnsi="Times New Roman" w:cs="Times New Roman"/>
          <w:color w:val="000000"/>
          <w:sz w:val="22"/>
          <w:szCs w:val="22"/>
        </w:rPr>
        <w:t xml:space="preserve">(1), 101–115. </w:t>
      </w:r>
      <w:hyperlink r:id="rId56" w:tgtFrame="_new" w:history="1">
        <w:r w:rsidRPr="00EF37D7">
          <w:rPr>
            <w:rStyle w:val="Hyperlink"/>
            <w:rFonts w:ascii="Times New Roman" w:eastAsia="Times New Roman" w:hAnsi="Times New Roman" w:cs="Times New Roman"/>
            <w:sz w:val="22"/>
            <w:szCs w:val="22"/>
          </w:rPr>
          <w:t>https://doi.org/10.1016/j.ijproman.2013.03.004</w:t>
        </w:r>
      </w:hyperlink>
    </w:p>
    <w:p w14:paraId="32CCD3F8" w14:textId="5945B7A3"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Tian, K., Zhu, Z., </w:t>
      </w:r>
      <w:proofErr w:type="spellStart"/>
      <w:r>
        <w:rPr>
          <w:rFonts w:ascii="Times New Roman" w:eastAsia="Times New Roman" w:hAnsi="Times New Roman" w:cs="Times New Roman"/>
          <w:color w:val="000000"/>
          <w:sz w:val="22"/>
          <w:szCs w:val="22"/>
        </w:rPr>
        <w:t>Mbachu</w:t>
      </w:r>
      <w:proofErr w:type="spellEnd"/>
      <w:r>
        <w:rPr>
          <w:rFonts w:ascii="Times New Roman" w:eastAsia="Times New Roman" w:hAnsi="Times New Roman" w:cs="Times New Roman"/>
          <w:color w:val="000000"/>
          <w:sz w:val="22"/>
          <w:szCs w:val="22"/>
        </w:rPr>
        <w:t xml:space="preserve">, J., </w:t>
      </w:r>
      <w:proofErr w:type="spellStart"/>
      <w:r>
        <w:rPr>
          <w:rFonts w:ascii="Times New Roman" w:eastAsia="Times New Roman" w:hAnsi="Times New Roman" w:cs="Times New Roman"/>
          <w:color w:val="000000"/>
          <w:sz w:val="22"/>
          <w:szCs w:val="22"/>
        </w:rPr>
        <w:t>Ghanbaripour</w:t>
      </w:r>
      <w:proofErr w:type="spellEnd"/>
      <w:r>
        <w:rPr>
          <w:rFonts w:ascii="Times New Roman" w:eastAsia="Times New Roman" w:hAnsi="Times New Roman" w:cs="Times New Roman"/>
          <w:color w:val="000000"/>
          <w:sz w:val="22"/>
          <w:szCs w:val="22"/>
        </w:rPr>
        <w:t>, A., &amp; Moorhead, M. (2025). Artificial intelligence in risk management within the realm of construction projects: A bibliometric analysis and systematic literature review. </w:t>
      </w:r>
      <w:r>
        <w:rPr>
          <w:rFonts w:ascii="Times New Roman" w:eastAsia="Times New Roman" w:hAnsi="Times New Roman" w:cs="Times New Roman"/>
          <w:i/>
          <w:iCs/>
          <w:color w:val="000000"/>
          <w:sz w:val="22"/>
          <w:szCs w:val="22"/>
        </w:rPr>
        <w:t>Journal of Innovation &amp; Knowledge</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10</w:t>
      </w:r>
      <w:r>
        <w:rPr>
          <w:rFonts w:ascii="Times New Roman" w:eastAsia="Times New Roman" w:hAnsi="Times New Roman" w:cs="Times New Roman"/>
          <w:color w:val="000000"/>
          <w:sz w:val="22"/>
          <w:szCs w:val="22"/>
        </w:rPr>
        <w:t xml:space="preserve">(3), 100711. </w:t>
      </w:r>
      <w:hyperlink r:id="rId57">
        <w:r w:rsidR="00506EDB">
          <w:rPr>
            <w:rFonts w:ascii="Times New Roman" w:eastAsia="Times New Roman" w:hAnsi="Times New Roman" w:cs="Times New Roman"/>
            <w:color w:val="0000FF"/>
            <w:sz w:val="22"/>
            <w:szCs w:val="22"/>
            <w:u w:val="single"/>
          </w:rPr>
          <w:t>https://doi.org/10.1016/j.jik.2025.100711</w:t>
        </w:r>
      </w:hyperlink>
    </w:p>
    <w:p w14:paraId="76ECB17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Yalçın, G., Bayram, S., &amp; </w:t>
      </w:r>
      <w:proofErr w:type="spellStart"/>
      <w:r>
        <w:rPr>
          <w:rFonts w:ascii="Times New Roman" w:eastAsia="Times New Roman" w:hAnsi="Times New Roman" w:cs="Times New Roman"/>
          <w:color w:val="000000"/>
          <w:sz w:val="22"/>
          <w:szCs w:val="22"/>
        </w:rPr>
        <w:t>Çıtakoğlu</w:t>
      </w:r>
      <w:proofErr w:type="spellEnd"/>
      <w:r>
        <w:rPr>
          <w:rFonts w:ascii="Times New Roman" w:eastAsia="Times New Roman" w:hAnsi="Times New Roman" w:cs="Times New Roman"/>
          <w:color w:val="000000"/>
          <w:sz w:val="22"/>
          <w:szCs w:val="22"/>
        </w:rPr>
        <w:t>, H. (2024). Evaluation of earned value management-based cost estimation via machine learning.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(12), 3772. </w:t>
      </w:r>
      <w:r>
        <w:rPr>
          <w:rFonts w:ascii="Times New Roman" w:eastAsia="Times New Roman" w:hAnsi="Times New Roman" w:cs="Times New Roman"/>
          <w:color w:val="000000"/>
          <w:sz w:val="22"/>
          <w:szCs w:val="22"/>
        </w:rPr>
        <w:br/>
        <w:t>https://doi.org/10.3390/buildings14123772</w:t>
      </w:r>
    </w:p>
    <w:p w14:paraId="7160793E" w14:textId="77777777" w:rsidR="00506EDB" w:rsidRDefault="00EA765F">
      <w:pPr>
        <w:numPr>
          <w:ilvl w:val="0"/>
          <w:numId w:val="3"/>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Zani, D., Adey, B. T., &amp; Carroll, S. (2024). </w:t>
      </w:r>
      <w:r>
        <w:rPr>
          <w:rFonts w:ascii="Times New Roman" w:eastAsia="Times New Roman" w:hAnsi="Times New Roman" w:cs="Times New Roman"/>
          <w:color w:val="000000"/>
          <w:sz w:val="22"/>
          <w:szCs w:val="22"/>
        </w:rPr>
        <w:t>An approach to support reference class forecasting when adequate project data are unavailable. </w:t>
      </w:r>
      <w:r>
        <w:rPr>
          <w:rFonts w:ascii="Times New Roman" w:eastAsia="Times New Roman" w:hAnsi="Times New Roman" w:cs="Times New Roman"/>
          <w:i/>
          <w:iCs/>
          <w:color w:val="000000"/>
          <w:sz w:val="22"/>
          <w:szCs w:val="22"/>
        </w:rPr>
        <w:t>Results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22</w:t>
      </w:r>
      <w:r>
        <w:rPr>
          <w:rFonts w:ascii="Times New Roman" w:eastAsia="Times New Roman" w:hAnsi="Times New Roman" w:cs="Times New Roman"/>
          <w:color w:val="000000"/>
          <w:sz w:val="22"/>
          <w:szCs w:val="22"/>
        </w:rPr>
        <w:t xml:space="preserve">, 102333. </w:t>
      </w:r>
      <w:hyperlink r:id="rId58">
        <w:r w:rsidR="00506EDB">
          <w:rPr>
            <w:rFonts w:ascii="Times New Roman" w:eastAsia="Times New Roman" w:hAnsi="Times New Roman" w:cs="Times New Roman"/>
            <w:color w:val="0000FF"/>
            <w:sz w:val="22"/>
            <w:szCs w:val="22"/>
            <w:u w:val="single"/>
          </w:rPr>
          <w:t>https://doi.org/10.1016/j.rineng.2024.102333</w:t>
        </w:r>
      </w:hyperlink>
    </w:p>
    <w:sectPr w:rsidR="00506ED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F04AF" w14:textId="77777777" w:rsidR="00957797" w:rsidRDefault="00957797" w:rsidP="0090734F">
      <w:pPr>
        <w:spacing w:after="0" w:line="240" w:lineRule="auto"/>
      </w:pPr>
      <w:r>
        <w:separator/>
      </w:r>
    </w:p>
  </w:endnote>
  <w:endnote w:type="continuationSeparator" w:id="0">
    <w:p w14:paraId="0D15736E" w14:textId="77777777" w:rsidR="00957797" w:rsidRDefault="00957797" w:rsidP="00907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77A237-4014-49CA-9435-101F7362CBB2}"/>
    <w:embedBold r:id="rId2" w:fontKey="{6056C7B4-4062-43D1-8B58-601444C55480}"/>
    <w:embedItalic r:id="rId3" w:fontKey="{AAD34B05-0506-44DC-8DA9-7F7D2BFD99D3}"/>
    <w:embedBoldItalic r:id="rId4" w:fontKey="{67CB03D6-C2C6-4442-A512-60A9658A8FA5}"/>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71EF38C9-BCFA-4EE3-BCE1-0F5BC79E2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EE30" w14:textId="77777777" w:rsidR="0090734F" w:rsidRDefault="00907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97D8" w14:textId="77777777" w:rsidR="0090734F" w:rsidRDefault="00907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85C31" w14:textId="77777777" w:rsidR="0090734F" w:rsidRDefault="00907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6A602" w14:textId="77777777" w:rsidR="00957797" w:rsidRDefault="00957797" w:rsidP="0090734F">
      <w:pPr>
        <w:spacing w:after="0" w:line="240" w:lineRule="auto"/>
      </w:pPr>
      <w:r>
        <w:separator/>
      </w:r>
    </w:p>
  </w:footnote>
  <w:footnote w:type="continuationSeparator" w:id="0">
    <w:p w14:paraId="6A06DCD5" w14:textId="77777777" w:rsidR="00957797" w:rsidRDefault="00957797" w:rsidP="00907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6770" w14:textId="3383F005" w:rsidR="0090734F" w:rsidRDefault="00000000">
    <w:pPr>
      <w:pStyle w:val="Header"/>
    </w:pPr>
    <w:r>
      <w:rPr>
        <w:noProof/>
      </w:rPr>
      <w:pict w14:anchorId="04405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B2ED" w14:textId="7E410A08" w:rsidR="0090734F" w:rsidRDefault="00000000">
    <w:pPr>
      <w:pStyle w:val="Header"/>
    </w:pPr>
    <w:r>
      <w:rPr>
        <w:noProof/>
      </w:rPr>
      <w:pict w14:anchorId="788AC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8F43" w14:textId="79C754C6" w:rsidR="0090734F" w:rsidRDefault="00000000">
    <w:pPr>
      <w:pStyle w:val="Header"/>
    </w:pPr>
    <w:r>
      <w:rPr>
        <w:noProof/>
      </w:rPr>
      <w:pict w14:anchorId="77C5C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1581F"/>
    <w:multiLevelType w:val="multilevel"/>
    <w:tmpl w:val="B1580D32"/>
    <w:lvl w:ilvl="0">
      <w:start w:val="1"/>
      <w:numFmt w:val="decimal"/>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C0C1C"/>
    <w:multiLevelType w:val="multilevel"/>
    <w:tmpl w:val="7CA08A3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A24C06"/>
    <w:multiLevelType w:val="multilevel"/>
    <w:tmpl w:val="87787F4C"/>
    <w:lvl w:ilvl="0">
      <w:start w:val="1"/>
      <w:numFmt w:val="decimal"/>
      <w:pStyle w:val="ListBulle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51917CC2"/>
    <w:multiLevelType w:val="multilevel"/>
    <w:tmpl w:val="E84A054E"/>
    <w:lvl w:ilvl="0">
      <w:start w:val="1"/>
      <w:numFmt w:val="lowerRoman"/>
      <w:pStyle w:val="ListBullet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5375356">
    <w:abstractNumId w:val="2"/>
  </w:num>
  <w:num w:numId="2" w16cid:durableId="2056542617">
    <w:abstractNumId w:val="3"/>
  </w:num>
  <w:num w:numId="3" w16cid:durableId="1118573087">
    <w:abstractNumId w:val="0"/>
  </w:num>
  <w:num w:numId="4" w16cid:durableId="15741758">
    <w:abstractNumId w:val="1"/>
  </w:num>
  <w:num w:numId="5" w16cid:durableId="1270090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83759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C0MDMxM7c0NDEyMTJV0lEKTi0uzszPAykwrAUA34kg9CwAAAA="/>
  </w:docVars>
  <w:rsids>
    <w:rsidRoot w:val="00506EDB"/>
    <w:rsid w:val="00111BFC"/>
    <w:rsid w:val="001830DE"/>
    <w:rsid w:val="001B2553"/>
    <w:rsid w:val="00215449"/>
    <w:rsid w:val="00285545"/>
    <w:rsid w:val="00293D40"/>
    <w:rsid w:val="00296DF4"/>
    <w:rsid w:val="002A0038"/>
    <w:rsid w:val="002B653A"/>
    <w:rsid w:val="00304171"/>
    <w:rsid w:val="0046547A"/>
    <w:rsid w:val="00506EDB"/>
    <w:rsid w:val="0052348B"/>
    <w:rsid w:val="006047A1"/>
    <w:rsid w:val="006922C6"/>
    <w:rsid w:val="007141B8"/>
    <w:rsid w:val="008948DC"/>
    <w:rsid w:val="008C6F5E"/>
    <w:rsid w:val="008E505D"/>
    <w:rsid w:val="008E5654"/>
    <w:rsid w:val="0090734F"/>
    <w:rsid w:val="00957797"/>
    <w:rsid w:val="00964ACF"/>
    <w:rsid w:val="009D1554"/>
    <w:rsid w:val="00AC426E"/>
    <w:rsid w:val="00AF28C4"/>
    <w:rsid w:val="00B92D64"/>
    <w:rsid w:val="00C05E25"/>
    <w:rsid w:val="00C21B06"/>
    <w:rsid w:val="00D874E4"/>
    <w:rsid w:val="00EA765F"/>
    <w:rsid w:val="00ED7DA1"/>
    <w:rsid w:val="00EF37D7"/>
    <w:rsid w:val="00EF5C6A"/>
    <w:rsid w:val="00F0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79DCF"/>
  <w15:docId w15:val="{15657583-BFA2-4951-87B3-C0C11DE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0736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0736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00E89"/>
    <w:rPr>
      <w:color w:val="0000FF" w:themeColor="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90/su14105835" TargetMode="External"/><Relationship Id="rId26" Type="http://schemas.openxmlformats.org/officeDocument/2006/relationships/hyperlink" Target="https://doi.org/10.1016/j.plas.2024.100128" TargetMode="External"/><Relationship Id="rId39" Type="http://schemas.openxmlformats.org/officeDocument/2006/relationships/hyperlink" Target="https://doi.org/10.1016/j.asej.2018.11.008" TargetMode="External"/><Relationship Id="rId21" Type="http://schemas.openxmlformats.org/officeDocument/2006/relationships/hyperlink" Target="https://doi.org/10.3390/su162411159" TargetMode="External"/><Relationship Id="rId34" Type="http://schemas.openxmlformats.org/officeDocument/2006/relationships/hyperlink" Target="https://doi.org/10.3390/buildings15193505" TargetMode="External"/><Relationship Id="rId42" Type="http://schemas.openxmlformats.org/officeDocument/2006/relationships/hyperlink" Target="https://doi.org/10.3390/buildings13030667" TargetMode="External"/><Relationship Id="rId47" Type="http://schemas.openxmlformats.org/officeDocument/2006/relationships/hyperlink" Target="https://doi.org/10.3390/buildings14030601" TargetMode="External"/><Relationship Id="rId50" Type="http://schemas.openxmlformats.org/officeDocument/2006/relationships/hyperlink" Target="https://doi.org/10.1108/JEDT-05-2019-0121" TargetMode="External"/><Relationship Id="rId55" Type="http://schemas.openxmlformats.org/officeDocument/2006/relationships/hyperlink" Target="https://doi.org/10.3390/app150735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61/(ASCE)ME.1943-5479.0000917" TargetMode="External"/><Relationship Id="rId29" Type="http://schemas.openxmlformats.org/officeDocument/2006/relationships/hyperlink" Target="https://doi.org/10.1016/j.autcon.2018.11.030" TargetMode="External"/><Relationship Id="rId11" Type="http://schemas.openxmlformats.org/officeDocument/2006/relationships/header" Target="header2.xml"/><Relationship Id="rId24" Type="http://schemas.openxmlformats.org/officeDocument/2006/relationships/hyperlink" Target="https://doi.org/10.1016/j.plas.2024.100171" TargetMode="External"/><Relationship Id="rId32" Type="http://schemas.openxmlformats.org/officeDocument/2006/relationships/hyperlink" Target="https://doi.org/10.2174/1874149502115010038" TargetMode="External"/><Relationship Id="rId37" Type="http://schemas.openxmlformats.org/officeDocument/2006/relationships/hyperlink" Target="https://doi.org/10.1016/j.asej.2021.09.005" TargetMode="External"/><Relationship Id="rId40" Type="http://schemas.openxmlformats.org/officeDocument/2006/relationships/hyperlink" Target="https://doi.org/10.1016/j.autcon.2024.105716" TargetMode="External"/><Relationship Id="rId45" Type="http://schemas.openxmlformats.org/officeDocument/2006/relationships/hyperlink" Target="https://doi.org/10.1016/j.tranpol.2023.02.017" TargetMode="External"/><Relationship Id="rId53" Type="http://schemas.openxmlformats.org/officeDocument/2006/relationships/hyperlink" Target="https://doi.org/10.3390/su132212690" TargetMode="External"/><Relationship Id="rId58" Type="http://schemas.openxmlformats.org/officeDocument/2006/relationships/hyperlink" Target="https://doi.org/10.1016/j.rineng.2024.102333" TargetMode="External"/><Relationship Id="rId5" Type="http://schemas.openxmlformats.org/officeDocument/2006/relationships/webSettings" Target="webSettings.xml"/><Relationship Id="rId19" Type="http://schemas.openxmlformats.org/officeDocument/2006/relationships/hyperlink" Target="https://doi.org/10.1016/j.autcon.2023.1051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3390/infrastructures10060139" TargetMode="External"/><Relationship Id="rId27" Type="http://schemas.openxmlformats.org/officeDocument/2006/relationships/hyperlink" Target="https://doi.org/10.3390/systems13080625" TargetMode="External"/><Relationship Id="rId30" Type="http://schemas.openxmlformats.org/officeDocument/2006/relationships/hyperlink" Target="https://doi.org/10.3390/buildings12122173" TargetMode="External"/><Relationship Id="rId35" Type="http://schemas.openxmlformats.org/officeDocument/2006/relationships/hyperlink" Target="https://doi.org/10.3390/app10165506" TargetMode="External"/><Relationship Id="rId43" Type="http://schemas.openxmlformats.org/officeDocument/2006/relationships/hyperlink" Target="https://doi.org/10.3390/su132011507" TargetMode="External"/><Relationship Id="rId48" Type="http://schemas.openxmlformats.org/officeDocument/2006/relationships/hyperlink" Target="https://doi.org/10.48084/etasr.8173" TargetMode="External"/><Relationship Id="rId56" Type="http://schemas.openxmlformats.org/officeDocument/2006/relationships/hyperlink" Target="https://doi.org/10.1016/j.ijproman.2013.03.004" TargetMode="External"/><Relationship Id="rId8" Type="http://schemas.openxmlformats.org/officeDocument/2006/relationships/image" Target="media/image1.png"/><Relationship Id="rId51" Type="http://schemas.openxmlformats.org/officeDocument/2006/relationships/hyperlink" Target="https://doi.org/10.1016/j.autcon.2025.10642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org/10.1016/j.proeng.2017.03.105" TargetMode="External"/><Relationship Id="rId25" Type="http://schemas.openxmlformats.org/officeDocument/2006/relationships/hyperlink" Target="https://doi.org/10.1016/j.eswa.2025.127891" TargetMode="External"/><Relationship Id="rId33" Type="http://schemas.openxmlformats.org/officeDocument/2006/relationships/hyperlink" Target="https://doi.org/10.1016/j.eswa.2024.123789" TargetMode="External"/><Relationship Id="rId38" Type="http://schemas.openxmlformats.org/officeDocument/2006/relationships/hyperlink" Target="https://doi.org/10.1108/ECAM-07-2021-0602" TargetMode="External"/><Relationship Id="rId46" Type="http://schemas.openxmlformats.org/officeDocument/2006/relationships/hyperlink" Target="https://doi.org/10.1016/j.autcon.2024.105836" TargetMode="External"/><Relationship Id="rId59" Type="http://schemas.openxmlformats.org/officeDocument/2006/relationships/fontTable" Target="fontTable.xml"/><Relationship Id="rId20" Type="http://schemas.openxmlformats.org/officeDocument/2006/relationships/hyperlink" Target="https://doi.org/10.1016/j.asej.2022.101720" TargetMode="External"/><Relationship Id="rId41" Type="http://schemas.openxmlformats.org/officeDocument/2006/relationships/hyperlink" Target="https://doi.org/10.3390/su11195388" TargetMode="External"/><Relationship Id="rId54" Type="http://schemas.openxmlformats.org/officeDocument/2006/relationships/hyperlink" Target="https://doi.org/10.3390/su161776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61/(ASCE)CO.1943-7862.0001008" TargetMode="External"/><Relationship Id="rId28" Type="http://schemas.openxmlformats.org/officeDocument/2006/relationships/hyperlink" Target="https://doi.org/10.1016/j.aej.2023.10.052" TargetMode="External"/><Relationship Id="rId36" Type="http://schemas.openxmlformats.org/officeDocument/2006/relationships/hyperlink" Target="https://doi.org/10.3390/app15137464" TargetMode="External"/><Relationship Id="rId49" Type="http://schemas.openxmlformats.org/officeDocument/2006/relationships/hyperlink" Target="https://doi.org/10.1186/s40537-020-00343-4" TargetMode="External"/><Relationship Id="rId57" Type="http://schemas.openxmlformats.org/officeDocument/2006/relationships/hyperlink" Target="https://doi.org/10.1016/j.jik.2025.100711" TargetMode="External"/><Relationship Id="rId10" Type="http://schemas.openxmlformats.org/officeDocument/2006/relationships/header" Target="header1.xml"/><Relationship Id="rId31" Type="http://schemas.openxmlformats.org/officeDocument/2006/relationships/hyperlink" Target="https://doi.org/10.3846/13923730.2014.992467" TargetMode="External"/><Relationship Id="rId44" Type="http://schemas.openxmlformats.org/officeDocument/2006/relationships/hyperlink" Target="https://doi.org/10.1068/b130102p" TargetMode="External"/><Relationship Id="rId52" Type="http://schemas.openxmlformats.org/officeDocument/2006/relationships/hyperlink" Target="https://doi.org/10.1007/s12205-020-1391-5"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2e5vS2lQbuOaATJcenCWmL5Ww==">CgMxLjA4AHIhMUcxWVUydWcxdHJ5S1F2cE1qT3liNzdud0QwWWM0WFJI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19</Pages>
  <Words>9303</Words>
  <Characters>53028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kelechi Eze</cp:lastModifiedBy>
  <cp:revision>54</cp:revision>
  <dcterms:created xsi:type="dcterms:W3CDTF">2026-03-12T18:06:00Z</dcterms:created>
  <dcterms:modified xsi:type="dcterms:W3CDTF">2026-05-01T17:24:00Z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1391ab39-5a8a-42db-8494-9284eef71e66</vt:lpwstr>
  </property>
</Properties>
</file>