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C0381" w14:textId="1D75262C"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Data-driven risk modeling for infrastructure project delivery to mitigate schedule and cost overruns</w:t>
      </w:r>
    </w:p>
    <w:p w14:paraId="475CA941" w14:textId="77777777" w:rsidR="00D874E4" w:rsidRDefault="00D874E4">
      <w:pPr>
        <w:jc w:val="both"/>
        <w:rPr>
          <w:rFonts w:ascii="Times New Roman" w:eastAsia="Times New Roman" w:hAnsi="Times New Roman" w:cs="Times New Roman"/>
          <w:b/>
          <w:bCs/>
          <w:color w:val="000000"/>
          <w:sz w:val="22"/>
          <w:szCs w:val="22"/>
        </w:rPr>
      </w:pPr>
    </w:p>
    <w:p w14:paraId="6BC81258"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Abstract</w:t>
      </w:r>
    </w:p>
    <w:p w14:paraId="7574A26A" w14:textId="349AB3FD"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 xml:space="preserve">Despite the development of digital systems and project controls, infrastructure projects are still prone to uncontrolled risks, delays in schedules, and higher costs. This scoping review explores how data-driven risk </w:t>
      </w:r>
      <w:r w:rsidR="00304171">
        <w:rPr>
          <w:rFonts w:ascii="Times New Roman" w:eastAsia="Times New Roman" w:hAnsi="Times New Roman" w:cs="Times New Roman"/>
          <w:color w:val="000000"/>
          <w:sz w:val="22"/>
          <w:szCs w:val="22"/>
        </w:rPr>
        <w:t>modelling</w:t>
      </w:r>
      <w:r>
        <w:rPr>
          <w:rFonts w:ascii="Times New Roman" w:eastAsia="Times New Roman" w:hAnsi="Times New Roman" w:cs="Times New Roman"/>
          <w:color w:val="000000"/>
          <w:sz w:val="22"/>
          <w:szCs w:val="22"/>
        </w:rPr>
        <w:t xml:space="preserve"> can be used to make predictions, quantify, and manage schedule and cost risks in infrastructure delivery environments. Scopus, Web of Science Core Collection, and Engineering Village were used to find studies published between 2015 and 2025 using a PCC-framed question and PRISMA-</w:t>
      </w:r>
      <w:proofErr w:type="spellStart"/>
      <w:r>
        <w:rPr>
          <w:rFonts w:ascii="Times New Roman" w:eastAsia="Times New Roman" w:hAnsi="Times New Roman" w:cs="Times New Roman"/>
          <w:color w:val="000000"/>
          <w:sz w:val="22"/>
          <w:szCs w:val="22"/>
        </w:rPr>
        <w:t>ScR</w:t>
      </w:r>
      <w:proofErr w:type="spellEnd"/>
      <w:r>
        <w:rPr>
          <w:rFonts w:ascii="Times New Roman" w:eastAsia="Times New Roman" w:hAnsi="Times New Roman" w:cs="Times New Roman"/>
          <w:color w:val="000000"/>
          <w:sz w:val="22"/>
          <w:szCs w:val="22"/>
        </w:rPr>
        <w:t xml:space="preserve">-managed process. A </w:t>
      </w:r>
      <w:proofErr w:type="spellStart"/>
      <w:r w:rsidR="00304171">
        <w:rPr>
          <w:rFonts w:ascii="Times New Roman" w:eastAsia="Times New Roman" w:hAnsi="Times New Roman" w:cs="Times New Roman"/>
          <w:color w:val="000000"/>
          <w:sz w:val="22"/>
          <w:szCs w:val="22"/>
        </w:rPr>
        <w:t>standardised</w:t>
      </w:r>
      <w:proofErr w:type="spellEnd"/>
      <w:r>
        <w:rPr>
          <w:rFonts w:ascii="Times New Roman" w:eastAsia="Times New Roman" w:hAnsi="Times New Roman" w:cs="Times New Roman"/>
          <w:color w:val="000000"/>
          <w:sz w:val="22"/>
          <w:szCs w:val="22"/>
        </w:rPr>
        <w:t xml:space="preserve"> template was then used to screen and chart them. A total of 19 empirical studies were </w:t>
      </w:r>
      <w:proofErr w:type="spellStart"/>
      <w:r w:rsidR="00304171">
        <w:rPr>
          <w:rFonts w:ascii="Times New Roman" w:eastAsia="Times New Roman" w:hAnsi="Times New Roman" w:cs="Times New Roman"/>
          <w:color w:val="000000"/>
          <w:sz w:val="22"/>
          <w:szCs w:val="22"/>
        </w:rPr>
        <w:t>synthesised</w:t>
      </w:r>
      <w:proofErr w:type="spellEnd"/>
      <w:r>
        <w:rPr>
          <w:rFonts w:ascii="Times New Roman" w:eastAsia="Times New Roman" w:hAnsi="Times New Roman" w:cs="Times New Roman"/>
          <w:color w:val="000000"/>
          <w:sz w:val="22"/>
          <w:szCs w:val="22"/>
        </w:rPr>
        <w:t xml:space="preserve">, all of which were highways, roads, railways, metro systems, marine works, irrigation, educational infrastructure, utilities, and portfolios of public infrastructure, in developed and developing contexts. The approaches reviewed involved machine learning, Bayesian networks, Monte Carlo simulation, with hidden Markov models, earned value-based forecasting, fuzzy systems, and hybrid analytics, and were tested against cost overrun, delay, contingency, and risk outcomes. </w:t>
      </w:r>
      <w:r w:rsidR="00304171" w:rsidRPr="00304171">
        <w:rPr>
          <w:rFonts w:ascii="Times New Roman" w:eastAsia="Times New Roman" w:hAnsi="Times New Roman" w:cs="Times New Roman"/>
          <w:color w:val="000000"/>
          <w:sz w:val="22"/>
          <w:szCs w:val="22"/>
        </w:rPr>
        <w:t>Although data-driven and probabilistic models improve decision support and prediction across most applications, wider adoption is constrained by issues such as limited validation beyond single settings, weak integration with live control systems and poor data quality.</w:t>
      </w:r>
      <w:r w:rsidR="00304171">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This review provides coherent evidence, which has been fragmented around identified priorities of governance, validation, and integration.</w:t>
      </w:r>
    </w:p>
    <w:p w14:paraId="1687C4CE"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Keywords: infrastructure delivery; cost overrun; schedule delay; risk modeling; predictive analytics</w:t>
      </w:r>
    </w:p>
    <w:p w14:paraId="7195D5E5" w14:textId="06996912" w:rsidR="00506EDB" w:rsidRDefault="006922C6">
      <w:pPr>
        <w:numPr>
          <w:ilvl w:val="1"/>
          <w:numId w:val="1"/>
        </w:numPr>
        <w:pBdr>
          <w:top w:val="nil"/>
          <w:left w:val="nil"/>
          <w:bottom w:val="nil"/>
          <w:right w:val="nil"/>
          <w:between w:val="nil"/>
        </w:pBd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Background</w:t>
      </w:r>
    </w:p>
    <w:p w14:paraId="1C3BA1D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Infrastructure projects are still key drivers of economic productivity, geographical connectivity, the provision of public services, and long-term social well-being, but their execution continues to be compromised by ongoing cost overruns and the hindrance of schedules in both developed and developing environments. Public infrastructure in Jordan provided evidence that delays and cost escalation occurred repeatedly, rather than one time as an event, and final reports available on completed projects highlighted a combination of different underlying causes that interacted with each other in routine project implementation (Al-Hazim et al., 2017). Similar trends have been observed within the gas-oil construction industry in Iran, where poor delivery performance was marred by inaccuracy in estimating, flawed planning, alteration of design, </w:t>
      </w:r>
      <w:proofErr w:type="spellStart"/>
      <w:r>
        <w:rPr>
          <w:rFonts w:ascii="Times New Roman" w:eastAsia="Times New Roman" w:hAnsi="Times New Roman" w:cs="Times New Roman"/>
          <w:color w:val="000000"/>
          <w:sz w:val="22"/>
          <w:szCs w:val="22"/>
        </w:rPr>
        <w:t>labour</w:t>
      </w:r>
      <w:proofErr w:type="spellEnd"/>
      <w:r>
        <w:rPr>
          <w:rFonts w:ascii="Times New Roman" w:eastAsia="Times New Roman" w:hAnsi="Times New Roman" w:cs="Times New Roman"/>
          <w:color w:val="000000"/>
          <w:sz w:val="22"/>
          <w:szCs w:val="22"/>
        </w:rPr>
        <w:t xml:space="preserve"> limitations, and volatile prices (</w:t>
      </w:r>
      <w:proofErr w:type="spellStart"/>
      <w:r>
        <w:rPr>
          <w:rFonts w:ascii="Times New Roman" w:eastAsia="Times New Roman" w:hAnsi="Times New Roman" w:cs="Times New Roman"/>
          <w:color w:val="000000"/>
          <w:sz w:val="22"/>
          <w:szCs w:val="22"/>
        </w:rPr>
        <w:t>Derakhshanel</w:t>
      </w:r>
      <w:proofErr w:type="spellEnd"/>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Avijeh</w:t>
      </w:r>
      <w:proofErr w:type="spellEnd"/>
      <w:r>
        <w:rPr>
          <w:rFonts w:ascii="Times New Roman" w:eastAsia="Times New Roman" w:hAnsi="Times New Roman" w:cs="Times New Roman"/>
          <w:color w:val="000000"/>
          <w:sz w:val="22"/>
          <w:szCs w:val="22"/>
        </w:rPr>
        <w:t xml:space="preserve"> &amp; Teixeira, 2017). Similar concerns can be observed in municipal roads in Palestine, Egyptian mega-projects, and global tunnel megaprojects, which suggests that overruns are not limited to a specific geographic, project scale, or type of asset, but are a structural phenomenon or aspect of infrastructure implementation under uncertainty (Daoud et al., 2023; De Marco &amp; </w:t>
      </w:r>
      <w:proofErr w:type="spellStart"/>
      <w:r>
        <w:rPr>
          <w:rFonts w:ascii="Times New Roman" w:eastAsia="Times New Roman" w:hAnsi="Times New Roman" w:cs="Times New Roman"/>
          <w:color w:val="000000"/>
          <w:sz w:val="22"/>
          <w:szCs w:val="22"/>
        </w:rPr>
        <w:t>Narbaev</w:t>
      </w:r>
      <w:proofErr w:type="spellEnd"/>
      <w:r>
        <w:rPr>
          <w:rFonts w:ascii="Times New Roman" w:eastAsia="Times New Roman" w:hAnsi="Times New Roman" w:cs="Times New Roman"/>
          <w:color w:val="000000"/>
          <w:sz w:val="22"/>
          <w:szCs w:val="22"/>
        </w:rPr>
        <w:t xml:space="preserve">, 2021; Issa et al., 2022). Even in places where performance seems more regulated, in English road schemes, long-term improvement has relied on intentional changes in the practice of estimation, procurement strategy, and </w:t>
      </w:r>
      <w:proofErr w:type="spellStart"/>
      <w:r>
        <w:rPr>
          <w:rFonts w:ascii="Times New Roman" w:eastAsia="Times New Roman" w:hAnsi="Times New Roman" w:cs="Times New Roman"/>
          <w:color w:val="000000"/>
          <w:sz w:val="22"/>
          <w:szCs w:val="22"/>
        </w:rPr>
        <w:t>programme</w:t>
      </w:r>
      <w:proofErr w:type="spellEnd"/>
      <w:r>
        <w:rPr>
          <w:rFonts w:ascii="Times New Roman" w:eastAsia="Times New Roman" w:hAnsi="Times New Roman" w:cs="Times New Roman"/>
          <w:color w:val="000000"/>
          <w:sz w:val="22"/>
          <w:szCs w:val="22"/>
        </w:rPr>
        <w:t xml:space="preserve"> management as well as institutional learning, as opposed to the role of routine project administration on its own (Chapman, 2024).</w:t>
      </w:r>
    </w:p>
    <w:p w14:paraId="36BC5B18" w14:textId="79471E25"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broader picture indicates that infrastructure underperformance cannot be perceived merely as the inability to execute competently at the construction level. Instead, it represents weaknesses that may arise due to project definition, front-end estimation, decision-making structures, coordination practices, and </w:t>
      </w:r>
      <w:r>
        <w:rPr>
          <w:rFonts w:ascii="Times New Roman" w:eastAsia="Times New Roman" w:hAnsi="Times New Roman" w:cs="Times New Roman"/>
          <w:color w:val="000000"/>
          <w:sz w:val="22"/>
          <w:szCs w:val="22"/>
        </w:rPr>
        <w:lastRenderedPageBreak/>
        <w:t>managing uncertainty during the project lifecycle. Studies on large-scale government projects have demonstrated that realistic costing is not an independent technical pursuit since front-end estimating is accomplished by data accessibility, organizational functioning, and management of uncertainty of budget and approval systems (Berg et al., 2025). Connected literature in Egypt on value management also shows that proactive and systematic management strategies can enhance control over project cost, which means that improvement in production is based on the project frame, probe, and governance prior to and during implementation (</w:t>
      </w:r>
      <w:proofErr w:type="spellStart"/>
      <w:r>
        <w:rPr>
          <w:rFonts w:ascii="Times New Roman" w:eastAsia="Times New Roman" w:hAnsi="Times New Roman" w:cs="Times New Roman"/>
          <w:color w:val="000000"/>
          <w:sz w:val="22"/>
          <w:szCs w:val="22"/>
        </w:rPr>
        <w:t>Khodeir</w:t>
      </w:r>
      <w:proofErr w:type="spellEnd"/>
      <w:r>
        <w:rPr>
          <w:rFonts w:ascii="Times New Roman" w:eastAsia="Times New Roman" w:hAnsi="Times New Roman" w:cs="Times New Roman"/>
          <w:color w:val="000000"/>
          <w:sz w:val="22"/>
          <w:szCs w:val="22"/>
        </w:rPr>
        <w:t xml:space="preserve"> &amp; El Ghandour, 2019). In that regard, the problem with infrastructural projects going out of control is not merely that they do so too late, but that, traditionally, management structures are so ill-configured that when issues emerge, they are identified reactively and managed using instruments and tools less responsive to the changing delivery factors. Figure </w:t>
      </w:r>
      <w:r w:rsidR="0052348B">
        <w:rPr>
          <w:rFonts w:ascii="Times New Roman" w:eastAsia="Times New Roman" w:hAnsi="Times New Roman" w:cs="Times New Roman"/>
          <w:color w:val="000000"/>
          <w:sz w:val="22"/>
          <w:szCs w:val="22"/>
        </w:rPr>
        <w:t>1</w:t>
      </w:r>
      <w:r>
        <w:rPr>
          <w:rFonts w:ascii="Times New Roman" w:eastAsia="Times New Roman" w:hAnsi="Times New Roman" w:cs="Times New Roman"/>
          <w:color w:val="000000"/>
          <w:sz w:val="22"/>
          <w:szCs w:val="22"/>
        </w:rPr>
        <w:t xml:space="preserve"> </w:t>
      </w:r>
      <w:proofErr w:type="spellStart"/>
      <w:r>
        <w:rPr>
          <w:rFonts w:ascii="Times New Roman" w:eastAsia="Times New Roman" w:hAnsi="Times New Roman" w:cs="Times New Roman"/>
          <w:color w:val="000000"/>
          <w:sz w:val="22"/>
          <w:szCs w:val="22"/>
        </w:rPr>
        <w:t>summarises</w:t>
      </w:r>
      <w:proofErr w:type="spellEnd"/>
      <w:r>
        <w:rPr>
          <w:rFonts w:ascii="Times New Roman" w:eastAsia="Times New Roman" w:hAnsi="Times New Roman" w:cs="Times New Roman"/>
          <w:color w:val="000000"/>
          <w:sz w:val="22"/>
          <w:szCs w:val="22"/>
        </w:rPr>
        <w:t xml:space="preserve"> the core governance and delivery conditions that consistently lead to schedule delays and cost overruns in infrastructure projects.</w:t>
      </w:r>
    </w:p>
    <w:p w14:paraId="72FF851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rPr>
        <w:drawing>
          <wp:inline distT="0" distB="0" distL="0" distR="0" wp14:anchorId="1D183217" wp14:editId="44466BDB">
            <wp:extent cx="4838700" cy="3225800"/>
            <wp:effectExtent l="0" t="0" r="0" b="0"/>
            <wp:docPr id="9270311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38700" cy="3225800"/>
                    </a:xfrm>
                    <a:prstGeom prst="rect">
                      <a:avLst/>
                    </a:prstGeom>
                    <a:ln/>
                  </pic:spPr>
                </pic:pic>
              </a:graphicData>
            </a:graphic>
          </wp:inline>
        </w:drawing>
      </w:r>
    </w:p>
    <w:p w14:paraId="4FA1368B" w14:textId="77777777" w:rsidR="00506EDB" w:rsidRDefault="00EA765F">
      <w:pP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Figure 1. Conceptual summary of recurrent governance and delivery factors underlying schedule delays and cost overruns in infrastructure projects.</w:t>
      </w:r>
    </w:p>
    <w:p w14:paraId="76B64A1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Meanwhile, infrastructure delivery is entering an acceleration stage of digital transformation. A growing number of digital tools, coordination through platforms, and data-intensive management practices are becoming more and more prominent features of project environments, but there is still an uneven integration of them in project governance (Chen et al., 2025). In construction, the value of digital transformation has been connected to the necessity to redesign stakeholder processes, enhance communication, and reinforce project-wide flows of information instead of simply introducing isolated technologies (</w:t>
      </w:r>
      <w:proofErr w:type="spellStart"/>
      <w:r>
        <w:rPr>
          <w:rFonts w:ascii="Times New Roman" w:eastAsia="Times New Roman" w:hAnsi="Times New Roman" w:cs="Times New Roman"/>
          <w:color w:val="000000"/>
          <w:sz w:val="22"/>
          <w:szCs w:val="22"/>
        </w:rPr>
        <w:t>Prebanić</w:t>
      </w:r>
      <w:proofErr w:type="spellEnd"/>
      <w:r>
        <w:rPr>
          <w:rFonts w:ascii="Times New Roman" w:eastAsia="Times New Roman" w:hAnsi="Times New Roman" w:cs="Times New Roman"/>
          <w:color w:val="000000"/>
          <w:sz w:val="22"/>
          <w:szCs w:val="22"/>
        </w:rPr>
        <w:t xml:space="preserve"> &amp; Vukomanović, 2021). Digital transformation readiness research also indicates that management, policy, technology, and infrastructure states during project phases contribute to successful transformation (Naji et al., 2024). In this framework, artificial intelligence and associated analytical systems are acquiring focus as strengthening risk management, prediction, and decision support techniques, despite their limited relevance to date due to the quality of the data, interpretability, and capacity issues (Tian et al., 2025). That said, the context behind this review is practical and strategic: infrastructure delivery is under sustained cost and time </w:t>
      </w:r>
      <w:r>
        <w:rPr>
          <w:rFonts w:ascii="Times New Roman" w:eastAsia="Times New Roman" w:hAnsi="Times New Roman" w:cs="Times New Roman"/>
          <w:color w:val="000000"/>
          <w:sz w:val="22"/>
          <w:szCs w:val="22"/>
        </w:rPr>
        <w:lastRenderedPageBreak/>
        <w:t>pressure, and a digital transformation is posing fresh opportunities of applying projects risk management that is more anticipatory and more data-driven.</w:t>
      </w:r>
    </w:p>
    <w:p w14:paraId="4A4514CB"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 Methodology</w:t>
      </w:r>
    </w:p>
    <w:p w14:paraId="573B91A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2.1 Review design and reporting approach</w:t>
      </w:r>
    </w:p>
    <w:p w14:paraId="23508333"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research followed a scoping review design by mapping the scope, nature, and use of evidence on the topic of data-based risk modelling in infrastructure project delivery, with a specific focus on schedule and cost overruns. The use of a scoping approach was deemed suitable due to the fact that the field covers a wide scope and there is no one methodological approach that would adequately capture this and the associated heterogeneity of infrastructure settings, model families, outcome measures, and implementation settings. Instead of estimating a pooled effect, the aim of the review was to determine how data-driven methods have been applied, what their risk factors they capture, how their outputs are validated, and to what extent does that support their mitigation and decision-making in practice.</w:t>
      </w:r>
    </w:p>
    <w:p w14:paraId="62C5FDD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 ensure that the review questions, eligibility criteria, and evidence synthesis align with the scope of the study, the review was planned and structured with the Population-Concept-Context (PCC) tool. The process of reporting was conducted based on the PRISMA-</w:t>
      </w:r>
      <w:proofErr w:type="spellStart"/>
      <w:r>
        <w:rPr>
          <w:rFonts w:ascii="Times New Roman" w:eastAsia="Times New Roman" w:hAnsi="Times New Roman" w:cs="Times New Roman"/>
          <w:color w:val="000000"/>
          <w:sz w:val="22"/>
          <w:szCs w:val="22"/>
        </w:rPr>
        <w:t>ScR</w:t>
      </w:r>
      <w:proofErr w:type="spellEnd"/>
      <w:r>
        <w:rPr>
          <w:rFonts w:ascii="Times New Roman" w:eastAsia="Times New Roman" w:hAnsi="Times New Roman" w:cs="Times New Roman"/>
          <w:color w:val="000000"/>
          <w:sz w:val="22"/>
          <w:szCs w:val="22"/>
        </w:rPr>
        <w:t xml:space="preserve"> principles to provide clear documentation of the search, screening, selection, and charting procedure.</w:t>
      </w:r>
    </w:p>
    <w:p w14:paraId="60A7F16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2.2 Review aim and questions</w:t>
      </w:r>
    </w:p>
    <w:p w14:paraId="25E5D803"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purpose of this review was to map data-driven techniques in predicting and managing schedule and cost risks in infrastructure projects, with consideration to risk drivers, modeling techniques, forecasting precision, as well as decision-support integration to mitigate planning.</w:t>
      </w:r>
    </w:p>
    <w:p w14:paraId="7D9CB6C4"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review was guided by three questions:</w:t>
      </w:r>
    </w:p>
    <w:p w14:paraId="001C6894" w14:textId="77777777" w:rsidR="00506EDB" w:rsidRDefault="00EA765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What modeling approaches are used for schedule and cost risk prediction in infrastructure delivery, and what inputs are most common?</w:t>
      </w:r>
    </w:p>
    <w:p w14:paraId="5CE4B47B" w14:textId="77777777" w:rsidR="00506EDB" w:rsidRDefault="00EA765F">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Which risk factors recur across project types, and how are they quantified?</w:t>
      </w:r>
    </w:p>
    <w:p w14:paraId="4CECADCC" w14:textId="77777777" w:rsidR="00506EDB" w:rsidRDefault="00EA765F">
      <w:pPr>
        <w:numPr>
          <w:ilvl w:val="0"/>
          <w:numId w:val="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How are models validated, and how are outputs operationalized for early warning, contingency setting, and mitigation action?</w:t>
      </w:r>
    </w:p>
    <w:p w14:paraId="2ED44E8A"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2.3 Eligibility criteria</w:t>
      </w:r>
    </w:p>
    <w:p w14:paraId="21D5DF6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PCC framework was used to develop the eligibility criteria, ensuring consistency between the study aim and the included evidence.</w:t>
      </w:r>
    </w:p>
    <w:p w14:paraId="24E808A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Population:</w:t>
      </w:r>
      <w:r>
        <w:rPr>
          <w:rFonts w:ascii="Times New Roman" w:eastAsia="Times New Roman" w:hAnsi="Times New Roman" w:cs="Times New Roman"/>
          <w:color w:val="000000"/>
          <w:sz w:val="22"/>
          <w:szCs w:val="22"/>
        </w:rPr>
        <w:t xml:space="preserve"> Studies were eligible if they focused on infrastructure projects, infrastructure-related delivery systems, or portfolios of infrastructure. These projects included roads, irrigation systems, highways, railways, public buildings, tunnels, marine works, metro systems, utilities, educational infrastructure and other public works or heavy civil engineering projects.</w:t>
      </w:r>
    </w:p>
    <w:p w14:paraId="74A1864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Concept:</w:t>
      </w:r>
      <w:r>
        <w:rPr>
          <w:rFonts w:ascii="Times New Roman" w:eastAsia="Times New Roman" w:hAnsi="Times New Roman" w:cs="Times New Roman"/>
          <w:color w:val="000000"/>
          <w:sz w:val="22"/>
          <w:szCs w:val="22"/>
        </w:rPr>
        <w:t xml:space="preserve"> The review included studies that applied data-driven, predictive, probabilistic or quantitative modelling approaches to assess delivery risk. Eligible methods included ensemble learning, machine learning, hidden Markov models, Monte Carlo simulation, Bayesian networks, earned value-based </w:t>
      </w:r>
      <w:r>
        <w:rPr>
          <w:rFonts w:ascii="Times New Roman" w:eastAsia="Times New Roman" w:hAnsi="Times New Roman" w:cs="Times New Roman"/>
          <w:color w:val="000000"/>
          <w:sz w:val="22"/>
          <w:szCs w:val="22"/>
        </w:rPr>
        <w:lastRenderedPageBreak/>
        <w:t>forecasting, fuzzy systems, and other hybrid or analytical methods used to predict, estimate, quantify, or monitor schedule and cost risk.</w:t>
      </w:r>
    </w:p>
    <w:p w14:paraId="73AA0D50"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Context:</w:t>
      </w:r>
      <w:r>
        <w:rPr>
          <w:rFonts w:ascii="Times New Roman" w:eastAsia="Times New Roman" w:hAnsi="Times New Roman" w:cs="Times New Roman"/>
          <w:color w:val="000000"/>
          <w:sz w:val="22"/>
          <w:szCs w:val="22"/>
        </w:rPr>
        <w:t xml:space="preserve"> Studies were included if they addressed infrastructure project delivery in any country or income setting, and at any relevant stage of the project lifecycle, including procurement, monitoring, planning, construction, bidding, control, or close-out.</w:t>
      </w:r>
    </w:p>
    <w:p w14:paraId="5DCDB211" w14:textId="19B4A1C4"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addition, only peer-reviewed journal articles published in English between 2015 and 2025 were considered. The review excluded systematic reviews, narrative reviews, scoping reviews, conference abstracts, editorials, without full papers and non-peer-reviewed sources. Studies focusing solely on general risk discussion, pure finance, or investment modelling with no delivery-risk linkage, or descriptive overrun analysis without a predictive, probabilistic, or decision-support component were also excluded.</w:t>
      </w:r>
    </w:p>
    <w:p w14:paraId="758A8754" w14:textId="2B699C14" w:rsidR="002B653A" w:rsidRPr="00EF5C6A" w:rsidRDefault="002B653A">
      <w:pPr>
        <w:jc w:val="both"/>
        <w:rPr>
          <w:rFonts w:ascii="Times New Roman" w:eastAsia="Times New Roman" w:hAnsi="Times New Roman" w:cs="Times New Roman"/>
          <w:b/>
          <w:bCs/>
          <w:color w:val="000000"/>
          <w:sz w:val="22"/>
          <w:szCs w:val="22"/>
        </w:rPr>
      </w:pPr>
      <w:r w:rsidRPr="00EF5C6A">
        <w:rPr>
          <w:rFonts w:ascii="Times New Roman" w:eastAsia="Times New Roman" w:hAnsi="Times New Roman" w:cs="Times New Roman"/>
          <w:b/>
          <w:bCs/>
          <w:color w:val="000000"/>
          <w:sz w:val="22"/>
          <w:szCs w:val="22"/>
        </w:rPr>
        <w:t>Table 1.</w:t>
      </w:r>
      <w:r w:rsidR="00111BFC">
        <w:rPr>
          <w:rFonts w:ascii="Times New Roman" w:eastAsia="Times New Roman" w:hAnsi="Times New Roman" w:cs="Times New Roman"/>
          <w:b/>
          <w:bCs/>
          <w:color w:val="000000"/>
          <w:sz w:val="22"/>
          <w:szCs w:val="22"/>
        </w:rPr>
        <w:t xml:space="preserve"> </w:t>
      </w:r>
      <w:r w:rsidR="00111BFC">
        <w:rPr>
          <w:rFonts w:ascii="Times New Roman" w:eastAsia="Times New Roman" w:hAnsi="Times New Roman" w:cs="Times New Roman"/>
          <w:b/>
          <w:bCs/>
          <w:sz w:val="22"/>
          <w:szCs w:val="22"/>
        </w:rPr>
        <w:t>Inclusion and Exclusion Criteria for different Items</w:t>
      </w:r>
    </w:p>
    <w:tbl>
      <w:tblPr>
        <w:tblStyle w:val="a"/>
        <w:tblW w:w="10350" w:type="dxa"/>
        <w:jc w:val="center"/>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620"/>
        <w:gridCol w:w="5268"/>
        <w:gridCol w:w="3462"/>
      </w:tblGrid>
      <w:tr w:rsidR="00506EDB" w14:paraId="5438ABC0" w14:textId="77777777">
        <w:trPr>
          <w:jc w:val="center"/>
        </w:trPr>
        <w:tc>
          <w:tcPr>
            <w:tcW w:w="1620" w:type="dxa"/>
          </w:tcPr>
          <w:p w14:paraId="373527B1" w14:textId="77777777" w:rsidR="00506EDB" w:rsidRDefault="00EA765F">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Item</w:t>
            </w:r>
          </w:p>
        </w:tc>
        <w:tc>
          <w:tcPr>
            <w:tcW w:w="5268" w:type="dxa"/>
          </w:tcPr>
          <w:p w14:paraId="0D409243" w14:textId="77777777" w:rsidR="00506EDB" w:rsidRDefault="00EA765F">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Inclusion Criteria</w:t>
            </w:r>
          </w:p>
        </w:tc>
        <w:tc>
          <w:tcPr>
            <w:tcW w:w="3462" w:type="dxa"/>
          </w:tcPr>
          <w:p w14:paraId="0137C978" w14:textId="77777777" w:rsidR="00506EDB" w:rsidRDefault="00EA765F">
            <w:pPr>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Exclusion Criteria</w:t>
            </w:r>
          </w:p>
        </w:tc>
      </w:tr>
      <w:tr w:rsidR="00506EDB" w14:paraId="76AA76B4" w14:textId="77777777">
        <w:trPr>
          <w:jc w:val="center"/>
        </w:trPr>
        <w:tc>
          <w:tcPr>
            <w:tcW w:w="1620" w:type="dxa"/>
          </w:tcPr>
          <w:p w14:paraId="1D21D692"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Population</w:t>
            </w:r>
          </w:p>
        </w:tc>
        <w:tc>
          <w:tcPr>
            <w:tcW w:w="5268" w:type="dxa"/>
          </w:tcPr>
          <w:p w14:paraId="36315A9C"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Infrastructure projects, infrastructure portfolios, or infrastructure-related delivery systems, including roads, highways, railways, metro systems, marine works, utilities, irrigation systems, public buildings, educational infrastructure, and other public works or heavy civil projects</w:t>
            </w:r>
          </w:p>
        </w:tc>
        <w:tc>
          <w:tcPr>
            <w:tcW w:w="3462" w:type="dxa"/>
          </w:tcPr>
          <w:p w14:paraId="1E6DD5A9"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Non-infrastructure sectors; studies with no project-delivery relevance</w:t>
            </w:r>
          </w:p>
        </w:tc>
      </w:tr>
      <w:tr w:rsidR="00506EDB" w14:paraId="050467F9" w14:textId="77777777">
        <w:trPr>
          <w:jc w:val="center"/>
        </w:trPr>
        <w:tc>
          <w:tcPr>
            <w:tcW w:w="1620" w:type="dxa"/>
          </w:tcPr>
          <w:p w14:paraId="0498CE15"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Concept (Intervention)</w:t>
            </w:r>
          </w:p>
        </w:tc>
        <w:tc>
          <w:tcPr>
            <w:tcW w:w="5268" w:type="dxa"/>
          </w:tcPr>
          <w:p w14:paraId="7526A450"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Data-driven or quantitative risk-modeling approaches used to predict, estimate, quantify, monitor, or manage schedule and/or cost risks, including machine learning, Bayesian networks, Monte Carlo simulation, hidden Markov models, earned value-based forecasting, fuzzy systems, and hybrid analytics</w:t>
            </w:r>
          </w:p>
        </w:tc>
        <w:tc>
          <w:tcPr>
            <w:tcW w:w="3462" w:type="dxa"/>
          </w:tcPr>
          <w:p w14:paraId="667A831A"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Studies with no modeling component; purely descriptive overrun studies; correlational studies without predictive or decision-support value; finance-only or investment models with no delivery-risk linkage</w:t>
            </w:r>
          </w:p>
        </w:tc>
      </w:tr>
      <w:tr w:rsidR="00506EDB" w14:paraId="597CAA61" w14:textId="77777777">
        <w:trPr>
          <w:jc w:val="center"/>
        </w:trPr>
        <w:tc>
          <w:tcPr>
            <w:tcW w:w="1620" w:type="dxa"/>
          </w:tcPr>
          <w:p w14:paraId="151561AC"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Context</w:t>
            </w:r>
          </w:p>
        </w:tc>
        <w:tc>
          <w:tcPr>
            <w:tcW w:w="5268" w:type="dxa"/>
          </w:tcPr>
          <w:p w14:paraId="7050CF62"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Any country, any income setting, and any relevant project phase, including planning, bidding, procurement, construction, monitoring, control, and close-out</w:t>
            </w:r>
          </w:p>
        </w:tc>
        <w:tc>
          <w:tcPr>
            <w:tcW w:w="3462" w:type="dxa"/>
          </w:tcPr>
          <w:p w14:paraId="6730E2E0"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Contexts unrelated to infrastructure project delivery</w:t>
            </w:r>
          </w:p>
        </w:tc>
      </w:tr>
      <w:tr w:rsidR="00506EDB" w14:paraId="0A9778A0" w14:textId="77777777">
        <w:trPr>
          <w:jc w:val="center"/>
        </w:trPr>
        <w:tc>
          <w:tcPr>
            <w:tcW w:w="1620" w:type="dxa"/>
          </w:tcPr>
          <w:p w14:paraId="1EA12082"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Study Designs</w:t>
            </w:r>
          </w:p>
        </w:tc>
        <w:tc>
          <w:tcPr>
            <w:tcW w:w="5268" w:type="dxa"/>
          </w:tcPr>
          <w:p w14:paraId="2668E9D4"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Empirical peer-reviewed studies, including case studies, retrospective project database analyses, model-development studies with validation, mixed-method empirical studies, and implementation-oriented analytics studies</w:t>
            </w:r>
          </w:p>
        </w:tc>
        <w:tc>
          <w:tcPr>
            <w:tcW w:w="3462" w:type="dxa"/>
          </w:tcPr>
          <w:p w14:paraId="21DF3240"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Narrative reviews, systematic reviews, scoping reviews, editorials, letters, protocols without results, conference abstracts without full text</w:t>
            </w:r>
          </w:p>
        </w:tc>
      </w:tr>
      <w:tr w:rsidR="00506EDB" w14:paraId="72E00F9B" w14:textId="77777777">
        <w:trPr>
          <w:jc w:val="center"/>
        </w:trPr>
        <w:tc>
          <w:tcPr>
            <w:tcW w:w="1620" w:type="dxa"/>
          </w:tcPr>
          <w:p w14:paraId="6FFB4E84"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Outcomes</w:t>
            </w:r>
          </w:p>
        </w:tc>
        <w:tc>
          <w:tcPr>
            <w:tcW w:w="5268" w:type="dxa"/>
          </w:tcPr>
          <w:p w14:paraId="1700073B"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Schedule delay, time overrun, cost overrun, cost variance, duration variance, liquidated damages, contingency estimates, risk probability, early warning outputs, mitigation prioritization, or comparable delivery-risk measures</w:t>
            </w:r>
          </w:p>
        </w:tc>
        <w:tc>
          <w:tcPr>
            <w:tcW w:w="3462" w:type="dxa"/>
          </w:tcPr>
          <w:p w14:paraId="77221DD9"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Outcomes unrelated to infrastructure delivery performance; theoretical models with no usable project outcome</w:t>
            </w:r>
          </w:p>
        </w:tc>
      </w:tr>
      <w:tr w:rsidR="00506EDB" w14:paraId="25FD77B0" w14:textId="77777777">
        <w:trPr>
          <w:jc w:val="center"/>
        </w:trPr>
        <w:tc>
          <w:tcPr>
            <w:tcW w:w="1620" w:type="dxa"/>
          </w:tcPr>
          <w:p w14:paraId="18C39E3A"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Publication Type</w:t>
            </w:r>
          </w:p>
        </w:tc>
        <w:tc>
          <w:tcPr>
            <w:tcW w:w="5268" w:type="dxa"/>
          </w:tcPr>
          <w:p w14:paraId="2399E6B9"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Peer-reviewed journal articles</w:t>
            </w:r>
          </w:p>
        </w:tc>
        <w:tc>
          <w:tcPr>
            <w:tcW w:w="3462" w:type="dxa"/>
          </w:tcPr>
          <w:p w14:paraId="6234FDE7"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Preprints, theses, reports, guidelines, books/chapters, and grey literature</w:t>
            </w:r>
          </w:p>
        </w:tc>
      </w:tr>
      <w:tr w:rsidR="00506EDB" w14:paraId="2B9FC9FF" w14:textId="77777777">
        <w:trPr>
          <w:jc w:val="center"/>
        </w:trPr>
        <w:tc>
          <w:tcPr>
            <w:tcW w:w="1620" w:type="dxa"/>
          </w:tcPr>
          <w:p w14:paraId="07E55C94"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Language</w:t>
            </w:r>
          </w:p>
        </w:tc>
        <w:tc>
          <w:tcPr>
            <w:tcW w:w="5268" w:type="dxa"/>
          </w:tcPr>
          <w:p w14:paraId="051D51BE"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English</w:t>
            </w:r>
          </w:p>
        </w:tc>
        <w:tc>
          <w:tcPr>
            <w:tcW w:w="3462" w:type="dxa"/>
          </w:tcPr>
          <w:p w14:paraId="50D58D6F"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Non-English</w:t>
            </w:r>
          </w:p>
        </w:tc>
      </w:tr>
      <w:tr w:rsidR="00506EDB" w14:paraId="5C84FC91" w14:textId="77777777">
        <w:trPr>
          <w:jc w:val="center"/>
        </w:trPr>
        <w:tc>
          <w:tcPr>
            <w:tcW w:w="1620" w:type="dxa"/>
          </w:tcPr>
          <w:p w14:paraId="2C14F9FB"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Timeframe</w:t>
            </w:r>
          </w:p>
        </w:tc>
        <w:tc>
          <w:tcPr>
            <w:tcW w:w="5268" w:type="dxa"/>
          </w:tcPr>
          <w:p w14:paraId="3BC6CA75" w14:textId="5FEB99D8"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201</w:t>
            </w:r>
            <w:r w:rsidR="00ED7DA1">
              <w:rPr>
                <w:rFonts w:ascii="Times New Roman" w:eastAsia="Times New Roman" w:hAnsi="Times New Roman" w:cs="Times New Roman"/>
                <w:sz w:val="22"/>
                <w:szCs w:val="22"/>
              </w:rPr>
              <w:t xml:space="preserve">5 </w:t>
            </w:r>
            <w:r>
              <w:rPr>
                <w:rFonts w:ascii="Times New Roman" w:eastAsia="Times New Roman" w:hAnsi="Times New Roman" w:cs="Times New Roman"/>
                <w:sz w:val="22"/>
                <w:szCs w:val="22"/>
              </w:rPr>
              <w:t>-</w:t>
            </w:r>
            <w:r w:rsidR="00ED7DA1">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2025</w:t>
            </w:r>
          </w:p>
        </w:tc>
        <w:tc>
          <w:tcPr>
            <w:tcW w:w="3462" w:type="dxa"/>
          </w:tcPr>
          <w:p w14:paraId="5451ADCA" w14:textId="77777777" w:rsidR="00506EDB" w:rsidRDefault="00EA765F">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Studies published outside this timeframe</w:t>
            </w:r>
          </w:p>
        </w:tc>
      </w:tr>
    </w:tbl>
    <w:p w14:paraId="74DA2CE0" w14:textId="77777777" w:rsidR="00506EDB" w:rsidRDefault="00506EDB">
      <w:pPr>
        <w:jc w:val="both"/>
        <w:rPr>
          <w:rFonts w:ascii="Times New Roman" w:eastAsia="Times New Roman" w:hAnsi="Times New Roman" w:cs="Times New Roman"/>
          <w:color w:val="000000"/>
          <w:sz w:val="22"/>
          <w:szCs w:val="22"/>
        </w:rPr>
      </w:pPr>
    </w:p>
    <w:p w14:paraId="70F88449"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2.4 Information Sources</w:t>
      </w:r>
    </w:p>
    <w:p w14:paraId="08F7C88D"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The retrieval process was restricted to peer-reviewed literature indexed in three selected databases, which cover project management, civil engineering, construction analytics, infrastructure delivery research, and transport systems in a broad and complementary way. The following bibliographic databases were consulted: Scopus, Engineering Village (</w:t>
      </w:r>
      <w:proofErr w:type="spellStart"/>
      <w:r>
        <w:rPr>
          <w:rFonts w:ascii="Times New Roman" w:eastAsia="Times New Roman" w:hAnsi="Times New Roman" w:cs="Times New Roman"/>
          <w:color w:val="000000"/>
          <w:sz w:val="22"/>
          <w:szCs w:val="22"/>
        </w:rPr>
        <w:t>Compendex</w:t>
      </w:r>
      <w:proofErr w:type="spellEnd"/>
      <w:r>
        <w:rPr>
          <w:rFonts w:ascii="Times New Roman" w:eastAsia="Times New Roman" w:hAnsi="Times New Roman" w:cs="Times New Roman"/>
          <w:color w:val="000000"/>
          <w:sz w:val="22"/>
          <w:szCs w:val="22"/>
        </w:rPr>
        <w:t>), and the Web of Science Core Collection. No grey literature sources were consulted. All retrieved records were exported to reference-management software for de-duplication prior to screening. Screening was conducted first at the title/abstract level and then at the full-text level, with eligibility decisions guided by the PCC criteria.</w:t>
      </w:r>
    </w:p>
    <w:p w14:paraId="24D58F95"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2.5 Search Strategy</w:t>
      </w:r>
    </w:p>
    <w:p w14:paraId="2FF2101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Database-specific search strategies were developed by combining free-text terms and database-appropriate indexing conventions for the PCC elements. Priority was given to sensitivity to ensure that studies employing different risk terminology, infrastructure labels, and modelling approaches were captured. The search was then restricted to English-language, peer-reviewed journal articles published between 2015 and 2025 using filters. The search strings were tested and refined to improve retrieval across model families and infrastructure contexts. Table 2 presents the search strings used in each database.</w:t>
      </w:r>
    </w:p>
    <w:p w14:paraId="7460D8D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Table 2. Search String</w:t>
      </w:r>
    </w:p>
    <w:tbl>
      <w:tblPr>
        <w:tblStyle w:val="a0"/>
        <w:tblW w:w="11160" w:type="dxa"/>
        <w:tblInd w:w="-90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40"/>
        <w:gridCol w:w="8820"/>
      </w:tblGrid>
      <w:tr w:rsidR="00506EDB" w14:paraId="37E7B725" w14:textId="77777777">
        <w:trPr>
          <w:trHeight w:val="404"/>
        </w:trPr>
        <w:tc>
          <w:tcPr>
            <w:tcW w:w="2340" w:type="dxa"/>
            <w:tcBorders>
              <w:top w:val="single" w:sz="4" w:space="0" w:color="000000"/>
              <w:bottom w:val="single" w:sz="4" w:space="0" w:color="000000"/>
            </w:tcBorders>
          </w:tcPr>
          <w:p w14:paraId="426C7632" w14:textId="77777777" w:rsidR="00506EDB" w:rsidRDefault="00EA765F">
            <w:pPr>
              <w:spacing w:after="1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Database</w:t>
            </w:r>
          </w:p>
        </w:tc>
        <w:tc>
          <w:tcPr>
            <w:tcW w:w="8820" w:type="dxa"/>
            <w:tcBorders>
              <w:top w:val="single" w:sz="4" w:space="0" w:color="000000"/>
              <w:bottom w:val="single" w:sz="4" w:space="0" w:color="000000"/>
            </w:tcBorders>
          </w:tcPr>
          <w:p w14:paraId="55FF22D2" w14:textId="77777777" w:rsidR="00506EDB" w:rsidRDefault="00EA765F">
            <w:pPr>
              <w:spacing w:after="1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Search string</w:t>
            </w:r>
          </w:p>
        </w:tc>
      </w:tr>
      <w:tr w:rsidR="00506EDB" w14:paraId="3C326E0D" w14:textId="77777777">
        <w:tc>
          <w:tcPr>
            <w:tcW w:w="2340" w:type="dxa"/>
            <w:tcBorders>
              <w:top w:val="single" w:sz="4" w:space="0" w:color="000000"/>
            </w:tcBorders>
          </w:tcPr>
          <w:p w14:paraId="4F69CCA6"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Scopus</w:t>
            </w:r>
          </w:p>
        </w:tc>
        <w:tc>
          <w:tcPr>
            <w:tcW w:w="8820" w:type="dxa"/>
            <w:tcBorders>
              <w:top w:val="single" w:sz="4" w:space="0" w:color="000000"/>
            </w:tcBorders>
          </w:tcPr>
          <w:p w14:paraId="28DCDDB7"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TITLE-ABS-KEY ( ("infrastructure project*" OR "construction project*" OR highway OR road OR railway OR rail OR metro OR tunnel OR bridge OR utility OR "public works" OR "public building*" OR "heavy civil" OR marine OR irrigation) AND ("cost overrun*" OR "schedule overrun*" OR "time overrun*" OR delay* OR "cost variance" OR "duration variance" OR contingency OR "liquidated damages" OR "risk assessment" OR "risk prediction" OR forecasting) AND ("machine learning" OR "artificial intelligence" OR "Bayesian network*" OR "Monte Carlo" OR "earned value" OR "hidden Markov" OR fuzzy OR predictive OR probabilistic OR analytics) ) AND PUBYEAR &gt; 2014 AND PUBYEAR &lt; 2026 AND ( LIMIT-TO ( DOCTYPE, "</w:t>
            </w:r>
            <w:proofErr w:type="spellStart"/>
            <w:r>
              <w:rPr>
                <w:rFonts w:ascii="Times New Roman" w:eastAsia="Times New Roman" w:hAnsi="Times New Roman" w:cs="Times New Roman"/>
                <w:sz w:val="22"/>
                <w:szCs w:val="22"/>
              </w:rPr>
              <w:t>ar</w:t>
            </w:r>
            <w:proofErr w:type="spellEnd"/>
            <w:r>
              <w:rPr>
                <w:rFonts w:ascii="Times New Roman" w:eastAsia="Times New Roman" w:hAnsi="Times New Roman" w:cs="Times New Roman"/>
                <w:sz w:val="22"/>
                <w:szCs w:val="22"/>
              </w:rPr>
              <w:t>" ) ) AND ( LIMIT-TO ( LANGUAGE, "English" ) )</w:t>
            </w:r>
          </w:p>
        </w:tc>
      </w:tr>
      <w:tr w:rsidR="00506EDB" w14:paraId="435CFE40" w14:textId="77777777">
        <w:tc>
          <w:tcPr>
            <w:tcW w:w="2340" w:type="dxa"/>
          </w:tcPr>
          <w:p w14:paraId="75B4C7E1"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Web of Science Core Collection</w:t>
            </w:r>
          </w:p>
        </w:tc>
        <w:tc>
          <w:tcPr>
            <w:tcW w:w="8820" w:type="dxa"/>
          </w:tcPr>
          <w:p w14:paraId="3364F6CE"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TS=((“infrastructure project*” OR “construction project*” OR highway OR road OR railway OR rail OR metro OR tunnel OR bridge OR utility OR “public works” OR “public building*” OR “heavy civil” OR marine OR irrigation) AND (“cost overrun*” OR “schedule overrun*” OR “time overrun*” OR delay* OR “cost variance” OR “duration variance” OR contingency OR “liquidated damages” OR “risk assessment” OR “risk prediction” OR forecasting) AND (“machine learning” OR “artificial intelligence” OR “Bayesian network*” OR “Monte Carlo” OR “earned value” OR “hidden Markov” OR fuzzy OR predictive OR probabilistic OR analytics)) Refined by: Document Types=(Article) and Languages=(English)</w:t>
            </w:r>
          </w:p>
        </w:tc>
      </w:tr>
      <w:tr w:rsidR="00506EDB" w14:paraId="7A1EB2E0" w14:textId="77777777">
        <w:tc>
          <w:tcPr>
            <w:tcW w:w="2340" w:type="dxa"/>
          </w:tcPr>
          <w:p w14:paraId="6192A6AE"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b/>
                <w:bCs/>
                <w:sz w:val="22"/>
                <w:szCs w:val="22"/>
              </w:rPr>
              <w:t>Engineering Village (</w:t>
            </w:r>
            <w:proofErr w:type="spellStart"/>
            <w:r>
              <w:rPr>
                <w:rFonts w:ascii="Times New Roman" w:eastAsia="Times New Roman" w:hAnsi="Times New Roman" w:cs="Times New Roman"/>
                <w:b/>
                <w:bCs/>
                <w:sz w:val="22"/>
                <w:szCs w:val="22"/>
              </w:rPr>
              <w:t>Compendex</w:t>
            </w:r>
            <w:proofErr w:type="spellEnd"/>
            <w:r>
              <w:rPr>
                <w:rFonts w:ascii="Times New Roman" w:eastAsia="Times New Roman" w:hAnsi="Times New Roman" w:cs="Times New Roman"/>
                <w:b/>
                <w:bCs/>
                <w:sz w:val="22"/>
                <w:szCs w:val="22"/>
              </w:rPr>
              <w:t>)</w:t>
            </w:r>
          </w:p>
        </w:tc>
        <w:tc>
          <w:tcPr>
            <w:tcW w:w="8820" w:type="dxa"/>
          </w:tcPr>
          <w:p w14:paraId="52113B59" w14:textId="77777777" w:rsidR="00506EDB" w:rsidRDefault="00EA765F">
            <w:pPr>
              <w:spacing w:after="16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(("infrastructure project*" OR "construction project*" OR highway OR road OR railway OR metro OR tunnel OR bridge OR utility OR "public works" OR marine OR irrigation OR "public building*" OR "heavy civil") WN KY) AND (("cost overrun*" OR "schedule overrun*" OR "time overrun*" OR delay* OR contingency OR "cost variance" OR "duration variance" OR "liquidated damages" OR "risk assessment" OR "risk prediction" OR forecasting) WN KY) AND (("machine learning" OR "artificial intelligence" OR "Bayesian network*" OR "Monte Carlo" OR "earned value" OR "hidden Markov" OR fuzzy OR predictive OR probabilistic OR analytics) WN KY) Limits: Journal articles; English; 2015–2025</w:t>
            </w:r>
          </w:p>
        </w:tc>
      </w:tr>
    </w:tbl>
    <w:p w14:paraId="06C12AA6" w14:textId="77777777" w:rsidR="00506EDB" w:rsidRDefault="00506EDB">
      <w:pPr>
        <w:rPr>
          <w:rFonts w:ascii="Times New Roman" w:eastAsia="Times New Roman" w:hAnsi="Times New Roman" w:cs="Times New Roman"/>
          <w:color w:val="000000"/>
          <w:sz w:val="22"/>
          <w:szCs w:val="22"/>
        </w:rPr>
      </w:pPr>
    </w:p>
    <w:p w14:paraId="3B8DCBBE" w14:textId="77777777" w:rsidR="00506EDB" w:rsidRDefault="00506EDB">
      <w:pPr>
        <w:jc w:val="both"/>
        <w:rPr>
          <w:rFonts w:ascii="Times New Roman" w:eastAsia="Times New Roman" w:hAnsi="Times New Roman" w:cs="Times New Roman"/>
          <w:b/>
          <w:bCs/>
          <w:color w:val="000000"/>
          <w:sz w:val="22"/>
          <w:szCs w:val="22"/>
        </w:rPr>
      </w:pPr>
    </w:p>
    <w:p w14:paraId="49CDFCA8" w14:textId="77777777" w:rsidR="00506EDB" w:rsidRDefault="00506EDB">
      <w:pPr>
        <w:jc w:val="both"/>
        <w:rPr>
          <w:rFonts w:ascii="Times New Roman" w:eastAsia="Times New Roman" w:hAnsi="Times New Roman" w:cs="Times New Roman"/>
          <w:b/>
          <w:bCs/>
          <w:color w:val="000000"/>
          <w:sz w:val="22"/>
          <w:szCs w:val="22"/>
        </w:rPr>
      </w:pPr>
    </w:p>
    <w:p w14:paraId="7E62A18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2.6 Data Extraction and Synthesis</w:t>
      </w:r>
    </w:p>
    <w:p w14:paraId="28DCAD56"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Data charting was conducted using a </w:t>
      </w:r>
      <w:proofErr w:type="spellStart"/>
      <w:r>
        <w:rPr>
          <w:rFonts w:ascii="Times New Roman" w:eastAsia="Times New Roman" w:hAnsi="Times New Roman" w:cs="Times New Roman"/>
          <w:color w:val="000000"/>
          <w:sz w:val="22"/>
          <w:szCs w:val="22"/>
        </w:rPr>
        <w:t>standardised</w:t>
      </w:r>
      <w:proofErr w:type="spellEnd"/>
      <w:r>
        <w:rPr>
          <w:rFonts w:ascii="Times New Roman" w:eastAsia="Times New Roman" w:hAnsi="Times New Roman" w:cs="Times New Roman"/>
          <w:color w:val="000000"/>
          <w:sz w:val="22"/>
          <w:szCs w:val="22"/>
        </w:rPr>
        <w:t xml:space="preserve"> template, which was initially piloted and subsequently refined to ensure consistency with the aims and questions of the review. Extracted variables included: infrastructure setting; bibliographic details; validation or performance assessment; country or regional context; data source or sample; study characteristics; modelling approach; main risk inputs or predictors; target outcomes; and decision-support relevance.</w:t>
      </w:r>
    </w:p>
    <w:p w14:paraId="34F293AF"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synthesis was descriptive and mapping-oriented rather than effect-estimating. A numerical summary of the evidence base was prepared, including counts by publication year, study setting, infrastructure type, modelling family, and outcome domain. In addition, a narrative thematic synthesis was undertaken to </w:t>
      </w:r>
      <w:proofErr w:type="spellStart"/>
      <w:r>
        <w:rPr>
          <w:rFonts w:ascii="Times New Roman" w:eastAsia="Times New Roman" w:hAnsi="Times New Roman" w:cs="Times New Roman"/>
          <w:color w:val="000000"/>
          <w:sz w:val="22"/>
          <w:szCs w:val="22"/>
        </w:rPr>
        <w:t>organise</w:t>
      </w:r>
      <w:proofErr w:type="spellEnd"/>
      <w:r>
        <w:rPr>
          <w:rFonts w:ascii="Times New Roman" w:eastAsia="Times New Roman" w:hAnsi="Times New Roman" w:cs="Times New Roman"/>
          <w:color w:val="000000"/>
          <w:sz w:val="22"/>
          <w:szCs w:val="22"/>
        </w:rPr>
        <w:t xml:space="preserve"> the findings into three higher-order themes: (1) modelling architectures used for schedule and cost risk prediction; (2) recurrent risk drivers and quantification approaches; and (3) validation practices and </w:t>
      </w:r>
      <w:proofErr w:type="spellStart"/>
      <w:r>
        <w:rPr>
          <w:rFonts w:ascii="Times New Roman" w:eastAsia="Times New Roman" w:hAnsi="Times New Roman" w:cs="Times New Roman"/>
          <w:color w:val="000000"/>
          <w:sz w:val="22"/>
          <w:szCs w:val="22"/>
        </w:rPr>
        <w:t>operationalisation</w:t>
      </w:r>
      <w:proofErr w:type="spellEnd"/>
      <w:r>
        <w:rPr>
          <w:rFonts w:ascii="Times New Roman" w:eastAsia="Times New Roman" w:hAnsi="Times New Roman" w:cs="Times New Roman"/>
          <w:color w:val="000000"/>
          <w:sz w:val="22"/>
          <w:szCs w:val="22"/>
        </w:rPr>
        <w:t xml:space="preserve"> for decision support and mitigation planning. This approach enabled the review to move beyond simple cataloguing and identify the current application of data-driven risk modelling across infrastructure delivery systems.</w:t>
      </w:r>
    </w:p>
    <w:p w14:paraId="59187970"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3.0 Result</w:t>
      </w:r>
    </w:p>
    <w:p w14:paraId="1AF7A7DD"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3.1 Screening and selection.</w:t>
      </w:r>
    </w:p>
    <w:p w14:paraId="29EF8B86" w14:textId="76A7FB5C"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database search yielded 452 records. After removing 241 duplicates, the remaining 211 records were screened against the eligibility criteria based on their titles and abstracts. Of these, 125 were excluded at this stage. The remaining 86 articles were assessed in full for eligibility. A further 67 papers were excluded at this stage (ineligible publication type = 32; not infrastructure- or project-delivery relevant = 13; no modelling or decision-support component = 14; outcomes unrelated to infrastructure delivery performance or no usable project outcome = 8). Finally, 19 studies that met all the </w:t>
      </w:r>
      <w:r w:rsidR="0052348B">
        <w:rPr>
          <w:rFonts w:ascii="Times New Roman" w:eastAsia="Times New Roman" w:hAnsi="Times New Roman" w:cs="Times New Roman"/>
          <w:color w:val="000000"/>
          <w:sz w:val="22"/>
          <w:szCs w:val="22"/>
        </w:rPr>
        <w:t xml:space="preserve">eligibility </w:t>
      </w:r>
      <w:r>
        <w:rPr>
          <w:rFonts w:ascii="Times New Roman" w:eastAsia="Times New Roman" w:hAnsi="Times New Roman" w:cs="Times New Roman"/>
          <w:color w:val="000000"/>
          <w:sz w:val="22"/>
          <w:szCs w:val="22"/>
        </w:rPr>
        <w:t xml:space="preserve">criteria were included in the review (see Fig. </w:t>
      </w:r>
      <w:r w:rsidR="001830DE">
        <w:rPr>
          <w:rFonts w:ascii="Times New Roman" w:eastAsia="Times New Roman" w:hAnsi="Times New Roman" w:cs="Times New Roman"/>
          <w:color w:val="000000"/>
          <w:sz w:val="22"/>
          <w:szCs w:val="22"/>
        </w:rPr>
        <w:t>2</w:t>
      </w:r>
      <w:r>
        <w:rPr>
          <w:rFonts w:ascii="Times New Roman" w:eastAsia="Times New Roman" w:hAnsi="Times New Roman" w:cs="Times New Roman"/>
          <w:color w:val="000000"/>
          <w:sz w:val="22"/>
          <w:szCs w:val="22"/>
        </w:rPr>
        <w:t>).</w:t>
      </w:r>
    </w:p>
    <w:p w14:paraId="65C85D08"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noProof/>
          <w:sz w:val="22"/>
          <w:szCs w:val="22"/>
        </w:rPr>
        <w:lastRenderedPageBreak/>
        <w:drawing>
          <wp:inline distT="0" distB="0" distL="0" distR="0" wp14:anchorId="5CA47FAE" wp14:editId="2DC32F39">
            <wp:extent cx="5943600" cy="3547745"/>
            <wp:effectExtent l="0" t="0" r="0" b="0"/>
            <wp:docPr id="927031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547745"/>
                    </a:xfrm>
                    <a:prstGeom prst="rect">
                      <a:avLst/>
                    </a:prstGeom>
                    <a:ln/>
                  </pic:spPr>
                </pic:pic>
              </a:graphicData>
            </a:graphic>
          </wp:inline>
        </w:drawing>
      </w:r>
    </w:p>
    <w:p w14:paraId="52A5F570"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Figure 2. PRISMA flow diagram of study identification, screening, eligibility assessment, and inclusion for the scoping review</w:t>
      </w:r>
    </w:p>
    <w:p w14:paraId="43C5BB5B"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3.2 Summary of study characteristics</w:t>
      </w:r>
    </w:p>
    <w:p w14:paraId="13B15A98"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19 included studies (Table 3), which were predominantly empirical applications of data-driven risk modelling in infrastructure and closely related project-delivery settings, were published between 2019 and 2025. The studies covered various areas, including highways, railways, roads, educational infrastructure, marine works, urban rail PPPs, irrigation canal rehabilitation, broader public-sector infrastructure portfolios, public buildings, and underground </w:t>
      </w:r>
      <w:proofErr w:type="spellStart"/>
      <w:r>
        <w:rPr>
          <w:rFonts w:ascii="Times New Roman" w:eastAsia="Times New Roman" w:hAnsi="Times New Roman" w:cs="Times New Roman"/>
          <w:color w:val="000000"/>
          <w:sz w:val="22"/>
          <w:szCs w:val="22"/>
        </w:rPr>
        <w:t>fibre</w:t>
      </w:r>
      <w:proofErr w:type="spellEnd"/>
      <w:r>
        <w:rPr>
          <w:rFonts w:ascii="Times New Roman" w:eastAsia="Times New Roman" w:hAnsi="Times New Roman" w:cs="Times New Roman"/>
          <w:color w:val="000000"/>
          <w:sz w:val="22"/>
          <w:szCs w:val="22"/>
        </w:rPr>
        <w:t>-optic networks. While most studies used historical project datasets, some combined archival data with surveys, expert interviews, scenario-based inputs, or questionnaires. Sample sizes included case studies (single projects), as well as multi-project databases (122, 138, 175, 234, and 1,277 cases). The approaches to methodology used in the studies were varied and encompassed machine learning, Monte Carlo simulation, Bayesian networks, ensemble learning, probabilistic conceptual models, hidden Markov models, improved earned value management, and real-time data integration frameworks. The resulting outcomes were primarily concerned with cost and time overruns, repair costs, contingencies, liquidated damages, probability of a delay, and the identification of risks. The majority of the studies were applied and decision-oriented as opposed to being purely explanatory in control and design.</w:t>
      </w:r>
    </w:p>
    <w:p w14:paraId="15ED261B" w14:textId="3E556268"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3.</w:t>
      </w:r>
      <w:r w:rsidR="0052348B">
        <w:rPr>
          <w:rFonts w:ascii="Times New Roman" w:eastAsia="Times New Roman" w:hAnsi="Times New Roman" w:cs="Times New Roman"/>
          <w:b/>
          <w:bCs/>
          <w:color w:val="000000"/>
          <w:sz w:val="22"/>
          <w:szCs w:val="22"/>
        </w:rPr>
        <w:t>3</w:t>
      </w:r>
      <w:r>
        <w:rPr>
          <w:rFonts w:ascii="Times New Roman" w:eastAsia="Times New Roman" w:hAnsi="Times New Roman" w:cs="Times New Roman"/>
          <w:b/>
          <w:bCs/>
          <w:color w:val="000000"/>
          <w:sz w:val="22"/>
          <w:szCs w:val="22"/>
        </w:rPr>
        <w:t xml:space="preserve"> Thematic Analysis</w:t>
      </w:r>
    </w:p>
    <w:p w14:paraId="45DB85B7"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Theme 1: Risk modeling is moving from static estimates to adaptive, uncertainty-aware forecasting</w:t>
      </w:r>
    </w:p>
    <w:p w14:paraId="11A5A842" w14:textId="77777777" w:rsidR="00506EDB" w:rsidRDefault="00EA765F">
      <w:pPr>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rPr>
        <w:t xml:space="preserve">A clear pattern emerging from the included studies is the shift away from single-value forecasting towards models that can handle uncertainty, changing project conditions, and interaction effects. Early-stage </w:t>
      </w:r>
      <w:r>
        <w:rPr>
          <w:rFonts w:ascii="Times New Roman" w:eastAsia="Times New Roman" w:hAnsi="Times New Roman" w:cs="Times New Roman"/>
          <w:color w:val="000000"/>
          <w:sz w:val="22"/>
          <w:szCs w:val="22"/>
        </w:rPr>
        <w:lastRenderedPageBreak/>
        <w:t xml:space="preserve">regression and classification models were used to assess cost or delay exposure prior to </w:t>
      </w:r>
      <w:proofErr w:type="spellStart"/>
      <w:r>
        <w:rPr>
          <w:rFonts w:ascii="Times New Roman" w:eastAsia="Times New Roman" w:hAnsi="Times New Roman" w:cs="Times New Roman"/>
          <w:color w:val="000000"/>
          <w:sz w:val="22"/>
          <w:szCs w:val="22"/>
        </w:rPr>
        <w:t>finalising</w:t>
      </w:r>
      <w:proofErr w:type="spellEnd"/>
      <w:r>
        <w:rPr>
          <w:rFonts w:ascii="Times New Roman" w:eastAsia="Times New Roman" w:hAnsi="Times New Roman" w:cs="Times New Roman"/>
          <w:color w:val="000000"/>
          <w:sz w:val="22"/>
          <w:szCs w:val="22"/>
        </w:rPr>
        <w:t xml:space="preserve"> contracts, as demonstrated by Moon et al. (2020) for public projects and </w:t>
      </w:r>
      <w:proofErr w:type="spellStart"/>
      <w:r>
        <w:rPr>
          <w:rFonts w:ascii="Times New Roman" w:eastAsia="Times New Roman" w:hAnsi="Times New Roman" w:cs="Times New Roman"/>
          <w:color w:val="000000"/>
          <w:sz w:val="22"/>
          <w:szCs w:val="22"/>
        </w:rPr>
        <w:t>Alshboul</w:t>
      </w:r>
      <w:proofErr w:type="spellEnd"/>
      <w:r>
        <w:rPr>
          <w:rFonts w:ascii="Times New Roman" w:eastAsia="Times New Roman" w:hAnsi="Times New Roman" w:cs="Times New Roman"/>
          <w:color w:val="000000"/>
          <w:sz w:val="22"/>
          <w:szCs w:val="22"/>
        </w:rPr>
        <w:t xml:space="preserve"> et al. (2022) for highway liquidated damages. Subsequent studies took this further by embedding uncertainty directly into the modelling architecture. For example, Deng and Jian (2022) combined improved earned value management with CPM, Monte Carlo simulation, and PERT in order to replace deterministic completion estimates with activity-level priorities and probabilistic ranges. </w:t>
      </w:r>
      <w:proofErr w:type="spellStart"/>
      <w:r>
        <w:rPr>
          <w:rFonts w:ascii="Times New Roman" w:eastAsia="Times New Roman" w:hAnsi="Times New Roman" w:cs="Times New Roman"/>
          <w:color w:val="000000"/>
          <w:sz w:val="22"/>
          <w:szCs w:val="22"/>
        </w:rPr>
        <w:t>Ichsan</w:t>
      </w:r>
      <w:proofErr w:type="spellEnd"/>
      <w:r>
        <w:rPr>
          <w:rFonts w:ascii="Times New Roman" w:eastAsia="Times New Roman" w:hAnsi="Times New Roman" w:cs="Times New Roman"/>
          <w:color w:val="000000"/>
          <w:sz w:val="22"/>
          <w:szCs w:val="22"/>
        </w:rPr>
        <w:t xml:space="preserve"> et al. (2025) used a Monte Carlo simulation on a railway station project to quantify schedule exposure before and after mitigation rather than merely reporting delay afterwards. The most mature models aimed to explain variance, not just predict it. </w:t>
      </w:r>
      <w:proofErr w:type="spellStart"/>
      <w:r>
        <w:rPr>
          <w:rFonts w:ascii="Times New Roman" w:eastAsia="Times New Roman" w:hAnsi="Times New Roman" w:cs="Times New Roman"/>
          <w:color w:val="000000"/>
          <w:sz w:val="22"/>
          <w:szCs w:val="22"/>
        </w:rPr>
        <w:t>Elmousalami</w:t>
      </w:r>
      <w:proofErr w:type="spellEnd"/>
      <w:r>
        <w:rPr>
          <w:rFonts w:ascii="Times New Roman" w:eastAsia="Times New Roman" w:hAnsi="Times New Roman" w:cs="Times New Roman"/>
          <w:color w:val="000000"/>
          <w:sz w:val="22"/>
          <w:szCs w:val="22"/>
        </w:rPr>
        <w:t xml:space="preserve"> et al. (2024) predicted project duration, cost, and their variances at the same time. Sing et al. (2025) improved cost-contingency estimation by adding interval prediction and a complexity index to ANN models. The study by Leu et al. (2023) presented a real-time hidden Markov model to investigate how dynamic monitoring can be more effective than a historically-oriented average-only approach; the cost data of the projects themselves were used. A similar technique was utilized by Liben et al. (2025), implementing both deterministic and probabilistic scheduling logic to deliver public buildings.</w:t>
      </w:r>
    </w:p>
    <w:p w14:paraId="1B34993C"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Theme 2: The most persistent risk drivers are governance, procurement, and scope instability, rather than purely technical uncertainty</w:t>
      </w:r>
    </w:p>
    <w:p w14:paraId="4BE7618C"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the various sectors, complexities of engineering projects were not the sole factors that led to overruns in costs and time. Rather, they swarmed around procurement structure, approval systems, managerial friction, and scope changes. According to a study by Gomez-Cabrera et al. (2025), some factors were highly related to the differences in the educational infrastructure projects in Colombia. These factors were project type, bidders, contract value, growth of award, process type, and time suspended. Liben et al. (2025) identified government shutdowns, regulatory approvals, project location, risk management strategy, and site conditions as key influences on duration reliability in Addis Ababa. In South Asia, Andrić et al. (2024) found that cost overruns were linked to time overruns, project size, and implementation period, and that random forest provided the best fit among the functions tested.</w:t>
      </w:r>
    </w:p>
    <w:p w14:paraId="06960E08"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Research has shown that the risk of problems during delivery gets worse when there are changes to the contract or the design while the project is being carried out. Leśniak and Janowiec (2019) identified additional works in railway investments as a significant cause of time and cost escalation, demonstrating that Bayesian networks can trace the propagation of such changes through the project. </w:t>
      </w:r>
      <w:proofErr w:type="spellStart"/>
      <w:r>
        <w:rPr>
          <w:rFonts w:ascii="Times New Roman" w:eastAsia="Times New Roman" w:hAnsi="Times New Roman" w:cs="Times New Roman"/>
          <w:color w:val="000000"/>
          <w:sz w:val="22"/>
          <w:szCs w:val="22"/>
        </w:rPr>
        <w:t>Alshboul</w:t>
      </w:r>
      <w:proofErr w:type="spellEnd"/>
      <w:r>
        <w:rPr>
          <w:rFonts w:ascii="Times New Roman" w:eastAsia="Times New Roman" w:hAnsi="Times New Roman" w:cs="Times New Roman"/>
          <w:color w:val="000000"/>
          <w:sz w:val="22"/>
          <w:szCs w:val="22"/>
        </w:rPr>
        <w:t xml:space="preserve"> et al. (2022) found that change-order variables and adjustment days were deeply entangled with uncertainty in highway liquidated damages prediction. </w:t>
      </w:r>
      <w:proofErr w:type="spellStart"/>
      <w:r>
        <w:rPr>
          <w:rFonts w:ascii="Times New Roman" w:eastAsia="Times New Roman" w:hAnsi="Times New Roman" w:cs="Times New Roman"/>
          <w:color w:val="000000"/>
          <w:sz w:val="22"/>
          <w:szCs w:val="22"/>
        </w:rPr>
        <w:t>Senić</w:t>
      </w:r>
      <w:proofErr w:type="spellEnd"/>
      <w:r>
        <w:rPr>
          <w:rFonts w:ascii="Times New Roman" w:eastAsia="Times New Roman" w:hAnsi="Times New Roman" w:cs="Times New Roman"/>
          <w:color w:val="000000"/>
          <w:sz w:val="22"/>
          <w:szCs w:val="22"/>
        </w:rPr>
        <w:t xml:space="preserve"> et al. (2024) quantified the risks associated with increases in contract price and time extension, grouping them into clusters for funding and prevention </w:t>
      </w:r>
      <w:proofErr w:type="spellStart"/>
      <w:r>
        <w:rPr>
          <w:rFonts w:ascii="Times New Roman" w:eastAsia="Times New Roman" w:hAnsi="Times New Roman" w:cs="Times New Roman"/>
          <w:color w:val="000000"/>
          <w:sz w:val="22"/>
          <w:szCs w:val="22"/>
        </w:rPr>
        <w:t>prioritisation</w:t>
      </w:r>
      <w:proofErr w:type="spellEnd"/>
      <w:r>
        <w:rPr>
          <w:rFonts w:ascii="Times New Roman" w:eastAsia="Times New Roman" w:hAnsi="Times New Roman" w:cs="Times New Roman"/>
          <w:color w:val="000000"/>
          <w:sz w:val="22"/>
          <w:szCs w:val="22"/>
        </w:rPr>
        <w:t xml:space="preserve">. Nassar and </w:t>
      </w:r>
      <w:proofErr w:type="spellStart"/>
      <w:r>
        <w:rPr>
          <w:rFonts w:ascii="Times New Roman" w:eastAsia="Times New Roman" w:hAnsi="Times New Roman" w:cs="Times New Roman"/>
          <w:color w:val="000000"/>
          <w:sz w:val="22"/>
          <w:szCs w:val="22"/>
        </w:rPr>
        <w:t>Elbisy</w:t>
      </w:r>
      <w:proofErr w:type="spellEnd"/>
      <w:r>
        <w:rPr>
          <w:rFonts w:ascii="Times New Roman" w:eastAsia="Times New Roman" w:hAnsi="Times New Roman" w:cs="Times New Roman"/>
          <w:color w:val="000000"/>
          <w:sz w:val="22"/>
          <w:szCs w:val="22"/>
        </w:rPr>
        <w:t xml:space="preserve"> (2024) built on this research by identifying 43 delay factors across nine categories in marine projects. Meanwhile, Nyarko-Boateng et al. (2020) demonstrated that infrastructure repair costs in underground </w:t>
      </w:r>
      <w:proofErr w:type="spellStart"/>
      <w:r>
        <w:rPr>
          <w:rFonts w:ascii="Times New Roman" w:eastAsia="Times New Roman" w:hAnsi="Times New Roman" w:cs="Times New Roman"/>
          <w:color w:val="000000"/>
          <w:sz w:val="22"/>
          <w:szCs w:val="22"/>
        </w:rPr>
        <w:t>fibre</w:t>
      </w:r>
      <w:proofErr w:type="spellEnd"/>
      <w:r>
        <w:rPr>
          <w:rFonts w:ascii="Times New Roman" w:eastAsia="Times New Roman" w:hAnsi="Times New Roman" w:cs="Times New Roman"/>
          <w:color w:val="000000"/>
          <w:sz w:val="22"/>
          <w:szCs w:val="22"/>
        </w:rPr>
        <w:t xml:space="preserve"> networks are heavily dependent on the cause and location of failure, as well as the mean time to repair.</w:t>
      </w:r>
    </w:p>
    <w:p w14:paraId="750E8DC0" w14:textId="77777777" w:rsidR="0052348B" w:rsidRPr="0052348B" w:rsidRDefault="0052348B">
      <w:pPr>
        <w:jc w:val="both"/>
        <w:rPr>
          <w:rFonts w:ascii="Times New Roman" w:eastAsia="Times New Roman" w:hAnsi="Times New Roman" w:cs="Times New Roman"/>
          <w:color w:val="000000"/>
          <w:sz w:val="22"/>
          <w:szCs w:val="22"/>
          <w:lang w:val="en-US"/>
        </w:rPr>
        <w:sectPr w:rsidR="0052348B" w:rsidRPr="0052348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pPr>
    </w:p>
    <w:p w14:paraId="4A60FD4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Table 3: Included Studies Data Extraction Table</w:t>
      </w:r>
    </w:p>
    <w:tbl>
      <w:tblPr>
        <w:tblStyle w:val="a1"/>
        <w:tblW w:w="15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60"/>
        <w:gridCol w:w="1559"/>
        <w:gridCol w:w="1984"/>
        <w:gridCol w:w="2127"/>
        <w:gridCol w:w="1842"/>
        <w:gridCol w:w="2268"/>
        <w:gridCol w:w="2410"/>
      </w:tblGrid>
      <w:tr w:rsidR="00506EDB" w14:paraId="1BDC2D9F" w14:textId="77777777">
        <w:trPr>
          <w:trHeight w:val="351"/>
          <w:jc w:val="center"/>
        </w:trPr>
        <w:tc>
          <w:tcPr>
            <w:tcW w:w="1560" w:type="dxa"/>
          </w:tcPr>
          <w:p w14:paraId="05E26B3D"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Study</w:t>
            </w:r>
          </w:p>
        </w:tc>
        <w:tc>
          <w:tcPr>
            <w:tcW w:w="1560" w:type="dxa"/>
          </w:tcPr>
          <w:p w14:paraId="5A38A4BA"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Infrastructure/setting</w:t>
            </w:r>
          </w:p>
        </w:tc>
        <w:tc>
          <w:tcPr>
            <w:tcW w:w="1559" w:type="dxa"/>
          </w:tcPr>
          <w:p w14:paraId="4A145BCC"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Data/sample</w:t>
            </w:r>
          </w:p>
        </w:tc>
        <w:tc>
          <w:tcPr>
            <w:tcW w:w="1984" w:type="dxa"/>
          </w:tcPr>
          <w:p w14:paraId="0A126DFD"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Modeling approach</w:t>
            </w:r>
          </w:p>
        </w:tc>
        <w:tc>
          <w:tcPr>
            <w:tcW w:w="2127" w:type="dxa"/>
          </w:tcPr>
          <w:p w14:paraId="00124454"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Main inputs/risk drivers</w:t>
            </w:r>
          </w:p>
        </w:tc>
        <w:tc>
          <w:tcPr>
            <w:tcW w:w="1842" w:type="dxa"/>
          </w:tcPr>
          <w:p w14:paraId="57D3ED95"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Outcome/target</w:t>
            </w:r>
          </w:p>
        </w:tc>
        <w:tc>
          <w:tcPr>
            <w:tcW w:w="2268" w:type="dxa"/>
          </w:tcPr>
          <w:p w14:paraId="784E4744"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Validation/performance</w:t>
            </w:r>
          </w:p>
        </w:tc>
        <w:tc>
          <w:tcPr>
            <w:tcW w:w="2410" w:type="dxa"/>
          </w:tcPr>
          <w:p w14:paraId="6E10F6E2" w14:textId="77777777" w:rsidR="00506EDB" w:rsidRDefault="00EA765F">
            <w:pPr>
              <w:keepNext/>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Decision-support relevance</w:t>
            </w:r>
          </w:p>
        </w:tc>
      </w:tr>
      <w:tr w:rsidR="00506EDB" w14:paraId="63B0BF94" w14:textId="77777777">
        <w:trPr>
          <w:jc w:val="center"/>
        </w:trPr>
        <w:tc>
          <w:tcPr>
            <w:tcW w:w="1560" w:type="dxa"/>
          </w:tcPr>
          <w:p w14:paraId="68CEE76E"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Alshboul</w:t>
            </w:r>
            <w:proofErr w:type="spellEnd"/>
            <w:r>
              <w:rPr>
                <w:rFonts w:ascii="Times New Roman" w:eastAsia="Times New Roman" w:hAnsi="Times New Roman" w:cs="Times New Roman"/>
                <w:b/>
                <w:bCs/>
                <w:color w:val="000000"/>
                <w:sz w:val="22"/>
                <w:szCs w:val="22"/>
              </w:rPr>
              <w:t xml:space="preserve"> et al. (2022)</w:t>
            </w:r>
          </w:p>
        </w:tc>
        <w:tc>
          <w:tcPr>
            <w:tcW w:w="1560" w:type="dxa"/>
          </w:tcPr>
          <w:p w14:paraId="6491496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Highway construction; United States</w:t>
            </w:r>
          </w:p>
        </w:tc>
        <w:tc>
          <w:tcPr>
            <w:tcW w:w="1559" w:type="dxa"/>
          </w:tcPr>
          <w:p w14:paraId="34BA5B4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 years of real project data</w:t>
            </w:r>
          </w:p>
        </w:tc>
        <w:tc>
          <w:tcPr>
            <w:tcW w:w="1984" w:type="dxa"/>
          </w:tcPr>
          <w:p w14:paraId="6C4C584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Modified regression models hybridized with ML; second-order prediction model</w:t>
            </w:r>
          </w:p>
        </w:tc>
        <w:tc>
          <w:tcPr>
            <w:tcW w:w="2127" w:type="dxa"/>
          </w:tcPr>
          <w:p w14:paraId="47E2AEE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Total bid amount, funding indicator, change-order variables, and total adjustment days</w:t>
            </w:r>
          </w:p>
        </w:tc>
        <w:tc>
          <w:tcPr>
            <w:tcW w:w="1842" w:type="dxa"/>
          </w:tcPr>
          <w:p w14:paraId="5E5D709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Liquidated damages as a delivery-risk proxy</w:t>
            </w:r>
          </w:p>
        </w:tc>
        <w:tc>
          <w:tcPr>
            <w:tcW w:w="2268" w:type="dxa"/>
          </w:tcPr>
          <w:p w14:paraId="41B46CE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Seven regression-based models showed high accuracy; the second-order model improved estimation</w:t>
            </w:r>
          </w:p>
        </w:tc>
        <w:tc>
          <w:tcPr>
            <w:tcW w:w="2410" w:type="dxa"/>
          </w:tcPr>
          <w:p w14:paraId="41C2A7E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earlier LD forecasting and contractor/owner decision-making</w:t>
            </w:r>
          </w:p>
        </w:tc>
      </w:tr>
      <w:tr w:rsidR="00506EDB" w14:paraId="26057F58" w14:textId="77777777">
        <w:trPr>
          <w:jc w:val="center"/>
        </w:trPr>
        <w:tc>
          <w:tcPr>
            <w:tcW w:w="1560" w:type="dxa"/>
          </w:tcPr>
          <w:p w14:paraId="0EB28F7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Andrić et al. (2024)</w:t>
            </w:r>
          </w:p>
        </w:tc>
        <w:tc>
          <w:tcPr>
            <w:tcW w:w="1560" w:type="dxa"/>
          </w:tcPr>
          <w:p w14:paraId="7336CE5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 South Asia</w:t>
            </w:r>
          </w:p>
        </w:tc>
        <w:tc>
          <w:tcPr>
            <w:tcW w:w="1559" w:type="dxa"/>
          </w:tcPr>
          <w:p w14:paraId="189731C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138 projects</w:t>
            </w:r>
          </w:p>
        </w:tc>
        <w:tc>
          <w:tcPr>
            <w:tcW w:w="1984" w:type="dxa"/>
          </w:tcPr>
          <w:p w14:paraId="7B5D8C7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Probabilistic/statistical analysis, linear/quadratic regression, random forest, content analysis</w:t>
            </w:r>
          </w:p>
        </w:tc>
        <w:tc>
          <w:tcPr>
            <w:tcW w:w="2127" w:type="dxa"/>
          </w:tcPr>
          <w:p w14:paraId="4EE27DA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size, implementation period, time overruns, and coded root causes</w:t>
            </w:r>
          </w:p>
        </w:tc>
        <w:tc>
          <w:tcPr>
            <w:tcW w:w="1842" w:type="dxa"/>
          </w:tcPr>
          <w:p w14:paraId="61FB7A5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overrun level and cause structure</w:t>
            </w:r>
          </w:p>
        </w:tc>
        <w:tc>
          <w:tcPr>
            <w:tcW w:w="2268" w:type="dxa"/>
          </w:tcPr>
          <w:p w14:paraId="0791FD9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Average cost overrun 3.3%; random forest best fit among tested functions</w:t>
            </w:r>
          </w:p>
        </w:tc>
        <w:tc>
          <w:tcPr>
            <w:tcW w:w="2410" w:type="dxa"/>
          </w:tcPr>
          <w:p w14:paraId="06B9EEA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front-end cost estimation and risk-aware decision-making</w:t>
            </w:r>
          </w:p>
        </w:tc>
      </w:tr>
      <w:tr w:rsidR="00506EDB" w14:paraId="02C7BE0E" w14:textId="77777777">
        <w:trPr>
          <w:jc w:val="center"/>
        </w:trPr>
        <w:tc>
          <w:tcPr>
            <w:tcW w:w="1560" w:type="dxa"/>
          </w:tcPr>
          <w:p w14:paraId="3BF3246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Ariza Flores &amp; Zavala </w:t>
            </w:r>
            <w:proofErr w:type="spellStart"/>
            <w:r>
              <w:rPr>
                <w:rFonts w:ascii="Times New Roman" w:eastAsia="Times New Roman" w:hAnsi="Times New Roman" w:cs="Times New Roman"/>
                <w:b/>
                <w:bCs/>
                <w:color w:val="000000"/>
                <w:sz w:val="22"/>
                <w:szCs w:val="22"/>
              </w:rPr>
              <w:t>Ascaño</w:t>
            </w:r>
            <w:proofErr w:type="spellEnd"/>
            <w:r>
              <w:rPr>
                <w:rFonts w:ascii="Times New Roman" w:eastAsia="Times New Roman" w:hAnsi="Times New Roman" w:cs="Times New Roman"/>
                <w:b/>
                <w:bCs/>
                <w:color w:val="000000"/>
                <w:sz w:val="22"/>
                <w:szCs w:val="22"/>
              </w:rPr>
              <w:t xml:space="preserve"> (2025)</w:t>
            </w:r>
          </w:p>
        </w:tc>
        <w:tc>
          <w:tcPr>
            <w:tcW w:w="1560" w:type="dxa"/>
          </w:tcPr>
          <w:p w14:paraId="79C8E15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Road infrastructure, Peru</w:t>
            </w:r>
          </w:p>
        </w:tc>
        <w:tc>
          <w:tcPr>
            <w:tcW w:w="1559" w:type="dxa"/>
          </w:tcPr>
          <w:p w14:paraId="2A7A3AA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 road projects</w:t>
            </w:r>
          </w:p>
        </w:tc>
        <w:tc>
          <w:tcPr>
            <w:tcW w:w="1984" w:type="dxa"/>
          </w:tcPr>
          <w:p w14:paraId="2E28BD0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Quantitative risk analysis framework combining Monte Carlo simulation and schedule risk analysis</w:t>
            </w:r>
          </w:p>
        </w:tc>
        <w:tc>
          <w:tcPr>
            <w:tcW w:w="2127" w:type="dxa"/>
          </w:tcPr>
          <w:p w14:paraId="6BE7D33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PERT, triangular, and normal distributions; cost and time uncertainty</w:t>
            </w:r>
          </w:p>
        </w:tc>
        <w:tc>
          <w:tcPr>
            <w:tcW w:w="1842" w:type="dxa"/>
          </w:tcPr>
          <w:p w14:paraId="379F990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contingency and schedule contingency</w:t>
            </w:r>
          </w:p>
        </w:tc>
        <w:tc>
          <w:tcPr>
            <w:tcW w:w="2268" w:type="dxa"/>
          </w:tcPr>
          <w:p w14:paraId="00BDD77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contingencies 1.34%–11%; schedule contingencies 28.71%–91.67%</w:t>
            </w:r>
          </w:p>
        </w:tc>
        <w:tc>
          <w:tcPr>
            <w:tcW w:w="2410" w:type="dxa"/>
          </w:tcPr>
          <w:p w14:paraId="0DFECB3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Practical low-capacity framework for contingency planning and schedule realism</w:t>
            </w:r>
          </w:p>
        </w:tc>
      </w:tr>
      <w:tr w:rsidR="00506EDB" w14:paraId="6EEEA5A3" w14:textId="77777777">
        <w:trPr>
          <w:jc w:val="center"/>
        </w:trPr>
        <w:tc>
          <w:tcPr>
            <w:tcW w:w="1560" w:type="dxa"/>
          </w:tcPr>
          <w:p w14:paraId="43D2C45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Boamah et al. (2025)</w:t>
            </w:r>
          </w:p>
        </w:tc>
        <w:tc>
          <w:tcPr>
            <w:tcW w:w="1560" w:type="dxa"/>
          </w:tcPr>
          <w:p w14:paraId="07C3F87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w:t>
            </w:r>
          </w:p>
        </w:tc>
        <w:tc>
          <w:tcPr>
            <w:tcW w:w="1559" w:type="dxa"/>
          </w:tcPr>
          <w:p w14:paraId="0420E4A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Historical project risk data</w:t>
            </w:r>
          </w:p>
        </w:tc>
        <w:tc>
          <w:tcPr>
            <w:tcW w:w="1984" w:type="dxa"/>
          </w:tcPr>
          <w:p w14:paraId="7CEF825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AI-driven risk identification using semantic matching of historical risks</w:t>
            </w:r>
          </w:p>
        </w:tc>
        <w:tc>
          <w:tcPr>
            <w:tcW w:w="2127" w:type="dxa"/>
          </w:tcPr>
          <w:p w14:paraId="0B68815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Risk frequency, risk consequence, and semantic similarity to prior cases</w:t>
            </w:r>
          </w:p>
        </w:tc>
        <w:tc>
          <w:tcPr>
            <w:tcW w:w="1842" w:type="dxa"/>
          </w:tcPr>
          <w:p w14:paraId="433623B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Early risk identification</w:t>
            </w:r>
          </w:p>
        </w:tc>
        <w:tc>
          <w:tcPr>
            <w:tcW w:w="2268" w:type="dxa"/>
          </w:tcPr>
          <w:p w14:paraId="0F0435A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Improved reliability over expert-only identification</w:t>
            </w:r>
          </w:p>
        </w:tc>
        <w:tc>
          <w:tcPr>
            <w:tcW w:w="2410" w:type="dxa"/>
          </w:tcPr>
          <w:p w14:paraId="2F8A7D1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Enables proactive mitigation planning at early stages</w:t>
            </w:r>
          </w:p>
        </w:tc>
      </w:tr>
      <w:tr w:rsidR="00506EDB" w14:paraId="15B70C59" w14:textId="77777777">
        <w:trPr>
          <w:jc w:val="center"/>
        </w:trPr>
        <w:tc>
          <w:tcPr>
            <w:tcW w:w="1560" w:type="dxa"/>
          </w:tcPr>
          <w:p w14:paraId="545551D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Deng &amp; Jian (2022)</w:t>
            </w:r>
          </w:p>
        </w:tc>
        <w:tc>
          <w:tcPr>
            <w:tcW w:w="1560" w:type="dxa"/>
          </w:tcPr>
          <w:p w14:paraId="6831165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Construction project case</w:t>
            </w:r>
          </w:p>
        </w:tc>
        <w:tc>
          <w:tcPr>
            <w:tcW w:w="1559" w:type="dxa"/>
          </w:tcPr>
          <w:p w14:paraId="3E33102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Experimental project application</w:t>
            </w:r>
          </w:p>
        </w:tc>
        <w:tc>
          <w:tcPr>
            <w:tcW w:w="1984" w:type="dxa"/>
          </w:tcPr>
          <w:p w14:paraId="47FE738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Improved EVM + CPM + PERT + Monte Carlo simulation</w:t>
            </w:r>
          </w:p>
        </w:tc>
        <w:tc>
          <w:tcPr>
            <w:tcW w:w="2127" w:type="dxa"/>
          </w:tcPr>
          <w:p w14:paraId="07A26B4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Activity logic, resource categories, activity performance</w:t>
            </w:r>
          </w:p>
        </w:tc>
        <w:tc>
          <w:tcPr>
            <w:tcW w:w="1842" w:type="dxa"/>
          </w:tcPr>
          <w:p w14:paraId="7CF9E12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Duration and cost at completion under uncertainty</w:t>
            </w:r>
          </w:p>
        </w:tc>
        <w:tc>
          <w:tcPr>
            <w:tcW w:w="2268" w:type="dxa"/>
          </w:tcPr>
          <w:p w14:paraId="193F59A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Detected serious delay/cost overrun and prioritized critical activities</w:t>
            </w:r>
          </w:p>
        </w:tc>
        <w:tc>
          <w:tcPr>
            <w:tcW w:w="2410" w:type="dxa"/>
          </w:tcPr>
          <w:p w14:paraId="2E5F366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corrective action prioritization during execution</w:t>
            </w:r>
          </w:p>
        </w:tc>
      </w:tr>
      <w:tr w:rsidR="00506EDB" w14:paraId="1A11B29F" w14:textId="77777777">
        <w:trPr>
          <w:jc w:val="center"/>
        </w:trPr>
        <w:tc>
          <w:tcPr>
            <w:tcW w:w="1560" w:type="dxa"/>
          </w:tcPr>
          <w:p w14:paraId="2A6180A2"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Elmousalami</w:t>
            </w:r>
            <w:proofErr w:type="spellEnd"/>
            <w:r>
              <w:rPr>
                <w:rFonts w:ascii="Times New Roman" w:eastAsia="Times New Roman" w:hAnsi="Times New Roman" w:cs="Times New Roman"/>
                <w:b/>
                <w:bCs/>
                <w:color w:val="000000"/>
                <w:sz w:val="22"/>
                <w:szCs w:val="22"/>
              </w:rPr>
              <w:t xml:space="preserve"> et al. (2024)</w:t>
            </w:r>
          </w:p>
        </w:tc>
        <w:tc>
          <w:tcPr>
            <w:tcW w:w="1560" w:type="dxa"/>
          </w:tcPr>
          <w:p w14:paraId="7990999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Irrigation canal rehabilitation / FCIPs</w:t>
            </w:r>
          </w:p>
        </w:tc>
        <w:tc>
          <w:tcPr>
            <w:tcW w:w="1559" w:type="dxa"/>
          </w:tcPr>
          <w:p w14:paraId="3B6064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1,277 historical cases</w:t>
            </w:r>
          </w:p>
        </w:tc>
        <w:tc>
          <w:tcPr>
            <w:tcW w:w="1984" w:type="dxa"/>
          </w:tcPr>
          <w:p w14:paraId="7BF3194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Automated CDVP system; 48 ML models; Bayesian optimization; SHAP</w:t>
            </w:r>
          </w:p>
        </w:tc>
        <w:tc>
          <w:tcPr>
            <w:tcW w:w="2127" w:type="dxa"/>
          </w:tcPr>
          <w:p w14:paraId="381EC3A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 initial parameters reduced to 5 key drivers</w:t>
            </w:r>
          </w:p>
        </w:tc>
        <w:tc>
          <w:tcPr>
            <w:tcW w:w="1842" w:type="dxa"/>
          </w:tcPr>
          <w:p w14:paraId="0F45343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duration, cost variance, duration variance</w:t>
            </w:r>
          </w:p>
        </w:tc>
        <w:tc>
          <w:tcPr>
            <w:tcW w:w="2268" w:type="dxa"/>
          </w:tcPr>
          <w:p w14:paraId="6CEFF0B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Adjusted R² &gt; 0.93; MAPE &lt; 8.97</w:t>
            </w:r>
          </w:p>
        </w:tc>
        <w:tc>
          <w:tcPr>
            <w:tcW w:w="2410" w:type="dxa"/>
          </w:tcPr>
          <w:p w14:paraId="4BF1E60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Produces proactive multi-output forecasts and interpretable drivers</w:t>
            </w:r>
          </w:p>
        </w:tc>
      </w:tr>
      <w:tr w:rsidR="00506EDB" w14:paraId="46458A5B" w14:textId="77777777">
        <w:trPr>
          <w:jc w:val="center"/>
        </w:trPr>
        <w:tc>
          <w:tcPr>
            <w:tcW w:w="1560" w:type="dxa"/>
          </w:tcPr>
          <w:p w14:paraId="33FE33B6"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Gómez-Cabrera et al. (2025)</w:t>
            </w:r>
          </w:p>
        </w:tc>
        <w:tc>
          <w:tcPr>
            <w:tcW w:w="1560" w:type="dxa"/>
          </w:tcPr>
          <w:p w14:paraId="3A129E9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Educational infrastructure: Colombia</w:t>
            </w:r>
          </w:p>
        </w:tc>
        <w:tc>
          <w:tcPr>
            <w:tcW w:w="1559" w:type="dxa"/>
          </w:tcPr>
          <w:p w14:paraId="7759E52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175 procurement records from the public data platform</w:t>
            </w:r>
          </w:p>
        </w:tc>
        <w:tc>
          <w:tcPr>
            <w:tcW w:w="1984" w:type="dxa"/>
          </w:tcPr>
          <w:p w14:paraId="4EB9307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Data-driven statistical analysis of deviation patterns</w:t>
            </w:r>
          </w:p>
        </w:tc>
        <w:tc>
          <w:tcPr>
            <w:tcW w:w="2127" w:type="dxa"/>
          </w:tcPr>
          <w:p w14:paraId="3185CFC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type, contract value, process type, initial duration, award growth, bidders, project intensity, time suspended</w:t>
            </w:r>
          </w:p>
        </w:tc>
        <w:tc>
          <w:tcPr>
            <w:tcW w:w="1842" w:type="dxa"/>
          </w:tcPr>
          <w:p w14:paraId="757FD6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Time deviation and cost deviation</w:t>
            </w:r>
          </w:p>
        </w:tc>
        <w:tc>
          <w:tcPr>
            <w:tcW w:w="2268" w:type="dxa"/>
          </w:tcPr>
          <w:p w14:paraId="444B963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Average time deviation 77.73%; cost deviation 22.17%; significant correlation</w:t>
            </w:r>
          </w:p>
        </w:tc>
        <w:tc>
          <w:tcPr>
            <w:tcW w:w="2410" w:type="dxa"/>
          </w:tcPr>
          <w:p w14:paraId="22CDA52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Useful for portfolio-level planning and procurement reform</w:t>
            </w:r>
          </w:p>
        </w:tc>
      </w:tr>
      <w:tr w:rsidR="00506EDB" w14:paraId="76045464" w14:textId="77777777">
        <w:trPr>
          <w:jc w:val="center"/>
        </w:trPr>
        <w:tc>
          <w:tcPr>
            <w:tcW w:w="1560" w:type="dxa"/>
          </w:tcPr>
          <w:p w14:paraId="74D99FF2"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Ichsan</w:t>
            </w:r>
            <w:proofErr w:type="spellEnd"/>
            <w:r>
              <w:rPr>
                <w:rFonts w:ascii="Times New Roman" w:eastAsia="Times New Roman" w:hAnsi="Times New Roman" w:cs="Times New Roman"/>
                <w:b/>
                <w:bCs/>
                <w:color w:val="000000"/>
                <w:sz w:val="22"/>
                <w:szCs w:val="22"/>
              </w:rPr>
              <w:t xml:space="preserve"> et al. (2025)</w:t>
            </w:r>
          </w:p>
        </w:tc>
        <w:tc>
          <w:tcPr>
            <w:tcW w:w="1560" w:type="dxa"/>
          </w:tcPr>
          <w:p w14:paraId="5BD9ED6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Jakarta Central Railway Station project; Indonesia</w:t>
            </w:r>
          </w:p>
        </w:tc>
        <w:tc>
          <w:tcPr>
            <w:tcW w:w="1559" w:type="dxa"/>
          </w:tcPr>
          <w:p w14:paraId="5275E7E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risk inputs from structured practitioner/expert interviews</w:t>
            </w:r>
          </w:p>
        </w:tc>
        <w:tc>
          <w:tcPr>
            <w:tcW w:w="1984" w:type="dxa"/>
          </w:tcPr>
          <w:p w14:paraId="104F68E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Monte Carlo simulation with PERT in @RISK</w:t>
            </w:r>
          </w:p>
        </w:tc>
        <w:tc>
          <w:tcPr>
            <w:tcW w:w="2127" w:type="dxa"/>
          </w:tcPr>
          <w:p w14:paraId="517959A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Identified key risks affecting critical-path activities</w:t>
            </w:r>
          </w:p>
        </w:tc>
        <w:tc>
          <w:tcPr>
            <w:tcW w:w="1842" w:type="dxa"/>
          </w:tcPr>
          <w:p w14:paraId="3770A0A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Schedule completion forecast</w:t>
            </w:r>
          </w:p>
        </w:tc>
        <w:tc>
          <w:tcPr>
            <w:tcW w:w="2268" w:type="dxa"/>
          </w:tcPr>
          <w:p w14:paraId="76CEEED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Pre-mitigation duration 130.81%–136.25%; post-mitigation approx. 95.82%–102.23%</w:t>
            </w:r>
          </w:p>
        </w:tc>
        <w:tc>
          <w:tcPr>
            <w:tcW w:w="2410" w:type="dxa"/>
          </w:tcPr>
          <w:p w14:paraId="7BAEA53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Enables quantified schedule-risk monitoring and mitigation testing</w:t>
            </w:r>
          </w:p>
        </w:tc>
      </w:tr>
      <w:tr w:rsidR="00506EDB" w14:paraId="24478D26" w14:textId="77777777">
        <w:trPr>
          <w:jc w:val="center"/>
        </w:trPr>
        <w:tc>
          <w:tcPr>
            <w:tcW w:w="1560" w:type="dxa"/>
          </w:tcPr>
          <w:p w14:paraId="1F26697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Leśniak &amp; Janowiec (2019)</w:t>
            </w:r>
          </w:p>
        </w:tc>
        <w:tc>
          <w:tcPr>
            <w:tcW w:w="1560" w:type="dxa"/>
          </w:tcPr>
          <w:p w14:paraId="1FA85AF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Railway construction investments</w:t>
            </w:r>
          </w:p>
        </w:tc>
        <w:tc>
          <w:tcPr>
            <w:tcW w:w="1559" w:type="dxa"/>
          </w:tcPr>
          <w:p w14:paraId="18B7593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Scenario-based railway risk analysis</w:t>
            </w:r>
          </w:p>
        </w:tc>
        <w:tc>
          <w:tcPr>
            <w:tcW w:w="1984" w:type="dxa"/>
          </w:tcPr>
          <w:p w14:paraId="4CE5E9B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Bayesian network for additional work risk</w:t>
            </w:r>
          </w:p>
        </w:tc>
        <w:tc>
          <w:tcPr>
            <w:tcW w:w="2127" w:type="dxa"/>
          </w:tcPr>
          <w:p w14:paraId="2B43284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Design changes, implementation-condition changes, additional-works drivers</w:t>
            </w:r>
          </w:p>
        </w:tc>
        <w:tc>
          <w:tcPr>
            <w:tcW w:w="1842" w:type="dxa"/>
          </w:tcPr>
          <w:p w14:paraId="4A6D2B1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Risk of additional works and financial implications</w:t>
            </w:r>
          </w:p>
        </w:tc>
        <w:tc>
          <w:tcPr>
            <w:tcW w:w="2268" w:type="dxa"/>
          </w:tcPr>
          <w:p w14:paraId="591B28D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Feasibility shown through event scenarios and mitigation comparisons</w:t>
            </w:r>
          </w:p>
        </w:tc>
        <w:tc>
          <w:tcPr>
            <w:tcW w:w="2410" w:type="dxa"/>
          </w:tcPr>
          <w:p w14:paraId="01FB646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choosing mitigation paths and acceptable risk levels</w:t>
            </w:r>
          </w:p>
        </w:tc>
      </w:tr>
      <w:tr w:rsidR="00506EDB" w14:paraId="3C9FCA74" w14:textId="77777777">
        <w:trPr>
          <w:jc w:val="center"/>
        </w:trPr>
        <w:tc>
          <w:tcPr>
            <w:tcW w:w="1560" w:type="dxa"/>
          </w:tcPr>
          <w:p w14:paraId="67FEBA7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Leu et al. (2023)</w:t>
            </w:r>
          </w:p>
        </w:tc>
        <w:tc>
          <w:tcPr>
            <w:tcW w:w="1560" w:type="dxa"/>
          </w:tcPr>
          <w:p w14:paraId="3243E83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SRC building project; Taiwan</w:t>
            </w:r>
          </w:p>
        </w:tc>
        <w:tc>
          <w:tcPr>
            <w:tcW w:w="1559" w:type="dxa"/>
          </w:tcPr>
          <w:p w14:paraId="722FFA9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Real-time project-owned cost data</w:t>
            </w:r>
          </w:p>
        </w:tc>
        <w:tc>
          <w:tcPr>
            <w:tcW w:w="1984" w:type="dxa"/>
          </w:tcPr>
          <w:p w14:paraId="35AD5BA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Hidden Markov model with particle filter; Poisson event assumption</w:t>
            </w:r>
          </w:p>
        </w:tc>
        <w:tc>
          <w:tcPr>
            <w:tcW w:w="2127" w:type="dxa"/>
          </w:tcPr>
          <w:p w14:paraId="56A3008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Real-time cost performance data, cost overrun events, and corrective actions</w:t>
            </w:r>
          </w:p>
        </w:tc>
        <w:tc>
          <w:tcPr>
            <w:tcW w:w="1842" w:type="dxa"/>
          </w:tcPr>
          <w:p w14:paraId="4658C8A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overrun risk</w:t>
            </w:r>
          </w:p>
        </w:tc>
        <w:tc>
          <w:tcPr>
            <w:tcW w:w="2268" w:type="dxa"/>
          </w:tcPr>
          <w:p w14:paraId="5715DD8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Posterior probabilities tracked real cost-overrun ratios closely</w:t>
            </w:r>
          </w:p>
        </w:tc>
        <w:tc>
          <w:tcPr>
            <w:tcW w:w="2410" w:type="dxa"/>
          </w:tcPr>
          <w:p w14:paraId="7CE01C0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Provides early warning and targeted cost-control actions</w:t>
            </w:r>
          </w:p>
        </w:tc>
      </w:tr>
      <w:tr w:rsidR="00506EDB" w14:paraId="35926FB7" w14:textId="77777777">
        <w:trPr>
          <w:jc w:val="center"/>
        </w:trPr>
        <w:tc>
          <w:tcPr>
            <w:tcW w:w="1560" w:type="dxa"/>
          </w:tcPr>
          <w:p w14:paraId="5926878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Liben et al. (2025)</w:t>
            </w:r>
          </w:p>
        </w:tc>
        <w:tc>
          <w:tcPr>
            <w:tcW w:w="1560" w:type="dxa"/>
          </w:tcPr>
          <w:p w14:paraId="36291EA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Public building projects; Addis Ababa</w:t>
            </w:r>
          </w:p>
        </w:tc>
        <w:tc>
          <w:tcPr>
            <w:tcW w:w="1559" w:type="dxa"/>
          </w:tcPr>
          <w:p w14:paraId="6289CEB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Data from clients, consultants, and supervisors</w:t>
            </w:r>
          </w:p>
        </w:tc>
        <w:tc>
          <w:tcPr>
            <w:tcW w:w="1984" w:type="dxa"/>
          </w:tcPr>
          <w:p w14:paraId="5BCD6CA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Integrated deterministic-probabilistic conceptual model; Monte Carlo + PERT</w:t>
            </w:r>
          </w:p>
        </w:tc>
        <w:tc>
          <w:tcPr>
            <w:tcW w:w="2127" w:type="dxa"/>
          </w:tcPr>
          <w:p w14:paraId="72CEE2E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Number of buildings, regulatory approvals, government shutdowns, location, risk management, site conditions, and historical data</w:t>
            </w:r>
          </w:p>
        </w:tc>
        <w:tc>
          <w:tcPr>
            <w:tcW w:w="1842" w:type="dxa"/>
          </w:tcPr>
          <w:p w14:paraId="05E4227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Construction duration estimation and monitoring</w:t>
            </w:r>
          </w:p>
        </w:tc>
        <w:tc>
          <w:tcPr>
            <w:tcW w:w="2268" w:type="dxa"/>
          </w:tcPr>
          <w:p w14:paraId="1C0A379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 roadmap validated with MAE, RMSE, and R²</w:t>
            </w:r>
          </w:p>
        </w:tc>
        <w:tc>
          <w:tcPr>
            <w:tcW w:w="2410" w:type="dxa"/>
          </w:tcPr>
          <w:p w14:paraId="4F02B2C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Improves schedule realism in uncertain public-sector settings</w:t>
            </w:r>
          </w:p>
        </w:tc>
      </w:tr>
      <w:tr w:rsidR="00506EDB" w14:paraId="7C3372FE" w14:textId="77777777">
        <w:trPr>
          <w:jc w:val="center"/>
        </w:trPr>
        <w:tc>
          <w:tcPr>
            <w:tcW w:w="1560" w:type="dxa"/>
          </w:tcPr>
          <w:p w14:paraId="4DD4820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Liu et al. (2021)</w:t>
            </w:r>
          </w:p>
        </w:tc>
        <w:tc>
          <w:tcPr>
            <w:tcW w:w="1560" w:type="dxa"/>
          </w:tcPr>
          <w:p w14:paraId="6C8CB8A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Urban rail transit PPP; Xuzhou Metro Line 3, China</w:t>
            </w:r>
          </w:p>
        </w:tc>
        <w:tc>
          <w:tcPr>
            <w:tcW w:w="1559" w:type="dxa"/>
          </w:tcPr>
          <w:p w14:paraId="6D95D4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Interviews, surveys, questionnaires, and case verification</w:t>
            </w:r>
          </w:p>
        </w:tc>
        <w:tc>
          <w:tcPr>
            <w:tcW w:w="1984" w:type="dxa"/>
          </w:tcPr>
          <w:p w14:paraId="27FCDB4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Bayesian network</w:t>
            </w:r>
          </w:p>
        </w:tc>
        <w:tc>
          <w:tcPr>
            <w:tcW w:w="2127" w:type="dxa"/>
          </w:tcPr>
          <w:p w14:paraId="2A7594B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PPP-induced construction security risks; occurrence probability, reasoning paths, sensitivity</w:t>
            </w:r>
          </w:p>
        </w:tc>
        <w:tc>
          <w:tcPr>
            <w:tcW w:w="1842" w:type="dxa"/>
          </w:tcPr>
          <w:p w14:paraId="7BD689A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Security-risk assessment during construction</w:t>
            </w:r>
          </w:p>
        </w:tc>
        <w:tc>
          <w:tcPr>
            <w:tcW w:w="2268" w:type="dxa"/>
          </w:tcPr>
          <w:p w14:paraId="706C3B8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Feasibility verified in the metro PPP case</w:t>
            </w:r>
          </w:p>
        </w:tc>
        <w:tc>
          <w:tcPr>
            <w:tcW w:w="2410" w:type="dxa"/>
          </w:tcPr>
          <w:p w14:paraId="0333FB1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construction-stage risk reasoning and sensitivity-based control</w:t>
            </w:r>
          </w:p>
        </w:tc>
      </w:tr>
      <w:tr w:rsidR="00506EDB" w14:paraId="3903E41C" w14:textId="77777777">
        <w:trPr>
          <w:jc w:val="center"/>
        </w:trPr>
        <w:tc>
          <w:tcPr>
            <w:tcW w:w="1560" w:type="dxa"/>
          </w:tcPr>
          <w:p w14:paraId="5CCF86D7"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lastRenderedPageBreak/>
              <w:t>Moon et al. (2020)</w:t>
            </w:r>
          </w:p>
        </w:tc>
        <w:tc>
          <w:tcPr>
            <w:tcW w:w="1560" w:type="dxa"/>
          </w:tcPr>
          <w:p w14:paraId="2074CDBC"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Public projects; South Korea</w:t>
            </w:r>
          </w:p>
        </w:tc>
        <w:tc>
          <w:tcPr>
            <w:tcW w:w="1559" w:type="dxa"/>
          </w:tcPr>
          <w:p w14:paraId="3C0560C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234 public-sector projects</w:t>
            </w:r>
          </w:p>
        </w:tc>
        <w:tc>
          <w:tcPr>
            <w:tcW w:w="1984" w:type="dxa"/>
          </w:tcPr>
          <w:p w14:paraId="355F07C4"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Ensemble-learning classification model</w:t>
            </w:r>
          </w:p>
        </w:tc>
        <w:tc>
          <w:tcPr>
            <w:tcW w:w="2127" w:type="dxa"/>
          </w:tcPr>
          <w:p w14:paraId="19B9B0A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Delivery method, project type, cost, schedule, award method, bidders, bid/estimate ratio, joint ventures</w:t>
            </w:r>
          </w:p>
        </w:tc>
        <w:tc>
          <w:tcPr>
            <w:tcW w:w="1842" w:type="dxa"/>
          </w:tcPr>
          <w:p w14:paraId="03BA2D2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overrun level at the bidding stage</w:t>
            </w:r>
          </w:p>
        </w:tc>
        <w:tc>
          <w:tcPr>
            <w:tcW w:w="2268" w:type="dxa"/>
          </w:tcPr>
          <w:p w14:paraId="186376D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Average accuracy 61.41% across five runs</w:t>
            </w:r>
          </w:p>
        </w:tc>
        <w:tc>
          <w:tcPr>
            <w:tcW w:w="2410" w:type="dxa"/>
          </w:tcPr>
          <w:p w14:paraId="3AD2834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Screens high-risk bids before contract finalization</w:t>
            </w:r>
          </w:p>
        </w:tc>
      </w:tr>
      <w:tr w:rsidR="00506EDB" w14:paraId="23C44831" w14:textId="77777777">
        <w:trPr>
          <w:jc w:val="center"/>
        </w:trPr>
        <w:tc>
          <w:tcPr>
            <w:tcW w:w="1560" w:type="dxa"/>
          </w:tcPr>
          <w:p w14:paraId="6552D66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Moussa et al. (2024)</w:t>
            </w:r>
          </w:p>
        </w:tc>
        <w:tc>
          <w:tcPr>
            <w:tcW w:w="1560" w:type="dxa"/>
          </w:tcPr>
          <w:p w14:paraId="35F8B55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w:t>
            </w:r>
          </w:p>
        </w:tc>
        <w:tc>
          <w:tcPr>
            <w:tcW w:w="1559" w:type="dxa"/>
          </w:tcPr>
          <w:p w14:paraId="2150B43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Historical project data</w:t>
            </w:r>
          </w:p>
        </w:tc>
        <w:tc>
          <w:tcPr>
            <w:tcW w:w="1984" w:type="dxa"/>
          </w:tcPr>
          <w:p w14:paraId="301ED9B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ML for risk interactions and systemic risks</w:t>
            </w:r>
          </w:p>
        </w:tc>
        <w:tc>
          <w:tcPr>
            <w:tcW w:w="2127" w:type="dxa"/>
          </w:tcPr>
          <w:p w14:paraId="2A92B6E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Interacting risks, systemic risk structures, and project-performance indicators</w:t>
            </w:r>
          </w:p>
        </w:tc>
        <w:tc>
          <w:tcPr>
            <w:tcW w:w="1842" w:type="dxa"/>
          </w:tcPr>
          <w:p w14:paraId="598017C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Predicted performance impacts under interacting/systemic risks</w:t>
            </w:r>
          </w:p>
        </w:tc>
        <w:tc>
          <w:tcPr>
            <w:tcW w:w="2268" w:type="dxa"/>
          </w:tcPr>
          <w:p w14:paraId="221C44C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Reported accurate and practical data-driven predictions</w:t>
            </w:r>
          </w:p>
        </w:tc>
        <w:tc>
          <w:tcPr>
            <w:tcW w:w="2410" w:type="dxa"/>
          </w:tcPr>
          <w:p w14:paraId="3187047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Supports more integrated mitigation than isolated-risk models</w:t>
            </w:r>
          </w:p>
        </w:tc>
      </w:tr>
      <w:tr w:rsidR="00506EDB" w14:paraId="494BC858" w14:textId="77777777">
        <w:trPr>
          <w:jc w:val="center"/>
        </w:trPr>
        <w:tc>
          <w:tcPr>
            <w:tcW w:w="1560" w:type="dxa"/>
          </w:tcPr>
          <w:p w14:paraId="3C12414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Nassar &amp; </w:t>
            </w:r>
            <w:proofErr w:type="spellStart"/>
            <w:r>
              <w:rPr>
                <w:rFonts w:ascii="Times New Roman" w:eastAsia="Times New Roman" w:hAnsi="Times New Roman" w:cs="Times New Roman"/>
                <w:b/>
                <w:bCs/>
                <w:color w:val="000000"/>
                <w:sz w:val="22"/>
                <w:szCs w:val="22"/>
              </w:rPr>
              <w:t>Elbisy</w:t>
            </w:r>
            <w:proofErr w:type="spellEnd"/>
            <w:r>
              <w:rPr>
                <w:rFonts w:ascii="Times New Roman" w:eastAsia="Times New Roman" w:hAnsi="Times New Roman" w:cs="Times New Roman"/>
                <w:b/>
                <w:bCs/>
                <w:color w:val="000000"/>
                <w:sz w:val="22"/>
                <w:szCs w:val="22"/>
              </w:rPr>
              <w:t xml:space="preserve"> (2024)</w:t>
            </w:r>
          </w:p>
        </w:tc>
        <w:tc>
          <w:tcPr>
            <w:tcW w:w="1560" w:type="dxa"/>
          </w:tcPr>
          <w:p w14:paraId="235F844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Marine construction projects</w:t>
            </w:r>
          </w:p>
        </w:tc>
        <w:tc>
          <w:tcPr>
            <w:tcW w:w="1559" w:type="dxa"/>
          </w:tcPr>
          <w:p w14:paraId="2262942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Expert-derived factor set</w:t>
            </w:r>
          </w:p>
        </w:tc>
        <w:tc>
          <w:tcPr>
            <w:tcW w:w="1984" w:type="dxa"/>
          </w:tcPr>
          <w:p w14:paraId="3ADB49E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GRNN, SVM, Tree Boost; Taylor diagram and five statistics</w:t>
            </w:r>
          </w:p>
        </w:tc>
        <w:tc>
          <w:tcPr>
            <w:tcW w:w="2127" w:type="dxa"/>
          </w:tcPr>
          <w:p w14:paraId="09AF0EA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43 factors in 9 groups; ranked by relative importance index</w:t>
            </w:r>
          </w:p>
        </w:tc>
        <w:tc>
          <w:tcPr>
            <w:tcW w:w="1842" w:type="dxa"/>
          </w:tcPr>
          <w:p w14:paraId="1BD2713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Time delay</w:t>
            </w:r>
          </w:p>
        </w:tc>
        <w:tc>
          <w:tcPr>
            <w:tcW w:w="2268" w:type="dxa"/>
          </w:tcPr>
          <w:p w14:paraId="734F170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GRNN outperformed SVM and Tree Boost</w:t>
            </w:r>
          </w:p>
        </w:tc>
        <w:tc>
          <w:tcPr>
            <w:tcW w:w="2410" w:type="dxa"/>
          </w:tcPr>
          <w:p w14:paraId="3C349BD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Provides a usable delay-prediction tool for marine projects</w:t>
            </w:r>
          </w:p>
        </w:tc>
      </w:tr>
      <w:tr w:rsidR="00506EDB" w14:paraId="43515B10" w14:textId="77777777">
        <w:trPr>
          <w:jc w:val="center"/>
        </w:trPr>
        <w:tc>
          <w:tcPr>
            <w:tcW w:w="1560" w:type="dxa"/>
          </w:tcPr>
          <w:p w14:paraId="7B51C31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Nyarko-Boateng et al. (2020)</w:t>
            </w:r>
          </w:p>
        </w:tc>
        <w:tc>
          <w:tcPr>
            <w:tcW w:w="1560" w:type="dxa"/>
          </w:tcPr>
          <w:p w14:paraId="0AB7260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Underground fiber-optic infrastructure</w:t>
            </w:r>
          </w:p>
        </w:tc>
        <w:tc>
          <w:tcPr>
            <w:tcW w:w="1559" w:type="dxa"/>
          </w:tcPr>
          <w:p w14:paraId="2F39883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failure records</w:t>
            </w:r>
          </w:p>
        </w:tc>
        <w:tc>
          <w:tcPr>
            <w:tcW w:w="1984" w:type="dxa"/>
          </w:tcPr>
          <w:p w14:paraId="4D2BAB5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FFNN and linear regression</w:t>
            </w:r>
          </w:p>
        </w:tc>
        <w:tc>
          <w:tcPr>
            <w:tcW w:w="2127" w:type="dxa"/>
          </w:tcPr>
          <w:p w14:paraId="1F5981D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Cause of failure, geographic area, mean time to repair</w:t>
            </w:r>
          </w:p>
        </w:tc>
        <w:tc>
          <w:tcPr>
            <w:tcW w:w="1842" w:type="dxa"/>
          </w:tcPr>
          <w:p w14:paraId="47D6453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Repair cost of hard failures</w:t>
            </w:r>
          </w:p>
        </w:tc>
        <w:tc>
          <w:tcPr>
            <w:tcW w:w="2268" w:type="dxa"/>
          </w:tcPr>
          <w:p w14:paraId="022AD08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Good predictive accuracy reported</w:t>
            </w:r>
          </w:p>
        </w:tc>
        <w:tc>
          <w:tcPr>
            <w:tcW w:w="2410" w:type="dxa"/>
          </w:tcPr>
          <w:p w14:paraId="3F8DF08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Helps utilities anticipate repair costs before failure response</w:t>
            </w:r>
          </w:p>
        </w:tc>
      </w:tr>
      <w:tr w:rsidR="00506EDB" w14:paraId="6C7527D4" w14:textId="77777777">
        <w:trPr>
          <w:jc w:val="center"/>
        </w:trPr>
        <w:tc>
          <w:tcPr>
            <w:tcW w:w="1560" w:type="dxa"/>
          </w:tcPr>
          <w:p w14:paraId="231F547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Radman et al. (2025)</w:t>
            </w:r>
          </w:p>
        </w:tc>
        <w:tc>
          <w:tcPr>
            <w:tcW w:w="1560" w:type="dxa"/>
          </w:tcPr>
          <w:p w14:paraId="03F9644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Construction projects using BIM, cloud PM, and site data</w:t>
            </w:r>
          </w:p>
        </w:tc>
        <w:tc>
          <w:tcPr>
            <w:tcW w:w="1559" w:type="dxa"/>
          </w:tcPr>
          <w:p w14:paraId="1187DC78"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Comparative analysis of 8 case studies</w:t>
            </w:r>
          </w:p>
        </w:tc>
        <w:tc>
          <w:tcPr>
            <w:tcW w:w="1984" w:type="dxa"/>
          </w:tcPr>
          <w:p w14:paraId="2421ACAE"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RealCON's</w:t>
            </w:r>
            <w:proofErr w:type="spellEnd"/>
            <w:r>
              <w:rPr>
                <w:rFonts w:ascii="Times New Roman" w:eastAsia="Times New Roman" w:hAnsi="Times New Roman" w:cs="Times New Roman"/>
                <w:color w:val="000000"/>
                <w:sz w:val="22"/>
                <w:szCs w:val="22"/>
              </w:rPr>
              <w:t xml:space="preserve"> real-time data-driven framework</w:t>
            </w:r>
          </w:p>
        </w:tc>
        <w:tc>
          <w:tcPr>
            <w:tcW w:w="2127" w:type="dxa"/>
          </w:tcPr>
          <w:p w14:paraId="3AEA54D2"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Multi-source project data integration, EVM/ESM indicators, process latency</w:t>
            </w:r>
          </w:p>
        </w:tc>
        <w:tc>
          <w:tcPr>
            <w:tcW w:w="1842" w:type="dxa"/>
          </w:tcPr>
          <w:p w14:paraId="4AC4CC5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Forecasting accuracy, schedule adherence, and cost management</w:t>
            </w:r>
          </w:p>
        </w:tc>
        <w:tc>
          <w:tcPr>
            <w:tcW w:w="2268" w:type="dxa"/>
          </w:tcPr>
          <w:p w14:paraId="7ADEF299"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Gains confirmed using EVM/ESM plus Shapiro–Wilk and Wilcoxon tests</w:t>
            </w:r>
          </w:p>
        </w:tc>
        <w:tc>
          <w:tcPr>
            <w:tcW w:w="2410" w:type="dxa"/>
          </w:tcPr>
          <w:p w14:paraId="560DDA1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Strong evidence for real-time delay notification and proactive control</w:t>
            </w:r>
          </w:p>
        </w:tc>
      </w:tr>
      <w:tr w:rsidR="00506EDB" w14:paraId="3E2C28A3" w14:textId="77777777">
        <w:trPr>
          <w:jc w:val="center"/>
        </w:trPr>
        <w:tc>
          <w:tcPr>
            <w:tcW w:w="1560" w:type="dxa"/>
          </w:tcPr>
          <w:p w14:paraId="6585F10A" w14:textId="77777777" w:rsidR="00506EDB" w:rsidRDefault="00EA765F">
            <w:pPr>
              <w:jc w:val="center"/>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b/>
                <w:bCs/>
                <w:color w:val="000000"/>
                <w:sz w:val="22"/>
                <w:szCs w:val="22"/>
              </w:rPr>
              <w:t>Senić</w:t>
            </w:r>
            <w:proofErr w:type="spellEnd"/>
            <w:r>
              <w:rPr>
                <w:rFonts w:ascii="Times New Roman" w:eastAsia="Times New Roman" w:hAnsi="Times New Roman" w:cs="Times New Roman"/>
                <w:b/>
                <w:bCs/>
                <w:color w:val="000000"/>
                <w:sz w:val="22"/>
                <w:szCs w:val="22"/>
              </w:rPr>
              <w:t xml:space="preserve"> et al. (2024)</w:t>
            </w:r>
          </w:p>
        </w:tc>
        <w:tc>
          <w:tcPr>
            <w:tcW w:w="1560" w:type="dxa"/>
          </w:tcPr>
          <w:p w14:paraId="5E7D04B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Road infrastructure projects</w:t>
            </w:r>
          </w:p>
        </w:tc>
        <w:tc>
          <w:tcPr>
            <w:tcW w:w="1559" w:type="dxa"/>
          </w:tcPr>
          <w:p w14:paraId="7D2BCD61"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Literature review plus completed project analysis</w:t>
            </w:r>
          </w:p>
        </w:tc>
        <w:tc>
          <w:tcPr>
            <w:tcW w:w="1984" w:type="dxa"/>
          </w:tcPr>
          <w:p w14:paraId="1472F2B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Risk quantification and clustering model</w:t>
            </w:r>
          </w:p>
        </w:tc>
        <w:tc>
          <w:tcPr>
            <w:tcW w:w="2127" w:type="dxa"/>
          </w:tcPr>
          <w:p w14:paraId="18D5D5F5"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Risks driving an increase in contract price and extension of time; occurrence probabilities</w:t>
            </w:r>
          </w:p>
        </w:tc>
        <w:tc>
          <w:tcPr>
            <w:tcW w:w="1842" w:type="dxa"/>
          </w:tcPr>
          <w:p w14:paraId="5E7DE76D"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ICP and </w:t>
            </w:r>
            <w:proofErr w:type="spellStart"/>
            <w:r>
              <w:rPr>
                <w:rFonts w:ascii="Times New Roman" w:eastAsia="Times New Roman" w:hAnsi="Times New Roman" w:cs="Times New Roman"/>
                <w:color w:val="000000"/>
                <w:sz w:val="22"/>
                <w:szCs w:val="22"/>
              </w:rPr>
              <w:t>EoT</w:t>
            </w:r>
            <w:proofErr w:type="spellEnd"/>
            <w:r>
              <w:rPr>
                <w:rFonts w:ascii="Times New Roman" w:eastAsia="Times New Roman" w:hAnsi="Times New Roman" w:cs="Times New Roman"/>
                <w:color w:val="000000"/>
                <w:sz w:val="22"/>
                <w:szCs w:val="22"/>
              </w:rPr>
              <w:t xml:space="preserve"> risk quantification</w:t>
            </w:r>
          </w:p>
        </w:tc>
        <w:tc>
          <w:tcPr>
            <w:tcW w:w="2268" w:type="dxa"/>
          </w:tcPr>
          <w:p w14:paraId="1F242F1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Quantified values and probabilities are used to define priority clusters</w:t>
            </w:r>
          </w:p>
        </w:tc>
        <w:tc>
          <w:tcPr>
            <w:tcW w:w="2410" w:type="dxa"/>
          </w:tcPr>
          <w:p w14:paraId="4A3068AA"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Directly links quantified risks to preventive funding and action priorities</w:t>
            </w:r>
          </w:p>
        </w:tc>
      </w:tr>
      <w:tr w:rsidR="00506EDB" w14:paraId="0CC860D9" w14:textId="77777777">
        <w:trPr>
          <w:jc w:val="center"/>
        </w:trPr>
        <w:tc>
          <w:tcPr>
            <w:tcW w:w="1560" w:type="dxa"/>
          </w:tcPr>
          <w:p w14:paraId="3F1FB7C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Sing et al. (2025)</w:t>
            </w:r>
          </w:p>
        </w:tc>
        <w:tc>
          <w:tcPr>
            <w:tcW w:w="1560" w:type="dxa"/>
          </w:tcPr>
          <w:p w14:paraId="3ED925FB"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Infrastructure projects from public works departments</w:t>
            </w:r>
          </w:p>
        </w:tc>
        <w:tc>
          <w:tcPr>
            <w:tcW w:w="1559" w:type="dxa"/>
          </w:tcPr>
          <w:p w14:paraId="2B92D0D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122 projects totaling HKD 5,465 billion</w:t>
            </w:r>
          </w:p>
        </w:tc>
        <w:tc>
          <w:tcPr>
            <w:tcW w:w="1984" w:type="dxa"/>
          </w:tcPr>
          <w:p w14:paraId="3A63C7D0"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Seven ML algorithms; ANN best; interval prediction with bootstrapping and Monte Carlo dropout; complexity index</w:t>
            </w:r>
          </w:p>
        </w:tc>
        <w:tc>
          <w:tcPr>
            <w:tcW w:w="2127" w:type="dxa"/>
          </w:tcPr>
          <w:p w14:paraId="20F5575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Project size, duration, complexity index</w:t>
            </w:r>
          </w:p>
        </w:tc>
        <w:tc>
          <w:tcPr>
            <w:tcW w:w="1842" w:type="dxa"/>
          </w:tcPr>
          <w:p w14:paraId="7F25A50F"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Cost contingency estimation</w:t>
            </w:r>
          </w:p>
        </w:tc>
        <w:tc>
          <w:tcPr>
            <w:tcW w:w="2268" w:type="dxa"/>
          </w:tcPr>
          <w:p w14:paraId="623A3093"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ANN R² improved from 0.808 to 0.889 with the complexity index</w:t>
            </w:r>
          </w:p>
        </w:tc>
        <w:tc>
          <w:tcPr>
            <w:tcW w:w="2410" w:type="dxa"/>
          </w:tcPr>
          <w:p w14:paraId="6D66689E" w14:textId="77777777" w:rsidR="00506EDB" w:rsidRDefault="00EA765F">
            <w:pPr>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Improves contingency estimation with uncertainty intervals</w:t>
            </w:r>
          </w:p>
        </w:tc>
      </w:tr>
    </w:tbl>
    <w:p w14:paraId="7E382A96" w14:textId="77777777" w:rsidR="00506EDB" w:rsidRDefault="00506EDB">
      <w:pPr>
        <w:jc w:val="both"/>
        <w:rPr>
          <w:rFonts w:ascii="Times New Roman" w:eastAsia="Times New Roman" w:hAnsi="Times New Roman" w:cs="Times New Roman"/>
          <w:color w:val="000000"/>
          <w:sz w:val="22"/>
          <w:szCs w:val="22"/>
        </w:rPr>
        <w:sectPr w:rsidR="00506EDB">
          <w:pgSz w:w="15840" w:h="12240" w:orient="landscape"/>
          <w:pgMar w:top="1440" w:right="1440" w:bottom="1440" w:left="1440" w:header="720" w:footer="720" w:gutter="0"/>
          <w:cols w:space="720"/>
        </w:sectPr>
      </w:pPr>
    </w:p>
    <w:p w14:paraId="79F683CB" w14:textId="77777777" w:rsidR="0052348B" w:rsidRDefault="0052348B" w:rsidP="0052348B">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lastRenderedPageBreak/>
        <w:t>Theme 3: The real frontier is not prediction alone, but whether models are embedded in live mitigation and control systems</w:t>
      </w:r>
    </w:p>
    <w:p w14:paraId="012AED4C" w14:textId="77777777" w:rsidR="0052348B" w:rsidRDefault="0052348B" w:rsidP="0052348B">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Boamah et al. (2025) applied semantic matching and historical project data in enhancing risk identification prior to the occurrence of major problems, explicitly defining the model as a support tool in proactive mitigation planning. Leśniak and Janowiec (2019) expanded the concept by showing that a Bayesian network is capable of comparing the various ways of mitigating the risks of further work on railway projects and determining whether the effect is material or not. Leu et al. (2023) have translated real-time prediction of cost overrun into early warning mechanisms and suggested corrective responses to cost management measures. Meanwhile, Ariza Flores and Zavala Ascaano (2025) handled a different implementation barrier by developing a quantitative framework that can be implemented by professionals with minimal probabilistic competence when working on road projects.</w:t>
      </w:r>
    </w:p>
    <w:p w14:paraId="66DE3B79" w14:textId="7DA2A207" w:rsidR="0052348B" w:rsidRDefault="0052348B" w:rsidP="0052348B">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color w:val="000000"/>
          <w:sz w:val="22"/>
          <w:szCs w:val="22"/>
        </w:rPr>
        <w:t xml:space="preserve">Moreover, some papers have started the procedure of assembling the forecasting, operational response functions, and monitoring. The study by Radman et al. (2025) revealed that the </w:t>
      </w:r>
      <w:proofErr w:type="spellStart"/>
      <w:r>
        <w:rPr>
          <w:rFonts w:ascii="Times New Roman" w:eastAsia="Times New Roman" w:hAnsi="Times New Roman" w:cs="Times New Roman"/>
          <w:color w:val="000000"/>
          <w:sz w:val="22"/>
          <w:szCs w:val="22"/>
        </w:rPr>
        <w:t>RealCONs</w:t>
      </w:r>
      <w:proofErr w:type="spellEnd"/>
      <w:r>
        <w:rPr>
          <w:rFonts w:ascii="Times New Roman" w:eastAsia="Times New Roman" w:hAnsi="Times New Roman" w:cs="Times New Roman"/>
          <w:color w:val="000000"/>
          <w:sz w:val="22"/>
          <w:szCs w:val="22"/>
        </w:rPr>
        <w:t xml:space="preserve"> framework improved data integration, schedule adherence, early delays identification, and cost management when compared to the current </w:t>
      </w:r>
      <w:proofErr w:type="spellStart"/>
      <w:r>
        <w:rPr>
          <w:rFonts w:ascii="Times New Roman" w:eastAsia="Times New Roman" w:hAnsi="Times New Roman" w:cs="Times New Roman"/>
          <w:color w:val="000000"/>
          <w:sz w:val="22"/>
          <w:szCs w:val="22"/>
        </w:rPr>
        <w:t>practises</w:t>
      </w:r>
      <w:proofErr w:type="spellEnd"/>
      <w:r>
        <w:rPr>
          <w:rFonts w:ascii="Times New Roman" w:eastAsia="Times New Roman" w:hAnsi="Times New Roman" w:cs="Times New Roman"/>
          <w:color w:val="000000"/>
          <w:sz w:val="22"/>
          <w:szCs w:val="22"/>
        </w:rPr>
        <w:t xml:space="preserve">. By </w:t>
      </w:r>
      <w:r w:rsidR="008948DC">
        <w:rPr>
          <w:rFonts w:ascii="Times New Roman" w:eastAsia="Times New Roman" w:hAnsi="Times New Roman" w:cs="Times New Roman"/>
          <w:color w:val="000000"/>
          <w:sz w:val="22"/>
          <w:szCs w:val="22"/>
        </w:rPr>
        <w:t>modelling</w:t>
      </w:r>
      <w:r>
        <w:rPr>
          <w:rFonts w:ascii="Times New Roman" w:eastAsia="Times New Roman" w:hAnsi="Times New Roman" w:cs="Times New Roman"/>
          <w:color w:val="000000"/>
          <w:sz w:val="22"/>
          <w:szCs w:val="22"/>
        </w:rPr>
        <w:t xml:space="preserve"> systems and interacting risks instead of single factors, Moussa et al. (2024) considerably overcame this critical gap when making predictions to capture the complicated nature of infrastructure delivery. Liu et al. (2021) further provided an additional step by applying a Bayesian assessment to assess the likelihood of occurrence, sensitivity, and reasoning in a particular case of an urban rail PPP.</w:t>
      </w:r>
    </w:p>
    <w:p w14:paraId="769C7A01" w14:textId="50D77576" w:rsidR="0052348B" w:rsidRDefault="0052348B" w:rsidP="0052348B">
      <w:pPr>
        <w:jc w:val="both"/>
        <w:rPr>
          <w:rFonts w:ascii="Times New Roman" w:eastAsia="Times New Roman" w:hAnsi="Times New Roman" w:cs="Times New Roman"/>
          <w:color w:val="000000"/>
          <w:sz w:val="22"/>
          <w:szCs w:val="22"/>
          <w:lang w:val="en-US"/>
        </w:rPr>
      </w:pPr>
      <w:r w:rsidRPr="0052348B">
        <w:rPr>
          <w:rFonts w:ascii="Times New Roman" w:eastAsia="Times New Roman" w:hAnsi="Times New Roman" w:cs="Times New Roman"/>
          <w:color w:val="000000"/>
          <w:sz w:val="22"/>
          <w:szCs w:val="22"/>
          <w:lang w:val="en-US"/>
        </w:rPr>
        <w:t xml:space="preserve">To further </w:t>
      </w:r>
      <w:proofErr w:type="spellStart"/>
      <w:r w:rsidR="008948DC">
        <w:rPr>
          <w:rFonts w:ascii="Times New Roman" w:eastAsia="Times New Roman" w:hAnsi="Times New Roman" w:cs="Times New Roman"/>
          <w:color w:val="000000"/>
          <w:sz w:val="22"/>
          <w:szCs w:val="22"/>
          <w:lang w:val="en-US"/>
        </w:rPr>
        <w:t>synthesise</w:t>
      </w:r>
      <w:proofErr w:type="spellEnd"/>
      <w:r w:rsidRPr="0052348B">
        <w:rPr>
          <w:rFonts w:ascii="Times New Roman" w:eastAsia="Times New Roman" w:hAnsi="Times New Roman" w:cs="Times New Roman"/>
          <w:color w:val="000000"/>
          <w:sz w:val="22"/>
          <w:szCs w:val="22"/>
          <w:lang w:val="en-US"/>
        </w:rPr>
        <w:t xml:space="preserve"> the included evidence, Table 4 maps the main analytical contributions of the studies against the three review themes. This shows that the literature is most heavily concentrated in uncertainty-aware forecasting and predictive </w:t>
      </w:r>
      <w:r w:rsidR="008948DC">
        <w:rPr>
          <w:rFonts w:ascii="Times New Roman" w:eastAsia="Times New Roman" w:hAnsi="Times New Roman" w:cs="Times New Roman"/>
          <w:color w:val="000000"/>
          <w:sz w:val="22"/>
          <w:szCs w:val="22"/>
          <w:lang w:val="en-US"/>
        </w:rPr>
        <w:t>modelling</w:t>
      </w:r>
      <w:r w:rsidRPr="0052348B">
        <w:rPr>
          <w:rFonts w:ascii="Times New Roman" w:eastAsia="Times New Roman" w:hAnsi="Times New Roman" w:cs="Times New Roman"/>
          <w:color w:val="000000"/>
          <w:sz w:val="22"/>
          <w:szCs w:val="22"/>
          <w:lang w:val="en-US"/>
        </w:rPr>
        <w:t>, followed by studies identifying recurrent drivers of delivery risk related to governance, procurement, and scope. Conversely, fewer studies move beyond prediction to demonstrate how model outputs are embedded in early warning routines, live control systems, active mitigation planning, or contingency setting. This uneven distribution indicates that the field is advancing more quickly in terms of model development than implementation, suggesting that rather than algorithm availability, the main research gap now lies in operational integration.</w:t>
      </w:r>
    </w:p>
    <w:p w14:paraId="41AF793C" w14:textId="752E51C9" w:rsidR="0046547A" w:rsidRPr="0052348B" w:rsidRDefault="0046547A" w:rsidP="0046547A">
      <w:pPr>
        <w:jc w:val="center"/>
        <w:rPr>
          <w:rFonts w:ascii="Times New Roman" w:eastAsia="Times New Roman" w:hAnsi="Times New Roman" w:cs="Times New Roman"/>
          <w:b/>
          <w:bCs/>
          <w:color w:val="000000"/>
          <w:sz w:val="22"/>
          <w:szCs w:val="22"/>
          <w:lang w:val="en-US"/>
        </w:rPr>
      </w:pPr>
      <w:r w:rsidRPr="0046547A">
        <w:rPr>
          <w:rFonts w:ascii="Times New Roman" w:eastAsia="Times New Roman" w:hAnsi="Times New Roman" w:cs="Times New Roman"/>
          <w:b/>
          <w:bCs/>
          <w:color w:val="000000"/>
          <w:sz w:val="22"/>
          <w:szCs w:val="22"/>
        </w:rPr>
        <w:t>Table 4. Cross-study mapping of the included evidence against the three review themes</w:t>
      </w:r>
    </w:p>
    <w:tbl>
      <w:tblPr>
        <w:tblStyle w:val="TableGrid"/>
        <w:tblW w:w="0" w:type="auto"/>
        <w:tblInd w:w="-147" w:type="dxa"/>
        <w:tblLook w:val="04A0" w:firstRow="1" w:lastRow="0" w:firstColumn="1" w:lastColumn="0" w:noHBand="0" w:noVBand="1"/>
      </w:tblPr>
      <w:tblGrid>
        <w:gridCol w:w="1083"/>
        <w:gridCol w:w="2325"/>
        <w:gridCol w:w="3186"/>
        <w:gridCol w:w="2903"/>
      </w:tblGrid>
      <w:tr w:rsidR="0046547A" w:rsidRPr="0046547A" w14:paraId="013E84AE" w14:textId="77777777" w:rsidTr="0046547A">
        <w:tc>
          <w:tcPr>
            <w:tcW w:w="1083" w:type="dxa"/>
            <w:hideMark/>
          </w:tcPr>
          <w:p w14:paraId="50AAE036" w14:textId="77777777" w:rsidR="0046547A" w:rsidRPr="0046547A" w:rsidRDefault="0046547A" w:rsidP="0046547A">
            <w:pPr>
              <w:jc w:val="center"/>
              <w:rPr>
                <w:rFonts w:ascii="Times New Roman" w:eastAsia="Times New Roman" w:hAnsi="Times New Roman" w:cs="Times New Roman"/>
                <w:b/>
                <w:bCs/>
                <w:sz w:val="24"/>
                <w:szCs w:val="24"/>
                <w:lang w:val="en-US"/>
              </w:rPr>
            </w:pPr>
            <w:r w:rsidRPr="0046547A">
              <w:rPr>
                <w:rFonts w:ascii="Times New Roman" w:eastAsia="Times New Roman" w:hAnsi="Times New Roman" w:cs="Times New Roman"/>
                <w:b/>
                <w:bCs/>
                <w:sz w:val="24"/>
                <w:szCs w:val="24"/>
                <w:lang w:val="en-US"/>
              </w:rPr>
              <w:t>Theme</w:t>
            </w:r>
          </w:p>
        </w:tc>
        <w:tc>
          <w:tcPr>
            <w:tcW w:w="0" w:type="auto"/>
            <w:hideMark/>
          </w:tcPr>
          <w:p w14:paraId="466866D0" w14:textId="77777777" w:rsidR="0046547A" w:rsidRPr="0046547A" w:rsidRDefault="0046547A" w:rsidP="0046547A">
            <w:pPr>
              <w:jc w:val="center"/>
              <w:rPr>
                <w:rFonts w:ascii="Times New Roman" w:eastAsia="Times New Roman" w:hAnsi="Times New Roman" w:cs="Times New Roman"/>
                <w:b/>
                <w:bCs/>
                <w:sz w:val="24"/>
                <w:szCs w:val="24"/>
                <w:lang w:val="en-US"/>
              </w:rPr>
            </w:pPr>
            <w:r w:rsidRPr="0046547A">
              <w:rPr>
                <w:rFonts w:ascii="Times New Roman" w:eastAsia="Times New Roman" w:hAnsi="Times New Roman" w:cs="Times New Roman"/>
                <w:b/>
                <w:bCs/>
                <w:sz w:val="24"/>
                <w:szCs w:val="24"/>
                <w:lang w:val="en-US"/>
              </w:rPr>
              <w:t>Main analytical focus</w:t>
            </w:r>
          </w:p>
        </w:tc>
        <w:tc>
          <w:tcPr>
            <w:tcW w:w="0" w:type="auto"/>
            <w:hideMark/>
          </w:tcPr>
          <w:p w14:paraId="2E3D0252" w14:textId="77777777" w:rsidR="0046547A" w:rsidRPr="0046547A" w:rsidRDefault="0046547A" w:rsidP="0046547A">
            <w:pPr>
              <w:jc w:val="center"/>
              <w:rPr>
                <w:rFonts w:ascii="Times New Roman" w:eastAsia="Times New Roman" w:hAnsi="Times New Roman" w:cs="Times New Roman"/>
                <w:b/>
                <w:bCs/>
                <w:sz w:val="24"/>
                <w:szCs w:val="24"/>
                <w:lang w:val="en-US"/>
              </w:rPr>
            </w:pPr>
            <w:r w:rsidRPr="0046547A">
              <w:rPr>
                <w:rFonts w:ascii="Times New Roman" w:eastAsia="Times New Roman" w:hAnsi="Times New Roman" w:cs="Times New Roman"/>
                <w:b/>
                <w:bCs/>
                <w:sz w:val="24"/>
                <w:szCs w:val="24"/>
                <w:lang w:val="en-US"/>
              </w:rPr>
              <w:t>Representative included studies</w:t>
            </w:r>
          </w:p>
        </w:tc>
        <w:tc>
          <w:tcPr>
            <w:tcW w:w="0" w:type="auto"/>
            <w:hideMark/>
          </w:tcPr>
          <w:p w14:paraId="758EC593" w14:textId="77777777" w:rsidR="0046547A" w:rsidRPr="0046547A" w:rsidRDefault="0046547A" w:rsidP="0046547A">
            <w:pPr>
              <w:jc w:val="center"/>
              <w:rPr>
                <w:rFonts w:ascii="Times New Roman" w:eastAsia="Times New Roman" w:hAnsi="Times New Roman" w:cs="Times New Roman"/>
                <w:b/>
                <w:bCs/>
                <w:sz w:val="24"/>
                <w:szCs w:val="24"/>
                <w:lang w:val="en-US"/>
              </w:rPr>
            </w:pPr>
            <w:r w:rsidRPr="0046547A">
              <w:rPr>
                <w:rFonts w:ascii="Times New Roman" w:eastAsia="Times New Roman" w:hAnsi="Times New Roman" w:cs="Times New Roman"/>
                <w:b/>
                <w:bCs/>
                <w:sz w:val="24"/>
                <w:szCs w:val="24"/>
                <w:lang w:val="en-US"/>
              </w:rPr>
              <w:t>Review-level interpretation</w:t>
            </w:r>
          </w:p>
        </w:tc>
      </w:tr>
      <w:tr w:rsidR="0046547A" w:rsidRPr="0046547A" w14:paraId="452FAC07" w14:textId="77777777" w:rsidTr="0046547A">
        <w:tc>
          <w:tcPr>
            <w:tcW w:w="1083" w:type="dxa"/>
            <w:hideMark/>
          </w:tcPr>
          <w:p w14:paraId="5674A674"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Theme 1</w:t>
            </w:r>
          </w:p>
        </w:tc>
        <w:tc>
          <w:tcPr>
            <w:tcW w:w="0" w:type="auto"/>
            <w:hideMark/>
          </w:tcPr>
          <w:p w14:paraId="5422A687"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Movement from static estimates to adaptive, uncertainty-aware forecasting</w:t>
            </w:r>
          </w:p>
        </w:tc>
        <w:tc>
          <w:tcPr>
            <w:tcW w:w="0" w:type="auto"/>
            <w:hideMark/>
          </w:tcPr>
          <w:p w14:paraId="505B6E0C"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 xml:space="preserve">Moon et al. (2020); </w:t>
            </w:r>
            <w:proofErr w:type="spellStart"/>
            <w:r w:rsidRPr="0046547A">
              <w:rPr>
                <w:rFonts w:ascii="Times New Roman" w:eastAsia="Times New Roman" w:hAnsi="Times New Roman" w:cs="Times New Roman"/>
                <w:sz w:val="24"/>
                <w:szCs w:val="24"/>
                <w:lang w:val="en-US"/>
              </w:rPr>
              <w:t>Alshboul</w:t>
            </w:r>
            <w:proofErr w:type="spellEnd"/>
            <w:r w:rsidRPr="0046547A">
              <w:rPr>
                <w:rFonts w:ascii="Times New Roman" w:eastAsia="Times New Roman" w:hAnsi="Times New Roman" w:cs="Times New Roman"/>
                <w:sz w:val="24"/>
                <w:szCs w:val="24"/>
                <w:lang w:val="en-US"/>
              </w:rPr>
              <w:t xml:space="preserve"> et al. (2022); Deng and Jian (2022); </w:t>
            </w:r>
            <w:proofErr w:type="spellStart"/>
            <w:r w:rsidRPr="0046547A">
              <w:rPr>
                <w:rFonts w:ascii="Times New Roman" w:eastAsia="Times New Roman" w:hAnsi="Times New Roman" w:cs="Times New Roman"/>
                <w:sz w:val="24"/>
                <w:szCs w:val="24"/>
                <w:lang w:val="en-US"/>
              </w:rPr>
              <w:t>Elmousalami</w:t>
            </w:r>
            <w:proofErr w:type="spellEnd"/>
            <w:r w:rsidRPr="0046547A">
              <w:rPr>
                <w:rFonts w:ascii="Times New Roman" w:eastAsia="Times New Roman" w:hAnsi="Times New Roman" w:cs="Times New Roman"/>
                <w:sz w:val="24"/>
                <w:szCs w:val="24"/>
                <w:lang w:val="en-US"/>
              </w:rPr>
              <w:t xml:space="preserve"> et al. (2024); Leu et al. (2023); Liben et al. (2025); Sing et al. (2025)</w:t>
            </w:r>
          </w:p>
        </w:tc>
        <w:tc>
          <w:tcPr>
            <w:tcW w:w="0" w:type="auto"/>
            <w:hideMark/>
          </w:tcPr>
          <w:p w14:paraId="5E999681"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The strongest concentration of evidence lies in predictive and probabilistic modeling, particularly for cost, contingency, and variance estimation.</w:t>
            </w:r>
          </w:p>
        </w:tc>
      </w:tr>
      <w:tr w:rsidR="0046547A" w:rsidRPr="0046547A" w14:paraId="7812AD7C" w14:textId="77777777" w:rsidTr="0046547A">
        <w:tc>
          <w:tcPr>
            <w:tcW w:w="1083" w:type="dxa"/>
            <w:hideMark/>
          </w:tcPr>
          <w:p w14:paraId="50E7683A"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Theme 2</w:t>
            </w:r>
          </w:p>
        </w:tc>
        <w:tc>
          <w:tcPr>
            <w:tcW w:w="0" w:type="auto"/>
            <w:hideMark/>
          </w:tcPr>
          <w:p w14:paraId="5896512F"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 xml:space="preserve">Recurrent risk drivers linked to governance, procurement, approvals, scope </w:t>
            </w:r>
            <w:r w:rsidRPr="0046547A">
              <w:rPr>
                <w:rFonts w:ascii="Times New Roman" w:eastAsia="Times New Roman" w:hAnsi="Times New Roman" w:cs="Times New Roman"/>
                <w:sz w:val="24"/>
                <w:szCs w:val="24"/>
                <w:lang w:val="en-US"/>
              </w:rPr>
              <w:lastRenderedPageBreak/>
              <w:t>change, and delivery instability</w:t>
            </w:r>
          </w:p>
        </w:tc>
        <w:tc>
          <w:tcPr>
            <w:tcW w:w="0" w:type="auto"/>
            <w:hideMark/>
          </w:tcPr>
          <w:p w14:paraId="19B5694B"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lastRenderedPageBreak/>
              <w:t xml:space="preserve">Andrić et al. (2024); Gómez-Cabrera et al. </w:t>
            </w:r>
            <w:r w:rsidRPr="0046547A">
              <w:rPr>
                <w:rFonts w:ascii="Times New Roman" w:eastAsia="Times New Roman" w:hAnsi="Times New Roman" w:cs="Times New Roman"/>
                <w:sz w:val="24"/>
                <w:szCs w:val="24"/>
                <w:lang w:val="pl-PL"/>
              </w:rPr>
              <w:t xml:space="preserve">(2025); Leśniak and Janowiec (2019); Liben et al. </w:t>
            </w:r>
            <w:r w:rsidRPr="0046547A">
              <w:rPr>
                <w:rFonts w:ascii="Times New Roman" w:eastAsia="Times New Roman" w:hAnsi="Times New Roman" w:cs="Times New Roman"/>
                <w:sz w:val="24"/>
                <w:szCs w:val="24"/>
                <w:lang w:val="en-US"/>
              </w:rPr>
              <w:t xml:space="preserve">(2025); </w:t>
            </w:r>
            <w:proofErr w:type="spellStart"/>
            <w:r w:rsidRPr="0046547A">
              <w:rPr>
                <w:rFonts w:ascii="Times New Roman" w:eastAsia="Times New Roman" w:hAnsi="Times New Roman" w:cs="Times New Roman"/>
                <w:sz w:val="24"/>
                <w:szCs w:val="24"/>
                <w:lang w:val="en-US"/>
              </w:rPr>
              <w:t>Senić</w:t>
            </w:r>
            <w:proofErr w:type="spellEnd"/>
            <w:r w:rsidRPr="0046547A">
              <w:rPr>
                <w:rFonts w:ascii="Times New Roman" w:eastAsia="Times New Roman" w:hAnsi="Times New Roman" w:cs="Times New Roman"/>
                <w:sz w:val="24"/>
                <w:szCs w:val="24"/>
                <w:lang w:val="en-US"/>
              </w:rPr>
              <w:t xml:space="preserve"> et al. (2024); </w:t>
            </w:r>
            <w:r w:rsidRPr="0046547A">
              <w:rPr>
                <w:rFonts w:ascii="Times New Roman" w:eastAsia="Times New Roman" w:hAnsi="Times New Roman" w:cs="Times New Roman"/>
                <w:sz w:val="24"/>
                <w:szCs w:val="24"/>
                <w:lang w:val="en-US"/>
              </w:rPr>
              <w:lastRenderedPageBreak/>
              <w:t xml:space="preserve">Nassar and </w:t>
            </w:r>
            <w:proofErr w:type="spellStart"/>
            <w:r w:rsidRPr="0046547A">
              <w:rPr>
                <w:rFonts w:ascii="Times New Roman" w:eastAsia="Times New Roman" w:hAnsi="Times New Roman" w:cs="Times New Roman"/>
                <w:sz w:val="24"/>
                <w:szCs w:val="24"/>
                <w:lang w:val="en-US"/>
              </w:rPr>
              <w:t>Elbisy</w:t>
            </w:r>
            <w:proofErr w:type="spellEnd"/>
            <w:r w:rsidRPr="0046547A">
              <w:rPr>
                <w:rFonts w:ascii="Times New Roman" w:eastAsia="Times New Roman" w:hAnsi="Times New Roman" w:cs="Times New Roman"/>
                <w:sz w:val="24"/>
                <w:szCs w:val="24"/>
                <w:lang w:val="en-US"/>
              </w:rPr>
              <w:t xml:space="preserve"> (2024); Nyarko-Boateng et al. (2020)</w:t>
            </w:r>
          </w:p>
        </w:tc>
        <w:tc>
          <w:tcPr>
            <w:tcW w:w="0" w:type="auto"/>
            <w:hideMark/>
          </w:tcPr>
          <w:p w14:paraId="5F952754"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lastRenderedPageBreak/>
              <w:t xml:space="preserve">Delivery risk is shaped less by isolated technical uncertainty than by recurring organizational, </w:t>
            </w:r>
            <w:r w:rsidRPr="0046547A">
              <w:rPr>
                <w:rFonts w:ascii="Times New Roman" w:eastAsia="Times New Roman" w:hAnsi="Times New Roman" w:cs="Times New Roman"/>
                <w:sz w:val="24"/>
                <w:szCs w:val="24"/>
                <w:lang w:val="en-US"/>
              </w:rPr>
              <w:lastRenderedPageBreak/>
              <w:t>contractual, and implementation frictions.</w:t>
            </w:r>
          </w:p>
        </w:tc>
      </w:tr>
      <w:tr w:rsidR="0046547A" w:rsidRPr="0046547A" w14:paraId="42784580" w14:textId="77777777" w:rsidTr="0046547A">
        <w:tc>
          <w:tcPr>
            <w:tcW w:w="1083" w:type="dxa"/>
            <w:hideMark/>
          </w:tcPr>
          <w:p w14:paraId="7F96646E"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lastRenderedPageBreak/>
              <w:t>Theme 3</w:t>
            </w:r>
          </w:p>
        </w:tc>
        <w:tc>
          <w:tcPr>
            <w:tcW w:w="0" w:type="auto"/>
            <w:hideMark/>
          </w:tcPr>
          <w:p w14:paraId="4797CFDD"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Embedding model outputs into mitigation, early warning, contingency planning, and live control systems</w:t>
            </w:r>
          </w:p>
        </w:tc>
        <w:tc>
          <w:tcPr>
            <w:tcW w:w="0" w:type="auto"/>
            <w:hideMark/>
          </w:tcPr>
          <w:p w14:paraId="260E2D86"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 xml:space="preserve">Boamah et al. (2025); Ariza Flores and Zavala </w:t>
            </w:r>
            <w:proofErr w:type="spellStart"/>
            <w:r w:rsidRPr="0046547A">
              <w:rPr>
                <w:rFonts w:ascii="Times New Roman" w:eastAsia="Times New Roman" w:hAnsi="Times New Roman" w:cs="Times New Roman"/>
                <w:sz w:val="24"/>
                <w:szCs w:val="24"/>
                <w:lang w:val="en-US"/>
              </w:rPr>
              <w:t>Ascaño</w:t>
            </w:r>
            <w:proofErr w:type="spellEnd"/>
            <w:r w:rsidRPr="0046547A">
              <w:rPr>
                <w:rFonts w:ascii="Times New Roman" w:eastAsia="Times New Roman" w:hAnsi="Times New Roman" w:cs="Times New Roman"/>
                <w:sz w:val="24"/>
                <w:szCs w:val="24"/>
                <w:lang w:val="en-US"/>
              </w:rPr>
              <w:t xml:space="preserve"> (2025); Leu et al. (2023); Moussa et al. (2024); Radman et al. (2025); Liu et al. (2021)</w:t>
            </w:r>
          </w:p>
        </w:tc>
        <w:tc>
          <w:tcPr>
            <w:tcW w:w="0" w:type="auto"/>
            <w:hideMark/>
          </w:tcPr>
          <w:p w14:paraId="08F53829" w14:textId="77777777" w:rsidR="0046547A" w:rsidRPr="0046547A" w:rsidRDefault="0046547A" w:rsidP="0046547A">
            <w:pPr>
              <w:rPr>
                <w:rFonts w:ascii="Times New Roman" w:eastAsia="Times New Roman" w:hAnsi="Times New Roman" w:cs="Times New Roman"/>
                <w:sz w:val="24"/>
                <w:szCs w:val="24"/>
                <w:lang w:val="en-US"/>
              </w:rPr>
            </w:pPr>
            <w:r w:rsidRPr="0046547A">
              <w:rPr>
                <w:rFonts w:ascii="Times New Roman" w:eastAsia="Times New Roman" w:hAnsi="Times New Roman" w:cs="Times New Roman"/>
                <w:sz w:val="24"/>
                <w:szCs w:val="24"/>
                <w:lang w:val="en-US"/>
              </w:rPr>
              <w:t>This is the most innovative but least mature area of the evidence base; operational integration remains promising but uneven and highly case-bound.</w:t>
            </w:r>
          </w:p>
        </w:tc>
      </w:tr>
    </w:tbl>
    <w:p w14:paraId="232FC071" w14:textId="77777777" w:rsidR="0052348B" w:rsidRPr="0052348B" w:rsidRDefault="0052348B">
      <w:pPr>
        <w:jc w:val="both"/>
        <w:rPr>
          <w:rFonts w:ascii="Times New Roman" w:eastAsia="Times New Roman" w:hAnsi="Times New Roman" w:cs="Times New Roman"/>
          <w:b/>
          <w:bCs/>
          <w:color w:val="000000"/>
          <w:sz w:val="22"/>
          <w:szCs w:val="22"/>
          <w:lang w:val="en-US"/>
        </w:rPr>
      </w:pPr>
    </w:p>
    <w:p w14:paraId="4BC6C0D1" w14:textId="278B39A9"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4.0 Discussion</w:t>
      </w:r>
    </w:p>
    <w:p w14:paraId="22DFE360"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4.1 Summary of key findings</w:t>
      </w:r>
    </w:p>
    <w:p w14:paraId="02229E5D"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Across the 19 studies, data-driven models were shown to consistently improve the management and prediction of cost risks and schedule, although the level of maturity and performance varied depending on the approach taken. Machine-learning models often outperformed traditional methods in predicting liquidated damages, delays, contingencies, and variance, with artificial neural networks, random forest, GRNN, and gradient boosting frequently proving effective. Probabilistic approaches also proved valuable. For example, Bayesian networks clarified causal pathways and mitigation options in urban rail PPP and railway risks, while Monte Carlo-based models converted uncertainty into cost contingencies and actionable time. Several studies identified several recurring drivers, particularly implementation period, project size, project complexity, contract value, regulatory approvals, change orders, site conditions, bidders, and time-related disruption variables. The most valuable contributions translated model outputs into decisions such as dashboard-based monitoring, </w:t>
      </w:r>
      <w:proofErr w:type="spellStart"/>
      <w:r>
        <w:rPr>
          <w:rFonts w:ascii="Times New Roman" w:eastAsia="Times New Roman" w:hAnsi="Times New Roman" w:cs="Times New Roman"/>
          <w:color w:val="000000"/>
          <w:sz w:val="22"/>
          <w:szCs w:val="22"/>
        </w:rPr>
        <w:t>prioritising</w:t>
      </w:r>
      <w:proofErr w:type="spellEnd"/>
      <w:r>
        <w:rPr>
          <w:rFonts w:ascii="Times New Roman" w:eastAsia="Times New Roman" w:hAnsi="Times New Roman" w:cs="Times New Roman"/>
          <w:color w:val="000000"/>
          <w:sz w:val="22"/>
          <w:szCs w:val="22"/>
        </w:rPr>
        <w:t xml:space="preserve"> risks, setting contingencies, providing early warnings, taking activity-level corrective actions, and enabling real-time. However, validation was usually internal and case-based, and rarely demonstrated cross-project </w:t>
      </w:r>
      <w:proofErr w:type="spellStart"/>
      <w:r>
        <w:rPr>
          <w:rFonts w:ascii="Times New Roman" w:eastAsia="Times New Roman" w:hAnsi="Times New Roman" w:cs="Times New Roman"/>
          <w:color w:val="000000"/>
          <w:sz w:val="22"/>
          <w:szCs w:val="22"/>
        </w:rPr>
        <w:t>generalisation</w:t>
      </w:r>
      <w:proofErr w:type="spellEnd"/>
      <w:r>
        <w:rPr>
          <w:rFonts w:ascii="Times New Roman" w:eastAsia="Times New Roman" w:hAnsi="Times New Roman" w:cs="Times New Roman"/>
          <w:color w:val="000000"/>
          <w:sz w:val="22"/>
          <w:szCs w:val="22"/>
        </w:rPr>
        <w:t xml:space="preserve"> or post-deployment impact.</w:t>
      </w:r>
    </w:p>
    <w:p w14:paraId="7C7D6E81" w14:textId="33386C33" w:rsidR="008E5654" w:rsidRDefault="008E5654">
      <w:pPr>
        <w:jc w:val="both"/>
        <w:rPr>
          <w:rFonts w:ascii="Times New Roman" w:eastAsia="Times New Roman" w:hAnsi="Times New Roman" w:cs="Times New Roman"/>
          <w:color w:val="000000"/>
          <w:sz w:val="22"/>
          <w:szCs w:val="22"/>
        </w:rPr>
      </w:pPr>
      <w:r w:rsidRPr="008E5654">
        <w:rPr>
          <w:rFonts w:ascii="Times New Roman" w:eastAsia="Times New Roman" w:hAnsi="Times New Roman" w:cs="Times New Roman"/>
          <w:color w:val="000000"/>
          <w:sz w:val="22"/>
          <w:szCs w:val="22"/>
        </w:rPr>
        <w:t>A more critical examination of the evidence reveals that validation was primarily driven by internal and study-specific methods. Several studies assessed model performance mainly through within-sample fit statistics or error measures such as MAPE, R</w:t>
      </w:r>
      <w:proofErr w:type="gramStart"/>
      <w:r w:rsidRPr="008E5654">
        <w:rPr>
          <w:rFonts w:ascii="Times New Roman" w:eastAsia="Times New Roman" w:hAnsi="Times New Roman" w:cs="Times New Roman"/>
          <w:color w:val="000000"/>
          <w:sz w:val="22"/>
          <w:szCs w:val="22"/>
        </w:rPr>
        <w:t>²,  RMSE</w:t>
      </w:r>
      <w:proofErr w:type="gramEnd"/>
      <w:r w:rsidRPr="008E5654">
        <w:rPr>
          <w:rFonts w:ascii="Times New Roman" w:eastAsia="Times New Roman" w:hAnsi="Times New Roman" w:cs="Times New Roman"/>
          <w:color w:val="000000"/>
          <w:sz w:val="22"/>
          <w:szCs w:val="22"/>
        </w:rPr>
        <w:t xml:space="preserve"> and MAE (see Sing et al., 2025; </w:t>
      </w:r>
      <w:proofErr w:type="spellStart"/>
      <w:r w:rsidRPr="008E5654">
        <w:rPr>
          <w:rFonts w:ascii="Times New Roman" w:eastAsia="Times New Roman" w:hAnsi="Times New Roman" w:cs="Times New Roman"/>
          <w:color w:val="000000"/>
          <w:sz w:val="22"/>
          <w:szCs w:val="22"/>
        </w:rPr>
        <w:t>Elmousalami</w:t>
      </w:r>
      <w:proofErr w:type="spellEnd"/>
      <w:r w:rsidRPr="008E5654">
        <w:rPr>
          <w:rFonts w:ascii="Times New Roman" w:eastAsia="Times New Roman" w:hAnsi="Times New Roman" w:cs="Times New Roman"/>
          <w:color w:val="000000"/>
          <w:sz w:val="22"/>
          <w:szCs w:val="22"/>
        </w:rPr>
        <w:t xml:space="preserve"> et al., 2024; and Liben et al., 2025). Other studies relied on model comparison or repeated runs within the same dataset (Moon et al., 2020), or on sensitivity analysis and scenario testing (Ariza Flores &amp; Zavala Ascaño, 2025; Leśniak &amp; Janowiec, 2019). Case verification was also common, particularly in the studies of Leu et al. (2023) and Liu et al. (2021). However, robust cross-project external validation was not provided by any of the included studies, and no study demonstrated post-deployment effects on actual overrun reduction. This suggests that the evidence base is more robust with regard to proof-of-concept accuracy than institutional adoption, </w:t>
      </w:r>
      <w:proofErr w:type="gramStart"/>
      <w:r w:rsidRPr="008E5654">
        <w:rPr>
          <w:rFonts w:ascii="Times New Roman" w:eastAsia="Times New Roman" w:hAnsi="Times New Roman" w:cs="Times New Roman"/>
          <w:color w:val="000000"/>
          <w:sz w:val="22"/>
          <w:szCs w:val="22"/>
        </w:rPr>
        <w:t>transferability,  or</w:t>
      </w:r>
      <w:proofErr w:type="gramEnd"/>
      <w:r w:rsidRPr="008E5654">
        <w:rPr>
          <w:rFonts w:ascii="Times New Roman" w:eastAsia="Times New Roman" w:hAnsi="Times New Roman" w:cs="Times New Roman"/>
          <w:color w:val="000000"/>
          <w:sz w:val="22"/>
          <w:szCs w:val="22"/>
        </w:rPr>
        <w:t xml:space="preserve"> demonstrated delivery improvement.</w:t>
      </w:r>
    </w:p>
    <w:p w14:paraId="05220A04"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4.2 Comparison of Findings with Global Literature</w:t>
      </w:r>
    </w:p>
    <w:p w14:paraId="05E6DFBA"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Compared with global evidence, this review demonstrates that infrastructure risk modelling is evolving from descriptive explanations of cost and time overruns to the development of tools that facilitate earlier intervention. Ottaviani et al. (2025) demonstrate that automated machine learning pipelines can enhance the duration forecasts and precision of cost. Similarly, Lagos et al. (2024) demonstrate that schedule performance can be predicted early on using Last Planner System indicators. Al-</w:t>
      </w:r>
      <w:proofErr w:type="spellStart"/>
      <w:r>
        <w:rPr>
          <w:rFonts w:ascii="Times New Roman" w:eastAsia="Times New Roman" w:hAnsi="Times New Roman" w:cs="Times New Roman"/>
          <w:color w:val="000000"/>
          <w:sz w:val="22"/>
          <w:szCs w:val="22"/>
        </w:rPr>
        <w:t>Ghazawi</w:t>
      </w:r>
      <w:proofErr w:type="spellEnd"/>
      <w:r>
        <w:rPr>
          <w:rFonts w:ascii="Times New Roman" w:eastAsia="Times New Roman" w:hAnsi="Times New Roman" w:cs="Times New Roman"/>
          <w:color w:val="000000"/>
          <w:sz w:val="22"/>
          <w:szCs w:val="22"/>
        </w:rPr>
        <w:t xml:space="preserve"> and El-Rayes </w:t>
      </w:r>
      <w:r>
        <w:rPr>
          <w:rFonts w:ascii="Times New Roman" w:eastAsia="Times New Roman" w:hAnsi="Times New Roman" w:cs="Times New Roman"/>
          <w:color w:val="000000"/>
          <w:sz w:val="22"/>
          <w:szCs w:val="22"/>
        </w:rPr>
        <w:lastRenderedPageBreak/>
        <w:t xml:space="preserve">(2024) demonstrate that machine learning can quantify operational disruption during airport expansion independently of simulation. Al-Nahhas et al. (2024) demonstrate the continued usefulness of fuzzy inference systems in situations of high uncertainty where expert judgement must remain interpretable. Earned value management can provide accurate forecasts on real project data, as demonstrated by </w:t>
      </w:r>
      <w:proofErr w:type="spellStart"/>
      <w:r>
        <w:rPr>
          <w:rFonts w:ascii="Times New Roman" w:eastAsia="Times New Roman" w:hAnsi="Times New Roman" w:cs="Times New Roman"/>
          <w:color w:val="000000"/>
          <w:sz w:val="22"/>
          <w:szCs w:val="22"/>
        </w:rPr>
        <w:t>Batselier</w:t>
      </w:r>
      <w:proofErr w:type="spellEnd"/>
      <w:r>
        <w:rPr>
          <w:rFonts w:ascii="Times New Roman" w:eastAsia="Times New Roman" w:hAnsi="Times New Roman" w:cs="Times New Roman"/>
          <w:color w:val="000000"/>
          <w:sz w:val="22"/>
          <w:szCs w:val="22"/>
        </w:rPr>
        <w:t xml:space="preserve"> and </w:t>
      </w:r>
      <w:proofErr w:type="spellStart"/>
      <w:r>
        <w:rPr>
          <w:rFonts w:ascii="Times New Roman" w:eastAsia="Times New Roman" w:hAnsi="Times New Roman" w:cs="Times New Roman"/>
          <w:color w:val="000000"/>
          <w:sz w:val="22"/>
          <w:szCs w:val="22"/>
        </w:rPr>
        <w:t>Vanhoucke</w:t>
      </w:r>
      <w:proofErr w:type="spellEnd"/>
      <w:r>
        <w:rPr>
          <w:rFonts w:ascii="Times New Roman" w:eastAsia="Times New Roman" w:hAnsi="Times New Roman" w:cs="Times New Roman"/>
          <w:color w:val="000000"/>
          <w:sz w:val="22"/>
          <w:szCs w:val="22"/>
        </w:rPr>
        <w:t xml:space="preserve"> (2015). De Andrade et al. (2019) demonstrate that earned duration-based forecasting improves time prediction when considering schedule performance and adherence together.</w:t>
      </w:r>
    </w:p>
    <w:p w14:paraId="05218362"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review aligns with the global body of literature in demonstrating that cost overruns are caused by recurring delivery risks rather than by isolated technical failures. Herrera et al. (2020) identify design failures, variations in material prices, changes in scope, inadequate planning, and design changes as the main causes of cost overruns in road infrastructure projects. Similarly, Ammar et al. (2022) report that variation orders, scope modifications, inaccurate </w:t>
      </w:r>
      <w:proofErr w:type="spellStart"/>
      <w:proofErr w:type="gramStart"/>
      <w:r>
        <w:rPr>
          <w:rFonts w:ascii="Times New Roman" w:eastAsia="Times New Roman" w:hAnsi="Times New Roman" w:cs="Times New Roman"/>
          <w:color w:val="000000"/>
          <w:sz w:val="22"/>
          <w:szCs w:val="22"/>
        </w:rPr>
        <w:t>estimation,and</w:t>
      </w:r>
      <w:proofErr w:type="spellEnd"/>
      <w:proofErr w:type="gramEnd"/>
      <w:r>
        <w:rPr>
          <w:rFonts w:ascii="Times New Roman" w:eastAsia="Times New Roman" w:hAnsi="Times New Roman" w:cs="Times New Roman"/>
          <w:color w:val="000000"/>
          <w:sz w:val="22"/>
          <w:szCs w:val="22"/>
        </w:rPr>
        <w:t xml:space="preserve"> inflation are key drivers of cost overruns in Egyptian road networks. Love et al. (2015) argue that research into cost overruns must consider both external factors and internal project processes. Ogbu and </w:t>
      </w:r>
      <w:proofErr w:type="spellStart"/>
      <w:r>
        <w:rPr>
          <w:rFonts w:ascii="Times New Roman" w:eastAsia="Times New Roman" w:hAnsi="Times New Roman" w:cs="Times New Roman"/>
          <w:color w:val="000000"/>
          <w:sz w:val="22"/>
          <w:szCs w:val="22"/>
        </w:rPr>
        <w:t>Adindu</w:t>
      </w:r>
      <w:proofErr w:type="spellEnd"/>
      <w:r>
        <w:rPr>
          <w:rFonts w:ascii="Times New Roman" w:eastAsia="Times New Roman" w:hAnsi="Times New Roman" w:cs="Times New Roman"/>
          <w:color w:val="000000"/>
          <w:sz w:val="22"/>
          <w:szCs w:val="22"/>
        </w:rPr>
        <w:t xml:space="preserve"> (2020) demonstrate that the site environment and location significantly impact contractor cost risk in road projects. Pham et al. (2020) demonstrate that party competence, resources, risks, and machinery-related costs are particularly influential in transmission-line projects. Abdul Nabi and El-Adaway (2021) add that poor coordination, late design changes, </w:t>
      </w:r>
      <w:proofErr w:type="spellStart"/>
      <w:r>
        <w:rPr>
          <w:rFonts w:ascii="Times New Roman" w:eastAsia="Times New Roman" w:hAnsi="Times New Roman" w:cs="Times New Roman"/>
          <w:color w:val="000000"/>
          <w:sz w:val="22"/>
          <w:szCs w:val="22"/>
        </w:rPr>
        <w:t>labour</w:t>
      </w:r>
      <w:proofErr w:type="spellEnd"/>
      <w:r>
        <w:rPr>
          <w:rFonts w:ascii="Times New Roman" w:eastAsia="Times New Roman" w:hAnsi="Times New Roman" w:cs="Times New Roman"/>
          <w:color w:val="000000"/>
          <w:sz w:val="22"/>
          <w:szCs w:val="22"/>
        </w:rPr>
        <w:t xml:space="preserve"> shortages, and logistics affect cost and schedule performance. Khanh et al. (2023) demonstrate that productivity risk is shaped by technology use, task complexity, </w:t>
      </w:r>
      <w:proofErr w:type="spellStart"/>
      <w:r>
        <w:rPr>
          <w:rFonts w:ascii="Times New Roman" w:eastAsia="Times New Roman" w:hAnsi="Times New Roman" w:cs="Times New Roman"/>
          <w:color w:val="000000"/>
          <w:sz w:val="22"/>
          <w:szCs w:val="22"/>
        </w:rPr>
        <w:t>labour</w:t>
      </w:r>
      <w:proofErr w:type="spellEnd"/>
      <w:r>
        <w:rPr>
          <w:rFonts w:ascii="Times New Roman" w:eastAsia="Times New Roman" w:hAnsi="Times New Roman" w:cs="Times New Roman"/>
          <w:color w:val="000000"/>
          <w:sz w:val="22"/>
          <w:szCs w:val="22"/>
        </w:rPr>
        <w:t xml:space="preserve"> conditions, and accidents.</w:t>
      </w:r>
    </w:p>
    <w:p w14:paraId="71BA003F"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sharpest point of comparison concerns validation and transferability. The research by Molinari et al. (2023) indicates that transport overruns vary depending on the project phase and the asset type. This suggests that risk models might not be directly applicable across different contexts. Park's (2021) research shows that reference class forecasting can enhance estimation when it is firmly established within institutions and backed by solid evidence. However, Zani et al. (2024) demonstrate that benchmarking becomes more challenging when adequate reference classes are unavailable.</w:t>
      </w:r>
    </w:p>
    <w:p w14:paraId="07A86C4A"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4.3 Implications for Policy and Practice</w:t>
      </w:r>
    </w:p>
    <w:p w14:paraId="634EFD5E"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b/>
          <w:bCs/>
          <w:color w:val="000000"/>
          <w:sz w:val="22"/>
          <w:szCs w:val="22"/>
        </w:rPr>
        <w:t xml:space="preserve">Policy: </w:t>
      </w:r>
      <w:r>
        <w:rPr>
          <w:rFonts w:ascii="Times New Roman" w:eastAsia="Times New Roman" w:hAnsi="Times New Roman" w:cs="Times New Roman"/>
          <w:color w:val="000000"/>
          <w:sz w:val="22"/>
          <w:szCs w:val="22"/>
        </w:rPr>
        <w:t xml:space="preserve">Risk management informed by data needs to be formalized and part of infrastructure governance as a matter of project delivery and not a discretionary technical activity. This necessitates the stage-based risk overview throughout the project preparation to close-out, facilitated by the continuous capturing of core delivery information, such as schedule, cost, scope, procurement, change orders, weather, claims, productivity, and approvals. Agencies and government authorities at the policy level must insist on risk registers, which ought to be updated on a regular basis, and these must be connected to the forecasting or the probabilistic evaluation instruments with the explicit reporting of assumptions, data sources, levels of uncertainty, and time of revision. The procurement and approval processes must also assist in the preservation and reuse of the historical project data to ensure that the past performance of delivery can be used to inform the benchmarking, contingency establishment, and forward planning. Simultaneously, the minimum standards in the application of models ought to be put in place, such as sensitivity tests, recalibration, error reporting, and clear statements about the limits of transferability, before outputs are used to make significant decisions. In areas where institutional and financial capacity are limited, a practical and scalable approach, including structured risk scoring, Monte Carlo-based contingency, simple dashboard </w:t>
      </w:r>
      <w:r>
        <w:rPr>
          <w:rFonts w:ascii="Times New Roman" w:eastAsia="Times New Roman" w:hAnsi="Times New Roman" w:cs="Times New Roman"/>
          <w:color w:val="000000"/>
          <w:sz w:val="22"/>
          <w:szCs w:val="22"/>
        </w:rPr>
        <w:lastRenderedPageBreak/>
        <w:t>reporting, and shared repositories with completed projects, should be added at first, as well as incremental digital reform and targeted staff training.</w:t>
      </w:r>
    </w:p>
    <w:p w14:paraId="0034D43C" w14:textId="4234FC4A"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Practice:</w:t>
      </w:r>
      <w:r>
        <w:rPr>
          <w:rFonts w:ascii="Times New Roman" w:eastAsia="Times New Roman" w:hAnsi="Times New Roman" w:cs="Times New Roman"/>
          <w:color w:val="000000"/>
          <w:sz w:val="22"/>
          <w:szCs w:val="22"/>
        </w:rPr>
        <w:t xml:space="preserve"> Project teams are advised in practice to use a never-ending risk management cycle that commences with an initial identification procedure and proceeds with forecasting, response, and consistent revisions. The </w:t>
      </w:r>
      <w:proofErr w:type="spellStart"/>
      <w:r>
        <w:rPr>
          <w:rFonts w:ascii="Times New Roman" w:eastAsia="Times New Roman" w:hAnsi="Times New Roman" w:cs="Times New Roman"/>
          <w:color w:val="000000"/>
          <w:sz w:val="22"/>
          <w:szCs w:val="22"/>
        </w:rPr>
        <w:t>prioritisation</w:t>
      </w:r>
      <w:proofErr w:type="spellEnd"/>
      <w:r>
        <w:rPr>
          <w:rFonts w:ascii="Times New Roman" w:eastAsia="Times New Roman" w:hAnsi="Times New Roman" w:cs="Times New Roman"/>
          <w:color w:val="000000"/>
          <w:sz w:val="22"/>
          <w:szCs w:val="22"/>
        </w:rPr>
        <w:t xml:space="preserve"> of risks must be reviewed at critical decision-making stages, particularly those in the planning, procurement, </w:t>
      </w:r>
      <w:proofErr w:type="spellStart"/>
      <w:r>
        <w:rPr>
          <w:rFonts w:ascii="Times New Roman" w:eastAsia="Times New Roman" w:hAnsi="Times New Roman" w:cs="Times New Roman"/>
          <w:color w:val="000000"/>
          <w:sz w:val="22"/>
          <w:szCs w:val="22"/>
        </w:rPr>
        <w:t>mobilisation</w:t>
      </w:r>
      <w:proofErr w:type="spellEnd"/>
      <w:r>
        <w:rPr>
          <w:rFonts w:ascii="Times New Roman" w:eastAsia="Times New Roman" w:hAnsi="Times New Roman" w:cs="Times New Roman"/>
          <w:color w:val="000000"/>
          <w:sz w:val="22"/>
          <w:szCs w:val="22"/>
        </w:rPr>
        <w:t xml:space="preserve">, and execution stages. The type of method must be based on the nature of the project and the quality of available data. Machine learning can be applicable in data sets that are large and reliable, whereas Bayesian, modeling on fuzzy or simulation models can be more suitable where the uncertainty is high or expert opinion matters. Regardless of the approach, the result must be rendered into comprehensible management response, including initial-warning limits, contingency zones, resequencing trains, buys decision, prioritized mitigation strategy. The approaches which are not transparent and require poor-quality data and cannot be updated during the delivery should be avoided. Application should also be specific to the project stage, type of infrastructure, the contractual environment, and capacity of </w:t>
      </w:r>
      <w:proofErr w:type="spellStart"/>
      <w:r>
        <w:rPr>
          <w:rFonts w:ascii="Times New Roman" w:eastAsia="Times New Roman" w:hAnsi="Times New Roman" w:cs="Times New Roman"/>
          <w:color w:val="000000"/>
          <w:sz w:val="22"/>
          <w:szCs w:val="22"/>
        </w:rPr>
        <w:t>organisation</w:t>
      </w:r>
      <w:proofErr w:type="spellEnd"/>
      <w:r>
        <w:rPr>
          <w:rFonts w:ascii="Times New Roman" w:eastAsia="Times New Roman" w:hAnsi="Times New Roman" w:cs="Times New Roman"/>
          <w:color w:val="000000"/>
          <w:sz w:val="22"/>
          <w:szCs w:val="22"/>
        </w:rPr>
        <w:t xml:space="preserve">. Effective measures should be used to monitor performance based on practical indicators that include forecast bias, mean absolute error, schedule compliance, contingency </w:t>
      </w:r>
      <w:proofErr w:type="spellStart"/>
      <w:r>
        <w:rPr>
          <w:rFonts w:ascii="Times New Roman" w:eastAsia="Times New Roman" w:hAnsi="Times New Roman" w:cs="Times New Roman"/>
          <w:color w:val="000000"/>
          <w:sz w:val="22"/>
          <w:szCs w:val="22"/>
        </w:rPr>
        <w:t>utilisation</w:t>
      </w:r>
      <w:proofErr w:type="spellEnd"/>
      <w:r>
        <w:rPr>
          <w:rFonts w:ascii="Times New Roman" w:eastAsia="Times New Roman" w:hAnsi="Times New Roman" w:cs="Times New Roman"/>
          <w:color w:val="000000"/>
          <w:sz w:val="22"/>
          <w:szCs w:val="22"/>
        </w:rPr>
        <w:t xml:space="preserve">, frequency of changes that are made and the speed at which the risks fall. Routine learning and continuous improvement should then be informed by these measures. The training required in data quality, uncertainty interpretation, </w:t>
      </w:r>
      <w:proofErr w:type="spellStart"/>
      <w:r w:rsidR="008E5654">
        <w:rPr>
          <w:rFonts w:ascii="Times New Roman" w:eastAsia="Times New Roman" w:hAnsi="Times New Roman" w:cs="Times New Roman"/>
          <w:color w:val="000000"/>
          <w:sz w:val="22"/>
          <w:szCs w:val="22"/>
        </w:rPr>
        <w:t>utilisation</w:t>
      </w:r>
      <w:proofErr w:type="spellEnd"/>
      <w:r>
        <w:rPr>
          <w:rFonts w:ascii="Times New Roman" w:eastAsia="Times New Roman" w:hAnsi="Times New Roman" w:cs="Times New Roman"/>
          <w:color w:val="000000"/>
          <w:sz w:val="22"/>
          <w:szCs w:val="22"/>
        </w:rPr>
        <w:t xml:space="preserve"> of dashboards and project controls must be provided to teams in day-to-day decisions.</w:t>
      </w:r>
    </w:p>
    <w:p w14:paraId="05BEA312" w14:textId="77777777" w:rsidR="00506EDB" w:rsidRDefault="00EA765F">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4.4 Limitations of the review  </w:t>
      </w:r>
    </w:p>
    <w:p w14:paraId="5A1621DD" w14:textId="7CDAF22A" w:rsidR="00293D40" w:rsidRPr="00293D40" w:rsidRDefault="00293D40" w:rsidP="00293D40">
      <w:pPr>
        <w:jc w:val="both"/>
        <w:rPr>
          <w:rFonts w:ascii="Times New Roman" w:eastAsia="Times New Roman" w:hAnsi="Times New Roman" w:cs="Times New Roman"/>
          <w:color w:val="000000"/>
          <w:sz w:val="22"/>
          <w:szCs w:val="22"/>
        </w:rPr>
      </w:pPr>
      <w:r w:rsidRPr="00293D40">
        <w:rPr>
          <w:rFonts w:ascii="Times New Roman" w:eastAsia="Times New Roman" w:hAnsi="Times New Roman" w:cs="Times New Roman"/>
          <w:color w:val="000000"/>
          <w:sz w:val="22"/>
          <w:szCs w:val="22"/>
        </w:rPr>
        <w:t xml:space="preserve">This review has several limitations. Firstly, the review was restricted to English-language, peer-reviewed journal articles published between 2015 and 2025. Consequently, relevant studies published in other languages or outside the selected period may have been overlooked. Secondly, grey literature was excluded. This is significant because infrastructure risk management is frequently influenced by practical work carried out by transport authorities, multilateral institutions, government agencies, industry bodies and consultants. Excluding such sources may have reduced the review’s ability to capture implementation experiences, real-world digital, operational </w:t>
      </w:r>
      <w:r w:rsidRPr="00293D40">
        <w:rPr>
          <w:rFonts w:ascii="Times New Roman" w:eastAsia="Times New Roman" w:hAnsi="Times New Roman" w:cs="Times New Roman"/>
          <w:color w:val="000000"/>
          <w:sz w:val="22"/>
          <w:szCs w:val="22"/>
        </w:rPr>
        <w:t>models, and</w:t>
      </w:r>
      <w:r w:rsidRPr="00293D40">
        <w:rPr>
          <w:rFonts w:ascii="Times New Roman" w:eastAsia="Times New Roman" w:hAnsi="Times New Roman" w:cs="Times New Roman"/>
          <w:color w:val="000000"/>
          <w:sz w:val="22"/>
          <w:szCs w:val="22"/>
        </w:rPr>
        <w:t xml:space="preserve"> risk tools used in practice but not reported in academic journals.</w:t>
      </w:r>
    </w:p>
    <w:p w14:paraId="3685420A" w14:textId="768923C6" w:rsidR="00293D40" w:rsidRDefault="00293D40" w:rsidP="00293D40">
      <w:pPr>
        <w:jc w:val="both"/>
        <w:rPr>
          <w:rFonts w:ascii="Times New Roman" w:eastAsia="Times New Roman" w:hAnsi="Times New Roman" w:cs="Times New Roman"/>
          <w:color w:val="000000"/>
          <w:sz w:val="22"/>
          <w:szCs w:val="22"/>
        </w:rPr>
      </w:pPr>
      <w:r w:rsidRPr="00293D40">
        <w:rPr>
          <w:rFonts w:ascii="Times New Roman" w:eastAsia="Times New Roman" w:hAnsi="Times New Roman" w:cs="Times New Roman"/>
          <w:color w:val="000000"/>
          <w:sz w:val="22"/>
          <w:szCs w:val="22"/>
        </w:rPr>
        <w:t xml:space="preserve">Thirdly, the evidence base was heterogeneous and relatively small, spanning project stages, outcome </w:t>
      </w:r>
      <w:proofErr w:type="spellStart"/>
      <w:r w:rsidRPr="00293D40">
        <w:rPr>
          <w:rFonts w:ascii="Times New Roman" w:eastAsia="Times New Roman" w:hAnsi="Times New Roman" w:cs="Times New Roman"/>
          <w:color w:val="000000"/>
          <w:sz w:val="22"/>
          <w:szCs w:val="22"/>
        </w:rPr>
        <w:t>measuresdifferent</w:t>
      </w:r>
      <w:proofErr w:type="spellEnd"/>
      <w:r w:rsidRPr="00293D40">
        <w:rPr>
          <w:rFonts w:ascii="Times New Roman" w:eastAsia="Times New Roman" w:hAnsi="Times New Roman" w:cs="Times New Roman"/>
          <w:color w:val="000000"/>
          <w:sz w:val="22"/>
          <w:szCs w:val="22"/>
        </w:rPr>
        <w:t xml:space="preserve"> infrastructure sectors, model families and datasets. This limited direct comparability across studies and constrained the extent to which strong </w:t>
      </w:r>
      <w:proofErr w:type="spellStart"/>
      <w:r w:rsidRPr="00293D40">
        <w:rPr>
          <w:rFonts w:ascii="Times New Roman" w:eastAsia="Times New Roman" w:hAnsi="Times New Roman" w:cs="Times New Roman"/>
          <w:color w:val="000000"/>
          <w:sz w:val="22"/>
          <w:szCs w:val="22"/>
        </w:rPr>
        <w:t>generalisations</w:t>
      </w:r>
      <w:proofErr w:type="spellEnd"/>
      <w:r w:rsidRPr="00293D40">
        <w:rPr>
          <w:rFonts w:ascii="Times New Roman" w:eastAsia="Times New Roman" w:hAnsi="Times New Roman" w:cs="Times New Roman"/>
          <w:color w:val="000000"/>
          <w:sz w:val="22"/>
          <w:szCs w:val="22"/>
        </w:rPr>
        <w:t xml:space="preserve"> could be made. Fourthly, most of the included studies were based on case studies and relied on internal, scenario-specific or study-bound validation. Very few tested transferability across jurisdictions or sectors, and none demonstrated the effects of deployment on actual overrun reduction. Finally, as this was a scoping review, no formal quality appraisal was undertaken. Therefore, the review maps the character and range of the available evidence, but does not provide a weighted assessment of methodological quality or risk of bias.</w:t>
      </w:r>
    </w:p>
    <w:p w14:paraId="14C919C7" w14:textId="4EFC0CD6" w:rsidR="00506EDB" w:rsidRDefault="00EA765F" w:rsidP="00293D40">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5.0 Conclusion</w:t>
      </w:r>
    </w:p>
    <w:p w14:paraId="01EEB200" w14:textId="77777777" w:rsidR="00506EDB" w:rsidRDefault="00EA765F">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scoping review </w:t>
      </w:r>
      <w:proofErr w:type="spellStart"/>
      <w:r>
        <w:rPr>
          <w:rFonts w:ascii="Times New Roman" w:eastAsia="Times New Roman" w:hAnsi="Times New Roman" w:cs="Times New Roman"/>
          <w:color w:val="000000"/>
          <w:sz w:val="22"/>
          <w:szCs w:val="22"/>
        </w:rPr>
        <w:t>synthesised</w:t>
      </w:r>
      <w:proofErr w:type="spellEnd"/>
      <w:r>
        <w:rPr>
          <w:rFonts w:ascii="Times New Roman" w:eastAsia="Times New Roman" w:hAnsi="Times New Roman" w:cs="Times New Roman"/>
          <w:color w:val="000000"/>
          <w:sz w:val="22"/>
          <w:szCs w:val="22"/>
        </w:rPr>
        <w:t xml:space="preserve"> 19 empirical applications of data-driven risk modelling for schedule and cost outcomes in infrastructure project delivery. Across diverse project types and settings, machine learning, Monte Carlo, and Bayesian approaches, as well as other hybrid methods, generally improved the prediction of cost overruns, liquidated damages, contingencies, and related risk signals. However, the </w:t>
      </w:r>
      <w:r>
        <w:rPr>
          <w:rFonts w:ascii="Times New Roman" w:eastAsia="Times New Roman" w:hAnsi="Times New Roman" w:cs="Times New Roman"/>
          <w:color w:val="000000"/>
          <w:sz w:val="22"/>
          <w:szCs w:val="22"/>
        </w:rPr>
        <w:lastRenderedPageBreak/>
        <w:t xml:space="preserve">forecasting of schedule delays and durations remained more operationally challenging and context-sensitive. But most applications used separate or special sets of data, were checked mainly in one place, and were only partly part of normal project control and problem-solving systems. Overall, the evidence suggests that data-driven risk modelling can strengthen infrastructure delivery when models are built on well-governed, reliable data that is transparently validated and translated into practical decisions, such as </w:t>
      </w:r>
      <w:proofErr w:type="spellStart"/>
      <w:r>
        <w:rPr>
          <w:rFonts w:ascii="Times New Roman" w:eastAsia="Times New Roman" w:hAnsi="Times New Roman" w:cs="Times New Roman"/>
          <w:color w:val="000000"/>
          <w:sz w:val="22"/>
          <w:szCs w:val="22"/>
        </w:rPr>
        <w:t>prioritising</w:t>
      </w:r>
      <w:proofErr w:type="spellEnd"/>
      <w:r>
        <w:rPr>
          <w:rFonts w:ascii="Times New Roman" w:eastAsia="Times New Roman" w:hAnsi="Times New Roman" w:cs="Times New Roman"/>
          <w:color w:val="000000"/>
          <w:sz w:val="22"/>
          <w:szCs w:val="22"/>
        </w:rPr>
        <w:t xml:space="preserve"> mitigation, providing early warnings, and setting contingencies. Future work should </w:t>
      </w:r>
      <w:proofErr w:type="spellStart"/>
      <w:r>
        <w:rPr>
          <w:rFonts w:ascii="Times New Roman" w:eastAsia="Times New Roman" w:hAnsi="Times New Roman" w:cs="Times New Roman"/>
          <w:color w:val="000000"/>
          <w:sz w:val="22"/>
          <w:szCs w:val="22"/>
        </w:rPr>
        <w:t>prioritise</w:t>
      </w:r>
      <w:proofErr w:type="spellEnd"/>
      <w:r>
        <w:rPr>
          <w:rFonts w:ascii="Times New Roman" w:eastAsia="Times New Roman" w:hAnsi="Times New Roman" w:cs="Times New Roman"/>
          <w:color w:val="000000"/>
          <w:sz w:val="22"/>
          <w:szCs w:val="22"/>
        </w:rPr>
        <w:t xml:space="preserve"> cross-project benchmarking, external and temporal validation, stronger evidence on dashboards, transferability, and tighter integration with project controls, BIM-enabled environments, and broader enterprise systems. It should also focus on developing explainable, user-</w:t>
      </w:r>
      <w:proofErr w:type="spellStart"/>
      <w:r>
        <w:rPr>
          <w:rFonts w:ascii="Times New Roman" w:eastAsia="Times New Roman" w:hAnsi="Times New Roman" w:cs="Times New Roman"/>
          <w:color w:val="000000"/>
          <w:sz w:val="22"/>
          <w:szCs w:val="22"/>
        </w:rPr>
        <w:t>centred</w:t>
      </w:r>
      <w:proofErr w:type="spellEnd"/>
      <w:r>
        <w:rPr>
          <w:rFonts w:ascii="Times New Roman" w:eastAsia="Times New Roman" w:hAnsi="Times New Roman" w:cs="Times New Roman"/>
          <w:color w:val="000000"/>
          <w:sz w:val="22"/>
          <w:szCs w:val="22"/>
        </w:rPr>
        <w:t xml:space="preserve"> tools. These should be linked to clear performance indicators. These indicators should include forecast bias, out-of-sample error, schedule adherence, and response time to emerging risks. It is vital that these gaps are addressed if data-driven risk modelling is to progress from its current state of promising case-based applications to a more mature capability for delivering infrastructure that is more resilient, time-efficient, and cost-conscious.</w:t>
      </w:r>
    </w:p>
    <w:p w14:paraId="4EFD3D6B" w14:textId="77777777" w:rsidR="00C21B06" w:rsidRDefault="00C21B06">
      <w:pPr>
        <w:jc w:val="both"/>
        <w:rPr>
          <w:rFonts w:ascii="Times New Roman" w:eastAsia="Times New Roman" w:hAnsi="Times New Roman" w:cs="Times New Roman"/>
          <w:color w:val="000000"/>
          <w:sz w:val="22"/>
          <w:szCs w:val="22"/>
        </w:rPr>
      </w:pPr>
    </w:p>
    <w:p w14:paraId="5930EB38" w14:textId="77777777" w:rsidR="00C21B06" w:rsidRPr="00C21B06" w:rsidRDefault="00C21B06" w:rsidP="00C21B06">
      <w:pPr>
        <w:jc w:val="both"/>
        <w:rPr>
          <w:rFonts w:ascii="Times New Roman" w:eastAsia="Times New Roman" w:hAnsi="Times New Roman" w:cs="Times New Roman"/>
          <w:color w:val="000000"/>
          <w:sz w:val="22"/>
          <w:szCs w:val="22"/>
        </w:rPr>
      </w:pPr>
      <w:r w:rsidRPr="00C21B06">
        <w:rPr>
          <w:rFonts w:ascii="Times New Roman" w:eastAsia="Times New Roman" w:hAnsi="Times New Roman" w:cs="Times New Roman"/>
          <w:color w:val="000000"/>
          <w:sz w:val="22"/>
          <w:szCs w:val="22"/>
        </w:rPr>
        <w:t>COMPETING INTERESTS DISCLAIMER:</w:t>
      </w:r>
    </w:p>
    <w:p w14:paraId="3BCDF9C4" w14:textId="38067233" w:rsidR="00C21B06" w:rsidRDefault="00C21B06" w:rsidP="00C21B06">
      <w:pPr>
        <w:jc w:val="both"/>
        <w:rPr>
          <w:rFonts w:ascii="Times New Roman" w:eastAsia="Times New Roman" w:hAnsi="Times New Roman" w:cs="Times New Roman"/>
          <w:color w:val="000000"/>
          <w:sz w:val="22"/>
          <w:szCs w:val="22"/>
        </w:rPr>
      </w:pPr>
      <w:r w:rsidRPr="00C21B06">
        <w:rPr>
          <w:rFonts w:ascii="Times New Roman" w:eastAsia="Times New Roman" w:hAnsi="Times New Roman" w:cs="Times New Roman"/>
          <w:color w:val="000000"/>
          <w:sz w:val="22"/>
          <w:szCs w:val="22"/>
        </w:rPr>
        <w:t>Authors have declared that they have no known competing financial interests OR non-financial interests OR personal relationships that could have appeared to influence the work reported in this paper.</w:t>
      </w:r>
    </w:p>
    <w:p w14:paraId="6F53A7D5" w14:textId="77777777" w:rsidR="006047A1" w:rsidRPr="00CA3906" w:rsidRDefault="006047A1" w:rsidP="006047A1">
      <w:pPr>
        <w:rPr>
          <w:b/>
          <w:highlight w:val="yellow"/>
        </w:rPr>
      </w:pPr>
      <w:r w:rsidRPr="00CA3906">
        <w:rPr>
          <w:b/>
          <w:highlight w:val="yellow"/>
        </w:rPr>
        <w:t>Disclaimer (Artificial intelligence)</w:t>
      </w:r>
    </w:p>
    <w:p w14:paraId="775A79CE" w14:textId="77777777" w:rsidR="006047A1" w:rsidRPr="00740879" w:rsidRDefault="006047A1" w:rsidP="006047A1">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A57DC60" w14:textId="77777777" w:rsidR="006047A1" w:rsidRDefault="006047A1" w:rsidP="00C21B06">
      <w:pPr>
        <w:jc w:val="both"/>
        <w:rPr>
          <w:rFonts w:ascii="Times New Roman" w:eastAsia="Times New Roman" w:hAnsi="Times New Roman" w:cs="Times New Roman"/>
          <w:color w:val="000000"/>
          <w:sz w:val="22"/>
          <w:szCs w:val="22"/>
        </w:rPr>
      </w:pPr>
    </w:p>
    <w:p w14:paraId="3D2F6126" w14:textId="77777777" w:rsidR="00506EDB" w:rsidRDefault="00EA765F">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References</w:t>
      </w:r>
    </w:p>
    <w:p w14:paraId="5DAEBCA8"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Abdul Nabi, M., &amp; El-Adaway, I. H. (2021). </w:t>
      </w:r>
      <w:r>
        <w:rPr>
          <w:rFonts w:ascii="Times New Roman" w:eastAsia="Times New Roman" w:hAnsi="Times New Roman" w:cs="Times New Roman"/>
          <w:color w:val="000000"/>
          <w:sz w:val="22"/>
          <w:szCs w:val="22"/>
        </w:rPr>
        <w:t>Understanding the key risks affecting cost and schedule performance of modular construction projects. </w:t>
      </w:r>
      <w:r>
        <w:rPr>
          <w:rFonts w:ascii="Times New Roman" w:eastAsia="Times New Roman" w:hAnsi="Times New Roman" w:cs="Times New Roman"/>
          <w:i/>
          <w:iCs/>
          <w:color w:val="000000"/>
          <w:sz w:val="22"/>
          <w:szCs w:val="22"/>
        </w:rPr>
        <w:t>Journal of management in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37</w:t>
      </w:r>
      <w:r>
        <w:rPr>
          <w:rFonts w:ascii="Times New Roman" w:eastAsia="Times New Roman" w:hAnsi="Times New Roman" w:cs="Times New Roman"/>
          <w:color w:val="000000"/>
          <w:sz w:val="22"/>
          <w:szCs w:val="22"/>
        </w:rPr>
        <w:t xml:space="preserve">(4), 04021023. </w:t>
      </w:r>
      <w:hyperlink r:id="rId16">
        <w:r w:rsidR="00506EDB">
          <w:rPr>
            <w:rFonts w:ascii="Times New Roman" w:eastAsia="Times New Roman" w:hAnsi="Times New Roman" w:cs="Times New Roman"/>
            <w:color w:val="0000FF"/>
            <w:sz w:val="22"/>
            <w:szCs w:val="22"/>
            <w:u w:val="single"/>
          </w:rPr>
          <w:t>https://doi.org/10.1061/(ASCE)ME.1943-5479.000091</w:t>
        </w:r>
      </w:hyperlink>
    </w:p>
    <w:p w14:paraId="13885F50"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Al-Hazim, N., Salem, Z. A., &amp; Ahmad, H. (2017). Delay and cost overrun in infrastructure projects in Jordan. Procedia Engineering, 182, 18-24. </w:t>
      </w:r>
      <w:hyperlink r:id="rId17">
        <w:r w:rsidR="00506EDB">
          <w:rPr>
            <w:rFonts w:ascii="Times New Roman" w:eastAsia="Times New Roman" w:hAnsi="Times New Roman" w:cs="Times New Roman"/>
            <w:color w:val="0000FF"/>
            <w:sz w:val="22"/>
            <w:szCs w:val="22"/>
            <w:u w:val="single"/>
          </w:rPr>
          <w:t>https://doi.org/10.1016/j.proeng.2017.03.105</w:t>
        </w:r>
      </w:hyperlink>
    </w:p>
    <w:p w14:paraId="71BD313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Alshboul</w:t>
      </w:r>
      <w:proofErr w:type="spellEnd"/>
      <w:r>
        <w:rPr>
          <w:rFonts w:ascii="Times New Roman" w:eastAsia="Times New Roman" w:hAnsi="Times New Roman" w:cs="Times New Roman"/>
          <w:color w:val="000000"/>
          <w:sz w:val="22"/>
          <w:szCs w:val="22"/>
        </w:rPr>
        <w:t xml:space="preserve">, O., Alzubaidi, M. A., </w:t>
      </w:r>
      <w:proofErr w:type="spellStart"/>
      <w:r>
        <w:rPr>
          <w:rFonts w:ascii="Times New Roman" w:eastAsia="Times New Roman" w:hAnsi="Times New Roman" w:cs="Times New Roman"/>
          <w:color w:val="000000"/>
          <w:sz w:val="22"/>
          <w:szCs w:val="22"/>
        </w:rPr>
        <w:t>Mamlook</w:t>
      </w:r>
      <w:proofErr w:type="spellEnd"/>
      <w:r>
        <w:rPr>
          <w:rFonts w:ascii="Times New Roman" w:eastAsia="Times New Roman" w:hAnsi="Times New Roman" w:cs="Times New Roman"/>
          <w:color w:val="000000"/>
          <w:sz w:val="22"/>
          <w:szCs w:val="22"/>
        </w:rPr>
        <w:t xml:space="preserve">, R. E. A., </w:t>
      </w:r>
      <w:proofErr w:type="spellStart"/>
      <w:r>
        <w:rPr>
          <w:rFonts w:ascii="Times New Roman" w:eastAsia="Times New Roman" w:hAnsi="Times New Roman" w:cs="Times New Roman"/>
          <w:color w:val="000000"/>
          <w:sz w:val="22"/>
          <w:szCs w:val="22"/>
        </w:rPr>
        <w:t>Almasabha</w:t>
      </w:r>
      <w:proofErr w:type="spellEnd"/>
      <w:r>
        <w:rPr>
          <w:rFonts w:ascii="Times New Roman" w:eastAsia="Times New Roman" w:hAnsi="Times New Roman" w:cs="Times New Roman"/>
          <w:color w:val="000000"/>
          <w:sz w:val="22"/>
          <w:szCs w:val="22"/>
        </w:rPr>
        <w:t xml:space="preserve">, G., Almuflih, A. S., &amp; Shehadeh, A. (2022). Forecasting Liquidated Damages via Machine Learning-Based Modified Regression Models for Highway Construction Projects. Sustainability, 14(10), 5835. </w:t>
      </w:r>
      <w:hyperlink r:id="rId18">
        <w:r w:rsidR="00506EDB">
          <w:rPr>
            <w:rFonts w:ascii="Times New Roman" w:eastAsia="Times New Roman" w:hAnsi="Times New Roman" w:cs="Times New Roman"/>
            <w:color w:val="0000FF"/>
            <w:sz w:val="22"/>
            <w:szCs w:val="22"/>
            <w:u w:val="single"/>
          </w:rPr>
          <w:t>https://doi.org/10.3390/su14105835</w:t>
        </w:r>
      </w:hyperlink>
    </w:p>
    <w:p w14:paraId="0215EAD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Al-</w:t>
      </w:r>
      <w:proofErr w:type="spellStart"/>
      <w:r w:rsidRPr="00111BFC">
        <w:rPr>
          <w:rFonts w:ascii="Times New Roman" w:eastAsia="Times New Roman" w:hAnsi="Times New Roman" w:cs="Times New Roman"/>
          <w:color w:val="000000"/>
          <w:sz w:val="22"/>
          <w:szCs w:val="22"/>
          <w:lang w:val="es-US"/>
        </w:rPr>
        <w:t>Ghzawi</w:t>
      </w:r>
      <w:proofErr w:type="spellEnd"/>
      <w:r w:rsidRPr="00111BFC">
        <w:rPr>
          <w:rFonts w:ascii="Times New Roman" w:eastAsia="Times New Roman" w:hAnsi="Times New Roman" w:cs="Times New Roman"/>
          <w:color w:val="000000"/>
          <w:sz w:val="22"/>
          <w:szCs w:val="22"/>
          <w:lang w:val="es-US"/>
        </w:rPr>
        <w:t xml:space="preserve">, M., &amp; El-Rayes, K. (2024). </w:t>
      </w:r>
      <w:r>
        <w:rPr>
          <w:rFonts w:ascii="Times New Roman" w:eastAsia="Times New Roman" w:hAnsi="Times New Roman" w:cs="Times New Roman"/>
          <w:color w:val="000000"/>
          <w:sz w:val="22"/>
          <w:szCs w:val="22"/>
        </w:rPr>
        <w:t>Machine learning for predicting the impact of construction activities on air traffic operations during airport expansion projects.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158</w:t>
      </w:r>
      <w:r>
        <w:rPr>
          <w:rFonts w:ascii="Times New Roman" w:eastAsia="Times New Roman" w:hAnsi="Times New Roman" w:cs="Times New Roman"/>
          <w:color w:val="000000"/>
          <w:sz w:val="22"/>
          <w:szCs w:val="22"/>
        </w:rPr>
        <w:t>, 105189.</w:t>
      </w:r>
      <w:hyperlink r:id="rId19">
        <w:r w:rsidR="00506EDB">
          <w:rPr>
            <w:rFonts w:ascii="Times New Roman" w:eastAsia="Times New Roman" w:hAnsi="Times New Roman" w:cs="Times New Roman"/>
            <w:color w:val="0000FF"/>
            <w:sz w:val="22"/>
            <w:szCs w:val="22"/>
            <w:u w:val="single"/>
          </w:rPr>
          <w:t>https://doi.org/10.1016/j.autcon.2023.105189</w:t>
        </w:r>
      </w:hyperlink>
    </w:p>
    <w:p w14:paraId="1DDE13B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Ammar, T., Abdel-Monem, M., &amp; El-Dash, K. (2022). </w:t>
      </w:r>
      <w:r>
        <w:rPr>
          <w:rFonts w:ascii="Times New Roman" w:eastAsia="Times New Roman" w:hAnsi="Times New Roman" w:cs="Times New Roman"/>
          <w:color w:val="000000"/>
          <w:sz w:val="22"/>
          <w:szCs w:val="22"/>
        </w:rPr>
        <w:t>Risk factors causing cost overruns in road networks. </w:t>
      </w:r>
      <w:r>
        <w:rPr>
          <w:rFonts w:ascii="Times New Roman" w:eastAsia="Times New Roman" w:hAnsi="Times New Roman" w:cs="Times New Roman"/>
          <w:i/>
          <w:iCs/>
          <w:color w:val="000000"/>
          <w:sz w:val="22"/>
          <w:szCs w:val="22"/>
        </w:rPr>
        <w:t>Ain Shams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(5), 101720.</w:t>
      </w:r>
      <w:hyperlink r:id="rId20">
        <w:r w:rsidR="00506EDB">
          <w:rPr>
            <w:rFonts w:ascii="Times New Roman" w:eastAsia="Times New Roman" w:hAnsi="Times New Roman" w:cs="Times New Roman"/>
            <w:color w:val="0000FF"/>
            <w:sz w:val="22"/>
            <w:szCs w:val="22"/>
            <w:u w:val="single"/>
          </w:rPr>
          <w:t>https://doi.org/10.1016/j.asej.2022.101720</w:t>
        </w:r>
      </w:hyperlink>
    </w:p>
    <w:p w14:paraId="6BA636E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 xml:space="preserve">Andrić, J. M., Lin, S., Cheng, Y., &amp; Sun, B. (2024). Determining Cost and Causes of Overruns in Infrastructure Projects in South Asia. Sustainability, 16(24), 11159. </w:t>
      </w:r>
      <w:hyperlink r:id="rId21">
        <w:r w:rsidR="00506EDB">
          <w:rPr>
            <w:rFonts w:ascii="Times New Roman" w:eastAsia="Times New Roman" w:hAnsi="Times New Roman" w:cs="Times New Roman"/>
            <w:color w:val="0000FF"/>
            <w:sz w:val="22"/>
            <w:szCs w:val="22"/>
            <w:u w:val="single"/>
          </w:rPr>
          <w:t>https://doi.org/10.3390/su162411159</w:t>
        </w:r>
      </w:hyperlink>
    </w:p>
    <w:p w14:paraId="629454D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Ariza Flores, V. A., &amp; Zavala </w:t>
      </w:r>
      <w:proofErr w:type="spellStart"/>
      <w:r w:rsidRPr="00111BFC">
        <w:rPr>
          <w:rFonts w:ascii="Times New Roman" w:eastAsia="Times New Roman" w:hAnsi="Times New Roman" w:cs="Times New Roman"/>
          <w:color w:val="000000"/>
          <w:sz w:val="22"/>
          <w:szCs w:val="22"/>
          <w:lang w:val="es-US"/>
        </w:rPr>
        <w:t>Ascaño</w:t>
      </w:r>
      <w:proofErr w:type="spellEnd"/>
      <w:r w:rsidRPr="00111BFC">
        <w:rPr>
          <w:rFonts w:ascii="Times New Roman" w:eastAsia="Times New Roman" w:hAnsi="Times New Roman" w:cs="Times New Roman"/>
          <w:color w:val="000000"/>
          <w:sz w:val="22"/>
          <w:szCs w:val="22"/>
          <w:lang w:val="es-US"/>
        </w:rPr>
        <w:t xml:space="preserve">, G. (2025). </w:t>
      </w:r>
      <w:r>
        <w:rPr>
          <w:rFonts w:ascii="Times New Roman" w:eastAsia="Times New Roman" w:hAnsi="Times New Roman" w:cs="Times New Roman"/>
          <w:color w:val="000000"/>
          <w:sz w:val="22"/>
          <w:szCs w:val="22"/>
        </w:rPr>
        <w:t xml:space="preserve">Quantitative Risk Analysis Framework for Cost and Time Estimation in Road Infrastructure Projects. Infrastructures, 10(6), 139. </w:t>
      </w:r>
      <w:hyperlink r:id="rId22">
        <w:r w:rsidR="00506EDB">
          <w:rPr>
            <w:rFonts w:ascii="Times New Roman" w:eastAsia="Times New Roman" w:hAnsi="Times New Roman" w:cs="Times New Roman"/>
            <w:color w:val="0000FF"/>
            <w:sz w:val="22"/>
            <w:szCs w:val="22"/>
            <w:u w:val="single"/>
          </w:rPr>
          <w:t>https://doi.org/10.3390/infrastructures10060139</w:t>
        </w:r>
      </w:hyperlink>
    </w:p>
    <w:p w14:paraId="6F86B22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Batselier</w:t>
      </w:r>
      <w:proofErr w:type="spellEnd"/>
      <w:r>
        <w:rPr>
          <w:rFonts w:ascii="Times New Roman" w:eastAsia="Times New Roman" w:hAnsi="Times New Roman" w:cs="Times New Roman"/>
          <w:color w:val="000000"/>
          <w:sz w:val="22"/>
          <w:szCs w:val="22"/>
        </w:rPr>
        <w:t xml:space="preserve">, J., &amp; </w:t>
      </w:r>
      <w:proofErr w:type="spellStart"/>
      <w:r>
        <w:rPr>
          <w:rFonts w:ascii="Times New Roman" w:eastAsia="Times New Roman" w:hAnsi="Times New Roman" w:cs="Times New Roman"/>
          <w:color w:val="000000"/>
          <w:sz w:val="22"/>
          <w:szCs w:val="22"/>
        </w:rPr>
        <w:t>Vanhoucke</w:t>
      </w:r>
      <w:proofErr w:type="spellEnd"/>
      <w:r>
        <w:rPr>
          <w:rFonts w:ascii="Times New Roman" w:eastAsia="Times New Roman" w:hAnsi="Times New Roman" w:cs="Times New Roman"/>
          <w:color w:val="000000"/>
          <w:sz w:val="22"/>
          <w:szCs w:val="22"/>
        </w:rPr>
        <w:t>, M. (2015). Empirical evaluation of earned value management forecasting accuracy for time and cost. </w:t>
      </w:r>
      <w:r>
        <w:rPr>
          <w:rFonts w:ascii="Times New Roman" w:eastAsia="Times New Roman" w:hAnsi="Times New Roman" w:cs="Times New Roman"/>
          <w:i/>
          <w:iCs/>
          <w:color w:val="000000"/>
          <w:sz w:val="22"/>
          <w:szCs w:val="22"/>
        </w:rPr>
        <w:t>Journal of Construction Engineering and Management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141</w:t>
      </w:r>
      <w:r>
        <w:rPr>
          <w:rFonts w:ascii="Times New Roman" w:eastAsia="Times New Roman" w:hAnsi="Times New Roman" w:cs="Times New Roman"/>
          <w:color w:val="000000"/>
          <w:sz w:val="22"/>
          <w:szCs w:val="22"/>
        </w:rPr>
        <w:t xml:space="preserve">(11), 05015010. </w:t>
      </w:r>
      <w:hyperlink r:id="rId23">
        <w:r w:rsidR="00506EDB">
          <w:rPr>
            <w:rFonts w:ascii="Times New Roman" w:eastAsia="Times New Roman" w:hAnsi="Times New Roman" w:cs="Times New Roman"/>
            <w:color w:val="0000FF"/>
            <w:sz w:val="22"/>
            <w:szCs w:val="22"/>
            <w:u w:val="single"/>
          </w:rPr>
          <w:t>https://doi.org/10.1061/(ASCE)CO.1943-7862.00010</w:t>
        </w:r>
      </w:hyperlink>
    </w:p>
    <w:p w14:paraId="1D6DBFB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de-DE"/>
        </w:rPr>
        <w:t xml:space="preserve">Berg, H., Larsen, A. S. A., Klakegg, O. J., &amp; Welde, M. (2025). </w:t>
      </w:r>
      <w:r>
        <w:rPr>
          <w:rFonts w:ascii="Times New Roman" w:eastAsia="Times New Roman" w:hAnsi="Times New Roman" w:cs="Times New Roman"/>
          <w:color w:val="000000"/>
          <w:sz w:val="22"/>
          <w:szCs w:val="22"/>
        </w:rPr>
        <w:t>Cost estimation in major public projects’ front-end phase: An empirical study on how to improve current practices. </w:t>
      </w:r>
      <w:r>
        <w:rPr>
          <w:rFonts w:ascii="Times New Roman" w:eastAsia="Times New Roman" w:hAnsi="Times New Roman" w:cs="Times New Roman"/>
          <w:i/>
          <w:iCs/>
          <w:color w:val="000000"/>
          <w:sz w:val="22"/>
          <w:szCs w:val="22"/>
        </w:rPr>
        <w:t>Project Leadership and Society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6</w:t>
      </w:r>
      <w:r>
        <w:rPr>
          <w:rFonts w:ascii="Times New Roman" w:eastAsia="Times New Roman" w:hAnsi="Times New Roman" w:cs="Times New Roman"/>
          <w:color w:val="000000"/>
          <w:sz w:val="22"/>
          <w:szCs w:val="22"/>
        </w:rPr>
        <w:t xml:space="preserve">, 100171. </w:t>
      </w:r>
      <w:hyperlink r:id="rId24">
        <w:r w:rsidR="00506EDB">
          <w:rPr>
            <w:rFonts w:ascii="Times New Roman" w:eastAsia="Times New Roman" w:hAnsi="Times New Roman" w:cs="Times New Roman"/>
            <w:color w:val="0000FF"/>
            <w:sz w:val="22"/>
            <w:szCs w:val="22"/>
            <w:u w:val="single"/>
          </w:rPr>
          <w:t>https://doi.org/10.1016/j.plas.2024.100171</w:t>
        </w:r>
      </w:hyperlink>
    </w:p>
    <w:p w14:paraId="16617E6B"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Boamah, F. A., Jin, X., </w:t>
      </w:r>
      <w:proofErr w:type="spellStart"/>
      <w:r w:rsidRPr="00111BFC">
        <w:rPr>
          <w:rFonts w:ascii="Times New Roman" w:eastAsia="Times New Roman" w:hAnsi="Times New Roman" w:cs="Times New Roman"/>
          <w:color w:val="000000"/>
          <w:sz w:val="22"/>
          <w:szCs w:val="22"/>
          <w:lang w:val="es-US"/>
        </w:rPr>
        <w:t>Senaratne</w:t>
      </w:r>
      <w:proofErr w:type="spellEnd"/>
      <w:r w:rsidRPr="00111BFC">
        <w:rPr>
          <w:rFonts w:ascii="Times New Roman" w:eastAsia="Times New Roman" w:hAnsi="Times New Roman" w:cs="Times New Roman"/>
          <w:color w:val="000000"/>
          <w:sz w:val="22"/>
          <w:szCs w:val="22"/>
          <w:lang w:val="es-US"/>
        </w:rPr>
        <w:t xml:space="preserve">, S., &amp; Perera, S. (2025). </w:t>
      </w:r>
      <w:r>
        <w:rPr>
          <w:rFonts w:ascii="Times New Roman" w:eastAsia="Times New Roman" w:hAnsi="Times New Roman" w:cs="Times New Roman"/>
          <w:color w:val="000000"/>
          <w:sz w:val="22"/>
          <w:szCs w:val="22"/>
        </w:rPr>
        <w:t xml:space="preserve">AI-driven risk identification model for infrastructure project: </w:t>
      </w:r>
      <w:proofErr w:type="spellStart"/>
      <w:r>
        <w:rPr>
          <w:rFonts w:ascii="Times New Roman" w:eastAsia="Times New Roman" w:hAnsi="Times New Roman" w:cs="Times New Roman"/>
          <w:color w:val="000000"/>
          <w:sz w:val="22"/>
          <w:szCs w:val="22"/>
        </w:rPr>
        <w:t>Utilising</w:t>
      </w:r>
      <w:proofErr w:type="spellEnd"/>
      <w:r>
        <w:rPr>
          <w:rFonts w:ascii="Times New Roman" w:eastAsia="Times New Roman" w:hAnsi="Times New Roman" w:cs="Times New Roman"/>
          <w:color w:val="000000"/>
          <w:sz w:val="22"/>
          <w:szCs w:val="22"/>
        </w:rPr>
        <w:t xml:space="preserve"> past project data. </w:t>
      </w:r>
      <w:r>
        <w:rPr>
          <w:rFonts w:ascii="Times New Roman" w:eastAsia="Times New Roman" w:hAnsi="Times New Roman" w:cs="Times New Roman"/>
          <w:i/>
          <w:iCs/>
          <w:color w:val="000000"/>
          <w:sz w:val="22"/>
          <w:szCs w:val="22"/>
        </w:rPr>
        <w:t>Expert Systems with Applications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283</w:t>
      </w:r>
      <w:r>
        <w:rPr>
          <w:rFonts w:ascii="Times New Roman" w:eastAsia="Times New Roman" w:hAnsi="Times New Roman" w:cs="Times New Roman"/>
          <w:color w:val="000000"/>
          <w:sz w:val="22"/>
          <w:szCs w:val="22"/>
        </w:rPr>
        <w:t xml:space="preserve">, 127891. </w:t>
      </w:r>
      <w:hyperlink r:id="rId25">
        <w:r w:rsidR="00506EDB">
          <w:rPr>
            <w:rFonts w:ascii="Times New Roman" w:eastAsia="Times New Roman" w:hAnsi="Times New Roman" w:cs="Times New Roman"/>
            <w:color w:val="0000FF"/>
            <w:sz w:val="22"/>
            <w:szCs w:val="22"/>
            <w:u w:val="single"/>
          </w:rPr>
          <w:t>https://doi.org/10.1016/j.eswa.2025.127891</w:t>
        </w:r>
      </w:hyperlink>
    </w:p>
    <w:p w14:paraId="353B90A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Chapman, P. (2024). Project delivery performance: Insights from English roads major schemes. </w:t>
      </w:r>
      <w:r>
        <w:rPr>
          <w:rFonts w:ascii="Times New Roman" w:eastAsia="Times New Roman" w:hAnsi="Times New Roman" w:cs="Times New Roman"/>
          <w:i/>
          <w:iCs/>
          <w:color w:val="000000"/>
          <w:sz w:val="22"/>
          <w:szCs w:val="22"/>
        </w:rPr>
        <w:t>Project Leadership and Society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5</w:t>
      </w:r>
      <w:r>
        <w:rPr>
          <w:rFonts w:ascii="Times New Roman" w:eastAsia="Times New Roman" w:hAnsi="Times New Roman" w:cs="Times New Roman"/>
          <w:color w:val="000000"/>
          <w:sz w:val="22"/>
          <w:szCs w:val="22"/>
        </w:rPr>
        <w:t xml:space="preserve">, 100128. </w:t>
      </w:r>
      <w:hyperlink r:id="rId26">
        <w:r w:rsidR="00506EDB">
          <w:rPr>
            <w:rFonts w:ascii="Times New Roman" w:eastAsia="Times New Roman" w:hAnsi="Times New Roman" w:cs="Times New Roman"/>
            <w:color w:val="0000FF"/>
            <w:sz w:val="22"/>
            <w:szCs w:val="22"/>
            <w:u w:val="single"/>
          </w:rPr>
          <w:t>https://doi.org/10.1016/j.plas.2024.100128</w:t>
        </w:r>
      </w:hyperlink>
    </w:p>
    <w:p w14:paraId="4929694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de-DE"/>
        </w:rPr>
        <w:t xml:space="preserve">Chen, M., Martins, T. S., Zhang, L., &amp; Dong, H. (2025). </w:t>
      </w:r>
      <w:r>
        <w:rPr>
          <w:rFonts w:ascii="Times New Roman" w:eastAsia="Times New Roman" w:hAnsi="Times New Roman" w:cs="Times New Roman"/>
          <w:color w:val="000000"/>
          <w:sz w:val="22"/>
          <w:szCs w:val="22"/>
        </w:rPr>
        <w:t>Digital transformation in project management: A systematic review and research agenda. </w:t>
      </w:r>
      <w:r>
        <w:rPr>
          <w:rFonts w:ascii="Times New Roman" w:eastAsia="Times New Roman" w:hAnsi="Times New Roman" w:cs="Times New Roman"/>
          <w:i/>
          <w:iCs/>
          <w:color w:val="000000"/>
          <w:sz w:val="22"/>
          <w:szCs w:val="22"/>
        </w:rPr>
        <w:t>Systems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(8), 625.</w:t>
      </w:r>
      <w:hyperlink r:id="rId27">
        <w:r w:rsidR="00506EDB">
          <w:rPr>
            <w:rFonts w:ascii="Times New Roman" w:eastAsia="Times New Roman" w:hAnsi="Times New Roman" w:cs="Times New Roman"/>
            <w:color w:val="0000FF"/>
            <w:sz w:val="22"/>
            <w:szCs w:val="22"/>
            <w:u w:val="single"/>
          </w:rPr>
          <w:t>https://doi.org/10.3390/systems13080625</w:t>
        </w:r>
      </w:hyperlink>
    </w:p>
    <w:p w14:paraId="54B99ADE"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Daoud, A. O., El </w:t>
      </w:r>
      <w:proofErr w:type="spellStart"/>
      <w:r w:rsidRPr="00111BFC">
        <w:rPr>
          <w:rFonts w:ascii="Times New Roman" w:eastAsia="Times New Roman" w:hAnsi="Times New Roman" w:cs="Times New Roman"/>
          <w:color w:val="000000"/>
          <w:sz w:val="22"/>
          <w:szCs w:val="22"/>
          <w:lang w:val="es-US"/>
        </w:rPr>
        <w:t>Hefnawy</w:t>
      </w:r>
      <w:proofErr w:type="spellEnd"/>
      <w:r w:rsidRPr="00111BFC">
        <w:rPr>
          <w:rFonts w:ascii="Times New Roman" w:eastAsia="Times New Roman" w:hAnsi="Times New Roman" w:cs="Times New Roman"/>
          <w:color w:val="000000"/>
          <w:sz w:val="22"/>
          <w:szCs w:val="22"/>
          <w:lang w:val="es-US"/>
        </w:rPr>
        <w:t xml:space="preserve">, M., &amp; </w:t>
      </w:r>
      <w:proofErr w:type="spellStart"/>
      <w:r w:rsidRPr="00111BFC">
        <w:rPr>
          <w:rFonts w:ascii="Times New Roman" w:eastAsia="Times New Roman" w:hAnsi="Times New Roman" w:cs="Times New Roman"/>
          <w:color w:val="000000"/>
          <w:sz w:val="22"/>
          <w:szCs w:val="22"/>
          <w:lang w:val="es-US"/>
        </w:rPr>
        <w:t>Wefki</w:t>
      </w:r>
      <w:proofErr w:type="spellEnd"/>
      <w:r w:rsidRPr="00111BFC">
        <w:rPr>
          <w:rFonts w:ascii="Times New Roman" w:eastAsia="Times New Roman" w:hAnsi="Times New Roman" w:cs="Times New Roman"/>
          <w:color w:val="000000"/>
          <w:sz w:val="22"/>
          <w:szCs w:val="22"/>
          <w:lang w:val="es-US"/>
        </w:rPr>
        <w:t xml:space="preserve">, H. (2023). </w:t>
      </w:r>
      <w:r>
        <w:rPr>
          <w:rFonts w:ascii="Times New Roman" w:eastAsia="Times New Roman" w:hAnsi="Times New Roman" w:cs="Times New Roman"/>
          <w:color w:val="000000"/>
          <w:sz w:val="22"/>
          <w:szCs w:val="22"/>
        </w:rPr>
        <w:t>Investigation of critical factors affecting cost overruns and delays in Egyptian mega construction projects. </w:t>
      </w:r>
      <w:r>
        <w:rPr>
          <w:rFonts w:ascii="Times New Roman" w:eastAsia="Times New Roman" w:hAnsi="Times New Roman" w:cs="Times New Roman"/>
          <w:i/>
          <w:iCs/>
          <w:color w:val="000000"/>
          <w:sz w:val="22"/>
          <w:szCs w:val="22"/>
        </w:rPr>
        <w:t>Alexandria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83</w:t>
      </w:r>
      <w:r>
        <w:rPr>
          <w:rFonts w:ascii="Times New Roman" w:eastAsia="Times New Roman" w:hAnsi="Times New Roman" w:cs="Times New Roman"/>
          <w:color w:val="000000"/>
          <w:sz w:val="22"/>
          <w:szCs w:val="22"/>
        </w:rPr>
        <w:t xml:space="preserve">, 326-334. </w:t>
      </w:r>
      <w:hyperlink r:id="rId28">
        <w:r w:rsidR="00506EDB">
          <w:rPr>
            <w:rFonts w:ascii="Times New Roman" w:eastAsia="Times New Roman" w:hAnsi="Times New Roman" w:cs="Times New Roman"/>
            <w:color w:val="0000FF"/>
            <w:sz w:val="22"/>
            <w:szCs w:val="22"/>
            <w:u w:val="single"/>
          </w:rPr>
          <w:t>https://doi.org/10.1016/j.aej.2023.10.052</w:t>
        </w:r>
      </w:hyperlink>
    </w:p>
    <w:p w14:paraId="6F772610"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de-DE"/>
        </w:rPr>
        <w:t xml:space="preserve">de Andrade, P. A., Martens, A., &amp; Vanhoucke, M. (2019). </w:t>
      </w:r>
      <w:r>
        <w:rPr>
          <w:rFonts w:ascii="Times New Roman" w:eastAsia="Times New Roman" w:hAnsi="Times New Roman" w:cs="Times New Roman"/>
          <w:color w:val="000000"/>
          <w:sz w:val="22"/>
          <w:szCs w:val="22"/>
        </w:rPr>
        <w:t>Using real project schedule data to compare earned schedule and earned duration management project time forecasting capabilities.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99</w:t>
      </w:r>
      <w:r>
        <w:rPr>
          <w:rFonts w:ascii="Times New Roman" w:eastAsia="Times New Roman" w:hAnsi="Times New Roman" w:cs="Times New Roman"/>
          <w:color w:val="000000"/>
          <w:sz w:val="22"/>
          <w:szCs w:val="22"/>
        </w:rPr>
        <w:t xml:space="preserve">, 68-78.  </w:t>
      </w:r>
      <w:hyperlink r:id="rId29">
        <w:r w:rsidR="00506EDB">
          <w:rPr>
            <w:rFonts w:ascii="Times New Roman" w:eastAsia="Times New Roman" w:hAnsi="Times New Roman" w:cs="Times New Roman"/>
            <w:color w:val="0000FF"/>
            <w:sz w:val="22"/>
            <w:szCs w:val="22"/>
            <w:u w:val="single"/>
          </w:rPr>
          <w:t>https://doi.org/10.1016/j.autcon.2018.11.030</w:t>
        </w:r>
      </w:hyperlink>
    </w:p>
    <w:p w14:paraId="48FC37D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Deng, J., &amp; Jian, W. (2022). Estimating Construction Project Duration and Costs upon Completion Using Monte Carlo Simulations and Improved Earned Value Management. Buildings, 12(12), 2173. </w:t>
      </w:r>
      <w:hyperlink r:id="rId30">
        <w:r w:rsidR="00506EDB">
          <w:rPr>
            <w:rFonts w:ascii="Times New Roman" w:eastAsia="Times New Roman" w:hAnsi="Times New Roman" w:cs="Times New Roman"/>
            <w:color w:val="0000FF"/>
            <w:sz w:val="22"/>
            <w:szCs w:val="22"/>
            <w:u w:val="single"/>
          </w:rPr>
          <w:t>https://doi.org/10.3390/buildings12122173</w:t>
        </w:r>
      </w:hyperlink>
    </w:p>
    <w:p w14:paraId="0EF6E8A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Derakhshanalavijeh</w:t>
      </w:r>
      <w:proofErr w:type="spellEnd"/>
      <w:r>
        <w:rPr>
          <w:rFonts w:ascii="Times New Roman" w:eastAsia="Times New Roman" w:hAnsi="Times New Roman" w:cs="Times New Roman"/>
          <w:color w:val="000000"/>
          <w:sz w:val="22"/>
          <w:szCs w:val="22"/>
        </w:rPr>
        <w:t xml:space="preserve">, R., &amp; Teixeira, J. M. C. (2017). Cost overrun in construction projects in developing countries, Gas-Oil industry of Iran as a case study. Journal of Civil Engineering and Management, 23(1), 125-136. </w:t>
      </w:r>
      <w:hyperlink r:id="rId31">
        <w:r w:rsidR="00506EDB">
          <w:rPr>
            <w:rFonts w:ascii="Times New Roman" w:eastAsia="Times New Roman" w:hAnsi="Times New Roman" w:cs="Times New Roman"/>
            <w:color w:val="0000FF"/>
            <w:sz w:val="22"/>
            <w:szCs w:val="22"/>
            <w:u w:val="single"/>
          </w:rPr>
          <w:t>https://doi.org/10.3846/13923730.2014.992467</w:t>
        </w:r>
      </w:hyperlink>
    </w:p>
    <w:p w14:paraId="3149302E"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De Marco, A., &amp; Narbaev, T. (2021). </w:t>
      </w:r>
      <w:r>
        <w:rPr>
          <w:rFonts w:ascii="Times New Roman" w:eastAsia="Times New Roman" w:hAnsi="Times New Roman" w:cs="Times New Roman"/>
          <w:color w:val="000000"/>
          <w:sz w:val="22"/>
          <w:szCs w:val="22"/>
        </w:rPr>
        <w:t>Factors of schedule and cost performance of tunnel construction megaprojects. </w:t>
      </w:r>
      <w:r>
        <w:rPr>
          <w:rFonts w:ascii="Times New Roman" w:eastAsia="Times New Roman" w:hAnsi="Times New Roman" w:cs="Times New Roman"/>
          <w:i/>
          <w:iCs/>
          <w:color w:val="000000"/>
          <w:sz w:val="22"/>
          <w:szCs w:val="22"/>
        </w:rPr>
        <w:t>The open civil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15</w:t>
      </w:r>
      <w:r>
        <w:rPr>
          <w:rFonts w:ascii="Times New Roman" w:eastAsia="Times New Roman" w:hAnsi="Times New Roman" w:cs="Times New Roman"/>
          <w:color w:val="000000"/>
          <w:sz w:val="22"/>
          <w:szCs w:val="22"/>
        </w:rPr>
        <w:t xml:space="preserve">(1). </w:t>
      </w:r>
      <w:hyperlink r:id="rId32">
        <w:r w:rsidR="00506EDB">
          <w:rPr>
            <w:rFonts w:ascii="Times New Roman" w:eastAsia="Times New Roman" w:hAnsi="Times New Roman" w:cs="Times New Roman"/>
            <w:color w:val="0000FF"/>
            <w:sz w:val="22"/>
            <w:szCs w:val="22"/>
            <w:u w:val="single"/>
          </w:rPr>
          <w:t>https://doi.org/10.2174/1874149502115010038</w:t>
        </w:r>
      </w:hyperlink>
    </w:p>
    <w:p w14:paraId="5FCA2DC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Elmousalami</w:t>
      </w:r>
      <w:proofErr w:type="spellEnd"/>
      <w:r>
        <w:rPr>
          <w:rFonts w:ascii="Times New Roman" w:eastAsia="Times New Roman" w:hAnsi="Times New Roman" w:cs="Times New Roman"/>
          <w:color w:val="000000"/>
          <w:sz w:val="22"/>
          <w:szCs w:val="22"/>
        </w:rPr>
        <w:t xml:space="preserve">, H., </w:t>
      </w:r>
      <w:proofErr w:type="spellStart"/>
      <w:r>
        <w:rPr>
          <w:rFonts w:ascii="Times New Roman" w:eastAsia="Times New Roman" w:hAnsi="Times New Roman" w:cs="Times New Roman"/>
          <w:color w:val="000000"/>
          <w:sz w:val="22"/>
          <w:szCs w:val="22"/>
        </w:rPr>
        <w:t>Elshaboury</w:t>
      </w:r>
      <w:proofErr w:type="spellEnd"/>
      <w:r>
        <w:rPr>
          <w:rFonts w:ascii="Times New Roman" w:eastAsia="Times New Roman" w:hAnsi="Times New Roman" w:cs="Times New Roman"/>
          <w:color w:val="000000"/>
          <w:sz w:val="22"/>
          <w:szCs w:val="22"/>
        </w:rPr>
        <w:t xml:space="preserve">, N., &amp; </w:t>
      </w:r>
      <w:proofErr w:type="spellStart"/>
      <w:r>
        <w:rPr>
          <w:rFonts w:ascii="Times New Roman" w:eastAsia="Times New Roman" w:hAnsi="Times New Roman" w:cs="Times New Roman"/>
          <w:color w:val="000000"/>
          <w:sz w:val="22"/>
          <w:szCs w:val="22"/>
        </w:rPr>
        <w:t>Elyamany</w:t>
      </w:r>
      <w:proofErr w:type="spellEnd"/>
      <w:r>
        <w:rPr>
          <w:rFonts w:ascii="Times New Roman" w:eastAsia="Times New Roman" w:hAnsi="Times New Roman" w:cs="Times New Roman"/>
          <w:color w:val="000000"/>
          <w:sz w:val="22"/>
          <w:szCs w:val="22"/>
        </w:rPr>
        <w:t>, A. H. (2024). Green artificial intelligence for cost-duration variance prediction (CDVP) for irrigation canals rehabilitation projects. </w:t>
      </w:r>
      <w:r>
        <w:rPr>
          <w:rFonts w:ascii="Times New Roman" w:eastAsia="Times New Roman" w:hAnsi="Times New Roman" w:cs="Times New Roman"/>
          <w:i/>
          <w:iCs/>
          <w:color w:val="000000"/>
          <w:sz w:val="22"/>
          <w:szCs w:val="22"/>
        </w:rPr>
        <w:t>Expert Systems with Applications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249</w:t>
      </w:r>
      <w:r>
        <w:rPr>
          <w:rFonts w:ascii="Times New Roman" w:eastAsia="Times New Roman" w:hAnsi="Times New Roman" w:cs="Times New Roman"/>
          <w:color w:val="000000"/>
          <w:sz w:val="22"/>
          <w:szCs w:val="22"/>
        </w:rPr>
        <w:t>, 123789.</w:t>
      </w:r>
      <w:hyperlink r:id="rId33">
        <w:r w:rsidR="00506EDB">
          <w:rPr>
            <w:rFonts w:ascii="Times New Roman" w:eastAsia="Times New Roman" w:hAnsi="Times New Roman" w:cs="Times New Roman"/>
            <w:color w:val="0000FF"/>
            <w:sz w:val="22"/>
            <w:szCs w:val="22"/>
            <w:u w:val="single"/>
          </w:rPr>
          <w:t>https://doi.org/10.1016/j.eswa.2024.123789</w:t>
        </w:r>
      </w:hyperlink>
    </w:p>
    <w:p w14:paraId="6A4BEA2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Gómez-Cabrera, A., León, L. C., </w:t>
      </w:r>
      <w:proofErr w:type="spellStart"/>
      <w:r w:rsidRPr="00111BFC">
        <w:rPr>
          <w:rFonts w:ascii="Times New Roman" w:eastAsia="Times New Roman" w:hAnsi="Times New Roman" w:cs="Times New Roman"/>
          <w:color w:val="000000"/>
          <w:sz w:val="22"/>
          <w:szCs w:val="22"/>
          <w:lang w:val="es-US"/>
        </w:rPr>
        <w:t>Lopez</w:t>
      </w:r>
      <w:proofErr w:type="spellEnd"/>
      <w:r w:rsidRPr="00111BFC">
        <w:rPr>
          <w:rFonts w:ascii="Times New Roman" w:eastAsia="Times New Roman" w:hAnsi="Times New Roman" w:cs="Times New Roman"/>
          <w:color w:val="000000"/>
          <w:sz w:val="22"/>
          <w:szCs w:val="22"/>
          <w:lang w:val="es-US"/>
        </w:rPr>
        <w:t xml:space="preserve">, M. L., &amp; Torres, A. (2025). </w:t>
      </w:r>
      <w:r>
        <w:rPr>
          <w:rFonts w:ascii="Times New Roman" w:eastAsia="Times New Roman" w:hAnsi="Times New Roman" w:cs="Times New Roman"/>
          <w:color w:val="000000"/>
          <w:sz w:val="22"/>
          <w:szCs w:val="22"/>
        </w:rPr>
        <w:t xml:space="preserve">Analyzing Time and Cost Deviations in Educational Infrastructure Projects: A Data-Driven Approach Using Colombia’s Public Data Platform. Buildings, 15(19), 3505. </w:t>
      </w:r>
      <w:hyperlink r:id="rId34">
        <w:r w:rsidR="00506EDB">
          <w:rPr>
            <w:rFonts w:ascii="Times New Roman" w:eastAsia="Times New Roman" w:hAnsi="Times New Roman" w:cs="Times New Roman"/>
            <w:color w:val="0000FF"/>
            <w:sz w:val="22"/>
            <w:szCs w:val="22"/>
            <w:u w:val="single"/>
          </w:rPr>
          <w:t>https://doi.org/10.3390/buildings15193505</w:t>
        </w:r>
      </w:hyperlink>
    </w:p>
    <w:p w14:paraId="7D640FAC"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Herrera, R. F., Sánchez, O., Castañeda, K., &amp; Porras, H. (2020). </w:t>
      </w:r>
      <w:r>
        <w:rPr>
          <w:rFonts w:ascii="Times New Roman" w:eastAsia="Times New Roman" w:hAnsi="Times New Roman" w:cs="Times New Roman"/>
          <w:color w:val="000000"/>
          <w:sz w:val="22"/>
          <w:szCs w:val="22"/>
        </w:rPr>
        <w:t xml:space="preserve">Cost Overrun Causative Factors in Road Infrastructure Projects: A Frequency and Importance Analysis. Applied Sciences, 10(16), 5506. </w:t>
      </w:r>
      <w:hyperlink r:id="rId35">
        <w:r w:rsidR="00506EDB">
          <w:rPr>
            <w:rFonts w:ascii="Times New Roman" w:eastAsia="Times New Roman" w:hAnsi="Times New Roman" w:cs="Times New Roman"/>
            <w:color w:val="0000FF"/>
            <w:sz w:val="22"/>
            <w:szCs w:val="22"/>
            <w:u w:val="single"/>
          </w:rPr>
          <w:t>https://doi.org/10.3390/app10165506</w:t>
        </w:r>
      </w:hyperlink>
      <w:r>
        <w:rPr>
          <w:rFonts w:ascii="Times New Roman" w:eastAsia="Times New Roman" w:hAnsi="Times New Roman" w:cs="Times New Roman"/>
          <w:color w:val="000000"/>
          <w:sz w:val="22"/>
          <w:szCs w:val="22"/>
        </w:rPr>
        <w:t xml:space="preserve"> </w:t>
      </w:r>
    </w:p>
    <w:p w14:paraId="02BA2A55"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lastRenderedPageBreak/>
        <w:t>Ichsan</w:t>
      </w:r>
      <w:proofErr w:type="spellEnd"/>
      <w:r>
        <w:rPr>
          <w:rFonts w:ascii="Times New Roman" w:eastAsia="Times New Roman" w:hAnsi="Times New Roman" w:cs="Times New Roman"/>
          <w:color w:val="000000"/>
          <w:sz w:val="22"/>
          <w:szCs w:val="22"/>
        </w:rPr>
        <w:t xml:space="preserve">, M., Isvara, W., &amp; Karim, S. (2025). Monte Carlo Simulation for Enhancing the Schedule Completion Forecast of Jakarta Central Railway Station Construction Project. Applied Sciences, 15(13), 7464. </w:t>
      </w:r>
      <w:hyperlink r:id="rId36">
        <w:r w:rsidR="00506EDB">
          <w:rPr>
            <w:rFonts w:ascii="Times New Roman" w:eastAsia="Times New Roman" w:hAnsi="Times New Roman" w:cs="Times New Roman"/>
            <w:color w:val="0000FF"/>
            <w:sz w:val="22"/>
            <w:szCs w:val="22"/>
            <w:u w:val="single"/>
          </w:rPr>
          <w:t>https://doi.org/10.3390/app15137464</w:t>
        </w:r>
      </w:hyperlink>
    </w:p>
    <w:p w14:paraId="3AF6A14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Issa, A., </w:t>
      </w:r>
      <w:proofErr w:type="spellStart"/>
      <w:r>
        <w:rPr>
          <w:rFonts w:ascii="Times New Roman" w:eastAsia="Times New Roman" w:hAnsi="Times New Roman" w:cs="Times New Roman"/>
          <w:color w:val="000000"/>
          <w:sz w:val="22"/>
          <w:szCs w:val="22"/>
        </w:rPr>
        <w:t>Bdair</w:t>
      </w:r>
      <w:proofErr w:type="spellEnd"/>
      <w:r>
        <w:rPr>
          <w:rFonts w:ascii="Times New Roman" w:eastAsia="Times New Roman" w:hAnsi="Times New Roman" w:cs="Times New Roman"/>
          <w:color w:val="000000"/>
          <w:sz w:val="22"/>
          <w:szCs w:val="22"/>
        </w:rPr>
        <w:t>, R., &amp; Abu-Eisheh, S. (2022). Assessment of compliance to planned cost and time for implemented municipal roads projects in Palestine. </w:t>
      </w:r>
      <w:r>
        <w:rPr>
          <w:rFonts w:ascii="Times New Roman" w:eastAsia="Times New Roman" w:hAnsi="Times New Roman" w:cs="Times New Roman"/>
          <w:i/>
          <w:iCs/>
          <w:color w:val="000000"/>
          <w:sz w:val="22"/>
          <w:szCs w:val="22"/>
        </w:rPr>
        <w:t>Ain shams engineering journal</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 xml:space="preserve">(2), 101578. </w:t>
      </w:r>
      <w:hyperlink r:id="rId37">
        <w:r w:rsidR="00506EDB">
          <w:rPr>
            <w:rFonts w:ascii="Times New Roman" w:eastAsia="Times New Roman" w:hAnsi="Times New Roman" w:cs="Times New Roman"/>
            <w:color w:val="0000FF"/>
            <w:sz w:val="22"/>
            <w:szCs w:val="22"/>
            <w:u w:val="single"/>
          </w:rPr>
          <w:t>https://doi.org/10.1016/j.asej.2021.09.005</w:t>
        </w:r>
      </w:hyperlink>
    </w:p>
    <w:p w14:paraId="2295BC3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pl-PL"/>
        </w:rPr>
        <w:t xml:space="preserve">Khanh, H. D., Kim, S. Y., &amp; Linh, L. Q. (2023). </w:t>
      </w:r>
      <w:r>
        <w:rPr>
          <w:rFonts w:ascii="Times New Roman" w:eastAsia="Times New Roman" w:hAnsi="Times New Roman" w:cs="Times New Roman"/>
          <w:color w:val="000000"/>
          <w:sz w:val="22"/>
          <w:szCs w:val="22"/>
        </w:rPr>
        <w:t>Construction productivity prediction through Bayesian networks for building projects: case from Vietnam. </w:t>
      </w:r>
      <w:r>
        <w:rPr>
          <w:rFonts w:ascii="Times New Roman" w:eastAsia="Times New Roman" w:hAnsi="Times New Roman" w:cs="Times New Roman"/>
          <w:i/>
          <w:iCs/>
          <w:color w:val="000000"/>
          <w:sz w:val="22"/>
          <w:szCs w:val="22"/>
        </w:rPr>
        <w:t>Engineering, Construction and Architectural Management</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30</w:t>
      </w:r>
      <w:r>
        <w:rPr>
          <w:rFonts w:ascii="Times New Roman" w:eastAsia="Times New Roman" w:hAnsi="Times New Roman" w:cs="Times New Roman"/>
          <w:color w:val="000000"/>
          <w:sz w:val="22"/>
          <w:szCs w:val="22"/>
        </w:rPr>
        <w:t xml:space="preserve">(5), 2075-2100. </w:t>
      </w:r>
      <w:hyperlink r:id="rId38">
        <w:r w:rsidR="00506EDB">
          <w:rPr>
            <w:rFonts w:ascii="Times New Roman" w:eastAsia="Times New Roman" w:hAnsi="Times New Roman" w:cs="Times New Roman"/>
            <w:color w:val="0000FF"/>
            <w:sz w:val="22"/>
            <w:szCs w:val="22"/>
            <w:u w:val="single"/>
          </w:rPr>
          <w:t>https://doi.org/10.1108/ECAM-07-2021-0602</w:t>
        </w:r>
      </w:hyperlink>
    </w:p>
    <w:p w14:paraId="65628D4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Pr>
          <w:rFonts w:ascii="Times New Roman" w:eastAsia="Times New Roman" w:hAnsi="Times New Roman" w:cs="Times New Roman"/>
          <w:color w:val="000000"/>
          <w:sz w:val="22"/>
          <w:szCs w:val="22"/>
        </w:rPr>
        <w:t>Khodeir</w:t>
      </w:r>
      <w:proofErr w:type="spellEnd"/>
      <w:r>
        <w:rPr>
          <w:rFonts w:ascii="Times New Roman" w:eastAsia="Times New Roman" w:hAnsi="Times New Roman" w:cs="Times New Roman"/>
          <w:color w:val="000000"/>
          <w:sz w:val="22"/>
          <w:szCs w:val="22"/>
        </w:rPr>
        <w:t xml:space="preserve">, L. M., &amp; El Ghandour, A. (2019). Examining the role of value management in controlling cost overrun [application on residential construction projects in Egypt]. Ain Shams Engineering Journal, 10(3), 471-479. </w:t>
      </w:r>
      <w:hyperlink r:id="rId39">
        <w:r w:rsidR="00506EDB">
          <w:rPr>
            <w:rFonts w:ascii="Times New Roman" w:eastAsia="Times New Roman" w:hAnsi="Times New Roman" w:cs="Times New Roman"/>
            <w:color w:val="0000FF"/>
            <w:sz w:val="22"/>
            <w:szCs w:val="22"/>
            <w:u w:val="single"/>
          </w:rPr>
          <w:t>https://doi.org/10.1016/j.asej.2018.11.008</w:t>
        </w:r>
      </w:hyperlink>
    </w:p>
    <w:p w14:paraId="10D1D972"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Lagos, C. I., Herrera, R. F., Mac Cawley, A. F., &amp; Alarcón, L. F. (2024). </w:t>
      </w:r>
      <w:r>
        <w:rPr>
          <w:rFonts w:ascii="Times New Roman" w:eastAsia="Times New Roman" w:hAnsi="Times New Roman" w:cs="Times New Roman"/>
          <w:color w:val="000000"/>
          <w:sz w:val="22"/>
          <w:szCs w:val="22"/>
        </w:rPr>
        <w:t xml:space="preserve">Predicting construction schedule performance with last planner system and machine learning. Automation in Construction, 167, 105716. </w:t>
      </w:r>
      <w:hyperlink r:id="rId40">
        <w:r w:rsidR="00506EDB">
          <w:rPr>
            <w:rFonts w:ascii="Times New Roman" w:eastAsia="Times New Roman" w:hAnsi="Times New Roman" w:cs="Times New Roman"/>
            <w:color w:val="0000FF"/>
            <w:sz w:val="22"/>
            <w:szCs w:val="22"/>
            <w:u w:val="single"/>
          </w:rPr>
          <w:t>https://doi.org/10.1016/j.autcon.2024.105716</w:t>
        </w:r>
      </w:hyperlink>
    </w:p>
    <w:p w14:paraId="5D8FB44B"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Leśniak, A., &amp; Janowiec, F. (2019). Risk Assessment of Additional Works in Railway Construction Investments Using the Bayes Network. Sustainability, 11(19), 5388. </w:t>
      </w:r>
      <w:hyperlink r:id="rId41">
        <w:r w:rsidR="00506EDB">
          <w:rPr>
            <w:rFonts w:ascii="Times New Roman" w:eastAsia="Times New Roman" w:hAnsi="Times New Roman" w:cs="Times New Roman"/>
            <w:color w:val="0000FF"/>
            <w:sz w:val="22"/>
            <w:szCs w:val="22"/>
            <w:u w:val="single"/>
          </w:rPr>
          <w:t>https://doi.org/10.3390/su11195388</w:t>
        </w:r>
      </w:hyperlink>
    </w:p>
    <w:p w14:paraId="6D047ED4"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Leu, S.-S., Liu, Y., &amp; Wu, P.-L. (2023). </w:t>
      </w:r>
      <w:r>
        <w:rPr>
          <w:rFonts w:ascii="Times New Roman" w:eastAsia="Times New Roman" w:hAnsi="Times New Roman" w:cs="Times New Roman"/>
          <w:color w:val="000000"/>
          <w:sz w:val="22"/>
          <w:szCs w:val="22"/>
        </w:rPr>
        <w:t xml:space="preserve">Project Cost Overrun Risk Prediction Using Hidden Markov Chain Analysis. Buildings, 13(3), 667. </w:t>
      </w:r>
      <w:hyperlink r:id="rId42">
        <w:r w:rsidR="00506EDB">
          <w:rPr>
            <w:rFonts w:ascii="Times New Roman" w:eastAsia="Times New Roman" w:hAnsi="Times New Roman" w:cs="Times New Roman"/>
            <w:color w:val="0000FF"/>
            <w:sz w:val="22"/>
            <w:szCs w:val="22"/>
            <w:u w:val="single"/>
          </w:rPr>
          <w:t>https://doi.org/10.3390/buildings13030667</w:t>
        </w:r>
      </w:hyperlink>
    </w:p>
    <w:p w14:paraId="60828632"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de-DE"/>
        </w:rPr>
        <w:t xml:space="preserve">Liben, S. M., Belachew, D. A., &amp; Elsaigh, W. A. (2025). </w:t>
      </w:r>
      <w:r>
        <w:rPr>
          <w:rFonts w:ascii="Times New Roman" w:eastAsia="Times New Roman" w:hAnsi="Times New Roman" w:cs="Times New Roman"/>
          <w:color w:val="000000"/>
          <w:sz w:val="22"/>
          <w:szCs w:val="22"/>
        </w:rPr>
        <w:t>Optimizing construction duration estimation and monitoring for public building projects in Addis Ababa through an integrated deterministic and probabilistic conceptual model. </w:t>
      </w:r>
      <w:r>
        <w:rPr>
          <w:rFonts w:ascii="Times New Roman" w:eastAsia="Times New Roman" w:hAnsi="Times New Roman" w:cs="Times New Roman"/>
          <w:i/>
          <w:iCs/>
          <w:color w:val="000000"/>
          <w:sz w:val="22"/>
          <w:szCs w:val="22"/>
        </w:rPr>
        <w:t>Journal of Asian Architecture and Building Engineering</w:t>
      </w:r>
      <w:r>
        <w:rPr>
          <w:rFonts w:ascii="Times New Roman" w:eastAsia="Times New Roman" w:hAnsi="Times New Roman" w:cs="Times New Roman"/>
          <w:color w:val="000000"/>
          <w:sz w:val="22"/>
          <w:szCs w:val="22"/>
        </w:rPr>
        <w:t>, 1-20.</w:t>
      </w:r>
    </w:p>
    <w:p w14:paraId="0A631DA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pl-PL"/>
        </w:rPr>
        <w:t xml:space="preserve">Liu, Z., Jiao, Y., Li, A., &amp; Liu, X. (2021). </w:t>
      </w:r>
      <w:r>
        <w:rPr>
          <w:rFonts w:ascii="Times New Roman" w:eastAsia="Times New Roman" w:hAnsi="Times New Roman" w:cs="Times New Roman"/>
          <w:color w:val="000000"/>
          <w:sz w:val="22"/>
          <w:szCs w:val="22"/>
        </w:rPr>
        <w:t xml:space="preserve">Risk Assessment of Urban Rail Transit PPP Project Construction Based on Bayesian Network. Sustainability, 13(20), 11507. </w:t>
      </w:r>
      <w:hyperlink r:id="rId43">
        <w:r w:rsidR="00506EDB">
          <w:rPr>
            <w:rFonts w:ascii="Times New Roman" w:eastAsia="Times New Roman" w:hAnsi="Times New Roman" w:cs="Times New Roman"/>
            <w:color w:val="0000FF"/>
            <w:sz w:val="22"/>
            <w:szCs w:val="22"/>
            <w:u w:val="single"/>
          </w:rPr>
          <w:t>https://doi.org/10.3390/su132011507</w:t>
        </w:r>
      </w:hyperlink>
    </w:p>
    <w:p w14:paraId="17767D2C"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Love, P. E., Smith, J., Simpson, I., Regan, M., &amp; Olatunji, O. (2015). Understanding the landscape of overruns in transport infrastructure projects. </w:t>
      </w:r>
      <w:r>
        <w:rPr>
          <w:rFonts w:ascii="Times New Roman" w:eastAsia="Times New Roman" w:hAnsi="Times New Roman" w:cs="Times New Roman"/>
          <w:i/>
          <w:iCs/>
          <w:color w:val="000000"/>
          <w:sz w:val="22"/>
          <w:szCs w:val="22"/>
        </w:rPr>
        <w:t>Environment and planning B: planning and design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42</w:t>
      </w:r>
      <w:r>
        <w:rPr>
          <w:rFonts w:ascii="Times New Roman" w:eastAsia="Times New Roman" w:hAnsi="Times New Roman" w:cs="Times New Roman"/>
          <w:color w:val="000000"/>
          <w:sz w:val="22"/>
          <w:szCs w:val="22"/>
        </w:rPr>
        <w:t xml:space="preserve">(3), 490-509. </w:t>
      </w:r>
      <w:hyperlink r:id="rId44">
        <w:r w:rsidR="00506EDB">
          <w:rPr>
            <w:rFonts w:ascii="Times New Roman" w:eastAsia="Times New Roman" w:hAnsi="Times New Roman" w:cs="Times New Roman"/>
            <w:color w:val="0000FF"/>
            <w:sz w:val="22"/>
            <w:szCs w:val="22"/>
            <w:u w:val="single"/>
          </w:rPr>
          <w:t>https://doi.org/10.1068/b130102p</w:t>
        </w:r>
      </w:hyperlink>
    </w:p>
    <w:p w14:paraId="37ACB61C"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Molinari, L., </w:t>
      </w:r>
      <w:proofErr w:type="spellStart"/>
      <w:r>
        <w:rPr>
          <w:rFonts w:ascii="Times New Roman" w:eastAsia="Times New Roman" w:hAnsi="Times New Roman" w:cs="Times New Roman"/>
          <w:color w:val="000000"/>
          <w:sz w:val="22"/>
          <w:szCs w:val="22"/>
        </w:rPr>
        <w:t>Haezendonck</w:t>
      </w:r>
      <w:proofErr w:type="spellEnd"/>
      <w:r>
        <w:rPr>
          <w:rFonts w:ascii="Times New Roman" w:eastAsia="Times New Roman" w:hAnsi="Times New Roman" w:cs="Times New Roman"/>
          <w:color w:val="000000"/>
          <w:sz w:val="22"/>
          <w:szCs w:val="22"/>
        </w:rPr>
        <w:t xml:space="preserve">, E., &amp; Mabillard, V. (2023). Cost overruns of Belgian transport infrastructure projects: Analyzing variations over three land transport modes and two project phases. Transport Policy, 134, 167-179. </w:t>
      </w:r>
      <w:hyperlink r:id="rId45">
        <w:r w:rsidR="00506EDB">
          <w:rPr>
            <w:rFonts w:ascii="Times New Roman" w:eastAsia="Times New Roman" w:hAnsi="Times New Roman" w:cs="Times New Roman"/>
            <w:color w:val="0000FF"/>
            <w:sz w:val="22"/>
            <w:szCs w:val="22"/>
            <w:u w:val="single"/>
          </w:rPr>
          <w:t>https://doi.org/10.1016/j.tranpol.2023.02.017</w:t>
        </w:r>
      </w:hyperlink>
    </w:p>
    <w:p w14:paraId="77D321B1"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Moon, H., Williams, T. P., Lee, H. S., &amp; Park, M. (2020). Predicting project cost overrun levels in bidding stage using ensemble learning. </w:t>
      </w:r>
      <w:r>
        <w:rPr>
          <w:rFonts w:ascii="Times New Roman" w:eastAsia="Times New Roman" w:hAnsi="Times New Roman" w:cs="Times New Roman"/>
          <w:i/>
          <w:iCs/>
          <w:color w:val="000000"/>
          <w:sz w:val="22"/>
          <w:szCs w:val="22"/>
        </w:rPr>
        <w:t>Journal of Asian Architecture and Building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19</w:t>
      </w:r>
      <w:r>
        <w:rPr>
          <w:rFonts w:ascii="Times New Roman" w:eastAsia="Times New Roman" w:hAnsi="Times New Roman" w:cs="Times New Roman"/>
          <w:color w:val="000000"/>
          <w:sz w:val="22"/>
          <w:szCs w:val="22"/>
        </w:rPr>
        <w:t>(6), 586-599.</w:t>
      </w:r>
    </w:p>
    <w:p w14:paraId="79C0751D"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Moussa, A., </w:t>
      </w:r>
      <w:proofErr w:type="spellStart"/>
      <w:r>
        <w:rPr>
          <w:rFonts w:ascii="Times New Roman" w:eastAsia="Times New Roman" w:hAnsi="Times New Roman" w:cs="Times New Roman"/>
          <w:color w:val="000000"/>
          <w:sz w:val="22"/>
          <w:szCs w:val="22"/>
        </w:rPr>
        <w:t>Ezzeldin</w:t>
      </w:r>
      <w:proofErr w:type="spellEnd"/>
      <w:r>
        <w:rPr>
          <w:rFonts w:ascii="Times New Roman" w:eastAsia="Times New Roman" w:hAnsi="Times New Roman" w:cs="Times New Roman"/>
          <w:color w:val="000000"/>
          <w:sz w:val="22"/>
          <w:szCs w:val="22"/>
        </w:rPr>
        <w:t>, M., &amp; El-</w:t>
      </w:r>
      <w:proofErr w:type="spellStart"/>
      <w:r>
        <w:rPr>
          <w:rFonts w:ascii="Times New Roman" w:eastAsia="Times New Roman" w:hAnsi="Times New Roman" w:cs="Times New Roman"/>
          <w:color w:val="000000"/>
          <w:sz w:val="22"/>
          <w:szCs w:val="22"/>
        </w:rPr>
        <w:t>Dakhakhni</w:t>
      </w:r>
      <w:proofErr w:type="spellEnd"/>
      <w:r>
        <w:rPr>
          <w:rFonts w:ascii="Times New Roman" w:eastAsia="Times New Roman" w:hAnsi="Times New Roman" w:cs="Times New Roman"/>
          <w:color w:val="000000"/>
          <w:sz w:val="22"/>
          <w:szCs w:val="22"/>
        </w:rPr>
        <w:t xml:space="preserve">, W. (2024). Predicting and managing risk interactions and systemic risks in infrastructure projects using machine learning. Automation in construction, 168, 105836. </w:t>
      </w:r>
      <w:hyperlink r:id="rId46">
        <w:r w:rsidR="00506EDB">
          <w:rPr>
            <w:rFonts w:ascii="Times New Roman" w:eastAsia="Times New Roman" w:hAnsi="Times New Roman" w:cs="Times New Roman"/>
            <w:color w:val="0000FF"/>
            <w:sz w:val="22"/>
            <w:szCs w:val="22"/>
            <w:u w:val="single"/>
          </w:rPr>
          <w:t>https://doi.org/10.1016/j.autcon.2024.105836</w:t>
        </w:r>
      </w:hyperlink>
    </w:p>
    <w:p w14:paraId="6759D670"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Naji, K. K., Gunduz, M., </w:t>
      </w:r>
      <w:proofErr w:type="spellStart"/>
      <w:r w:rsidRPr="00111BFC">
        <w:rPr>
          <w:rFonts w:ascii="Times New Roman" w:eastAsia="Times New Roman" w:hAnsi="Times New Roman" w:cs="Times New Roman"/>
          <w:color w:val="000000"/>
          <w:sz w:val="22"/>
          <w:szCs w:val="22"/>
          <w:lang w:val="es-US"/>
        </w:rPr>
        <w:t>Alhenzab</w:t>
      </w:r>
      <w:proofErr w:type="spellEnd"/>
      <w:r w:rsidRPr="00111BFC">
        <w:rPr>
          <w:rFonts w:ascii="Times New Roman" w:eastAsia="Times New Roman" w:hAnsi="Times New Roman" w:cs="Times New Roman"/>
          <w:color w:val="000000"/>
          <w:sz w:val="22"/>
          <w:szCs w:val="22"/>
          <w:lang w:val="es-US"/>
        </w:rPr>
        <w:t>, F., Al-</w:t>
      </w:r>
      <w:proofErr w:type="spellStart"/>
      <w:r w:rsidRPr="00111BFC">
        <w:rPr>
          <w:rFonts w:ascii="Times New Roman" w:eastAsia="Times New Roman" w:hAnsi="Times New Roman" w:cs="Times New Roman"/>
          <w:color w:val="000000"/>
          <w:sz w:val="22"/>
          <w:szCs w:val="22"/>
          <w:lang w:val="es-US"/>
        </w:rPr>
        <w:t>Hababi</w:t>
      </w:r>
      <w:proofErr w:type="spellEnd"/>
      <w:r w:rsidRPr="00111BFC">
        <w:rPr>
          <w:rFonts w:ascii="Times New Roman" w:eastAsia="Times New Roman" w:hAnsi="Times New Roman" w:cs="Times New Roman"/>
          <w:color w:val="000000"/>
          <w:sz w:val="22"/>
          <w:szCs w:val="22"/>
          <w:lang w:val="es-US"/>
        </w:rPr>
        <w:t xml:space="preserve">, H., &amp; Al-Qahtani, A. (2024). </w:t>
      </w:r>
      <w:r>
        <w:rPr>
          <w:rFonts w:ascii="Times New Roman" w:eastAsia="Times New Roman" w:hAnsi="Times New Roman" w:cs="Times New Roman"/>
          <w:color w:val="000000"/>
          <w:sz w:val="22"/>
          <w:szCs w:val="22"/>
        </w:rPr>
        <w:t>Assessing the digital transformation readiness of the construction industry utilizing the Delphi Method. </w:t>
      </w:r>
      <w:r>
        <w:rPr>
          <w:rFonts w:ascii="Times New Roman" w:eastAsia="Times New Roman" w:hAnsi="Times New Roman" w:cs="Times New Roman"/>
          <w:i/>
          <w:iCs/>
          <w:color w:val="000000"/>
          <w:sz w:val="22"/>
          <w:szCs w:val="22"/>
        </w:rPr>
        <w:t>Buildings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w:t>
      </w:r>
      <w:r>
        <w:rPr>
          <w:rFonts w:ascii="Times New Roman" w:eastAsia="Times New Roman" w:hAnsi="Times New Roman" w:cs="Times New Roman"/>
          <w:color w:val="000000"/>
          <w:sz w:val="22"/>
          <w:szCs w:val="22"/>
        </w:rPr>
        <w:t xml:space="preserve">(3), 601. </w:t>
      </w:r>
      <w:hyperlink r:id="rId47">
        <w:r w:rsidR="00506EDB">
          <w:rPr>
            <w:rFonts w:ascii="Times New Roman" w:eastAsia="Times New Roman" w:hAnsi="Times New Roman" w:cs="Times New Roman"/>
            <w:color w:val="0000FF"/>
            <w:sz w:val="22"/>
            <w:szCs w:val="22"/>
            <w:u w:val="single"/>
          </w:rPr>
          <w:t>https://doi.org/10.3390/buildings14030601</w:t>
        </w:r>
      </w:hyperlink>
    </w:p>
    <w:p w14:paraId="7C847F18"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lastRenderedPageBreak/>
        <w:t xml:space="preserve">Nassar, A. H., &amp; </w:t>
      </w:r>
      <w:proofErr w:type="spellStart"/>
      <w:r w:rsidRPr="00111BFC">
        <w:rPr>
          <w:rFonts w:ascii="Times New Roman" w:eastAsia="Times New Roman" w:hAnsi="Times New Roman" w:cs="Times New Roman"/>
          <w:color w:val="000000"/>
          <w:sz w:val="22"/>
          <w:szCs w:val="22"/>
          <w:lang w:val="es-US"/>
        </w:rPr>
        <w:t>Elbisy</w:t>
      </w:r>
      <w:proofErr w:type="spellEnd"/>
      <w:r w:rsidRPr="00111BFC">
        <w:rPr>
          <w:rFonts w:ascii="Times New Roman" w:eastAsia="Times New Roman" w:hAnsi="Times New Roman" w:cs="Times New Roman"/>
          <w:color w:val="000000"/>
          <w:sz w:val="22"/>
          <w:szCs w:val="22"/>
          <w:lang w:val="es-US"/>
        </w:rPr>
        <w:t xml:space="preserve">, A. M. (2024). </w:t>
      </w:r>
      <w:r>
        <w:rPr>
          <w:rFonts w:ascii="Times New Roman" w:eastAsia="Times New Roman" w:hAnsi="Times New Roman" w:cs="Times New Roman"/>
          <w:color w:val="000000"/>
          <w:sz w:val="22"/>
          <w:szCs w:val="22"/>
        </w:rPr>
        <w:t>A Machine Learning Approach to Predict Time Delays in Marine Construction Projects. </w:t>
      </w:r>
      <w:r>
        <w:rPr>
          <w:rFonts w:ascii="Times New Roman" w:eastAsia="Times New Roman" w:hAnsi="Times New Roman" w:cs="Times New Roman"/>
          <w:i/>
          <w:iCs/>
          <w:color w:val="000000"/>
          <w:sz w:val="22"/>
          <w:szCs w:val="22"/>
        </w:rPr>
        <w:t>Engineering, Technology &amp; Applied Science Research</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w:t>
      </w:r>
      <w:r>
        <w:rPr>
          <w:rFonts w:ascii="Times New Roman" w:eastAsia="Times New Roman" w:hAnsi="Times New Roman" w:cs="Times New Roman"/>
          <w:color w:val="000000"/>
          <w:sz w:val="22"/>
          <w:szCs w:val="22"/>
        </w:rPr>
        <w:t xml:space="preserve">(5), 16125–16134. </w:t>
      </w:r>
      <w:hyperlink r:id="rId48">
        <w:r w:rsidR="00506EDB">
          <w:rPr>
            <w:rFonts w:ascii="Times New Roman" w:eastAsia="Times New Roman" w:hAnsi="Times New Roman" w:cs="Times New Roman"/>
            <w:color w:val="0000FF"/>
            <w:sz w:val="22"/>
            <w:szCs w:val="22"/>
            <w:u w:val="single"/>
          </w:rPr>
          <w:t>https://doi.org/10.48084/etasr.8173</w:t>
        </w:r>
      </w:hyperlink>
    </w:p>
    <w:p w14:paraId="020CB7F4"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Nyarko-Boateng, O., Adekoya, A.F. &amp; </w:t>
      </w:r>
      <w:proofErr w:type="spellStart"/>
      <w:r>
        <w:rPr>
          <w:rFonts w:ascii="Times New Roman" w:eastAsia="Times New Roman" w:hAnsi="Times New Roman" w:cs="Times New Roman"/>
          <w:color w:val="000000"/>
          <w:sz w:val="22"/>
          <w:szCs w:val="22"/>
        </w:rPr>
        <w:t>Weyori</w:t>
      </w:r>
      <w:proofErr w:type="spellEnd"/>
      <w:r>
        <w:rPr>
          <w:rFonts w:ascii="Times New Roman" w:eastAsia="Times New Roman" w:hAnsi="Times New Roman" w:cs="Times New Roman"/>
          <w:color w:val="000000"/>
          <w:sz w:val="22"/>
          <w:szCs w:val="22"/>
        </w:rPr>
        <w:t>, B.A. Using machine learning techniques to predict the cost of repairing hard failures in underground fiber optics networks. </w:t>
      </w:r>
      <w:r>
        <w:rPr>
          <w:rFonts w:ascii="Times New Roman" w:eastAsia="Times New Roman" w:hAnsi="Times New Roman" w:cs="Times New Roman"/>
          <w:i/>
          <w:iCs/>
          <w:color w:val="000000"/>
          <w:sz w:val="22"/>
          <w:szCs w:val="22"/>
        </w:rPr>
        <w:t>J Big Data</w:t>
      </w:r>
      <w:r>
        <w:rPr>
          <w:rFonts w:ascii="Times New Roman" w:eastAsia="Times New Roman" w:hAnsi="Times New Roman" w:cs="Times New Roman"/>
          <w:color w:val="000000"/>
          <w:sz w:val="22"/>
          <w:szCs w:val="22"/>
        </w:rPr>
        <w:t> </w:t>
      </w:r>
      <w:r>
        <w:rPr>
          <w:rFonts w:ascii="Times New Roman" w:eastAsia="Times New Roman" w:hAnsi="Times New Roman" w:cs="Times New Roman"/>
          <w:b/>
          <w:bCs/>
          <w:color w:val="000000"/>
          <w:sz w:val="22"/>
          <w:szCs w:val="22"/>
        </w:rPr>
        <w:t>7</w:t>
      </w:r>
      <w:r>
        <w:rPr>
          <w:rFonts w:ascii="Times New Roman" w:eastAsia="Times New Roman" w:hAnsi="Times New Roman" w:cs="Times New Roman"/>
          <w:color w:val="000000"/>
          <w:sz w:val="22"/>
          <w:szCs w:val="22"/>
        </w:rPr>
        <w:t xml:space="preserve">, 64 (2020). </w:t>
      </w:r>
      <w:hyperlink r:id="rId49">
        <w:r w:rsidR="00506EDB">
          <w:rPr>
            <w:rFonts w:ascii="Times New Roman" w:eastAsia="Times New Roman" w:hAnsi="Times New Roman" w:cs="Times New Roman"/>
            <w:color w:val="0000FF"/>
            <w:sz w:val="22"/>
            <w:szCs w:val="22"/>
            <w:u w:val="single"/>
          </w:rPr>
          <w:t>https://doi.org/10.1186/s40537-020-00343-4</w:t>
        </w:r>
      </w:hyperlink>
    </w:p>
    <w:p w14:paraId="3CF9C56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Ogbu, C. P., &amp; </w:t>
      </w:r>
      <w:proofErr w:type="spellStart"/>
      <w:r>
        <w:rPr>
          <w:rFonts w:ascii="Times New Roman" w:eastAsia="Times New Roman" w:hAnsi="Times New Roman" w:cs="Times New Roman"/>
          <w:color w:val="000000"/>
          <w:sz w:val="22"/>
          <w:szCs w:val="22"/>
        </w:rPr>
        <w:t>Adindu</w:t>
      </w:r>
      <w:proofErr w:type="spellEnd"/>
      <w:r>
        <w:rPr>
          <w:rFonts w:ascii="Times New Roman" w:eastAsia="Times New Roman" w:hAnsi="Times New Roman" w:cs="Times New Roman"/>
          <w:color w:val="000000"/>
          <w:sz w:val="22"/>
          <w:szCs w:val="22"/>
        </w:rPr>
        <w:t>, C. C. (2020). Direct risk factors and cost performance of road projects in developing countries: contractors’ perspective. </w:t>
      </w:r>
      <w:r>
        <w:rPr>
          <w:rFonts w:ascii="Times New Roman" w:eastAsia="Times New Roman" w:hAnsi="Times New Roman" w:cs="Times New Roman"/>
          <w:i/>
          <w:iCs/>
          <w:color w:val="000000"/>
          <w:sz w:val="22"/>
          <w:szCs w:val="22"/>
        </w:rPr>
        <w:t>Journal of Engineering, Design and Technology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18</w:t>
      </w:r>
      <w:r>
        <w:rPr>
          <w:rFonts w:ascii="Times New Roman" w:eastAsia="Times New Roman" w:hAnsi="Times New Roman" w:cs="Times New Roman"/>
          <w:color w:val="000000"/>
          <w:sz w:val="22"/>
          <w:szCs w:val="22"/>
        </w:rPr>
        <w:t xml:space="preserve">(2), 326-342. </w:t>
      </w:r>
      <w:hyperlink r:id="rId50">
        <w:r w:rsidR="00506EDB">
          <w:rPr>
            <w:rFonts w:ascii="Times New Roman" w:eastAsia="Times New Roman" w:hAnsi="Times New Roman" w:cs="Times New Roman"/>
            <w:color w:val="0000FF"/>
            <w:sz w:val="22"/>
            <w:szCs w:val="22"/>
            <w:u w:val="single"/>
          </w:rPr>
          <w:t>https://doi.org/10.1108/JEDT-05-2019-0121</w:t>
        </w:r>
      </w:hyperlink>
    </w:p>
    <w:p w14:paraId="551728B5"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Ottaviani, F. M., Ballesteros-Pérez, P., &amp; Narbaev, T. (2025). </w:t>
      </w:r>
      <w:r>
        <w:rPr>
          <w:rFonts w:ascii="Times New Roman" w:eastAsia="Times New Roman" w:hAnsi="Times New Roman" w:cs="Times New Roman"/>
          <w:color w:val="000000"/>
          <w:sz w:val="22"/>
          <w:szCs w:val="22"/>
        </w:rPr>
        <w:t>Automated machine learning pipeline for robust project cost and duration forecasting. </w:t>
      </w:r>
      <w:r>
        <w:rPr>
          <w:rFonts w:ascii="Times New Roman" w:eastAsia="Times New Roman" w:hAnsi="Times New Roman" w:cs="Times New Roman"/>
          <w:i/>
          <w:iCs/>
          <w:color w:val="000000"/>
          <w:sz w:val="22"/>
          <w:szCs w:val="22"/>
        </w:rPr>
        <w:t>Automation in Construction</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178</w:t>
      </w:r>
      <w:r>
        <w:rPr>
          <w:rFonts w:ascii="Times New Roman" w:eastAsia="Times New Roman" w:hAnsi="Times New Roman" w:cs="Times New Roman"/>
          <w:color w:val="000000"/>
          <w:sz w:val="22"/>
          <w:szCs w:val="22"/>
        </w:rPr>
        <w:t xml:space="preserve">, 106426. </w:t>
      </w:r>
      <w:hyperlink r:id="rId51">
        <w:r w:rsidR="00506EDB">
          <w:rPr>
            <w:rFonts w:ascii="Times New Roman" w:eastAsia="Times New Roman" w:hAnsi="Times New Roman" w:cs="Times New Roman"/>
            <w:color w:val="0000FF"/>
            <w:sz w:val="22"/>
            <w:szCs w:val="22"/>
            <w:u w:val="single"/>
          </w:rPr>
          <w:t>https://doi.org/10.1016/j.autcon.2025.106426</w:t>
        </w:r>
      </w:hyperlink>
    </w:p>
    <w:p w14:paraId="7481973F"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Park, J. E. (2021). Curbing cost overruns in infrastructure investment: Has reference class forecasting delivered its promised </w:t>
      </w:r>
      <w:proofErr w:type="gramStart"/>
      <w:r>
        <w:rPr>
          <w:rFonts w:ascii="Times New Roman" w:eastAsia="Times New Roman" w:hAnsi="Times New Roman" w:cs="Times New Roman"/>
          <w:color w:val="000000"/>
          <w:sz w:val="22"/>
          <w:szCs w:val="22"/>
        </w:rPr>
        <w:t>success?.</w:t>
      </w:r>
      <w:proofErr w:type="gramEnd"/>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European Journal of Transport and Infrastructure Research</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21</w:t>
      </w:r>
      <w:r>
        <w:rPr>
          <w:rFonts w:ascii="Times New Roman" w:eastAsia="Times New Roman" w:hAnsi="Times New Roman" w:cs="Times New Roman"/>
          <w:color w:val="000000"/>
          <w:sz w:val="22"/>
          <w:szCs w:val="22"/>
        </w:rPr>
        <w:t>(2), 120–136. https://doi.org/10.18757/ejtir.2021.21.2.5504</w:t>
      </w:r>
    </w:p>
    <w:p w14:paraId="2A943084"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Pham, H., Luu, TV., Kim, SY. </w:t>
      </w:r>
      <w:r>
        <w:rPr>
          <w:rFonts w:ascii="Times New Roman" w:eastAsia="Times New Roman" w:hAnsi="Times New Roman" w:cs="Times New Roman"/>
          <w:i/>
          <w:iCs/>
          <w:color w:val="000000"/>
          <w:sz w:val="22"/>
          <w:szCs w:val="22"/>
        </w:rPr>
        <w:t>et al.</w:t>
      </w:r>
      <w:r>
        <w:rPr>
          <w:rFonts w:ascii="Times New Roman" w:eastAsia="Times New Roman" w:hAnsi="Times New Roman" w:cs="Times New Roman"/>
          <w:color w:val="000000"/>
          <w:sz w:val="22"/>
          <w:szCs w:val="22"/>
        </w:rPr>
        <w:t> Assessing the Impact of Cost Overrun Causes in Transmission Lines Construction Projects. </w:t>
      </w:r>
      <w:r>
        <w:rPr>
          <w:rFonts w:ascii="Times New Roman" w:eastAsia="Times New Roman" w:hAnsi="Times New Roman" w:cs="Times New Roman"/>
          <w:i/>
          <w:iCs/>
          <w:color w:val="000000"/>
          <w:sz w:val="22"/>
          <w:szCs w:val="22"/>
        </w:rPr>
        <w:t>KSCE J Civ Eng</w:t>
      </w:r>
      <w:r>
        <w:rPr>
          <w:rFonts w:ascii="Times New Roman" w:eastAsia="Times New Roman" w:hAnsi="Times New Roman" w:cs="Times New Roman"/>
          <w:color w:val="000000"/>
          <w:sz w:val="22"/>
          <w:szCs w:val="22"/>
        </w:rPr>
        <w:t> </w:t>
      </w:r>
      <w:r>
        <w:rPr>
          <w:rFonts w:ascii="Times New Roman" w:eastAsia="Times New Roman" w:hAnsi="Times New Roman" w:cs="Times New Roman"/>
          <w:b/>
          <w:bCs/>
          <w:color w:val="000000"/>
          <w:sz w:val="22"/>
          <w:szCs w:val="22"/>
        </w:rPr>
        <w:t>24</w:t>
      </w:r>
      <w:r>
        <w:rPr>
          <w:rFonts w:ascii="Times New Roman" w:eastAsia="Times New Roman" w:hAnsi="Times New Roman" w:cs="Times New Roman"/>
          <w:color w:val="000000"/>
          <w:sz w:val="22"/>
          <w:szCs w:val="22"/>
        </w:rPr>
        <w:t xml:space="preserve">, 1029–1036 (2020). </w:t>
      </w:r>
      <w:hyperlink r:id="rId52">
        <w:r w:rsidR="00506EDB">
          <w:rPr>
            <w:rFonts w:ascii="Times New Roman" w:eastAsia="Times New Roman" w:hAnsi="Times New Roman" w:cs="Times New Roman"/>
            <w:color w:val="0000FF"/>
            <w:sz w:val="22"/>
            <w:szCs w:val="22"/>
            <w:u w:val="single"/>
          </w:rPr>
          <w:t>https://doi.org/10.1007/s12205-020-1391-5</w:t>
        </w:r>
      </w:hyperlink>
      <w:r>
        <w:rPr>
          <w:rFonts w:ascii="Times New Roman" w:eastAsia="Times New Roman" w:hAnsi="Times New Roman" w:cs="Times New Roman"/>
          <w:color w:val="000000"/>
          <w:sz w:val="22"/>
          <w:szCs w:val="22"/>
        </w:rPr>
        <w:t xml:space="preserve"> </w:t>
      </w:r>
    </w:p>
    <w:p w14:paraId="12160FB3"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Prebanić</w:t>
      </w:r>
      <w:proofErr w:type="spellEnd"/>
      <w:r w:rsidRPr="00111BFC">
        <w:rPr>
          <w:rFonts w:ascii="Times New Roman" w:eastAsia="Times New Roman" w:hAnsi="Times New Roman" w:cs="Times New Roman"/>
          <w:color w:val="000000"/>
          <w:sz w:val="22"/>
          <w:szCs w:val="22"/>
          <w:lang w:val="es-US"/>
        </w:rPr>
        <w:t xml:space="preserve">, K. R., &amp; Vukomanović, M. (2021). </w:t>
      </w:r>
      <w:r>
        <w:rPr>
          <w:rFonts w:ascii="Times New Roman" w:eastAsia="Times New Roman" w:hAnsi="Times New Roman" w:cs="Times New Roman"/>
          <w:color w:val="000000"/>
          <w:sz w:val="22"/>
          <w:szCs w:val="22"/>
        </w:rPr>
        <w:t>Realizing the need for digital transformation of stakeholder management: A systematic review in the construction industry. </w:t>
      </w:r>
      <w:r>
        <w:rPr>
          <w:rFonts w:ascii="Times New Roman" w:eastAsia="Times New Roman" w:hAnsi="Times New Roman" w:cs="Times New Roman"/>
          <w:i/>
          <w:iCs/>
          <w:color w:val="000000"/>
          <w:sz w:val="22"/>
          <w:szCs w:val="22"/>
        </w:rPr>
        <w:t>Sustainability</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13</w:t>
      </w:r>
      <w:r>
        <w:rPr>
          <w:rFonts w:ascii="Times New Roman" w:eastAsia="Times New Roman" w:hAnsi="Times New Roman" w:cs="Times New Roman"/>
          <w:color w:val="000000"/>
          <w:sz w:val="22"/>
          <w:szCs w:val="22"/>
        </w:rPr>
        <w:t xml:space="preserve">(22), 12690. </w:t>
      </w:r>
      <w:hyperlink r:id="rId53">
        <w:r w:rsidR="00506EDB">
          <w:rPr>
            <w:rFonts w:ascii="Times New Roman" w:eastAsia="Times New Roman" w:hAnsi="Times New Roman" w:cs="Times New Roman"/>
            <w:color w:val="0000FF"/>
            <w:sz w:val="22"/>
            <w:szCs w:val="22"/>
            <w:u w:val="single"/>
          </w:rPr>
          <w:t>https://doi.org/10.3390/su132212690</w:t>
        </w:r>
      </w:hyperlink>
    </w:p>
    <w:p w14:paraId="7364EE09"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Radman, K., </w:t>
      </w:r>
      <w:proofErr w:type="spellStart"/>
      <w:r w:rsidRPr="00111BFC">
        <w:rPr>
          <w:rFonts w:ascii="Times New Roman" w:eastAsia="Times New Roman" w:hAnsi="Times New Roman" w:cs="Times New Roman"/>
          <w:color w:val="000000"/>
          <w:sz w:val="22"/>
          <w:szCs w:val="22"/>
          <w:lang w:val="es-US"/>
        </w:rPr>
        <w:t>Jelodar</w:t>
      </w:r>
      <w:proofErr w:type="spellEnd"/>
      <w:r w:rsidRPr="00111BFC">
        <w:rPr>
          <w:rFonts w:ascii="Times New Roman" w:eastAsia="Times New Roman" w:hAnsi="Times New Roman" w:cs="Times New Roman"/>
          <w:color w:val="000000"/>
          <w:sz w:val="22"/>
          <w:szCs w:val="22"/>
          <w:lang w:val="es-US"/>
        </w:rPr>
        <w:t xml:space="preserve">, M. B., </w:t>
      </w:r>
      <w:proofErr w:type="spellStart"/>
      <w:r w:rsidRPr="00111BFC">
        <w:rPr>
          <w:rFonts w:ascii="Times New Roman" w:eastAsia="Times New Roman" w:hAnsi="Times New Roman" w:cs="Times New Roman"/>
          <w:color w:val="000000"/>
          <w:sz w:val="22"/>
          <w:szCs w:val="22"/>
          <w:lang w:val="es-US"/>
        </w:rPr>
        <w:t>Lovreglio</w:t>
      </w:r>
      <w:proofErr w:type="spellEnd"/>
      <w:r w:rsidRPr="00111BFC">
        <w:rPr>
          <w:rFonts w:ascii="Times New Roman" w:eastAsia="Times New Roman" w:hAnsi="Times New Roman" w:cs="Times New Roman"/>
          <w:color w:val="000000"/>
          <w:sz w:val="22"/>
          <w:szCs w:val="22"/>
          <w:lang w:val="es-US"/>
        </w:rPr>
        <w:t xml:space="preserve">, R., </w:t>
      </w:r>
      <w:proofErr w:type="spellStart"/>
      <w:r w:rsidRPr="00111BFC">
        <w:rPr>
          <w:rFonts w:ascii="Times New Roman" w:eastAsia="Times New Roman" w:hAnsi="Times New Roman" w:cs="Times New Roman"/>
          <w:color w:val="000000"/>
          <w:sz w:val="22"/>
          <w:szCs w:val="22"/>
          <w:lang w:val="es-US"/>
        </w:rPr>
        <w:t>Ghazizadeh</w:t>
      </w:r>
      <w:proofErr w:type="spellEnd"/>
      <w:r w:rsidRPr="00111BFC">
        <w:rPr>
          <w:rFonts w:ascii="Times New Roman" w:eastAsia="Times New Roman" w:hAnsi="Times New Roman" w:cs="Times New Roman"/>
          <w:color w:val="000000"/>
          <w:sz w:val="22"/>
          <w:szCs w:val="22"/>
          <w:lang w:val="es-US"/>
        </w:rPr>
        <w:t xml:space="preserve">, E., &amp; Wilkinson, S. (2025). </w:t>
      </w:r>
      <w:r>
        <w:rPr>
          <w:rFonts w:ascii="Times New Roman" w:eastAsia="Times New Roman" w:hAnsi="Times New Roman" w:cs="Times New Roman"/>
          <w:color w:val="000000"/>
          <w:sz w:val="22"/>
          <w:szCs w:val="22"/>
        </w:rPr>
        <w:t xml:space="preserve">Real-Time tracking and analysis in construction projects: A </w:t>
      </w:r>
      <w:proofErr w:type="spellStart"/>
      <w:r>
        <w:rPr>
          <w:rFonts w:ascii="Times New Roman" w:eastAsia="Times New Roman" w:hAnsi="Times New Roman" w:cs="Times New Roman"/>
          <w:color w:val="000000"/>
          <w:sz w:val="22"/>
          <w:szCs w:val="22"/>
        </w:rPr>
        <w:t>RealCONs</w:t>
      </w:r>
      <w:proofErr w:type="spellEnd"/>
      <w:r>
        <w:rPr>
          <w:rFonts w:ascii="Times New Roman" w:eastAsia="Times New Roman" w:hAnsi="Times New Roman" w:cs="Times New Roman"/>
          <w:color w:val="000000"/>
          <w:sz w:val="22"/>
          <w:szCs w:val="22"/>
        </w:rPr>
        <w:t xml:space="preserve"> framework. </w:t>
      </w:r>
      <w:r>
        <w:rPr>
          <w:rFonts w:ascii="Times New Roman" w:eastAsia="Times New Roman" w:hAnsi="Times New Roman" w:cs="Times New Roman"/>
          <w:i/>
          <w:iCs/>
          <w:color w:val="000000"/>
          <w:sz w:val="22"/>
          <w:szCs w:val="22"/>
        </w:rPr>
        <w:t>Advanced Engineering Informatics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67</w:t>
      </w:r>
      <w:r>
        <w:rPr>
          <w:rFonts w:ascii="Times New Roman" w:eastAsia="Times New Roman" w:hAnsi="Times New Roman" w:cs="Times New Roman"/>
          <w:color w:val="000000"/>
          <w:sz w:val="22"/>
          <w:szCs w:val="22"/>
        </w:rPr>
        <w:t>, 103511. https://doi.org/10.1016/j.aei.2025.103511</w:t>
      </w:r>
    </w:p>
    <w:p w14:paraId="020CCF53"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proofErr w:type="spellStart"/>
      <w:r w:rsidRPr="00111BFC">
        <w:rPr>
          <w:rFonts w:ascii="Times New Roman" w:eastAsia="Times New Roman" w:hAnsi="Times New Roman" w:cs="Times New Roman"/>
          <w:color w:val="000000"/>
          <w:sz w:val="22"/>
          <w:szCs w:val="22"/>
          <w:lang w:val="es-US"/>
        </w:rPr>
        <w:t>Senić</w:t>
      </w:r>
      <w:proofErr w:type="spellEnd"/>
      <w:r w:rsidRPr="00111BFC">
        <w:rPr>
          <w:rFonts w:ascii="Times New Roman" w:eastAsia="Times New Roman" w:hAnsi="Times New Roman" w:cs="Times New Roman"/>
          <w:color w:val="000000"/>
          <w:sz w:val="22"/>
          <w:szCs w:val="22"/>
          <w:lang w:val="es-US"/>
        </w:rPr>
        <w:t xml:space="preserve">, A., </w:t>
      </w:r>
      <w:proofErr w:type="spellStart"/>
      <w:r w:rsidRPr="00111BFC">
        <w:rPr>
          <w:rFonts w:ascii="Times New Roman" w:eastAsia="Times New Roman" w:hAnsi="Times New Roman" w:cs="Times New Roman"/>
          <w:color w:val="000000"/>
          <w:sz w:val="22"/>
          <w:szCs w:val="22"/>
          <w:lang w:val="es-US"/>
        </w:rPr>
        <w:t>Dobrodolac</w:t>
      </w:r>
      <w:proofErr w:type="spellEnd"/>
      <w:r w:rsidRPr="00111BFC">
        <w:rPr>
          <w:rFonts w:ascii="Times New Roman" w:eastAsia="Times New Roman" w:hAnsi="Times New Roman" w:cs="Times New Roman"/>
          <w:color w:val="000000"/>
          <w:sz w:val="22"/>
          <w:szCs w:val="22"/>
          <w:lang w:val="es-US"/>
        </w:rPr>
        <w:t xml:space="preserve">, M., &amp; Stojadinović, Z. (2024). </w:t>
      </w:r>
      <w:r>
        <w:rPr>
          <w:rFonts w:ascii="Times New Roman" w:eastAsia="Times New Roman" w:hAnsi="Times New Roman" w:cs="Times New Roman"/>
          <w:color w:val="000000"/>
          <w:sz w:val="22"/>
          <w:szCs w:val="22"/>
        </w:rPr>
        <w:t xml:space="preserve">Development of Risk Quantification Models in Road Infrastructure Projects. Sustainability, 16(17), 7694. </w:t>
      </w:r>
      <w:hyperlink r:id="rId54">
        <w:r w:rsidR="00506EDB">
          <w:rPr>
            <w:rFonts w:ascii="Times New Roman" w:eastAsia="Times New Roman" w:hAnsi="Times New Roman" w:cs="Times New Roman"/>
            <w:color w:val="0000FF"/>
            <w:sz w:val="22"/>
            <w:szCs w:val="22"/>
            <w:u w:val="single"/>
          </w:rPr>
          <w:t>https://doi.org/10.3390/su16177694</w:t>
        </w:r>
      </w:hyperlink>
    </w:p>
    <w:p w14:paraId="407A66F6"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sidRPr="0052348B">
        <w:rPr>
          <w:rFonts w:ascii="Times New Roman" w:eastAsia="Times New Roman" w:hAnsi="Times New Roman" w:cs="Times New Roman"/>
          <w:color w:val="000000"/>
          <w:sz w:val="22"/>
          <w:szCs w:val="22"/>
          <w:lang w:val="de-DE"/>
        </w:rPr>
        <w:t xml:space="preserve">Sing, M. C. P., Ma, Q., &amp; Gu, Q. (2025). </w:t>
      </w:r>
      <w:r>
        <w:rPr>
          <w:rFonts w:ascii="Times New Roman" w:eastAsia="Times New Roman" w:hAnsi="Times New Roman" w:cs="Times New Roman"/>
          <w:color w:val="000000"/>
          <w:sz w:val="22"/>
          <w:szCs w:val="22"/>
        </w:rPr>
        <w:t xml:space="preserve">Improving Cost Contingency Estimation in Infrastructure Projects with Artificial Neural Networks and a Complexity Index. Applied Sciences, 15(7), 3519. </w:t>
      </w:r>
      <w:hyperlink r:id="rId55">
        <w:r w:rsidR="00506EDB">
          <w:rPr>
            <w:rFonts w:ascii="Times New Roman" w:eastAsia="Times New Roman" w:hAnsi="Times New Roman" w:cs="Times New Roman"/>
            <w:color w:val="0000FF"/>
            <w:sz w:val="22"/>
            <w:szCs w:val="22"/>
            <w:u w:val="single"/>
          </w:rPr>
          <w:t>https://doi.org/10.3390/app15073519</w:t>
        </w:r>
      </w:hyperlink>
    </w:p>
    <w:p w14:paraId="32CCD3F8"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Tian, K., Zhu, Z., </w:t>
      </w:r>
      <w:proofErr w:type="spellStart"/>
      <w:r>
        <w:rPr>
          <w:rFonts w:ascii="Times New Roman" w:eastAsia="Times New Roman" w:hAnsi="Times New Roman" w:cs="Times New Roman"/>
          <w:color w:val="000000"/>
          <w:sz w:val="22"/>
          <w:szCs w:val="22"/>
        </w:rPr>
        <w:t>Mbachu</w:t>
      </w:r>
      <w:proofErr w:type="spellEnd"/>
      <w:r>
        <w:rPr>
          <w:rFonts w:ascii="Times New Roman" w:eastAsia="Times New Roman" w:hAnsi="Times New Roman" w:cs="Times New Roman"/>
          <w:color w:val="000000"/>
          <w:sz w:val="22"/>
          <w:szCs w:val="22"/>
        </w:rPr>
        <w:t xml:space="preserve">, J., </w:t>
      </w:r>
      <w:proofErr w:type="spellStart"/>
      <w:r>
        <w:rPr>
          <w:rFonts w:ascii="Times New Roman" w:eastAsia="Times New Roman" w:hAnsi="Times New Roman" w:cs="Times New Roman"/>
          <w:color w:val="000000"/>
          <w:sz w:val="22"/>
          <w:szCs w:val="22"/>
        </w:rPr>
        <w:t>Ghanbaripour</w:t>
      </w:r>
      <w:proofErr w:type="spellEnd"/>
      <w:r>
        <w:rPr>
          <w:rFonts w:ascii="Times New Roman" w:eastAsia="Times New Roman" w:hAnsi="Times New Roman" w:cs="Times New Roman"/>
          <w:color w:val="000000"/>
          <w:sz w:val="22"/>
          <w:szCs w:val="22"/>
        </w:rPr>
        <w:t>, A., &amp; Moorhead, M. (2025). Artificial intelligence in risk management within the realm of construction projects: A bibliometric analysis and systematic literature review. </w:t>
      </w:r>
      <w:r>
        <w:rPr>
          <w:rFonts w:ascii="Times New Roman" w:eastAsia="Times New Roman" w:hAnsi="Times New Roman" w:cs="Times New Roman"/>
          <w:i/>
          <w:iCs/>
          <w:color w:val="000000"/>
          <w:sz w:val="22"/>
          <w:szCs w:val="22"/>
        </w:rPr>
        <w:t>Journal of Innovation &amp; Knowledge</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10</w:t>
      </w:r>
      <w:r>
        <w:rPr>
          <w:rFonts w:ascii="Times New Roman" w:eastAsia="Times New Roman" w:hAnsi="Times New Roman" w:cs="Times New Roman"/>
          <w:color w:val="000000"/>
          <w:sz w:val="22"/>
          <w:szCs w:val="22"/>
        </w:rPr>
        <w:t xml:space="preserve">(3), 100711. </w:t>
      </w:r>
      <w:hyperlink r:id="rId56">
        <w:r w:rsidR="00506EDB">
          <w:rPr>
            <w:rFonts w:ascii="Times New Roman" w:eastAsia="Times New Roman" w:hAnsi="Times New Roman" w:cs="Times New Roman"/>
            <w:color w:val="0000FF"/>
            <w:sz w:val="22"/>
            <w:szCs w:val="22"/>
            <w:u w:val="single"/>
          </w:rPr>
          <w:t>https://doi.org/10.1016/j.jik.2025.100711</w:t>
        </w:r>
      </w:hyperlink>
    </w:p>
    <w:p w14:paraId="76ECB173" w14:textId="77777777" w:rsidR="00506EDB" w:rsidRDefault="00EA765F">
      <w:pPr>
        <w:numPr>
          <w:ilvl w:val="0"/>
          <w:numId w:val="3"/>
        </w:numPr>
        <w:pBdr>
          <w:top w:val="nil"/>
          <w:left w:val="nil"/>
          <w:bottom w:val="nil"/>
          <w:right w:val="nil"/>
          <w:between w:val="nil"/>
        </w:pBdr>
        <w:spacing w:after="0" w:line="278"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Yalçın, G., Bayram, S., &amp; </w:t>
      </w:r>
      <w:proofErr w:type="spellStart"/>
      <w:r>
        <w:rPr>
          <w:rFonts w:ascii="Times New Roman" w:eastAsia="Times New Roman" w:hAnsi="Times New Roman" w:cs="Times New Roman"/>
          <w:color w:val="000000"/>
          <w:sz w:val="22"/>
          <w:szCs w:val="22"/>
        </w:rPr>
        <w:t>Çıtakoğlu</w:t>
      </w:r>
      <w:proofErr w:type="spellEnd"/>
      <w:r>
        <w:rPr>
          <w:rFonts w:ascii="Times New Roman" w:eastAsia="Times New Roman" w:hAnsi="Times New Roman" w:cs="Times New Roman"/>
          <w:color w:val="000000"/>
          <w:sz w:val="22"/>
          <w:szCs w:val="22"/>
        </w:rPr>
        <w:t>, H. (2024). Evaluation of earned value management-based cost estimation via machine learning. </w:t>
      </w:r>
      <w:r>
        <w:rPr>
          <w:rFonts w:ascii="Times New Roman" w:eastAsia="Times New Roman" w:hAnsi="Times New Roman" w:cs="Times New Roman"/>
          <w:i/>
          <w:iCs/>
          <w:color w:val="000000"/>
          <w:sz w:val="22"/>
          <w:szCs w:val="22"/>
        </w:rPr>
        <w:t>Buildings</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14</w:t>
      </w:r>
      <w:r>
        <w:rPr>
          <w:rFonts w:ascii="Times New Roman" w:eastAsia="Times New Roman" w:hAnsi="Times New Roman" w:cs="Times New Roman"/>
          <w:color w:val="000000"/>
          <w:sz w:val="22"/>
          <w:szCs w:val="22"/>
        </w:rPr>
        <w:t xml:space="preserve">(12), 3772. </w:t>
      </w:r>
      <w:r>
        <w:rPr>
          <w:rFonts w:ascii="Times New Roman" w:eastAsia="Times New Roman" w:hAnsi="Times New Roman" w:cs="Times New Roman"/>
          <w:color w:val="000000"/>
          <w:sz w:val="22"/>
          <w:szCs w:val="22"/>
        </w:rPr>
        <w:br/>
        <w:t>https://doi.org/10.3390/buildings14123772</w:t>
      </w:r>
    </w:p>
    <w:p w14:paraId="7160793E" w14:textId="77777777" w:rsidR="00506EDB" w:rsidRDefault="00EA765F">
      <w:pPr>
        <w:numPr>
          <w:ilvl w:val="0"/>
          <w:numId w:val="3"/>
        </w:numPr>
        <w:pBdr>
          <w:top w:val="nil"/>
          <w:left w:val="nil"/>
          <w:bottom w:val="nil"/>
          <w:right w:val="nil"/>
          <w:between w:val="nil"/>
        </w:pBdr>
        <w:spacing w:after="160" w:line="278" w:lineRule="auto"/>
        <w:rPr>
          <w:rFonts w:ascii="Times New Roman" w:eastAsia="Times New Roman" w:hAnsi="Times New Roman" w:cs="Times New Roman"/>
          <w:color w:val="000000"/>
          <w:sz w:val="22"/>
          <w:szCs w:val="22"/>
        </w:rPr>
      </w:pPr>
      <w:r w:rsidRPr="00111BFC">
        <w:rPr>
          <w:rFonts w:ascii="Times New Roman" w:eastAsia="Times New Roman" w:hAnsi="Times New Roman" w:cs="Times New Roman"/>
          <w:color w:val="000000"/>
          <w:sz w:val="22"/>
          <w:szCs w:val="22"/>
          <w:lang w:val="es-US"/>
        </w:rPr>
        <w:t xml:space="preserve">Zani, D., Adey, B. T., &amp; Carroll, S. (2024). </w:t>
      </w:r>
      <w:r>
        <w:rPr>
          <w:rFonts w:ascii="Times New Roman" w:eastAsia="Times New Roman" w:hAnsi="Times New Roman" w:cs="Times New Roman"/>
          <w:color w:val="000000"/>
          <w:sz w:val="22"/>
          <w:szCs w:val="22"/>
        </w:rPr>
        <w:t>An approach to support reference class forecasting when adequate project data are unavailable. </w:t>
      </w:r>
      <w:r>
        <w:rPr>
          <w:rFonts w:ascii="Times New Roman" w:eastAsia="Times New Roman" w:hAnsi="Times New Roman" w:cs="Times New Roman"/>
          <w:i/>
          <w:iCs/>
          <w:color w:val="000000"/>
          <w:sz w:val="22"/>
          <w:szCs w:val="22"/>
        </w:rPr>
        <w:t>Results in Engineering</w:t>
      </w:r>
      <w:r>
        <w:rPr>
          <w:rFonts w:ascii="Times New Roman" w:eastAsia="Times New Roman" w:hAnsi="Times New Roman" w:cs="Times New Roman"/>
          <w:color w:val="000000"/>
          <w:sz w:val="22"/>
          <w:szCs w:val="22"/>
        </w:rPr>
        <w:t>, </w:t>
      </w:r>
      <w:r>
        <w:rPr>
          <w:rFonts w:ascii="Times New Roman" w:eastAsia="Times New Roman" w:hAnsi="Times New Roman" w:cs="Times New Roman"/>
          <w:i/>
          <w:iCs/>
          <w:color w:val="000000"/>
          <w:sz w:val="22"/>
          <w:szCs w:val="22"/>
        </w:rPr>
        <w:t>22</w:t>
      </w:r>
      <w:r>
        <w:rPr>
          <w:rFonts w:ascii="Times New Roman" w:eastAsia="Times New Roman" w:hAnsi="Times New Roman" w:cs="Times New Roman"/>
          <w:color w:val="000000"/>
          <w:sz w:val="22"/>
          <w:szCs w:val="22"/>
        </w:rPr>
        <w:t xml:space="preserve">, 102333. </w:t>
      </w:r>
      <w:hyperlink r:id="rId57">
        <w:r w:rsidR="00506EDB">
          <w:rPr>
            <w:rFonts w:ascii="Times New Roman" w:eastAsia="Times New Roman" w:hAnsi="Times New Roman" w:cs="Times New Roman"/>
            <w:color w:val="0000FF"/>
            <w:sz w:val="22"/>
            <w:szCs w:val="22"/>
            <w:u w:val="single"/>
          </w:rPr>
          <w:t>https://doi.org/10.1016/j.rineng.2024.102333</w:t>
        </w:r>
      </w:hyperlink>
    </w:p>
    <w:sectPr w:rsidR="00506ED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9A1EF" w14:textId="77777777" w:rsidR="008E505D" w:rsidRDefault="008E505D" w:rsidP="0090734F">
      <w:pPr>
        <w:spacing w:after="0" w:line="240" w:lineRule="auto"/>
      </w:pPr>
      <w:r>
        <w:separator/>
      </w:r>
    </w:p>
  </w:endnote>
  <w:endnote w:type="continuationSeparator" w:id="0">
    <w:p w14:paraId="760A9577" w14:textId="77777777" w:rsidR="008E505D" w:rsidRDefault="008E505D" w:rsidP="00907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6FEAA3-33F8-46F8-AEFF-44D3B06CAF61}"/>
    <w:embedBold r:id="rId2" w:fontKey="{6DC6B42D-0F2E-4C8A-A5D0-0ADF2F53B3F5}"/>
    <w:embedItalic r:id="rId3" w:fontKey="{5AFDA28F-B332-4441-A753-281C368499E2}"/>
    <w:embedBoldItalic r:id="rId4" w:fontKey="{2EC13FCB-3475-4B3A-BC5F-F65D5EDDE82C}"/>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544E0B22-89DF-460C-B6A2-9C64F35948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AEE30" w14:textId="77777777" w:rsidR="0090734F" w:rsidRDefault="009073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D97D8" w14:textId="77777777" w:rsidR="0090734F" w:rsidRDefault="009073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85C31" w14:textId="77777777" w:rsidR="0090734F" w:rsidRDefault="00907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30F43" w14:textId="77777777" w:rsidR="008E505D" w:rsidRDefault="008E505D" w:rsidP="0090734F">
      <w:pPr>
        <w:spacing w:after="0" w:line="240" w:lineRule="auto"/>
      </w:pPr>
      <w:r>
        <w:separator/>
      </w:r>
    </w:p>
  </w:footnote>
  <w:footnote w:type="continuationSeparator" w:id="0">
    <w:p w14:paraId="1338CFD5" w14:textId="77777777" w:rsidR="008E505D" w:rsidRDefault="008E505D" w:rsidP="00907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D6770" w14:textId="3383F005" w:rsidR="0090734F" w:rsidRDefault="00000000">
    <w:pPr>
      <w:pStyle w:val="Header"/>
    </w:pPr>
    <w:r>
      <w:rPr>
        <w:noProof/>
      </w:rPr>
      <w:pict w14:anchorId="04405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3520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DB2ED" w14:textId="7E410A08" w:rsidR="0090734F" w:rsidRDefault="00000000">
    <w:pPr>
      <w:pStyle w:val="Header"/>
    </w:pPr>
    <w:r>
      <w:rPr>
        <w:noProof/>
      </w:rPr>
      <w:pict w14:anchorId="788AC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3520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08F43" w14:textId="79C754C6" w:rsidR="0090734F" w:rsidRDefault="00000000">
    <w:pPr>
      <w:pStyle w:val="Header"/>
    </w:pPr>
    <w:r>
      <w:rPr>
        <w:noProof/>
      </w:rPr>
      <w:pict w14:anchorId="77C5C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3520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1581F"/>
    <w:multiLevelType w:val="multilevel"/>
    <w:tmpl w:val="B1580D32"/>
    <w:lvl w:ilvl="0">
      <w:start w:val="1"/>
      <w:numFmt w:val="decimal"/>
      <w:pStyle w:val="ListBullet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1C0C1C"/>
    <w:multiLevelType w:val="multilevel"/>
    <w:tmpl w:val="7CA08A3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BA24C06"/>
    <w:multiLevelType w:val="multilevel"/>
    <w:tmpl w:val="87787F4C"/>
    <w:lvl w:ilvl="0">
      <w:start w:val="1"/>
      <w:numFmt w:val="decimal"/>
      <w:pStyle w:val="ListBullet"/>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51917CC2"/>
    <w:multiLevelType w:val="multilevel"/>
    <w:tmpl w:val="E84A054E"/>
    <w:lvl w:ilvl="0">
      <w:start w:val="1"/>
      <w:numFmt w:val="lowerRoman"/>
      <w:pStyle w:val="ListBullet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25375356">
    <w:abstractNumId w:val="2"/>
  </w:num>
  <w:num w:numId="2" w16cid:durableId="2056542617">
    <w:abstractNumId w:val="3"/>
  </w:num>
  <w:num w:numId="3" w16cid:durableId="1118573087">
    <w:abstractNumId w:val="0"/>
  </w:num>
  <w:num w:numId="4" w16cid:durableId="15741758">
    <w:abstractNumId w:val="1"/>
  </w:num>
  <w:num w:numId="5" w16cid:durableId="12700908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83759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C0MDMxM7c0NDEyMTJV0lEKTi0uzszPAykwrAUA34kg9CwAAAA="/>
  </w:docVars>
  <w:rsids>
    <w:rsidRoot w:val="00506EDB"/>
    <w:rsid w:val="00111BFC"/>
    <w:rsid w:val="001830DE"/>
    <w:rsid w:val="001B2553"/>
    <w:rsid w:val="00215449"/>
    <w:rsid w:val="00293D40"/>
    <w:rsid w:val="00296DF4"/>
    <w:rsid w:val="002A0038"/>
    <w:rsid w:val="002B653A"/>
    <w:rsid w:val="00304171"/>
    <w:rsid w:val="0046547A"/>
    <w:rsid w:val="00506EDB"/>
    <w:rsid w:val="0052348B"/>
    <w:rsid w:val="006047A1"/>
    <w:rsid w:val="006922C6"/>
    <w:rsid w:val="007141B8"/>
    <w:rsid w:val="008948DC"/>
    <w:rsid w:val="008C6F5E"/>
    <w:rsid w:val="008E505D"/>
    <w:rsid w:val="008E5654"/>
    <w:rsid w:val="0090734F"/>
    <w:rsid w:val="00964ACF"/>
    <w:rsid w:val="009D1554"/>
    <w:rsid w:val="00AF28C4"/>
    <w:rsid w:val="00B92D64"/>
    <w:rsid w:val="00C05E25"/>
    <w:rsid w:val="00C21B06"/>
    <w:rsid w:val="00D874E4"/>
    <w:rsid w:val="00EA765F"/>
    <w:rsid w:val="00ED7DA1"/>
    <w:rsid w:val="00EF5C6A"/>
    <w:rsid w:val="00F07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79DCF"/>
  <w15:docId w15:val="{15657583-BFA2-4951-87B3-C0C11DE48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6"/>
        <w:szCs w:val="16"/>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PlainTable1">
    <w:name w:val="Plain Table 1"/>
    <w:basedOn w:val="TableNormal"/>
    <w:uiPriority w:val="99"/>
    <w:rsid w:val="000736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07367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300E89"/>
    <w:rPr>
      <w:color w:val="0000FF" w:themeColor="hyperlink"/>
      <w:u w:val="single"/>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3390/su14105835" TargetMode="External"/><Relationship Id="rId26" Type="http://schemas.openxmlformats.org/officeDocument/2006/relationships/hyperlink" Target="https://doi.org/10.1016/j.plas.2024.100128" TargetMode="External"/><Relationship Id="rId39" Type="http://schemas.openxmlformats.org/officeDocument/2006/relationships/hyperlink" Target="https://doi.org/10.1016/j.asej.2018.11.008" TargetMode="External"/><Relationship Id="rId21" Type="http://schemas.openxmlformats.org/officeDocument/2006/relationships/hyperlink" Target="https://doi.org/10.3390/su162411159" TargetMode="External"/><Relationship Id="rId34" Type="http://schemas.openxmlformats.org/officeDocument/2006/relationships/hyperlink" Target="https://doi.org/10.3390/buildings15193505" TargetMode="External"/><Relationship Id="rId42" Type="http://schemas.openxmlformats.org/officeDocument/2006/relationships/hyperlink" Target="https://doi.org/10.3390/buildings13030667" TargetMode="External"/><Relationship Id="rId47" Type="http://schemas.openxmlformats.org/officeDocument/2006/relationships/hyperlink" Target="https://doi.org/10.3390/buildings14030601" TargetMode="External"/><Relationship Id="rId50" Type="http://schemas.openxmlformats.org/officeDocument/2006/relationships/hyperlink" Target="https://doi.org/10.1108/JEDT-05-2019-0121" TargetMode="External"/><Relationship Id="rId55" Type="http://schemas.openxmlformats.org/officeDocument/2006/relationships/hyperlink" Target="https://doi.org/10.3390/app150735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61/(ASCE)ME.1943-5479.0000917" TargetMode="External"/><Relationship Id="rId29" Type="http://schemas.openxmlformats.org/officeDocument/2006/relationships/hyperlink" Target="https://doi.org/10.1016/j.autcon.2018.11.030" TargetMode="External"/><Relationship Id="rId11" Type="http://schemas.openxmlformats.org/officeDocument/2006/relationships/header" Target="header2.xml"/><Relationship Id="rId24" Type="http://schemas.openxmlformats.org/officeDocument/2006/relationships/hyperlink" Target="https://doi.org/10.1016/j.plas.2024.100171" TargetMode="External"/><Relationship Id="rId32" Type="http://schemas.openxmlformats.org/officeDocument/2006/relationships/hyperlink" Target="https://doi.org/10.2174/1874149502115010038" TargetMode="External"/><Relationship Id="rId37" Type="http://schemas.openxmlformats.org/officeDocument/2006/relationships/hyperlink" Target="https://doi.org/10.1016/j.asej.2021.09.005" TargetMode="External"/><Relationship Id="rId40" Type="http://schemas.openxmlformats.org/officeDocument/2006/relationships/hyperlink" Target="https://doi.org/10.1016/j.autcon.2024.105716" TargetMode="External"/><Relationship Id="rId45" Type="http://schemas.openxmlformats.org/officeDocument/2006/relationships/hyperlink" Target="https://doi.org/10.1016/j.tranpol.2023.02.017" TargetMode="External"/><Relationship Id="rId53" Type="http://schemas.openxmlformats.org/officeDocument/2006/relationships/hyperlink" Target="https://doi.org/10.3390/su132212690"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1016/j.autcon.2023.10518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doi.org/10.3390/infrastructures10060139" TargetMode="External"/><Relationship Id="rId27" Type="http://schemas.openxmlformats.org/officeDocument/2006/relationships/hyperlink" Target="https://doi.org/10.3390/systems13080625" TargetMode="External"/><Relationship Id="rId30" Type="http://schemas.openxmlformats.org/officeDocument/2006/relationships/hyperlink" Target="https://doi.org/10.3390/buildings12122173" TargetMode="External"/><Relationship Id="rId35" Type="http://schemas.openxmlformats.org/officeDocument/2006/relationships/hyperlink" Target="https://doi.org/10.3390/app10165506" TargetMode="External"/><Relationship Id="rId43" Type="http://schemas.openxmlformats.org/officeDocument/2006/relationships/hyperlink" Target="https://doi.org/10.3390/su132011507" TargetMode="External"/><Relationship Id="rId48" Type="http://schemas.openxmlformats.org/officeDocument/2006/relationships/hyperlink" Target="https://doi.org/10.48084/etasr.8173" TargetMode="External"/><Relationship Id="rId56" Type="http://schemas.openxmlformats.org/officeDocument/2006/relationships/hyperlink" Target="https://doi.org/10.1016/j.jik.2025.100711" TargetMode="External"/><Relationship Id="rId8" Type="http://schemas.openxmlformats.org/officeDocument/2006/relationships/image" Target="media/image1.png"/><Relationship Id="rId51" Type="http://schemas.openxmlformats.org/officeDocument/2006/relationships/hyperlink" Target="https://doi.org/10.1016/j.autcon.2025.10642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i.org/10.1016/j.proeng.2017.03.105" TargetMode="External"/><Relationship Id="rId25" Type="http://schemas.openxmlformats.org/officeDocument/2006/relationships/hyperlink" Target="https://doi.org/10.1016/j.eswa.2025.127891" TargetMode="External"/><Relationship Id="rId33" Type="http://schemas.openxmlformats.org/officeDocument/2006/relationships/hyperlink" Target="https://doi.org/10.1016/j.eswa.2024.123789" TargetMode="External"/><Relationship Id="rId38" Type="http://schemas.openxmlformats.org/officeDocument/2006/relationships/hyperlink" Target="https://doi.org/10.1108/ECAM-07-2021-0602" TargetMode="External"/><Relationship Id="rId46" Type="http://schemas.openxmlformats.org/officeDocument/2006/relationships/hyperlink" Target="https://doi.org/10.1016/j.autcon.2024.105836" TargetMode="External"/><Relationship Id="rId59" Type="http://schemas.openxmlformats.org/officeDocument/2006/relationships/theme" Target="theme/theme1.xml"/><Relationship Id="rId20" Type="http://schemas.openxmlformats.org/officeDocument/2006/relationships/hyperlink" Target="https://doi.org/10.1016/j.asej.2022.101720" TargetMode="External"/><Relationship Id="rId41" Type="http://schemas.openxmlformats.org/officeDocument/2006/relationships/hyperlink" Target="https://doi.org/10.3390/su11195388" TargetMode="External"/><Relationship Id="rId54" Type="http://schemas.openxmlformats.org/officeDocument/2006/relationships/hyperlink" Target="https://doi.org/10.3390/su161776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doi.org/10.1061/(ASCE)CO.1943-7862.0001008" TargetMode="External"/><Relationship Id="rId28" Type="http://schemas.openxmlformats.org/officeDocument/2006/relationships/hyperlink" Target="https://doi.org/10.1016/j.aej.2023.10.052" TargetMode="External"/><Relationship Id="rId36" Type="http://schemas.openxmlformats.org/officeDocument/2006/relationships/hyperlink" Target="https://doi.org/10.3390/app15137464" TargetMode="External"/><Relationship Id="rId49" Type="http://schemas.openxmlformats.org/officeDocument/2006/relationships/hyperlink" Target="https://doi.org/10.1186/s40537-020-00343-4" TargetMode="External"/><Relationship Id="rId57" Type="http://schemas.openxmlformats.org/officeDocument/2006/relationships/hyperlink" Target="https://doi.org/10.1016/j.rineng.2024.102333" TargetMode="External"/><Relationship Id="rId10" Type="http://schemas.openxmlformats.org/officeDocument/2006/relationships/header" Target="header1.xml"/><Relationship Id="rId31" Type="http://schemas.openxmlformats.org/officeDocument/2006/relationships/hyperlink" Target="https://doi.org/10.3846/13923730.2014.992467" TargetMode="External"/><Relationship Id="rId44" Type="http://schemas.openxmlformats.org/officeDocument/2006/relationships/hyperlink" Target="https://doi.org/10.1068/b130102p" TargetMode="External"/><Relationship Id="rId52" Type="http://schemas.openxmlformats.org/officeDocument/2006/relationships/hyperlink" Target="https://doi.org/10.1007/s12205-020-1391-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2e5vS2lQbuOaATJcenCWmL5Ww==">CgMxLjA4AHIhMUcxWVUydWcxdHJ5S1F2cE1qT3liNzdud0QwWWM0WFJI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985</TotalTime>
  <Pages>19</Pages>
  <Words>9132</Words>
  <Characters>52053</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kelechi Eze</cp:lastModifiedBy>
  <cp:revision>53</cp:revision>
  <dcterms:created xsi:type="dcterms:W3CDTF">2026-03-12T18:06:00Z</dcterms:created>
  <dcterms:modified xsi:type="dcterms:W3CDTF">2026-04-04T19:59:00Z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1391ab39-5a8a-42db-8494-9284eef71e66</vt:lpwstr>
  </property>
</Properties>
</file>