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E673E" w14:textId="21D198C3" w:rsidR="00754C9A" w:rsidRDefault="00CE3DA1" w:rsidP="00B55917">
      <w:pPr>
        <w:pStyle w:val="Title"/>
        <w:spacing w:after="0"/>
        <w:jc w:val="both"/>
        <w:rPr>
          <w:rFonts w:ascii="Arial" w:hAnsi="Arial" w:cs="Arial"/>
        </w:rPr>
      </w:pPr>
      <w:r w:rsidRPr="00CE3DA1">
        <w:rPr>
          <w:rFonts w:ascii="Arial" w:hAnsi="Arial" w:cs="Arial"/>
        </w:rPr>
        <w:t>Original Research Article</w:t>
      </w:r>
    </w:p>
    <w:p w14:paraId="29F4541D" w14:textId="77777777" w:rsidR="00CE3DA1" w:rsidRDefault="00CE3DA1" w:rsidP="00B55917">
      <w:pPr>
        <w:pStyle w:val="Title"/>
        <w:spacing w:after="0"/>
        <w:jc w:val="both"/>
        <w:rPr>
          <w:rFonts w:ascii="Arial" w:hAnsi="Arial" w:cs="Arial"/>
        </w:rPr>
      </w:pPr>
    </w:p>
    <w:p w14:paraId="6E45A3BC" w14:textId="766FD111" w:rsidR="00A258C3" w:rsidRPr="006C767B" w:rsidRDefault="00B55917" w:rsidP="00B55917">
      <w:pPr>
        <w:pStyle w:val="Author"/>
        <w:spacing w:line="240" w:lineRule="auto"/>
        <w:jc w:val="both"/>
        <w:rPr>
          <w:rFonts w:ascii="Arial" w:hAnsi="Arial" w:cs="Arial"/>
          <w:sz w:val="40"/>
        </w:rPr>
      </w:pPr>
      <w:r w:rsidRPr="006C767B">
        <w:rPr>
          <w:sz w:val="28"/>
          <w:highlight w:val="yellow"/>
        </w:rPr>
        <w:t xml:space="preserve">Clinician Perspectives on SGLT2 Inhibitor Use in Type 2 Diabetes and Heart Failure: Findings </w:t>
      </w:r>
      <w:proofErr w:type="gramStart"/>
      <w:r w:rsidRPr="006C767B">
        <w:rPr>
          <w:sz w:val="28"/>
          <w:highlight w:val="yellow"/>
        </w:rPr>
        <w:t>From</w:t>
      </w:r>
      <w:proofErr w:type="gramEnd"/>
      <w:r w:rsidRPr="006C767B">
        <w:rPr>
          <w:sz w:val="28"/>
          <w:highlight w:val="yellow"/>
        </w:rPr>
        <w:t xml:space="preserve"> an Indian Cross-Sectional Survey</w:t>
      </w:r>
    </w:p>
    <w:p w14:paraId="52986C31" w14:textId="77777777" w:rsidR="006A00B8" w:rsidRDefault="006A00B8" w:rsidP="00B55917">
      <w:pPr>
        <w:pStyle w:val="Affiliation"/>
        <w:spacing w:after="0" w:line="240" w:lineRule="auto"/>
        <w:jc w:val="both"/>
        <w:rPr>
          <w:rFonts w:ascii="Arial" w:hAnsi="Arial" w:cs="Arial"/>
        </w:rPr>
      </w:pPr>
    </w:p>
    <w:p w14:paraId="3C7B6938" w14:textId="77777777" w:rsidR="002C57D2" w:rsidRPr="00FB3A86" w:rsidRDefault="002C57D2" w:rsidP="00B55917">
      <w:pPr>
        <w:pStyle w:val="Affiliation"/>
        <w:spacing w:after="0" w:line="240" w:lineRule="auto"/>
        <w:jc w:val="both"/>
        <w:rPr>
          <w:rFonts w:ascii="Arial" w:hAnsi="Arial" w:cs="Arial"/>
        </w:rPr>
      </w:pPr>
    </w:p>
    <w:p w14:paraId="658065E1" w14:textId="77777777" w:rsidR="00B01FCD" w:rsidRPr="00FB3A86" w:rsidRDefault="006C767B" w:rsidP="00B55917">
      <w:pPr>
        <w:pStyle w:val="Copyright"/>
        <w:spacing w:after="0" w:line="240" w:lineRule="auto"/>
        <w:jc w:val="both"/>
        <w:rPr>
          <w:rFonts w:ascii="Arial" w:hAnsi="Arial" w:cs="Arial"/>
        </w:rPr>
        <w:sectPr w:rsidR="00B01FCD" w:rsidRPr="00FB3A86" w:rsidSect="007B078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B7FE39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9D14F18" w14:textId="77777777" w:rsidR="00B01FCD" w:rsidRDefault="00B01FCD" w:rsidP="00B55917">
      <w:pPr>
        <w:pStyle w:val="AbstHead"/>
        <w:spacing w:after="0"/>
        <w:jc w:val="both"/>
        <w:rPr>
          <w:rFonts w:ascii="Arial" w:hAnsi="Arial" w:cs="Arial"/>
        </w:rPr>
      </w:pPr>
      <w:r w:rsidRPr="00FB3A86">
        <w:rPr>
          <w:rFonts w:ascii="Arial" w:hAnsi="Arial" w:cs="Arial"/>
        </w:rPr>
        <w:t>ABSTRACT</w:t>
      </w:r>
    </w:p>
    <w:p w14:paraId="3DD403D7" w14:textId="77777777" w:rsidR="00790ADA" w:rsidRPr="00FB3A86" w:rsidRDefault="00790ADA" w:rsidP="00B55917">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8CDE23B" w14:textId="77777777" w:rsidTr="001E44FE">
        <w:tc>
          <w:tcPr>
            <w:tcW w:w="9576" w:type="dxa"/>
            <w:shd w:val="clear" w:color="auto" w:fill="F2F2F2"/>
          </w:tcPr>
          <w:p w14:paraId="55778253" w14:textId="77777777" w:rsidR="00A54E42" w:rsidRPr="00A54E42" w:rsidRDefault="00A54E42" w:rsidP="00B55917">
            <w:pPr>
              <w:pStyle w:val="Body"/>
              <w:rPr>
                <w:rFonts w:ascii="Arial" w:eastAsia="Calibri" w:hAnsi="Arial" w:cs="Arial"/>
                <w:b/>
                <w:bCs/>
                <w:szCs w:val="22"/>
                <w:highlight w:val="cyan"/>
              </w:rPr>
            </w:pPr>
            <w:r w:rsidRPr="00A54E42">
              <w:rPr>
                <w:rFonts w:ascii="Arial" w:eastAsia="Calibri" w:hAnsi="Arial" w:cs="Arial"/>
                <w:b/>
                <w:bCs/>
                <w:szCs w:val="22"/>
                <w:highlight w:val="cyan"/>
              </w:rPr>
              <w:t>Background:</w:t>
            </w:r>
          </w:p>
          <w:p w14:paraId="56E57059" w14:textId="77777777" w:rsidR="00A54E42" w:rsidRPr="00A54E42" w:rsidRDefault="00A54E42" w:rsidP="00B55917">
            <w:pPr>
              <w:pStyle w:val="Body"/>
              <w:rPr>
                <w:rFonts w:ascii="Arial" w:eastAsia="Calibri" w:hAnsi="Arial" w:cs="Arial"/>
                <w:b/>
                <w:bCs/>
                <w:szCs w:val="22"/>
                <w:highlight w:val="cyan"/>
              </w:rPr>
            </w:pPr>
            <w:r w:rsidRPr="00A54E42">
              <w:rPr>
                <w:rFonts w:ascii="Arial" w:eastAsia="Calibri" w:hAnsi="Arial" w:cs="Arial"/>
                <w:b/>
                <w:bCs/>
                <w:szCs w:val="22"/>
                <w:highlight w:val="cyan"/>
              </w:rPr>
              <w:t>Type 2 diabetes mellitus (T2DM) and heart failure (HF) frequently coexist, sharing common risk factors and contributing to increased morbidity, mortality, and healthcare burden worldwide. Sodium-glucose cotransporter-2 inhibitors (SGLT2i), particularly dapagliflozin, have emerged as important therapeutic agents by providing glycemic control along with proven cardiovascular and renal benefits in patients with T2DM and comorbid HF.</w:t>
            </w:r>
          </w:p>
          <w:p w14:paraId="5687204F" w14:textId="2173147B" w:rsidR="00A54E42" w:rsidRPr="00A54E42" w:rsidRDefault="00A54E42" w:rsidP="00B55917">
            <w:pPr>
              <w:pStyle w:val="Body"/>
              <w:rPr>
                <w:rFonts w:ascii="Arial" w:eastAsia="Calibri" w:hAnsi="Arial" w:cs="Arial"/>
                <w:b/>
                <w:bCs/>
                <w:szCs w:val="22"/>
                <w:highlight w:val="cyan"/>
              </w:rPr>
            </w:pPr>
            <w:r w:rsidRPr="00A54E42">
              <w:rPr>
                <w:rFonts w:ascii="Arial" w:eastAsia="Calibri" w:hAnsi="Arial" w:cs="Arial"/>
                <w:b/>
                <w:bCs/>
                <w:szCs w:val="22"/>
                <w:highlight w:val="cyan"/>
              </w:rPr>
              <w:t>Aim:</w:t>
            </w:r>
          </w:p>
          <w:p w14:paraId="17BDDD31" w14:textId="10BFA65C" w:rsidR="00A54E42" w:rsidRDefault="006C767B" w:rsidP="00B55917">
            <w:pPr>
              <w:pStyle w:val="Body"/>
              <w:rPr>
                <w:rFonts w:ascii="Arial" w:eastAsia="Calibri" w:hAnsi="Arial" w:cs="Arial"/>
                <w:b/>
                <w:bCs/>
                <w:szCs w:val="22"/>
              </w:rPr>
            </w:pPr>
            <w:r>
              <w:rPr>
                <w:rFonts w:ascii="Arial" w:eastAsia="Calibri" w:hAnsi="Arial" w:cs="Arial"/>
                <w:b/>
                <w:bCs/>
                <w:szCs w:val="22"/>
                <w:highlight w:val="cyan"/>
              </w:rPr>
              <w:t>The present study</w:t>
            </w:r>
            <w:r w:rsidR="00A54E42" w:rsidRPr="00A54E42">
              <w:rPr>
                <w:rFonts w:ascii="Arial" w:eastAsia="Calibri" w:hAnsi="Arial" w:cs="Arial"/>
                <w:b/>
                <w:bCs/>
                <w:szCs w:val="22"/>
                <w:highlight w:val="cyan"/>
              </w:rPr>
              <w:t xml:space="preserve"> </w:t>
            </w:r>
            <w:proofErr w:type="gramStart"/>
            <w:r w:rsidR="00A54E42" w:rsidRPr="00A54E42">
              <w:rPr>
                <w:rFonts w:ascii="Arial" w:eastAsia="Calibri" w:hAnsi="Arial" w:cs="Arial"/>
                <w:b/>
                <w:bCs/>
                <w:szCs w:val="22"/>
                <w:highlight w:val="cyan"/>
              </w:rPr>
              <w:t>assess</w:t>
            </w:r>
            <w:proofErr w:type="gramEnd"/>
            <w:r w:rsidR="00A54E42" w:rsidRPr="00A54E42">
              <w:rPr>
                <w:rFonts w:ascii="Arial" w:eastAsia="Calibri" w:hAnsi="Arial" w:cs="Arial"/>
                <w:b/>
                <w:bCs/>
                <w:szCs w:val="22"/>
                <w:highlight w:val="cyan"/>
              </w:rPr>
              <w:t xml:space="preserve"> clinicians’ treatment preferences and their perceptions regarding the glycemic, cardiovascular, and renal benefits of SGLT2 inhibitors, especially dapagliflozin and its fixed-dose combinations, in the management of patients with T2DM and comorbid heart failure.</w:t>
            </w:r>
          </w:p>
          <w:p w14:paraId="675C8B23" w14:textId="333BC9EA" w:rsidR="001E6CCE" w:rsidRPr="001E6CCE" w:rsidRDefault="001E6CCE" w:rsidP="00B55917">
            <w:pPr>
              <w:pStyle w:val="Body"/>
              <w:rPr>
                <w:rFonts w:ascii="Arial" w:eastAsia="Calibri" w:hAnsi="Arial" w:cs="Arial"/>
                <w:szCs w:val="22"/>
              </w:rPr>
            </w:pPr>
            <w:r w:rsidRPr="001E6CCE">
              <w:rPr>
                <w:rFonts w:ascii="Arial" w:eastAsia="Calibri" w:hAnsi="Arial" w:cs="Arial"/>
                <w:b/>
                <w:bCs/>
                <w:szCs w:val="22"/>
              </w:rPr>
              <w:t xml:space="preserve">Objective: </w:t>
            </w:r>
            <w:r w:rsidRPr="001E6CCE">
              <w:rPr>
                <w:rFonts w:ascii="Arial" w:eastAsia="Calibri" w:hAnsi="Arial" w:cs="Arial"/>
                <w:szCs w:val="22"/>
              </w:rPr>
              <w:t>To assess clinicians' perspectives on the treatment preferences, and perceived glycemic benefits of sodium–glucose cotransporter-2 inhibitors (SGLT2i), particularly dapagliflozin and their fixed-dose combinations (FDC) in the management of patients with type 2 diabetes mellitus (T2DM) and comorbid heart failure (HF).</w:t>
            </w:r>
          </w:p>
          <w:p w14:paraId="6452AD5B" w14:textId="3E7BF5E0" w:rsidR="001E6CCE" w:rsidRPr="001E6CCE" w:rsidRDefault="001E6CCE" w:rsidP="00B55917">
            <w:pPr>
              <w:pStyle w:val="Body"/>
              <w:rPr>
                <w:rFonts w:ascii="Arial" w:eastAsia="Calibri" w:hAnsi="Arial" w:cs="Arial"/>
                <w:b/>
                <w:bCs/>
                <w:szCs w:val="22"/>
              </w:rPr>
            </w:pPr>
            <w:r w:rsidRPr="001E6CCE">
              <w:rPr>
                <w:rFonts w:ascii="Arial" w:eastAsia="Calibri" w:hAnsi="Arial" w:cs="Arial"/>
                <w:b/>
                <w:bCs/>
                <w:szCs w:val="22"/>
              </w:rPr>
              <w:t xml:space="preserve">Methods: </w:t>
            </w:r>
            <w:r w:rsidRPr="001E6CCE">
              <w:rPr>
                <w:rFonts w:ascii="Arial" w:eastAsia="Calibri" w:hAnsi="Arial" w:cs="Arial"/>
                <w:szCs w:val="22"/>
              </w:rPr>
              <w:t xml:space="preserve">This </w:t>
            </w:r>
            <w:r w:rsidR="00B37379" w:rsidRPr="00B37379">
              <w:rPr>
                <w:rFonts w:ascii="Arial" w:eastAsia="Calibri" w:hAnsi="Arial" w:cs="Arial"/>
                <w:szCs w:val="22"/>
                <w:highlight w:val="yellow"/>
              </w:rPr>
              <w:t xml:space="preserve">cross-sectional survey </w:t>
            </w:r>
            <w:r w:rsidR="00637DC5">
              <w:rPr>
                <w:rFonts w:ascii="Arial" w:eastAsia="Calibri" w:hAnsi="Arial" w:cs="Arial"/>
                <w:szCs w:val="22"/>
                <w:highlight w:val="yellow"/>
              </w:rPr>
              <w:t xml:space="preserve">was </w:t>
            </w:r>
            <w:r w:rsidR="00B37379" w:rsidRPr="00B37379">
              <w:rPr>
                <w:rFonts w:ascii="Arial" w:eastAsia="Calibri" w:hAnsi="Arial" w:cs="Arial"/>
                <w:szCs w:val="22"/>
                <w:highlight w:val="yellow"/>
              </w:rPr>
              <w:t>conducted across India</w:t>
            </w:r>
            <w:r w:rsidR="00B37379">
              <w:rPr>
                <w:rFonts w:ascii="Arial" w:eastAsia="Calibri" w:hAnsi="Arial" w:cs="Arial"/>
                <w:szCs w:val="22"/>
              </w:rPr>
              <w:t xml:space="preserve"> and </w:t>
            </w:r>
            <w:r w:rsidRPr="001E6CCE">
              <w:rPr>
                <w:rFonts w:ascii="Arial" w:eastAsia="Calibri" w:hAnsi="Arial" w:cs="Arial"/>
                <w:szCs w:val="22"/>
              </w:rPr>
              <w:t>used a</w:t>
            </w:r>
            <w:r w:rsidR="00637DC5">
              <w:rPr>
                <w:rFonts w:ascii="Arial" w:eastAsia="Calibri" w:hAnsi="Arial" w:cs="Arial"/>
                <w:szCs w:val="22"/>
              </w:rPr>
              <w:t xml:space="preserve"> </w:t>
            </w:r>
            <w:r w:rsidRPr="001E6CCE">
              <w:rPr>
                <w:rFonts w:ascii="Arial" w:eastAsia="Calibri" w:hAnsi="Arial" w:cs="Arial"/>
                <w:szCs w:val="22"/>
              </w:rPr>
              <w:t xml:space="preserve">22-item multiple-response questionnaire </w:t>
            </w:r>
            <w:r w:rsidR="00637DC5">
              <w:rPr>
                <w:rFonts w:ascii="Arial" w:eastAsia="Calibri" w:hAnsi="Arial" w:cs="Arial"/>
                <w:szCs w:val="22"/>
              </w:rPr>
              <w:t xml:space="preserve">booklet named </w:t>
            </w:r>
            <w:r w:rsidR="00637DC5" w:rsidRPr="00337284">
              <w:rPr>
                <w:rFonts w:ascii="Arial" w:eastAsia="Calibri" w:hAnsi="Arial" w:cs="Arial"/>
                <w:szCs w:val="22"/>
                <w:highlight w:val="yellow"/>
              </w:rPr>
              <w:t>“DELIGHT</w:t>
            </w:r>
            <w:r w:rsidR="00337284" w:rsidRPr="00337284">
              <w:rPr>
                <w:rFonts w:ascii="Arial" w:eastAsia="Calibri" w:hAnsi="Arial" w:cs="Arial"/>
                <w:szCs w:val="22"/>
                <w:highlight w:val="yellow"/>
              </w:rPr>
              <w:t xml:space="preserve"> study</w:t>
            </w:r>
            <w:r w:rsidR="00637DC5" w:rsidRPr="00337284">
              <w:rPr>
                <w:rFonts w:ascii="Arial" w:eastAsia="Calibri" w:hAnsi="Arial" w:cs="Arial"/>
                <w:szCs w:val="22"/>
                <w:highlight w:val="yellow"/>
              </w:rPr>
              <w:t>”</w:t>
            </w:r>
            <w:r w:rsidR="00637DC5" w:rsidRPr="001E6CCE">
              <w:rPr>
                <w:rFonts w:ascii="Arial" w:eastAsia="Calibri" w:hAnsi="Arial" w:cs="Arial"/>
                <w:szCs w:val="22"/>
              </w:rPr>
              <w:t xml:space="preserve"> </w:t>
            </w:r>
            <w:r w:rsidRPr="001E6CCE">
              <w:rPr>
                <w:rFonts w:ascii="Arial" w:eastAsia="Calibri" w:hAnsi="Arial" w:cs="Arial"/>
                <w:szCs w:val="22"/>
              </w:rPr>
              <w:t>to assess treatment preferences and glycemic benefits of SGLT2i, focusing on dapagliflozin and FDCs. Descriptive statistics were used to summarize responses</w:t>
            </w:r>
            <w:r w:rsidR="00E50E6C">
              <w:rPr>
                <w:rFonts w:ascii="Arial" w:eastAsia="Calibri" w:hAnsi="Arial" w:cs="Arial"/>
                <w:szCs w:val="22"/>
              </w:rPr>
              <w:t>,</w:t>
            </w:r>
            <w:r w:rsidR="00337284">
              <w:rPr>
                <w:rFonts w:ascii="Arial" w:eastAsia="Calibri" w:hAnsi="Arial" w:cs="Arial"/>
                <w:szCs w:val="22"/>
              </w:rPr>
              <w:t xml:space="preserve"> and </w:t>
            </w:r>
            <w:r w:rsidR="00337284" w:rsidRPr="00337284">
              <w:rPr>
                <w:rFonts w:eastAsia="MS Mincho"/>
                <w:bCs/>
                <w:highlight w:val="yellow"/>
              </w:rPr>
              <w:t>no inferential testing was conducted</w:t>
            </w:r>
            <w:r w:rsidRPr="00337284">
              <w:rPr>
                <w:rFonts w:ascii="Arial" w:eastAsia="Calibri" w:hAnsi="Arial" w:cs="Arial"/>
                <w:szCs w:val="22"/>
                <w:highlight w:val="yellow"/>
              </w:rPr>
              <w:t>.</w:t>
            </w:r>
            <w:r w:rsidRPr="001E6CCE">
              <w:rPr>
                <w:rFonts w:ascii="Arial" w:eastAsia="Calibri" w:hAnsi="Arial" w:cs="Arial"/>
                <w:b/>
                <w:bCs/>
                <w:szCs w:val="22"/>
              </w:rPr>
              <w:t xml:space="preserve"> </w:t>
            </w:r>
          </w:p>
          <w:p w14:paraId="52D16EA0" w14:textId="0B78236F" w:rsidR="001E6CCE" w:rsidRPr="001E6CCE" w:rsidRDefault="001E6CCE" w:rsidP="00B55917">
            <w:pPr>
              <w:pStyle w:val="Body"/>
              <w:rPr>
                <w:rFonts w:ascii="Arial" w:eastAsia="Calibri" w:hAnsi="Arial" w:cs="Arial"/>
                <w:szCs w:val="22"/>
                <w:lang w:val="en-IN"/>
              </w:rPr>
            </w:pPr>
            <w:r w:rsidRPr="001E6CCE">
              <w:rPr>
                <w:rFonts w:ascii="Arial" w:eastAsia="Calibri" w:hAnsi="Arial" w:cs="Arial"/>
                <w:b/>
                <w:bCs/>
                <w:szCs w:val="22"/>
              </w:rPr>
              <w:t xml:space="preserve">Result: </w:t>
            </w:r>
            <w:r w:rsidR="00B405B9" w:rsidRPr="00B405B9">
              <w:rPr>
                <w:rFonts w:ascii="Arial" w:eastAsia="Calibri" w:hAnsi="Arial" w:cs="Arial"/>
                <w:szCs w:val="22"/>
                <w:highlight w:val="yellow"/>
                <w:lang w:val="en-IN"/>
              </w:rPr>
              <w:t>Among</w:t>
            </w:r>
            <w:r w:rsidRPr="00B405B9">
              <w:rPr>
                <w:rFonts w:ascii="Arial" w:eastAsia="Calibri" w:hAnsi="Arial" w:cs="Arial"/>
                <w:szCs w:val="22"/>
                <w:highlight w:val="yellow"/>
                <w:lang w:val="en-IN"/>
              </w:rPr>
              <w:t xml:space="preserve"> 366 </w:t>
            </w:r>
            <w:r w:rsidR="00B405B9" w:rsidRPr="00B405B9">
              <w:rPr>
                <w:rFonts w:ascii="Arial" w:eastAsia="Calibri" w:hAnsi="Arial" w:cs="Arial"/>
                <w:szCs w:val="22"/>
                <w:highlight w:val="yellow"/>
                <w:lang w:val="en-IN"/>
              </w:rPr>
              <w:t>clinicians included,</w:t>
            </w:r>
            <w:r w:rsidRPr="001E6CCE">
              <w:rPr>
                <w:rFonts w:ascii="Arial" w:eastAsia="Calibri" w:hAnsi="Arial" w:cs="Arial"/>
                <w:szCs w:val="22"/>
                <w:lang w:val="en-IN"/>
              </w:rPr>
              <w:t xml:space="preserve"> nearly half (47.54%) reported that 21–30% of their patients with diabetes had coexisting HF in routine practice. About 52% indicated that the majority of patients with HF were classified as NYHA class II, followed by NYHA class III (25.14%). Over half of clinicians (55.19%) stated that 26–40% of patients required the addition of SGLT2i each month to achieve glycemic targets. The majority (96.72%) of clinicians identified dapagliflozin as the most frequently used SGLT2i for the management of T2DM with HF in clinical practice. Most (68.31%) respondents observed a 5–10 mmHg reduction in systolic blood pressure with dapagliflozin 10 mg in routine care. About 57% reported perceiving all pleiotropic benefits of SGLT2i beyond glycemic control, including cardiovascular and renal effects.  As indicated by 72% of participants, the most commonly prescribed combination is dapagliflozin + sitagliptin. Approximately two-thirds (66.12%) of clinicians preferred the FDC of dapagliflozin + linagliptin across all listed clinical scenarios, </w:t>
            </w:r>
            <w:r w:rsidRPr="001E6CCE">
              <w:rPr>
                <w:rFonts w:ascii="Arial" w:eastAsia="Calibri" w:hAnsi="Arial" w:cs="Arial"/>
                <w:szCs w:val="22"/>
                <w:lang w:val="en-IN"/>
              </w:rPr>
              <w:lastRenderedPageBreak/>
              <w:t>including in elderly patients and those with obesity and cardiac or renal complications.</w:t>
            </w:r>
          </w:p>
          <w:p w14:paraId="3048ED8C" w14:textId="6B60C065" w:rsidR="00505F06" w:rsidRPr="006A00B8" w:rsidRDefault="001E6CCE" w:rsidP="00B55917">
            <w:pPr>
              <w:pStyle w:val="Body"/>
              <w:spacing w:after="0"/>
              <w:rPr>
                <w:rFonts w:ascii="Arial" w:eastAsia="Calibri" w:hAnsi="Arial" w:cs="Arial"/>
                <w:szCs w:val="22"/>
                <w:lang w:val="en-IN"/>
              </w:rPr>
            </w:pPr>
            <w:r w:rsidRPr="001E6CCE">
              <w:rPr>
                <w:rFonts w:ascii="Arial" w:eastAsia="Calibri" w:hAnsi="Arial" w:cs="Arial"/>
                <w:b/>
                <w:bCs/>
                <w:szCs w:val="22"/>
              </w:rPr>
              <w:t xml:space="preserve">Conclusion: </w:t>
            </w:r>
            <w:r w:rsidRPr="001E6CCE">
              <w:rPr>
                <w:rFonts w:ascii="Arial" w:eastAsia="Calibri" w:hAnsi="Arial" w:cs="Arial"/>
                <w:szCs w:val="22"/>
              </w:rPr>
              <w:t>The survey highlights SGLT2i, predominantly dapagliflozin, as being widely used in patients with diabetes and HF, demonstrating meaningful glycemic, blood pressure, and cardio-renal benefits. FDCs are commonly preferred across diverse clinical scenarios, supporting integrated, patient-centered management in routine practice.</w:t>
            </w:r>
            <w:r w:rsidR="00E50E6C">
              <w:rPr>
                <w:rFonts w:ascii="Arial" w:eastAsia="Calibri" w:hAnsi="Arial" w:cs="Arial"/>
                <w:szCs w:val="22"/>
              </w:rPr>
              <w:t xml:space="preserve"> </w:t>
            </w:r>
            <w:r w:rsidR="00E50E6C" w:rsidRPr="00E50E6C">
              <w:rPr>
                <w:rFonts w:ascii="Arial" w:eastAsia="Calibri" w:hAnsi="Arial" w:cs="Arial"/>
                <w:szCs w:val="22"/>
                <w:highlight w:val="yellow"/>
              </w:rPr>
              <w:t>However, the findings are based on clinicians’ perceptions and descriptive analyses and should be interpreted accordingly</w:t>
            </w:r>
            <w:r w:rsidR="00E50E6C">
              <w:rPr>
                <w:rFonts w:ascii="Arial" w:eastAsia="Calibri" w:hAnsi="Arial" w:cs="Arial"/>
                <w:szCs w:val="22"/>
              </w:rPr>
              <w:t>.</w:t>
            </w:r>
          </w:p>
        </w:tc>
      </w:tr>
    </w:tbl>
    <w:p w14:paraId="0D6CF17D" w14:textId="77777777" w:rsidR="00636EB2" w:rsidRDefault="00636EB2" w:rsidP="00B55917">
      <w:pPr>
        <w:pStyle w:val="Body"/>
        <w:spacing w:after="0"/>
        <w:rPr>
          <w:rFonts w:ascii="Arial" w:hAnsi="Arial" w:cs="Arial"/>
          <w:i/>
        </w:rPr>
      </w:pPr>
    </w:p>
    <w:p w14:paraId="27790C39" w14:textId="13B01D30" w:rsidR="00A24E7E" w:rsidRDefault="00A24E7E" w:rsidP="00B55917">
      <w:pPr>
        <w:pStyle w:val="Body"/>
        <w:spacing w:after="0"/>
        <w:rPr>
          <w:rFonts w:ascii="Arial" w:hAnsi="Arial" w:cs="Arial"/>
          <w:i/>
        </w:rPr>
      </w:pPr>
      <w:r w:rsidRPr="00D40A23">
        <w:rPr>
          <w:rFonts w:ascii="Arial" w:hAnsi="Arial" w:cs="Arial"/>
          <w:b/>
          <w:bCs/>
          <w:i/>
        </w:rPr>
        <w:t>Keywords</w:t>
      </w:r>
      <w:r>
        <w:rPr>
          <w:rFonts w:ascii="Arial" w:hAnsi="Arial" w:cs="Arial"/>
          <w:i/>
        </w:rPr>
        <w:t xml:space="preserve">: </w:t>
      </w:r>
      <w:r w:rsidR="001E6CCE" w:rsidRPr="001E6CCE">
        <w:rPr>
          <w:rFonts w:ascii="Arial" w:hAnsi="Arial" w:cs="Arial"/>
          <w:i/>
        </w:rPr>
        <w:t>Type 2 diabetes mellitus; Heart failure; SGLT2 inhibitors; dapagliflozin; Fixed-dose combination therapy</w:t>
      </w:r>
    </w:p>
    <w:p w14:paraId="69D6A8F1" w14:textId="77777777" w:rsidR="00505F06" w:rsidRPr="00A24E7E" w:rsidRDefault="00505F06" w:rsidP="00B55917">
      <w:pPr>
        <w:pStyle w:val="Body"/>
        <w:spacing w:after="0"/>
        <w:rPr>
          <w:rFonts w:ascii="Arial" w:hAnsi="Arial" w:cs="Arial"/>
          <w:i/>
        </w:rPr>
      </w:pPr>
    </w:p>
    <w:p w14:paraId="6B1C1544" w14:textId="77777777" w:rsidR="007F7B32" w:rsidRDefault="00902823" w:rsidP="00B55917">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F68CB3D" w14:textId="77777777" w:rsidR="00790ADA" w:rsidRPr="00FB3A86" w:rsidRDefault="00790ADA" w:rsidP="00B55917">
      <w:pPr>
        <w:pStyle w:val="AbstHead"/>
        <w:spacing w:after="0"/>
        <w:jc w:val="both"/>
        <w:rPr>
          <w:rFonts w:ascii="Arial" w:hAnsi="Arial" w:cs="Arial"/>
        </w:rPr>
      </w:pPr>
    </w:p>
    <w:p w14:paraId="76EC7CB3" w14:textId="6270FBE7" w:rsidR="001E6CCE" w:rsidRDefault="001E6CCE" w:rsidP="00B55917">
      <w:pPr>
        <w:jc w:val="both"/>
        <w:rPr>
          <w:rFonts w:ascii="Arial" w:hAnsi="Arial" w:cs="Arial"/>
          <w:lang w:val="en-IN"/>
        </w:rPr>
      </w:pPr>
      <w:r w:rsidRPr="001E6CCE">
        <w:rPr>
          <w:rFonts w:ascii="Arial" w:hAnsi="Arial" w:cs="Arial"/>
          <w:lang w:val="en-IN"/>
        </w:rPr>
        <w:t>Type 2 diabetes mellitus (T2DM) complicated by comorbid heart failure (HF) poses a major clinical challenge because of its bidirectional relationship and shared risk factors, which together amplify morbidity, mortality, and healthcare costs worldwide.</w:t>
      </w:r>
      <w:r w:rsidRPr="001E6CCE">
        <w:rPr>
          <w:rFonts w:ascii="Arial" w:hAnsi="Arial" w:cs="Arial"/>
          <w:vertAlign w:val="superscript"/>
          <w:lang w:val="en-IN"/>
        </w:rPr>
        <w:t>1</w:t>
      </w:r>
      <w:r w:rsidRPr="001E6CCE">
        <w:rPr>
          <w:rFonts w:ascii="Arial" w:hAnsi="Arial" w:cs="Arial"/>
          <w:b/>
          <w:bCs/>
        </w:rPr>
        <w:t xml:space="preserve"> </w:t>
      </w:r>
      <w:r w:rsidRPr="001E6CCE">
        <w:rPr>
          <w:rFonts w:ascii="Arial" w:hAnsi="Arial" w:cs="Arial"/>
          <w:lang w:val="en-IN"/>
        </w:rPr>
        <w:t>The global prevalence of both conditions continues to rise, and they frequently coexist.  An estimated 537 million individuals worldwide are living with diabetes,</w:t>
      </w:r>
      <w:r w:rsidRPr="001E6CCE">
        <w:rPr>
          <w:rFonts w:ascii="Arial" w:hAnsi="Arial" w:cs="Arial"/>
          <w:vertAlign w:val="superscript"/>
          <w:lang w:val="en-IN"/>
        </w:rPr>
        <w:t xml:space="preserve">2 </w:t>
      </w:r>
      <w:r w:rsidRPr="001E6CCE">
        <w:rPr>
          <w:rFonts w:ascii="Arial" w:hAnsi="Arial" w:cs="Arial"/>
          <w:lang w:val="en-IN"/>
        </w:rPr>
        <w:t>while approximately 64.3 million are affected by HF, placing an increasing burden on healthcare systems.</w:t>
      </w:r>
      <w:r w:rsidRPr="001E6CCE">
        <w:rPr>
          <w:rFonts w:ascii="Arial" w:hAnsi="Arial" w:cs="Arial"/>
          <w:vertAlign w:val="superscript"/>
          <w:lang w:val="en-IN"/>
        </w:rPr>
        <w:t>3</w:t>
      </w:r>
      <w:r w:rsidRPr="001E6CCE">
        <w:rPr>
          <w:rFonts w:ascii="Arial" w:hAnsi="Arial" w:cs="Arial"/>
          <w:lang w:val="en-IN"/>
        </w:rPr>
        <w:t xml:space="preserve"> The impact is particularly pronounced in India, where around 101 million people are affected by T2DM. The disease not only has a high prevalence but also tends to present at a younger age compared with many other regions. In addition, HF is projected to increase by about 18% annually in the country, and nearly half of individuals with T2DM are estimated to develop HF during their lifetime. This growing overlap highlights the urgent need for integrated prevention and management strategies to reduce complications and improve long-term outcomes.</w:t>
      </w:r>
      <w:r w:rsidRPr="001E6CCE">
        <w:rPr>
          <w:rFonts w:ascii="Arial" w:hAnsi="Arial" w:cs="Arial"/>
          <w:vertAlign w:val="superscript"/>
          <w:lang w:val="en-IN"/>
        </w:rPr>
        <w:t>4-7</w:t>
      </w:r>
      <w:r w:rsidRPr="001E6CCE">
        <w:rPr>
          <w:rFonts w:ascii="Arial" w:hAnsi="Arial" w:cs="Arial"/>
          <w:lang w:val="en-IN"/>
        </w:rPr>
        <w:t xml:space="preserve"> </w:t>
      </w:r>
    </w:p>
    <w:p w14:paraId="35A1CDF4" w14:textId="77777777" w:rsidR="001E6CCE" w:rsidRPr="001E6CCE" w:rsidRDefault="001E6CCE" w:rsidP="00B55917">
      <w:pPr>
        <w:jc w:val="both"/>
        <w:rPr>
          <w:rFonts w:ascii="Arial" w:hAnsi="Arial" w:cs="Arial"/>
          <w:lang w:val="en-IN"/>
        </w:rPr>
      </w:pPr>
    </w:p>
    <w:p w14:paraId="1264868F" w14:textId="77777777" w:rsidR="001E6CCE" w:rsidRDefault="001E6CCE" w:rsidP="00B55917">
      <w:pPr>
        <w:jc w:val="both"/>
        <w:rPr>
          <w:rFonts w:ascii="Arial" w:hAnsi="Arial" w:cs="Arial"/>
        </w:rPr>
      </w:pPr>
      <w:r w:rsidRPr="001E6CCE">
        <w:rPr>
          <w:rFonts w:ascii="Arial" w:hAnsi="Arial" w:cs="Arial"/>
        </w:rPr>
        <w:t xml:space="preserve">In recent years, sodium-glucose cotransporter-2 inhibitors (SGLT2i) have transformed the therapeutic landscape of T2DM with comorbid </w:t>
      </w:r>
      <w:r w:rsidRPr="001E6CCE">
        <w:rPr>
          <w:rFonts w:ascii="Arial" w:hAnsi="Arial" w:cs="Arial"/>
          <w:lang w:val="en-IN"/>
        </w:rPr>
        <w:t>HF</w:t>
      </w:r>
      <w:r w:rsidRPr="001E6CCE">
        <w:rPr>
          <w:rFonts w:ascii="Arial" w:hAnsi="Arial" w:cs="Arial"/>
        </w:rPr>
        <w:t xml:space="preserve"> by offering benefits that extend beyond glycemic control. Unlike conventional glucose-lowering therapies, SGLT2i reduce blood glucose through an insulin-independent mechanism by inhibiting renal glucose reabsorption and increasing urinary glucose excretion. This mode of action not only improves glycemic control but also supports weight reduction and lowers blood pressure, while carrying a low risk of hypoglycemia.</w:t>
      </w:r>
      <w:r w:rsidRPr="001E6CCE">
        <w:rPr>
          <w:rFonts w:ascii="Arial" w:hAnsi="Arial" w:cs="Arial"/>
          <w:vertAlign w:val="superscript"/>
        </w:rPr>
        <w:t>8</w:t>
      </w:r>
      <w:r w:rsidRPr="001E6CCE">
        <w:rPr>
          <w:rFonts w:ascii="Arial" w:hAnsi="Arial" w:cs="Arial"/>
        </w:rPr>
        <w:t xml:space="preserve">    </w:t>
      </w:r>
    </w:p>
    <w:p w14:paraId="7C26D5E9" w14:textId="77777777" w:rsidR="001E6CCE" w:rsidRPr="001E6CCE" w:rsidRDefault="001E6CCE" w:rsidP="00B55917">
      <w:pPr>
        <w:jc w:val="both"/>
        <w:rPr>
          <w:rFonts w:ascii="Arial" w:hAnsi="Arial" w:cs="Arial"/>
        </w:rPr>
      </w:pPr>
    </w:p>
    <w:p w14:paraId="3414D463" w14:textId="358ADABD" w:rsidR="000A51B7" w:rsidRPr="001E6CCE" w:rsidRDefault="001E6CCE" w:rsidP="00B55917">
      <w:pPr>
        <w:pStyle w:val="Body"/>
        <w:rPr>
          <w:rFonts w:ascii="Arial" w:hAnsi="Arial" w:cs="Arial"/>
          <w:lang w:val="en-IN"/>
        </w:rPr>
      </w:pPr>
      <w:r w:rsidRPr="001E6CCE">
        <w:rPr>
          <w:rFonts w:ascii="Arial" w:hAnsi="Arial" w:cs="Arial"/>
        </w:rPr>
        <w:t>Dapagliflozin has become a key therapeutic option in the management of T2DM, supported by strong evidence of cardiovascular and renal protection. It effectively reduces HbA1c and fasting plasma glucose and can be used either as monotherapy or in FDC with other antidiabetic agents. Beyond glycemic control, its demonstrated cardio-renal benefits make it well-suited for comprehensive diabetes management.</w:t>
      </w:r>
      <w:r w:rsidRPr="001E6CCE">
        <w:rPr>
          <w:rFonts w:ascii="Arial" w:hAnsi="Arial" w:cs="Arial"/>
          <w:vertAlign w:val="superscript"/>
        </w:rPr>
        <w:t>9,10</w:t>
      </w:r>
      <w:r w:rsidRPr="001E6CCE">
        <w:rPr>
          <w:rFonts w:ascii="Arial" w:hAnsi="Arial" w:cs="Arial"/>
        </w:rPr>
        <w:t xml:space="preserve"> In light of these advantages, understanding clinicians’ perspectives is essential for optimizing treatment strategies in routine care. This survey aims to assess treatment preferences and perceived cardio-renal and glycemic benefits of SGLT2i, particularly dapagliflozin and its FDCs, in managing patients with T2DM and comorbid HF.</w:t>
      </w:r>
    </w:p>
    <w:p w14:paraId="30F114DA" w14:textId="77777777" w:rsidR="007F7B32" w:rsidRDefault="00902823" w:rsidP="00B55917">
      <w:pPr>
        <w:pStyle w:val="AbstHead"/>
        <w:spacing w:after="0"/>
        <w:jc w:val="both"/>
        <w:rPr>
          <w:rFonts w:ascii="Arial" w:hAnsi="Arial" w:cs="Arial"/>
        </w:rPr>
      </w:pPr>
      <w:r>
        <w:rPr>
          <w:rFonts w:ascii="Arial" w:hAnsi="Arial" w:cs="Arial"/>
        </w:rPr>
        <w:t>2. material</w:t>
      </w:r>
      <w:r w:rsidR="00192216">
        <w:rPr>
          <w:rFonts w:ascii="Arial" w:hAnsi="Arial" w:cs="Arial"/>
        </w:rPr>
        <w:t>S</w:t>
      </w:r>
      <w:r>
        <w:rPr>
          <w:rFonts w:ascii="Arial" w:hAnsi="Arial" w:cs="Arial"/>
        </w:rPr>
        <w:t xml:space="preserve"> and method</w:t>
      </w:r>
      <w:r w:rsidR="00000F8F">
        <w:rPr>
          <w:rFonts w:ascii="Arial" w:hAnsi="Arial" w:cs="Arial"/>
        </w:rPr>
        <w:t xml:space="preserve">s </w:t>
      </w:r>
    </w:p>
    <w:p w14:paraId="2BB9BFF8" w14:textId="77777777" w:rsidR="00790ADA" w:rsidRPr="00FB3A86" w:rsidRDefault="00790ADA" w:rsidP="00B55917">
      <w:pPr>
        <w:pStyle w:val="AbstHead"/>
        <w:spacing w:after="0"/>
        <w:jc w:val="both"/>
        <w:rPr>
          <w:rFonts w:ascii="Arial" w:hAnsi="Arial" w:cs="Arial"/>
        </w:rPr>
      </w:pPr>
    </w:p>
    <w:p w14:paraId="6AE660EF" w14:textId="162AD40F" w:rsidR="001E6CCE" w:rsidRDefault="001E6CCE" w:rsidP="00B55917">
      <w:pPr>
        <w:jc w:val="both"/>
        <w:rPr>
          <w:rFonts w:ascii="Arial" w:eastAsia="Calibri" w:hAnsi="Arial" w:cs="Arial"/>
        </w:rPr>
      </w:pPr>
      <w:r w:rsidRPr="001E6CCE">
        <w:rPr>
          <w:rFonts w:ascii="Arial" w:eastAsia="Calibri" w:hAnsi="Arial" w:cs="Arial"/>
        </w:rPr>
        <w:t xml:space="preserve">A cross-sectional study was carried out among clinicians specialized in managing </w:t>
      </w:r>
      <w:r w:rsidRPr="001E6CCE">
        <w:rPr>
          <w:rFonts w:ascii="Arial" w:hAnsi="Arial" w:cs="Arial"/>
          <w:lang w:val="en-GB"/>
        </w:rPr>
        <w:t>T2DM and concomitant HF across various clinical settings in India</w:t>
      </w:r>
      <w:r w:rsidRPr="001E6CCE">
        <w:rPr>
          <w:rFonts w:ascii="Arial" w:eastAsia="Calibri" w:hAnsi="Arial" w:cs="Arial"/>
        </w:rPr>
        <w:t xml:space="preserve"> from June 2025 to December 2025.</w:t>
      </w:r>
    </w:p>
    <w:p w14:paraId="0415F475" w14:textId="77777777" w:rsidR="006C767B" w:rsidRDefault="006C767B" w:rsidP="00B55917">
      <w:pPr>
        <w:jc w:val="both"/>
        <w:rPr>
          <w:rFonts w:ascii="Arial" w:eastAsia="Calibri" w:hAnsi="Arial" w:cs="Arial"/>
        </w:rPr>
      </w:pPr>
    </w:p>
    <w:p w14:paraId="459F4D85" w14:textId="77777777" w:rsidR="006C767B" w:rsidRPr="001E6CCE" w:rsidRDefault="006C767B" w:rsidP="006C767B">
      <w:pPr>
        <w:jc w:val="both"/>
        <w:rPr>
          <w:rFonts w:ascii="Arial" w:eastAsia="Calibri" w:hAnsi="Arial" w:cs="Arial"/>
          <w:b/>
          <w:bCs/>
        </w:rPr>
      </w:pPr>
      <w:r w:rsidRPr="001E6CCE">
        <w:rPr>
          <w:rFonts w:ascii="Arial" w:eastAsia="Calibri" w:hAnsi="Arial" w:cs="Arial"/>
          <w:b/>
          <w:bCs/>
        </w:rPr>
        <w:t>Participants</w:t>
      </w:r>
    </w:p>
    <w:p w14:paraId="0B6DCDF9" w14:textId="77777777" w:rsidR="006C767B" w:rsidRDefault="006C767B" w:rsidP="006C767B">
      <w:pPr>
        <w:jc w:val="both"/>
        <w:rPr>
          <w:rFonts w:ascii="Arial" w:eastAsia="Calibri" w:hAnsi="Arial" w:cs="Arial"/>
        </w:rPr>
      </w:pPr>
      <w:r w:rsidRPr="001E6CCE">
        <w:rPr>
          <w:rFonts w:ascii="Arial" w:eastAsia="Calibri" w:hAnsi="Arial" w:cs="Arial"/>
          <w:lang w:val="en-IN"/>
        </w:rPr>
        <w:lastRenderedPageBreak/>
        <w:t xml:space="preserve">A convenient sampling technique was used, and an </w:t>
      </w:r>
      <w:r w:rsidRPr="001E6CCE">
        <w:rPr>
          <w:rFonts w:ascii="Arial" w:eastAsia="Calibri" w:hAnsi="Arial" w:cs="Arial"/>
        </w:rPr>
        <w:t xml:space="preserve">invitation was sent to professionals across India based on their expertise and experience in treating </w:t>
      </w:r>
      <w:r w:rsidRPr="001E6CCE">
        <w:rPr>
          <w:rFonts w:ascii="Arial" w:hAnsi="Arial" w:cs="Arial"/>
          <w:lang w:val="en-GB"/>
        </w:rPr>
        <w:t xml:space="preserve">T2DM and concomitant HF </w:t>
      </w:r>
      <w:r w:rsidRPr="001E6CCE">
        <w:rPr>
          <w:rFonts w:ascii="Arial" w:eastAsia="Calibri" w:hAnsi="Arial" w:cs="Arial"/>
        </w:rPr>
        <w:t xml:space="preserve">in the month of March 2025 for participation in this Indian survey. About 366 clinicians from major cities of all Indian states, representing the geographical distribution, shared their willingness to participate and provide necessary data. Clinicians were instructed to complete the questionnaire independently without consulting colleagues. </w:t>
      </w:r>
    </w:p>
    <w:p w14:paraId="37D370E8" w14:textId="0E837717" w:rsidR="006C767B" w:rsidRDefault="006C767B" w:rsidP="00B55917">
      <w:pPr>
        <w:jc w:val="both"/>
        <w:rPr>
          <w:rFonts w:ascii="Arial" w:eastAsia="Calibri" w:hAnsi="Arial" w:cs="Arial"/>
        </w:rPr>
      </w:pPr>
    </w:p>
    <w:p w14:paraId="358702FD" w14:textId="77777777" w:rsidR="001E6CCE" w:rsidRPr="001E6CCE" w:rsidRDefault="001E6CCE" w:rsidP="00B55917">
      <w:pPr>
        <w:jc w:val="both"/>
        <w:rPr>
          <w:rFonts w:ascii="Arial" w:eastAsia="Calibri" w:hAnsi="Arial" w:cs="Arial"/>
        </w:rPr>
      </w:pPr>
    </w:p>
    <w:p w14:paraId="23219A2D" w14:textId="77777777" w:rsidR="001E6CCE" w:rsidRPr="001E6CCE" w:rsidRDefault="001E6CCE" w:rsidP="00B55917">
      <w:pPr>
        <w:jc w:val="both"/>
        <w:rPr>
          <w:rFonts w:ascii="Arial" w:eastAsia="Calibri" w:hAnsi="Arial" w:cs="Arial"/>
          <w:b/>
          <w:bCs/>
        </w:rPr>
      </w:pPr>
      <w:r w:rsidRPr="001E6CCE">
        <w:rPr>
          <w:rFonts w:ascii="Arial" w:eastAsia="Calibri" w:hAnsi="Arial" w:cs="Arial"/>
          <w:b/>
          <w:bCs/>
        </w:rPr>
        <w:t>Questionnaire</w:t>
      </w:r>
    </w:p>
    <w:p w14:paraId="5B2472CF" w14:textId="4804DF8A" w:rsidR="001E6CCE" w:rsidRDefault="001E6CCE" w:rsidP="00B55917">
      <w:pPr>
        <w:jc w:val="both"/>
        <w:rPr>
          <w:rFonts w:ascii="Arial" w:eastAsia="Calibri" w:hAnsi="Arial" w:cs="Arial"/>
        </w:rPr>
      </w:pPr>
      <w:r w:rsidRPr="001E6CCE">
        <w:rPr>
          <w:rFonts w:ascii="Arial" w:eastAsia="Calibri" w:hAnsi="Arial" w:cs="Arial"/>
        </w:rPr>
        <w:t xml:space="preserve">The questionnaire booklet titled DELIGHT (Indian Expert Perspective study on Dapagliflozin in the management of patients with Type 2 Diabetes Mellitus) study was sent to the doctors (Diabetologists, Endocrinologists, cardiologists, Nephrologists, and consulting physicians) who were interested in participating in the study. A 22-item </w:t>
      </w:r>
      <w:r w:rsidRPr="001E6CCE">
        <w:rPr>
          <w:rFonts w:ascii="Arial" w:hAnsi="Arial" w:cs="Arial"/>
          <w:lang w:val="en-IN"/>
        </w:rPr>
        <w:t xml:space="preserve">structured, multiple-response questionnaire aimed </w:t>
      </w:r>
      <w:r w:rsidRPr="001E6CCE">
        <w:rPr>
          <w:rFonts w:ascii="Arial" w:eastAsia="Calibri" w:hAnsi="Arial" w:cs="Arial"/>
          <w:lang w:val="en-IN"/>
        </w:rPr>
        <w:t>to capture clinicians’ perceptions of the cardio-renal and glycemic benefits of SGLT2i, with particular emphasis on dapagliflozin and its fixed-dose combinations (FDCs) in routine clinical practice</w:t>
      </w:r>
      <w:r w:rsidRPr="001E6CCE">
        <w:rPr>
          <w:rFonts w:ascii="Arial" w:eastAsia="Calibri" w:hAnsi="Arial" w:cs="Arial"/>
        </w:rPr>
        <w:t xml:space="preserve">. </w:t>
      </w:r>
      <w:r w:rsidRPr="001E6CCE">
        <w:rPr>
          <w:rFonts w:ascii="Arial" w:eastAsia="Calibri" w:hAnsi="Arial" w:cs="Arial"/>
          <w:lang w:val="en-IN"/>
        </w:rPr>
        <w:t xml:space="preserve">Key domains included preferred therapeutic strategies, indications for initiating dapagliflozin-based therapy, observed effects on glycemic control, perceived cardiovascular and renal outcomes, safety and tolerability considerations, and the patient profiles in which these agents were most commonly preferred. </w:t>
      </w:r>
    </w:p>
    <w:p w14:paraId="266C6D10" w14:textId="77777777" w:rsidR="001E6CCE" w:rsidRPr="001E6CCE" w:rsidRDefault="001E6CCE" w:rsidP="00B55917">
      <w:pPr>
        <w:jc w:val="both"/>
        <w:rPr>
          <w:rFonts w:ascii="Arial" w:eastAsia="Calibri" w:hAnsi="Arial" w:cs="Arial"/>
        </w:rPr>
      </w:pPr>
    </w:p>
    <w:p w14:paraId="4673C281" w14:textId="77777777" w:rsidR="001E6CCE" w:rsidRPr="001E6CCE" w:rsidRDefault="001E6CCE" w:rsidP="00B55917">
      <w:pPr>
        <w:jc w:val="both"/>
        <w:rPr>
          <w:rFonts w:ascii="Arial" w:eastAsia="Calibri" w:hAnsi="Arial" w:cs="Arial"/>
        </w:rPr>
      </w:pPr>
    </w:p>
    <w:p w14:paraId="4A67AF46" w14:textId="77777777" w:rsidR="001E6CCE" w:rsidRPr="001E6CCE" w:rsidRDefault="001E6CCE" w:rsidP="00B55917">
      <w:pPr>
        <w:jc w:val="both"/>
        <w:rPr>
          <w:rFonts w:ascii="Arial" w:hAnsi="Arial" w:cs="Arial"/>
          <w:b/>
          <w:bCs/>
          <w:lang w:val="en-IN"/>
        </w:rPr>
      </w:pPr>
      <w:r w:rsidRPr="001E6CCE">
        <w:rPr>
          <w:rFonts w:ascii="Arial" w:hAnsi="Arial" w:cs="Arial"/>
          <w:b/>
          <w:bCs/>
          <w:lang w:val="en-IN"/>
        </w:rPr>
        <w:t>Statistical analysis</w:t>
      </w:r>
    </w:p>
    <w:p w14:paraId="5ADA3224" w14:textId="06BBF4C3" w:rsidR="000A51B7" w:rsidRPr="001E6CCE" w:rsidRDefault="001E6CCE" w:rsidP="00B55917">
      <w:pPr>
        <w:jc w:val="both"/>
        <w:rPr>
          <w:rFonts w:ascii="Arial" w:hAnsi="Arial" w:cs="Arial"/>
        </w:rPr>
      </w:pPr>
      <w:r w:rsidRPr="001E6CCE">
        <w:rPr>
          <w:rFonts w:ascii="Arial" w:hAnsi="Arial" w:cs="Arial"/>
          <w:lang w:val="en-IN"/>
        </w:rPr>
        <w:t xml:space="preserve">Survey responses were </w:t>
      </w:r>
      <w:proofErr w:type="spellStart"/>
      <w:r w:rsidRPr="001E6CCE">
        <w:rPr>
          <w:rFonts w:ascii="Arial" w:hAnsi="Arial" w:cs="Arial"/>
          <w:lang w:val="en-IN"/>
        </w:rPr>
        <w:t>analyzed</w:t>
      </w:r>
      <w:proofErr w:type="spellEnd"/>
      <w:r w:rsidRPr="001E6CCE">
        <w:rPr>
          <w:rFonts w:ascii="Arial" w:hAnsi="Arial" w:cs="Arial"/>
          <w:lang w:val="en-IN"/>
        </w:rPr>
        <w:t xml:space="preserve"> using descriptive statistical methods. Categorical variables were summarized as frequencies and percentages. Data visualization, including bar graphs and pie charts, was performed using Microsoft Excel 2013 (version 16.0.13901.20400).</w:t>
      </w:r>
    </w:p>
    <w:p w14:paraId="15037750" w14:textId="77777777" w:rsidR="003F71EF" w:rsidRPr="00FB3A86" w:rsidRDefault="003F71EF" w:rsidP="00B55917">
      <w:pPr>
        <w:pStyle w:val="Body"/>
        <w:spacing w:after="0"/>
        <w:rPr>
          <w:rFonts w:ascii="Arial" w:hAnsi="Arial" w:cs="Arial"/>
        </w:rPr>
      </w:pPr>
    </w:p>
    <w:p w14:paraId="4104EAA4" w14:textId="77777777" w:rsidR="003F71EF" w:rsidRDefault="003F71EF" w:rsidP="00B55917">
      <w:pPr>
        <w:pStyle w:val="Head1"/>
        <w:spacing w:after="0"/>
        <w:jc w:val="both"/>
        <w:rPr>
          <w:rFonts w:ascii="Arial" w:hAnsi="Arial" w:cs="Arial"/>
        </w:rPr>
      </w:pPr>
      <w:r>
        <w:rPr>
          <w:rFonts w:ascii="Arial" w:hAnsi="Arial" w:cs="Arial"/>
        </w:rPr>
        <w:t>3. results</w:t>
      </w:r>
    </w:p>
    <w:p w14:paraId="74AA605B" w14:textId="77777777" w:rsidR="003F71EF" w:rsidRPr="00FB3A86" w:rsidRDefault="003F71EF" w:rsidP="00B55917">
      <w:pPr>
        <w:pStyle w:val="Head1"/>
        <w:spacing w:after="0"/>
        <w:jc w:val="both"/>
        <w:rPr>
          <w:rFonts w:ascii="Arial" w:hAnsi="Arial" w:cs="Arial"/>
        </w:rPr>
      </w:pPr>
    </w:p>
    <w:p w14:paraId="35B79B33" w14:textId="77777777" w:rsidR="001E6CCE" w:rsidRDefault="001E6CCE" w:rsidP="00B55917">
      <w:pPr>
        <w:pStyle w:val="Body"/>
        <w:spacing w:after="0"/>
        <w:rPr>
          <w:rFonts w:ascii="Arial" w:hAnsi="Arial" w:cs="Arial"/>
        </w:rPr>
      </w:pPr>
      <w:r w:rsidRPr="001E6CCE">
        <w:rPr>
          <w:rFonts w:ascii="Arial" w:hAnsi="Arial" w:cs="Arial"/>
        </w:rPr>
        <w:t>Of the 366 survey participants, about half (50.27%) of clinicians reported that 40–60% of patients receive only oral antidiabetic drugs (OADs) in routine clinical practice. Around 42% of participants reported a 25–50% reduction in insulin use following recent advances in OADs, such as dipeptidyl peptidase-4 inhibitors (DPP-4i) and SGLT2i. Almost 46% of clinicians indicated that 21–30% of patients with diabetes have comorbid HF in routine clinical practice (Table 1). Approximately 52% reported that most patients with HF belong to the New York Heart Association (NYHA) functional class II (Fig. 1).</w:t>
      </w:r>
    </w:p>
    <w:p w14:paraId="0650DEC1" w14:textId="77777777" w:rsidR="001E6CCE" w:rsidRDefault="001E6CCE" w:rsidP="00B55917">
      <w:pPr>
        <w:pStyle w:val="Body"/>
        <w:spacing w:after="0"/>
        <w:rPr>
          <w:rFonts w:ascii="Arial" w:hAnsi="Arial" w:cs="Arial"/>
        </w:rPr>
      </w:pPr>
    </w:p>
    <w:p w14:paraId="4D94176F" w14:textId="77777777" w:rsidR="001E6CCE" w:rsidRDefault="001E6CCE" w:rsidP="00B55917">
      <w:pPr>
        <w:pStyle w:val="Body"/>
        <w:spacing w:after="0"/>
        <w:rPr>
          <w:rFonts w:ascii="Arial" w:hAnsi="Arial" w:cs="Arial"/>
        </w:rPr>
      </w:pPr>
      <w:r w:rsidRPr="001E6CCE">
        <w:rPr>
          <w:rFonts w:ascii="Arial" w:hAnsi="Arial" w:cs="Arial"/>
          <w:b/>
          <w:bCs/>
        </w:rPr>
        <w:t>Fig. 1: Distribution of responses regarding the predominance of NYHA functional class among patients with HF</w:t>
      </w:r>
    </w:p>
    <w:p w14:paraId="391D2CBA" w14:textId="0223ED39" w:rsidR="00AF4634" w:rsidRDefault="00AF4634" w:rsidP="00B55917">
      <w:pPr>
        <w:pStyle w:val="Body"/>
        <w:spacing w:after="0"/>
        <w:rPr>
          <w:rFonts w:ascii="Arial" w:hAnsi="Arial" w:cs="Arial"/>
        </w:rPr>
      </w:pPr>
    </w:p>
    <w:p w14:paraId="6B0B0F82" w14:textId="3D3F42A3" w:rsidR="001E6CCE" w:rsidRDefault="001E6CCE" w:rsidP="00B55917">
      <w:pPr>
        <w:pStyle w:val="Body"/>
        <w:spacing w:after="0"/>
        <w:rPr>
          <w:rFonts w:ascii="Arial" w:hAnsi="Arial" w:cs="Arial"/>
          <w:b/>
          <w:bCs/>
        </w:rPr>
      </w:pPr>
      <w:r w:rsidRPr="004F5804">
        <w:rPr>
          <w:rFonts w:ascii="Times New Roman" w:hAnsi="Times New Roman"/>
          <w:noProof/>
          <w:sz w:val="24"/>
          <w:szCs w:val="24"/>
        </w:rPr>
        <w:lastRenderedPageBreak/>
        <w:drawing>
          <wp:inline distT="0" distB="0" distL="0" distR="0" wp14:anchorId="3EEC330B" wp14:editId="066EFFF2">
            <wp:extent cx="4572000" cy="2743200"/>
            <wp:effectExtent l="0" t="0" r="0" b="0"/>
            <wp:docPr id="556983734" name="Chart 1">
              <a:extLst xmlns:a="http://schemas.openxmlformats.org/drawingml/2006/main">
                <a:ext uri="{FF2B5EF4-FFF2-40B4-BE49-F238E27FC236}">
                  <a16:creationId xmlns:a16="http://schemas.microsoft.com/office/drawing/2014/main" id="{73CF8148-6A00-AAB5-7C48-C8A1E64D37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4A71C2" w14:textId="77777777" w:rsidR="001E6CCE" w:rsidRDefault="001E6CCE" w:rsidP="00B55917">
      <w:pPr>
        <w:pStyle w:val="Body"/>
        <w:spacing w:after="0"/>
        <w:rPr>
          <w:rFonts w:ascii="Arial" w:hAnsi="Arial" w:cs="Arial"/>
          <w:b/>
          <w:bCs/>
        </w:rPr>
      </w:pPr>
    </w:p>
    <w:p w14:paraId="5E6FF8C2" w14:textId="77777777" w:rsidR="001E6CCE" w:rsidRDefault="001E6CCE" w:rsidP="00B55917">
      <w:pPr>
        <w:pStyle w:val="Body"/>
        <w:spacing w:after="0"/>
        <w:rPr>
          <w:rFonts w:ascii="Arial" w:hAnsi="Arial" w:cs="Arial"/>
        </w:rPr>
      </w:pPr>
    </w:p>
    <w:p w14:paraId="565F49E0" w14:textId="44D5AC49" w:rsidR="001E6CCE" w:rsidRDefault="001E6CCE" w:rsidP="00B55917">
      <w:pPr>
        <w:pStyle w:val="Body"/>
        <w:spacing w:after="0"/>
        <w:rPr>
          <w:rFonts w:ascii="Arial" w:hAnsi="Arial" w:cs="Arial"/>
        </w:rPr>
      </w:pPr>
      <w:r w:rsidRPr="001E6CCE">
        <w:rPr>
          <w:rFonts w:ascii="Arial" w:hAnsi="Arial" w:cs="Arial"/>
          <w:b/>
          <w:bCs/>
        </w:rPr>
        <w:t xml:space="preserve">Table 1: Distribution of responses on the proportion of patients with diabetes with comorbid </w:t>
      </w:r>
      <w:r w:rsidRPr="001E6CCE">
        <w:rPr>
          <w:rFonts w:ascii="Arial" w:hAnsi="Arial" w:cs="Arial"/>
          <w:b/>
          <w:bCs/>
          <w:lang w:val="en-IN"/>
        </w:rPr>
        <w:t>HF</w:t>
      </w:r>
      <w:r w:rsidRPr="001E6CCE">
        <w:rPr>
          <w:rFonts w:ascii="Arial" w:hAnsi="Arial" w:cs="Arial"/>
          <w:b/>
          <w:bCs/>
        </w:rPr>
        <w:t xml:space="preserve"> in clinical practice</w:t>
      </w:r>
    </w:p>
    <w:p w14:paraId="5E72C5EB" w14:textId="77777777" w:rsidR="001E6CCE" w:rsidRDefault="001E6CCE" w:rsidP="00B55917">
      <w:pPr>
        <w:pStyle w:val="Body"/>
        <w:spacing w:after="0"/>
        <w:rPr>
          <w:rFonts w:ascii="Arial" w:hAnsi="Arial" w:cs="Arial"/>
        </w:rPr>
      </w:pPr>
    </w:p>
    <w:tbl>
      <w:tblPr>
        <w:tblW w:w="6946" w:type="dxa"/>
        <w:tblInd w:w="1126" w:type="dxa"/>
        <w:tblCellMar>
          <w:left w:w="0" w:type="dxa"/>
          <w:right w:w="0" w:type="dxa"/>
        </w:tblCellMar>
        <w:tblLook w:val="04A0" w:firstRow="1" w:lastRow="0" w:firstColumn="1" w:lastColumn="0" w:noHBand="0" w:noVBand="1"/>
      </w:tblPr>
      <w:tblGrid>
        <w:gridCol w:w="4306"/>
        <w:gridCol w:w="2640"/>
      </w:tblGrid>
      <w:tr w:rsidR="001E6CCE" w:rsidRPr="004F5804" w14:paraId="7697277F" w14:textId="77777777" w:rsidTr="001E6CCE">
        <w:trPr>
          <w:trHeight w:val="300"/>
        </w:trPr>
        <w:tc>
          <w:tcPr>
            <w:tcW w:w="4306" w:type="dxa"/>
            <w:tcBorders>
              <w:top w:val="single" w:sz="6" w:space="0" w:color="000000"/>
              <w:left w:val="single" w:sz="6" w:space="0" w:color="000000"/>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73B879D5" w14:textId="77777777" w:rsidR="001E6CCE" w:rsidRPr="001E6CCE" w:rsidRDefault="001E6CCE" w:rsidP="00B55917">
            <w:pPr>
              <w:jc w:val="both"/>
              <w:rPr>
                <w:rFonts w:ascii="Arial" w:hAnsi="Arial" w:cs="Arial"/>
                <w:b/>
                <w:bCs/>
              </w:rPr>
            </w:pPr>
            <w:r w:rsidRPr="001E6CCE">
              <w:rPr>
                <w:rFonts w:ascii="Arial" w:hAnsi="Arial" w:cs="Arial"/>
                <w:b/>
                <w:bCs/>
              </w:rPr>
              <w:t>Percentage (%)</w:t>
            </w:r>
          </w:p>
        </w:tc>
        <w:tc>
          <w:tcPr>
            <w:tcW w:w="2640" w:type="dxa"/>
            <w:tcBorders>
              <w:top w:val="single" w:sz="6" w:space="0" w:color="000000"/>
              <w:left w:val="single" w:sz="6" w:space="0" w:color="CCCCCC"/>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0726CD1B" w14:textId="77777777" w:rsidR="001E6CCE" w:rsidRPr="001E6CCE" w:rsidRDefault="001E6CCE" w:rsidP="00B55917">
            <w:pPr>
              <w:jc w:val="both"/>
              <w:rPr>
                <w:rFonts w:ascii="Arial" w:hAnsi="Arial" w:cs="Arial"/>
                <w:b/>
                <w:bCs/>
              </w:rPr>
            </w:pPr>
            <w:r w:rsidRPr="001E6CCE">
              <w:rPr>
                <w:rFonts w:ascii="Arial" w:hAnsi="Arial" w:cs="Arial"/>
                <w:b/>
                <w:bCs/>
              </w:rPr>
              <w:t>Response rate (n = 366)</w:t>
            </w:r>
          </w:p>
        </w:tc>
      </w:tr>
      <w:tr w:rsidR="001E6CCE" w:rsidRPr="004F5804" w14:paraId="3884EF59" w14:textId="77777777" w:rsidTr="001E6CCE">
        <w:trPr>
          <w:trHeight w:val="300"/>
        </w:trPr>
        <w:tc>
          <w:tcPr>
            <w:tcW w:w="43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D3372A" w14:textId="77777777" w:rsidR="001E6CCE" w:rsidRPr="001E6CCE" w:rsidRDefault="001E6CCE" w:rsidP="00B55917">
            <w:pPr>
              <w:jc w:val="both"/>
              <w:rPr>
                <w:rFonts w:ascii="Arial" w:hAnsi="Arial" w:cs="Arial"/>
              </w:rPr>
            </w:pPr>
            <w:r w:rsidRPr="001E6CCE">
              <w:rPr>
                <w:rFonts w:ascii="Arial" w:hAnsi="Arial" w:cs="Arial"/>
              </w:rPr>
              <w:t>&lt;10</w:t>
            </w:r>
          </w:p>
        </w:tc>
        <w:tc>
          <w:tcPr>
            <w:tcW w:w="2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F7FBD6" w14:textId="77777777" w:rsidR="001E6CCE" w:rsidRPr="001E6CCE" w:rsidRDefault="001E6CCE" w:rsidP="00B55917">
            <w:pPr>
              <w:jc w:val="both"/>
              <w:rPr>
                <w:rFonts w:ascii="Arial" w:hAnsi="Arial" w:cs="Arial"/>
              </w:rPr>
            </w:pPr>
            <w:r w:rsidRPr="001E6CCE">
              <w:rPr>
                <w:rFonts w:ascii="Arial" w:hAnsi="Arial" w:cs="Arial"/>
              </w:rPr>
              <w:t>6.56%</w:t>
            </w:r>
          </w:p>
        </w:tc>
      </w:tr>
      <w:tr w:rsidR="001E6CCE" w:rsidRPr="004F5804" w14:paraId="63596383" w14:textId="77777777" w:rsidTr="001E6CCE">
        <w:trPr>
          <w:trHeight w:val="300"/>
        </w:trPr>
        <w:tc>
          <w:tcPr>
            <w:tcW w:w="43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DF026C" w14:textId="77777777" w:rsidR="001E6CCE" w:rsidRPr="001E6CCE" w:rsidRDefault="001E6CCE" w:rsidP="00B55917">
            <w:pPr>
              <w:jc w:val="both"/>
              <w:rPr>
                <w:rFonts w:ascii="Arial" w:hAnsi="Arial" w:cs="Arial"/>
              </w:rPr>
            </w:pPr>
            <w:r w:rsidRPr="001E6CCE">
              <w:rPr>
                <w:rFonts w:ascii="Arial" w:hAnsi="Arial" w:cs="Arial"/>
              </w:rPr>
              <w:t>11-20</w:t>
            </w:r>
          </w:p>
        </w:tc>
        <w:tc>
          <w:tcPr>
            <w:tcW w:w="2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6CC1F3" w14:textId="77777777" w:rsidR="001E6CCE" w:rsidRPr="001E6CCE" w:rsidRDefault="001E6CCE" w:rsidP="00B55917">
            <w:pPr>
              <w:jc w:val="both"/>
              <w:rPr>
                <w:rFonts w:ascii="Arial" w:hAnsi="Arial" w:cs="Arial"/>
              </w:rPr>
            </w:pPr>
            <w:r w:rsidRPr="001E6CCE">
              <w:rPr>
                <w:rFonts w:ascii="Arial" w:hAnsi="Arial" w:cs="Arial"/>
              </w:rPr>
              <w:t>33.88%</w:t>
            </w:r>
          </w:p>
        </w:tc>
      </w:tr>
      <w:tr w:rsidR="001E6CCE" w:rsidRPr="004F5804" w14:paraId="780F97BF" w14:textId="77777777" w:rsidTr="001E6CCE">
        <w:trPr>
          <w:trHeight w:val="300"/>
        </w:trPr>
        <w:tc>
          <w:tcPr>
            <w:tcW w:w="43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4B896E" w14:textId="77777777" w:rsidR="001E6CCE" w:rsidRPr="001E6CCE" w:rsidRDefault="001E6CCE" w:rsidP="00B55917">
            <w:pPr>
              <w:jc w:val="both"/>
              <w:rPr>
                <w:rFonts w:ascii="Arial" w:hAnsi="Arial" w:cs="Arial"/>
              </w:rPr>
            </w:pPr>
            <w:r w:rsidRPr="001E6CCE">
              <w:rPr>
                <w:rFonts w:ascii="Arial" w:hAnsi="Arial" w:cs="Arial"/>
              </w:rPr>
              <w:t>21-30</w:t>
            </w:r>
          </w:p>
        </w:tc>
        <w:tc>
          <w:tcPr>
            <w:tcW w:w="2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E42FEE" w14:textId="77777777" w:rsidR="001E6CCE" w:rsidRPr="001E6CCE" w:rsidRDefault="001E6CCE" w:rsidP="00B55917">
            <w:pPr>
              <w:jc w:val="both"/>
              <w:rPr>
                <w:rFonts w:ascii="Arial" w:hAnsi="Arial" w:cs="Arial"/>
              </w:rPr>
            </w:pPr>
            <w:r w:rsidRPr="001E6CCE">
              <w:rPr>
                <w:rFonts w:ascii="Arial" w:hAnsi="Arial" w:cs="Arial"/>
              </w:rPr>
              <w:t>47.54%</w:t>
            </w:r>
          </w:p>
        </w:tc>
      </w:tr>
      <w:tr w:rsidR="001E6CCE" w:rsidRPr="004F5804" w14:paraId="40F03952" w14:textId="77777777" w:rsidTr="001E6CCE">
        <w:trPr>
          <w:trHeight w:val="300"/>
        </w:trPr>
        <w:tc>
          <w:tcPr>
            <w:tcW w:w="43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3D75DF" w14:textId="77777777" w:rsidR="001E6CCE" w:rsidRPr="001E6CCE" w:rsidRDefault="001E6CCE" w:rsidP="00B55917">
            <w:pPr>
              <w:jc w:val="both"/>
              <w:rPr>
                <w:rFonts w:ascii="Arial" w:hAnsi="Arial" w:cs="Arial"/>
              </w:rPr>
            </w:pPr>
            <w:r w:rsidRPr="001E6CCE">
              <w:rPr>
                <w:rFonts w:ascii="Arial" w:hAnsi="Arial" w:cs="Arial"/>
              </w:rPr>
              <w:t>31-40</w:t>
            </w:r>
          </w:p>
        </w:tc>
        <w:tc>
          <w:tcPr>
            <w:tcW w:w="2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DFACAE" w14:textId="77777777" w:rsidR="001E6CCE" w:rsidRPr="001E6CCE" w:rsidRDefault="001E6CCE" w:rsidP="00B55917">
            <w:pPr>
              <w:jc w:val="both"/>
              <w:rPr>
                <w:rFonts w:ascii="Arial" w:hAnsi="Arial" w:cs="Arial"/>
              </w:rPr>
            </w:pPr>
            <w:r w:rsidRPr="001E6CCE">
              <w:rPr>
                <w:rFonts w:ascii="Arial" w:hAnsi="Arial" w:cs="Arial"/>
              </w:rPr>
              <w:t>12.02%</w:t>
            </w:r>
          </w:p>
        </w:tc>
      </w:tr>
    </w:tbl>
    <w:p w14:paraId="35664590" w14:textId="77777777" w:rsidR="001E6CCE" w:rsidRDefault="001E6CCE" w:rsidP="00B55917">
      <w:pPr>
        <w:pStyle w:val="Body"/>
        <w:spacing w:after="0"/>
        <w:rPr>
          <w:rFonts w:ascii="Arial" w:hAnsi="Arial" w:cs="Arial"/>
        </w:rPr>
      </w:pPr>
    </w:p>
    <w:p w14:paraId="0A3611D5" w14:textId="3FF5E144" w:rsidR="001E6CCE" w:rsidRDefault="001E6CCE" w:rsidP="00B55917">
      <w:pPr>
        <w:pStyle w:val="Body"/>
        <w:spacing w:after="0"/>
        <w:rPr>
          <w:rFonts w:ascii="Arial" w:hAnsi="Arial" w:cs="Arial"/>
        </w:rPr>
      </w:pPr>
      <w:r w:rsidRPr="001E6CCE">
        <w:rPr>
          <w:rFonts w:ascii="Arial" w:hAnsi="Arial" w:cs="Arial"/>
        </w:rPr>
        <w:t>About 59% of clinicians reported that factors, including medication adherence, follow-up visits, and lifestyle compliance, are common challenges in managing patients with HF and diabetes. Over half (55.19%) of respondents indicated that 26–40% of patients require the addition of SGLT2i each month to achieve glycemic targets (Table 2). The majority (96.72%) of clinicians reported dapagliflozin as the most commonly used SGLT2 inhibitor for managing T2DM and HF in clinical practice (Fig. 2).</w:t>
      </w:r>
    </w:p>
    <w:p w14:paraId="0923B65D" w14:textId="77777777" w:rsidR="001E6CCE" w:rsidRDefault="001E6CCE" w:rsidP="00B55917">
      <w:pPr>
        <w:pStyle w:val="Body"/>
        <w:spacing w:after="0"/>
        <w:rPr>
          <w:rFonts w:ascii="Arial" w:hAnsi="Arial" w:cs="Arial"/>
        </w:rPr>
      </w:pPr>
    </w:p>
    <w:p w14:paraId="431DCC8F" w14:textId="65C87EB9" w:rsidR="001E6CCE" w:rsidRDefault="001E6CCE" w:rsidP="00B55917">
      <w:pPr>
        <w:pStyle w:val="Body"/>
        <w:spacing w:after="0"/>
        <w:rPr>
          <w:rFonts w:ascii="Arial" w:hAnsi="Arial" w:cs="Arial"/>
          <w:b/>
          <w:bCs/>
        </w:rPr>
      </w:pPr>
      <w:r w:rsidRPr="001E6CCE">
        <w:rPr>
          <w:rFonts w:ascii="Arial" w:hAnsi="Arial" w:cs="Arial"/>
          <w:b/>
          <w:bCs/>
        </w:rPr>
        <w:t>Fig. 2: Distribution of responses on the most commonly used SGLT2i for the management of T2DM and HF</w:t>
      </w:r>
    </w:p>
    <w:p w14:paraId="2C967165" w14:textId="77777777" w:rsidR="001E6CCE" w:rsidRDefault="001E6CCE" w:rsidP="00B55917">
      <w:pPr>
        <w:pStyle w:val="Body"/>
        <w:spacing w:after="0"/>
        <w:rPr>
          <w:rFonts w:ascii="Arial" w:hAnsi="Arial" w:cs="Arial"/>
          <w:b/>
          <w:bCs/>
        </w:rPr>
      </w:pPr>
    </w:p>
    <w:p w14:paraId="7508A883" w14:textId="726E6B0C" w:rsidR="001E6CCE" w:rsidRDefault="001E6CCE" w:rsidP="00B55917">
      <w:pPr>
        <w:pStyle w:val="Body"/>
        <w:spacing w:after="0"/>
        <w:rPr>
          <w:rFonts w:ascii="Arial" w:hAnsi="Arial" w:cs="Arial"/>
        </w:rPr>
      </w:pPr>
      <w:r w:rsidRPr="004F5804">
        <w:rPr>
          <w:rFonts w:ascii="Times New Roman" w:hAnsi="Times New Roman"/>
          <w:noProof/>
          <w:sz w:val="24"/>
          <w:szCs w:val="24"/>
        </w:rPr>
        <w:lastRenderedPageBreak/>
        <w:drawing>
          <wp:inline distT="0" distB="0" distL="0" distR="0" wp14:anchorId="110DA951" wp14:editId="22ED614B">
            <wp:extent cx="3886200" cy="2438400"/>
            <wp:effectExtent l="0" t="0" r="0" b="0"/>
            <wp:docPr id="1171554690" name="Chart 1">
              <a:extLst xmlns:a="http://schemas.openxmlformats.org/drawingml/2006/main">
                <a:ext uri="{FF2B5EF4-FFF2-40B4-BE49-F238E27FC236}">
                  <a16:creationId xmlns:a16="http://schemas.microsoft.com/office/drawing/2014/main" id="{C8EA217E-42B3-8C7B-83BB-3B05271187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3C4A596" w14:textId="77777777" w:rsidR="001E6CCE" w:rsidRDefault="001E6CCE" w:rsidP="00B55917">
      <w:pPr>
        <w:pStyle w:val="Body"/>
        <w:spacing w:after="0"/>
        <w:rPr>
          <w:rFonts w:ascii="Arial" w:hAnsi="Arial" w:cs="Arial"/>
        </w:rPr>
      </w:pPr>
    </w:p>
    <w:p w14:paraId="0E262B0A" w14:textId="77777777" w:rsidR="001E6CCE" w:rsidRDefault="001E6CCE" w:rsidP="00B55917">
      <w:pPr>
        <w:pStyle w:val="Body"/>
        <w:spacing w:after="0"/>
        <w:rPr>
          <w:rFonts w:ascii="Arial" w:hAnsi="Arial" w:cs="Arial"/>
        </w:rPr>
      </w:pPr>
    </w:p>
    <w:p w14:paraId="249AFE7E" w14:textId="2C8B9C40" w:rsidR="001E6CCE" w:rsidRDefault="001E6CCE" w:rsidP="00B55917">
      <w:pPr>
        <w:pStyle w:val="Body"/>
        <w:spacing w:after="0"/>
        <w:rPr>
          <w:rFonts w:ascii="Arial" w:hAnsi="Arial" w:cs="Arial"/>
          <w:b/>
          <w:bCs/>
        </w:rPr>
      </w:pPr>
      <w:r w:rsidRPr="001E6CCE">
        <w:rPr>
          <w:rFonts w:ascii="Arial" w:hAnsi="Arial" w:cs="Arial"/>
          <w:b/>
          <w:bCs/>
        </w:rPr>
        <w:t xml:space="preserve">Table 2: Distribution of responses on the proportion of patients requiring SGLT2i to achieve glycemic targets in clinical practice </w:t>
      </w:r>
    </w:p>
    <w:p w14:paraId="03992C7D" w14:textId="77777777" w:rsidR="001E6CCE" w:rsidRDefault="001E6CCE" w:rsidP="00B55917">
      <w:pPr>
        <w:pStyle w:val="Body"/>
        <w:spacing w:after="0"/>
        <w:rPr>
          <w:rFonts w:ascii="Arial" w:hAnsi="Arial" w:cs="Arial"/>
          <w:b/>
          <w:bCs/>
        </w:rPr>
      </w:pPr>
    </w:p>
    <w:tbl>
      <w:tblPr>
        <w:tblW w:w="6946" w:type="dxa"/>
        <w:tblInd w:w="1126" w:type="dxa"/>
        <w:tblCellMar>
          <w:left w:w="0" w:type="dxa"/>
          <w:right w:w="0" w:type="dxa"/>
        </w:tblCellMar>
        <w:tblLook w:val="04A0" w:firstRow="1" w:lastRow="0" w:firstColumn="1" w:lastColumn="0" w:noHBand="0" w:noVBand="1"/>
      </w:tblPr>
      <w:tblGrid>
        <w:gridCol w:w="4022"/>
        <w:gridCol w:w="2924"/>
      </w:tblGrid>
      <w:tr w:rsidR="001E6CCE" w:rsidRPr="004F5804" w14:paraId="1B54807A" w14:textId="77777777" w:rsidTr="001E6CCE">
        <w:trPr>
          <w:trHeight w:val="300"/>
        </w:trPr>
        <w:tc>
          <w:tcPr>
            <w:tcW w:w="4022" w:type="dxa"/>
            <w:tcBorders>
              <w:top w:val="single" w:sz="6" w:space="0" w:color="000000"/>
              <w:left w:val="single" w:sz="6" w:space="0" w:color="000000"/>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2C868522" w14:textId="77777777" w:rsidR="001E6CCE" w:rsidRPr="001E6CCE" w:rsidRDefault="001E6CCE" w:rsidP="00B55917">
            <w:pPr>
              <w:jc w:val="both"/>
              <w:rPr>
                <w:rFonts w:ascii="Arial" w:hAnsi="Arial" w:cs="Arial"/>
                <w:b/>
                <w:bCs/>
              </w:rPr>
            </w:pPr>
            <w:r w:rsidRPr="001E6CCE">
              <w:rPr>
                <w:rFonts w:ascii="Arial" w:hAnsi="Arial" w:cs="Arial"/>
                <w:b/>
                <w:bCs/>
              </w:rPr>
              <w:t>Percentage (%)</w:t>
            </w:r>
          </w:p>
        </w:tc>
        <w:tc>
          <w:tcPr>
            <w:tcW w:w="2924" w:type="dxa"/>
            <w:tcBorders>
              <w:top w:val="single" w:sz="6" w:space="0" w:color="000000"/>
              <w:left w:val="single" w:sz="6" w:space="0" w:color="CCCCCC"/>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3FAE4331" w14:textId="77777777" w:rsidR="001E6CCE" w:rsidRPr="001E6CCE" w:rsidRDefault="001E6CCE" w:rsidP="00B55917">
            <w:pPr>
              <w:jc w:val="both"/>
              <w:rPr>
                <w:rFonts w:ascii="Arial" w:hAnsi="Arial" w:cs="Arial"/>
                <w:b/>
                <w:bCs/>
              </w:rPr>
            </w:pPr>
            <w:r w:rsidRPr="001E6CCE">
              <w:rPr>
                <w:rFonts w:ascii="Arial" w:hAnsi="Arial" w:cs="Arial"/>
                <w:b/>
                <w:bCs/>
              </w:rPr>
              <w:t>Response rate (n = 366)</w:t>
            </w:r>
          </w:p>
        </w:tc>
      </w:tr>
      <w:tr w:rsidR="001E6CCE" w:rsidRPr="004F5804" w14:paraId="5141E0B3" w14:textId="77777777" w:rsidTr="001E6CCE">
        <w:trPr>
          <w:trHeight w:val="300"/>
        </w:trPr>
        <w:tc>
          <w:tcPr>
            <w:tcW w:w="40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D17B59" w14:textId="77777777" w:rsidR="001E6CCE" w:rsidRPr="001E6CCE" w:rsidRDefault="001E6CCE" w:rsidP="00B55917">
            <w:pPr>
              <w:jc w:val="both"/>
              <w:rPr>
                <w:rFonts w:ascii="Arial" w:hAnsi="Arial" w:cs="Arial"/>
              </w:rPr>
            </w:pPr>
            <w:r w:rsidRPr="001E6CCE">
              <w:rPr>
                <w:rFonts w:ascii="Arial" w:hAnsi="Arial" w:cs="Arial"/>
              </w:rPr>
              <w:t>11-25</w:t>
            </w:r>
          </w:p>
        </w:tc>
        <w:tc>
          <w:tcPr>
            <w:tcW w:w="292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75D38E" w14:textId="77777777" w:rsidR="001E6CCE" w:rsidRPr="001E6CCE" w:rsidRDefault="001E6CCE" w:rsidP="00B55917">
            <w:pPr>
              <w:jc w:val="both"/>
              <w:rPr>
                <w:rFonts w:ascii="Arial" w:hAnsi="Arial" w:cs="Arial"/>
              </w:rPr>
            </w:pPr>
            <w:r w:rsidRPr="001E6CCE">
              <w:rPr>
                <w:rFonts w:ascii="Arial" w:hAnsi="Arial" w:cs="Arial"/>
              </w:rPr>
              <w:t>24.86%</w:t>
            </w:r>
          </w:p>
        </w:tc>
      </w:tr>
      <w:tr w:rsidR="001E6CCE" w:rsidRPr="004F5804" w14:paraId="4B77CF6D" w14:textId="77777777" w:rsidTr="001E6CCE">
        <w:trPr>
          <w:trHeight w:val="300"/>
        </w:trPr>
        <w:tc>
          <w:tcPr>
            <w:tcW w:w="40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56255E" w14:textId="77777777" w:rsidR="001E6CCE" w:rsidRPr="001E6CCE" w:rsidRDefault="001E6CCE" w:rsidP="00B55917">
            <w:pPr>
              <w:jc w:val="both"/>
              <w:rPr>
                <w:rFonts w:ascii="Arial" w:hAnsi="Arial" w:cs="Arial"/>
              </w:rPr>
            </w:pPr>
            <w:r w:rsidRPr="001E6CCE">
              <w:rPr>
                <w:rFonts w:ascii="Arial" w:hAnsi="Arial" w:cs="Arial"/>
              </w:rPr>
              <w:t>26-40</w:t>
            </w:r>
          </w:p>
        </w:tc>
        <w:tc>
          <w:tcPr>
            <w:tcW w:w="292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E46807" w14:textId="77777777" w:rsidR="001E6CCE" w:rsidRPr="001E6CCE" w:rsidRDefault="001E6CCE" w:rsidP="00B55917">
            <w:pPr>
              <w:jc w:val="both"/>
              <w:rPr>
                <w:rFonts w:ascii="Arial" w:hAnsi="Arial" w:cs="Arial"/>
              </w:rPr>
            </w:pPr>
            <w:r w:rsidRPr="001E6CCE">
              <w:rPr>
                <w:rFonts w:ascii="Arial" w:hAnsi="Arial" w:cs="Arial"/>
              </w:rPr>
              <w:t>55.19%</w:t>
            </w:r>
          </w:p>
        </w:tc>
      </w:tr>
      <w:tr w:rsidR="001E6CCE" w:rsidRPr="004F5804" w14:paraId="50FC5CEF" w14:textId="77777777" w:rsidTr="001E6CCE">
        <w:trPr>
          <w:trHeight w:val="300"/>
        </w:trPr>
        <w:tc>
          <w:tcPr>
            <w:tcW w:w="40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5D5E3D" w14:textId="77777777" w:rsidR="001E6CCE" w:rsidRPr="001E6CCE" w:rsidRDefault="001E6CCE" w:rsidP="00B55917">
            <w:pPr>
              <w:jc w:val="both"/>
              <w:rPr>
                <w:rFonts w:ascii="Arial" w:hAnsi="Arial" w:cs="Arial"/>
              </w:rPr>
            </w:pPr>
            <w:r w:rsidRPr="001E6CCE">
              <w:rPr>
                <w:rFonts w:ascii="Arial" w:hAnsi="Arial" w:cs="Arial"/>
              </w:rPr>
              <w:t>41-50</w:t>
            </w:r>
          </w:p>
        </w:tc>
        <w:tc>
          <w:tcPr>
            <w:tcW w:w="292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F53B99" w14:textId="77777777" w:rsidR="001E6CCE" w:rsidRPr="001E6CCE" w:rsidRDefault="001E6CCE" w:rsidP="00B55917">
            <w:pPr>
              <w:jc w:val="both"/>
              <w:rPr>
                <w:rFonts w:ascii="Arial" w:hAnsi="Arial" w:cs="Arial"/>
              </w:rPr>
            </w:pPr>
            <w:r w:rsidRPr="001E6CCE">
              <w:rPr>
                <w:rFonts w:ascii="Arial" w:hAnsi="Arial" w:cs="Arial"/>
              </w:rPr>
              <w:t>19.4%</w:t>
            </w:r>
          </w:p>
        </w:tc>
      </w:tr>
    </w:tbl>
    <w:p w14:paraId="47DB7121" w14:textId="77777777" w:rsidR="001E6CCE" w:rsidRDefault="001E6CCE" w:rsidP="00B55917">
      <w:pPr>
        <w:pStyle w:val="Body"/>
        <w:spacing w:after="0"/>
        <w:rPr>
          <w:rFonts w:ascii="Arial" w:hAnsi="Arial" w:cs="Arial"/>
        </w:rPr>
      </w:pPr>
    </w:p>
    <w:p w14:paraId="0E1D80AB" w14:textId="5B40C117" w:rsidR="001E6CCE" w:rsidRDefault="001E6CCE" w:rsidP="00B55917">
      <w:pPr>
        <w:pStyle w:val="Body"/>
        <w:spacing w:after="0"/>
        <w:rPr>
          <w:rFonts w:ascii="Arial" w:hAnsi="Arial" w:cs="Arial"/>
        </w:rPr>
      </w:pPr>
      <w:r w:rsidRPr="001E6CCE">
        <w:rPr>
          <w:rFonts w:ascii="Arial" w:hAnsi="Arial" w:cs="Arial"/>
        </w:rPr>
        <w:t>More than half (57.38%) of participants reported that prescribing dapagliflozin in combination with other medications depends on the patient’s clinical profile, while 34.97% preferred initiating combination therapy. Around 51% perceived pleiotropic benefits of dapagliflozin, including reductions in sodium and water overload, cardiac workload, inflammation, and oxidative stress.</w:t>
      </w:r>
    </w:p>
    <w:p w14:paraId="50507DC2" w14:textId="77777777" w:rsidR="001E6CCE" w:rsidRDefault="001E6CCE" w:rsidP="00B55917">
      <w:pPr>
        <w:pStyle w:val="Body"/>
        <w:spacing w:after="0"/>
        <w:rPr>
          <w:rFonts w:ascii="Arial" w:hAnsi="Arial" w:cs="Arial"/>
        </w:rPr>
      </w:pPr>
    </w:p>
    <w:p w14:paraId="1E2A55A2" w14:textId="0A0C7D5D" w:rsidR="001E6CCE" w:rsidRDefault="001E6CCE" w:rsidP="00B55917">
      <w:pPr>
        <w:pStyle w:val="Body"/>
        <w:spacing w:after="0"/>
        <w:rPr>
          <w:rFonts w:ascii="Arial" w:hAnsi="Arial" w:cs="Arial"/>
        </w:rPr>
      </w:pPr>
      <w:r w:rsidRPr="001E6CCE">
        <w:rPr>
          <w:rFonts w:ascii="Arial" w:hAnsi="Arial" w:cs="Arial"/>
        </w:rPr>
        <w:t>Half (50.82%) of respondents observed an HbA1c reduction of 1.0–1.5% after three months of SGLT2 inhibitor therapy. Most clinicians (68.31%) reported observing a 5–10 mmHg reduction in systolic blood pressure with dapagliflozin 10 mg in clinical practice (Fig. 3). More than half of respondents (57.1%) reported perceiving pleiotropic benefits of SGLT2i beyond glycemic control, including cardiovascular and renal benefits (Table 3).</w:t>
      </w:r>
    </w:p>
    <w:p w14:paraId="5E6A9AE0" w14:textId="77777777" w:rsidR="001E6CCE" w:rsidRDefault="001E6CCE" w:rsidP="00B55917">
      <w:pPr>
        <w:pStyle w:val="Body"/>
        <w:spacing w:after="0"/>
        <w:rPr>
          <w:rFonts w:ascii="Arial" w:hAnsi="Arial" w:cs="Arial"/>
        </w:rPr>
      </w:pPr>
    </w:p>
    <w:p w14:paraId="203DDB4C" w14:textId="13A0082E" w:rsidR="001E6CCE" w:rsidRDefault="00A758FC" w:rsidP="00B55917">
      <w:pPr>
        <w:pStyle w:val="Body"/>
        <w:spacing w:after="0"/>
        <w:rPr>
          <w:rFonts w:ascii="Arial" w:hAnsi="Arial" w:cs="Arial"/>
        </w:rPr>
      </w:pPr>
      <w:r w:rsidRPr="00A758FC">
        <w:rPr>
          <w:rFonts w:ascii="Arial" w:hAnsi="Arial" w:cs="Arial"/>
          <w:b/>
          <w:bCs/>
        </w:rPr>
        <w:t>Fig. 3: Distribution of responses regarding the observed reduction in systolic BP with dapagliflozin in clinical practice</w:t>
      </w:r>
    </w:p>
    <w:p w14:paraId="4F08673B" w14:textId="77777777" w:rsidR="001E6CCE" w:rsidRDefault="001E6CCE" w:rsidP="00B55917">
      <w:pPr>
        <w:pStyle w:val="Body"/>
        <w:spacing w:after="0"/>
        <w:rPr>
          <w:rFonts w:ascii="Arial" w:hAnsi="Arial" w:cs="Arial"/>
        </w:rPr>
      </w:pPr>
    </w:p>
    <w:p w14:paraId="7A979CF1" w14:textId="0D262711" w:rsidR="001E6CCE" w:rsidRDefault="00A758FC" w:rsidP="00B55917">
      <w:pPr>
        <w:pStyle w:val="Body"/>
        <w:spacing w:after="0"/>
        <w:rPr>
          <w:rFonts w:ascii="Arial" w:hAnsi="Arial" w:cs="Arial"/>
        </w:rPr>
      </w:pPr>
      <w:r w:rsidRPr="004F5804">
        <w:rPr>
          <w:rFonts w:ascii="Times New Roman" w:hAnsi="Times New Roman"/>
          <w:noProof/>
          <w:sz w:val="24"/>
          <w:szCs w:val="24"/>
        </w:rPr>
        <w:lastRenderedPageBreak/>
        <w:drawing>
          <wp:inline distT="0" distB="0" distL="0" distR="0" wp14:anchorId="0BB57D50" wp14:editId="4C951A23">
            <wp:extent cx="4572000" cy="2743200"/>
            <wp:effectExtent l="0" t="0" r="0" b="0"/>
            <wp:docPr id="725201753" name="Chart 1">
              <a:extLst xmlns:a="http://schemas.openxmlformats.org/drawingml/2006/main">
                <a:ext uri="{FF2B5EF4-FFF2-40B4-BE49-F238E27FC236}">
                  <a16:creationId xmlns:a16="http://schemas.microsoft.com/office/drawing/2014/main" id="{7AE250BA-BA92-E542-6760-9E9DC60AE3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4E9A457" w14:textId="77777777" w:rsidR="001E6CCE" w:rsidRDefault="001E6CCE" w:rsidP="00B55917">
      <w:pPr>
        <w:pStyle w:val="Body"/>
        <w:spacing w:after="0"/>
        <w:rPr>
          <w:rFonts w:ascii="Arial" w:hAnsi="Arial" w:cs="Arial"/>
        </w:rPr>
      </w:pPr>
    </w:p>
    <w:p w14:paraId="3F8E061B" w14:textId="7497DF42" w:rsidR="001E6CCE" w:rsidRDefault="00A758FC" w:rsidP="00B55917">
      <w:pPr>
        <w:pStyle w:val="Body"/>
        <w:spacing w:after="0"/>
        <w:rPr>
          <w:rFonts w:ascii="Arial" w:hAnsi="Arial" w:cs="Arial"/>
        </w:rPr>
      </w:pPr>
      <w:r w:rsidRPr="00A758FC">
        <w:rPr>
          <w:rFonts w:ascii="Arial" w:hAnsi="Arial" w:cs="Arial"/>
          <w:b/>
          <w:bCs/>
        </w:rPr>
        <w:t>Table 3: Distribution of responses on pleiotropic benefits of SGLT2i beyond glycemic control in clinical practice</w:t>
      </w:r>
    </w:p>
    <w:p w14:paraId="15C582D3" w14:textId="77777777" w:rsidR="001E6CCE" w:rsidRDefault="001E6CCE" w:rsidP="00B55917">
      <w:pPr>
        <w:pStyle w:val="Body"/>
        <w:spacing w:after="0"/>
        <w:rPr>
          <w:rFonts w:ascii="Arial" w:hAnsi="Arial" w:cs="Arial"/>
        </w:rPr>
      </w:pPr>
    </w:p>
    <w:tbl>
      <w:tblPr>
        <w:tblW w:w="8080" w:type="dxa"/>
        <w:tblInd w:w="187" w:type="dxa"/>
        <w:tblCellMar>
          <w:left w:w="0" w:type="dxa"/>
          <w:right w:w="0" w:type="dxa"/>
        </w:tblCellMar>
        <w:tblLook w:val="04A0" w:firstRow="1" w:lastRow="0" w:firstColumn="1" w:lastColumn="0" w:noHBand="0" w:noVBand="1"/>
      </w:tblPr>
      <w:tblGrid>
        <w:gridCol w:w="5617"/>
        <w:gridCol w:w="2463"/>
      </w:tblGrid>
      <w:tr w:rsidR="00A758FC" w:rsidRPr="00A758FC" w14:paraId="57744A31" w14:textId="77777777" w:rsidTr="001D3A64">
        <w:trPr>
          <w:trHeight w:val="300"/>
        </w:trPr>
        <w:tc>
          <w:tcPr>
            <w:tcW w:w="5617" w:type="dxa"/>
            <w:tcBorders>
              <w:top w:val="single" w:sz="6" w:space="0" w:color="000000"/>
              <w:left w:val="single" w:sz="6" w:space="0" w:color="000000"/>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27EB16E7" w14:textId="77777777" w:rsidR="00A758FC" w:rsidRPr="00A758FC" w:rsidRDefault="00A758FC" w:rsidP="00B55917">
            <w:pPr>
              <w:jc w:val="both"/>
              <w:rPr>
                <w:rFonts w:ascii="Arial" w:hAnsi="Arial" w:cs="Arial"/>
                <w:b/>
                <w:bCs/>
              </w:rPr>
            </w:pPr>
            <w:r w:rsidRPr="00A758FC">
              <w:rPr>
                <w:rFonts w:ascii="Arial" w:hAnsi="Arial" w:cs="Arial"/>
                <w:b/>
                <w:bCs/>
              </w:rPr>
              <w:t xml:space="preserve">Benefits </w:t>
            </w:r>
          </w:p>
        </w:tc>
        <w:tc>
          <w:tcPr>
            <w:tcW w:w="2463" w:type="dxa"/>
            <w:tcBorders>
              <w:top w:val="single" w:sz="6" w:space="0" w:color="000000"/>
              <w:left w:val="single" w:sz="6" w:space="0" w:color="CCCCCC"/>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00DA72D7" w14:textId="77777777" w:rsidR="00A758FC" w:rsidRPr="00A758FC" w:rsidRDefault="00A758FC" w:rsidP="00B55917">
            <w:pPr>
              <w:jc w:val="both"/>
              <w:rPr>
                <w:rFonts w:ascii="Arial" w:hAnsi="Arial" w:cs="Arial"/>
                <w:b/>
                <w:bCs/>
              </w:rPr>
            </w:pPr>
            <w:r w:rsidRPr="00A758FC">
              <w:rPr>
                <w:rFonts w:ascii="Arial" w:hAnsi="Arial" w:cs="Arial"/>
                <w:b/>
                <w:bCs/>
              </w:rPr>
              <w:t>Response rate (n = 366)</w:t>
            </w:r>
          </w:p>
        </w:tc>
      </w:tr>
      <w:tr w:rsidR="00A758FC" w:rsidRPr="00A758FC" w14:paraId="00867CE8" w14:textId="77777777" w:rsidTr="001D3A64">
        <w:trPr>
          <w:trHeight w:val="300"/>
        </w:trPr>
        <w:tc>
          <w:tcPr>
            <w:tcW w:w="561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4F1A76" w14:textId="77777777" w:rsidR="00A758FC" w:rsidRPr="00A758FC" w:rsidRDefault="00A758FC" w:rsidP="00B55917">
            <w:pPr>
              <w:jc w:val="both"/>
              <w:rPr>
                <w:rFonts w:ascii="Arial" w:hAnsi="Arial" w:cs="Arial"/>
              </w:rPr>
            </w:pPr>
            <w:r w:rsidRPr="00A758FC">
              <w:rPr>
                <w:rFonts w:ascii="Arial" w:hAnsi="Arial" w:cs="Arial"/>
              </w:rPr>
              <w:t xml:space="preserve">Reduces the rate of CV death and hospitalization for </w:t>
            </w:r>
            <w:r w:rsidRPr="00A758FC">
              <w:rPr>
                <w:rFonts w:ascii="Arial" w:hAnsi="Arial" w:cs="Arial"/>
                <w:lang w:val="en-IN"/>
              </w:rPr>
              <w:t>HF</w:t>
            </w:r>
          </w:p>
        </w:tc>
        <w:tc>
          <w:tcPr>
            <w:tcW w:w="24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B6EBF2" w14:textId="77777777" w:rsidR="00A758FC" w:rsidRPr="00A758FC" w:rsidRDefault="00A758FC" w:rsidP="00B55917">
            <w:pPr>
              <w:jc w:val="both"/>
              <w:rPr>
                <w:rFonts w:ascii="Arial" w:hAnsi="Arial" w:cs="Arial"/>
              </w:rPr>
            </w:pPr>
            <w:r w:rsidRPr="00A758FC">
              <w:rPr>
                <w:rFonts w:ascii="Arial" w:hAnsi="Arial" w:cs="Arial"/>
              </w:rPr>
              <w:t>30.33%</w:t>
            </w:r>
          </w:p>
        </w:tc>
      </w:tr>
      <w:tr w:rsidR="00A758FC" w:rsidRPr="00A758FC" w14:paraId="4FF01F3D" w14:textId="77777777" w:rsidTr="001D3A64">
        <w:trPr>
          <w:trHeight w:val="300"/>
        </w:trPr>
        <w:tc>
          <w:tcPr>
            <w:tcW w:w="561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728987" w14:textId="77777777" w:rsidR="00A758FC" w:rsidRPr="00A758FC" w:rsidRDefault="00A758FC" w:rsidP="00B55917">
            <w:pPr>
              <w:jc w:val="both"/>
              <w:rPr>
                <w:rFonts w:ascii="Arial" w:hAnsi="Arial" w:cs="Arial"/>
              </w:rPr>
            </w:pPr>
            <w:r w:rsidRPr="00A758FC">
              <w:rPr>
                <w:rFonts w:ascii="Arial" w:hAnsi="Arial" w:cs="Arial"/>
              </w:rPr>
              <w:t>Provides effective glycemic control and reduces body weight</w:t>
            </w:r>
          </w:p>
        </w:tc>
        <w:tc>
          <w:tcPr>
            <w:tcW w:w="24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12D131" w14:textId="77777777" w:rsidR="00A758FC" w:rsidRPr="00A758FC" w:rsidRDefault="00A758FC" w:rsidP="00B55917">
            <w:pPr>
              <w:jc w:val="both"/>
              <w:rPr>
                <w:rFonts w:ascii="Arial" w:hAnsi="Arial" w:cs="Arial"/>
              </w:rPr>
            </w:pPr>
            <w:r w:rsidRPr="00A758FC">
              <w:rPr>
                <w:rFonts w:ascii="Arial" w:hAnsi="Arial" w:cs="Arial"/>
              </w:rPr>
              <w:t>6.83%</w:t>
            </w:r>
          </w:p>
        </w:tc>
      </w:tr>
      <w:tr w:rsidR="00A758FC" w:rsidRPr="00A758FC" w14:paraId="095C766E" w14:textId="77777777" w:rsidTr="001D3A64">
        <w:trPr>
          <w:trHeight w:val="300"/>
        </w:trPr>
        <w:tc>
          <w:tcPr>
            <w:tcW w:w="561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EB4A37" w14:textId="77777777" w:rsidR="00A758FC" w:rsidRPr="00A758FC" w:rsidRDefault="00A758FC" w:rsidP="00B55917">
            <w:pPr>
              <w:jc w:val="both"/>
              <w:rPr>
                <w:rFonts w:ascii="Arial" w:hAnsi="Arial" w:cs="Arial"/>
              </w:rPr>
            </w:pPr>
            <w:r w:rsidRPr="00A758FC">
              <w:rPr>
                <w:rFonts w:ascii="Arial" w:hAnsi="Arial" w:cs="Arial"/>
              </w:rPr>
              <w:t>Reduces the risk of progression of kidney disease and CV events</w:t>
            </w:r>
          </w:p>
        </w:tc>
        <w:tc>
          <w:tcPr>
            <w:tcW w:w="24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8AFEC3" w14:textId="77777777" w:rsidR="00A758FC" w:rsidRPr="00A758FC" w:rsidRDefault="00A758FC" w:rsidP="00B55917">
            <w:pPr>
              <w:jc w:val="both"/>
              <w:rPr>
                <w:rFonts w:ascii="Arial" w:hAnsi="Arial" w:cs="Arial"/>
              </w:rPr>
            </w:pPr>
            <w:r w:rsidRPr="00A758FC">
              <w:rPr>
                <w:rFonts w:ascii="Arial" w:hAnsi="Arial" w:cs="Arial"/>
              </w:rPr>
              <w:t>5.74%</w:t>
            </w:r>
          </w:p>
        </w:tc>
      </w:tr>
      <w:tr w:rsidR="00A758FC" w:rsidRPr="00A758FC" w14:paraId="07054780" w14:textId="77777777" w:rsidTr="001D3A64">
        <w:trPr>
          <w:trHeight w:val="300"/>
        </w:trPr>
        <w:tc>
          <w:tcPr>
            <w:tcW w:w="561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38098B" w14:textId="77777777" w:rsidR="00A758FC" w:rsidRPr="00A758FC" w:rsidRDefault="00A758FC" w:rsidP="00B55917">
            <w:pPr>
              <w:jc w:val="both"/>
              <w:rPr>
                <w:rFonts w:ascii="Arial" w:hAnsi="Arial" w:cs="Arial"/>
              </w:rPr>
            </w:pPr>
            <w:r w:rsidRPr="00A758FC">
              <w:rPr>
                <w:rFonts w:ascii="Arial" w:hAnsi="Arial" w:cs="Arial"/>
              </w:rPr>
              <w:t>All of the above</w:t>
            </w:r>
          </w:p>
        </w:tc>
        <w:tc>
          <w:tcPr>
            <w:tcW w:w="24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D2DA15" w14:textId="77777777" w:rsidR="00A758FC" w:rsidRPr="00A758FC" w:rsidRDefault="00A758FC" w:rsidP="00B55917">
            <w:pPr>
              <w:jc w:val="both"/>
              <w:rPr>
                <w:rFonts w:ascii="Arial" w:hAnsi="Arial" w:cs="Arial"/>
              </w:rPr>
            </w:pPr>
            <w:r w:rsidRPr="00A758FC">
              <w:rPr>
                <w:rFonts w:ascii="Arial" w:hAnsi="Arial" w:cs="Arial"/>
              </w:rPr>
              <w:t>57.1%</w:t>
            </w:r>
          </w:p>
        </w:tc>
      </w:tr>
    </w:tbl>
    <w:p w14:paraId="196513FF" w14:textId="77777777" w:rsidR="00A758FC" w:rsidRDefault="00A758FC" w:rsidP="00B55917">
      <w:pPr>
        <w:pStyle w:val="Body"/>
        <w:spacing w:after="0"/>
        <w:rPr>
          <w:rFonts w:ascii="Arial" w:hAnsi="Arial" w:cs="Arial"/>
        </w:rPr>
      </w:pPr>
    </w:p>
    <w:p w14:paraId="2D3AE0CF" w14:textId="77777777" w:rsidR="001D3A64" w:rsidRDefault="001D3A64" w:rsidP="00B55917">
      <w:pPr>
        <w:pStyle w:val="Body"/>
        <w:spacing w:after="0"/>
        <w:rPr>
          <w:rFonts w:ascii="Arial" w:hAnsi="Arial" w:cs="Arial"/>
        </w:rPr>
      </w:pPr>
      <w:r w:rsidRPr="001D3A64">
        <w:rPr>
          <w:rFonts w:ascii="Arial" w:hAnsi="Arial" w:cs="Arial"/>
        </w:rPr>
        <w:t>Approximately 57% of clinicians stated that they initiate SGLT2 inhibitor plus DPP-4 inhibitor combination therapy when HbA1c levels exceed 8%. As indicated by around 72% of participants, the most commonly recommended combination is dapagliflozin plus sitagliptin (Fig. 4). Nearly half (45.36%) of respondents reported an 11–25% reduction in insulin use following advances in DPP-4i and SGLT2i.</w:t>
      </w:r>
    </w:p>
    <w:p w14:paraId="350749E5" w14:textId="77777777" w:rsidR="001D3A64" w:rsidRPr="001D3A64" w:rsidRDefault="001D3A64" w:rsidP="00B55917">
      <w:pPr>
        <w:pStyle w:val="Body"/>
        <w:spacing w:after="0"/>
        <w:rPr>
          <w:rFonts w:ascii="Arial" w:hAnsi="Arial" w:cs="Arial"/>
        </w:rPr>
      </w:pPr>
    </w:p>
    <w:p w14:paraId="17AE2EF1" w14:textId="46CF2A82" w:rsidR="00A758FC" w:rsidRDefault="001D3A64" w:rsidP="00B55917">
      <w:pPr>
        <w:pStyle w:val="Body"/>
        <w:spacing w:after="0"/>
        <w:rPr>
          <w:rFonts w:ascii="Arial" w:hAnsi="Arial" w:cs="Arial"/>
        </w:rPr>
      </w:pPr>
      <w:r w:rsidRPr="001D3A64">
        <w:rPr>
          <w:rFonts w:ascii="Arial" w:hAnsi="Arial" w:cs="Arial"/>
        </w:rPr>
        <w:t>Two-thirds (66.67%) of clinicians reported that 11–20% of their patients with diabetes are treated with linagliptin in routine practice. Approximately two-thirds (66.12%) preferred the FDC of dapagliflozin plus linagliptin across clinical scenarios, including in elderly patients and those with obesity and cardiac or renal complications (Table 4).</w:t>
      </w:r>
    </w:p>
    <w:p w14:paraId="5D1F48EE" w14:textId="77777777" w:rsidR="00A758FC" w:rsidRDefault="00A758FC" w:rsidP="00B55917">
      <w:pPr>
        <w:pStyle w:val="Body"/>
        <w:spacing w:after="0"/>
        <w:rPr>
          <w:rFonts w:ascii="Arial" w:hAnsi="Arial" w:cs="Arial"/>
        </w:rPr>
      </w:pPr>
    </w:p>
    <w:p w14:paraId="1604E544" w14:textId="4D753657" w:rsidR="00A758FC" w:rsidRDefault="001D3A64" w:rsidP="00B55917">
      <w:pPr>
        <w:pStyle w:val="Body"/>
        <w:spacing w:after="0"/>
        <w:rPr>
          <w:rFonts w:ascii="Arial" w:hAnsi="Arial" w:cs="Arial"/>
        </w:rPr>
      </w:pPr>
      <w:r w:rsidRPr="001D3A64">
        <w:rPr>
          <w:rFonts w:ascii="Arial" w:hAnsi="Arial" w:cs="Arial"/>
          <w:b/>
          <w:bCs/>
        </w:rPr>
        <w:t>Fig. 4: Distribution of responses on most preferred SGLT2i +DPP4i in clinical practice</w:t>
      </w:r>
    </w:p>
    <w:p w14:paraId="6F956E2F" w14:textId="714CDE63" w:rsidR="00A758FC" w:rsidRDefault="001D3A64" w:rsidP="00B55917">
      <w:pPr>
        <w:pStyle w:val="Body"/>
        <w:spacing w:after="0"/>
        <w:rPr>
          <w:rFonts w:ascii="Arial" w:hAnsi="Arial" w:cs="Arial"/>
        </w:rPr>
      </w:pPr>
      <w:r w:rsidRPr="004F5804">
        <w:rPr>
          <w:rFonts w:ascii="Times New Roman" w:hAnsi="Times New Roman"/>
          <w:noProof/>
          <w:sz w:val="24"/>
          <w:szCs w:val="24"/>
        </w:rPr>
        <w:lastRenderedPageBreak/>
        <w:drawing>
          <wp:inline distT="0" distB="0" distL="0" distR="0" wp14:anchorId="2CFC7679" wp14:editId="6C59D932">
            <wp:extent cx="4572000" cy="2743200"/>
            <wp:effectExtent l="0" t="0" r="0" b="0"/>
            <wp:docPr id="23254277" name="Chart 1">
              <a:extLst xmlns:a="http://schemas.openxmlformats.org/drawingml/2006/main">
                <a:ext uri="{FF2B5EF4-FFF2-40B4-BE49-F238E27FC236}">
                  <a16:creationId xmlns:a16="http://schemas.microsoft.com/office/drawing/2014/main" id="{F6C83F89-7752-FB8E-29BB-E12ADD0C14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17D7D43" w14:textId="77777777" w:rsidR="001D3A64" w:rsidRDefault="001D3A64" w:rsidP="00B55917">
      <w:pPr>
        <w:pStyle w:val="Body"/>
        <w:spacing w:after="0"/>
        <w:rPr>
          <w:rFonts w:ascii="Arial" w:hAnsi="Arial" w:cs="Arial"/>
        </w:rPr>
      </w:pPr>
    </w:p>
    <w:p w14:paraId="0A6CC120" w14:textId="26EEB436" w:rsidR="001D3A64" w:rsidRDefault="001D3A64" w:rsidP="00B55917">
      <w:pPr>
        <w:pStyle w:val="Body"/>
        <w:spacing w:after="0"/>
        <w:rPr>
          <w:rFonts w:ascii="Arial" w:hAnsi="Arial" w:cs="Arial"/>
          <w:b/>
          <w:bCs/>
        </w:rPr>
      </w:pPr>
      <w:r w:rsidRPr="001D3A64">
        <w:rPr>
          <w:rFonts w:ascii="Arial" w:hAnsi="Arial" w:cs="Arial"/>
          <w:b/>
          <w:bCs/>
        </w:rPr>
        <w:t>Table 4: Distribution of responses on preferred clinical scenarios for dapagliflozin + linagliptin FDC in clinical practice</w:t>
      </w:r>
    </w:p>
    <w:p w14:paraId="3916AB1E" w14:textId="77777777" w:rsidR="001D3A64" w:rsidRDefault="001D3A64" w:rsidP="00B55917">
      <w:pPr>
        <w:pStyle w:val="Body"/>
        <w:spacing w:after="0"/>
        <w:rPr>
          <w:rFonts w:ascii="Arial" w:hAnsi="Arial" w:cs="Arial"/>
          <w:b/>
          <w:bCs/>
        </w:rPr>
      </w:pPr>
    </w:p>
    <w:tbl>
      <w:tblPr>
        <w:tblW w:w="7743" w:type="dxa"/>
        <w:tblInd w:w="329" w:type="dxa"/>
        <w:tblCellMar>
          <w:left w:w="0" w:type="dxa"/>
          <w:right w:w="0" w:type="dxa"/>
        </w:tblCellMar>
        <w:tblLook w:val="04A0" w:firstRow="1" w:lastRow="0" w:firstColumn="1" w:lastColumn="0" w:noHBand="0" w:noVBand="1"/>
      </w:tblPr>
      <w:tblGrid>
        <w:gridCol w:w="4536"/>
        <w:gridCol w:w="3207"/>
      </w:tblGrid>
      <w:tr w:rsidR="001D3A64" w:rsidRPr="004F5804" w14:paraId="45C6FE2A" w14:textId="77777777" w:rsidTr="001D3A64">
        <w:trPr>
          <w:trHeight w:val="300"/>
        </w:trPr>
        <w:tc>
          <w:tcPr>
            <w:tcW w:w="4536" w:type="dxa"/>
            <w:tcBorders>
              <w:top w:val="single" w:sz="6" w:space="0" w:color="000000"/>
              <w:left w:val="single" w:sz="6" w:space="0" w:color="000000"/>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04744F33" w14:textId="77777777" w:rsidR="001D3A64" w:rsidRPr="001D3A64" w:rsidRDefault="001D3A64" w:rsidP="00B55917">
            <w:pPr>
              <w:jc w:val="both"/>
              <w:rPr>
                <w:rFonts w:ascii="Arial" w:hAnsi="Arial" w:cs="Arial"/>
                <w:b/>
                <w:bCs/>
              </w:rPr>
            </w:pPr>
            <w:r w:rsidRPr="001D3A64">
              <w:rPr>
                <w:rFonts w:ascii="Arial" w:hAnsi="Arial" w:cs="Arial"/>
                <w:b/>
                <w:bCs/>
              </w:rPr>
              <w:t>Preference</w:t>
            </w:r>
          </w:p>
        </w:tc>
        <w:tc>
          <w:tcPr>
            <w:tcW w:w="3207" w:type="dxa"/>
            <w:tcBorders>
              <w:top w:val="single" w:sz="6" w:space="0" w:color="000000"/>
              <w:left w:val="single" w:sz="6" w:space="0" w:color="CCCCCC"/>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7D0F0F32" w14:textId="77777777" w:rsidR="001D3A64" w:rsidRPr="001D3A64" w:rsidRDefault="001D3A64" w:rsidP="00B55917">
            <w:pPr>
              <w:jc w:val="both"/>
              <w:rPr>
                <w:rFonts w:ascii="Arial" w:hAnsi="Arial" w:cs="Arial"/>
                <w:b/>
                <w:bCs/>
              </w:rPr>
            </w:pPr>
            <w:r w:rsidRPr="001D3A64">
              <w:rPr>
                <w:rFonts w:ascii="Arial" w:hAnsi="Arial" w:cs="Arial"/>
                <w:b/>
                <w:bCs/>
              </w:rPr>
              <w:t>Response rate (n = 366)</w:t>
            </w:r>
          </w:p>
        </w:tc>
      </w:tr>
      <w:tr w:rsidR="001D3A64" w:rsidRPr="004F5804" w14:paraId="11FBDE4B" w14:textId="77777777" w:rsidTr="001D3A64">
        <w:trPr>
          <w:trHeight w:val="300"/>
        </w:trPr>
        <w:tc>
          <w:tcPr>
            <w:tcW w:w="45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1174D6" w14:textId="77777777" w:rsidR="001D3A64" w:rsidRPr="001D3A64" w:rsidRDefault="001D3A64" w:rsidP="00B55917">
            <w:pPr>
              <w:jc w:val="both"/>
              <w:rPr>
                <w:rFonts w:ascii="Arial" w:hAnsi="Arial" w:cs="Arial"/>
              </w:rPr>
            </w:pPr>
            <w:r w:rsidRPr="001D3A64">
              <w:rPr>
                <w:rFonts w:ascii="Arial" w:hAnsi="Arial" w:cs="Arial"/>
              </w:rPr>
              <w:t>Elderly diabetes individuals</w:t>
            </w:r>
          </w:p>
        </w:tc>
        <w:tc>
          <w:tcPr>
            <w:tcW w:w="32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BC1EF0" w14:textId="77777777" w:rsidR="001D3A64" w:rsidRPr="001D3A64" w:rsidRDefault="001D3A64" w:rsidP="00B55917">
            <w:pPr>
              <w:jc w:val="both"/>
              <w:rPr>
                <w:rFonts w:ascii="Arial" w:hAnsi="Arial" w:cs="Arial"/>
              </w:rPr>
            </w:pPr>
            <w:r w:rsidRPr="001D3A64">
              <w:rPr>
                <w:rFonts w:ascii="Arial" w:hAnsi="Arial" w:cs="Arial"/>
              </w:rPr>
              <w:t>7.38%</w:t>
            </w:r>
          </w:p>
        </w:tc>
      </w:tr>
      <w:tr w:rsidR="001D3A64" w:rsidRPr="004F5804" w14:paraId="3454DAE1" w14:textId="77777777" w:rsidTr="001D3A64">
        <w:trPr>
          <w:trHeight w:val="300"/>
        </w:trPr>
        <w:tc>
          <w:tcPr>
            <w:tcW w:w="45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8B9587" w14:textId="77777777" w:rsidR="001D3A64" w:rsidRPr="001D3A64" w:rsidRDefault="001D3A64" w:rsidP="00B55917">
            <w:pPr>
              <w:jc w:val="both"/>
              <w:rPr>
                <w:rFonts w:ascii="Arial" w:hAnsi="Arial" w:cs="Arial"/>
              </w:rPr>
            </w:pPr>
            <w:r w:rsidRPr="001D3A64">
              <w:rPr>
                <w:rFonts w:ascii="Arial" w:hAnsi="Arial" w:cs="Arial"/>
              </w:rPr>
              <w:t>Diabetics with obesity and cardiac complications</w:t>
            </w:r>
          </w:p>
        </w:tc>
        <w:tc>
          <w:tcPr>
            <w:tcW w:w="32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F40AF3" w14:textId="77777777" w:rsidR="001D3A64" w:rsidRPr="001D3A64" w:rsidRDefault="001D3A64" w:rsidP="00B55917">
            <w:pPr>
              <w:jc w:val="both"/>
              <w:rPr>
                <w:rFonts w:ascii="Arial" w:hAnsi="Arial" w:cs="Arial"/>
              </w:rPr>
            </w:pPr>
            <w:r w:rsidRPr="001D3A64">
              <w:rPr>
                <w:rFonts w:ascii="Arial" w:hAnsi="Arial" w:cs="Arial"/>
              </w:rPr>
              <w:t>8.2%</w:t>
            </w:r>
          </w:p>
        </w:tc>
      </w:tr>
      <w:tr w:rsidR="001D3A64" w:rsidRPr="004F5804" w14:paraId="53A02BC5" w14:textId="77777777" w:rsidTr="001D3A64">
        <w:trPr>
          <w:trHeight w:val="300"/>
        </w:trPr>
        <w:tc>
          <w:tcPr>
            <w:tcW w:w="45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5DB1F8" w14:textId="77777777" w:rsidR="001D3A64" w:rsidRPr="001D3A64" w:rsidRDefault="001D3A64" w:rsidP="00B55917">
            <w:pPr>
              <w:jc w:val="both"/>
              <w:rPr>
                <w:rFonts w:ascii="Arial" w:hAnsi="Arial" w:cs="Arial"/>
              </w:rPr>
            </w:pPr>
            <w:r w:rsidRPr="001D3A64">
              <w:rPr>
                <w:rFonts w:ascii="Arial" w:hAnsi="Arial" w:cs="Arial"/>
              </w:rPr>
              <w:t>Diabetics with obesity and renal complications</w:t>
            </w:r>
          </w:p>
        </w:tc>
        <w:tc>
          <w:tcPr>
            <w:tcW w:w="32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8154D4" w14:textId="77777777" w:rsidR="001D3A64" w:rsidRPr="001D3A64" w:rsidRDefault="001D3A64" w:rsidP="00B55917">
            <w:pPr>
              <w:jc w:val="both"/>
              <w:rPr>
                <w:rFonts w:ascii="Arial" w:hAnsi="Arial" w:cs="Arial"/>
              </w:rPr>
            </w:pPr>
            <w:r w:rsidRPr="001D3A64">
              <w:rPr>
                <w:rFonts w:ascii="Arial" w:hAnsi="Arial" w:cs="Arial"/>
              </w:rPr>
              <w:t>18.31%</w:t>
            </w:r>
          </w:p>
        </w:tc>
      </w:tr>
      <w:tr w:rsidR="001D3A64" w:rsidRPr="004F5804" w14:paraId="1A834A02" w14:textId="77777777" w:rsidTr="001D3A64">
        <w:trPr>
          <w:trHeight w:val="300"/>
        </w:trPr>
        <w:tc>
          <w:tcPr>
            <w:tcW w:w="45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BC0DD7" w14:textId="77777777" w:rsidR="001D3A64" w:rsidRPr="001D3A64" w:rsidRDefault="001D3A64" w:rsidP="00B55917">
            <w:pPr>
              <w:jc w:val="both"/>
              <w:rPr>
                <w:rFonts w:ascii="Arial" w:hAnsi="Arial" w:cs="Arial"/>
              </w:rPr>
            </w:pPr>
            <w:r w:rsidRPr="001D3A64">
              <w:rPr>
                <w:rFonts w:ascii="Arial" w:hAnsi="Arial" w:cs="Arial"/>
              </w:rPr>
              <w:t>All the above</w:t>
            </w:r>
          </w:p>
        </w:tc>
        <w:tc>
          <w:tcPr>
            <w:tcW w:w="32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6BD2D0" w14:textId="77777777" w:rsidR="001D3A64" w:rsidRPr="001D3A64" w:rsidRDefault="001D3A64" w:rsidP="00B55917">
            <w:pPr>
              <w:jc w:val="both"/>
              <w:rPr>
                <w:rFonts w:ascii="Arial" w:hAnsi="Arial" w:cs="Arial"/>
              </w:rPr>
            </w:pPr>
            <w:r w:rsidRPr="001D3A64">
              <w:rPr>
                <w:rFonts w:ascii="Arial" w:hAnsi="Arial" w:cs="Arial"/>
              </w:rPr>
              <w:t>66.12%</w:t>
            </w:r>
          </w:p>
        </w:tc>
      </w:tr>
    </w:tbl>
    <w:p w14:paraId="3B9E4373" w14:textId="77777777" w:rsidR="001D3A64" w:rsidRDefault="001D3A64" w:rsidP="00B55917">
      <w:pPr>
        <w:pStyle w:val="Body"/>
        <w:spacing w:after="0"/>
        <w:rPr>
          <w:rFonts w:ascii="Arial" w:hAnsi="Arial" w:cs="Arial"/>
        </w:rPr>
      </w:pPr>
    </w:p>
    <w:p w14:paraId="2EEB733C" w14:textId="77777777" w:rsidR="001D3A64" w:rsidRDefault="001D3A64" w:rsidP="00B55917">
      <w:pPr>
        <w:pStyle w:val="Body"/>
        <w:spacing w:after="0"/>
        <w:rPr>
          <w:rFonts w:ascii="Arial" w:hAnsi="Arial" w:cs="Arial"/>
        </w:rPr>
      </w:pPr>
      <w:r w:rsidRPr="001D3A64">
        <w:rPr>
          <w:rFonts w:ascii="Arial" w:hAnsi="Arial" w:cs="Arial"/>
        </w:rPr>
        <w:t>Nearly half (48.09%) of respondents perceived all listed advantages of the dapagliflozin plus linagliptin FDC, including complementary mechanisms of action and improved glycemic control. About 67% of respondents reported managing the risk of genital mycotic infections associated with dapagliflozin through proactive patient education and monitoring.</w:t>
      </w:r>
    </w:p>
    <w:p w14:paraId="55FBAA80" w14:textId="77777777" w:rsidR="001D3A64" w:rsidRPr="001D3A64" w:rsidRDefault="001D3A64" w:rsidP="00B55917">
      <w:pPr>
        <w:pStyle w:val="Body"/>
        <w:spacing w:after="0"/>
        <w:rPr>
          <w:rFonts w:ascii="Arial" w:hAnsi="Arial" w:cs="Arial"/>
        </w:rPr>
      </w:pPr>
    </w:p>
    <w:p w14:paraId="0A4C2EA8" w14:textId="19B0816B" w:rsidR="00A758FC" w:rsidRDefault="001D3A64" w:rsidP="00B55917">
      <w:pPr>
        <w:pStyle w:val="Body"/>
        <w:spacing w:after="0"/>
        <w:rPr>
          <w:rFonts w:ascii="Arial" w:hAnsi="Arial" w:cs="Arial"/>
        </w:rPr>
      </w:pPr>
      <w:r w:rsidRPr="001D3A64">
        <w:rPr>
          <w:rFonts w:ascii="Arial" w:hAnsi="Arial" w:cs="Arial"/>
        </w:rPr>
        <w:t>More than half (50.27%) reported regularly monitoring patients receiving dapagliflozin for potential adverse effects or complications. Approximately one-third (31.69%) of clinicians reported observing adverse drug reactions with dapagliflozin in clinical practice. More than half (56.56%) of respondents rated glycemic control with dapagliflozin as showing marked improvement on the 5-point Global Improvement Scale.</w:t>
      </w:r>
    </w:p>
    <w:p w14:paraId="004E9223" w14:textId="77777777" w:rsidR="00A758FC" w:rsidRDefault="00A758FC" w:rsidP="00B55917">
      <w:pPr>
        <w:pStyle w:val="Body"/>
        <w:spacing w:after="0"/>
        <w:rPr>
          <w:rFonts w:ascii="Arial" w:hAnsi="Arial" w:cs="Arial"/>
        </w:rPr>
      </w:pPr>
    </w:p>
    <w:p w14:paraId="15D0882F" w14:textId="77777777" w:rsidR="00902823" w:rsidRDefault="00C4190C" w:rsidP="00B55917">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discussion</w:t>
      </w:r>
    </w:p>
    <w:p w14:paraId="07F1E581" w14:textId="77777777" w:rsidR="00DB0379" w:rsidRPr="00DB0379" w:rsidRDefault="00DB0379" w:rsidP="00B55917">
      <w:pPr>
        <w:spacing w:before="240" w:after="240"/>
        <w:jc w:val="both"/>
        <w:rPr>
          <w:rFonts w:ascii="Arial" w:hAnsi="Arial" w:cs="Arial"/>
        </w:rPr>
      </w:pPr>
      <w:r w:rsidRPr="00DB0379">
        <w:rPr>
          <w:rFonts w:ascii="Arial" w:eastAsia="Calibri" w:hAnsi="Arial" w:cs="Arial"/>
        </w:rPr>
        <w:t xml:space="preserve">The survey findings suggest that contemporary treatment preferences are increasingly aligned with evidence supporting the use of SGLT2i in patients with T2DM and HF. In the present survey, nearly half of clinicians reported that 21–30% of their patients with diabetes have comorbid HF in routine practice, underscoring the substantial overlap between these two conditions in clinical settings. These observations are consistent with epidemiological data from </w:t>
      </w:r>
      <w:proofErr w:type="spellStart"/>
      <w:r w:rsidRPr="00DB0379">
        <w:rPr>
          <w:rFonts w:ascii="Arial" w:eastAsia="Calibri" w:hAnsi="Arial" w:cs="Arial"/>
        </w:rPr>
        <w:t>Boonman</w:t>
      </w:r>
      <w:proofErr w:type="spellEnd"/>
      <w:r w:rsidRPr="00DB0379">
        <w:rPr>
          <w:rFonts w:ascii="Arial" w:eastAsia="Calibri" w:hAnsi="Arial" w:cs="Arial"/>
        </w:rPr>
        <w:t>-de Winter et al., who reported a 27.7% prevalence of HF among patients with T2DM when comprehensive screening strategies, including echocardiography and natriuretic peptide assessment, were employed.</w:t>
      </w:r>
      <w:r w:rsidRPr="00DB0379">
        <w:rPr>
          <w:rFonts w:ascii="Arial" w:eastAsia="Calibri" w:hAnsi="Arial" w:cs="Arial"/>
          <w:vertAlign w:val="superscript"/>
        </w:rPr>
        <w:t>11</w:t>
      </w:r>
      <w:r w:rsidRPr="00DB0379">
        <w:rPr>
          <w:rFonts w:ascii="Arial" w:hAnsi="Arial" w:cs="Arial"/>
        </w:rPr>
        <w:t xml:space="preserve"> </w:t>
      </w:r>
      <w:r w:rsidRPr="00DB0379">
        <w:rPr>
          <w:rFonts w:ascii="Arial" w:eastAsia="Calibri" w:hAnsi="Arial" w:cs="Arial"/>
        </w:rPr>
        <w:t xml:space="preserve">Similarly, Campbell et al. demonstrated the bidirectional relationship between diabetes and HF, showing that diabetes significantly increases the risk of developing HF and related mortality, while HF itself </w:t>
      </w:r>
      <w:r w:rsidRPr="00DB0379">
        <w:rPr>
          <w:rFonts w:ascii="Arial" w:eastAsia="Calibri" w:hAnsi="Arial" w:cs="Arial"/>
        </w:rPr>
        <w:lastRenderedPageBreak/>
        <w:t>contributes to insulin resistance and incident diabetes.</w:t>
      </w:r>
      <w:r w:rsidRPr="00DB0379">
        <w:rPr>
          <w:rFonts w:ascii="Arial" w:eastAsia="Calibri" w:hAnsi="Arial" w:cs="Arial"/>
          <w:vertAlign w:val="superscript"/>
        </w:rPr>
        <w:t>12</w:t>
      </w:r>
      <w:r w:rsidRPr="00DB0379">
        <w:rPr>
          <w:rFonts w:ascii="Arial" w:hAnsi="Arial" w:cs="Arial"/>
        </w:rPr>
        <w:t xml:space="preserve">  Consistently, Bertoni et al. reported high prevalence, incidence, and mortality of </w:t>
      </w:r>
      <w:r w:rsidRPr="00DB0379">
        <w:rPr>
          <w:rFonts w:ascii="Arial" w:hAnsi="Arial" w:cs="Arial"/>
          <w:lang w:val="en-IN"/>
        </w:rPr>
        <w:t>HF</w:t>
      </w:r>
      <w:r w:rsidRPr="00DB0379">
        <w:rPr>
          <w:rFonts w:ascii="Arial" w:hAnsi="Arial" w:cs="Arial"/>
        </w:rPr>
        <w:t xml:space="preserve"> in individuals with diabetes.</w:t>
      </w:r>
      <w:r w:rsidRPr="00DB0379">
        <w:rPr>
          <w:rFonts w:ascii="Arial" w:hAnsi="Arial" w:cs="Arial"/>
          <w:vertAlign w:val="superscript"/>
        </w:rPr>
        <w:t>13</w:t>
      </w:r>
    </w:p>
    <w:p w14:paraId="65FE4686" w14:textId="77777777" w:rsidR="00DB0379" w:rsidRPr="00DB0379" w:rsidRDefault="00DB0379" w:rsidP="00B55917">
      <w:pPr>
        <w:spacing w:before="240" w:after="240"/>
        <w:jc w:val="both"/>
        <w:rPr>
          <w:rFonts w:ascii="Arial" w:hAnsi="Arial" w:cs="Arial"/>
        </w:rPr>
      </w:pPr>
      <w:r w:rsidRPr="00DB0379">
        <w:rPr>
          <w:rFonts w:ascii="Arial" w:eastAsia="Calibri" w:hAnsi="Arial" w:cs="Arial"/>
        </w:rPr>
        <w:t>More than half of the current survey respondents indicated that the majority of patients with HF in their clinical practice are classified as NYHA functional class II. This suggests that most patients present with mild to moderate limitation of physical activity, where symptoms occur with ordinary exertion but not at rest. The predominance of NYHA class II in routine practice is clinically relevant, as this stage represents a critical window for early therapeutic optimization to prevent disease progression and recurrent hospitalizations. This observation is consistent with findings reported by Gilbert et al., who demonstrated that patients diagnosed with HF are categorized into one of four NYHA functional classes, with the largest proportion typically falling within class II. The higher representation of NYHA class II reflects the epidemiological pattern of HF in ambulatory care settings, where patients are often identified before advanced symptomatic deterioration.</w:t>
      </w:r>
      <w:r w:rsidRPr="00DB0379">
        <w:rPr>
          <w:rFonts w:ascii="Arial" w:eastAsia="Calibri" w:hAnsi="Arial" w:cs="Arial"/>
          <w:vertAlign w:val="superscript"/>
        </w:rPr>
        <w:t>14</w:t>
      </w:r>
      <w:r w:rsidRPr="00DB0379">
        <w:rPr>
          <w:rFonts w:ascii="Arial" w:hAnsi="Arial" w:cs="Arial"/>
        </w:rPr>
        <w:t xml:space="preserve"> </w:t>
      </w:r>
    </w:p>
    <w:p w14:paraId="3842C348" w14:textId="77777777" w:rsidR="00B55917" w:rsidRDefault="00B55917" w:rsidP="00B55917">
      <w:pPr>
        <w:pStyle w:val="NormalWeb"/>
        <w:jc w:val="both"/>
      </w:pPr>
      <w:r>
        <w:t xml:space="preserve">More than half of the survey respondents reported that approximately 26–40% of patients required the addition of an </w:t>
      </w:r>
      <w:r>
        <w:rPr>
          <w:rStyle w:val="whitespace-normal"/>
        </w:rPr>
        <w:t>SGLT2 inhibitor</w:t>
      </w:r>
      <w:r>
        <w:t xml:space="preserve"> each month in order to achieve optimal </w:t>
      </w:r>
      <w:proofErr w:type="spellStart"/>
      <w:r>
        <w:t>glycaemic</w:t>
      </w:r>
      <w:proofErr w:type="spellEnd"/>
      <w:r>
        <w:t xml:space="preserve"> targets. This observation is consistent with the authors’ earlier study, which similarly demonstrated that nearly 26–40% of patients required initiation of an SGLT2 inhibitor to attain adequate </w:t>
      </w:r>
      <w:proofErr w:type="spellStart"/>
      <w:r>
        <w:t>glycaemic</w:t>
      </w:r>
      <w:proofErr w:type="spellEnd"/>
      <w:r>
        <w:t xml:space="preserve"> </w:t>
      </w:r>
      <w:proofErr w:type="gramStart"/>
      <w:r>
        <w:t>control.¹</w:t>
      </w:r>
      <w:proofErr w:type="gramEnd"/>
      <w:r>
        <w:t xml:space="preserve">⁵ Previous investigations have further established the efficacy of SGLT2 inhibitors in reducing glycated </w:t>
      </w:r>
      <w:proofErr w:type="spellStart"/>
      <w:r>
        <w:t>haemoglobin</w:t>
      </w:r>
      <w:proofErr w:type="spellEnd"/>
      <w:r>
        <w:t xml:space="preserve"> (HbA1c) levels across different therapeutic settings. Specifically, these agents have been shown to lower HbA1c by approximately 0.6–1.2 percentage points when used as monotherapy, by 0.5–0.9 percentage points when combined with metformin, and by 0.4–0.6 percentage points when added to insulin or other oral </w:t>
      </w:r>
      <w:proofErr w:type="spellStart"/>
      <w:r>
        <w:t>antihyperglycaemic</w:t>
      </w:r>
      <w:proofErr w:type="spellEnd"/>
      <w:r>
        <w:t xml:space="preserve"> agents, thereby facilitating achievement of </w:t>
      </w:r>
      <w:proofErr w:type="spellStart"/>
      <w:r>
        <w:t>glycaemic</w:t>
      </w:r>
      <w:proofErr w:type="spellEnd"/>
      <w:r>
        <w:t xml:space="preserve"> </w:t>
      </w:r>
      <w:proofErr w:type="gramStart"/>
      <w:r>
        <w:t>goals.¹</w:t>
      </w:r>
      <w:proofErr w:type="gramEnd"/>
      <w:r>
        <w:t>⁶</w:t>
      </w:r>
      <w:r>
        <w:rPr>
          <w:rFonts w:ascii="Cambria Math" w:hAnsi="Cambria Math" w:cs="Cambria Math"/>
        </w:rPr>
        <w:t>⁻</w:t>
      </w:r>
      <w:r>
        <w:rPr>
          <w:rFonts w:ascii="Helvetica" w:hAnsi="Helvetica" w:cs="Helvetica"/>
        </w:rPr>
        <w:t>¹</w:t>
      </w:r>
      <w:r>
        <w:t>⁸</w:t>
      </w:r>
    </w:p>
    <w:p w14:paraId="744A6304" w14:textId="77777777" w:rsidR="00B55917" w:rsidRDefault="00B55917" w:rsidP="00B55917">
      <w:pPr>
        <w:pStyle w:val="NormalWeb"/>
        <w:jc w:val="both"/>
      </w:pPr>
      <w:r>
        <w:t xml:space="preserve">The majority of clinicians in the present survey identified </w:t>
      </w:r>
      <w:r>
        <w:rPr>
          <w:rStyle w:val="whitespace-normal"/>
        </w:rPr>
        <w:t>Dapagliflozin</w:t>
      </w:r>
      <w:r>
        <w:t xml:space="preserve"> as the most frequently prescribed SGLT2 inhibitor for the management of type 2 diabetes mellitus (T2DM) and heart failure (HF) in routine clinical practice. This finding aligns with the report of </w:t>
      </w:r>
      <w:proofErr w:type="spellStart"/>
      <w:r>
        <w:rPr>
          <w:rStyle w:val="whitespace-normal"/>
        </w:rPr>
        <w:t>Fioretto</w:t>
      </w:r>
      <w:proofErr w:type="spellEnd"/>
      <w:r>
        <w:rPr>
          <w:rStyle w:val="whitespace-normal"/>
        </w:rPr>
        <w:t xml:space="preserve"> et al.</w:t>
      </w:r>
      <w:r>
        <w:t xml:space="preserve">, who described dapagliflozin as a highly selective and reversible SGLT2 inhibitor approved for the treatment of adults with T2DM, either as monotherapy in patients intolerant to metformin or as an adjunct to existing antidiabetic therapies, including insulin, in cases of inadequate </w:t>
      </w:r>
      <w:proofErr w:type="spellStart"/>
      <w:r>
        <w:t>glycaemic</w:t>
      </w:r>
      <w:proofErr w:type="spellEnd"/>
      <w:r>
        <w:t xml:space="preserve"> control.¹⁹ Similarly, </w:t>
      </w:r>
      <w:r>
        <w:rPr>
          <w:rStyle w:val="whitespace-normal"/>
        </w:rPr>
        <w:t>Nicholson et al.</w:t>
      </w:r>
      <w:r>
        <w:t xml:space="preserve"> reported that dapagliflozin is widely preferred in patients with T2DM because of its effectiveness both as a standalone therapy and in combination regimens for </w:t>
      </w:r>
      <w:proofErr w:type="spellStart"/>
      <w:r>
        <w:t>glycaemic</w:t>
      </w:r>
      <w:proofErr w:type="spellEnd"/>
      <w:r>
        <w:t xml:space="preserve"> reduction.²⁰ Furthermore, </w:t>
      </w:r>
      <w:r>
        <w:rPr>
          <w:rStyle w:val="whitespace-normal"/>
        </w:rPr>
        <w:t>Mehta et al.</w:t>
      </w:r>
      <w:r>
        <w:t xml:space="preserve"> observed that dapagliflozin, accounting for 91% preference within the SGLT2 inhibitor class, remains the most commonly selected agent. In addition, most participants in the current survey </w:t>
      </w:r>
      <w:proofErr w:type="spellStart"/>
      <w:r>
        <w:t>favoured</w:t>
      </w:r>
      <w:proofErr w:type="spellEnd"/>
      <w:r>
        <w:t xml:space="preserve"> dapagliflozin both as a fixed-dose combination (FDC) therapy and in combination with </w:t>
      </w:r>
      <w:r>
        <w:rPr>
          <w:rStyle w:val="whitespace-normal"/>
        </w:rPr>
        <w:t>DPP-4 inhibitors</w:t>
      </w:r>
      <w:r>
        <w:t xml:space="preserve">, reflecting strong clinical confidence in its complementary mechanisms of action and broad therapeutic benefits across diverse patient </w:t>
      </w:r>
      <w:proofErr w:type="gramStart"/>
      <w:r>
        <w:t>populations.²</w:t>
      </w:r>
      <w:proofErr w:type="gramEnd"/>
      <w:r>
        <w:t>¹</w:t>
      </w:r>
    </w:p>
    <w:p w14:paraId="57DAB349" w14:textId="77777777" w:rsidR="00DB0379" w:rsidRPr="00DB0379" w:rsidRDefault="00DB0379" w:rsidP="00B55917">
      <w:pPr>
        <w:jc w:val="both"/>
        <w:rPr>
          <w:rFonts w:ascii="Arial" w:hAnsi="Arial" w:cs="Arial"/>
          <w:lang w:val="en-IN"/>
        </w:rPr>
      </w:pPr>
    </w:p>
    <w:p w14:paraId="0C1C75FD" w14:textId="77777777" w:rsidR="00DB0379" w:rsidRPr="00DB0379" w:rsidRDefault="00DB0379" w:rsidP="00B55917">
      <w:pPr>
        <w:jc w:val="both"/>
        <w:rPr>
          <w:rFonts w:ascii="Arial" w:hAnsi="Arial" w:cs="Arial"/>
        </w:rPr>
      </w:pPr>
      <w:r w:rsidRPr="00DB0379">
        <w:rPr>
          <w:rFonts w:ascii="Arial" w:hAnsi="Arial" w:cs="Arial"/>
        </w:rPr>
        <w:lastRenderedPageBreak/>
        <w:t>Most survey clinicians reported observing a 5–10 mmHg reduction in systolic blood pressure with dapagliflozin 10 mg in routine clinical practice. This observation is supported by prospective evidence from Ghanim et al., who demonstrated that dapagliflozin therapy in patients with T2DM led to both short-term and sustained reductions in systolic blood pressure, accompanied by decreased vasoconstrictor levels and increased vasodilator activity.</w:t>
      </w:r>
      <w:r w:rsidRPr="00DB0379">
        <w:rPr>
          <w:rFonts w:ascii="Arial" w:hAnsi="Arial" w:cs="Arial"/>
          <w:vertAlign w:val="superscript"/>
        </w:rPr>
        <w:t>22</w:t>
      </w:r>
      <w:r w:rsidRPr="00DB0379">
        <w:rPr>
          <w:rFonts w:ascii="Arial" w:hAnsi="Arial" w:cs="Arial"/>
        </w:rPr>
        <w:t xml:space="preserve">   In a comparative study, Velusamy and Kumar evaluated dapagliflozin 10 mg versus empagliflozin 10 mg as add-on treatments and reported significant systolic blood pressure reductions over six months in hypertensive patients in both groups, with a greater reduction observed with dapagliflozin (10.26 mmHg) compared with empagliflozin (4.2 mmHg).</w:t>
      </w:r>
      <w:r w:rsidRPr="00DB0379">
        <w:rPr>
          <w:rFonts w:ascii="Arial" w:hAnsi="Arial" w:cs="Arial"/>
          <w:vertAlign w:val="superscript"/>
        </w:rPr>
        <w:t>23</w:t>
      </w:r>
      <w:r w:rsidRPr="00DB0379">
        <w:rPr>
          <w:rFonts w:ascii="Arial" w:hAnsi="Arial" w:cs="Arial"/>
        </w:rPr>
        <w:t xml:space="preserve">  Consistent with these findings, Sjöström et al. reported placebo-adjusted reductions in systolic blood pressure of 3.6 mmHg in hypertensive patients and 2.6 mmHg in non-hypertensive patients treated with dapagliflozin 10 mg.</w:t>
      </w:r>
      <w:r w:rsidRPr="00DB0379">
        <w:rPr>
          <w:rFonts w:ascii="Arial" w:hAnsi="Arial" w:cs="Arial"/>
          <w:vertAlign w:val="superscript"/>
        </w:rPr>
        <w:t>24</w:t>
      </w:r>
      <w:r w:rsidRPr="00DB0379">
        <w:rPr>
          <w:rFonts w:ascii="Arial" w:hAnsi="Arial" w:cs="Arial"/>
        </w:rPr>
        <w:t xml:space="preserve"> </w:t>
      </w:r>
    </w:p>
    <w:p w14:paraId="3AE730AB" w14:textId="476BAB76" w:rsidR="00DB0379" w:rsidRPr="00DB0379" w:rsidRDefault="00DB0379" w:rsidP="00B55917">
      <w:pPr>
        <w:spacing w:before="240" w:after="240"/>
        <w:jc w:val="both"/>
        <w:rPr>
          <w:rFonts w:ascii="Arial" w:hAnsi="Arial" w:cs="Arial"/>
          <w:lang w:val="en-IN"/>
        </w:rPr>
      </w:pPr>
      <w:r w:rsidRPr="00DB0379">
        <w:rPr>
          <w:rFonts w:ascii="Arial" w:eastAsia="Calibri" w:hAnsi="Arial" w:cs="Arial"/>
          <w:lang w:val="en-IN"/>
        </w:rPr>
        <w:t>In the present survey, most participants recognized the broad pleiotropic benefits of SGLT2i, including reductions in cardiovascular mortality and HF-related hospitalizations, improved glycemic control accompanied by weight loss, and a lower risk of kidney disease progression and cardiovascular events. This reflects growing awareness among clinicians that the therapeutic value of SGLT2i extends well beyond glucose lowering. These perceptions are supported by published evidence. Das et al. reported that SGLT2i are recommended to reduce the risk of HF hospitalization in patients with T2DM who have established cardiovascular disease or are at high cardiovascular risk.</w:t>
      </w:r>
      <w:r w:rsidRPr="00DB0379">
        <w:rPr>
          <w:rFonts w:ascii="Arial" w:eastAsia="Calibri" w:hAnsi="Arial" w:cs="Arial"/>
          <w:vertAlign w:val="superscript"/>
          <w:lang w:val="en-IN"/>
        </w:rPr>
        <w:t>25</w:t>
      </w:r>
      <w:r w:rsidRPr="00DB0379">
        <w:rPr>
          <w:rFonts w:ascii="Arial" w:hAnsi="Arial" w:cs="Arial"/>
          <w:lang w:val="en-IN"/>
        </w:rPr>
        <w:t xml:space="preserve"> Similarly, Shao et al. demonstrated that, beyond glucose lowering, SGLT2i confer additional metabolic and organ-protective benefits, including improvements in body weight, alanine aminotransferase levels, and estimated glomerular filtration rate, thereby potentially reducing cardiometabolic risk in patients with T2DM.</w:t>
      </w:r>
      <w:r w:rsidRPr="00DB0379">
        <w:rPr>
          <w:rFonts w:ascii="Arial" w:hAnsi="Arial" w:cs="Arial"/>
          <w:vertAlign w:val="superscript"/>
          <w:lang w:val="en-IN"/>
        </w:rPr>
        <w:t>26</w:t>
      </w:r>
      <w:r w:rsidRPr="00DB0379">
        <w:rPr>
          <w:rFonts w:ascii="Arial" w:hAnsi="Arial" w:cs="Arial"/>
          <w:lang w:val="en-IN"/>
        </w:rPr>
        <w:t xml:space="preserve"> </w:t>
      </w:r>
      <w:r w:rsidR="00E32B16" w:rsidRPr="003A29C9">
        <w:rPr>
          <w:rFonts w:ascii="Arial" w:hAnsi="Arial" w:cs="Arial"/>
          <w:highlight w:val="yellow"/>
        </w:rPr>
        <w:t>Supporting these observations, Selvaraj et al. reported significant improvements in renal parameters, including eGFR, UACR, serum creatinine, and blood urea nitrogen levels, among hospitalized patients with T2DM treated with dapagliflozin in a pragmatic clinical setting, further highlighting its renal protective benefits in high-risk patients.</w:t>
      </w:r>
      <w:r w:rsidR="00E32B16" w:rsidRPr="003A29C9">
        <w:rPr>
          <w:rFonts w:ascii="Arial" w:hAnsi="Arial" w:cs="Arial"/>
          <w:highlight w:val="yellow"/>
          <w:vertAlign w:val="superscript"/>
        </w:rPr>
        <w:t>27</w:t>
      </w:r>
    </w:p>
    <w:p w14:paraId="5242EE15" w14:textId="70729B84" w:rsidR="00DB0379" w:rsidRPr="00DB0379" w:rsidRDefault="00DB0379" w:rsidP="00B55917">
      <w:pPr>
        <w:spacing w:before="240" w:after="240"/>
        <w:jc w:val="both"/>
        <w:rPr>
          <w:rFonts w:ascii="Arial" w:hAnsi="Arial" w:cs="Arial"/>
          <w:lang w:val="en-IN"/>
        </w:rPr>
      </w:pPr>
      <w:r w:rsidRPr="00DB0379">
        <w:rPr>
          <w:rFonts w:ascii="Arial" w:eastAsia="Calibri" w:hAnsi="Arial" w:cs="Arial"/>
        </w:rPr>
        <w:t>As reported by the majority of participants, the most commonly preferred SGLT2 inhibitor plus DPP-4 inhibitor combination in routine practice is dapagliflozin plus sitagliptin. This preference likely reflects the complementary mechanisms of action of the two agents, with SGLT2 inhibition promoting glucosuria and cardiovascular benefits, while DPP-4 inhibition enhances incretin-mediated insulin secretion and suppresses glucagon release. These findings are supported by Jaishankar et al., who demonstrated that the combination of dapagliflozin and sitagliptin is recommended for individuals with T2DM who have elevated cardiovascular risk and may even be initiated at diagnosis in those at high risk of cardiovascular disease.</w:t>
      </w:r>
      <w:r w:rsidRPr="00DB0379">
        <w:rPr>
          <w:rFonts w:ascii="Arial" w:eastAsia="Calibri" w:hAnsi="Arial" w:cs="Arial"/>
          <w:vertAlign w:val="superscript"/>
        </w:rPr>
        <w:t>2</w:t>
      </w:r>
      <w:r w:rsidR="00E32B16">
        <w:rPr>
          <w:rFonts w:ascii="Arial" w:eastAsia="Calibri" w:hAnsi="Arial" w:cs="Arial"/>
          <w:vertAlign w:val="superscript"/>
        </w:rPr>
        <w:t>8</w:t>
      </w:r>
      <w:r w:rsidRPr="00DB0379">
        <w:rPr>
          <w:rFonts w:ascii="Arial" w:eastAsia="Calibri" w:hAnsi="Arial" w:cs="Arial"/>
        </w:rPr>
        <w:t xml:space="preserve"> </w:t>
      </w:r>
      <w:r w:rsidRPr="00DB0379">
        <w:rPr>
          <w:rFonts w:ascii="Arial" w:eastAsia="Calibri" w:hAnsi="Arial" w:cs="Arial"/>
          <w:lang w:val="en-IN"/>
        </w:rPr>
        <w:t>Similarly, Bhattacharjee et al. reported that clinicians may consider the FDC of dapagliflozin and sitagliptin as a viable therapeutic option for patients with T2DM, particularly when early combination therapy is warranted to achieve glycemic targets.</w:t>
      </w:r>
      <w:r w:rsidRPr="00DB0379">
        <w:rPr>
          <w:rFonts w:ascii="Arial" w:eastAsia="Calibri" w:hAnsi="Arial" w:cs="Arial"/>
          <w:vertAlign w:val="superscript"/>
          <w:lang w:val="en-IN"/>
        </w:rPr>
        <w:t>2</w:t>
      </w:r>
      <w:r w:rsidR="00E32B16">
        <w:rPr>
          <w:rFonts w:ascii="Arial" w:eastAsia="Calibri" w:hAnsi="Arial" w:cs="Arial"/>
          <w:vertAlign w:val="superscript"/>
          <w:lang w:val="en-IN"/>
        </w:rPr>
        <w:t>9</w:t>
      </w:r>
      <w:r w:rsidRPr="00DB0379">
        <w:rPr>
          <w:rFonts w:ascii="Arial" w:hAnsi="Arial" w:cs="Arial"/>
          <w:lang w:val="en-IN"/>
        </w:rPr>
        <w:t xml:space="preserve"> </w:t>
      </w:r>
    </w:p>
    <w:p w14:paraId="6CB46CEC" w14:textId="24DA6479" w:rsidR="00DB0379" w:rsidRDefault="00DB0379" w:rsidP="00B55917">
      <w:pPr>
        <w:jc w:val="both"/>
        <w:rPr>
          <w:rFonts w:ascii="Arial" w:hAnsi="Arial" w:cs="Arial"/>
          <w:lang w:val="en-IN"/>
        </w:rPr>
      </w:pPr>
      <w:r w:rsidRPr="00DB0379">
        <w:rPr>
          <w:rFonts w:ascii="Arial" w:hAnsi="Arial" w:cs="Arial"/>
        </w:rPr>
        <w:t>Approximately two-thirds of clinicians preferred the FDC of dapagliflozin + linagliptin in various clinical scenarios, including elderly patients and those with obesity and cardiac or renal complications.</w:t>
      </w:r>
      <w:r w:rsidRPr="00DB0379">
        <w:rPr>
          <w:rFonts w:ascii="Arial" w:hAnsi="Arial" w:cs="Arial"/>
          <w:lang w:val="en-IN" w:eastAsia="en-IN" w:bidi="kn-IN"/>
        </w:rPr>
        <w:t xml:space="preserve"> </w:t>
      </w:r>
      <w:r w:rsidRPr="00DB0379">
        <w:rPr>
          <w:rFonts w:ascii="Arial" w:hAnsi="Arial" w:cs="Arial"/>
          <w:lang w:val="en-IN"/>
        </w:rPr>
        <w:t>In a phase III clinical trial, Jain et al. compared the dapagliflozin/linagliptin FDC with linagliptin monotherapy in patients receiving metformin and found that the FDC achieved a greater reduction in HbA1c (−1.28% vs −0.83%), along with significant improvements in fasting and postprandial glucose levels and body weight. The combination therapy was well-tolerated and associated with fewer adverse events.</w:t>
      </w:r>
      <w:r w:rsidR="00E32B16">
        <w:rPr>
          <w:rFonts w:ascii="Arial" w:hAnsi="Arial" w:cs="Arial"/>
          <w:vertAlign w:val="superscript"/>
          <w:lang w:val="en-IN"/>
        </w:rPr>
        <w:t>30</w:t>
      </w:r>
      <w:r w:rsidRPr="00DB0379">
        <w:rPr>
          <w:rFonts w:ascii="Arial" w:hAnsi="Arial" w:cs="Arial"/>
          <w:lang w:val="en-IN"/>
        </w:rPr>
        <w:t xml:space="preserve"> Similarly, in a multicenter study, Hong et al. reported that patients treated with the dapagliflozin/linagliptin FDC experienced significantly greater HbA1c reductions than those receiving linagliptin plus placebo, with a mean between-group difference of −0.88% at 24 weeks. Moreover, 44.8% of patients in the FDC group achieved HbA1c levels &lt;7% </w:t>
      </w:r>
      <w:r w:rsidRPr="00DB0379">
        <w:rPr>
          <w:rFonts w:ascii="Arial" w:hAnsi="Arial" w:cs="Arial"/>
          <w:lang w:val="en-IN"/>
        </w:rPr>
        <w:lastRenderedPageBreak/>
        <w:t>compared with 18.6% in the control group, with no reported cases of symptomatic hypoglycemia in the FDC-treated cohort.</w:t>
      </w:r>
      <w:r w:rsidRPr="00DB0379">
        <w:rPr>
          <w:rFonts w:ascii="Arial" w:hAnsi="Arial" w:cs="Arial"/>
          <w:vertAlign w:val="superscript"/>
          <w:lang w:val="en-IN"/>
        </w:rPr>
        <w:t>3</w:t>
      </w:r>
      <w:r w:rsidR="00E32B16">
        <w:rPr>
          <w:rFonts w:ascii="Arial" w:hAnsi="Arial" w:cs="Arial"/>
          <w:vertAlign w:val="superscript"/>
          <w:lang w:val="en-IN"/>
        </w:rPr>
        <w:t>1</w:t>
      </w:r>
      <w:r w:rsidRPr="00DB0379">
        <w:rPr>
          <w:rFonts w:ascii="Arial" w:hAnsi="Arial" w:cs="Arial"/>
          <w:lang w:val="en-IN"/>
        </w:rPr>
        <w:t xml:space="preserve"> </w:t>
      </w:r>
    </w:p>
    <w:p w14:paraId="46A8E00B" w14:textId="77777777" w:rsidR="00DB0379" w:rsidRPr="00DB0379" w:rsidRDefault="00DB0379" w:rsidP="00B55917">
      <w:pPr>
        <w:jc w:val="both"/>
        <w:rPr>
          <w:rFonts w:ascii="Arial" w:hAnsi="Arial" w:cs="Arial"/>
          <w:lang w:val="en-IN"/>
        </w:rPr>
      </w:pPr>
    </w:p>
    <w:p w14:paraId="315B66CE" w14:textId="60C39D02" w:rsidR="00790ADA" w:rsidRPr="00DB0379" w:rsidRDefault="00DB0379" w:rsidP="00B55917">
      <w:pPr>
        <w:pStyle w:val="Body"/>
        <w:rPr>
          <w:rFonts w:ascii="Arial" w:hAnsi="Arial" w:cs="Arial"/>
        </w:rPr>
      </w:pPr>
      <w:r w:rsidRPr="00DB0379">
        <w:rPr>
          <w:rFonts w:ascii="Arial" w:eastAsia="Calibri" w:hAnsi="Arial" w:cs="Arial"/>
          <w:lang w:val="en-IN"/>
        </w:rPr>
        <w:t>This study provides valuable insights from a large nationwide sample of clinicians, and the inclusion of diverse practice settings enhances the applicability of the findings to routine clinical care. However, the cross-sectional and self-reported nature of the survey introduces the possibility of recall and response bias, and the absence of patient-level data or objective clinical outcomes precludes causal inference or longitudinal assessment. Additionally, variations in regional practice patterns and the descriptive statistical approach may limit broader generalizability and deeper analytical interpretation.</w:t>
      </w:r>
      <w:r w:rsidR="00C30A0F" w:rsidRPr="00DB0379">
        <w:rPr>
          <w:rFonts w:ascii="Arial" w:hAnsi="Arial" w:cs="Arial"/>
        </w:rPr>
        <w:t xml:space="preserve"> </w:t>
      </w:r>
    </w:p>
    <w:p w14:paraId="1A83C986" w14:textId="77777777" w:rsidR="00B01FCD" w:rsidRDefault="00000F8F" w:rsidP="00B55917">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220EC6E" w14:textId="77777777" w:rsidR="0086003A" w:rsidRDefault="0086003A" w:rsidP="00B55917">
      <w:pPr>
        <w:pStyle w:val="Body"/>
        <w:spacing w:after="0"/>
        <w:rPr>
          <w:lang w:val="en-IN"/>
        </w:rPr>
      </w:pPr>
    </w:p>
    <w:p w14:paraId="6B7FFB8C" w14:textId="42300F3A" w:rsidR="00B01FCD" w:rsidRDefault="00A4370D" w:rsidP="00B55917">
      <w:pPr>
        <w:pStyle w:val="Body"/>
        <w:spacing w:after="0"/>
      </w:pPr>
      <w:r w:rsidRPr="00A4370D">
        <w:t>This survey underscores the substantial burden of HF among patients with T2DM and the expanding role of SGLT2i in routine care. Treatment intensification with SGLT2i is frequently required to achieve glycemic targets, with dapagliflozin being the most commonly preferred agent. Clinicians report consistent improvements in HbA1c, systolic blood pressure, and cardio-renal outcomes, along with pleiotropic benefits beyond glycemic control. Combination strategies, particularly SGLT2i plus DPP-4i regimens and FDC, are widely preferred, supporting patient-centered management with acceptable safety through regular monitoring.</w:t>
      </w:r>
    </w:p>
    <w:p w14:paraId="48C4F67E" w14:textId="4731121F" w:rsidR="00A54E42" w:rsidRDefault="00A54E42" w:rsidP="00B55917">
      <w:pPr>
        <w:pStyle w:val="Body"/>
        <w:spacing w:after="0"/>
      </w:pPr>
    </w:p>
    <w:p w14:paraId="6BCE055E" w14:textId="73EEFA80" w:rsidR="00A54E42" w:rsidRPr="006C767B" w:rsidRDefault="00A54E42" w:rsidP="00B55917">
      <w:pPr>
        <w:pStyle w:val="Body"/>
        <w:rPr>
          <w:b/>
        </w:rPr>
      </w:pPr>
      <w:r w:rsidRPr="006C767B">
        <w:rPr>
          <w:b/>
        </w:rPr>
        <w:t>Ethical Approval</w:t>
      </w:r>
      <w:bookmarkStart w:id="0" w:name="_GoBack"/>
      <w:bookmarkEnd w:id="0"/>
    </w:p>
    <w:p w14:paraId="7E007E01" w14:textId="77777777" w:rsidR="006C767B" w:rsidRDefault="006C767B" w:rsidP="006C767B">
      <w:pPr>
        <w:jc w:val="both"/>
        <w:rPr>
          <w:rFonts w:ascii="Arial" w:eastAsia="Calibri" w:hAnsi="Arial" w:cs="Arial"/>
        </w:rPr>
      </w:pPr>
      <w:r w:rsidRPr="001E6CCE">
        <w:rPr>
          <w:rFonts w:ascii="Arial" w:eastAsia="Calibri" w:hAnsi="Arial" w:cs="Arial"/>
        </w:rPr>
        <w:t>The study was performed in accordance with Bangalore Ethics, an Independent Ethics Committee (ECR/355/</w:t>
      </w:r>
      <w:proofErr w:type="spellStart"/>
      <w:r w:rsidRPr="001E6CCE">
        <w:rPr>
          <w:rFonts w:ascii="Arial" w:eastAsia="Calibri" w:hAnsi="Arial" w:cs="Arial"/>
        </w:rPr>
        <w:t>Indt</w:t>
      </w:r>
      <w:proofErr w:type="spellEnd"/>
      <w:r w:rsidRPr="001E6CCE">
        <w:rPr>
          <w:rFonts w:ascii="Arial" w:eastAsia="Calibri" w:hAnsi="Arial" w:cs="Arial"/>
        </w:rPr>
        <w:t xml:space="preserve">/KA/2022), which was recognized by the Indian Regulatory Authority, the Drug Controller General of India. </w:t>
      </w:r>
    </w:p>
    <w:p w14:paraId="64CF1499" w14:textId="6D970C40" w:rsidR="0086003A" w:rsidRDefault="0086003A" w:rsidP="00B55917">
      <w:pPr>
        <w:pStyle w:val="Body"/>
        <w:spacing w:after="0"/>
        <w:rPr>
          <w:rFonts w:ascii="Arial" w:hAnsi="Arial" w:cs="Arial"/>
        </w:rPr>
      </w:pPr>
    </w:p>
    <w:p w14:paraId="56BDDC99" w14:textId="7FB051E2" w:rsidR="006C767B" w:rsidRPr="006C767B" w:rsidRDefault="006C767B" w:rsidP="00B55917">
      <w:pPr>
        <w:pStyle w:val="Body"/>
        <w:spacing w:after="0"/>
        <w:rPr>
          <w:rFonts w:ascii="Arial" w:hAnsi="Arial" w:cs="Arial"/>
          <w:b/>
        </w:rPr>
      </w:pPr>
      <w:r w:rsidRPr="006C767B">
        <w:rPr>
          <w:rFonts w:ascii="Arial" w:hAnsi="Arial" w:cs="Arial"/>
          <w:b/>
        </w:rPr>
        <w:t>Consent</w:t>
      </w:r>
    </w:p>
    <w:p w14:paraId="2A4242EA" w14:textId="77777777" w:rsidR="006C767B" w:rsidRDefault="006C767B" w:rsidP="00B55917">
      <w:pPr>
        <w:pStyle w:val="Body"/>
        <w:spacing w:after="0"/>
        <w:rPr>
          <w:rFonts w:ascii="Arial" w:hAnsi="Arial" w:cs="Arial"/>
        </w:rPr>
      </w:pPr>
    </w:p>
    <w:p w14:paraId="71B6CCA2" w14:textId="5799C592" w:rsidR="006C767B" w:rsidRDefault="006C767B" w:rsidP="00B55917">
      <w:pPr>
        <w:pStyle w:val="Body"/>
        <w:spacing w:after="0"/>
        <w:rPr>
          <w:rFonts w:ascii="Arial" w:hAnsi="Arial" w:cs="Arial"/>
        </w:rPr>
      </w:pPr>
      <w:r w:rsidRPr="00A54E42">
        <w:rPr>
          <w:rFonts w:ascii="Arial" w:eastAsia="Calibri" w:hAnsi="Arial" w:cs="Arial"/>
          <w:highlight w:val="yellow"/>
        </w:rPr>
        <w:t xml:space="preserve">Written informed consent was obtained from each participant </w:t>
      </w:r>
      <w:r>
        <w:rPr>
          <w:rFonts w:ascii="Arial" w:eastAsia="Calibri" w:hAnsi="Arial" w:cs="Arial"/>
          <w:highlight w:val="yellow"/>
        </w:rPr>
        <w:t>to carried out the study</w:t>
      </w:r>
    </w:p>
    <w:p w14:paraId="27E22CB0" w14:textId="77777777" w:rsidR="00790ADA" w:rsidRPr="00FB3A86" w:rsidRDefault="00790ADA" w:rsidP="00B55917">
      <w:pPr>
        <w:pStyle w:val="Body"/>
        <w:spacing w:after="0"/>
        <w:rPr>
          <w:rFonts w:ascii="Arial" w:hAnsi="Arial" w:cs="Arial"/>
        </w:rPr>
      </w:pPr>
    </w:p>
    <w:p w14:paraId="738A329B" w14:textId="77777777" w:rsidR="00F3740E" w:rsidRPr="00F3740E" w:rsidRDefault="00F3740E" w:rsidP="00B55917">
      <w:pPr>
        <w:spacing w:after="200" w:line="276" w:lineRule="auto"/>
        <w:jc w:val="both"/>
        <w:outlineLvl w:val="0"/>
        <w:rPr>
          <w:rFonts w:ascii="Arial" w:eastAsiaTheme="minorEastAsia" w:hAnsi="Arial" w:cs="Arial"/>
          <w:sz w:val="22"/>
          <w:szCs w:val="22"/>
          <w:lang w:val="en-GB" w:eastAsia="en-GB"/>
        </w:rPr>
      </w:pPr>
      <w:r w:rsidRPr="00F3740E">
        <w:rPr>
          <w:rFonts w:ascii="Arial" w:eastAsiaTheme="minorEastAsia" w:hAnsi="Arial" w:cs="Arial"/>
          <w:b/>
          <w:bCs/>
          <w:sz w:val="22"/>
          <w:szCs w:val="22"/>
          <w:lang w:val="en-GB" w:eastAsia="en-GB"/>
        </w:rPr>
        <w:t>COMPETING INTERESTS DISCLAIMER:</w:t>
      </w:r>
    </w:p>
    <w:p w14:paraId="17C46351" w14:textId="36830E90" w:rsidR="00F3740E" w:rsidRDefault="00F3740E" w:rsidP="00B55917">
      <w:pPr>
        <w:spacing w:after="200" w:line="276" w:lineRule="auto"/>
        <w:jc w:val="both"/>
        <w:rPr>
          <w:rFonts w:asciiTheme="minorHAnsi" w:eastAsiaTheme="minorEastAsia" w:hAnsiTheme="minorHAnsi" w:cstheme="minorBidi"/>
          <w:sz w:val="22"/>
          <w:szCs w:val="22"/>
          <w:lang w:val="en-GB" w:eastAsia="en-GB"/>
        </w:rPr>
      </w:pPr>
      <w:r w:rsidRPr="00F3740E">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CD27C35" w14:textId="11F3EB8D" w:rsidR="008F250C" w:rsidRDefault="008F250C" w:rsidP="00B55917">
      <w:pPr>
        <w:spacing w:after="200" w:line="276" w:lineRule="auto"/>
        <w:jc w:val="both"/>
        <w:rPr>
          <w:rFonts w:asciiTheme="minorHAnsi" w:eastAsiaTheme="minorEastAsia" w:hAnsiTheme="minorHAnsi" w:cstheme="minorBidi"/>
          <w:sz w:val="22"/>
          <w:szCs w:val="22"/>
          <w:lang w:val="en-GB" w:eastAsia="en-GB"/>
        </w:rPr>
      </w:pPr>
    </w:p>
    <w:p w14:paraId="21FD3BB4" w14:textId="77777777" w:rsidR="008F250C" w:rsidRPr="00CD2A57" w:rsidRDefault="008F250C" w:rsidP="00B55917">
      <w:pPr>
        <w:pStyle w:val="NoSpacing"/>
        <w:jc w:val="both"/>
        <w:rPr>
          <w:rFonts w:ascii="Arial" w:hAnsi="Arial" w:cs="Arial"/>
          <w:b/>
          <w:bCs/>
          <w:highlight w:val="yellow"/>
        </w:rPr>
      </w:pPr>
      <w:bookmarkStart w:id="1" w:name="_Hlk198031404"/>
      <w:r w:rsidRPr="00CD2A57">
        <w:rPr>
          <w:rFonts w:ascii="Arial" w:hAnsi="Arial" w:cs="Arial"/>
          <w:b/>
          <w:bCs/>
          <w:highlight w:val="yellow"/>
        </w:rPr>
        <w:t>Disclaimer (Artificial intelligence)</w:t>
      </w:r>
    </w:p>
    <w:p w14:paraId="0AE8216A" w14:textId="77777777" w:rsidR="008F250C" w:rsidRPr="00005ED1" w:rsidRDefault="008F250C" w:rsidP="00B55917">
      <w:pPr>
        <w:pStyle w:val="NoSpacing"/>
        <w:jc w:val="both"/>
        <w:rPr>
          <w:rFonts w:ascii="Arial" w:hAnsi="Arial" w:cs="Arial"/>
          <w:highlight w:val="yellow"/>
        </w:rPr>
      </w:pPr>
    </w:p>
    <w:p w14:paraId="06569BC1" w14:textId="77777777" w:rsidR="008F250C" w:rsidRPr="00005ED1" w:rsidRDefault="008F250C" w:rsidP="00B55917">
      <w:pPr>
        <w:pStyle w:val="NoSpacing"/>
        <w:jc w:val="both"/>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43A1F016" w14:textId="77777777" w:rsidR="008F250C" w:rsidRPr="00005ED1" w:rsidRDefault="008F250C" w:rsidP="00B55917">
      <w:pPr>
        <w:pStyle w:val="NoSpacing"/>
        <w:jc w:val="both"/>
        <w:rPr>
          <w:rFonts w:ascii="Arial" w:hAnsi="Arial" w:cs="Arial"/>
        </w:rPr>
      </w:pPr>
    </w:p>
    <w:p w14:paraId="524FF5AC" w14:textId="77777777" w:rsidR="00592C36" w:rsidRDefault="00592C36" w:rsidP="00B55917">
      <w:pPr>
        <w:pStyle w:val="ReferHead"/>
        <w:spacing w:after="0"/>
        <w:jc w:val="both"/>
        <w:rPr>
          <w:rFonts w:ascii="Arial" w:hAnsi="Arial" w:cs="Arial"/>
        </w:rPr>
      </w:pPr>
    </w:p>
    <w:p w14:paraId="60909AA7" w14:textId="77777777" w:rsidR="00592C36" w:rsidRDefault="00592C36" w:rsidP="00B55917">
      <w:pPr>
        <w:pStyle w:val="ReferHead"/>
        <w:spacing w:after="0"/>
        <w:jc w:val="both"/>
        <w:rPr>
          <w:rFonts w:ascii="Arial" w:hAnsi="Arial" w:cs="Arial"/>
        </w:rPr>
      </w:pPr>
      <w:r w:rsidRPr="00FB3A86">
        <w:rPr>
          <w:rFonts w:ascii="Arial" w:hAnsi="Arial" w:cs="Arial"/>
        </w:rPr>
        <w:t>References</w:t>
      </w:r>
    </w:p>
    <w:p w14:paraId="2689EA56" w14:textId="77777777" w:rsidR="00592C36" w:rsidRPr="00FB3A86" w:rsidRDefault="00592C36" w:rsidP="00B55917">
      <w:pPr>
        <w:pStyle w:val="ReferHead"/>
        <w:spacing w:after="0"/>
        <w:jc w:val="both"/>
        <w:rPr>
          <w:rFonts w:ascii="Arial" w:hAnsi="Arial" w:cs="Arial"/>
        </w:rPr>
      </w:pPr>
    </w:p>
    <w:p w14:paraId="3EE3A8A8" w14:textId="77777777" w:rsidR="00A4370D" w:rsidRPr="00A4370D" w:rsidRDefault="00A4370D" w:rsidP="00B55917">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Gonzalez-Manzanares R, </w:t>
      </w:r>
      <w:proofErr w:type="spellStart"/>
      <w:r w:rsidRPr="00A4370D">
        <w:rPr>
          <w:rFonts w:ascii="Arial" w:hAnsi="Arial" w:cs="Arial"/>
          <w:lang w:val="en-IN"/>
        </w:rPr>
        <w:t>Anguita-Gámez</w:t>
      </w:r>
      <w:proofErr w:type="spellEnd"/>
      <w:r w:rsidRPr="00A4370D">
        <w:rPr>
          <w:rFonts w:ascii="Arial" w:hAnsi="Arial" w:cs="Arial"/>
          <w:lang w:val="en-IN"/>
        </w:rPr>
        <w:t xml:space="preserve"> M, </w:t>
      </w:r>
      <w:proofErr w:type="spellStart"/>
      <w:r w:rsidRPr="00A4370D">
        <w:rPr>
          <w:rFonts w:ascii="Arial" w:hAnsi="Arial" w:cs="Arial"/>
          <w:lang w:val="en-IN"/>
        </w:rPr>
        <w:t>Muñiz</w:t>
      </w:r>
      <w:proofErr w:type="spellEnd"/>
      <w:r w:rsidRPr="00A4370D">
        <w:rPr>
          <w:rFonts w:ascii="Arial" w:hAnsi="Arial" w:cs="Arial"/>
          <w:lang w:val="en-IN"/>
        </w:rPr>
        <w:t xml:space="preserve"> J, Barrios V, Gimeno-Orna JA, Pérez A, et al. Prevalence and incidence of heart failure in type 2 diabetes patients: </w:t>
      </w:r>
      <w:r w:rsidRPr="00A4370D">
        <w:rPr>
          <w:rFonts w:ascii="Arial" w:hAnsi="Arial" w:cs="Arial"/>
          <w:lang w:val="en-IN"/>
        </w:rPr>
        <w:lastRenderedPageBreak/>
        <w:t xml:space="preserve">results from a nationwide prospective cohort—the DIABET-IC study. Cardiovasc </w:t>
      </w:r>
      <w:proofErr w:type="spellStart"/>
      <w:r w:rsidRPr="00A4370D">
        <w:rPr>
          <w:rFonts w:ascii="Arial" w:hAnsi="Arial" w:cs="Arial"/>
          <w:lang w:val="en-IN"/>
        </w:rPr>
        <w:t>Diabetol</w:t>
      </w:r>
      <w:proofErr w:type="spellEnd"/>
      <w:r w:rsidRPr="00A4370D">
        <w:rPr>
          <w:rFonts w:ascii="Arial" w:hAnsi="Arial" w:cs="Arial"/>
          <w:lang w:val="en-IN"/>
        </w:rPr>
        <w:t xml:space="preserve">. </w:t>
      </w:r>
      <w:proofErr w:type="gramStart"/>
      <w:r w:rsidRPr="00A4370D">
        <w:rPr>
          <w:rFonts w:ascii="Arial" w:hAnsi="Arial" w:cs="Arial"/>
          <w:lang w:val="en-IN"/>
        </w:rPr>
        <w:t>2024;23:253</w:t>
      </w:r>
      <w:proofErr w:type="gramEnd"/>
      <w:r w:rsidRPr="00A4370D">
        <w:rPr>
          <w:rFonts w:ascii="Arial" w:hAnsi="Arial" w:cs="Arial"/>
          <w:lang w:val="en-IN"/>
        </w:rPr>
        <w:t xml:space="preserve">. </w:t>
      </w:r>
    </w:p>
    <w:p w14:paraId="3EC9FE03" w14:textId="77777777" w:rsidR="00A4370D" w:rsidRPr="00A4370D" w:rsidRDefault="00A4370D" w:rsidP="00B55917">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Sun H, </w:t>
      </w:r>
      <w:proofErr w:type="spellStart"/>
      <w:r w:rsidRPr="00A4370D">
        <w:rPr>
          <w:rFonts w:ascii="Arial" w:hAnsi="Arial" w:cs="Arial"/>
          <w:lang w:val="en-IN"/>
        </w:rPr>
        <w:t>Saeedi</w:t>
      </w:r>
      <w:proofErr w:type="spellEnd"/>
      <w:r w:rsidRPr="00A4370D">
        <w:rPr>
          <w:rFonts w:ascii="Arial" w:hAnsi="Arial" w:cs="Arial"/>
          <w:lang w:val="en-IN"/>
        </w:rPr>
        <w:t xml:space="preserve"> P, </w:t>
      </w:r>
      <w:proofErr w:type="spellStart"/>
      <w:r w:rsidRPr="00A4370D">
        <w:rPr>
          <w:rFonts w:ascii="Arial" w:hAnsi="Arial" w:cs="Arial"/>
          <w:lang w:val="en-IN"/>
        </w:rPr>
        <w:t>Karuranga</w:t>
      </w:r>
      <w:proofErr w:type="spellEnd"/>
      <w:r w:rsidRPr="00A4370D">
        <w:rPr>
          <w:rFonts w:ascii="Arial" w:hAnsi="Arial" w:cs="Arial"/>
          <w:lang w:val="en-IN"/>
        </w:rPr>
        <w:t xml:space="preserve"> S, </w:t>
      </w:r>
      <w:proofErr w:type="spellStart"/>
      <w:r w:rsidRPr="00A4370D">
        <w:rPr>
          <w:rFonts w:ascii="Arial" w:hAnsi="Arial" w:cs="Arial"/>
          <w:lang w:val="en-IN"/>
        </w:rPr>
        <w:t>Pinkepank</w:t>
      </w:r>
      <w:proofErr w:type="spellEnd"/>
      <w:r w:rsidRPr="00A4370D">
        <w:rPr>
          <w:rFonts w:ascii="Arial" w:hAnsi="Arial" w:cs="Arial"/>
          <w:lang w:val="en-IN"/>
        </w:rPr>
        <w:t xml:space="preserve"> M, </w:t>
      </w:r>
      <w:proofErr w:type="spellStart"/>
      <w:r w:rsidRPr="00A4370D">
        <w:rPr>
          <w:rFonts w:ascii="Arial" w:hAnsi="Arial" w:cs="Arial"/>
          <w:lang w:val="en-IN"/>
        </w:rPr>
        <w:t>Ogurtsova</w:t>
      </w:r>
      <w:proofErr w:type="spellEnd"/>
      <w:r w:rsidRPr="00A4370D">
        <w:rPr>
          <w:rFonts w:ascii="Arial" w:hAnsi="Arial" w:cs="Arial"/>
          <w:lang w:val="en-IN"/>
        </w:rPr>
        <w:t xml:space="preserve"> K, Duncan BB, et al. IDF Diabetes Atlas: Global, regional and country-level diabetes prevalence estimates for 2021 and projections for 2045. Diabetes Res Clin </w:t>
      </w:r>
      <w:proofErr w:type="spellStart"/>
      <w:r w:rsidRPr="00A4370D">
        <w:rPr>
          <w:rFonts w:ascii="Arial" w:hAnsi="Arial" w:cs="Arial"/>
          <w:lang w:val="en-IN"/>
        </w:rPr>
        <w:t>Pract</w:t>
      </w:r>
      <w:proofErr w:type="spellEnd"/>
      <w:r w:rsidRPr="00A4370D">
        <w:rPr>
          <w:rFonts w:ascii="Arial" w:hAnsi="Arial" w:cs="Arial"/>
          <w:lang w:val="en-IN"/>
        </w:rPr>
        <w:t xml:space="preserve">. </w:t>
      </w:r>
      <w:proofErr w:type="gramStart"/>
      <w:r w:rsidRPr="00A4370D">
        <w:rPr>
          <w:rFonts w:ascii="Arial" w:hAnsi="Arial" w:cs="Arial"/>
          <w:lang w:val="en-IN"/>
        </w:rPr>
        <w:t>2022;183:109119</w:t>
      </w:r>
      <w:proofErr w:type="gramEnd"/>
      <w:r w:rsidRPr="00A4370D">
        <w:rPr>
          <w:rFonts w:ascii="Arial" w:hAnsi="Arial" w:cs="Arial"/>
          <w:lang w:val="en-IN"/>
        </w:rPr>
        <w:t xml:space="preserve">. </w:t>
      </w:r>
    </w:p>
    <w:p w14:paraId="66228FC8" w14:textId="77777777" w:rsidR="00A4370D" w:rsidRPr="00A4370D" w:rsidRDefault="00A4370D" w:rsidP="00B55917">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GBD 2017 Disease and Injury Incidence and Prevalence Collaborators. Global, regional, and national incidence, prevalence, and years lived with disability for 354 diseases and injuries for 195 countries and territories, 1990-2017: a systematic analysis for the Global Burden of Disease Study 2017. Lancet. 2018;392(10159):1789–858. </w:t>
      </w:r>
    </w:p>
    <w:p w14:paraId="56F2CB90" w14:textId="77777777" w:rsidR="00A4370D" w:rsidRPr="00A4370D" w:rsidRDefault="00A4370D" w:rsidP="00B55917">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Anjana RM, Unnikrishnan R, Deepa M, Pradeepa R, Tandon N, Das AK, et al. Metabolic non-communicable disease health report of India: the ICMR-INDIAB national cross-sectional study (ICMR-INDIAB-17). Lancet Diabetes Endocrinol. 2023;11(7):474–89. </w:t>
      </w:r>
    </w:p>
    <w:p w14:paraId="3B784055" w14:textId="05AE6685" w:rsidR="00A4370D" w:rsidRPr="00032F83" w:rsidRDefault="00032F83" w:rsidP="00B55917">
      <w:pPr>
        <w:numPr>
          <w:ilvl w:val="0"/>
          <w:numId w:val="31"/>
        </w:numPr>
        <w:tabs>
          <w:tab w:val="left" w:pos="4035"/>
        </w:tabs>
        <w:spacing w:line="324" w:lineRule="auto"/>
        <w:ind w:right="80"/>
        <w:jc w:val="both"/>
        <w:rPr>
          <w:rFonts w:ascii="Arial" w:hAnsi="Arial" w:cs="Arial"/>
          <w:highlight w:val="yellow"/>
          <w:lang w:val="en-IN"/>
        </w:rPr>
      </w:pPr>
      <w:r w:rsidRPr="00032F83">
        <w:rPr>
          <w:rFonts w:ascii="Arial" w:hAnsi="Arial" w:cs="Arial"/>
          <w:highlight w:val="yellow"/>
        </w:rPr>
        <w:t>Mohan V, Tiwaskar M. The Unrelenting Epidemic of Diabetes in India: Do the Numbers Matter? J Assoc Physicians India. 2025;73(5):12-13</w:t>
      </w:r>
      <w:r w:rsidR="00A4370D" w:rsidRPr="00032F83">
        <w:rPr>
          <w:rFonts w:ascii="Arial" w:hAnsi="Arial" w:cs="Arial"/>
          <w:highlight w:val="yellow"/>
          <w:lang w:val="en-IN"/>
        </w:rPr>
        <w:t xml:space="preserve">. </w:t>
      </w:r>
    </w:p>
    <w:p w14:paraId="0F48E1BC" w14:textId="68BCA3AC" w:rsidR="00A4370D" w:rsidRPr="00032F83" w:rsidRDefault="00032F83" w:rsidP="00B55917">
      <w:pPr>
        <w:numPr>
          <w:ilvl w:val="0"/>
          <w:numId w:val="31"/>
        </w:numPr>
        <w:tabs>
          <w:tab w:val="left" w:pos="4035"/>
        </w:tabs>
        <w:spacing w:line="324" w:lineRule="auto"/>
        <w:ind w:right="80"/>
        <w:jc w:val="both"/>
        <w:rPr>
          <w:rFonts w:ascii="Arial" w:hAnsi="Arial" w:cs="Arial"/>
          <w:highlight w:val="yellow"/>
          <w:lang w:val="en-IN"/>
        </w:rPr>
      </w:pPr>
      <w:r w:rsidRPr="00032F83">
        <w:rPr>
          <w:rFonts w:ascii="Arial" w:hAnsi="Arial" w:cs="Arial"/>
          <w:highlight w:val="yellow"/>
        </w:rPr>
        <w:t xml:space="preserve">Chauhan S, Khatib MN, Ballal S, Bansal P, </w:t>
      </w:r>
      <w:proofErr w:type="spellStart"/>
      <w:r w:rsidRPr="00032F83">
        <w:rPr>
          <w:rFonts w:ascii="Arial" w:hAnsi="Arial" w:cs="Arial"/>
          <w:highlight w:val="yellow"/>
        </w:rPr>
        <w:t>Bhopte</w:t>
      </w:r>
      <w:proofErr w:type="spellEnd"/>
      <w:r w:rsidRPr="00032F83">
        <w:rPr>
          <w:rFonts w:ascii="Arial" w:hAnsi="Arial" w:cs="Arial"/>
          <w:highlight w:val="yellow"/>
        </w:rPr>
        <w:t xml:space="preserve"> K, </w:t>
      </w:r>
      <w:proofErr w:type="spellStart"/>
      <w:r w:rsidRPr="00032F83">
        <w:rPr>
          <w:rFonts w:ascii="Arial" w:hAnsi="Arial" w:cs="Arial"/>
          <w:highlight w:val="yellow"/>
        </w:rPr>
        <w:t>Gaidhane</w:t>
      </w:r>
      <w:proofErr w:type="spellEnd"/>
      <w:r w:rsidRPr="00032F83">
        <w:rPr>
          <w:rFonts w:ascii="Arial" w:hAnsi="Arial" w:cs="Arial"/>
          <w:highlight w:val="yellow"/>
        </w:rPr>
        <w:t xml:space="preserve"> AM, et al. The rising burden of diabetes and state-wise variations in India: insights from the Global Burden of Disease Study 1990-2021 and projections to 2031. Front Endocrinol (Lausanne). </w:t>
      </w:r>
      <w:proofErr w:type="gramStart"/>
      <w:r w:rsidRPr="00032F83">
        <w:rPr>
          <w:rFonts w:ascii="Arial" w:hAnsi="Arial" w:cs="Arial"/>
          <w:highlight w:val="yellow"/>
        </w:rPr>
        <w:t>2025;16:1505143</w:t>
      </w:r>
      <w:proofErr w:type="gramEnd"/>
      <w:r w:rsidR="00A4370D" w:rsidRPr="00032F83">
        <w:rPr>
          <w:rFonts w:ascii="Arial" w:hAnsi="Arial" w:cs="Arial"/>
          <w:highlight w:val="yellow"/>
          <w:lang w:val="en-IN"/>
        </w:rPr>
        <w:t xml:space="preserve">. </w:t>
      </w:r>
    </w:p>
    <w:p w14:paraId="7A08AF80" w14:textId="77777777" w:rsidR="00A4370D" w:rsidRPr="00A4370D" w:rsidRDefault="00A4370D" w:rsidP="00B55917">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Saboo B, Agarwal S, Singh AK, Makkar B, Chawla R, Ghosh S, et al. Diabetes Mellitus and Heart Failure: A Consensus Statement. Int J Diabetes Dev Ctries. 2021;41(1):1–41. </w:t>
      </w:r>
    </w:p>
    <w:p w14:paraId="3A41C945" w14:textId="77777777" w:rsidR="00A4370D" w:rsidRPr="00A4370D" w:rsidRDefault="00A4370D" w:rsidP="00B55917">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Chao EC. SGLT-2 Inhibitors: A New Mechanism for Glycemic Control. Clin Diabetes. 2014;32(1):4-11. </w:t>
      </w:r>
    </w:p>
    <w:p w14:paraId="08D33B01" w14:textId="77777777" w:rsidR="00A4370D" w:rsidRPr="00A4370D" w:rsidRDefault="00A4370D" w:rsidP="00B55917">
      <w:pPr>
        <w:numPr>
          <w:ilvl w:val="0"/>
          <w:numId w:val="31"/>
        </w:numPr>
        <w:tabs>
          <w:tab w:val="left" w:pos="4035"/>
        </w:tabs>
        <w:spacing w:line="324" w:lineRule="auto"/>
        <w:ind w:right="80"/>
        <w:jc w:val="both"/>
        <w:rPr>
          <w:rFonts w:ascii="Arial" w:hAnsi="Arial" w:cs="Arial"/>
          <w:lang w:val="en-IN"/>
        </w:rPr>
      </w:pPr>
      <w:proofErr w:type="spellStart"/>
      <w:r w:rsidRPr="00A4370D">
        <w:rPr>
          <w:rFonts w:ascii="Arial" w:hAnsi="Arial" w:cs="Arial"/>
          <w:lang w:val="en-IN"/>
        </w:rPr>
        <w:t>Filippatos</w:t>
      </w:r>
      <w:proofErr w:type="spellEnd"/>
      <w:r w:rsidRPr="00A4370D">
        <w:rPr>
          <w:rFonts w:ascii="Arial" w:hAnsi="Arial" w:cs="Arial"/>
          <w:lang w:val="en-IN"/>
        </w:rPr>
        <w:t xml:space="preserve"> TD, </w:t>
      </w:r>
      <w:proofErr w:type="spellStart"/>
      <w:r w:rsidRPr="00A4370D">
        <w:rPr>
          <w:rFonts w:ascii="Arial" w:hAnsi="Arial" w:cs="Arial"/>
          <w:lang w:val="en-IN"/>
        </w:rPr>
        <w:t>Liberopoulos</w:t>
      </w:r>
      <w:proofErr w:type="spellEnd"/>
      <w:r w:rsidRPr="00A4370D">
        <w:rPr>
          <w:rFonts w:ascii="Arial" w:hAnsi="Arial" w:cs="Arial"/>
          <w:lang w:val="en-IN"/>
        </w:rPr>
        <w:t xml:space="preserve"> EN, </w:t>
      </w:r>
      <w:proofErr w:type="spellStart"/>
      <w:r w:rsidRPr="00A4370D">
        <w:rPr>
          <w:rFonts w:ascii="Arial" w:hAnsi="Arial" w:cs="Arial"/>
          <w:lang w:val="en-IN"/>
        </w:rPr>
        <w:t>Elisaf</w:t>
      </w:r>
      <w:proofErr w:type="spellEnd"/>
      <w:r w:rsidRPr="00A4370D">
        <w:rPr>
          <w:rFonts w:ascii="Arial" w:hAnsi="Arial" w:cs="Arial"/>
          <w:lang w:val="en-IN"/>
        </w:rPr>
        <w:t xml:space="preserve"> MS. Dapagliflozin in patients with type 2 diabetes mellitus. </w:t>
      </w:r>
      <w:proofErr w:type="spellStart"/>
      <w:r w:rsidRPr="00A4370D">
        <w:rPr>
          <w:rFonts w:ascii="Arial" w:hAnsi="Arial" w:cs="Arial"/>
          <w:lang w:val="en-IN"/>
        </w:rPr>
        <w:t>Ther</w:t>
      </w:r>
      <w:proofErr w:type="spellEnd"/>
      <w:r w:rsidRPr="00A4370D">
        <w:rPr>
          <w:rFonts w:ascii="Arial" w:hAnsi="Arial" w:cs="Arial"/>
          <w:lang w:val="en-IN"/>
        </w:rPr>
        <w:t xml:space="preserve"> Adv Endocrinol </w:t>
      </w:r>
      <w:proofErr w:type="spellStart"/>
      <w:r w:rsidRPr="00A4370D">
        <w:rPr>
          <w:rFonts w:ascii="Arial" w:hAnsi="Arial" w:cs="Arial"/>
          <w:lang w:val="en-IN"/>
        </w:rPr>
        <w:t>Metab</w:t>
      </w:r>
      <w:proofErr w:type="spellEnd"/>
      <w:r w:rsidRPr="00A4370D">
        <w:rPr>
          <w:rFonts w:ascii="Arial" w:hAnsi="Arial" w:cs="Arial"/>
          <w:lang w:val="en-IN"/>
        </w:rPr>
        <w:t xml:space="preserve">. 2015;6(1):29-41. </w:t>
      </w:r>
    </w:p>
    <w:p w14:paraId="2A8B4E29" w14:textId="77777777" w:rsidR="00A4370D" w:rsidRPr="00A4370D" w:rsidRDefault="00A4370D" w:rsidP="00B55917">
      <w:pPr>
        <w:numPr>
          <w:ilvl w:val="0"/>
          <w:numId w:val="31"/>
        </w:numPr>
        <w:tabs>
          <w:tab w:val="left" w:pos="4035"/>
        </w:tabs>
        <w:spacing w:line="324" w:lineRule="auto"/>
        <w:ind w:right="80"/>
        <w:jc w:val="both"/>
        <w:rPr>
          <w:rFonts w:ascii="Arial" w:hAnsi="Arial" w:cs="Arial"/>
          <w:lang w:val="en-IN"/>
        </w:rPr>
      </w:pPr>
      <w:proofErr w:type="spellStart"/>
      <w:r w:rsidRPr="00A4370D">
        <w:rPr>
          <w:rFonts w:ascii="Arial" w:hAnsi="Arial" w:cs="Arial"/>
          <w:lang w:val="en-IN"/>
        </w:rPr>
        <w:t>Albarrán</w:t>
      </w:r>
      <w:proofErr w:type="spellEnd"/>
      <w:r w:rsidRPr="00A4370D">
        <w:rPr>
          <w:rFonts w:ascii="Arial" w:hAnsi="Arial" w:cs="Arial"/>
          <w:lang w:val="en-IN"/>
        </w:rPr>
        <w:t xml:space="preserve"> OG, </w:t>
      </w:r>
      <w:proofErr w:type="spellStart"/>
      <w:r w:rsidRPr="00A4370D">
        <w:rPr>
          <w:rFonts w:ascii="Arial" w:hAnsi="Arial" w:cs="Arial"/>
          <w:lang w:val="en-IN"/>
        </w:rPr>
        <w:t>Ampudia-Blasco</w:t>
      </w:r>
      <w:proofErr w:type="spellEnd"/>
      <w:r w:rsidRPr="00A4370D">
        <w:rPr>
          <w:rFonts w:ascii="Arial" w:hAnsi="Arial" w:cs="Arial"/>
          <w:lang w:val="en-IN"/>
        </w:rPr>
        <w:t xml:space="preserve"> FJ. Dapagliflozin, the first SGLT-2 inhibitor in the treatment of type 2 diabetes. Med Clin (</w:t>
      </w:r>
      <w:proofErr w:type="spellStart"/>
      <w:r w:rsidRPr="00A4370D">
        <w:rPr>
          <w:rFonts w:ascii="Arial" w:hAnsi="Arial" w:cs="Arial"/>
          <w:lang w:val="en-IN"/>
        </w:rPr>
        <w:t>Barc</w:t>
      </w:r>
      <w:proofErr w:type="spellEnd"/>
      <w:r w:rsidRPr="00A4370D">
        <w:rPr>
          <w:rFonts w:ascii="Arial" w:hAnsi="Arial" w:cs="Arial"/>
          <w:lang w:val="en-IN"/>
        </w:rPr>
        <w:t xml:space="preserve">). 2013;141(Suppl_2):36-43. </w:t>
      </w:r>
    </w:p>
    <w:p w14:paraId="3D424898" w14:textId="77777777" w:rsidR="00A4370D" w:rsidRPr="00A4370D" w:rsidRDefault="00A4370D" w:rsidP="00B55917">
      <w:pPr>
        <w:numPr>
          <w:ilvl w:val="0"/>
          <w:numId w:val="31"/>
        </w:numPr>
        <w:tabs>
          <w:tab w:val="left" w:pos="4035"/>
        </w:tabs>
        <w:spacing w:line="324" w:lineRule="auto"/>
        <w:ind w:right="80"/>
        <w:jc w:val="both"/>
        <w:rPr>
          <w:rFonts w:ascii="Arial" w:hAnsi="Arial" w:cs="Arial"/>
          <w:lang w:val="en-IN"/>
        </w:rPr>
      </w:pPr>
      <w:proofErr w:type="spellStart"/>
      <w:r w:rsidRPr="00A4370D">
        <w:rPr>
          <w:rFonts w:ascii="Arial" w:hAnsi="Arial" w:cs="Arial"/>
          <w:lang w:val="en-IN"/>
        </w:rPr>
        <w:t>Boonman</w:t>
      </w:r>
      <w:proofErr w:type="spellEnd"/>
      <w:r w:rsidRPr="00A4370D">
        <w:rPr>
          <w:rFonts w:ascii="Arial" w:hAnsi="Arial" w:cs="Arial"/>
          <w:lang w:val="en-IN"/>
        </w:rPr>
        <w:t xml:space="preserve">-de Winter LJ, Rutten FH, Cramer MJ, Landman MJ, Liem AH, Rutten GE, et al. High prevalence of previously unknown heart failure and left ventricular dysfunction in patients with type 2 diabetes. </w:t>
      </w:r>
      <w:proofErr w:type="spellStart"/>
      <w:r w:rsidRPr="00A4370D">
        <w:rPr>
          <w:rFonts w:ascii="Arial" w:hAnsi="Arial" w:cs="Arial"/>
          <w:lang w:val="en-IN"/>
        </w:rPr>
        <w:t>Diabetologia</w:t>
      </w:r>
      <w:proofErr w:type="spellEnd"/>
      <w:r w:rsidRPr="00A4370D">
        <w:rPr>
          <w:rFonts w:ascii="Arial" w:hAnsi="Arial" w:cs="Arial"/>
          <w:lang w:val="en-IN"/>
        </w:rPr>
        <w:t xml:space="preserve">. 2012;55(8):2154-62. </w:t>
      </w:r>
    </w:p>
    <w:p w14:paraId="32E7D6EC" w14:textId="77777777" w:rsidR="00A4370D" w:rsidRPr="00A4370D" w:rsidRDefault="00A4370D" w:rsidP="00B55917">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Campbell P, Krim S, Ventura H. The Bi-directional Impact of Two Chronic Illnesses: Heart Failure and Diabetes - A review of the Epidemiology and Outcomes. Card Fail Rev. 2015;1(1):8-10. </w:t>
      </w:r>
    </w:p>
    <w:p w14:paraId="032CDE33" w14:textId="77777777" w:rsidR="00A4370D" w:rsidRPr="00A4370D" w:rsidRDefault="00A4370D" w:rsidP="00B55917">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Bertoni AG, Hundley WG, Massing MW, Bonds DE, Burke GL, Goff DC Jr. Heart failure prevalence, incidence, and mortality in the elderly with diabetes. Diabetes Care. 2004;27(3):699-703. </w:t>
      </w:r>
    </w:p>
    <w:p w14:paraId="6B55026C" w14:textId="77777777" w:rsidR="00A4370D" w:rsidRPr="00A4370D" w:rsidRDefault="00A4370D" w:rsidP="00B55917">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Gilbert EM, Xu WD. Rationales and choices for the treatment of patients with NYHA class II heart failure. Postgrad Med. 2017;129(6):619-631. </w:t>
      </w:r>
    </w:p>
    <w:p w14:paraId="374AD668" w14:textId="77777777" w:rsidR="00A4370D" w:rsidRPr="00A4370D" w:rsidRDefault="00A4370D" w:rsidP="00B55917">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lastRenderedPageBreak/>
        <w:t xml:space="preserve">Manjula S, Krishna Kumar M. Experts' perspective on the prescription of dapagliflozin for treating T2DM patients in Indian settings. Int J Endocrinol Res. 2025;7(1):22–8. </w:t>
      </w:r>
    </w:p>
    <w:p w14:paraId="4D103736" w14:textId="77777777" w:rsidR="00A4370D" w:rsidRPr="00A4370D" w:rsidRDefault="00A4370D" w:rsidP="00B55917">
      <w:pPr>
        <w:numPr>
          <w:ilvl w:val="0"/>
          <w:numId w:val="31"/>
        </w:numPr>
        <w:tabs>
          <w:tab w:val="left" w:pos="4035"/>
        </w:tabs>
        <w:spacing w:line="324" w:lineRule="auto"/>
        <w:ind w:right="80"/>
        <w:jc w:val="both"/>
        <w:rPr>
          <w:rFonts w:ascii="Arial" w:hAnsi="Arial" w:cs="Arial"/>
          <w:lang w:val="en-IN"/>
        </w:rPr>
      </w:pPr>
      <w:proofErr w:type="spellStart"/>
      <w:r w:rsidRPr="00A4370D">
        <w:rPr>
          <w:rFonts w:ascii="Arial" w:hAnsi="Arial" w:cs="Arial"/>
          <w:lang w:val="en-IN"/>
        </w:rPr>
        <w:t>Stenlöf</w:t>
      </w:r>
      <w:proofErr w:type="spellEnd"/>
      <w:r w:rsidRPr="00A4370D">
        <w:rPr>
          <w:rFonts w:ascii="Arial" w:hAnsi="Arial" w:cs="Arial"/>
          <w:lang w:val="en-IN"/>
        </w:rPr>
        <w:t xml:space="preserve"> K, </w:t>
      </w:r>
      <w:proofErr w:type="spellStart"/>
      <w:r w:rsidRPr="00A4370D">
        <w:rPr>
          <w:rFonts w:ascii="Arial" w:hAnsi="Arial" w:cs="Arial"/>
          <w:lang w:val="en-IN"/>
        </w:rPr>
        <w:t>Cefalu</w:t>
      </w:r>
      <w:proofErr w:type="spellEnd"/>
      <w:r w:rsidRPr="00A4370D">
        <w:rPr>
          <w:rFonts w:ascii="Arial" w:hAnsi="Arial" w:cs="Arial"/>
          <w:lang w:val="en-IN"/>
        </w:rPr>
        <w:t xml:space="preserve"> WT, Kim KA, Alba M, </w:t>
      </w:r>
      <w:proofErr w:type="spellStart"/>
      <w:r w:rsidRPr="00A4370D">
        <w:rPr>
          <w:rFonts w:ascii="Arial" w:hAnsi="Arial" w:cs="Arial"/>
          <w:lang w:val="en-IN"/>
        </w:rPr>
        <w:t>Usiskin</w:t>
      </w:r>
      <w:proofErr w:type="spellEnd"/>
      <w:r w:rsidRPr="00A4370D">
        <w:rPr>
          <w:rFonts w:ascii="Arial" w:hAnsi="Arial" w:cs="Arial"/>
          <w:lang w:val="en-IN"/>
        </w:rPr>
        <w:t xml:space="preserve"> K, Tong C, et al. Efficacy and safety of canagliflozin monotherapy in subjects with type 2 diabetes mellitus inadequately controlled with diet and exercise. Diabetes </w:t>
      </w:r>
      <w:proofErr w:type="spellStart"/>
      <w:r w:rsidRPr="00A4370D">
        <w:rPr>
          <w:rFonts w:ascii="Arial" w:hAnsi="Arial" w:cs="Arial"/>
          <w:lang w:val="en-IN"/>
        </w:rPr>
        <w:t>Obes</w:t>
      </w:r>
      <w:proofErr w:type="spellEnd"/>
      <w:r w:rsidRPr="00A4370D">
        <w:rPr>
          <w:rFonts w:ascii="Arial" w:hAnsi="Arial" w:cs="Arial"/>
          <w:lang w:val="en-IN"/>
        </w:rPr>
        <w:t xml:space="preserve"> </w:t>
      </w:r>
      <w:proofErr w:type="spellStart"/>
      <w:r w:rsidRPr="00A4370D">
        <w:rPr>
          <w:rFonts w:ascii="Arial" w:hAnsi="Arial" w:cs="Arial"/>
          <w:lang w:val="en-IN"/>
        </w:rPr>
        <w:t>Metab</w:t>
      </w:r>
      <w:proofErr w:type="spellEnd"/>
      <w:r w:rsidRPr="00A4370D">
        <w:rPr>
          <w:rFonts w:ascii="Arial" w:hAnsi="Arial" w:cs="Arial"/>
          <w:lang w:val="en-IN"/>
        </w:rPr>
        <w:t xml:space="preserve">. 2013;15(4):372-82. </w:t>
      </w:r>
    </w:p>
    <w:p w14:paraId="0222EDE2" w14:textId="77777777" w:rsidR="00A4370D" w:rsidRPr="00A4370D" w:rsidRDefault="00A4370D" w:rsidP="00B55917">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Liang Y, Arakawa K, Ueta K, Matsushita Y, Kuriyama C, Martin T, et al. Effect of canagliflozin on renal threshold for glucose, glycemia, and body weight in normal and diabetic animal models. </w:t>
      </w:r>
      <w:proofErr w:type="spellStart"/>
      <w:r w:rsidRPr="00A4370D">
        <w:rPr>
          <w:rFonts w:ascii="Arial" w:hAnsi="Arial" w:cs="Arial"/>
          <w:lang w:val="en-IN"/>
        </w:rPr>
        <w:t>PLoS</w:t>
      </w:r>
      <w:proofErr w:type="spellEnd"/>
      <w:r w:rsidRPr="00A4370D">
        <w:rPr>
          <w:rFonts w:ascii="Arial" w:hAnsi="Arial" w:cs="Arial"/>
          <w:lang w:val="en-IN"/>
        </w:rPr>
        <w:t xml:space="preserve"> One. 2012;7(2</w:t>
      </w:r>
      <w:proofErr w:type="gramStart"/>
      <w:r w:rsidRPr="00A4370D">
        <w:rPr>
          <w:rFonts w:ascii="Arial" w:hAnsi="Arial" w:cs="Arial"/>
          <w:lang w:val="en-IN"/>
        </w:rPr>
        <w:t>):e</w:t>
      </w:r>
      <w:proofErr w:type="gramEnd"/>
      <w:r w:rsidRPr="00A4370D">
        <w:rPr>
          <w:rFonts w:ascii="Arial" w:hAnsi="Arial" w:cs="Arial"/>
          <w:lang w:val="en-IN"/>
        </w:rPr>
        <w:t xml:space="preserve">30555. </w:t>
      </w:r>
    </w:p>
    <w:p w14:paraId="110CB3B9" w14:textId="77777777" w:rsidR="00A4370D" w:rsidRPr="00A4370D" w:rsidRDefault="00A4370D" w:rsidP="00B55917">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Tat V, Forest CP. The role of SGLT2 inhibitors in managing type 2 diabetes. JAAPA. 2018;31(6):35-40. </w:t>
      </w:r>
    </w:p>
    <w:p w14:paraId="2F5771AA" w14:textId="77777777" w:rsidR="00A4370D" w:rsidRPr="00A4370D" w:rsidRDefault="00A4370D" w:rsidP="00B55917">
      <w:pPr>
        <w:numPr>
          <w:ilvl w:val="0"/>
          <w:numId w:val="31"/>
        </w:numPr>
        <w:tabs>
          <w:tab w:val="left" w:pos="4035"/>
        </w:tabs>
        <w:spacing w:line="324" w:lineRule="auto"/>
        <w:ind w:right="80"/>
        <w:jc w:val="both"/>
        <w:rPr>
          <w:rFonts w:ascii="Arial" w:hAnsi="Arial" w:cs="Arial"/>
          <w:lang w:val="en-IN"/>
        </w:rPr>
      </w:pPr>
      <w:proofErr w:type="spellStart"/>
      <w:r w:rsidRPr="00A4370D">
        <w:rPr>
          <w:rFonts w:ascii="Arial" w:hAnsi="Arial" w:cs="Arial"/>
          <w:lang w:val="en-IN"/>
        </w:rPr>
        <w:t>Fioretto</w:t>
      </w:r>
      <w:proofErr w:type="spellEnd"/>
      <w:r w:rsidRPr="00A4370D">
        <w:rPr>
          <w:rFonts w:ascii="Arial" w:hAnsi="Arial" w:cs="Arial"/>
          <w:lang w:val="en-IN"/>
        </w:rPr>
        <w:t xml:space="preserve"> P, </w:t>
      </w:r>
      <w:proofErr w:type="spellStart"/>
      <w:r w:rsidRPr="00A4370D">
        <w:rPr>
          <w:rFonts w:ascii="Arial" w:hAnsi="Arial" w:cs="Arial"/>
          <w:lang w:val="en-IN"/>
        </w:rPr>
        <w:t>Giaccari</w:t>
      </w:r>
      <w:proofErr w:type="spellEnd"/>
      <w:r w:rsidRPr="00A4370D">
        <w:rPr>
          <w:rFonts w:ascii="Arial" w:hAnsi="Arial" w:cs="Arial"/>
          <w:lang w:val="en-IN"/>
        </w:rPr>
        <w:t xml:space="preserve"> A, </w:t>
      </w:r>
      <w:proofErr w:type="spellStart"/>
      <w:r w:rsidRPr="00A4370D">
        <w:rPr>
          <w:rFonts w:ascii="Arial" w:hAnsi="Arial" w:cs="Arial"/>
          <w:lang w:val="en-IN"/>
        </w:rPr>
        <w:t>Sesti</w:t>
      </w:r>
      <w:proofErr w:type="spellEnd"/>
      <w:r w:rsidRPr="00A4370D">
        <w:rPr>
          <w:rFonts w:ascii="Arial" w:hAnsi="Arial" w:cs="Arial"/>
          <w:lang w:val="en-IN"/>
        </w:rPr>
        <w:t xml:space="preserve"> G. Efficacy and safety of dapagliflozin, a sodium glucose cotransporter 2 (SGLT2) inhibitor, in diabetes mellitus. Cardiovasc </w:t>
      </w:r>
      <w:proofErr w:type="spellStart"/>
      <w:r w:rsidRPr="00A4370D">
        <w:rPr>
          <w:rFonts w:ascii="Arial" w:hAnsi="Arial" w:cs="Arial"/>
          <w:lang w:val="en-IN"/>
        </w:rPr>
        <w:t>Diabetol</w:t>
      </w:r>
      <w:proofErr w:type="spellEnd"/>
      <w:r w:rsidRPr="00A4370D">
        <w:rPr>
          <w:rFonts w:ascii="Arial" w:hAnsi="Arial" w:cs="Arial"/>
          <w:lang w:val="en-IN"/>
        </w:rPr>
        <w:t xml:space="preserve">. </w:t>
      </w:r>
      <w:proofErr w:type="gramStart"/>
      <w:r w:rsidRPr="00A4370D">
        <w:rPr>
          <w:rFonts w:ascii="Arial" w:hAnsi="Arial" w:cs="Arial"/>
          <w:lang w:val="en-IN"/>
        </w:rPr>
        <w:t>2015;14:142</w:t>
      </w:r>
      <w:proofErr w:type="gramEnd"/>
      <w:r w:rsidRPr="00A4370D">
        <w:rPr>
          <w:rFonts w:ascii="Arial" w:hAnsi="Arial" w:cs="Arial"/>
          <w:lang w:val="en-IN"/>
        </w:rPr>
        <w:t>.</w:t>
      </w:r>
    </w:p>
    <w:p w14:paraId="48B04CBE" w14:textId="77777777" w:rsidR="00A4370D" w:rsidRPr="00A4370D" w:rsidRDefault="00A4370D" w:rsidP="00B55917">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Nicholson MK, Ghazal </w:t>
      </w:r>
      <w:proofErr w:type="spellStart"/>
      <w:r w:rsidRPr="00A4370D">
        <w:rPr>
          <w:rFonts w:ascii="Arial" w:hAnsi="Arial" w:cs="Arial"/>
          <w:lang w:val="en-IN"/>
        </w:rPr>
        <w:t>Asswad</w:t>
      </w:r>
      <w:proofErr w:type="spellEnd"/>
      <w:r w:rsidRPr="00A4370D">
        <w:rPr>
          <w:rFonts w:ascii="Arial" w:hAnsi="Arial" w:cs="Arial"/>
          <w:lang w:val="en-IN"/>
        </w:rPr>
        <w:t xml:space="preserve"> R, Wilding JP. Dapagliflozin for the treatment of type 2 diabetes mellitus - an update. Expert </w:t>
      </w:r>
      <w:proofErr w:type="spellStart"/>
      <w:r w:rsidRPr="00A4370D">
        <w:rPr>
          <w:rFonts w:ascii="Arial" w:hAnsi="Arial" w:cs="Arial"/>
          <w:lang w:val="en-IN"/>
        </w:rPr>
        <w:t>Opin</w:t>
      </w:r>
      <w:proofErr w:type="spellEnd"/>
      <w:r w:rsidRPr="00A4370D">
        <w:rPr>
          <w:rFonts w:ascii="Arial" w:hAnsi="Arial" w:cs="Arial"/>
          <w:lang w:val="en-IN"/>
        </w:rPr>
        <w:t xml:space="preserve"> </w:t>
      </w:r>
      <w:proofErr w:type="spellStart"/>
      <w:r w:rsidRPr="00A4370D">
        <w:rPr>
          <w:rFonts w:ascii="Arial" w:hAnsi="Arial" w:cs="Arial"/>
          <w:lang w:val="en-IN"/>
        </w:rPr>
        <w:t>Pharmacother</w:t>
      </w:r>
      <w:proofErr w:type="spellEnd"/>
      <w:r w:rsidRPr="00A4370D">
        <w:rPr>
          <w:rFonts w:ascii="Arial" w:hAnsi="Arial" w:cs="Arial"/>
          <w:lang w:val="en-IN"/>
        </w:rPr>
        <w:t xml:space="preserve">. 2021;22(17):2303-2310. </w:t>
      </w:r>
    </w:p>
    <w:p w14:paraId="2E7CE187" w14:textId="77777777" w:rsidR="00A4370D" w:rsidRPr="00A4370D" w:rsidRDefault="00A4370D" w:rsidP="00B55917">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Mehta A, Bafna A, Goel S, Trivedi AK, Mishra C, Naik P, et al. Diabetes treatment with dapagliflozin and its combinations: Insights from clinical practice. In: Endocrine Abstracts [Internet]. </w:t>
      </w:r>
      <w:proofErr w:type="spellStart"/>
      <w:r w:rsidRPr="00A4370D">
        <w:rPr>
          <w:rFonts w:ascii="Arial" w:hAnsi="Arial" w:cs="Arial"/>
          <w:lang w:val="en-IN"/>
        </w:rPr>
        <w:t>Bioscientifica</w:t>
      </w:r>
      <w:proofErr w:type="spellEnd"/>
      <w:r w:rsidRPr="00A4370D">
        <w:rPr>
          <w:rFonts w:ascii="Arial" w:hAnsi="Arial" w:cs="Arial"/>
          <w:lang w:val="en-IN"/>
        </w:rPr>
        <w:t xml:space="preserve">; 2023 [cited 2026 Feb 23]. Available from: https://www.endocrine-abstracts.org/ea/0090/ea0090ep1106 </w:t>
      </w:r>
    </w:p>
    <w:p w14:paraId="07E4BCFB" w14:textId="77777777" w:rsidR="00A4370D" w:rsidRPr="00A4370D" w:rsidRDefault="00A4370D" w:rsidP="00B55917">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 Ghanim H, Batra M, Green K, </w:t>
      </w:r>
      <w:proofErr w:type="spellStart"/>
      <w:r w:rsidRPr="00A4370D">
        <w:rPr>
          <w:rFonts w:ascii="Arial" w:hAnsi="Arial" w:cs="Arial"/>
          <w:lang w:val="en-IN"/>
        </w:rPr>
        <w:t>Hejna</w:t>
      </w:r>
      <w:proofErr w:type="spellEnd"/>
      <w:r w:rsidRPr="00A4370D">
        <w:rPr>
          <w:rFonts w:ascii="Arial" w:hAnsi="Arial" w:cs="Arial"/>
          <w:lang w:val="en-IN"/>
        </w:rPr>
        <w:t xml:space="preserve"> J, </w:t>
      </w:r>
      <w:proofErr w:type="spellStart"/>
      <w:r w:rsidRPr="00A4370D">
        <w:rPr>
          <w:rFonts w:ascii="Arial" w:hAnsi="Arial" w:cs="Arial"/>
          <w:lang w:val="en-IN"/>
        </w:rPr>
        <w:t>Abuaysheh</w:t>
      </w:r>
      <w:proofErr w:type="spellEnd"/>
      <w:r w:rsidRPr="00A4370D">
        <w:rPr>
          <w:rFonts w:ascii="Arial" w:hAnsi="Arial" w:cs="Arial"/>
          <w:lang w:val="en-IN"/>
        </w:rPr>
        <w:t xml:space="preserve"> S, </w:t>
      </w:r>
      <w:proofErr w:type="spellStart"/>
      <w:r w:rsidRPr="00A4370D">
        <w:rPr>
          <w:rFonts w:ascii="Arial" w:hAnsi="Arial" w:cs="Arial"/>
          <w:lang w:val="en-IN"/>
        </w:rPr>
        <w:t>Makdissi</w:t>
      </w:r>
      <w:proofErr w:type="spellEnd"/>
      <w:r w:rsidRPr="00A4370D">
        <w:rPr>
          <w:rFonts w:ascii="Arial" w:hAnsi="Arial" w:cs="Arial"/>
          <w:lang w:val="en-IN"/>
        </w:rPr>
        <w:t xml:space="preserve"> A, et al. Dapagliflozin reduces systolic blood pressure and modulates vasoactive factors. Diabetes </w:t>
      </w:r>
      <w:proofErr w:type="spellStart"/>
      <w:r w:rsidRPr="00A4370D">
        <w:rPr>
          <w:rFonts w:ascii="Arial" w:hAnsi="Arial" w:cs="Arial"/>
          <w:lang w:val="en-IN"/>
        </w:rPr>
        <w:t>Obes</w:t>
      </w:r>
      <w:proofErr w:type="spellEnd"/>
      <w:r w:rsidRPr="00A4370D">
        <w:rPr>
          <w:rFonts w:ascii="Arial" w:hAnsi="Arial" w:cs="Arial"/>
          <w:lang w:val="en-IN"/>
        </w:rPr>
        <w:t xml:space="preserve"> </w:t>
      </w:r>
      <w:proofErr w:type="spellStart"/>
      <w:r w:rsidRPr="00A4370D">
        <w:rPr>
          <w:rFonts w:ascii="Arial" w:hAnsi="Arial" w:cs="Arial"/>
          <w:lang w:val="en-IN"/>
        </w:rPr>
        <w:t>Metab</w:t>
      </w:r>
      <w:proofErr w:type="spellEnd"/>
      <w:r w:rsidRPr="00A4370D">
        <w:rPr>
          <w:rFonts w:ascii="Arial" w:hAnsi="Arial" w:cs="Arial"/>
          <w:lang w:val="en-IN"/>
        </w:rPr>
        <w:t xml:space="preserve">. 2021;23(7):1614-1623. </w:t>
      </w:r>
    </w:p>
    <w:p w14:paraId="6D32A0DA" w14:textId="77777777" w:rsidR="00A4370D" w:rsidRPr="00A4370D" w:rsidRDefault="00A4370D" w:rsidP="00B55917">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Velusamy S, Kumar R S. Safety and efficacy of dapagliflozin versus empagliflozin as add-on therapy in type 2 diabetes mellitus management. Indian J </w:t>
      </w:r>
      <w:proofErr w:type="spellStart"/>
      <w:r w:rsidRPr="00A4370D">
        <w:rPr>
          <w:rFonts w:ascii="Arial" w:hAnsi="Arial" w:cs="Arial"/>
          <w:lang w:val="en-IN"/>
        </w:rPr>
        <w:t>Physiol</w:t>
      </w:r>
      <w:proofErr w:type="spellEnd"/>
      <w:r w:rsidRPr="00A4370D">
        <w:rPr>
          <w:rFonts w:ascii="Arial" w:hAnsi="Arial" w:cs="Arial"/>
          <w:lang w:val="en-IN"/>
        </w:rPr>
        <w:t xml:space="preserve"> </w:t>
      </w:r>
      <w:proofErr w:type="spellStart"/>
      <w:r w:rsidRPr="00A4370D">
        <w:rPr>
          <w:rFonts w:ascii="Arial" w:hAnsi="Arial" w:cs="Arial"/>
          <w:lang w:val="en-IN"/>
        </w:rPr>
        <w:t>Pharmacol</w:t>
      </w:r>
      <w:proofErr w:type="spellEnd"/>
      <w:r w:rsidRPr="00A4370D">
        <w:rPr>
          <w:rFonts w:ascii="Arial" w:hAnsi="Arial" w:cs="Arial"/>
          <w:lang w:val="en-IN"/>
        </w:rPr>
        <w:t>. 2025;69(2):136-141.</w:t>
      </w:r>
    </w:p>
    <w:p w14:paraId="4A51C9D3" w14:textId="77777777" w:rsidR="00A4370D" w:rsidRPr="00A4370D" w:rsidRDefault="00A4370D" w:rsidP="00B55917">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Sjöström CD, Johansson P, </w:t>
      </w:r>
      <w:proofErr w:type="spellStart"/>
      <w:r w:rsidRPr="00A4370D">
        <w:rPr>
          <w:rFonts w:ascii="Arial" w:hAnsi="Arial" w:cs="Arial"/>
          <w:lang w:val="en-IN"/>
        </w:rPr>
        <w:t>Ptaszynska</w:t>
      </w:r>
      <w:proofErr w:type="spellEnd"/>
      <w:r w:rsidRPr="00A4370D">
        <w:rPr>
          <w:rFonts w:ascii="Arial" w:hAnsi="Arial" w:cs="Arial"/>
          <w:lang w:val="en-IN"/>
        </w:rPr>
        <w:t xml:space="preserve"> A, List J, Johnsson E. Dapagliflozin lowers blood pressure in hypertensive and non-hypertensive patients with type 2 diabetes. Diab </w:t>
      </w:r>
      <w:proofErr w:type="spellStart"/>
      <w:r w:rsidRPr="00A4370D">
        <w:rPr>
          <w:rFonts w:ascii="Arial" w:hAnsi="Arial" w:cs="Arial"/>
          <w:lang w:val="en-IN"/>
        </w:rPr>
        <w:t>Vasc</w:t>
      </w:r>
      <w:proofErr w:type="spellEnd"/>
      <w:r w:rsidRPr="00A4370D">
        <w:rPr>
          <w:rFonts w:ascii="Arial" w:hAnsi="Arial" w:cs="Arial"/>
          <w:lang w:val="en-IN"/>
        </w:rPr>
        <w:t xml:space="preserve"> Dis Res. 2015;12(5):352-8. </w:t>
      </w:r>
    </w:p>
    <w:p w14:paraId="3EB87C98" w14:textId="77777777" w:rsidR="00A4370D" w:rsidRPr="00A4370D" w:rsidRDefault="00A4370D" w:rsidP="00B55917">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Das US, Paul A, Banerjee S. SGLT2 inhibitors in heart failure with reduced ejection fraction. Egypt Heart J. 2021;73(1):93. </w:t>
      </w:r>
    </w:p>
    <w:p w14:paraId="46909DFF" w14:textId="77777777" w:rsidR="00A4370D" w:rsidRDefault="00A4370D" w:rsidP="00B55917">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Shao SC, Chang KC, Lin SJ, Chien RN, Hung MJ, Chan YY, et al. </w:t>
      </w:r>
      <w:proofErr w:type="spellStart"/>
      <w:r w:rsidRPr="00A4370D">
        <w:rPr>
          <w:rFonts w:ascii="Arial" w:hAnsi="Arial" w:cs="Arial"/>
          <w:lang w:val="en-IN"/>
        </w:rPr>
        <w:t>Favorable</w:t>
      </w:r>
      <w:proofErr w:type="spellEnd"/>
      <w:r w:rsidRPr="00A4370D">
        <w:rPr>
          <w:rFonts w:ascii="Arial" w:hAnsi="Arial" w:cs="Arial"/>
          <w:lang w:val="en-IN"/>
        </w:rPr>
        <w:t xml:space="preserve"> pleiotropic effects of sodium glucose cotransporter 2 inhibitors: head-to-head comparisons with dipeptidyl peptidase-4 inhibitors in type 2 diabetes patients. Cardiovasc </w:t>
      </w:r>
      <w:proofErr w:type="spellStart"/>
      <w:r w:rsidRPr="00A4370D">
        <w:rPr>
          <w:rFonts w:ascii="Arial" w:hAnsi="Arial" w:cs="Arial"/>
          <w:lang w:val="en-IN"/>
        </w:rPr>
        <w:t>Diabetol</w:t>
      </w:r>
      <w:proofErr w:type="spellEnd"/>
      <w:r w:rsidRPr="00A4370D">
        <w:rPr>
          <w:rFonts w:ascii="Arial" w:hAnsi="Arial" w:cs="Arial"/>
          <w:lang w:val="en-IN"/>
        </w:rPr>
        <w:t xml:space="preserve">. 2020;19(1):17. </w:t>
      </w:r>
    </w:p>
    <w:p w14:paraId="74BE6B3A" w14:textId="53D07907" w:rsidR="00EB23FB" w:rsidRPr="00EB23FB" w:rsidRDefault="00EB23FB" w:rsidP="00B55917">
      <w:pPr>
        <w:numPr>
          <w:ilvl w:val="0"/>
          <w:numId w:val="31"/>
        </w:numPr>
        <w:tabs>
          <w:tab w:val="left" w:pos="4035"/>
        </w:tabs>
        <w:spacing w:line="324" w:lineRule="auto"/>
        <w:ind w:right="80"/>
        <w:jc w:val="both"/>
        <w:rPr>
          <w:rFonts w:ascii="Arial" w:hAnsi="Arial" w:cs="Arial"/>
          <w:highlight w:val="yellow"/>
          <w:lang w:val="en-IN"/>
        </w:rPr>
      </w:pPr>
      <w:r w:rsidRPr="00EB23FB">
        <w:rPr>
          <w:rFonts w:ascii="Arial" w:hAnsi="Arial" w:cs="Arial"/>
          <w:highlight w:val="yellow"/>
        </w:rPr>
        <w:t xml:space="preserve">Selvaraj H, Dawn VJ, Dhanasekaran M. Positive Renal Outcomes Associated with Dapagliflozin Treatment in Hospitalized Patients with Type-2-Diabetes Mellitus: An Observational Clinical Study in a Pragmatic Hospital Setting. SN </w:t>
      </w:r>
      <w:proofErr w:type="spellStart"/>
      <w:r w:rsidRPr="00EB23FB">
        <w:rPr>
          <w:rFonts w:ascii="Arial" w:hAnsi="Arial" w:cs="Arial"/>
          <w:highlight w:val="yellow"/>
        </w:rPr>
        <w:t>Compr</w:t>
      </w:r>
      <w:proofErr w:type="spellEnd"/>
      <w:r w:rsidRPr="00EB23FB">
        <w:rPr>
          <w:rFonts w:ascii="Arial" w:hAnsi="Arial" w:cs="Arial"/>
          <w:highlight w:val="yellow"/>
        </w:rPr>
        <w:t xml:space="preserve"> Clin Med. </w:t>
      </w:r>
      <w:proofErr w:type="gramStart"/>
      <w:r w:rsidRPr="00EB23FB">
        <w:rPr>
          <w:rFonts w:ascii="Arial" w:hAnsi="Arial" w:cs="Arial"/>
          <w:highlight w:val="yellow"/>
        </w:rPr>
        <w:t>2026;8:150</w:t>
      </w:r>
      <w:proofErr w:type="gramEnd"/>
      <w:r w:rsidRPr="00EB23FB">
        <w:rPr>
          <w:rFonts w:ascii="Arial" w:hAnsi="Arial" w:cs="Arial"/>
          <w:highlight w:val="yellow"/>
        </w:rPr>
        <w:t>.</w:t>
      </w:r>
    </w:p>
    <w:p w14:paraId="350A241E" w14:textId="77777777" w:rsidR="00A4370D" w:rsidRPr="00A4370D" w:rsidRDefault="00A4370D" w:rsidP="00B55917">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lastRenderedPageBreak/>
        <w:t xml:space="preserve">Jaishankar K, Garg R, Kulkarni A, Christopher J, R </w:t>
      </w:r>
      <w:proofErr w:type="spellStart"/>
      <w:r w:rsidRPr="00A4370D">
        <w:rPr>
          <w:rFonts w:ascii="Arial" w:hAnsi="Arial" w:cs="Arial"/>
          <w:lang w:val="en-IN"/>
        </w:rPr>
        <w:t>R</w:t>
      </w:r>
      <w:proofErr w:type="spellEnd"/>
      <w:r w:rsidRPr="00A4370D">
        <w:rPr>
          <w:rFonts w:ascii="Arial" w:hAnsi="Arial" w:cs="Arial"/>
          <w:lang w:val="en-IN"/>
        </w:rPr>
        <w:t>, Jain P, et al. Optimizing Cardiovascular Outcomes in Type 2 Diabetes: Early Initiation of Dapagliflozin and Sitagliptin From a Cardiologist's Perspective. Cureus. 2025;17(4</w:t>
      </w:r>
      <w:proofErr w:type="gramStart"/>
      <w:r w:rsidRPr="00A4370D">
        <w:rPr>
          <w:rFonts w:ascii="Arial" w:hAnsi="Arial" w:cs="Arial"/>
          <w:lang w:val="en-IN"/>
        </w:rPr>
        <w:t>):e</w:t>
      </w:r>
      <w:proofErr w:type="gramEnd"/>
      <w:r w:rsidRPr="00A4370D">
        <w:rPr>
          <w:rFonts w:ascii="Arial" w:hAnsi="Arial" w:cs="Arial"/>
          <w:lang w:val="en-IN"/>
        </w:rPr>
        <w:t xml:space="preserve">81858. </w:t>
      </w:r>
    </w:p>
    <w:p w14:paraId="61185CA0" w14:textId="77777777" w:rsidR="00A4370D" w:rsidRPr="00A4370D" w:rsidRDefault="00A4370D" w:rsidP="00B55917">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Bhattacharjee R, Rai M, Joshi P, Prasad A, Birla A. The Real DAPSI: A Real-World Retrospective Study on Assessing the Efficacy and Safety of a Fixed-Dose Combination of Dapagliflozin and Sitagliptin in the Indian Population. Cureus. 2023;15(10</w:t>
      </w:r>
      <w:proofErr w:type="gramStart"/>
      <w:r w:rsidRPr="00A4370D">
        <w:rPr>
          <w:rFonts w:ascii="Arial" w:hAnsi="Arial" w:cs="Arial"/>
          <w:lang w:val="en-IN"/>
        </w:rPr>
        <w:t>):e</w:t>
      </w:r>
      <w:proofErr w:type="gramEnd"/>
      <w:r w:rsidRPr="00A4370D">
        <w:rPr>
          <w:rFonts w:ascii="Arial" w:hAnsi="Arial" w:cs="Arial"/>
          <w:lang w:val="en-IN"/>
        </w:rPr>
        <w:t xml:space="preserve">46767. </w:t>
      </w:r>
    </w:p>
    <w:p w14:paraId="7EA65C22" w14:textId="77777777" w:rsidR="00A4370D" w:rsidRPr="00A4370D" w:rsidRDefault="00A4370D" w:rsidP="00B55917">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Jain A, </w:t>
      </w:r>
      <w:proofErr w:type="spellStart"/>
      <w:r w:rsidRPr="00A4370D">
        <w:rPr>
          <w:rFonts w:ascii="Arial" w:hAnsi="Arial" w:cs="Arial"/>
          <w:lang w:val="en-IN"/>
        </w:rPr>
        <w:t>Vispute</w:t>
      </w:r>
      <w:proofErr w:type="spellEnd"/>
      <w:r w:rsidRPr="00A4370D">
        <w:rPr>
          <w:rFonts w:ascii="Arial" w:hAnsi="Arial" w:cs="Arial"/>
          <w:lang w:val="en-IN"/>
        </w:rPr>
        <w:t xml:space="preserve"> A, </w:t>
      </w:r>
      <w:proofErr w:type="spellStart"/>
      <w:r w:rsidRPr="00A4370D">
        <w:rPr>
          <w:rFonts w:ascii="Arial" w:hAnsi="Arial" w:cs="Arial"/>
          <w:lang w:val="en-IN"/>
        </w:rPr>
        <w:t>Dange</w:t>
      </w:r>
      <w:proofErr w:type="spellEnd"/>
      <w:r w:rsidRPr="00A4370D">
        <w:rPr>
          <w:rFonts w:ascii="Arial" w:hAnsi="Arial" w:cs="Arial"/>
          <w:lang w:val="en-IN"/>
        </w:rPr>
        <w:t xml:space="preserve"> A, Naskar A, Mondal A, Vivekanand B, et al. A Randomized, Double-Blind, Parallel-Group Phase III Trial Investigating the Glycemic Efficacy and Safety Profile of Fixed-Dose Combination Dapagliflozin and Linagliptin Over Linagliptin Monotherapy in Patients with Inadequately Controlled Type 2 Diabetes with Metformin. Diabetes Ther. 2024;15(1):215-227. </w:t>
      </w:r>
    </w:p>
    <w:p w14:paraId="0E03B95B" w14:textId="4F2987C6" w:rsidR="00CF4008" w:rsidRPr="00193629" w:rsidRDefault="00A4370D" w:rsidP="00B55917">
      <w:pPr>
        <w:numPr>
          <w:ilvl w:val="0"/>
          <w:numId w:val="31"/>
        </w:numPr>
        <w:tabs>
          <w:tab w:val="left" w:pos="4035"/>
        </w:tabs>
        <w:spacing w:line="324" w:lineRule="auto"/>
        <w:ind w:right="80"/>
        <w:jc w:val="both"/>
        <w:rPr>
          <w:rFonts w:ascii="Arial" w:hAnsi="Arial" w:cs="Arial"/>
        </w:rPr>
      </w:pPr>
      <w:r w:rsidRPr="00A4370D">
        <w:rPr>
          <w:rFonts w:ascii="Arial" w:hAnsi="Arial" w:cs="Arial"/>
          <w:lang w:val="en-IN"/>
        </w:rPr>
        <w:t xml:space="preserve">Hong JH, Kim MJ, Min KW, Won JC, Kim TN, Lee BW, et al. Efficacy and safety of a fixed-dose combination of dapagliflozin and linagliptin (AJU-A51) in patients with type 2 diabetes mellitus: A multicentre, randomized, double-blind, parallel-group, placebo-controlled phase III study. Diabetes </w:t>
      </w:r>
      <w:proofErr w:type="spellStart"/>
      <w:r w:rsidRPr="00A4370D">
        <w:rPr>
          <w:rFonts w:ascii="Arial" w:hAnsi="Arial" w:cs="Arial"/>
          <w:lang w:val="en-IN"/>
        </w:rPr>
        <w:t>Obes</w:t>
      </w:r>
      <w:proofErr w:type="spellEnd"/>
      <w:r w:rsidRPr="00A4370D">
        <w:rPr>
          <w:rFonts w:ascii="Arial" w:hAnsi="Arial" w:cs="Arial"/>
          <w:lang w:val="en-IN"/>
        </w:rPr>
        <w:t xml:space="preserve"> </w:t>
      </w:r>
      <w:proofErr w:type="spellStart"/>
      <w:r w:rsidRPr="00A4370D">
        <w:rPr>
          <w:rFonts w:ascii="Arial" w:hAnsi="Arial" w:cs="Arial"/>
          <w:lang w:val="en-IN"/>
        </w:rPr>
        <w:t>Metab</w:t>
      </w:r>
      <w:proofErr w:type="spellEnd"/>
      <w:r w:rsidRPr="00A4370D">
        <w:rPr>
          <w:rFonts w:ascii="Arial" w:hAnsi="Arial" w:cs="Arial"/>
          <w:lang w:val="en-IN"/>
        </w:rPr>
        <w:t xml:space="preserve">. 2025;27(1):81-91. </w:t>
      </w:r>
    </w:p>
    <w:sectPr w:rsidR="00CF4008" w:rsidRPr="00193629" w:rsidSect="007B078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D738E" w14:textId="77777777" w:rsidR="007D67BA" w:rsidRDefault="007D67BA" w:rsidP="00C37E61">
      <w:r>
        <w:separator/>
      </w:r>
    </w:p>
  </w:endnote>
  <w:endnote w:type="continuationSeparator" w:id="0">
    <w:p w14:paraId="356CB082" w14:textId="77777777" w:rsidR="007D67BA" w:rsidRDefault="007D67B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F262A" w14:textId="77777777" w:rsidR="007B0787" w:rsidRDefault="007B0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29AB6" w14:textId="77777777" w:rsidR="007B0787" w:rsidRDefault="007B0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C1EEA" w14:textId="77777777" w:rsidR="009E048A" w:rsidRDefault="009E048A">
    <w:pPr>
      <w:pStyle w:val="Footer"/>
      <w:rPr>
        <w:rFonts w:ascii="Arial" w:hAnsi="Arial" w:cs="Arial"/>
        <w:sz w:val="16"/>
      </w:rPr>
    </w:pPr>
  </w:p>
  <w:p w14:paraId="1B6AD50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C7BDF42" w14:textId="77777777" w:rsidR="009E048A" w:rsidRDefault="009E048A">
    <w:pPr>
      <w:pStyle w:val="Footer"/>
      <w:rPr>
        <w:rFonts w:ascii="Arial" w:hAnsi="Arial" w:cs="Arial"/>
        <w:sz w:val="16"/>
      </w:rPr>
    </w:pPr>
  </w:p>
  <w:p w14:paraId="6730E62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47200" w14:textId="77777777" w:rsidR="007D67BA" w:rsidRDefault="007D67BA" w:rsidP="00C37E61">
      <w:r>
        <w:separator/>
      </w:r>
    </w:p>
  </w:footnote>
  <w:footnote w:type="continuationSeparator" w:id="0">
    <w:p w14:paraId="36B3248C" w14:textId="77777777" w:rsidR="007D67BA" w:rsidRDefault="007D67B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E1900" w14:textId="60E6FC63" w:rsidR="007B0787" w:rsidRDefault="006C767B">
    <w:pPr>
      <w:pStyle w:val="Header"/>
    </w:pPr>
    <w:r>
      <w:rPr>
        <w:noProof/>
      </w:rPr>
      <w:pict w14:anchorId="390070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1954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A2491" w14:textId="7D1C8B00" w:rsidR="007B0787" w:rsidRDefault="006C767B">
    <w:pPr>
      <w:pStyle w:val="Header"/>
    </w:pPr>
    <w:r>
      <w:rPr>
        <w:noProof/>
      </w:rPr>
      <w:pict w14:anchorId="769CEC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1954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2D354" w14:textId="19953A66" w:rsidR="00296529" w:rsidRPr="00296529" w:rsidRDefault="006C767B" w:rsidP="00296529">
    <w:pPr>
      <w:ind w:left="2160"/>
      <w:jc w:val="center"/>
      <w:rPr>
        <w:rFonts w:ascii="Times New Roman" w:eastAsia="Calibri" w:hAnsi="Times New Roman"/>
        <w:i/>
        <w:sz w:val="18"/>
        <w:szCs w:val="22"/>
      </w:rPr>
    </w:pPr>
    <w:r>
      <w:rPr>
        <w:noProof/>
      </w:rPr>
      <w:pict w14:anchorId="6A4FF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1954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82208E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CBC08B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A63D6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88F513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D2C9ED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3D6D72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F270B2"/>
    <w:multiLevelType w:val="hybridMultilevel"/>
    <w:tmpl w:val="76D8BDEA"/>
    <w:lvl w:ilvl="0" w:tplc="35BE1A22">
      <w:start w:val="1"/>
      <w:numFmt w:val="decimal"/>
      <w:lvlText w:val="%1."/>
      <w:lvlJc w:val="left"/>
      <w:pPr>
        <w:ind w:left="720" w:hanging="360"/>
      </w:pPr>
    </w:lvl>
    <w:lvl w:ilvl="1" w:tplc="E68AFE8E">
      <w:start w:val="1"/>
      <w:numFmt w:val="lowerLetter"/>
      <w:lvlText w:val="%2."/>
      <w:lvlJc w:val="left"/>
      <w:pPr>
        <w:ind w:left="1440" w:hanging="360"/>
      </w:pPr>
    </w:lvl>
    <w:lvl w:ilvl="2" w:tplc="3EBE6E20">
      <w:start w:val="1"/>
      <w:numFmt w:val="lowerRoman"/>
      <w:lvlText w:val="%3."/>
      <w:lvlJc w:val="right"/>
      <w:pPr>
        <w:ind w:left="2160" w:hanging="180"/>
      </w:pPr>
    </w:lvl>
    <w:lvl w:ilvl="3" w:tplc="5224C28A">
      <w:start w:val="1"/>
      <w:numFmt w:val="decimal"/>
      <w:lvlText w:val="%4."/>
      <w:lvlJc w:val="left"/>
      <w:pPr>
        <w:ind w:left="2880" w:hanging="360"/>
      </w:pPr>
    </w:lvl>
    <w:lvl w:ilvl="4" w:tplc="E02C917C">
      <w:start w:val="1"/>
      <w:numFmt w:val="lowerLetter"/>
      <w:lvlText w:val="%5."/>
      <w:lvlJc w:val="left"/>
      <w:pPr>
        <w:ind w:left="3600" w:hanging="360"/>
      </w:pPr>
    </w:lvl>
    <w:lvl w:ilvl="5" w:tplc="EB0A700A">
      <w:start w:val="1"/>
      <w:numFmt w:val="lowerRoman"/>
      <w:lvlText w:val="%6."/>
      <w:lvlJc w:val="right"/>
      <w:pPr>
        <w:ind w:left="4320" w:hanging="180"/>
      </w:pPr>
    </w:lvl>
    <w:lvl w:ilvl="6" w:tplc="9198FA72">
      <w:start w:val="1"/>
      <w:numFmt w:val="decimal"/>
      <w:lvlText w:val="%7."/>
      <w:lvlJc w:val="left"/>
      <w:pPr>
        <w:ind w:left="5040" w:hanging="360"/>
      </w:pPr>
    </w:lvl>
    <w:lvl w:ilvl="7" w:tplc="6FCE9454">
      <w:start w:val="1"/>
      <w:numFmt w:val="lowerLetter"/>
      <w:lvlText w:val="%8."/>
      <w:lvlJc w:val="left"/>
      <w:pPr>
        <w:ind w:left="5760" w:hanging="360"/>
      </w:pPr>
    </w:lvl>
    <w:lvl w:ilvl="8" w:tplc="004EF93A">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EE282F"/>
    <w:multiLevelType w:val="multilevel"/>
    <w:tmpl w:val="A2C263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98D365"/>
    <w:multiLevelType w:val="hybridMultilevel"/>
    <w:tmpl w:val="0986DE18"/>
    <w:lvl w:ilvl="0" w:tplc="F5AECED8">
      <w:start w:val="1"/>
      <w:numFmt w:val="decimal"/>
      <w:lvlText w:val="%1."/>
      <w:lvlJc w:val="left"/>
      <w:pPr>
        <w:ind w:left="720" w:hanging="360"/>
      </w:pPr>
    </w:lvl>
    <w:lvl w:ilvl="1" w:tplc="B8AC4D26">
      <w:start w:val="1"/>
      <w:numFmt w:val="lowerLetter"/>
      <w:lvlText w:val="%2."/>
      <w:lvlJc w:val="left"/>
      <w:pPr>
        <w:ind w:left="1440" w:hanging="360"/>
      </w:pPr>
    </w:lvl>
    <w:lvl w:ilvl="2" w:tplc="374000CC">
      <w:start w:val="1"/>
      <w:numFmt w:val="lowerRoman"/>
      <w:lvlText w:val="%3."/>
      <w:lvlJc w:val="right"/>
      <w:pPr>
        <w:ind w:left="2160" w:hanging="180"/>
      </w:pPr>
    </w:lvl>
    <w:lvl w:ilvl="3" w:tplc="E658404E">
      <w:start w:val="1"/>
      <w:numFmt w:val="decimal"/>
      <w:lvlText w:val="%4."/>
      <w:lvlJc w:val="left"/>
      <w:pPr>
        <w:ind w:left="2880" w:hanging="360"/>
      </w:pPr>
    </w:lvl>
    <w:lvl w:ilvl="4" w:tplc="85188B66">
      <w:start w:val="1"/>
      <w:numFmt w:val="lowerLetter"/>
      <w:lvlText w:val="%5."/>
      <w:lvlJc w:val="left"/>
      <w:pPr>
        <w:ind w:left="3600" w:hanging="360"/>
      </w:pPr>
    </w:lvl>
    <w:lvl w:ilvl="5" w:tplc="609E2890">
      <w:start w:val="1"/>
      <w:numFmt w:val="lowerRoman"/>
      <w:lvlText w:val="%6."/>
      <w:lvlJc w:val="right"/>
      <w:pPr>
        <w:ind w:left="4320" w:hanging="180"/>
      </w:pPr>
    </w:lvl>
    <w:lvl w:ilvl="6" w:tplc="8202F1E4">
      <w:start w:val="1"/>
      <w:numFmt w:val="decimal"/>
      <w:lvlText w:val="%7."/>
      <w:lvlJc w:val="left"/>
      <w:pPr>
        <w:ind w:left="5040" w:hanging="360"/>
      </w:pPr>
    </w:lvl>
    <w:lvl w:ilvl="7" w:tplc="59C4187A">
      <w:start w:val="1"/>
      <w:numFmt w:val="lowerLetter"/>
      <w:lvlText w:val="%8."/>
      <w:lvlJc w:val="left"/>
      <w:pPr>
        <w:ind w:left="5760" w:hanging="360"/>
      </w:pPr>
    </w:lvl>
    <w:lvl w:ilvl="8" w:tplc="42C85EA6">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7"/>
  </w:num>
  <w:num w:numId="32">
    <w:abstractNumId w:val="1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YwtbA0tDSxMLIwMrNQ0lEKTi0uzszPAykwrAUAEuLNBiwAAAA="/>
  </w:docVars>
  <w:rsids>
    <w:rsidRoot w:val="00AA6219"/>
    <w:rsid w:val="00000F8F"/>
    <w:rsid w:val="000023C9"/>
    <w:rsid w:val="00013C2C"/>
    <w:rsid w:val="00030174"/>
    <w:rsid w:val="00032F83"/>
    <w:rsid w:val="00036DDF"/>
    <w:rsid w:val="0004579C"/>
    <w:rsid w:val="000505D0"/>
    <w:rsid w:val="00050660"/>
    <w:rsid w:val="000772CA"/>
    <w:rsid w:val="000825BB"/>
    <w:rsid w:val="000A117B"/>
    <w:rsid w:val="000A47FA"/>
    <w:rsid w:val="000A51B7"/>
    <w:rsid w:val="000A65D3"/>
    <w:rsid w:val="000B1E33"/>
    <w:rsid w:val="000C2B07"/>
    <w:rsid w:val="000D689F"/>
    <w:rsid w:val="000E7B7B"/>
    <w:rsid w:val="000E7D62"/>
    <w:rsid w:val="000F1414"/>
    <w:rsid w:val="000F509C"/>
    <w:rsid w:val="00100B94"/>
    <w:rsid w:val="00103357"/>
    <w:rsid w:val="001139E2"/>
    <w:rsid w:val="00123C9F"/>
    <w:rsid w:val="00126190"/>
    <w:rsid w:val="00130F17"/>
    <w:rsid w:val="001320BF"/>
    <w:rsid w:val="00163BC4"/>
    <w:rsid w:val="00191062"/>
    <w:rsid w:val="00192216"/>
    <w:rsid w:val="00192B72"/>
    <w:rsid w:val="00193629"/>
    <w:rsid w:val="0019756E"/>
    <w:rsid w:val="001A29D8"/>
    <w:rsid w:val="001A3CF6"/>
    <w:rsid w:val="001A5CAA"/>
    <w:rsid w:val="001B0427"/>
    <w:rsid w:val="001B3E8F"/>
    <w:rsid w:val="001D02C2"/>
    <w:rsid w:val="001D2EA1"/>
    <w:rsid w:val="001D3A51"/>
    <w:rsid w:val="001D3A64"/>
    <w:rsid w:val="001D6987"/>
    <w:rsid w:val="001E10D2"/>
    <w:rsid w:val="001E25B4"/>
    <w:rsid w:val="001E44FE"/>
    <w:rsid w:val="001E6CCE"/>
    <w:rsid w:val="001F30BC"/>
    <w:rsid w:val="001F332D"/>
    <w:rsid w:val="001F4214"/>
    <w:rsid w:val="001F6421"/>
    <w:rsid w:val="001F64CE"/>
    <w:rsid w:val="00200595"/>
    <w:rsid w:val="00204489"/>
    <w:rsid w:val="00204835"/>
    <w:rsid w:val="0021513F"/>
    <w:rsid w:val="002206C8"/>
    <w:rsid w:val="00231920"/>
    <w:rsid w:val="0023195C"/>
    <w:rsid w:val="002326E6"/>
    <w:rsid w:val="002400EB"/>
    <w:rsid w:val="0024282C"/>
    <w:rsid w:val="002460DC"/>
    <w:rsid w:val="00250985"/>
    <w:rsid w:val="002556F6"/>
    <w:rsid w:val="00257A90"/>
    <w:rsid w:val="00283105"/>
    <w:rsid w:val="00283A48"/>
    <w:rsid w:val="00284C4C"/>
    <w:rsid w:val="0028742F"/>
    <w:rsid w:val="00296529"/>
    <w:rsid w:val="002B27FB"/>
    <w:rsid w:val="002B685A"/>
    <w:rsid w:val="002C57D2"/>
    <w:rsid w:val="002D6518"/>
    <w:rsid w:val="002E0D56"/>
    <w:rsid w:val="002F1568"/>
    <w:rsid w:val="002F4609"/>
    <w:rsid w:val="00315186"/>
    <w:rsid w:val="003235AC"/>
    <w:rsid w:val="00326C02"/>
    <w:rsid w:val="0033343E"/>
    <w:rsid w:val="00337284"/>
    <w:rsid w:val="003512C2"/>
    <w:rsid w:val="00360A0E"/>
    <w:rsid w:val="003612DF"/>
    <w:rsid w:val="00371FB6"/>
    <w:rsid w:val="003763C1"/>
    <w:rsid w:val="00376BBE"/>
    <w:rsid w:val="00392004"/>
    <w:rsid w:val="0039224F"/>
    <w:rsid w:val="003A29C9"/>
    <w:rsid w:val="003A43A4"/>
    <w:rsid w:val="003A7E18"/>
    <w:rsid w:val="003C4C86"/>
    <w:rsid w:val="003C6258"/>
    <w:rsid w:val="003D0363"/>
    <w:rsid w:val="003E0542"/>
    <w:rsid w:val="003E2904"/>
    <w:rsid w:val="003E5CED"/>
    <w:rsid w:val="003F71EF"/>
    <w:rsid w:val="00401927"/>
    <w:rsid w:val="0041027F"/>
    <w:rsid w:val="00412475"/>
    <w:rsid w:val="00413694"/>
    <w:rsid w:val="004142CF"/>
    <w:rsid w:val="00415BF1"/>
    <w:rsid w:val="00423789"/>
    <w:rsid w:val="004260DA"/>
    <w:rsid w:val="004408A6"/>
    <w:rsid w:val="00440F43"/>
    <w:rsid w:val="00441B6F"/>
    <w:rsid w:val="00446221"/>
    <w:rsid w:val="00450E62"/>
    <w:rsid w:val="004539DB"/>
    <w:rsid w:val="00455C18"/>
    <w:rsid w:val="00471A80"/>
    <w:rsid w:val="00477389"/>
    <w:rsid w:val="004B0365"/>
    <w:rsid w:val="004B4BBD"/>
    <w:rsid w:val="004C3B8D"/>
    <w:rsid w:val="004D305E"/>
    <w:rsid w:val="004D4277"/>
    <w:rsid w:val="004E6B2D"/>
    <w:rsid w:val="004F2613"/>
    <w:rsid w:val="00502516"/>
    <w:rsid w:val="00505F06"/>
    <w:rsid w:val="00506828"/>
    <w:rsid w:val="005208D2"/>
    <w:rsid w:val="0053056E"/>
    <w:rsid w:val="005321B2"/>
    <w:rsid w:val="00535DFF"/>
    <w:rsid w:val="00554FDA"/>
    <w:rsid w:val="00592C36"/>
    <w:rsid w:val="005A080D"/>
    <w:rsid w:val="005C784C"/>
    <w:rsid w:val="005D17F6"/>
    <w:rsid w:val="005E3A42"/>
    <w:rsid w:val="005E5539"/>
    <w:rsid w:val="00602BF5"/>
    <w:rsid w:val="00617892"/>
    <w:rsid w:val="00617FDD"/>
    <w:rsid w:val="00633614"/>
    <w:rsid w:val="00633F68"/>
    <w:rsid w:val="00636EB2"/>
    <w:rsid w:val="006375B8"/>
    <w:rsid w:val="00637DC5"/>
    <w:rsid w:val="00640310"/>
    <w:rsid w:val="0066510A"/>
    <w:rsid w:val="00673F9F"/>
    <w:rsid w:val="0068550C"/>
    <w:rsid w:val="00686953"/>
    <w:rsid w:val="00687DEA"/>
    <w:rsid w:val="00687E67"/>
    <w:rsid w:val="00692461"/>
    <w:rsid w:val="006967F7"/>
    <w:rsid w:val="006A00B8"/>
    <w:rsid w:val="006A250C"/>
    <w:rsid w:val="006B21D3"/>
    <w:rsid w:val="006B57D0"/>
    <w:rsid w:val="006C395A"/>
    <w:rsid w:val="006C767B"/>
    <w:rsid w:val="006D30FF"/>
    <w:rsid w:val="006D6940"/>
    <w:rsid w:val="006F11EC"/>
    <w:rsid w:val="0070082C"/>
    <w:rsid w:val="00702FE1"/>
    <w:rsid w:val="0070534B"/>
    <w:rsid w:val="0072429A"/>
    <w:rsid w:val="007307FA"/>
    <w:rsid w:val="00733B63"/>
    <w:rsid w:val="0073577B"/>
    <w:rsid w:val="007369E6"/>
    <w:rsid w:val="00736E5B"/>
    <w:rsid w:val="00746E59"/>
    <w:rsid w:val="00747AC9"/>
    <w:rsid w:val="00754C9A"/>
    <w:rsid w:val="0075599A"/>
    <w:rsid w:val="00761D52"/>
    <w:rsid w:val="0077749E"/>
    <w:rsid w:val="00790ADA"/>
    <w:rsid w:val="00795DCE"/>
    <w:rsid w:val="007B0787"/>
    <w:rsid w:val="007C3ECF"/>
    <w:rsid w:val="007C70B7"/>
    <w:rsid w:val="007D2288"/>
    <w:rsid w:val="007D67BA"/>
    <w:rsid w:val="007E088F"/>
    <w:rsid w:val="007F58E4"/>
    <w:rsid w:val="007F7B32"/>
    <w:rsid w:val="008025B4"/>
    <w:rsid w:val="00804BC2"/>
    <w:rsid w:val="0081431A"/>
    <w:rsid w:val="00817F59"/>
    <w:rsid w:val="0083216F"/>
    <w:rsid w:val="0083766E"/>
    <w:rsid w:val="00844BC9"/>
    <w:rsid w:val="008457ED"/>
    <w:rsid w:val="00860000"/>
    <w:rsid w:val="0086003A"/>
    <w:rsid w:val="0086061F"/>
    <w:rsid w:val="00863BD3"/>
    <w:rsid w:val="00866D66"/>
    <w:rsid w:val="008671C6"/>
    <w:rsid w:val="008707BB"/>
    <w:rsid w:val="00871B4D"/>
    <w:rsid w:val="00875803"/>
    <w:rsid w:val="00887898"/>
    <w:rsid w:val="008B459E"/>
    <w:rsid w:val="008E056C"/>
    <w:rsid w:val="008E13AE"/>
    <w:rsid w:val="008E1506"/>
    <w:rsid w:val="008E710C"/>
    <w:rsid w:val="008F250C"/>
    <w:rsid w:val="008F4CB0"/>
    <w:rsid w:val="008F69D6"/>
    <w:rsid w:val="00902823"/>
    <w:rsid w:val="009068E0"/>
    <w:rsid w:val="00915CA6"/>
    <w:rsid w:val="00927834"/>
    <w:rsid w:val="009340FE"/>
    <w:rsid w:val="00936CA3"/>
    <w:rsid w:val="00945077"/>
    <w:rsid w:val="009500A6"/>
    <w:rsid w:val="00957C18"/>
    <w:rsid w:val="009659BA"/>
    <w:rsid w:val="00983040"/>
    <w:rsid w:val="009A1C50"/>
    <w:rsid w:val="009A1C87"/>
    <w:rsid w:val="009B0180"/>
    <w:rsid w:val="009B3FB9"/>
    <w:rsid w:val="009C2465"/>
    <w:rsid w:val="009C69DD"/>
    <w:rsid w:val="009D35A0"/>
    <w:rsid w:val="009D7EB7"/>
    <w:rsid w:val="009E048A"/>
    <w:rsid w:val="009E08E9"/>
    <w:rsid w:val="009E2D40"/>
    <w:rsid w:val="009E3DB9"/>
    <w:rsid w:val="009E6E35"/>
    <w:rsid w:val="009F0EDA"/>
    <w:rsid w:val="009F468F"/>
    <w:rsid w:val="00A02962"/>
    <w:rsid w:val="00A03B96"/>
    <w:rsid w:val="00A05B19"/>
    <w:rsid w:val="00A1134E"/>
    <w:rsid w:val="00A14FDC"/>
    <w:rsid w:val="00A242B0"/>
    <w:rsid w:val="00A24E7E"/>
    <w:rsid w:val="00A258C3"/>
    <w:rsid w:val="00A347C0"/>
    <w:rsid w:val="00A41B41"/>
    <w:rsid w:val="00A4370D"/>
    <w:rsid w:val="00A51431"/>
    <w:rsid w:val="00A539AD"/>
    <w:rsid w:val="00A54E42"/>
    <w:rsid w:val="00A5519B"/>
    <w:rsid w:val="00A758FC"/>
    <w:rsid w:val="00A81B1D"/>
    <w:rsid w:val="00A94063"/>
    <w:rsid w:val="00A968EF"/>
    <w:rsid w:val="00AA6219"/>
    <w:rsid w:val="00AA74E0"/>
    <w:rsid w:val="00AB04ED"/>
    <w:rsid w:val="00AB703F"/>
    <w:rsid w:val="00AC496C"/>
    <w:rsid w:val="00AC6BB8"/>
    <w:rsid w:val="00AD1AC6"/>
    <w:rsid w:val="00AD3CBE"/>
    <w:rsid w:val="00AE008F"/>
    <w:rsid w:val="00AF4634"/>
    <w:rsid w:val="00B01FCD"/>
    <w:rsid w:val="00B1776C"/>
    <w:rsid w:val="00B37379"/>
    <w:rsid w:val="00B405B9"/>
    <w:rsid w:val="00B414DB"/>
    <w:rsid w:val="00B46933"/>
    <w:rsid w:val="00B52896"/>
    <w:rsid w:val="00B52E8B"/>
    <w:rsid w:val="00B55917"/>
    <w:rsid w:val="00B64311"/>
    <w:rsid w:val="00B85F86"/>
    <w:rsid w:val="00B92D56"/>
    <w:rsid w:val="00B95236"/>
    <w:rsid w:val="00B96BD9"/>
    <w:rsid w:val="00BA1B01"/>
    <w:rsid w:val="00BA2641"/>
    <w:rsid w:val="00BA4224"/>
    <w:rsid w:val="00BA7620"/>
    <w:rsid w:val="00BB37AA"/>
    <w:rsid w:val="00BC53A0"/>
    <w:rsid w:val="00BE37B9"/>
    <w:rsid w:val="00BE62AD"/>
    <w:rsid w:val="00BF121F"/>
    <w:rsid w:val="00BF1F80"/>
    <w:rsid w:val="00C03762"/>
    <w:rsid w:val="00C166EF"/>
    <w:rsid w:val="00C17EB0"/>
    <w:rsid w:val="00C26E7F"/>
    <w:rsid w:val="00C26F39"/>
    <w:rsid w:val="00C27F5F"/>
    <w:rsid w:val="00C30A0F"/>
    <w:rsid w:val="00C37E61"/>
    <w:rsid w:val="00C4190C"/>
    <w:rsid w:val="00C70909"/>
    <w:rsid w:val="00C70F1B"/>
    <w:rsid w:val="00C71A47"/>
    <w:rsid w:val="00C7464C"/>
    <w:rsid w:val="00C85588"/>
    <w:rsid w:val="00C87634"/>
    <w:rsid w:val="00CC3D82"/>
    <w:rsid w:val="00CD2A57"/>
    <w:rsid w:val="00CD6755"/>
    <w:rsid w:val="00CD6856"/>
    <w:rsid w:val="00CE0089"/>
    <w:rsid w:val="00CE3DA1"/>
    <w:rsid w:val="00CE793C"/>
    <w:rsid w:val="00CF4008"/>
    <w:rsid w:val="00CF729C"/>
    <w:rsid w:val="00D16ADB"/>
    <w:rsid w:val="00D173F1"/>
    <w:rsid w:val="00D24B34"/>
    <w:rsid w:val="00D40A23"/>
    <w:rsid w:val="00D510B7"/>
    <w:rsid w:val="00D8295D"/>
    <w:rsid w:val="00DB0379"/>
    <w:rsid w:val="00DC2A65"/>
    <w:rsid w:val="00DC6C93"/>
    <w:rsid w:val="00DE15F0"/>
    <w:rsid w:val="00DE5663"/>
    <w:rsid w:val="00DE78AA"/>
    <w:rsid w:val="00DF47A0"/>
    <w:rsid w:val="00E053D0"/>
    <w:rsid w:val="00E0709F"/>
    <w:rsid w:val="00E156BA"/>
    <w:rsid w:val="00E15994"/>
    <w:rsid w:val="00E3114E"/>
    <w:rsid w:val="00E31A70"/>
    <w:rsid w:val="00E32B16"/>
    <w:rsid w:val="00E35B02"/>
    <w:rsid w:val="00E43745"/>
    <w:rsid w:val="00E45A22"/>
    <w:rsid w:val="00E50E6C"/>
    <w:rsid w:val="00E66496"/>
    <w:rsid w:val="00E66B35"/>
    <w:rsid w:val="00E66E10"/>
    <w:rsid w:val="00E769F6"/>
    <w:rsid w:val="00E8407C"/>
    <w:rsid w:val="00E84F3C"/>
    <w:rsid w:val="00EA012C"/>
    <w:rsid w:val="00EB23FB"/>
    <w:rsid w:val="00EB32BA"/>
    <w:rsid w:val="00EB594E"/>
    <w:rsid w:val="00ED0288"/>
    <w:rsid w:val="00ED40B8"/>
    <w:rsid w:val="00EE0B12"/>
    <w:rsid w:val="00EE52CB"/>
    <w:rsid w:val="00EF581D"/>
    <w:rsid w:val="00EF7FD8"/>
    <w:rsid w:val="00F00621"/>
    <w:rsid w:val="00F06F59"/>
    <w:rsid w:val="00F17988"/>
    <w:rsid w:val="00F20395"/>
    <w:rsid w:val="00F23729"/>
    <w:rsid w:val="00F3740E"/>
    <w:rsid w:val="00F469F0"/>
    <w:rsid w:val="00F46B4E"/>
    <w:rsid w:val="00F53273"/>
    <w:rsid w:val="00F632D6"/>
    <w:rsid w:val="00F755E4"/>
    <w:rsid w:val="00F763D0"/>
    <w:rsid w:val="00F77D02"/>
    <w:rsid w:val="00FB3A86"/>
    <w:rsid w:val="00FD36C8"/>
    <w:rsid w:val="00FE73B0"/>
    <w:rsid w:val="00FF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2" type="connector" idref="#_x0000_s1026"/>
      </o:rules>
    </o:shapelayout>
  </w:shapeDefaults>
  <w:decimalSymbol w:val="."/>
  <w:listSeparator w:val=","/>
  <w14:docId w14:val="7F851649"/>
  <w15:docId w15:val="{98020198-C8F3-44D2-8351-E5F269AE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14F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592C36"/>
    <w:pPr>
      <w:spacing w:after="160" w:line="256" w:lineRule="auto"/>
      <w:ind w:left="720"/>
      <w:contextualSpacing/>
    </w:pPr>
    <w:rPr>
      <w:rFonts w:ascii="Calibri" w:eastAsia="Calibri" w:hAnsi="Calibri" w:cs="Calibri"/>
      <w:sz w:val="22"/>
      <w:szCs w:val="22"/>
      <w:lang w:val="en-IN" w:eastAsia="en-IN"/>
    </w:rPr>
  </w:style>
  <w:style w:type="character" w:customStyle="1" w:styleId="FooterChar">
    <w:name w:val="Footer Char"/>
    <w:basedOn w:val="DefaultParagraphFont"/>
    <w:link w:val="Footer"/>
    <w:rsid w:val="00617892"/>
    <w:rPr>
      <w:rFonts w:ascii="Helvetica" w:hAnsi="Helvetica"/>
    </w:rPr>
  </w:style>
  <w:style w:type="character" w:customStyle="1" w:styleId="Heading3Char">
    <w:name w:val="Heading 3 Char"/>
    <w:basedOn w:val="DefaultParagraphFont"/>
    <w:link w:val="Heading3"/>
    <w:uiPriority w:val="9"/>
    <w:semiHidden/>
    <w:rsid w:val="00A14FD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100B94"/>
    <w:rPr>
      <w:color w:val="605E5C"/>
      <w:shd w:val="clear" w:color="auto" w:fill="E1DFDD"/>
    </w:rPr>
  </w:style>
  <w:style w:type="paragraph" w:styleId="NoSpacing">
    <w:name w:val="No Spacing"/>
    <w:uiPriority w:val="1"/>
    <w:qFormat/>
    <w:rsid w:val="008F250C"/>
    <w:rPr>
      <w:rFonts w:asciiTheme="minorHAnsi" w:eastAsiaTheme="minorHAnsi" w:hAnsiTheme="minorHAnsi" w:cstheme="minorBidi"/>
      <w:kern w:val="2"/>
      <w:sz w:val="22"/>
      <w:szCs w:val="22"/>
      <w14:ligatures w14:val="standardContextual"/>
    </w:rPr>
  </w:style>
  <w:style w:type="character" w:styleId="Strong">
    <w:name w:val="Strong"/>
    <w:basedOn w:val="DefaultParagraphFont"/>
    <w:qFormat/>
    <w:rsid w:val="00C26E7F"/>
    <w:rPr>
      <w:b/>
      <w:bCs/>
    </w:rPr>
  </w:style>
  <w:style w:type="paragraph" w:styleId="NormalWeb">
    <w:name w:val="Normal (Web)"/>
    <w:basedOn w:val="Normal"/>
    <w:uiPriority w:val="99"/>
    <w:semiHidden/>
    <w:unhideWhenUsed/>
    <w:rsid w:val="00B55917"/>
    <w:pPr>
      <w:spacing w:before="100" w:beforeAutospacing="1" w:after="100" w:afterAutospacing="1"/>
    </w:pPr>
    <w:rPr>
      <w:rFonts w:ascii="Times New Roman" w:hAnsi="Times New Roman"/>
      <w:sz w:val="24"/>
      <w:szCs w:val="24"/>
    </w:rPr>
  </w:style>
  <w:style w:type="character" w:customStyle="1" w:styleId="whitespace-normal">
    <w:name w:val="whitespace-normal"/>
    <w:basedOn w:val="DefaultParagraphFont"/>
    <w:rsid w:val="00B55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4934940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4591925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ChanRe\Downloads\DELIGHT%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hanRe\Downloads\DELIGHT%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hanRe\Downloads\DELIGHT%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ChanRe\Downloads\DELIGHT%20(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Graphs!$C$2</c:f>
              <c:strCache>
                <c:ptCount val="1"/>
                <c:pt idx="0">
                  <c:v>Response rate (n = 366)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Graphs!$B$3:$B$6</c:f>
              <c:strCache>
                <c:ptCount val="4"/>
                <c:pt idx="0">
                  <c:v>NYHA class I</c:v>
                </c:pt>
                <c:pt idx="1">
                  <c:v>NYHA class II</c:v>
                </c:pt>
                <c:pt idx="2">
                  <c:v>NYHA class III</c:v>
                </c:pt>
                <c:pt idx="3">
                  <c:v>NYHA class IV</c:v>
                </c:pt>
              </c:strCache>
            </c:strRef>
          </c:cat>
          <c:val>
            <c:numRef>
              <c:f>Graphs!$C$3:$C$6</c:f>
              <c:numCache>
                <c:formatCode>0.00%</c:formatCode>
                <c:ptCount val="4"/>
                <c:pt idx="0">
                  <c:v>0.15570000000000001</c:v>
                </c:pt>
                <c:pt idx="1">
                  <c:v>0.51910000000000001</c:v>
                </c:pt>
                <c:pt idx="2">
                  <c:v>0.25140000000000001</c:v>
                </c:pt>
                <c:pt idx="3">
                  <c:v>7.3800000000000004E-2</c:v>
                </c:pt>
              </c:numCache>
            </c:numRef>
          </c:val>
          <c:extLst>
            <c:ext xmlns:c16="http://schemas.microsoft.com/office/drawing/2014/chart" uri="{C3380CC4-5D6E-409C-BE32-E72D297353CC}">
              <c16:uniqueId val="{00000000-36F7-4E9C-9F66-CB7ACA01946D}"/>
            </c:ext>
          </c:extLst>
        </c:ser>
        <c:dLbls>
          <c:dLblPos val="outEnd"/>
          <c:showLegendKey val="0"/>
          <c:showVal val="1"/>
          <c:showCatName val="0"/>
          <c:showSerName val="0"/>
          <c:showPercent val="0"/>
          <c:showBubbleSize val="0"/>
        </c:dLbls>
        <c:gapWidth val="219"/>
        <c:overlap val="-27"/>
        <c:axId val="205390448"/>
        <c:axId val="205383728"/>
      </c:barChart>
      <c:catAx>
        <c:axId val="205390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205383728"/>
        <c:crosses val="autoZero"/>
        <c:auto val="1"/>
        <c:lblAlgn val="ctr"/>
        <c:lblOffset val="100"/>
        <c:noMultiLvlLbl val="0"/>
      </c:catAx>
      <c:valAx>
        <c:axId val="205383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r>
                  <a:rPr lang="en-IN" sz="900" b="1" i="0" u="none" strike="noStrike" baseline="0">
                    <a:solidFill>
                      <a:sysClr val="windowText" lastClr="000000"/>
                    </a:solidFill>
                    <a:effectLst/>
                    <a:latin typeface="Calibri" panose="020F0502020204030204" pitchFamily="34" charset="0"/>
                    <a:ea typeface="Calibri" panose="020F0502020204030204" pitchFamily="34" charset="0"/>
                    <a:cs typeface="Calibri" panose="020F0502020204030204" pitchFamily="34" charset="0"/>
                  </a:rPr>
                  <a:t>Response rate (n = 366)</a:t>
                </a:r>
                <a:endParaRPr lang="en-IN" sz="900">
                  <a:solidFill>
                    <a:sysClr val="windowText" lastClr="000000"/>
                  </a:solidFill>
                  <a:latin typeface="Calibri" panose="020F0502020204030204" pitchFamily="34" charset="0"/>
                  <a:ea typeface="Calibri" panose="020F0502020204030204" pitchFamily="34" charset="0"/>
                  <a:cs typeface="Calibri" panose="020F0502020204030204" pitchFamily="34" charset="0"/>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2053904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055555555555558E-2"/>
          <c:y val="0.25109215514727323"/>
          <c:w val="0.81388888888888888"/>
          <c:h val="0.6921908719743366"/>
        </c:manualLayout>
      </c:layout>
      <c:pie3DChart>
        <c:varyColors val="1"/>
        <c:ser>
          <c:idx val="0"/>
          <c:order val="0"/>
          <c:tx>
            <c:strRef>
              <c:f>Graphs!$G$2</c:f>
              <c:strCache>
                <c:ptCount val="1"/>
                <c:pt idx="0">
                  <c:v>Response rate (n = 366)</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813-424E-9AE5-CA3381E5F8A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813-424E-9AE5-CA3381E5F8A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Graphs!$F$3:$F$4</c:f>
              <c:strCache>
                <c:ptCount val="2"/>
                <c:pt idx="0">
                  <c:v>Dapagliflozin</c:v>
                </c:pt>
                <c:pt idx="1">
                  <c:v>Empagliflozin</c:v>
                </c:pt>
              </c:strCache>
            </c:strRef>
          </c:cat>
          <c:val>
            <c:numRef>
              <c:f>Graphs!$G$3:$G$4</c:f>
              <c:numCache>
                <c:formatCode>0.00%</c:formatCode>
                <c:ptCount val="2"/>
                <c:pt idx="0">
                  <c:v>0.96719999999999995</c:v>
                </c:pt>
                <c:pt idx="1">
                  <c:v>3.2800000000000003E-2</c:v>
                </c:pt>
              </c:numCache>
            </c:numRef>
          </c:val>
          <c:extLst>
            <c:ext xmlns:c16="http://schemas.microsoft.com/office/drawing/2014/chart" uri="{C3380CC4-5D6E-409C-BE32-E72D297353CC}">
              <c16:uniqueId val="{00000004-5813-424E-9AE5-CA3381E5F8A5}"/>
            </c:ext>
          </c:extLst>
        </c:ser>
        <c:dLbls>
          <c:showLegendKey val="0"/>
          <c:showVal val="0"/>
          <c:showCatName val="1"/>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Graphs!$K$2</c:f>
              <c:strCache>
                <c:ptCount val="1"/>
                <c:pt idx="0">
                  <c:v>Response rate (n = 366)</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E46-489F-98CD-EA1641E9DE7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E46-489F-98CD-EA1641E9DE7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E46-489F-98CD-EA1641E9DE70}"/>
              </c:ext>
            </c:extLst>
          </c:dPt>
          <c:dLbls>
            <c:dLbl>
              <c:idx val="0"/>
              <c:layout>
                <c:manualLayout>
                  <c:x val="2.2684601924759407E-2"/>
                  <c:y val="3.8338436862058911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E46-489F-98CD-EA1641E9DE7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Graphs!$J$3:$J$5</c:f>
              <c:strCache>
                <c:ptCount val="3"/>
                <c:pt idx="0">
                  <c:v>Less than 5 mm Hg</c:v>
                </c:pt>
                <c:pt idx="1">
                  <c:v>5 to 10 mm Hg</c:v>
                </c:pt>
                <c:pt idx="2">
                  <c:v>More than 10 mm Hg</c:v>
                </c:pt>
              </c:strCache>
            </c:strRef>
          </c:cat>
          <c:val>
            <c:numRef>
              <c:f>Graphs!$K$3:$K$5</c:f>
              <c:numCache>
                <c:formatCode>0.00%</c:formatCode>
                <c:ptCount val="3"/>
                <c:pt idx="0">
                  <c:v>0.16669999999999999</c:v>
                </c:pt>
                <c:pt idx="1">
                  <c:v>0.68310000000000004</c:v>
                </c:pt>
                <c:pt idx="2">
                  <c:v>0.15029999999999999</c:v>
                </c:pt>
              </c:numCache>
            </c:numRef>
          </c:val>
          <c:extLst>
            <c:ext xmlns:c16="http://schemas.microsoft.com/office/drawing/2014/chart" uri="{C3380CC4-5D6E-409C-BE32-E72D297353CC}">
              <c16:uniqueId val="{00000006-FE46-489F-98CD-EA1641E9DE70}"/>
            </c:ext>
          </c:extLst>
        </c:ser>
        <c:dLbls>
          <c:showLegendKey val="0"/>
          <c:showVal val="0"/>
          <c:showCatName val="1"/>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Graphs!$O$2</c:f>
              <c:strCache>
                <c:ptCount val="1"/>
                <c:pt idx="0">
                  <c:v>Response rate (n = 366)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Graphs!$N$3:$N$5</c:f>
              <c:strCache>
                <c:ptCount val="3"/>
                <c:pt idx="0">
                  <c:v>Dapagliflozin + sitagliptin</c:v>
                </c:pt>
                <c:pt idx="1">
                  <c:v>Dapagliflozin + vildagliptin</c:v>
                </c:pt>
                <c:pt idx="2">
                  <c:v>Empagliflozin + linagliptin</c:v>
                </c:pt>
              </c:strCache>
            </c:strRef>
          </c:cat>
          <c:val>
            <c:numRef>
              <c:f>Graphs!$O$3:$O$5</c:f>
              <c:numCache>
                <c:formatCode>0.00%</c:formatCode>
                <c:ptCount val="3"/>
                <c:pt idx="0">
                  <c:v>0.71860000000000002</c:v>
                </c:pt>
                <c:pt idx="1">
                  <c:v>0.2268</c:v>
                </c:pt>
                <c:pt idx="2">
                  <c:v>4.9200000000000001E-2</c:v>
                </c:pt>
              </c:numCache>
            </c:numRef>
          </c:val>
          <c:extLst>
            <c:ext xmlns:c16="http://schemas.microsoft.com/office/drawing/2014/chart" uri="{C3380CC4-5D6E-409C-BE32-E72D297353CC}">
              <c16:uniqueId val="{00000000-D93D-4483-AD70-83D063DEF0BC}"/>
            </c:ext>
          </c:extLst>
        </c:ser>
        <c:dLbls>
          <c:dLblPos val="outEnd"/>
          <c:showLegendKey val="0"/>
          <c:showVal val="1"/>
          <c:showCatName val="0"/>
          <c:showSerName val="0"/>
          <c:showPercent val="0"/>
          <c:showBubbleSize val="0"/>
        </c:dLbls>
        <c:gapWidth val="219"/>
        <c:overlap val="-27"/>
        <c:axId val="1986970736"/>
        <c:axId val="1986971696"/>
      </c:barChart>
      <c:catAx>
        <c:axId val="1986970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986971696"/>
        <c:crosses val="autoZero"/>
        <c:auto val="1"/>
        <c:lblAlgn val="ctr"/>
        <c:lblOffset val="100"/>
        <c:noMultiLvlLbl val="0"/>
      </c:catAx>
      <c:valAx>
        <c:axId val="1986971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r>
                  <a:rPr lang="en-IN" sz="900" b="1" i="0" u="none" strike="noStrike" baseline="0">
                    <a:solidFill>
                      <a:sysClr val="windowText" lastClr="000000"/>
                    </a:solidFill>
                    <a:effectLst/>
                    <a:latin typeface="Calibri" panose="020F0502020204030204" pitchFamily="34" charset="0"/>
                    <a:ea typeface="Calibri" panose="020F0502020204030204" pitchFamily="34" charset="0"/>
                    <a:cs typeface="Calibri" panose="020F0502020204030204" pitchFamily="34" charset="0"/>
                  </a:rPr>
                  <a:t>Response rate (n = 366) </a:t>
                </a:r>
                <a:endParaRPr lang="en-IN" sz="900" b="1">
                  <a:solidFill>
                    <a:sysClr val="windowText" lastClr="000000"/>
                  </a:solidFill>
                  <a:latin typeface="Calibri" panose="020F0502020204030204" pitchFamily="34" charset="0"/>
                  <a:ea typeface="Calibri" panose="020F0502020204030204" pitchFamily="34" charset="0"/>
                  <a:cs typeface="Calibri" panose="020F0502020204030204" pitchFamily="34" charset="0"/>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9869707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E0156-A43D-405E-A978-744A4E276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264</TotalTime>
  <Pages>13</Pages>
  <Words>4489</Words>
  <Characters>25593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30022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287</cp:revision>
  <cp:lastPrinted>1999-07-06T11:00:00Z</cp:lastPrinted>
  <dcterms:created xsi:type="dcterms:W3CDTF">2014-10-25T14:34:00Z</dcterms:created>
  <dcterms:modified xsi:type="dcterms:W3CDTF">2026-05-12T11:34:00Z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63ecd104-4fe8-4675-84ea-c680aebb7f32</vt:lpwstr>
  </property>
</Properties>
</file>