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3BCA288">
      <w:pPr>
        <w:jc w:val="both"/>
        <w:rPr>
          <w:rFonts w:hint="default" w:ascii="Arial" w:hAnsi="Arial" w:cs="Arial"/>
          <w:b/>
          <w:bCs/>
          <w:sz w:val="24"/>
          <w:szCs w:val="24"/>
          <w:highlight w:val="yellow"/>
        </w:rPr>
      </w:pPr>
      <w:r>
        <w:rPr>
          <w:rFonts w:hint="default" w:ascii="Arial" w:hAnsi="Arial" w:eastAsia="SimSun" w:cs="Arial"/>
          <w:b/>
          <w:bCs/>
          <w:sz w:val="24"/>
          <w:szCs w:val="24"/>
          <w:highlight w:val="yellow"/>
        </w:rPr>
        <w:t>Comparative Analysis of Renal Biomarkers and Derived Uric Acid Ratios Among Pregnant and Non-Pregnant Women in Port Harcourt, Nigeria</w:t>
      </w:r>
    </w:p>
    <w:p w14:paraId="66DB1FC4">
      <w:pPr>
        <w:pStyle w:val="3"/>
        <w:keepNext w:val="0"/>
        <w:keepLines w:val="0"/>
        <w:spacing w:after="80"/>
        <w:jc w:val="both"/>
        <w:rPr>
          <w:b/>
          <w:bCs/>
          <w:sz w:val="24"/>
          <w:szCs w:val="24"/>
        </w:rPr>
      </w:pPr>
      <w:bookmarkStart w:id="0" w:name="_y4ab33jqpsic" w:colFirst="0" w:colLast="0"/>
      <w:bookmarkEnd w:id="0"/>
    </w:p>
    <w:p w14:paraId="39A2F9EE">
      <w:pPr>
        <w:pStyle w:val="3"/>
        <w:keepNext w:val="0"/>
        <w:keepLines w:val="0"/>
        <w:spacing w:after="80"/>
        <w:jc w:val="both"/>
        <w:rPr>
          <w:b/>
          <w:bCs/>
          <w:sz w:val="24"/>
          <w:szCs w:val="24"/>
        </w:rPr>
      </w:pPr>
      <w:r>
        <w:rPr>
          <w:b/>
          <w:bCs/>
          <w:sz w:val="24"/>
          <w:szCs w:val="24"/>
        </w:rPr>
        <w:t>ABSTRACT</w:t>
      </w:r>
    </w:p>
    <w:p w14:paraId="6BFFA0C6">
      <w:pPr>
        <w:spacing w:before="240" w:after="240"/>
        <w:jc w:val="both"/>
        <w:rPr>
          <w:sz w:val="24"/>
          <w:szCs w:val="24"/>
        </w:rPr>
      </w:pPr>
      <w:r>
        <w:rPr>
          <w:b/>
          <w:bCs/>
          <w:sz w:val="24"/>
          <w:szCs w:val="24"/>
        </w:rPr>
        <w:t>Background:</w:t>
      </w:r>
      <w:r>
        <w:rPr>
          <w:sz w:val="24"/>
          <w:szCs w:val="24"/>
        </w:rPr>
        <w:t xml:space="preserve"> Pregnancy is associated with significant physiological changes in renal function, which influence the interpretation of biochemical markers. However, population-specific data on renal biomarkers and derived indices among pregnant women in sub-Saharan Africa remain limited.</w:t>
      </w:r>
    </w:p>
    <w:p w14:paraId="155A9BB6">
      <w:pPr>
        <w:spacing w:before="240" w:after="240"/>
        <w:jc w:val="both"/>
        <w:rPr>
          <w:sz w:val="24"/>
          <w:szCs w:val="24"/>
        </w:rPr>
      </w:pPr>
      <w:r>
        <w:rPr>
          <w:b/>
          <w:bCs/>
          <w:sz w:val="24"/>
          <w:szCs w:val="24"/>
        </w:rPr>
        <w:t>Objective:</w:t>
      </w:r>
      <w:r>
        <w:rPr>
          <w:sz w:val="24"/>
          <w:szCs w:val="24"/>
        </w:rPr>
        <w:t xml:space="preserve"> This study aimed to comparatively assess renal biomarkers, electrolyte profiles, and derived ratios among pregnant and non-pregnant women in Port Harcourt, Nigeria.</w:t>
      </w:r>
    </w:p>
    <w:p w14:paraId="35B85CA7">
      <w:pPr>
        <w:spacing w:before="240" w:after="240"/>
        <w:jc w:val="both"/>
        <w:rPr>
          <w:sz w:val="24"/>
          <w:szCs w:val="24"/>
        </w:rPr>
      </w:pPr>
      <w:r>
        <w:rPr>
          <w:b/>
          <w:bCs/>
          <w:sz w:val="24"/>
          <w:szCs w:val="24"/>
        </w:rPr>
        <w:t>Methods:</w:t>
      </w:r>
      <w:r>
        <w:rPr>
          <w:sz w:val="24"/>
          <w:szCs w:val="24"/>
        </w:rPr>
        <w:t xml:space="preserve"> A cross-sectional study was conducted involving 150 women, comprising 90 pregnant participants and 60 non-pregnant controls. Pregnant women were stratified equally across the three trimesters. Serum urea, creatinine, uric acid, and electrolytes (sodium, potassium, chloride, and bicarbonate) were analyzed using standard laboratory methods. Derived indices, including urea-to-creatinine and uric acid-to-creatinine ratios, were calculated. Statistical analysis was performed using SPSS version 24, with significance set at p &lt; 0.05.</w:t>
      </w:r>
    </w:p>
    <w:p w14:paraId="28CF7FE1">
      <w:pPr>
        <w:spacing w:before="240" w:after="240"/>
        <w:jc w:val="both"/>
        <w:rPr>
          <w:sz w:val="24"/>
          <w:szCs w:val="24"/>
        </w:rPr>
      </w:pPr>
      <w:r>
        <w:rPr>
          <w:b/>
          <w:bCs/>
          <w:sz w:val="24"/>
          <w:szCs w:val="24"/>
        </w:rPr>
        <w:t>Results:</w:t>
      </w:r>
      <w:r>
        <w:rPr>
          <w:sz w:val="24"/>
          <w:szCs w:val="24"/>
        </w:rPr>
        <w:t xml:space="preserve"> Pregnant women exhibited significantly higher levels of serum creatinine, urea, uric acid, potassium, chloride, and bicarbonate compared to non-pregnant controls (p &lt; 0.05), while sodium levels showed no significant difference. The uric acid-to-creatinine ratio was significantly elevated, whereas the urea-to-creatinine ratio was significantly reduced among pregnant women. Serum creatinine increased significantly across trimesters, while other biomarkers remained relatively stable. Chloride levels decreased significantly in the third trimester.</w:t>
      </w:r>
    </w:p>
    <w:p w14:paraId="02A42448">
      <w:pPr>
        <w:spacing w:before="240" w:after="240"/>
        <w:jc w:val="both"/>
        <w:rPr>
          <w:b/>
          <w:bCs/>
          <w:sz w:val="24"/>
          <w:szCs w:val="24"/>
        </w:rPr>
      </w:pPr>
      <w:r>
        <w:rPr>
          <w:b/>
          <w:bCs/>
          <w:sz w:val="24"/>
          <w:szCs w:val="24"/>
        </w:rPr>
        <w:t>Conclusion:</w:t>
      </w:r>
      <w:r>
        <w:rPr>
          <w:sz w:val="24"/>
          <w:szCs w:val="24"/>
        </w:rPr>
        <w:t xml:space="preserve"> Pregnancy is associated with significant alterations in renal biomarkers and derived indices. These findings underscore the importance of population-specific reference ranges and support the clinical relevance of biomarker ratios in maternal health assessment and early detection of renal dysfunction.</w:t>
      </w:r>
    </w:p>
    <w:p w14:paraId="4150DCBD">
      <w:pPr>
        <w:spacing w:before="240" w:after="240"/>
        <w:jc w:val="both"/>
        <w:rPr>
          <w:sz w:val="24"/>
          <w:szCs w:val="24"/>
        </w:rPr>
      </w:pPr>
      <w:r>
        <w:rPr>
          <w:b/>
          <w:bCs/>
          <w:sz w:val="24"/>
          <w:szCs w:val="24"/>
        </w:rPr>
        <w:t>Keywords:</w:t>
      </w:r>
      <w:r>
        <w:rPr>
          <w:sz w:val="24"/>
          <w:szCs w:val="24"/>
        </w:rPr>
        <w:t xml:space="preserve"> Pregnancy, renal biomarkers, uric acid, creatinine, electrolyte, Nigeria, maternal health</w:t>
      </w:r>
    </w:p>
    <w:p w14:paraId="2B7BE951">
      <w:pPr>
        <w:jc w:val="both"/>
        <w:rPr>
          <w:b/>
          <w:bCs/>
          <w:sz w:val="24"/>
          <w:szCs w:val="24"/>
        </w:rPr>
      </w:pPr>
      <w:r>
        <w:rPr>
          <w:b/>
          <w:bCs/>
          <w:sz w:val="24"/>
          <w:szCs w:val="24"/>
        </w:rPr>
        <w:t>INTRODUCTION</w:t>
      </w:r>
    </w:p>
    <w:p w14:paraId="71C8C69F">
      <w:pPr>
        <w:spacing w:before="240" w:after="240"/>
        <w:jc w:val="both"/>
        <w:rPr>
          <w:sz w:val="24"/>
          <w:szCs w:val="24"/>
        </w:rPr>
      </w:pPr>
      <w:r>
        <w:rPr>
          <w:sz w:val="24"/>
          <w:szCs w:val="24"/>
        </w:rPr>
        <w:t>Pregnancy is a unique physiological state characterized by profound anatomical, biochemical, and functional adaptations that support fetal development and maintain maternal homeostasis (Tal &amp; Taylor, 2021). Among the organ systems affected, the renal system undergoes some of the most significant changes, driven by hormonal, hemodynamic, and metabolic factors (Soma-Pillay et al., 2016). These adaptations begin early in gestation and progress throughout pregnancy, reflecting the increasing metabolic demands of the growing fetus (Kepley, Bates, &amp; Mohiuddin, 2023).</w:t>
      </w:r>
    </w:p>
    <w:p w14:paraId="26CF9EAF">
      <w:pPr>
        <w:spacing w:before="240" w:after="240"/>
        <w:jc w:val="both"/>
        <w:rPr>
          <w:sz w:val="24"/>
          <w:szCs w:val="24"/>
        </w:rPr>
      </w:pPr>
      <w:r>
        <w:rPr>
          <w:sz w:val="24"/>
          <w:szCs w:val="24"/>
        </w:rPr>
        <w:t>One of the hallmark renal changes during pregnancy is a marked increase in renal plasma flow and glomerular filtration rate (GFR), which may rise by up to 50% above pre-pregnancy levels (Mussap &amp; Noto, 2020; Dines et al., 2023). This physiological hyperfiltration enhances the clearance of metabolic waste products such as urea, creatinine, and uric acid, leading to altered baseline concentrations compared to non-pregnant individuals. Consequently, the interpretation of renal biomarkers during pregnancy requires careful consideration of these physiological adaptations (Nelson-Piercy et al., 2025).</w:t>
      </w:r>
    </w:p>
    <w:p w14:paraId="6EA28F44">
      <w:pPr>
        <w:spacing w:before="240" w:after="240"/>
        <w:jc w:val="both"/>
        <w:rPr>
          <w:sz w:val="24"/>
          <w:szCs w:val="24"/>
        </w:rPr>
      </w:pPr>
      <w:r>
        <w:rPr>
          <w:sz w:val="24"/>
          <w:szCs w:val="24"/>
        </w:rPr>
        <w:t>Renal biomarkers, including serum creatinine, urea, and uric acid, remain essential tools for assessing kidney function in clinical practice. Creatinine is widely used as a surrogate marker of GFR, while urea reflects protein metabolism and renal excretory capacity. Uric acid, a product of purine metabolism, has gained increasing attention due to its association with oxidative stress, endothelial dysfunction, and hypertensive disorders of pregnancy such as preeclampsia (Arias-Sánchez et al., 2025; Dong et al., 2025). Elevated serum uric acid levels have been linked with adverse maternal and fetal outcomes, highlighting its potential role as an early predictive biomarker (Luo et al., 2024; Ahmed et al., 2024).</w:t>
      </w:r>
    </w:p>
    <w:p w14:paraId="12F079B2">
      <w:pPr>
        <w:spacing w:before="240" w:after="240"/>
        <w:jc w:val="both"/>
        <w:rPr>
          <w:sz w:val="24"/>
          <w:szCs w:val="24"/>
        </w:rPr>
      </w:pPr>
      <w:r>
        <w:rPr>
          <w:sz w:val="24"/>
          <w:szCs w:val="24"/>
        </w:rPr>
        <w:t>Electrolyte balance is also tightly regulated during pregnancy through the coordinated actions of hormones such as aldosterone, progesterone, and antidiuretic hormone. These mechanisms ensure adequate plasma volume expansion and maintenance of acid–base balance. While mild fluctuations in sodium, potassium, chloride, and bicarbonate levels are considered physiological, significant deviations may indicate underlying renal or systemic pathology (Mustaqeem &amp; Arif, 2023; Palmer &amp; Clegg, 2019).</w:t>
      </w:r>
    </w:p>
    <w:p w14:paraId="6EF6AE4E">
      <w:pPr>
        <w:spacing w:before="240" w:after="240"/>
        <w:jc w:val="both"/>
        <w:rPr>
          <w:sz w:val="24"/>
          <w:szCs w:val="24"/>
        </w:rPr>
      </w:pPr>
      <w:r>
        <w:rPr>
          <w:sz w:val="24"/>
          <w:szCs w:val="24"/>
        </w:rPr>
        <w:t>In addition to conventional biomarkers, derived indices such as the urea-to-creatinine (Urea/Cr) ratio and uric acid-to-creatinine (SUA/Cr) ratio have emerged as valuable tools for improving the interpretation of renal function. These ratios provide insight into renal handling of solutes by accounting for variations in hydration status, renal perfusion, and metabolic activity, thereby offering enhanced diagnostic value beyond individual biomarker measurements (Gounden, Bhatt, &amp; Jialal, 2024). However, data on these indices among pregnant populations, particularly in sub-Saharan Africa, remain limited.</w:t>
      </w:r>
    </w:p>
    <w:p w14:paraId="15AD370A">
      <w:pPr>
        <w:spacing w:before="240" w:after="240"/>
        <w:jc w:val="both"/>
        <w:rPr>
          <w:sz w:val="24"/>
          <w:szCs w:val="24"/>
        </w:rPr>
      </w:pPr>
      <w:r>
        <w:rPr>
          <w:sz w:val="24"/>
          <w:szCs w:val="24"/>
        </w:rPr>
        <w:t>Furthermore, most available reference ranges for renal biomarkers are derived from non-pregnant populations or studies conducted in developed countries. Such values may not accurately reflect physiological patterns in Nigerian women due to differences in genetics, dietary habits, environmental conditions, and healthcare access (Schauer et al., 2024). This underscores the need for region-specific studies to establish baseline values and improve clinical interpretation.</w:t>
      </w:r>
    </w:p>
    <w:p w14:paraId="5367F0DC">
      <w:pPr>
        <w:spacing w:before="240" w:after="240"/>
        <w:jc w:val="both"/>
        <w:rPr>
          <w:sz w:val="24"/>
          <w:szCs w:val="24"/>
        </w:rPr>
      </w:pPr>
      <w:r>
        <w:rPr>
          <w:sz w:val="24"/>
          <w:szCs w:val="24"/>
        </w:rPr>
        <w:t>In view of these gaps, this study was undertaken to comparatively assess renal biomarkers and uric acid-related ratios among pregnant and non-pregnant women in Port Harcourt, Nigeria, with the aim of improving understanding of renal physiological adaptations in this population. Specifically, the study evaluated serum levels of urea, creatinine, uric acid, and key electrolytes, compared these parameters between pregnant and non-pregnant women, and examined their variations across different trimesters of pregnancy. In addition, derived ratios, including the urea-to-creatinine and uric acid-to-creatinine ratios, were calculated to provide deeper insight into renal function and metabolic adaptation during pregnancy. Through this approach, the study seeks to contribute to the establishment of population-specific reference values and enhance the clinical utility of renal biomarkers in maternal healthcare.</w:t>
      </w:r>
    </w:p>
    <w:p w14:paraId="01C3B048">
      <w:pPr>
        <w:spacing w:before="240" w:after="240"/>
        <w:jc w:val="both"/>
        <w:rPr>
          <w:sz w:val="24"/>
          <w:szCs w:val="24"/>
        </w:rPr>
      </w:pPr>
    </w:p>
    <w:p w14:paraId="25505E86">
      <w:pPr>
        <w:pStyle w:val="2"/>
        <w:keepNext w:val="0"/>
        <w:keepLines w:val="0"/>
        <w:spacing w:before="480"/>
        <w:jc w:val="both"/>
        <w:rPr>
          <w:b/>
          <w:bCs/>
          <w:sz w:val="24"/>
          <w:szCs w:val="24"/>
        </w:rPr>
      </w:pPr>
      <w:bookmarkStart w:id="1" w:name="_c05t3jpl4c6l" w:colFirst="0" w:colLast="0"/>
      <w:bookmarkEnd w:id="1"/>
      <w:r>
        <w:rPr>
          <w:b/>
          <w:bCs/>
          <w:sz w:val="24"/>
          <w:szCs w:val="24"/>
        </w:rPr>
        <w:t>MATERIALS AND METHODS</w:t>
      </w:r>
    </w:p>
    <w:p w14:paraId="121051E2">
      <w:pPr>
        <w:pStyle w:val="3"/>
        <w:keepNext w:val="0"/>
        <w:keepLines w:val="0"/>
        <w:spacing w:after="80"/>
        <w:jc w:val="both"/>
        <w:rPr>
          <w:b/>
          <w:bCs/>
          <w:sz w:val="24"/>
          <w:szCs w:val="24"/>
        </w:rPr>
      </w:pPr>
      <w:bookmarkStart w:id="2" w:name="_lakypeb2qwn3" w:colFirst="0" w:colLast="0"/>
      <w:bookmarkEnd w:id="2"/>
      <w:r>
        <w:rPr>
          <w:b/>
          <w:bCs/>
          <w:sz w:val="24"/>
          <w:szCs w:val="24"/>
        </w:rPr>
        <w:t>Study Design</w:t>
      </w:r>
    </w:p>
    <w:p w14:paraId="375628C6">
      <w:pPr>
        <w:spacing w:before="240" w:after="240"/>
        <w:jc w:val="both"/>
        <w:rPr>
          <w:sz w:val="24"/>
          <w:szCs w:val="24"/>
        </w:rPr>
      </w:pPr>
      <w:r>
        <w:rPr>
          <w:sz w:val="24"/>
          <w:szCs w:val="24"/>
        </w:rPr>
        <w:t>This study adopted a cross-sectional design to evaluate renal biomarkers, electrolyte profiles, and derived ratios among pregnant and non-pregnant women. The design enabled comparative assessment of biochemical parameters across different physiological states and stages of pregnancy within the study population.</w:t>
      </w:r>
    </w:p>
    <w:p w14:paraId="3DDB82FA">
      <w:pPr>
        <w:pStyle w:val="3"/>
        <w:keepNext w:val="0"/>
        <w:keepLines w:val="0"/>
        <w:spacing w:after="80"/>
        <w:jc w:val="both"/>
        <w:rPr>
          <w:b/>
          <w:bCs/>
          <w:sz w:val="24"/>
          <w:szCs w:val="24"/>
        </w:rPr>
      </w:pPr>
      <w:bookmarkStart w:id="3" w:name="_vzqjas4dw6g" w:colFirst="0" w:colLast="0"/>
      <w:bookmarkEnd w:id="3"/>
      <w:r>
        <w:rPr>
          <w:b/>
          <w:bCs/>
          <w:sz w:val="24"/>
          <w:szCs w:val="24"/>
        </w:rPr>
        <w:t>Study Area</w:t>
      </w:r>
    </w:p>
    <w:p w14:paraId="601242A1">
      <w:pPr>
        <w:spacing w:before="240" w:after="240"/>
        <w:jc w:val="both"/>
        <w:rPr>
          <w:sz w:val="24"/>
          <w:szCs w:val="24"/>
        </w:rPr>
      </w:pPr>
      <w:r>
        <w:rPr>
          <w:sz w:val="24"/>
          <w:szCs w:val="24"/>
        </w:rPr>
        <w:t>The study was conducted at the Rivers State University Teaching Hospital, Port Harcourt, Rivers State, Nigeria. This institution is a tertiary healthcare facility and a major referral center in the South-South region, providing comprehensive maternal and child health services, including antenatal, delivery, and postnatal care. The hospital serves a large and diverse population from both urban and peri-urban communities.</w:t>
      </w:r>
    </w:p>
    <w:p w14:paraId="7F76E407">
      <w:pPr>
        <w:pStyle w:val="3"/>
        <w:keepNext w:val="0"/>
        <w:keepLines w:val="0"/>
        <w:spacing w:after="80"/>
        <w:jc w:val="both"/>
        <w:rPr>
          <w:b/>
          <w:bCs/>
          <w:sz w:val="24"/>
          <w:szCs w:val="24"/>
        </w:rPr>
      </w:pPr>
      <w:bookmarkStart w:id="4" w:name="_v6pimga243sp" w:colFirst="0" w:colLast="0"/>
      <w:bookmarkEnd w:id="4"/>
      <w:r>
        <w:rPr>
          <w:b/>
          <w:bCs/>
          <w:sz w:val="24"/>
          <w:szCs w:val="24"/>
        </w:rPr>
        <w:t>Study Population</w:t>
      </w:r>
    </w:p>
    <w:p w14:paraId="4A75436C">
      <w:pPr>
        <w:spacing w:before="240" w:after="240"/>
        <w:jc w:val="both"/>
        <w:rPr>
          <w:sz w:val="24"/>
          <w:szCs w:val="24"/>
        </w:rPr>
      </w:pPr>
      <w:r>
        <w:rPr>
          <w:sz w:val="24"/>
          <w:szCs w:val="24"/>
        </w:rPr>
        <w:t>A total of 150 women participated in the study, comprising 90 pregnant women and 60 non-pregnant controls. The pregnant participants were grouped according to gestational age, with 30 women in each trimester. All participants were within the age range of 18 to 57 years and were recruited from antenatal clinics and outpatient departments of the hospital during the study period.</w:t>
      </w:r>
    </w:p>
    <w:p w14:paraId="6A72BE81">
      <w:pPr>
        <w:pStyle w:val="3"/>
        <w:keepNext w:val="0"/>
        <w:keepLines w:val="0"/>
        <w:spacing w:after="80"/>
        <w:jc w:val="both"/>
        <w:rPr>
          <w:b/>
          <w:bCs/>
          <w:sz w:val="24"/>
          <w:szCs w:val="24"/>
        </w:rPr>
      </w:pPr>
      <w:bookmarkStart w:id="5" w:name="_uj5bm77zqija" w:colFirst="0" w:colLast="0"/>
      <w:bookmarkEnd w:id="5"/>
      <w:r>
        <w:rPr>
          <w:b/>
          <w:bCs/>
          <w:sz w:val="24"/>
          <w:szCs w:val="24"/>
        </w:rPr>
        <w:t>Ethical Approval</w:t>
      </w:r>
    </w:p>
    <w:p w14:paraId="45DAF361">
      <w:pPr>
        <w:spacing w:before="240" w:after="240"/>
        <w:jc w:val="both"/>
        <w:rPr>
          <w:rFonts w:hint="default" w:ascii="Arial" w:hAnsi="Arial" w:cs="Arial"/>
          <w:sz w:val="24"/>
          <w:szCs w:val="24"/>
        </w:rPr>
      </w:pPr>
      <w:r>
        <w:rPr>
          <w:rFonts w:hint="default" w:ascii="Arial" w:hAnsi="Arial" w:eastAsia="SimSun" w:cs="Arial"/>
          <w:sz w:val="24"/>
          <w:szCs w:val="24"/>
        </w:rPr>
        <w:t xml:space="preserve">Ethical approval for this study was obtained from the Ethics Committee of Rivers State University Teaching Hospital, Port Harcourt, Nigeria (Approval No: </w:t>
      </w:r>
      <w:r>
        <w:rPr>
          <w:rStyle w:val="14"/>
          <w:rFonts w:hint="default" w:ascii="Arial" w:hAnsi="Arial" w:eastAsia="SimSun" w:cs="Arial"/>
          <w:sz w:val="24"/>
          <w:szCs w:val="24"/>
        </w:rPr>
        <w:t>RSUTH/REC/2025801</w:t>
      </w:r>
      <w:r>
        <w:rPr>
          <w:rFonts w:hint="default" w:ascii="Arial" w:hAnsi="Arial" w:eastAsia="SimSun" w:cs="Arial"/>
          <w:sz w:val="24"/>
          <w:szCs w:val="24"/>
        </w:rPr>
        <w:t>). All participants were adequately informed about the purpose and procedures of the study, and both written and verbal informed consent were obtained prior to participation. Confidentiality of participants’ information was strictly maintained throughout the study.</w:t>
      </w:r>
    </w:p>
    <w:p w14:paraId="54207778">
      <w:pPr>
        <w:pStyle w:val="3"/>
        <w:keepNext w:val="0"/>
        <w:keepLines w:val="0"/>
        <w:spacing w:after="80"/>
        <w:jc w:val="both"/>
        <w:rPr>
          <w:b/>
          <w:bCs/>
          <w:sz w:val="24"/>
          <w:szCs w:val="24"/>
        </w:rPr>
      </w:pPr>
      <w:bookmarkStart w:id="6" w:name="_jfnckrzi4yhn" w:colFirst="0" w:colLast="0"/>
      <w:bookmarkEnd w:id="6"/>
      <w:r>
        <w:rPr>
          <w:b/>
          <w:bCs/>
          <w:sz w:val="24"/>
          <w:szCs w:val="24"/>
        </w:rPr>
        <w:t>Eligibility Criteria</w:t>
      </w:r>
    </w:p>
    <w:p w14:paraId="609B2C30">
      <w:pPr>
        <w:spacing w:before="240" w:after="240"/>
        <w:jc w:val="both"/>
        <w:rPr>
          <w:sz w:val="24"/>
          <w:szCs w:val="24"/>
        </w:rPr>
      </w:pPr>
      <w:r>
        <w:rPr>
          <w:sz w:val="24"/>
          <w:szCs w:val="24"/>
        </w:rPr>
        <w:t>Participants were selected based on defined inclusion and exclusion criteria. Pregnant women attending antenatal care and apparently healthy non-pregnant women who consented to participate were included in the study. Individuals with known renal, metabolic, or endocrine disorders, including chronic kidney disease, thyroid dysfunction, and parathyroid disorders, were excluded. Women taking medications known to influence renal or uric acid metabolism were also excluded. Additional exclusions included women with pregnancy-related complications such as preeclampsia, eclampsia, or gestational diabetes, those with urinary tract infections at the time of sampling, and hypertensive individuals.</w:t>
      </w:r>
    </w:p>
    <w:p w14:paraId="7F7CD1BB">
      <w:pPr>
        <w:pStyle w:val="3"/>
        <w:keepNext w:val="0"/>
        <w:keepLines w:val="0"/>
        <w:spacing w:after="80"/>
        <w:jc w:val="both"/>
        <w:rPr>
          <w:b/>
          <w:bCs/>
          <w:sz w:val="24"/>
          <w:szCs w:val="24"/>
        </w:rPr>
      </w:pPr>
      <w:bookmarkStart w:id="7" w:name="_zcdgr3dgypuf" w:colFirst="0" w:colLast="0"/>
      <w:bookmarkEnd w:id="7"/>
      <w:r>
        <w:rPr>
          <w:b/>
          <w:bCs/>
          <w:sz w:val="24"/>
          <w:szCs w:val="24"/>
        </w:rPr>
        <w:t>Sample Size and Sampling Technique</w:t>
      </w:r>
    </w:p>
    <w:p w14:paraId="0716A5EC">
      <w:pPr>
        <w:spacing w:before="240" w:after="240"/>
        <w:jc w:val="both"/>
        <w:rPr>
          <w:sz w:val="24"/>
          <w:szCs w:val="24"/>
        </w:rPr>
      </w:pPr>
      <w:r>
        <w:rPr>
          <w:sz w:val="24"/>
          <w:szCs w:val="24"/>
        </w:rPr>
        <w:t>A total of 150 participants were recruited using a convenience sampling technique. This included 90 pregnant women distributed equally across the three trimesters and 60 non-pregnant control subjects. The sample size was considered adequate for comparative statistical analysis within the study setting.</w:t>
      </w:r>
    </w:p>
    <w:p w14:paraId="70FBD3A2">
      <w:pPr>
        <w:pStyle w:val="3"/>
        <w:keepNext w:val="0"/>
        <w:keepLines w:val="0"/>
        <w:spacing w:after="80"/>
        <w:jc w:val="both"/>
        <w:rPr>
          <w:b/>
          <w:bCs/>
          <w:sz w:val="24"/>
          <w:szCs w:val="24"/>
        </w:rPr>
      </w:pPr>
      <w:bookmarkStart w:id="8" w:name="_xt04qmn8wqrt" w:colFirst="0" w:colLast="0"/>
      <w:bookmarkEnd w:id="8"/>
      <w:r>
        <w:rPr>
          <w:b/>
          <w:bCs/>
          <w:sz w:val="24"/>
          <w:szCs w:val="24"/>
        </w:rPr>
        <w:t>Sample Collection, Processing, and Storage</w:t>
      </w:r>
    </w:p>
    <w:p w14:paraId="7189D0A0">
      <w:pPr>
        <w:spacing w:before="240" w:after="240"/>
        <w:jc w:val="both"/>
        <w:rPr>
          <w:sz w:val="24"/>
          <w:szCs w:val="24"/>
        </w:rPr>
      </w:pPr>
      <w:r>
        <w:rPr>
          <w:sz w:val="24"/>
          <w:szCs w:val="24"/>
        </w:rPr>
        <w:t>Approximately 2 millilitres of venous blood was collected aseptically from the antecubital vein using a sterile hypodermic syringe. The blood samples were dispensed into plain sample containers and allowed to clot at room temperature. Samples were transported to the laboratory in ice packs and centrifuged at 2400 revolutions per minute for 5 minutes to obtain serum. The separated serum was transferred into labeled containers and stored under refrigeration until analysis.</w:t>
      </w:r>
    </w:p>
    <w:p w14:paraId="4C6815B7">
      <w:pPr>
        <w:pStyle w:val="3"/>
        <w:keepNext w:val="0"/>
        <w:keepLines w:val="0"/>
        <w:spacing w:after="80"/>
        <w:jc w:val="both"/>
        <w:rPr>
          <w:b/>
          <w:bCs/>
          <w:sz w:val="24"/>
          <w:szCs w:val="24"/>
        </w:rPr>
      </w:pPr>
      <w:bookmarkStart w:id="9" w:name="_8kxu5xiv8u8m" w:colFirst="0" w:colLast="0"/>
      <w:bookmarkEnd w:id="9"/>
      <w:r>
        <w:rPr>
          <w:b/>
          <w:bCs/>
          <w:sz w:val="24"/>
          <w:szCs w:val="24"/>
        </w:rPr>
        <w:t>Biochemical Analysis</w:t>
      </w:r>
    </w:p>
    <w:p w14:paraId="1F65373B">
      <w:pPr>
        <w:spacing w:before="240" w:after="240"/>
        <w:jc w:val="both"/>
        <w:rPr>
          <w:sz w:val="24"/>
          <w:szCs w:val="24"/>
        </w:rPr>
      </w:pPr>
      <w:r>
        <w:rPr>
          <w:sz w:val="24"/>
          <w:szCs w:val="24"/>
        </w:rPr>
        <w:t>All biochemical parameters were analyzed using standard and validated laboratory techniques to ensure accuracy and reproducibility. Serum electrolyte concentrations, including sodium, potassium, chloride, and bicarbonate, were determined using an ion-selective electrode analyzer, which measures the electrical potential generated by ion activity in solution. The analyzer was calibrated prior to use, and quality control samples were included to ensure reliability.</w:t>
      </w:r>
    </w:p>
    <w:p w14:paraId="2C0F7442">
      <w:pPr>
        <w:spacing w:before="240" w:after="240"/>
        <w:jc w:val="both"/>
        <w:rPr>
          <w:sz w:val="24"/>
          <w:szCs w:val="24"/>
        </w:rPr>
      </w:pPr>
      <w:r>
        <w:rPr>
          <w:sz w:val="24"/>
          <w:szCs w:val="24"/>
        </w:rPr>
        <w:t>Serum urea was measured using the diacetyl monoxime method, in which urea reacts in an acidic medium under high temperature to form a colored compound measurable spectrophotometrically at a wavelength of 520 nanometres. Serum creatinine was determined using the Jaffe method, based on the reaction between creatinine and picric acid in an alkaline medium to form a colored complex measurable at the same wavelength. Serum uric acid was determined using the uricase-peroxidase enzymatic method, in which uric acid is oxidized to produce hydrogen peroxide that reacts with a chromogen to form a measurable colored compound.</w:t>
      </w:r>
    </w:p>
    <w:p w14:paraId="4182CE6A">
      <w:pPr>
        <w:spacing w:before="240" w:after="240"/>
        <w:jc w:val="both"/>
        <w:rPr>
          <w:sz w:val="24"/>
          <w:szCs w:val="24"/>
        </w:rPr>
      </w:pPr>
      <w:r>
        <w:rPr>
          <w:sz w:val="24"/>
          <w:szCs w:val="24"/>
        </w:rPr>
        <w:t>All assays were performed using standard laboratory procedures, including the use of blank, standard, quality control, and test samples to ensure analytical precision. Calibration and validation of laboratory equipment were carried out according to standard laboratory guidelines, and internal quality control samples were analyzed alongside test samples to ensure consistency.</w:t>
      </w:r>
    </w:p>
    <w:p w14:paraId="7C7D7228">
      <w:pPr>
        <w:pStyle w:val="3"/>
        <w:keepNext w:val="0"/>
        <w:keepLines w:val="0"/>
        <w:spacing w:after="80"/>
        <w:jc w:val="both"/>
        <w:rPr>
          <w:b/>
          <w:bCs/>
          <w:sz w:val="24"/>
          <w:szCs w:val="24"/>
        </w:rPr>
      </w:pPr>
      <w:bookmarkStart w:id="10" w:name="_t6ns3mz6ggcl" w:colFirst="0" w:colLast="0"/>
      <w:bookmarkEnd w:id="10"/>
      <w:r>
        <w:rPr>
          <w:b/>
          <w:bCs/>
          <w:sz w:val="24"/>
          <w:szCs w:val="24"/>
        </w:rPr>
        <w:t>Calculation of Derived Ratios</w:t>
      </w:r>
    </w:p>
    <w:p w14:paraId="266E15B1">
      <w:pPr>
        <w:spacing w:before="240" w:after="240"/>
        <w:jc w:val="both"/>
        <w:rPr>
          <w:rFonts w:hint="default" w:ascii="Times New Roman" w:hAnsi="Times New Roman" w:cs="Times New Roman"/>
          <w:sz w:val="24"/>
          <w:szCs w:val="24"/>
          <w:highlight w:val="yellow"/>
        </w:rPr>
      </w:pPr>
      <w:r>
        <w:rPr>
          <w:sz w:val="24"/>
          <w:szCs w:val="24"/>
        </w:rPr>
        <w:t>In addition to individual biomarker measurements, derived indices were calculated to enhance interpretation of renal function. These included the urea-to-creatinine ratio and the uric acid-to-creatinine ratio, obtained by dividing serum urea or uric acid concentrations by serum creatinine levels. These ratios provide additional insight into renal handling of metabolites and improve diagnostic interpretation.</w:t>
      </w:r>
      <w:r>
        <w:rPr>
          <w:sz w:val="24"/>
          <w:szCs w:val="24"/>
        </w:rPr>
        <w:br w:type="textWrapping"/>
      </w:r>
      <w:r>
        <w:rPr>
          <w:rFonts w:hint="default" w:ascii="Times New Roman" w:hAnsi="Times New Roman" w:eastAsia="SimSun" w:cs="Times New Roman"/>
          <w:sz w:val="24"/>
          <w:szCs w:val="24"/>
          <w:highlight w:val="yellow"/>
        </w:rPr>
        <w:t>To ensure uniformity in ratio calculations, serum urea, creatinine, and uric acid values were converted to mg/dL using standard conversion factors prior to computation of urea-to-creatinine and uric acid-to-creatinine ratios.</w:t>
      </w:r>
    </w:p>
    <w:p w14:paraId="7798CBC7">
      <w:pPr>
        <w:pStyle w:val="3"/>
        <w:keepNext w:val="0"/>
        <w:keepLines w:val="0"/>
        <w:spacing w:after="80"/>
        <w:jc w:val="both"/>
        <w:rPr>
          <w:b/>
          <w:bCs/>
          <w:sz w:val="24"/>
          <w:szCs w:val="24"/>
        </w:rPr>
      </w:pPr>
      <w:bookmarkStart w:id="11" w:name="_t6h7mcahnil4" w:colFirst="0" w:colLast="0"/>
      <w:bookmarkEnd w:id="11"/>
      <w:r>
        <w:rPr>
          <w:b/>
          <w:bCs/>
          <w:sz w:val="24"/>
          <w:szCs w:val="24"/>
        </w:rPr>
        <w:t>Statistical Analysis</w:t>
      </w:r>
    </w:p>
    <w:p w14:paraId="02EE9BB5">
      <w:pPr>
        <w:spacing w:before="240" w:after="240"/>
        <w:jc w:val="both"/>
        <w:rPr>
          <w:sz w:val="24"/>
          <w:szCs w:val="24"/>
        </w:rPr>
      </w:pPr>
      <w:r>
        <w:rPr>
          <w:sz w:val="24"/>
          <w:szCs w:val="24"/>
        </w:rPr>
        <w:t>Data obtained from the study were analyzed using the Statistical Package for Social Sciences version 24. Continuous variables were expressed as mean and standard deviation. Comparisons between pregnant and non-pregnant groups were carried out using Student’s independent t-test, while differences across trimesters were evaluated using one-way analysis of variance. A p-value less than 0.05 was considered statistically significant.</w:t>
      </w:r>
    </w:p>
    <w:p w14:paraId="305182A9">
      <w:pPr>
        <w:spacing w:before="240" w:after="240"/>
        <w:jc w:val="both"/>
        <w:rPr>
          <w:b/>
          <w:bCs/>
          <w:sz w:val="24"/>
          <w:szCs w:val="24"/>
        </w:rPr>
      </w:pPr>
    </w:p>
    <w:p w14:paraId="3BC9B3FD">
      <w:pPr>
        <w:spacing w:before="240" w:after="240"/>
        <w:jc w:val="both"/>
        <w:rPr>
          <w:b/>
          <w:bCs/>
          <w:sz w:val="24"/>
          <w:szCs w:val="24"/>
        </w:rPr>
      </w:pPr>
      <w:r>
        <w:rPr>
          <w:b/>
          <w:bCs/>
          <w:sz w:val="24"/>
          <w:szCs w:val="24"/>
        </w:rPr>
        <w:t>RESULT</w:t>
      </w:r>
    </w:p>
    <w:p w14:paraId="14E5D6C9">
      <w:pPr>
        <w:spacing w:before="240" w:after="240"/>
        <w:jc w:val="both"/>
        <w:rPr>
          <w:sz w:val="24"/>
          <w:szCs w:val="24"/>
        </w:rPr>
      </w:pPr>
      <w:r>
        <w:rPr>
          <w:rFonts w:hint="default" w:ascii="Times New Roman" w:hAnsi="Times New Roman" w:eastAsia="SimSun" w:cs="Times New Roman"/>
          <w:sz w:val="24"/>
          <w:szCs w:val="24"/>
          <w:highlight w:val="yellow"/>
        </w:rPr>
        <w:t>A total of 150 participants were included in this study, comprising 90 pregnant women and 60 non-pregnant controls. Pregnant participants were evenly distributed across the three trimesters. Comparative analysis revealed that pregnant women had significantly higher mean serum levels of creatinine, urea, uric acid, potassium, chloride, and bicarbonate compared to non-pregnant controls (p &lt; 0.05), while sodium levels showed no statistically significant difference (p &gt; 0.05).</w:t>
      </w:r>
      <w:r>
        <w:rPr>
          <w:rFonts w:ascii="SimSun" w:hAnsi="SimSun" w:eastAsia="SimSun" w:cs="SimSun"/>
          <w:sz w:val="24"/>
          <w:szCs w:val="24"/>
        </w:rPr>
        <w:br w:type="textWrapping"/>
      </w:r>
      <w:r>
        <w:rPr>
          <w:rFonts w:ascii="SimSun" w:hAnsi="SimSun" w:eastAsia="SimSun" w:cs="SimSun"/>
          <w:sz w:val="24"/>
          <w:szCs w:val="24"/>
        </w:rPr>
        <w:br w:type="textWrapping"/>
      </w:r>
      <w:r>
        <w:rPr>
          <w:sz w:val="24"/>
          <w:szCs w:val="24"/>
        </w:rPr>
        <w:t>Pregnant women exhibited significantly higher mean serum levels of creatinine, urea, uric acid, potassium, chloride, and bicarbonate compared to non-pregnant controls (p &lt; 0.05), whereas sodium levels did not differ significantly between the groups. These findings are consistent with previous reports indicating altered renal handling and electrolyte balance during pregnancy due to hormonal and hemodynamic adaptations (Meena &amp; Batool, 2026; Ohikere et al., 2025).</w:t>
      </w:r>
    </w:p>
    <w:p w14:paraId="100FB5C6">
      <w:pPr>
        <w:spacing w:before="240" w:after="240"/>
        <w:jc w:val="both"/>
        <w:rPr>
          <w:sz w:val="24"/>
          <w:szCs w:val="24"/>
        </w:rPr>
      </w:pPr>
      <w:r>
        <w:rPr>
          <w:sz w:val="24"/>
          <w:szCs w:val="24"/>
        </w:rPr>
        <w:t>The elevation in serum uric acid among pregnant women is in agreement with studies reporting increased uric acid levels in later stages of pregnancy, possibly reflecting changes in renal clearance and oxidative metabolism (Corominas et al., 2022; Singla, 2025). Similarly, the observed increases in creatinine and urea levels suggest ongoing physiological adaptations in renal function, influenced by factors such as plasma volume expansion and increased metabolic demand (Paizis &amp; Jarvis, 2021).</w:t>
      </w:r>
    </w:p>
    <w:p w14:paraId="4726131A">
      <w:pPr>
        <w:spacing w:before="240" w:after="240"/>
        <w:jc w:val="both"/>
        <w:rPr>
          <w:sz w:val="24"/>
          <w:szCs w:val="24"/>
        </w:rPr>
      </w:pPr>
      <w:r>
        <w:rPr>
          <w:sz w:val="24"/>
          <w:szCs w:val="24"/>
        </w:rPr>
        <w:t>Analysis of derived indices showed that the uric acid-to-creatinine ratio was significantly higher in pregnant women, while the urea-to-creatinine ratio was significantly lower compared to non-pregnant controls. These findings indicate differential renal handling of metabolic waste products during pregnancy and support the usefulness of ratio-based indices in enhancing the interpretation of renal function. Comparable observations have been reported in studies highlighting the diagnostic relevance of biomarker ratios in assessing renal function and fluid status (Lin et al., 2021; Wang, Lv, Wei, &amp; Zhao, 2026).</w:t>
      </w:r>
    </w:p>
    <w:p w14:paraId="405F60F0">
      <w:pPr>
        <w:spacing w:before="240" w:after="240"/>
        <w:jc w:val="both"/>
        <w:rPr>
          <w:sz w:val="24"/>
          <w:szCs w:val="24"/>
        </w:rPr>
      </w:pPr>
      <w:r>
        <w:rPr>
          <w:sz w:val="24"/>
          <w:szCs w:val="24"/>
        </w:rPr>
        <w:t>Further analysis across the three trimesters revealed a significant increase in serum creatinine levels toward the third trimester, suggesting progressive physiological changes in renal function with advancing gestation. In contrast, urea and uric acid levels remained relatively stable across trimesters, indicating preserved renal efficiency within physiological limits. These findings are consistent with reports of trimester-dependent variations in renal biomarkers, particularly the gradual rise in creatinine levels in late pregnancy (Ushida et al., 2025; Harel et al., 2019).</w:t>
      </w:r>
    </w:p>
    <w:p w14:paraId="04396A2D">
      <w:pPr>
        <w:spacing w:before="240" w:after="240"/>
        <w:jc w:val="both"/>
        <w:rPr>
          <w:sz w:val="24"/>
          <w:szCs w:val="24"/>
        </w:rPr>
      </w:pPr>
      <w:r>
        <w:rPr>
          <w:sz w:val="24"/>
          <w:szCs w:val="24"/>
        </w:rPr>
        <w:t>Electrolyte analysis demonstrated that sodium and bicarbonate levels remained relatively stable across trimesters, reflecting effective homeostatic regulation. Potassium levels showed non-significant fluctuations, while chloride levels decreased significantly in the third trimester. These variations may be attributed to hormonal influences, particularly the effects of aldosterone and progesterone on renal tubular transport (Scott et al., 2023; Cheung &amp; Lafayette, 2013).</w:t>
      </w:r>
    </w:p>
    <w:p w14:paraId="0E054894">
      <w:pPr>
        <w:spacing w:before="240" w:after="240"/>
        <w:jc w:val="both"/>
        <w:rPr>
          <w:sz w:val="24"/>
          <w:szCs w:val="24"/>
        </w:rPr>
      </w:pPr>
      <w:r>
        <w:rPr>
          <w:sz w:val="24"/>
          <w:szCs w:val="24"/>
        </w:rPr>
        <w:t>Age-based analysis showed no statistically significant differences in most renal biomarkers and electrolytes across age groups, except for potassium, which exhibited a significant decline with increasing age. This observation may reflect age-related changes in renal function and hormonal responsiveness, consistent with previous findings (Ohikere et al., 2025).</w:t>
      </w:r>
    </w:p>
    <w:p w14:paraId="4B8B8328">
      <w:pPr>
        <w:spacing w:before="240" w:after="240"/>
        <w:jc w:val="both"/>
        <w:rPr>
          <w:sz w:val="24"/>
          <w:szCs w:val="24"/>
        </w:rPr>
      </w:pPr>
      <w:r>
        <w:rPr>
          <w:sz w:val="24"/>
          <w:szCs w:val="24"/>
        </w:rPr>
        <w:t>The results demonstrate that pregnancy is associated with significant alterations in renal biomarkers and electrolyte balance, with additional insights provided by derived ratios, highlighting the dynamic nature of renal adaptation during pregnancy.</w:t>
      </w:r>
    </w:p>
    <w:p w14:paraId="07A6AC2A">
      <w:pPr>
        <w:spacing w:before="240" w:after="240"/>
        <w:jc w:val="both"/>
        <w:rPr>
          <w:sz w:val="24"/>
          <w:szCs w:val="24"/>
        </w:rPr>
      </w:pPr>
    </w:p>
    <w:p w14:paraId="169AB515">
      <w:pPr>
        <w:jc w:val="both"/>
        <w:rPr>
          <w:sz w:val="24"/>
          <w:szCs w:val="24"/>
        </w:rPr>
      </w:pPr>
    </w:p>
    <w:p w14:paraId="5B7D3D1B">
      <w:pPr>
        <w:jc w:val="both"/>
        <w:rPr>
          <w:b/>
          <w:bCs/>
          <w:sz w:val="24"/>
          <w:szCs w:val="24"/>
        </w:rPr>
      </w:pPr>
    </w:p>
    <w:p w14:paraId="409930B7">
      <w:pPr>
        <w:jc w:val="both"/>
        <w:rPr>
          <w:b/>
          <w:bCs/>
          <w:sz w:val="24"/>
          <w:szCs w:val="24"/>
        </w:rPr>
      </w:pPr>
    </w:p>
    <w:p w14:paraId="5C3667EB">
      <w:pPr>
        <w:jc w:val="both"/>
        <w:rPr>
          <w:b/>
          <w:bCs/>
          <w:sz w:val="24"/>
          <w:szCs w:val="24"/>
        </w:rPr>
      </w:pPr>
      <w:r>
        <w:rPr>
          <w:b/>
          <w:bCs/>
          <w:sz w:val="24"/>
          <w:szCs w:val="24"/>
        </w:rPr>
        <w:t>DISCUSSION</w:t>
      </w:r>
    </w:p>
    <w:p w14:paraId="7D69744C">
      <w:pPr>
        <w:jc w:val="both"/>
        <w:rPr>
          <w:sz w:val="24"/>
          <w:szCs w:val="24"/>
        </w:rPr>
      </w:pPr>
      <w:r>
        <w:rPr>
          <w:sz w:val="24"/>
          <w:szCs w:val="24"/>
        </w:rPr>
        <w:br w:type="textWrapping"/>
      </w:r>
      <w:r>
        <w:rPr>
          <w:sz w:val="24"/>
          <w:szCs w:val="24"/>
        </w:rPr>
        <w:t>This study evaluated renal biomarkers, electrolyte profiles, and derived ratios among pregnant and non-pregnant women in Port Harcourt, Nigeria, and demonstrated significant pregnancy-associated alterations. These findings reflect the complex physiological adaptations of the maternal renal system required to support fetal development and maintain homeostasis.</w:t>
      </w:r>
    </w:p>
    <w:p w14:paraId="406AF0A9">
      <w:pPr>
        <w:spacing w:before="240" w:after="240"/>
        <w:jc w:val="both"/>
        <w:rPr>
          <w:sz w:val="24"/>
          <w:szCs w:val="24"/>
          <w:highlight w:val="green"/>
        </w:rPr>
      </w:pPr>
      <w:r>
        <w:rPr>
          <w:rFonts w:hint="default" w:ascii="Times New Roman" w:hAnsi="Times New Roman" w:eastAsia="SimSun" w:cs="Times New Roman"/>
          <w:sz w:val="24"/>
          <w:szCs w:val="24"/>
          <w:highlight w:val="yellow"/>
        </w:rPr>
        <w:t>Interestingly, pregnant women in this study exhibited higher serum creatinine and urea levels compared to non-pregnant controls, which contrasts with the classical expectation of reduced levels due to pregnancy-induced hyperfiltration. This discrepancy may reflect population-specific factors such as dietary protein intake, hydration status, and environmental influences, as well as potential analytical limitations associated with the Jaffe method</w:t>
      </w:r>
      <w:r>
        <w:rPr>
          <w:rFonts w:hint="default" w:ascii="Times New Roman" w:hAnsi="Times New Roman" w:eastAsia="SimSun" w:cs="Times New Roman"/>
          <w:sz w:val="24"/>
          <w:szCs w:val="24"/>
          <w:highlight w:val="yellow"/>
          <w:lang w:val="en-US"/>
        </w:rPr>
        <w:t>.</w:t>
      </w:r>
      <w:r>
        <w:rPr>
          <w:rFonts w:ascii="SimSun" w:hAnsi="SimSun" w:eastAsia="SimSun" w:cs="SimSun"/>
          <w:sz w:val="24"/>
          <w:szCs w:val="24"/>
        </w:rPr>
        <w:br w:type="textWrapping"/>
      </w:r>
    </w:p>
    <w:p w14:paraId="5C89FE72">
      <w:pPr>
        <w:spacing w:before="240" w:after="240"/>
        <w:jc w:val="both"/>
        <w:rPr>
          <w:sz w:val="24"/>
          <w:szCs w:val="24"/>
        </w:rPr>
      </w:pPr>
      <w:r>
        <w:rPr>
          <w:sz w:val="24"/>
          <w:szCs w:val="24"/>
        </w:rPr>
        <w:t>Similarly, the elevated serum urea levels observed in pregnant women differ from classical reports of decreased urea concentrations associated with enhanced renal clearance and plasma volume expansion (Gao et al., 2021). This finding may be attributed to increased protein metabolism, dietary variations, or differences in renal perfusion within the study population, underscoring the importance of considering local physiological and environmental factors in biochemical interpretation.</w:t>
      </w:r>
    </w:p>
    <w:p w14:paraId="63322E6E">
      <w:pPr>
        <w:spacing w:before="240" w:after="240"/>
        <w:jc w:val="both"/>
        <w:rPr>
          <w:sz w:val="24"/>
          <w:szCs w:val="24"/>
        </w:rPr>
      </w:pPr>
      <w:r>
        <w:rPr>
          <w:sz w:val="24"/>
          <w:szCs w:val="24"/>
        </w:rPr>
        <w:t>Serum uric acid levels were also significantly elevated among pregnant women, consistent with previous studies reporting increased uric acid concentrations, particularly in later stages of pregnancy (Arias-Sánchez et al., 2025; Harel et al., 2019). Uric acid serves both as an antioxidant and as a marker of oxidative stress, and its elevation has been associated with endothelial dysfunction and the development of hypertensive disorders such as preeclampsia (Du et al., 2024; Huang et al., 2017). These findings support the potential clinical relevance of uric acid as a biomarker in pregnancy.</w:t>
      </w:r>
    </w:p>
    <w:p w14:paraId="478964F3">
      <w:pPr>
        <w:spacing w:before="240" w:after="240"/>
        <w:jc w:val="both"/>
        <w:rPr>
          <w:sz w:val="24"/>
          <w:szCs w:val="24"/>
        </w:rPr>
      </w:pPr>
      <w:r>
        <w:rPr>
          <w:sz w:val="24"/>
          <w:szCs w:val="24"/>
        </w:rPr>
        <w:t>Analysis of derived indices revealed a significant increase in the uric acid-to-creatinine ratio and a decrease in the urea-to-creatinine ratio among pregnant women. These results indicate differential renal handling of metabolic waste products during pregnancy and highlight the value of ratio-based indices in enhancing the interpretation of renal function. Previous studies have similarly demonstrated the diagnostic utility of such ratios in assessing renal perfusion, fluid status, and metabolic balance (Gounden et al., 2024; Wu et al., 2024). The elevated uric acid-to-creatinine ratio observed in this study may therefore serve as an early indicator of altered renal adaptation and potential risk of hypertensive complications.</w:t>
      </w:r>
    </w:p>
    <w:p w14:paraId="32D1164B">
      <w:pPr>
        <w:spacing w:before="240" w:after="240"/>
        <w:jc w:val="both"/>
        <w:rPr>
          <w:sz w:val="24"/>
          <w:szCs w:val="24"/>
        </w:rPr>
      </w:pPr>
      <w:r>
        <w:rPr>
          <w:sz w:val="24"/>
          <w:szCs w:val="24"/>
        </w:rPr>
        <w:t>Trimester-based analysis showed a significant increase in serum creatinine levels toward the third trimester, consistent with reports of progressive changes in renal function as pregnancy advances (Piani et al., 2023). In contrast, urea and uric acid levels remained relatively stable across trimesters, suggesting that compensatory mechanisms maintain these parameters within physiological limits despite increasing metabolic demands.</w:t>
      </w:r>
    </w:p>
    <w:p w14:paraId="42568846">
      <w:pPr>
        <w:spacing w:before="240" w:after="240"/>
        <w:jc w:val="both"/>
        <w:rPr>
          <w:sz w:val="24"/>
          <w:szCs w:val="24"/>
        </w:rPr>
      </w:pPr>
      <w:r>
        <w:rPr>
          <w:sz w:val="24"/>
          <w:szCs w:val="24"/>
        </w:rPr>
        <w:t>Electrolyte analysis demonstrated that sodium and bicarbonate levels remained stable across groups and trimesters, reflecting effective homeostatic regulation mediated by hormonal systems such as the renin–angiotensin–aldosterone system and antidiuretic hormone (Vinturache &amp; Khalil, 2021). However, potassium and chloride levels were significantly elevated in pregnant women, with chloride showing a decline in the third trimester. These variations may be attributed to hormonal influences on renal tubular transport, particularly the actions of aldosterone and progesterone.</w:t>
      </w:r>
    </w:p>
    <w:p w14:paraId="176A98ED">
      <w:pPr>
        <w:spacing w:before="240" w:after="240"/>
        <w:jc w:val="both"/>
        <w:rPr>
          <w:sz w:val="24"/>
          <w:szCs w:val="24"/>
        </w:rPr>
      </w:pPr>
      <w:r>
        <w:rPr>
          <w:sz w:val="24"/>
          <w:szCs w:val="24"/>
        </w:rPr>
        <w:t>Age-related analysis revealed minimal variation in most renal biomarkers, except for a significant decline in potassium levels with increasing age. This finding may reflect age-related changes in renal function and hormonal responsiveness, consistent with previous reports (Rangaswami et al., 2019).</w:t>
      </w:r>
    </w:p>
    <w:p w14:paraId="2D9F48C7">
      <w:pPr>
        <w:spacing w:before="240" w:after="240"/>
        <w:jc w:val="both"/>
        <w:rPr>
          <w:highlight w:val="cyan"/>
        </w:rPr>
      </w:pPr>
      <w:r>
        <w:rPr>
          <w:sz w:val="24"/>
          <w:szCs w:val="24"/>
        </w:rPr>
        <w:t>Overall, the findings of this study highlight the dynamic and context-dependent nature of renal adaptation during pregnancy. The observed variations emphasize the need for locally derived reference values, as reliance on generalized reference ranges may lead to misinterpretation of physiological changes as pathological conditions. Furthermore, the inclusion of derived ratios enhances the diagnostic value of renal biomarkers and may improve early detection of renal dysfunction and hypertensive disorders in pregnancy.</w:t>
      </w:r>
    </w:p>
    <w:p w14:paraId="327D6B0B">
      <w:pPr>
        <w:pStyle w:val="2"/>
        <w:keepNext w:val="0"/>
        <w:keepLines w:val="0"/>
        <w:spacing w:before="480"/>
        <w:jc w:val="both"/>
        <w:rPr>
          <w:b/>
          <w:bCs/>
          <w:sz w:val="24"/>
          <w:szCs w:val="24"/>
        </w:rPr>
      </w:pPr>
      <w:bookmarkStart w:id="12" w:name="_xp9ku5rm762q" w:colFirst="0" w:colLast="0"/>
      <w:bookmarkEnd w:id="12"/>
      <w:r>
        <w:rPr>
          <w:b/>
          <w:bCs/>
          <w:sz w:val="24"/>
          <w:szCs w:val="24"/>
        </w:rPr>
        <w:t>CONCLUSION</w:t>
      </w:r>
    </w:p>
    <w:p w14:paraId="64E14B9D">
      <w:pPr>
        <w:pStyle w:val="13"/>
        <w:keepNext w:val="0"/>
        <w:keepLines w:val="0"/>
        <w:widowControl/>
        <w:suppressLineNumbers w:val="0"/>
        <w:jc w:val="both"/>
        <w:rPr>
          <w:highlight w:val="yellow"/>
        </w:rPr>
      </w:pPr>
      <w:r>
        <w:rPr>
          <w:highlight w:val="yellow"/>
        </w:rPr>
        <w:t>This study demonstrates that pregnancy is associated with significant alterations in renal biomarkers, electrolyte profiles, and derived indices among women in Port Harcourt, Nigeria. Notably, elevated levels of creatinine, urea, uric acid, and selected electrolytes, alongside significant changes in uric acid-to-creatinine and urea-to-creatinine ratios, indicate dynamic renal adaptations during pregnancy.</w:t>
      </w:r>
    </w:p>
    <w:p w14:paraId="73960F50">
      <w:pPr>
        <w:pStyle w:val="13"/>
        <w:keepNext w:val="0"/>
        <w:keepLines w:val="0"/>
        <w:widowControl/>
        <w:suppressLineNumbers w:val="0"/>
        <w:jc w:val="both"/>
        <w:rPr>
          <w:highlight w:val="yellow"/>
        </w:rPr>
      </w:pPr>
      <w:r>
        <w:rPr>
          <w:highlight w:val="yellow"/>
        </w:rPr>
        <w:t xml:space="preserve">These findings underscore the importance of population-specific reference ranges and highlight the clinical utility of biomarker ratios in improving the assessment of renal function and early </w:t>
      </w:r>
      <w:r>
        <w:rPr>
          <w:rFonts w:hint="default" w:ascii="Times New Roman" w:hAnsi="Times New Roman" w:cs="Times New Roman"/>
          <w:highlight w:val="yellow"/>
        </w:rPr>
        <w:t>detection of pregnancy-related complications.</w:t>
      </w:r>
      <w:r>
        <w:rPr>
          <w:rFonts w:hint="default" w:ascii="Times New Roman" w:hAnsi="Times New Roman" w:cs="Times New Roman"/>
          <w:highlight w:val="yellow"/>
        </w:rPr>
        <w:br w:type="textWrapping"/>
      </w:r>
      <w:r>
        <w:rPr>
          <w:rFonts w:hint="default" w:ascii="Times New Roman" w:hAnsi="Times New Roman" w:eastAsia="SimSun" w:cs="Times New Roman"/>
          <w:sz w:val="24"/>
          <w:szCs w:val="24"/>
          <w:highlight w:val="yellow"/>
        </w:rPr>
        <w:t>These findings may support early identification of pregnancy-related renal complications such as preeclampsia in resource-limited settings.</w:t>
      </w:r>
    </w:p>
    <w:p w14:paraId="0971D55B">
      <w:pPr>
        <w:spacing w:before="240" w:after="240"/>
        <w:jc w:val="both"/>
        <w:rPr>
          <w:sz w:val="24"/>
          <w:szCs w:val="24"/>
        </w:rPr>
      </w:pPr>
      <w:bookmarkStart w:id="25" w:name="_GoBack"/>
      <w:bookmarkEnd w:id="25"/>
    </w:p>
    <w:p w14:paraId="326638A2">
      <w:pPr>
        <w:pStyle w:val="2"/>
        <w:keepNext w:val="0"/>
        <w:keepLines w:val="0"/>
        <w:spacing w:before="480"/>
        <w:jc w:val="both"/>
        <w:rPr>
          <w:b/>
          <w:bCs/>
          <w:sz w:val="24"/>
          <w:szCs w:val="24"/>
        </w:rPr>
      </w:pPr>
      <w:bookmarkStart w:id="13" w:name="_5pzr4rxzop0s" w:colFirst="0" w:colLast="0"/>
      <w:bookmarkEnd w:id="13"/>
      <w:r>
        <w:rPr>
          <w:b/>
          <w:bCs/>
          <w:sz w:val="24"/>
          <w:szCs w:val="24"/>
        </w:rPr>
        <w:t>LIMITATIONS</w:t>
      </w:r>
    </w:p>
    <w:p w14:paraId="3B19FD0C">
      <w:pPr>
        <w:spacing w:before="240" w:after="240"/>
        <w:jc w:val="both"/>
        <w:rPr>
          <w:b/>
          <w:bCs/>
          <w:sz w:val="24"/>
          <w:szCs w:val="24"/>
        </w:rPr>
        <w:sectPr>
          <w:headerReference r:id="rId7" w:type="first"/>
          <w:footerReference r:id="rId10" w:type="first"/>
          <w:headerReference r:id="rId5" w:type="default"/>
          <w:footerReference r:id="rId8" w:type="default"/>
          <w:headerReference r:id="rId6" w:type="even"/>
          <w:footerReference r:id="rId9" w:type="even"/>
          <w:pgSz w:w="12240" w:h="15840"/>
          <w:pgMar w:top="1440" w:right="1440" w:bottom="1440" w:left="1440" w:header="720" w:footer="720" w:gutter="0"/>
          <w:pgNumType w:start="1"/>
          <w:cols w:space="720" w:num="1"/>
        </w:sectPr>
      </w:pPr>
      <w:r>
        <w:rPr>
          <w:sz w:val="24"/>
          <w:szCs w:val="24"/>
        </w:rPr>
        <w:t>This study has several limitations. First, it was conducted in a single tertiary healthcare center, which may limit the generalizability of the findings to other populations. Second, the cross-sectional design does not allow for assessment of temporal changes or causal relationships in renal biomarkers during pregnancy. Third, potential confounding factors such as dietary intake, hydration status, and body mass index were not fully controlled. Additionally, the use of the Jaffe method for creatinine estimation may introduce analytical bias. Finally, emerging renal biomarkers were not included, which may limit the sensitivity of detecting early renal dysfunction.</w:t>
      </w:r>
    </w:p>
    <w:p w14:paraId="45DDA5AE">
      <w:pPr>
        <w:jc w:val="both"/>
        <w:rPr>
          <w:b/>
          <w:bCs/>
          <w:sz w:val="24"/>
          <w:szCs w:val="24"/>
        </w:rPr>
      </w:pPr>
      <w:r>
        <w:rPr>
          <w:b/>
          <w:bCs/>
          <w:sz w:val="24"/>
          <w:szCs w:val="24"/>
        </w:rPr>
        <w:t>Table 1: Demographic characteristics of the study population</w:t>
      </w:r>
    </w:p>
    <w:tbl>
      <w:tblPr>
        <w:tblStyle w:val="18"/>
        <w:tblW w:w="1290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00" w:type="dxa"/>
          <w:left w:w="100" w:type="dxa"/>
          <w:bottom w:w="100" w:type="dxa"/>
          <w:right w:w="100" w:type="dxa"/>
        </w:tblCellMar>
      </w:tblPr>
      <w:tblGrid>
        <w:gridCol w:w="3450"/>
        <w:gridCol w:w="1845"/>
        <w:gridCol w:w="2970"/>
        <w:gridCol w:w="2715"/>
        <w:gridCol w:w="1920"/>
      </w:tblGrid>
      <w:tr w14:paraId="4C1093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800" w:hRule="atLeast"/>
        </w:trPr>
        <w:tc>
          <w:tcPr>
            <w:tcW w:w="3450" w:type="dxa"/>
            <w:tcBorders>
              <w:top w:val="nil"/>
              <w:left w:val="nil"/>
              <w:bottom w:val="nil"/>
              <w:right w:val="nil"/>
            </w:tcBorders>
            <w:tcMar>
              <w:top w:w="100" w:type="dxa"/>
              <w:left w:w="100" w:type="dxa"/>
              <w:bottom w:w="100" w:type="dxa"/>
              <w:right w:w="100" w:type="dxa"/>
            </w:tcMar>
          </w:tcPr>
          <w:p w14:paraId="527D0FF6">
            <w:pPr>
              <w:rPr>
                <w:sz w:val="24"/>
                <w:szCs w:val="24"/>
              </w:rPr>
            </w:pPr>
            <w:r>
              <w:rPr>
                <w:b/>
                <w:bCs/>
                <w:sz w:val="24"/>
                <w:szCs w:val="24"/>
              </w:rPr>
              <w:t>Variable</w:t>
            </w:r>
          </w:p>
        </w:tc>
        <w:tc>
          <w:tcPr>
            <w:tcW w:w="1845" w:type="dxa"/>
            <w:tcBorders>
              <w:top w:val="nil"/>
              <w:left w:val="nil"/>
              <w:bottom w:val="nil"/>
              <w:right w:val="nil"/>
            </w:tcBorders>
            <w:tcMar>
              <w:top w:w="100" w:type="dxa"/>
              <w:left w:w="100" w:type="dxa"/>
              <w:bottom w:w="100" w:type="dxa"/>
              <w:right w:w="100" w:type="dxa"/>
            </w:tcMar>
          </w:tcPr>
          <w:p w14:paraId="5A25BBA0">
            <w:pPr>
              <w:jc w:val="center"/>
              <w:rPr>
                <w:sz w:val="24"/>
                <w:szCs w:val="24"/>
              </w:rPr>
            </w:pPr>
            <w:r>
              <w:rPr>
                <w:b/>
                <w:bCs/>
                <w:sz w:val="24"/>
                <w:szCs w:val="24"/>
              </w:rPr>
              <w:t>Category</w:t>
            </w:r>
          </w:p>
        </w:tc>
        <w:tc>
          <w:tcPr>
            <w:tcW w:w="2970" w:type="dxa"/>
            <w:tcBorders>
              <w:top w:val="nil"/>
              <w:left w:val="nil"/>
              <w:bottom w:val="nil"/>
              <w:right w:val="nil"/>
            </w:tcBorders>
            <w:tcMar>
              <w:top w:w="100" w:type="dxa"/>
              <w:left w:w="100" w:type="dxa"/>
              <w:bottom w:w="100" w:type="dxa"/>
              <w:right w:w="100" w:type="dxa"/>
            </w:tcMar>
          </w:tcPr>
          <w:p w14:paraId="04CC1501">
            <w:pPr>
              <w:jc w:val="center"/>
              <w:rPr>
                <w:sz w:val="24"/>
                <w:szCs w:val="24"/>
              </w:rPr>
            </w:pPr>
            <w:r>
              <w:rPr>
                <w:b/>
                <w:bCs/>
                <w:sz w:val="24"/>
                <w:szCs w:val="24"/>
              </w:rPr>
              <w:t>Pregnant (n = 90)</w:t>
            </w:r>
          </w:p>
        </w:tc>
        <w:tc>
          <w:tcPr>
            <w:tcW w:w="2715" w:type="dxa"/>
            <w:tcBorders>
              <w:top w:val="nil"/>
              <w:left w:val="nil"/>
              <w:bottom w:val="nil"/>
              <w:right w:val="nil"/>
            </w:tcBorders>
            <w:tcMar>
              <w:top w:w="100" w:type="dxa"/>
              <w:left w:w="100" w:type="dxa"/>
              <w:bottom w:w="100" w:type="dxa"/>
              <w:right w:w="100" w:type="dxa"/>
            </w:tcMar>
          </w:tcPr>
          <w:p w14:paraId="061C7FA1">
            <w:pPr>
              <w:jc w:val="center"/>
              <w:rPr>
                <w:sz w:val="24"/>
                <w:szCs w:val="24"/>
              </w:rPr>
            </w:pPr>
            <w:r>
              <w:rPr>
                <w:b/>
                <w:bCs/>
                <w:sz w:val="24"/>
                <w:szCs w:val="24"/>
              </w:rPr>
              <w:t>Non-pregnant (n = 60)</w:t>
            </w:r>
          </w:p>
        </w:tc>
        <w:tc>
          <w:tcPr>
            <w:tcW w:w="1920" w:type="dxa"/>
            <w:tcBorders>
              <w:top w:val="nil"/>
              <w:left w:val="nil"/>
              <w:bottom w:val="nil"/>
              <w:right w:val="nil"/>
            </w:tcBorders>
            <w:tcMar>
              <w:top w:w="100" w:type="dxa"/>
              <w:left w:w="100" w:type="dxa"/>
              <w:bottom w:w="100" w:type="dxa"/>
              <w:right w:w="100" w:type="dxa"/>
            </w:tcMar>
          </w:tcPr>
          <w:p w14:paraId="3F9D0D9C">
            <w:pPr>
              <w:jc w:val="center"/>
              <w:rPr>
                <w:sz w:val="24"/>
                <w:szCs w:val="24"/>
              </w:rPr>
            </w:pPr>
            <w:r>
              <w:rPr>
                <w:b/>
                <w:bCs/>
                <w:sz w:val="24"/>
                <w:szCs w:val="24"/>
              </w:rPr>
              <w:t>Total (n = 150)</w:t>
            </w:r>
          </w:p>
        </w:tc>
      </w:tr>
      <w:tr w14:paraId="373523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515" w:hRule="atLeast"/>
        </w:trPr>
        <w:tc>
          <w:tcPr>
            <w:tcW w:w="3450" w:type="dxa"/>
            <w:tcBorders>
              <w:top w:val="nil"/>
              <w:left w:val="nil"/>
              <w:bottom w:val="nil"/>
              <w:right w:val="nil"/>
            </w:tcBorders>
            <w:tcMar>
              <w:top w:w="100" w:type="dxa"/>
              <w:left w:w="100" w:type="dxa"/>
              <w:bottom w:w="100" w:type="dxa"/>
              <w:right w:w="100" w:type="dxa"/>
            </w:tcMar>
          </w:tcPr>
          <w:p w14:paraId="09AA31C9">
            <w:pPr>
              <w:jc w:val="both"/>
              <w:rPr>
                <w:sz w:val="24"/>
                <w:szCs w:val="24"/>
              </w:rPr>
            </w:pPr>
            <w:r>
              <w:rPr>
                <w:sz w:val="24"/>
                <w:szCs w:val="24"/>
              </w:rPr>
              <w:t>Marital Status</w:t>
            </w:r>
          </w:p>
        </w:tc>
        <w:tc>
          <w:tcPr>
            <w:tcW w:w="1845" w:type="dxa"/>
            <w:tcBorders>
              <w:top w:val="nil"/>
              <w:left w:val="nil"/>
              <w:bottom w:val="nil"/>
              <w:right w:val="nil"/>
            </w:tcBorders>
            <w:tcMar>
              <w:top w:w="100" w:type="dxa"/>
              <w:left w:w="100" w:type="dxa"/>
              <w:bottom w:w="100" w:type="dxa"/>
              <w:right w:w="100" w:type="dxa"/>
            </w:tcMar>
          </w:tcPr>
          <w:p w14:paraId="3219EAAB">
            <w:pPr>
              <w:jc w:val="both"/>
              <w:rPr>
                <w:sz w:val="24"/>
                <w:szCs w:val="24"/>
              </w:rPr>
            </w:pPr>
            <w:r>
              <w:rPr>
                <w:sz w:val="24"/>
                <w:szCs w:val="24"/>
              </w:rPr>
              <w:t>Single</w:t>
            </w:r>
          </w:p>
        </w:tc>
        <w:tc>
          <w:tcPr>
            <w:tcW w:w="2970" w:type="dxa"/>
            <w:tcBorders>
              <w:top w:val="nil"/>
              <w:left w:val="nil"/>
              <w:bottom w:val="nil"/>
              <w:right w:val="nil"/>
            </w:tcBorders>
            <w:tcMar>
              <w:top w:w="100" w:type="dxa"/>
              <w:left w:w="100" w:type="dxa"/>
              <w:bottom w:w="100" w:type="dxa"/>
              <w:right w:w="100" w:type="dxa"/>
            </w:tcMar>
          </w:tcPr>
          <w:p w14:paraId="7BD408E5">
            <w:pPr>
              <w:jc w:val="both"/>
              <w:rPr>
                <w:sz w:val="24"/>
                <w:szCs w:val="24"/>
              </w:rPr>
            </w:pPr>
            <w:r>
              <w:rPr>
                <w:sz w:val="24"/>
                <w:szCs w:val="24"/>
              </w:rPr>
              <w:t>32 (35.6%)</w:t>
            </w:r>
          </w:p>
        </w:tc>
        <w:tc>
          <w:tcPr>
            <w:tcW w:w="2715" w:type="dxa"/>
            <w:tcBorders>
              <w:top w:val="nil"/>
              <w:left w:val="nil"/>
              <w:bottom w:val="nil"/>
              <w:right w:val="nil"/>
            </w:tcBorders>
            <w:tcMar>
              <w:top w:w="100" w:type="dxa"/>
              <w:left w:w="100" w:type="dxa"/>
              <w:bottom w:w="100" w:type="dxa"/>
              <w:right w:w="100" w:type="dxa"/>
            </w:tcMar>
          </w:tcPr>
          <w:p w14:paraId="27306E59">
            <w:pPr>
              <w:jc w:val="both"/>
              <w:rPr>
                <w:sz w:val="24"/>
                <w:szCs w:val="24"/>
              </w:rPr>
            </w:pPr>
            <w:r>
              <w:rPr>
                <w:sz w:val="24"/>
                <w:szCs w:val="24"/>
              </w:rPr>
              <w:t>35 (58.3%)</w:t>
            </w:r>
          </w:p>
        </w:tc>
        <w:tc>
          <w:tcPr>
            <w:tcW w:w="1920" w:type="dxa"/>
            <w:tcBorders>
              <w:top w:val="nil"/>
              <w:left w:val="nil"/>
              <w:bottom w:val="nil"/>
              <w:right w:val="nil"/>
            </w:tcBorders>
            <w:tcMar>
              <w:top w:w="100" w:type="dxa"/>
              <w:left w:w="100" w:type="dxa"/>
              <w:bottom w:w="100" w:type="dxa"/>
              <w:right w:w="100" w:type="dxa"/>
            </w:tcMar>
          </w:tcPr>
          <w:p w14:paraId="6D41638E">
            <w:pPr>
              <w:jc w:val="both"/>
              <w:rPr>
                <w:sz w:val="24"/>
                <w:szCs w:val="24"/>
              </w:rPr>
            </w:pPr>
            <w:r>
              <w:rPr>
                <w:sz w:val="24"/>
                <w:szCs w:val="24"/>
              </w:rPr>
              <w:t>67 (44.7%)</w:t>
            </w:r>
          </w:p>
        </w:tc>
      </w:tr>
      <w:tr w14:paraId="4C3DCB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515" w:hRule="atLeast"/>
        </w:trPr>
        <w:tc>
          <w:tcPr>
            <w:tcW w:w="3450" w:type="dxa"/>
            <w:tcBorders>
              <w:top w:val="nil"/>
              <w:left w:val="nil"/>
              <w:bottom w:val="nil"/>
              <w:right w:val="nil"/>
            </w:tcBorders>
            <w:tcMar>
              <w:top w:w="100" w:type="dxa"/>
              <w:left w:w="100" w:type="dxa"/>
              <w:bottom w:w="100" w:type="dxa"/>
              <w:right w:w="100" w:type="dxa"/>
            </w:tcMar>
          </w:tcPr>
          <w:p w14:paraId="20DE7F54">
            <w:pPr>
              <w:jc w:val="both"/>
              <w:rPr>
                <w:sz w:val="24"/>
                <w:szCs w:val="24"/>
              </w:rPr>
            </w:pPr>
          </w:p>
        </w:tc>
        <w:tc>
          <w:tcPr>
            <w:tcW w:w="1845" w:type="dxa"/>
            <w:tcBorders>
              <w:top w:val="nil"/>
              <w:left w:val="nil"/>
              <w:bottom w:val="nil"/>
              <w:right w:val="nil"/>
            </w:tcBorders>
            <w:tcMar>
              <w:top w:w="100" w:type="dxa"/>
              <w:left w:w="100" w:type="dxa"/>
              <w:bottom w:w="100" w:type="dxa"/>
              <w:right w:w="100" w:type="dxa"/>
            </w:tcMar>
          </w:tcPr>
          <w:p w14:paraId="356438B0">
            <w:pPr>
              <w:jc w:val="both"/>
              <w:rPr>
                <w:sz w:val="24"/>
                <w:szCs w:val="24"/>
              </w:rPr>
            </w:pPr>
            <w:r>
              <w:rPr>
                <w:sz w:val="24"/>
                <w:szCs w:val="24"/>
              </w:rPr>
              <w:t>Married</w:t>
            </w:r>
          </w:p>
        </w:tc>
        <w:tc>
          <w:tcPr>
            <w:tcW w:w="2970" w:type="dxa"/>
            <w:tcBorders>
              <w:top w:val="nil"/>
              <w:left w:val="nil"/>
              <w:bottom w:val="nil"/>
              <w:right w:val="nil"/>
            </w:tcBorders>
            <w:tcMar>
              <w:top w:w="100" w:type="dxa"/>
              <w:left w:w="100" w:type="dxa"/>
              <w:bottom w:w="100" w:type="dxa"/>
              <w:right w:w="100" w:type="dxa"/>
            </w:tcMar>
          </w:tcPr>
          <w:p w14:paraId="67A8A581">
            <w:pPr>
              <w:jc w:val="both"/>
              <w:rPr>
                <w:sz w:val="24"/>
                <w:szCs w:val="24"/>
              </w:rPr>
            </w:pPr>
            <w:r>
              <w:rPr>
                <w:sz w:val="24"/>
                <w:szCs w:val="24"/>
              </w:rPr>
              <w:t>58 (64.4%)</w:t>
            </w:r>
          </w:p>
        </w:tc>
        <w:tc>
          <w:tcPr>
            <w:tcW w:w="2715" w:type="dxa"/>
            <w:tcBorders>
              <w:top w:val="nil"/>
              <w:left w:val="nil"/>
              <w:bottom w:val="nil"/>
              <w:right w:val="nil"/>
            </w:tcBorders>
            <w:tcMar>
              <w:top w:w="100" w:type="dxa"/>
              <w:left w:w="100" w:type="dxa"/>
              <w:bottom w:w="100" w:type="dxa"/>
              <w:right w:w="100" w:type="dxa"/>
            </w:tcMar>
          </w:tcPr>
          <w:p w14:paraId="11CA85F9">
            <w:pPr>
              <w:jc w:val="both"/>
              <w:rPr>
                <w:sz w:val="24"/>
                <w:szCs w:val="24"/>
              </w:rPr>
            </w:pPr>
            <w:r>
              <w:rPr>
                <w:sz w:val="24"/>
                <w:szCs w:val="24"/>
              </w:rPr>
              <w:t>25 (41.7%)</w:t>
            </w:r>
          </w:p>
        </w:tc>
        <w:tc>
          <w:tcPr>
            <w:tcW w:w="1920" w:type="dxa"/>
            <w:tcBorders>
              <w:top w:val="nil"/>
              <w:left w:val="nil"/>
              <w:bottom w:val="nil"/>
              <w:right w:val="nil"/>
            </w:tcBorders>
            <w:tcMar>
              <w:top w:w="100" w:type="dxa"/>
              <w:left w:w="100" w:type="dxa"/>
              <w:bottom w:w="100" w:type="dxa"/>
              <w:right w:w="100" w:type="dxa"/>
            </w:tcMar>
          </w:tcPr>
          <w:p w14:paraId="211FFC59">
            <w:pPr>
              <w:jc w:val="both"/>
              <w:rPr>
                <w:sz w:val="24"/>
                <w:szCs w:val="24"/>
              </w:rPr>
            </w:pPr>
            <w:r>
              <w:rPr>
                <w:sz w:val="24"/>
                <w:szCs w:val="24"/>
              </w:rPr>
              <w:t>83 (55.3%)</w:t>
            </w:r>
          </w:p>
        </w:tc>
      </w:tr>
      <w:tr w14:paraId="5547C7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515" w:hRule="atLeast"/>
        </w:trPr>
        <w:tc>
          <w:tcPr>
            <w:tcW w:w="3450" w:type="dxa"/>
            <w:tcBorders>
              <w:top w:val="nil"/>
              <w:left w:val="nil"/>
              <w:bottom w:val="nil"/>
              <w:right w:val="nil"/>
            </w:tcBorders>
            <w:tcMar>
              <w:top w:w="100" w:type="dxa"/>
              <w:left w:w="100" w:type="dxa"/>
              <w:bottom w:w="100" w:type="dxa"/>
              <w:right w:w="100" w:type="dxa"/>
            </w:tcMar>
          </w:tcPr>
          <w:p w14:paraId="3F1B5AC5">
            <w:pPr>
              <w:jc w:val="both"/>
              <w:rPr>
                <w:sz w:val="24"/>
                <w:szCs w:val="24"/>
              </w:rPr>
            </w:pPr>
            <w:r>
              <w:rPr>
                <w:sz w:val="24"/>
                <w:szCs w:val="24"/>
              </w:rPr>
              <w:t>Education Level</w:t>
            </w:r>
          </w:p>
        </w:tc>
        <w:tc>
          <w:tcPr>
            <w:tcW w:w="1845" w:type="dxa"/>
            <w:tcBorders>
              <w:top w:val="nil"/>
              <w:left w:val="nil"/>
              <w:bottom w:val="nil"/>
              <w:right w:val="nil"/>
            </w:tcBorders>
            <w:tcMar>
              <w:top w:w="100" w:type="dxa"/>
              <w:left w:w="100" w:type="dxa"/>
              <w:bottom w:w="100" w:type="dxa"/>
              <w:right w:w="100" w:type="dxa"/>
            </w:tcMar>
          </w:tcPr>
          <w:p w14:paraId="2E7F56FC">
            <w:pPr>
              <w:jc w:val="both"/>
              <w:rPr>
                <w:sz w:val="24"/>
                <w:szCs w:val="24"/>
              </w:rPr>
            </w:pPr>
            <w:r>
              <w:rPr>
                <w:sz w:val="24"/>
                <w:szCs w:val="24"/>
              </w:rPr>
              <w:t>Primary</w:t>
            </w:r>
          </w:p>
        </w:tc>
        <w:tc>
          <w:tcPr>
            <w:tcW w:w="2970" w:type="dxa"/>
            <w:tcBorders>
              <w:top w:val="nil"/>
              <w:left w:val="nil"/>
              <w:bottom w:val="nil"/>
              <w:right w:val="nil"/>
            </w:tcBorders>
            <w:tcMar>
              <w:top w:w="100" w:type="dxa"/>
              <w:left w:w="100" w:type="dxa"/>
              <w:bottom w:w="100" w:type="dxa"/>
              <w:right w:w="100" w:type="dxa"/>
            </w:tcMar>
          </w:tcPr>
          <w:p w14:paraId="469D2E4F">
            <w:pPr>
              <w:jc w:val="both"/>
              <w:rPr>
                <w:sz w:val="24"/>
                <w:szCs w:val="24"/>
              </w:rPr>
            </w:pPr>
            <w:r>
              <w:rPr>
                <w:sz w:val="24"/>
                <w:szCs w:val="24"/>
              </w:rPr>
              <w:t>0 (0.0%)</w:t>
            </w:r>
          </w:p>
        </w:tc>
        <w:tc>
          <w:tcPr>
            <w:tcW w:w="2715" w:type="dxa"/>
            <w:tcBorders>
              <w:top w:val="nil"/>
              <w:left w:val="nil"/>
              <w:bottom w:val="nil"/>
              <w:right w:val="nil"/>
            </w:tcBorders>
            <w:tcMar>
              <w:top w:w="100" w:type="dxa"/>
              <w:left w:w="100" w:type="dxa"/>
              <w:bottom w:w="100" w:type="dxa"/>
              <w:right w:w="100" w:type="dxa"/>
            </w:tcMar>
          </w:tcPr>
          <w:p w14:paraId="420BF2D6">
            <w:pPr>
              <w:jc w:val="both"/>
              <w:rPr>
                <w:sz w:val="24"/>
                <w:szCs w:val="24"/>
              </w:rPr>
            </w:pPr>
            <w:r>
              <w:rPr>
                <w:sz w:val="24"/>
                <w:szCs w:val="24"/>
              </w:rPr>
              <w:t>5 (8.3%)</w:t>
            </w:r>
          </w:p>
        </w:tc>
        <w:tc>
          <w:tcPr>
            <w:tcW w:w="1920" w:type="dxa"/>
            <w:tcBorders>
              <w:top w:val="nil"/>
              <w:left w:val="nil"/>
              <w:bottom w:val="nil"/>
              <w:right w:val="nil"/>
            </w:tcBorders>
            <w:tcMar>
              <w:top w:w="100" w:type="dxa"/>
              <w:left w:w="100" w:type="dxa"/>
              <w:bottom w:w="100" w:type="dxa"/>
              <w:right w:w="100" w:type="dxa"/>
            </w:tcMar>
          </w:tcPr>
          <w:p w14:paraId="5F24A53F">
            <w:pPr>
              <w:jc w:val="both"/>
              <w:rPr>
                <w:sz w:val="24"/>
                <w:szCs w:val="24"/>
              </w:rPr>
            </w:pPr>
            <w:r>
              <w:rPr>
                <w:sz w:val="24"/>
                <w:szCs w:val="24"/>
              </w:rPr>
              <w:t>5 (3.3%)</w:t>
            </w:r>
          </w:p>
        </w:tc>
      </w:tr>
      <w:tr w14:paraId="060295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515" w:hRule="atLeast"/>
        </w:trPr>
        <w:tc>
          <w:tcPr>
            <w:tcW w:w="3450" w:type="dxa"/>
            <w:tcBorders>
              <w:top w:val="nil"/>
              <w:left w:val="nil"/>
              <w:bottom w:val="nil"/>
              <w:right w:val="nil"/>
            </w:tcBorders>
            <w:tcMar>
              <w:top w:w="100" w:type="dxa"/>
              <w:left w:w="100" w:type="dxa"/>
              <w:bottom w:w="100" w:type="dxa"/>
              <w:right w:w="100" w:type="dxa"/>
            </w:tcMar>
          </w:tcPr>
          <w:p w14:paraId="27997642">
            <w:pPr>
              <w:jc w:val="both"/>
              <w:rPr>
                <w:sz w:val="24"/>
                <w:szCs w:val="24"/>
              </w:rPr>
            </w:pPr>
          </w:p>
        </w:tc>
        <w:tc>
          <w:tcPr>
            <w:tcW w:w="1845" w:type="dxa"/>
            <w:tcBorders>
              <w:top w:val="nil"/>
              <w:left w:val="nil"/>
              <w:bottom w:val="nil"/>
              <w:right w:val="nil"/>
            </w:tcBorders>
            <w:tcMar>
              <w:top w:w="100" w:type="dxa"/>
              <w:left w:w="100" w:type="dxa"/>
              <w:bottom w:w="100" w:type="dxa"/>
              <w:right w:w="100" w:type="dxa"/>
            </w:tcMar>
          </w:tcPr>
          <w:p w14:paraId="5766E158">
            <w:pPr>
              <w:jc w:val="both"/>
              <w:rPr>
                <w:sz w:val="24"/>
                <w:szCs w:val="24"/>
              </w:rPr>
            </w:pPr>
            <w:r>
              <w:rPr>
                <w:sz w:val="24"/>
                <w:szCs w:val="24"/>
              </w:rPr>
              <w:t>Secondary</w:t>
            </w:r>
          </w:p>
        </w:tc>
        <w:tc>
          <w:tcPr>
            <w:tcW w:w="2970" w:type="dxa"/>
            <w:tcBorders>
              <w:top w:val="nil"/>
              <w:left w:val="nil"/>
              <w:bottom w:val="nil"/>
              <w:right w:val="nil"/>
            </w:tcBorders>
            <w:tcMar>
              <w:top w:w="100" w:type="dxa"/>
              <w:left w:w="100" w:type="dxa"/>
              <w:bottom w:w="100" w:type="dxa"/>
              <w:right w:w="100" w:type="dxa"/>
            </w:tcMar>
          </w:tcPr>
          <w:p w14:paraId="398E169D">
            <w:pPr>
              <w:jc w:val="both"/>
              <w:rPr>
                <w:sz w:val="24"/>
                <w:szCs w:val="24"/>
              </w:rPr>
            </w:pPr>
            <w:r>
              <w:rPr>
                <w:sz w:val="24"/>
                <w:szCs w:val="24"/>
              </w:rPr>
              <w:t>41 (45.6%)</w:t>
            </w:r>
          </w:p>
        </w:tc>
        <w:tc>
          <w:tcPr>
            <w:tcW w:w="2715" w:type="dxa"/>
            <w:tcBorders>
              <w:top w:val="nil"/>
              <w:left w:val="nil"/>
              <w:bottom w:val="nil"/>
              <w:right w:val="nil"/>
            </w:tcBorders>
            <w:tcMar>
              <w:top w:w="100" w:type="dxa"/>
              <w:left w:w="100" w:type="dxa"/>
              <w:bottom w:w="100" w:type="dxa"/>
              <w:right w:w="100" w:type="dxa"/>
            </w:tcMar>
          </w:tcPr>
          <w:p w14:paraId="35D253AD">
            <w:pPr>
              <w:jc w:val="both"/>
              <w:rPr>
                <w:sz w:val="24"/>
                <w:szCs w:val="24"/>
              </w:rPr>
            </w:pPr>
            <w:r>
              <w:rPr>
                <w:sz w:val="24"/>
                <w:szCs w:val="24"/>
              </w:rPr>
              <w:t>24 (40.0%)</w:t>
            </w:r>
          </w:p>
        </w:tc>
        <w:tc>
          <w:tcPr>
            <w:tcW w:w="1920" w:type="dxa"/>
            <w:tcBorders>
              <w:top w:val="nil"/>
              <w:left w:val="nil"/>
              <w:bottom w:val="nil"/>
              <w:right w:val="nil"/>
            </w:tcBorders>
            <w:tcMar>
              <w:top w:w="100" w:type="dxa"/>
              <w:left w:w="100" w:type="dxa"/>
              <w:bottom w:w="100" w:type="dxa"/>
              <w:right w:w="100" w:type="dxa"/>
            </w:tcMar>
          </w:tcPr>
          <w:p w14:paraId="5D04344A">
            <w:pPr>
              <w:jc w:val="both"/>
              <w:rPr>
                <w:sz w:val="24"/>
                <w:szCs w:val="24"/>
              </w:rPr>
            </w:pPr>
            <w:r>
              <w:rPr>
                <w:sz w:val="24"/>
                <w:szCs w:val="24"/>
              </w:rPr>
              <w:t>65 (43.3%)</w:t>
            </w:r>
          </w:p>
        </w:tc>
      </w:tr>
      <w:tr w14:paraId="59E829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515" w:hRule="atLeast"/>
        </w:trPr>
        <w:tc>
          <w:tcPr>
            <w:tcW w:w="3450" w:type="dxa"/>
            <w:tcBorders>
              <w:top w:val="nil"/>
              <w:left w:val="nil"/>
              <w:bottom w:val="nil"/>
              <w:right w:val="nil"/>
            </w:tcBorders>
            <w:tcMar>
              <w:top w:w="100" w:type="dxa"/>
              <w:left w:w="100" w:type="dxa"/>
              <w:bottom w:w="100" w:type="dxa"/>
              <w:right w:w="100" w:type="dxa"/>
            </w:tcMar>
          </w:tcPr>
          <w:p w14:paraId="7BBBC727">
            <w:pPr>
              <w:jc w:val="both"/>
              <w:rPr>
                <w:sz w:val="24"/>
                <w:szCs w:val="24"/>
              </w:rPr>
            </w:pPr>
          </w:p>
        </w:tc>
        <w:tc>
          <w:tcPr>
            <w:tcW w:w="1845" w:type="dxa"/>
            <w:tcBorders>
              <w:top w:val="nil"/>
              <w:left w:val="nil"/>
              <w:bottom w:val="nil"/>
              <w:right w:val="nil"/>
            </w:tcBorders>
            <w:tcMar>
              <w:top w:w="100" w:type="dxa"/>
              <w:left w:w="100" w:type="dxa"/>
              <w:bottom w:w="100" w:type="dxa"/>
              <w:right w:w="100" w:type="dxa"/>
            </w:tcMar>
          </w:tcPr>
          <w:p w14:paraId="229A8463">
            <w:pPr>
              <w:jc w:val="both"/>
              <w:rPr>
                <w:sz w:val="24"/>
                <w:szCs w:val="24"/>
              </w:rPr>
            </w:pPr>
            <w:r>
              <w:rPr>
                <w:sz w:val="24"/>
                <w:szCs w:val="24"/>
              </w:rPr>
              <w:t>Tertiary</w:t>
            </w:r>
          </w:p>
        </w:tc>
        <w:tc>
          <w:tcPr>
            <w:tcW w:w="2970" w:type="dxa"/>
            <w:tcBorders>
              <w:top w:val="nil"/>
              <w:left w:val="nil"/>
              <w:bottom w:val="nil"/>
              <w:right w:val="nil"/>
            </w:tcBorders>
            <w:tcMar>
              <w:top w:w="100" w:type="dxa"/>
              <w:left w:w="100" w:type="dxa"/>
              <w:bottom w:w="100" w:type="dxa"/>
              <w:right w:w="100" w:type="dxa"/>
            </w:tcMar>
          </w:tcPr>
          <w:p w14:paraId="6C790315">
            <w:pPr>
              <w:jc w:val="both"/>
              <w:rPr>
                <w:sz w:val="24"/>
                <w:szCs w:val="24"/>
              </w:rPr>
            </w:pPr>
            <w:r>
              <w:rPr>
                <w:sz w:val="24"/>
                <w:szCs w:val="24"/>
              </w:rPr>
              <w:t>49 (54.4%)</w:t>
            </w:r>
          </w:p>
        </w:tc>
        <w:tc>
          <w:tcPr>
            <w:tcW w:w="2715" w:type="dxa"/>
            <w:tcBorders>
              <w:top w:val="nil"/>
              <w:left w:val="nil"/>
              <w:bottom w:val="nil"/>
              <w:right w:val="nil"/>
            </w:tcBorders>
            <w:tcMar>
              <w:top w:w="100" w:type="dxa"/>
              <w:left w:w="100" w:type="dxa"/>
              <w:bottom w:w="100" w:type="dxa"/>
              <w:right w:w="100" w:type="dxa"/>
            </w:tcMar>
          </w:tcPr>
          <w:p w14:paraId="69A0A8D6">
            <w:pPr>
              <w:jc w:val="both"/>
              <w:rPr>
                <w:sz w:val="24"/>
                <w:szCs w:val="24"/>
              </w:rPr>
            </w:pPr>
            <w:r>
              <w:rPr>
                <w:sz w:val="24"/>
                <w:szCs w:val="24"/>
              </w:rPr>
              <w:t>31 (51.7%)</w:t>
            </w:r>
          </w:p>
        </w:tc>
        <w:tc>
          <w:tcPr>
            <w:tcW w:w="1920" w:type="dxa"/>
            <w:tcBorders>
              <w:top w:val="nil"/>
              <w:left w:val="nil"/>
              <w:bottom w:val="nil"/>
              <w:right w:val="nil"/>
            </w:tcBorders>
            <w:tcMar>
              <w:top w:w="100" w:type="dxa"/>
              <w:left w:w="100" w:type="dxa"/>
              <w:bottom w:w="100" w:type="dxa"/>
              <w:right w:w="100" w:type="dxa"/>
            </w:tcMar>
          </w:tcPr>
          <w:p w14:paraId="3B7FE0D8">
            <w:pPr>
              <w:jc w:val="both"/>
              <w:rPr>
                <w:sz w:val="24"/>
                <w:szCs w:val="24"/>
              </w:rPr>
            </w:pPr>
            <w:r>
              <w:rPr>
                <w:sz w:val="24"/>
                <w:szCs w:val="24"/>
              </w:rPr>
              <w:t>80 (53.3%)</w:t>
            </w:r>
          </w:p>
        </w:tc>
      </w:tr>
      <w:tr w14:paraId="4DC572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540" w:hRule="atLeast"/>
        </w:trPr>
        <w:tc>
          <w:tcPr>
            <w:tcW w:w="3450" w:type="dxa"/>
            <w:tcBorders>
              <w:top w:val="nil"/>
              <w:left w:val="nil"/>
              <w:bottom w:val="nil"/>
              <w:right w:val="nil"/>
            </w:tcBorders>
            <w:tcMar>
              <w:top w:w="100" w:type="dxa"/>
              <w:left w:w="100" w:type="dxa"/>
              <w:bottom w:w="100" w:type="dxa"/>
              <w:right w:w="100" w:type="dxa"/>
            </w:tcMar>
          </w:tcPr>
          <w:p w14:paraId="4C7DC8DF">
            <w:pPr>
              <w:jc w:val="both"/>
              <w:rPr>
                <w:sz w:val="24"/>
                <w:szCs w:val="24"/>
              </w:rPr>
            </w:pPr>
            <w:r>
              <w:rPr>
                <w:sz w:val="24"/>
                <w:szCs w:val="24"/>
              </w:rPr>
              <w:t>Trimester (Pregnant only)</w:t>
            </w:r>
          </w:p>
        </w:tc>
        <w:tc>
          <w:tcPr>
            <w:tcW w:w="1845" w:type="dxa"/>
            <w:tcBorders>
              <w:top w:val="nil"/>
              <w:left w:val="nil"/>
              <w:bottom w:val="nil"/>
              <w:right w:val="nil"/>
            </w:tcBorders>
            <w:tcMar>
              <w:top w:w="100" w:type="dxa"/>
              <w:left w:w="100" w:type="dxa"/>
              <w:bottom w:w="100" w:type="dxa"/>
              <w:right w:w="100" w:type="dxa"/>
            </w:tcMar>
          </w:tcPr>
          <w:p w14:paraId="2C0F9719">
            <w:pPr>
              <w:jc w:val="both"/>
              <w:rPr>
                <w:sz w:val="24"/>
                <w:szCs w:val="24"/>
              </w:rPr>
            </w:pPr>
            <w:r>
              <w:rPr>
                <w:sz w:val="24"/>
                <w:szCs w:val="24"/>
              </w:rPr>
              <w:t>First</w:t>
            </w:r>
          </w:p>
        </w:tc>
        <w:tc>
          <w:tcPr>
            <w:tcW w:w="2970" w:type="dxa"/>
            <w:tcBorders>
              <w:top w:val="nil"/>
              <w:left w:val="nil"/>
              <w:bottom w:val="nil"/>
              <w:right w:val="nil"/>
            </w:tcBorders>
            <w:tcMar>
              <w:top w:w="100" w:type="dxa"/>
              <w:left w:w="100" w:type="dxa"/>
              <w:bottom w:w="100" w:type="dxa"/>
              <w:right w:w="100" w:type="dxa"/>
            </w:tcMar>
          </w:tcPr>
          <w:p w14:paraId="4F5620E1">
            <w:pPr>
              <w:jc w:val="both"/>
              <w:rPr>
                <w:sz w:val="24"/>
                <w:szCs w:val="24"/>
              </w:rPr>
            </w:pPr>
            <w:r>
              <w:rPr>
                <w:sz w:val="24"/>
                <w:szCs w:val="24"/>
              </w:rPr>
              <w:t>30 (33.3%)</w:t>
            </w:r>
          </w:p>
        </w:tc>
        <w:tc>
          <w:tcPr>
            <w:tcW w:w="2715" w:type="dxa"/>
            <w:tcBorders>
              <w:top w:val="nil"/>
              <w:left w:val="nil"/>
              <w:bottom w:val="nil"/>
              <w:right w:val="nil"/>
            </w:tcBorders>
            <w:tcMar>
              <w:top w:w="100" w:type="dxa"/>
              <w:left w:w="100" w:type="dxa"/>
              <w:bottom w:w="100" w:type="dxa"/>
              <w:right w:w="100" w:type="dxa"/>
            </w:tcMar>
          </w:tcPr>
          <w:p w14:paraId="53552773">
            <w:pPr>
              <w:jc w:val="both"/>
              <w:rPr>
                <w:sz w:val="24"/>
                <w:szCs w:val="24"/>
              </w:rPr>
            </w:pPr>
            <w:r>
              <w:rPr>
                <w:sz w:val="24"/>
                <w:szCs w:val="24"/>
              </w:rPr>
              <w:t>–</w:t>
            </w:r>
          </w:p>
        </w:tc>
        <w:tc>
          <w:tcPr>
            <w:tcW w:w="1920" w:type="dxa"/>
            <w:tcBorders>
              <w:top w:val="nil"/>
              <w:left w:val="nil"/>
              <w:bottom w:val="nil"/>
              <w:right w:val="nil"/>
            </w:tcBorders>
            <w:tcMar>
              <w:top w:w="100" w:type="dxa"/>
              <w:left w:w="100" w:type="dxa"/>
              <w:bottom w:w="100" w:type="dxa"/>
              <w:right w:w="100" w:type="dxa"/>
            </w:tcMar>
          </w:tcPr>
          <w:p w14:paraId="6E8B5505">
            <w:pPr>
              <w:jc w:val="both"/>
              <w:rPr>
                <w:sz w:val="24"/>
                <w:szCs w:val="24"/>
              </w:rPr>
            </w:pPr>
            <w:r>
              <w:rPr>
                <w:sz w:val="24"/>
                <w:szCs w:val="24"/>
              </w:rPr>
              <w:t>30 (20.0%)</w:t>
            </w:r>
          </w:p>
        </w:tc>
      </w:tr>
      <w:tr w14:paraId="29FD19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515" w:hRule="atLeast"/>
        </w:trPr>
        <w:tc>
          <w:tcPr>
            <w:tcW w:w="3450" w:type="dxa"/>
            <w:tcBorders>
              <w:top w:val="nil"/>
              <w:left w:val="nil"/>
              <w:bottom w:val="nil"/>
              <w:right w:val="nil"/>
            </w:tcBorders>
            <w:tcMar>
              <w:top w:w="100" w:type="dxa"/>
              <w:left w:w="100" w:type="dxa"/>
              <w:bottom w:w="100" w:type="dxa"/>
              <w:right w:w="100" w:type="dxa"/>
            </w:tcMar>
          </w:tcPr>
          <w:p w14:paraId="02FBB220">
            <w:pPr>
              <w:jc w:val="both"/>
              <w:rPr>
                <w:sz w:val="24"/>
                <w:szCs w:val="24"/>
              </w:rPr>
            </w:pPr>
          </w:p>
        </w:tc>
        <w:tc>
          <w:tcPr>
            <w:tcW w:w="1845" w:type="dxa"/>
            <w:tcBorders>
              <w:top w:val="nil"/>
              <w:left w:val="nil"/>
              <w:bottom w:val="nil"/>
              <w:right w:val="nil"/>
            </w:tcBorders>
            <w:tcMar>
              <w:top w:w="100" w:type="dxa"/>
              <w:left w:w="100" w:type="dxa"/>
              <w:bottom w:w="100" w:type="dxa"/>
              <w:right w:w="100" w:type="dxa"/>
            </w:tcMar>
          </w:tcPr>
          <w:p w14:paraId="5EEB0517">
            <w:pPr>
              <w:jc w:val="both"/>
              <w:rPr>
                <w:sz w:val="24"/>
                <w:szCs w:val="24"/>
              </w:rPr>
            </w:pPr>
            <w:r>
              <w:rPr>
                <w:sz w:val="24"/>
                <w:szCs w:val="24"/>
              </w:rPr>
              <w:t>Second</w:t>
            </w:r>
          </w:p>
        </w:tc>
        <w:tc>
          <w:tcPr>
            <w:tcW w:w="2970" w:type="dxa"/>
            <w:tcBorders>
              <w:top w:val="nil"/>
              <w:left w:val="nil"/>
              <w:bottom w:val="nil"/>
              <w:right w:val="nil"/>
            </w:tcBorders>
            <w:tcMar>
              <w:top w:w="100" w:type="dxa"/>
              <w:left w:w="100" w:type="dxa"/>
              <w:bottom w:w="100" w:type="dxa"/>
              <w:right w:w="100" w:type="dxa"/>
            </w:tcMar>
          </w:tcPr>
          <w:p w14:paraId="18015D83">
            <w:pPr>
              <w:jc w:val="both"/>
              <w:rPr>
                <w:sz w:val="24"/>
                <w:szCs w:val="24"/>
              </w:rPr>
            </w:pPr>
            <w:r>
              <w:rPr>
                <w:sz w:val="24"/>
                <w:szCs w:val="24"/>
              </w:rPr>
              <w:t>30 (33.3%)</w:t>
            </w:r>
          </w:p>
        </w:tc>
        <w:tc>
          <w:tcPr>
            <w:tcW w:w="2715" w:type="dxa"/>
            <w:tcBorders>
              <w:top w:val="nil"/>
              <w:left w:val="nil"/>
              <w:bottom w:val="nil"/>
              <w:right w:val="nil"/>
            </w:tcBorders>
            <w:tcMar>
              <w:top w:w="100" w:type="dxa"/>
              <w:left w:w="100" w:type="dxa"/>
              <w:bottom w:w="100" w:type="dxa"/>
              <w:right w:w="100" w:type="dxa"/>
            </w:tcMar>
          </w:tcPr>
          <w:p w14:paraId="520A9A52">
            <w:pPr>
              <w:jc w:val="both"/>
              <w:rPr>
                <w:sz w:val="24"/>
                <w:szCs w:val="24"/>
              </w:rPr>
            </w:pPr>
            <w:r>
              <w:rPr>
                <w:sz w:val="24"/>
                <w:szCs w:val="24"/>
              </w:rPr>
              <w:t>–</w:t>
            </w:r>
          </w:p>
        </w:tc>
        <w:tc>
          <w:tcPr>
            <w:tcW w:w="1920" w:type="dxa"/>
            <w:tcBorders>
              <w:top w:val="nil"/>
              <w:left w:val="nil"/>
              <w:bottom w:val="nil"/>
              <w:right w:val="nil"/>
            </w:tcBorders>
            <w:tcMar>
              <w:top w:w="100" w:type="dxa"/>
              <w:left w:w="100" w:type="dxa"/>
              <w:bottom w:w="100" w:type="dxa"/>
              <w:right w:w="100" w:type="dxa"/>
            </w:tcMar>
          </w:tcPr>
          <w:p w14:paraId="5524AA8E">
            <w:pPr>
              <w:jc w:val="both"/>
              <w:rPr>
                <w:sz w:val="24"/>
                <w:szCs w:val="24"/>
              </w:rPr>
            </w:pPr>
            <w:r>
              <w:rPr>
                <w:sz w:val="24"/>
                <w:szCs w:val="24"/>
              </w:rPr>
              <w:t>30 (20.0%)</w:t>
            </w:r>
          </w:p>
        </w:tc>
      </w:tr>
      <w:tr w14:paraId="2C8159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515" w:hRule="atLeast"/>
        </w:trPr>
        <w:tc>
          <w:tcPr>
            <w:tcW w:w="3450" w:type="dxa"/>
            <w:tcBorders>
              <w:top w:val="nil"/>
              <w:left w:val="nil"/>
              <w:bottom w:val="nil"/>
              <w:right w:val="nil"/>
            </w:tcBorders>
            <w:tcMar>
              <w:top w:w="100" w:type="dxa"/>
              <w:left w:w="100" w:type="dxa"/>
              <w:bottom w:w="100" w:type="dxa"/>
              <w:right w:w="100" w:type="dxa"/>
            </w:tcMar>
          </w:tcPr>
          <w:p w14:paraId="373E04B7">
            <w:pPr>
              <w:jc w:val="both"/>
              <w:rPr>
                <w:sz w:val="24"/>
                <w:szCs w:val="24"/>
              </w:rPr>
            </w:pPr>
          </w:p>
        </w:tc>
        <w:tc>
          <w:tcPr>
            <w:tcW w:w="1845" w:type="dxa"/>
            <w:tcBorders>
              <w:top w:val="nil"/>
              <w:left w:val="nil"/>
              <w:bottom w:val="nil"/>
              <w:right w:val="nil"/>
            </w:tcBorders>
            <w:tcMar>
              <w:top w:w="100" w:type="dxa"/>
              <w:left w:w="100" w:type="dxa"/>
              <w:bottom w:w="100" w:type="dxa"/>
              <w:right w:w="100" w:type="dxa"/>
            </w:tcMar>
          </w:tcPr>
          <w:p w14:paraId="41C9C6BE">
            <w:pPr>
              <w:jc w:val="both"/>
              <w:rPr>
                <w:sz w:val="24"/>
                <w:szCs w:val="24"/>
              </w:rPr>
            </w:pPr>
            <w:r>
              <w:rPr>
                <w:sz w:val="24"/>
                <w:szCs w:val="24"/>
              </w:rPr>
              <w:t>Third</w:t>
            </w:r>
          </w:p>
        </w:tc>
        <w:tc>
          <w:tcPr>
            <w:tcW w:w="2970" w:type="dxa"/>
            <w:tcBorders>
              <w:top w:val="nil"/>
              <w:left w:val="nil"/>
              <w:bottom w:val="nil"/>
              <w:right w:val="nil"/>
            </w:tcBorders>
            <w:tcMar>
              <w:top w:w="100" w:type="dxa"/>
              <w:left w:w="100" w:type="dxa"/>
              <w:bottom w:w="100" w:type="dxa"/>
              <w:right w:w="100" w:type="dxa"/>
            </w:tcMar>
          </w:tcPr>
          <w:p w14:paraId="2CC0515C">
            <w:pPr>
              <w:jc w:val="both"/>
              <w:rPr>
                <w:sz w:val="24"/>
                <w:szCs w:val="24"/>
              </w:rPr>
            </w:pPr>
            <w:r>
              <w:rPr>
                <w:sz w:val="24"/>
                <w:szCs w:val="24"/>
              </w:rPr>
              <w:t>30 (33.3%)</w:t>
            </w:r>
          </w:p>
        </w:tc>
        <w:tc>
          <w:tcPr>
            <w:tcW w:w="2715" w:type="dxa"/>
            <w:tcBorders>
              <w:top w:val="nil"/>
              <w:left w:val="nil"/>
              <w:bottom w:val="nil"/>
              <w:right w:val="nil"/>
            </w:tcBorders>
            <w:tcMar>
              <w:top w:w="100" w:type="dxa"/>
              <w:left w:w="100" w:type="dxa"/>
              <w:bottom w:w="100" w:type="dxa"/>
              <w:right w:w="100" w:type="dxa"/>
            </w:tcMar>
          </w:tcPr>
          <w:p w14:paraId="351A5025">
            <w:pPr>
              <w:jc w:val="both"/>
              <w:rPr>
                <w:sz w:val="24"/>
                <w:szCs w:val="24"/>
              </w:rPr>
            </w:pPr>
            <w:r>
              <w:rPr>
                <w:sz w:val="24"/>
                <w:szCs w:val="24"/>
              </w:rPr>
              <w:t>–</w:t>
            </w:r>
          </w:p>
        </w:tc>
        <w:tc>
          <w:tcPr>
            <w:tcW w:w="1920" w:type="dxa"/>
            <w:tcBorders>
              <w:top w:val="nil"/>
              <w:left w:val="nil"/>
              <w:bottom w:val="nil"/>
              <w:right w:val="nil"/>
            </w:tcBorders>
            <w:tcMar>
              <w:top w:w="100" w:type="dxa"/>
              <w:left w:w="100" w:type="dxa"/>
              <w:bottom w:w="100" w:type="dxa"/>
              <w:right w:w="100" w:type="dxa"/>
            </w:tcMar>
          </w:tcPr>
          <w:p w14:paraId="56A09B89">
            <w:pPr>
              <w:jc w:val="both"/>
              <w:rPr>
                <w:sz w:val="24"/>
                <w:szCs w:val="24"/>
              </w:rPr>
            </w:pPr>
            <w:r>
              <w:rPr>
                <w:sz w:val="24"/>
                <w:szCs w:val="24"/>
              </w:rPr>
              <w:t>30 (20.0%)</w:t>
            </w:r>
          </w:p>
        </w:tc>
      </w:tr>
      <w:tr w14:paraId="10DFCA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515" w:hRule="atLeast"/>
        </w:trPr>
        <w:tc>
          <w:tcPr>
            <w:tcW w:w="3450" w:type="dxa"/>
            <w:tcBorders>
              <w:top w:val="nil"/>
              <w:left w:val="nil"/>
              <w:bottom w:val="nil"/>
              <w:right w:val="nil"/>
            </w:tcBorders>
            <w:tcMar>
              <w:top w:w="100" w:type="dxa"/>
              <w:left w:w="100" w:type="dxa"/>
              <w:bottom w:w="100" w:type="dxa"/>
              <w:right w:w="100" w:type="dxa"/>
            </w:tcMar>
          </w:tcPr>
          <w:p w14:paraId="0984BA0D">
            <w:pPr>
              <w:jc w:val="both"/>
              <w:rPr>
                <w:sz w:val="24"/>
                <w:szCs w:val="24"/>
              </w:rPr>
            </w:pPr>
            <w:r>
              <w:rPr>
                <w:sz w:val="24"/>
                <w:szCs w:val="24"/>
              </w:rPr>
              <w:t>Parity</w:t>
            </w:r>
          </w:p>
        </w:tc>
        <w:tc>
          <w:tcPr>
            <w:tcW w:w="1845" w:type="dxa"/>
            <w:tcBorders>
              <w:top w:val="nil"/>
              <w:left w:val="nil"/>
              <w:bottom w:val="nil"/>
              <w:right w:val="nil"/>
            </w:tcBorders>
            <w:tcMar>
              <w:top w:w="100" w:type="dxa"/>
              <w:left w:w="100" w:type="dxa"/>
              <w:bottom w:w="100" w:type="dxa"/>
              <w:right w:w="100" w:type="dxa"/>
            </w:tcMar>
          </w:tcPr>
          <w:p w14:paraId="0AF38CDC">
            <w:pPr>
              <w:jc w:val="both"/>
              <w:rPr>
                <w:sz w:val="24"/>
                <w:szCs w:val="24"/>
              </w:rPr>
            </w:pPr>
            <w:r>
              <w:rPr>
                <w:sz w:val="24"/>
                <w:szCs w:val="24"/>
              </w:rPr>
              <w:t>Primigravida</w:t>
            </w:r>
          </w:p>
        </w:tc>
        <w:tc>
          <w:tcPr>
            <w:tcW w:w="2970" w:type="dxa"/>
            <w:tcBorders>
              <w:top w:val="nil"/>
              <w:left w:val="nil"/>
              <w:bottom w:val="nil"/>
              <w:right w:val="nil"/>
            </w:tcBorders>
            <w:tcMar>
              <w:top w:w="100" w:type="dxa"/>
              <w:left w:w="100" w:type="dxa"/>
              <w:bottom w:w="100" w:type="dxa"/>
              <w:right w:w="100" w:type="dxa"/>
            </w:tcMar>
          </w:tcPr>
          <w:p w14:paraId="1C3E729D">
            <w:pPr>
              <w:jc w:val="both"/>
              <w:rPr>
                <w:sz w:val="24"/>
                <w:szCs w:val="24"/>
              </w:rPr>
            </w:pPr>
            <w:r>
              <w:rPr>
                <w:sz w:val="24"/>
                <w:szCs w:val="24"/>
              </w:rPr>
              <w:t>44 (48.9%)</w:t>
            </w:r>
          </w:p>
        </w:tc>
        <w:tc>
          <w:tcPr>
            <w:tcW w:w="2715" w:type="dxa"/>
            <w:tcBorders>
              <w:top w:val="nil"/>
              <w:left w:val="nil"/>
              <w:bottom w:val="nil"/>
              <w:right w:val="nil"/>
            </w:tcBorders>
            <w:tcMar>
              <w:top w:w="100" w:type="dxa"/>
              <w:left w:w="100" w:type="dxa"/>
              <w:bottom w:w="100" w:type="dxa"/>
              <w:right w:w="100" w:type="dxa"/>
            </w:tcMar>
          </w:tcPr>
          <w:p w14:paraId="7AE85CE8">
            <w:pPr>
              <w:jc w:val="both"/>
              <w:rPr>
                <w:sz w:val="24"/>
                <w:szCs w:val="24"/>
              </w:rPr>
            </w:pPr>
            <w:r>
              <w:rPr>
                <w:sz w:val="24"/>
                <w:szCs w:val="24"/>
              </w:rPr>
              <w:t>–</w:t>
            </w:r>
          </w:p>
        </w:tc>
        <w:tc>
          <w:tcPr>
            <w:tcW w:w="1920" w:type="dxa"/>
            <w:tcBorders>
              <w:top w:val="nil"/>
              <w:left w:val="nil"/>
              <w:bottom w:val="nil"/>
              <w:right w:val="nil"/>
            </w:tcBorders>
            <w:tcMar>
              <w:top w:w="100" w:type="dxa"/>
              <w:left w:w="100" w:type="dxa"/>
              <w:bottom w:w="100" w:type="dxa"/>
              <w:right w:w="100" w:type="dxa"/>
            </w:tcMar>
          </w:tcPr>
          <w:p w14:paraId="678140CD">
            <w:pPr>
              <w:jc w:val="both"/>
              <w:rPr>
                <w:sz w:val="24"/>
                <w:szCs w:val="24"/>
              </w:rPr>
            </w:pPr>
            <w:r>
              <w:rPr>
                <w:sz w:val="24"/>
                <w:szCs w:val="24"/>
              </w:rPr>
              <w:t>44 (29.3%)</w:t>
            </w:r>
          </w:p>
        </w:tc>
      </w:tr>
      <w:tr w14:paraId="3891AF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515" w:hRule="atLeast"/>
        </w:trPr>
        <w:tc>
          <w:tcPr>
            <w:tcW w:w="3450" w:type="dxa"/>
            <w:tcBorders>
              <w:top w:val="nil"/>
              <w:left w:val="nil"/>
              <w:bottom w:val="nil"/>
              <w:right w:val="nil"/>
            </w:tcBorders>
            <w:tcMar>
              <w:top w:w="100" w:type="dxa"/>
              <w:left w:w="100" w:type="dxa"/>
              <w:bottom w:w="100" w:type="dxa"/>
              <w:right w:w="100" w:type="dxa"/>
            </w:tcMar>
          </w:tcPr>
          <w:p w14:paraId="398FD560">
            <w:pPr>
              <w:jc w:val="both"/>
              <w:rPr>
                <w:sz w:val="24"/>
                <w:szCs w:val="24"/>
              </w:rPr>
            </w:pPr>
          </w:p>
        </w:tc>
        <w:tc>
          <w:tcPr>
            <w:tcW w:w="1845" w:type="dxa"/>
            <w:tcBorders>
              <w:top w:val="nil"/>
              <w:left w:val="nil"/>
              <w:bottom w:val="nil"/>
              <w:right w:val="nil"/>
            </w:tcBorders>
            <w:tcMar>
              <w:top w:w="100" w:type="dxa"/>
              <w:left w:w="100" w:type="dxa"/>
              <w:bottom w:w="100" w:type="dxa"/>
              <w:right w:w="100" w:type="dxa"/>
            </w:tcMar>
          </w:tcPr>
          <w:p w14:paraId="3EEEDC76">
            <w:pPr>
              <w:jc w:val="both"/>
              <w:rPr>
                <w:sz w:val="24"/>
                <w:szCs w:val="24"/>
              </w:rPr>
            </w:pPr>
            <w:r>
              <w:rPr>
                <w:sz w:val="24"/>
                <w:szCs w:val="24"/>
              </w:rPr>
              <w:t>Multigravida</w:t>
            </w:r>
          </w:p>
        </w:tc>
        <w:tc>
          <w:tcPr>
            <w:tcW w:w="2970" w:type="dxa"/>
            <w:tcBorders>
              <w:top w:val="nil"/>
              <w:left w:val="nil"/>
              <w:bottom w:val="nil"/>
              <w:right w:val="nil"/>
            </w:tcBorders>
            <w:tcMar>
              <w:top w:w="100" w:type="dxa"/>
              <w:left w:w="100" w:type="dxa"/>
              <w:bottom w:w="100" w:type="dxa"/>
              <w:right w:w="100" w:type="dxa"/>
            </w:tcMar>
          </w:tcPr>
          <w:p w14:paraId="10063191">
            <w:pPr>
              <w:jc w:val="both"/>
              <w:rPr>
                <w:sz w:val="24"/>
                <w:szCs w:val="24"/>
              </w:rPr>
            </w:pPr>
            <w:r>
              <w:rPr>
                <w:sz w:val="24"/>
                <w:szCs w:val="24"/>
              </w:rPr>
              <w:t>46 (51.1%)</w:t>
            </w:r>
          </w:p>
        </w:tc>
        <w:tc>
          <w:tcPr>
            <w:tcW w:w="2715" w:type="dxa"/>
            <w:tcBorders>
              <w:top w:val="nil"/>
              <w:left w:val="nil"/>
              <w:bottom w:val="nil"/>
              <w:right w:val="nil"/>
            </w:tcBorders>
            <w:tcMar>
              <w:top w:w="100" w:type="dxa"/>
              <w:left w:w="100" w:type="dxa"/>
              <w:bottom w:w="100" w:type="dxa"/>
              <w:right w:w="100" w:type="dxa"/>
            </w:tcMar>
          </w:tcPr>
          <w:p w14:paraId="6B2AE670">
            <w:pPr>
              <w:jc w:val="both"/>
              <w:rPr>
                <w:sz w:val="24"/>
                <w:szCs w:val="24"/>
              </w:rPr>
            </w:pPr>
            <w:r>
              <w:rPr>
                <w:sz w:val="24"/>
                <w:szCs w:val="24"/>
              </w:rPr>
              <w:t>–</w:t>
            </w:r>
          </w:p>
        </w:tc>
        <w:tc>
          <w:tcPr>
            <w:tcW w:w="1920" w:type="dxa"/>
            <w:tcBorders>
              <w:top w:val="nil"/>
              <w:left w:val="nil"/>
              <w:bottom w:val="nil"/>
              <w:right w:val="nil"/>
            </w:tcBorders>
            <w:tcMar>
              <w:top w:w="100" w:type="dxa"/>
              <w:left w:w="100" w:type="dxa"/>
              <w:bottom w:w="100" w:type="dxa"/>
              <w:right w:w="100" w:type="dxa"/>
            </w:tcMar>
          </w:tcPr>
          <w:p w14:paraId="17906E51">
            <w:pPr>
              <w:jc w:val="both"/>
              <w:rPr>
                <w:sz w:val="24"/>
                <w:szCs w:val="24"/>
              </w:rPr>
            </w:pPr>
            <w:r>
              <w:rPr>
                <w:sz w:val="24"/>
                <w:szCs w:val="24"/>
              </w:rPr>
              <w:t>46 (30.7%)</w:t>
            </w:r>
          </w:p>
        </w:tc>
      </w:tr>
    </w:tbl>
    <w:p w14:paraId="2952C826">
      <w:pPr>
        <w:spacing w:before="240" w:after="240"/>
        <w:jc w:val="both"/>
        <w:rPr>
          <w:sz w:val="24"/>
          <w:szCs w:val="24"/>
        </w:rPr>
      </w:pPr>
    </w:p>
    <w:p w14:paraId="5E0C7B98">
      <w:pPr>
        <w:pStyle w:val="3"/>
        <w:keepNext w:val="0"/>
        <w:keepLines w:val="0"/>
        <w:spacing w:after="80" w:line="240" w:lineRule="auto"/>
        <w:jc w:val="both"/>
        <w:rPr>
          <w:b/>
          <w:bCs/>
          <w:sz w:val="34"/>
          <w:szCs w:val="34"/>
        </w:rPr>
      </w:pPr>
      <w:bookmarkStart w:id="14" w:name="_5tgo3dnm1l43" w:colFirst="0" w:colLast="0"/>
      <w:bookmarkEnd w:id="14"/>
    </w:p>
    <w:p w14:paraId="5E7D7744">
      <w:pPr>
        <w:pStyle w:val="3"/>
        <w:keepNext w:val="0"/>
        <w:keepLines w:val="0"/>
        <w:spacing w:after="80" w:line="240" w:lineRule="auto"/>
        <w:jc w:val="both"/>
        <w:rPr>
          <w:b/>
          <w:bCs/>
          <w:sz w:val="34"/>
          <w:szCs w:val="34"/>
        </w:rPr>
      </w:pPr>
      <w:bookmarkStart w:id="15" w:name="_nksouw7pxlr6" w:colFirst="0" w:colLast="0"/>
      <w:bookmarkEnd w:id="15"/>
    </w:p>
    <w:p w14:paraId="3BB63043">
      <w:pPr>
        <w:pStyle w:val="3"/>
        <w:keepNext w:val="0"/>
        <w:keepLines w:val="0"/>
        <w:spacing w:after="80" w:line="240" w:lineRule="auto"/>
        <w:jc w:val="both"/>
        <w:rPr>
          <w:b/>
          <w:bCs/>
          <w:sz w:val="34"/>
          <w:szCs w:val="34"/>
        </w:rPr>
      </w:pPr>
      <w:bookmarkStart w:id="16" w:name="_oi8a7whk0f0w" w:colFirst="0" w:colLast="0"/>
      <w:bookmarkEnd w:id="16"/>
    </w:p>
    <w:p w14:paraId="50314B1C">
      <w:pPr>
        <w:spacing w:before="240" w:after="240" w:line="240" w:lineRule="auto"/>
        <w:jc w:val="both"/>
        <w:rPr>
          <w:b/>
          <w:bCs/>
          <w:sz w:val="24"/>
          <w:szCs w:val="24"/>
        </w:rPr>
      </w:pPr>
      <w:r>
        <w:rPr>
          <w:b/>
          <w:bCs/>
          <w:sz w:val="24"/>
          <w:szCs w:val="24"/>
        </w:rPr>
        <w:t>Table 2: Comparison of renal biomarkers and electrolyte parameters between pregnant and non-pregnant women</w:t>
      </w:r>
    </w:p>
    <w:tbl>
      <w:tblPr>
        <w:tblStyle w:val="19"/>
        <w:tblW w:w="12705"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00" w:type="dxa"/>
          <w:left w:w="100" w:type="dxa"/>
          <w:bottom w:w="100" w:type="dxa"/>
          <w:right w:w="100" w:type="dxa"/>
        </w:tblCellMar>
      </w:tblPr>
      <w:tblGrid>
        <w:gridCol w:w="3810"/>
        <w:gridCol w:w="3150"/>
        <w:gridCol w:w="2925"/>
        <w:gridCol w:w="1155"/>
        <w:gridCol w:w="1665"/>
      </w:tblGrid>
      <w:tr w14:paraId="5C42F6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800" w:hRule="atLeast"/>
        </w:trPr>
        <w:tc>
          <w:tcPr>
            <w:tcW w:w="3810" w:type="dxa"/>
            <w:tcBorders>
              <w:top w:val="nil"/>
              <w:left w:val="nil"/>
              <w:bottom w:val="nil"/>
              <w:right w:val="nil"/>
            </w:tcBorders>
            <w:tcMar>
              <w:top w:w="100" w:type="dxa"/>
              <w:left w:w="100" w:type="dxa"/>
              <w:bottom w:w="100" w:type="dxa"/>
              <w:right w:w="100" w:type="dxa"/>
            </w:tcMar>
          </w:tcPr>
          <w:p w14:paraId="0B5B394B">
            <w:pPr>
              <w:spacing w:line="240" w:lineRule="auto"/>
              <w:rPr>
                <w:rFonts w:hint="default" w:ascii="Times New Roman" w:hAnsi="Times New Roman" w:cs="Times New Roman"/>
                <w:sz w:val="24"/>
                <w:szCs w:val="24"/>
              </w:rPr>
            </w:pPr>
            <w:r>
              <w:rPr>
                <w:rFonts w:hint="default" w:ascii="Times New Roman" w:hAnsi="Times New Roman" w:cs="Times New Roman"/>
                <w:b/>
                <w:bCs/>
                <w:sz w:val="24"/>
                <w:szCs w:val="24"/>
              </w:rPr>
              <w:t>Parameter</w:t>
            </w:r>
          </w:p>
        </w:tc>
        <w:tc>
          <w:tcPr>
            <w:tcW w:w="3150" w:type="dxa"/>
            <w:tcBorders>
              <w:top w:val="nil"/>
              <w:left w:val="nil"/>
              <w:bottom w:val="nil"/>
              <w:right w:val="nil"/>
            </w:tcBorders>
            <w:tcMar>
              <w:top w:w="100" w:type="dxa"/>
              <w:left w:w="100" w:type="dxa"/>
              <w:bottom w:w="100" w:type="dxa"/>
              <w:right w:w="100" w:type="dxa"/>
            </w:tcMar>
          </w:tcPr>
          <w:p w14:paraId="45600718">
            <w:pPr>
              <w:spacing w:line="240" w:lineRule="auto"/>
              <w:rPr>
                <w:rFonts w:hint="default" w:ascii="Times New Roman" w:hAnsi="Times New Roman" w:cs="Times New Roman"/>
                <w:b/>
                <w:bCs/>
                <w:sz w:val="24"/>
                <w:szCs w:val="24"/>
              </w:rPr>
            </w:pPr>
            <w:r>
              <w:rPr>
                <w:rFonts w:hint="default" w:ascii="Times New Roman" w:hAnsi="Times New Roman" w:cs="Times New Roman"/>
                <w:b/>
                <w:bCs/>
                <w:sz w:val="24"/>
                <w:szCs w:val="24"/>
              </w:rPr>
              <w:t xml:space="preserve">Pregnant (n = 90) </w:t>
            </w:r>
          </w:p>
          <w:p w14:paraId="59ECF078">
            <w:pPr>
              <w:spacing w:line="240" w:lineRule="auto"/>
              <w:rPr>
                <w:rFonts w:hint="default" w:ascii="Times New Roman" w:hAnsi="Times New Roman" w:cs="Times New Roman"/>
                <w:sz w:val="24"/>
                <w:szCs w:val="24"/>
              </w:rPr>
            </w:pPr>
            <w:r>
              <w:rPr>
                <w:rFonts w:hint="default" w:ascii="Times New Roman" w:hAnsi="Times New Roman" w:cs="Times New Roman"/>
                <w:b/>
                <w:bCs/>
                <w:sz w:val="24"/>
                <w:szCs w:val="24"/>
              </w:rPr>
              <w:t>Mean ± SD</w:t>
            </w:r>
          </w:p>
        </w:tc>
        <w:tc>
          <w:tcPr>
            <w:tcW w:w="2925" w:type="dxa"/>
            <w:tcBorders>
              <w:top w:val="nil"/>
              <w:left w:val="nil"/>
              <w:bottom w:val="nil"/>
              <w:right w:val="nil"/>
            </w:tcBorders>
            <w:tcMar>
              <w:top w:w="100" w:type="dxa"/>
              <w:left w:w="100" w:type="dxa"/>
              <w:bottom w:w="100" w:type="dxa"/>
              <w:right w:w="100" w:type="dxa"/>
            </w:tcMar>
          </w:tcPr>
          <w:p w14:paraId="756F56BB">
            <w:pPr>
              <w:spacing w:line="240" w:lineRule="auto"/>
              <w:rPr>
                <w:rFonts w:hint="default" w:ascii="Times New Roman" w:hAnsi="Times New Roman" w:cs="Times New Roman"/>
                <w:b/>
                <w:bCs/>
                <w:sz w:val="24"/>
                <w:szCs w:val="24"/>
              </w:rPr>
            </w:pPr>
            <w:r>
              <w:rPr>
                <w:rFonts w:hint="default" w:ascii="Times New Roman" w:hAnsi="Times New Roman" w:cs="Times New Roman"/>
                <w:b/>
                <w:bCs/>
                <w:sz w:val="24"/>
                <w:szCs w:val="24"/>
              </w:rPr>
              <w:t>Non-pregnant</w:t>
            </w:r>
          </w:p>
          <w:p w14:paraId="618D7C26">
            <w:pPr>
              <w:spacing w:line="240" w:lineRule="auto"/>
              <w:rPr>
                <w:rFonts w:hint="default" w:ascii="Times New Roman" w:hAnsi="Times New Roman" w:cs="Times New Roman"/>
                <w:sz w:val="24"/>
                <w:szCs w:val="24"/>
              </w:rPr>
            </w:pPr>
            <w:r>
              <w:rPr>
                <w:rFonts w:hint="default" w:ascii="Times New Roman" w:hAnsi="Times New Roman" w:cs="Times New Roman"/>
                <w:b/>
                <w:bCs/>
                <w:sz w:val="24"/>
                <w:szCs w:val="24"/>
              </w:rPr>
              <w:t>(n = 60) Mean ± SD</w:t>
            </w:r>
          </w:p>
        </w:tc>
        <w:tc>
          <w:tcPr>
            <w:tcW w:w="1155" w:type="dxa"/>
            <w:tcBorders>
              <w:top w:val="nil"/>
              <w:left w:val="nil"/>
              <w:bottom w:val="nil"/>
              <w:right w:val="nil"/>
            </w:tcBorders>
            <w:tcMar>
              <w:top w:w="100" w:type="dxa"/>
              <w:left w:w="100" w:type="dxa"/>
              <w:bottom w:w="100" w:type="dxa"/>
              <w:right w:w="100" w:type="dxa"/>
            </w:tcMar>
          </w:tcPr>
          <w:p w14:paraId="5BFB4490">
            <w:pPr>
              <w:spacing w:line="240" w:lineRule="auto"/>
              <w:jc w:val="center"/>
              <w:rPr>
                <w:rFonts w:hint="default" w:ascii="Times New Roman" w:hAnsi="Times New Roman" w:cs="Times New Roman"/>
                <w:sz w:val="24"/>
                <w:szCs w:val="24"/>
              </w:rPr>
            </w:pPr>
            <w:r>
              <w:rPr>
                <w:rFonts w:hint="default" w:ascii="Times New Roman" w:hAnsi="Times New Roman" w:cs="Times New Roman"/>
                <w:b/>
                <w:bCs/>
                <w:sz w:val="24"/>
                <w:szCs w:val="24"/>
              </w:rPr>
              <w:t>p-value</w:t>
            </w:r>
          </w:p>
        </w:tc>
        <w:tc>
          <w:tcPr>
            <w:tcW w:w="1665" w:type="dxa"/>
            <w:tcBorders>
              <w:top w:val="nil"/>
              <w:left w:val="nil"/>
              <w:bottom w:val="nil"/>
              <w:right w:val="nil"/>
            </w:tcBorders>
            <w:tcMar>
              <w:top w:w="100" w:type="dxa"/>
              <w:left w:w="100" w:type="dxa"/>
              <w:bottom w:w="100" w:type="dxa"/>
              <w:right w:w="100" w:type="dxa"/>
            </w:tcMar>
          </w:tcPr>
          <w:p w14:paraId="7301FB01">
            <w:pPr>
              <w:spacing w:line="240" w:lineRule="auto"/>
              <w:jc w:val="center"/>
              <w:rPr>
                <w:rFonts w:hint="default" w:ascii="Times New Roman" w:hAnsi="Times New Roman" w:cs="Times New Roman"/>
                <w:sz w:val="24"/>
                <w:szCs w:val="24"/>
              </w:rPr>
            </w:pPr>
            <w:r>
              <w:rPr>
                <w:rFonts w:hint="default" w:ascii="Times New Roman" w:hAnsi="Times New Roman" w:cs="Times New Roman"/>
                <w:b/>
                <w:bCs/>
                <w:sz w:val="24"/>
                <w:szCs w:val="24"/>
              </w:rPr>
              <w:t>Significance</w:t>
            </w:r>
          </w:p>
        </w:tc>
      </w:tr>
      <w:tr w14:paraId="2E055C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515" w:hRule="atLeast"/>
        </w:trPr>
        <w:tc>
          <w:tcPr>
            <w:tcW w:w="3810" w:type="dxa"/>
            <w:tcBorders>
              <w:top w:val="nil"/>
              <w:left w:val="nil"/>
              <w:bottom w:val="nil"/>
              <w:right w:val="nil"/>
            </w:tcBorders>
            <w:tcMar>
              <w:top w:w="100" w:type="dxa"/>
              <w:left w:w="100" w:type="dxa"/>
              <w:bottom w:w="100" w:type="dxa"/>
              <w:right w:w="100" w:type="dxa"/>
            </w:tcMar>
          </w:tcPr>
          <w:p w14:paraId="6450F307">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Creatinine (</w:t>
            </w:r>
            <w:r>
              <w:rPr>
                <w:rFonts w:hint="default" w:ascii="Times New Roman" w:hAnsi="Times New Roman" w:eastAsia="SimSun" w:cs="Times New Roman"/>
                <w:sz w:val="24"/>
                <w:szCs w:val="24"/>
                <w:highlight w:val="yellow"/>
              </w:rPr>
              <w:t>mg/dL</w:t>
            </w:r>
            <w:r>
              <w:rPr>
                <w:rFonts w:hint="default" w:ascii="Times New Roman" w:hAnsi="Times New Roman" w:cs="Times New Roman"/>
                <w:sz w:val="24"/>
                <w:szCs w:val="24"/>
              </w:rPr>
              <w:t>)</w:t>
            </w:r>
          </w:p>
        </w:tc>
        <w:tc>
          <w:tcPr>
            <w:tcW w:w="3150" w:type="dxa"/>
            <w:tcBorders>
              <w:top w:val="nil"/>
              <w:left w:val="nil"/>
              <w:bottom w:val="nil"/>
              <w:right w:val="nil"/>
            </w:tcBorders>
            <w:tcMar>
              <w:top w:w="100" w:type="dxa"/>
              <w:left w:w="100" w:type="dxa"/>
              <w:bottom w:w="100" w:type="dxa"/>
              <w:right w:w="100" w:type="dxa"/>
            </w:tcMar>
          </w:tcPr>
          <w:p w14:paraId="3A0650F8">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75.86 ± 12.05</w:t>
            </w:r>
          </w:p>
        </w:tc>
        <w:tc>
          <w:tcPr>
            <w:tcW w:w="2925" w:type="dxa"/>
            <w:tcBorders>
              <w:top w:val="nil"/>
              <w:left w:val="nil"/>
              <w:bottom w:val="nil"/>
              <w:right w:val="nil"/>
            </w:tcBorders>
            <w:tcMar>
              <w:top w:w="100" w:type="dxa"/>
              <w:left w:w="100" w:type="dxa"/>
              <w:bottom w:w="100" w:type="dxa"/>
              <w:right w:w="100" w:type="dxa"/>
            </w:tcMar>
          </w:tcPr>
          <w:p w14:paraId="577047BA">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65.62 ± 8.01</w:t>
            </w:r>
          </w:p>
        </w:tc>
        <w:tc>
          <w:tcPr>
            <w:tcW w:w="1155" w:type="dxa"/>
            <w:tcBorders>
              <w:top w:val="nil"/>
              <w:left w:val="nil"/>
              <w:bottom w:val="nil"/>
              <w:right w:val="nil"/>
            </w:tcBorders>
            <w:tcMar>
              <w:top w:w="100" w:type="dxa"/>
              <w:left w:w="100" w:type="dxa"/>
              <w:bottom w:w="100" w:type="dxa"/>
              <w:right w:w="100" w:type="dxa"/>
            </w:tcMar>
          </w:tcPr>
          <w:p w14:paraId="5E4CB568">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&lt;0.001</w:t>
            </w:r>
          </w:p>
        </w:tc>
        <w:tc>
          <w:tcPr>
            <w:tcW w:w="1665" w:type="dxa"/>
            <w:tcBorders>
              <w:top w:val="nil"/>
              <w:left w:val="nil"/>
              <w:bottom w:val="nil"/>
              <w:right w:val="nil"/>
            </w:tcBorders>
            <w:tcMar>
              <w:top w:w="100" w:type="dxa"/>
              <w:left w:w="100" w:type="dxa"/>
              <w:bottom w:w="100" w:type="dxa"/>
              <w:right w:w="100" w:type="dxa"/>
            </w:tcMar>
          </w:tcPr>
          <w:p w14:paraId="4ED79381">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Significant</w:t>
            </w:r>
          </w:p>
        </w:tc>
      </w:tr>
      <w:tr w14:paraId="3F23B8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515" w:hRule="atLeast"/>
        </w:trPr>
        <w:tc>
          <w:tcPr>
            <w:tcW w:w="3810" w:type="dxa"/>
            <w:tcBorders>
              <w:top w:val="nil"/>
              <w:left w:val="nil"/>
              <w:bottom w:val="nil"/>
              <w:right w:val="nil"/>
            </w:tcBorders>
            <w:tcMar>
              <w:top w:w="100" w:type="dxa"/>
              <w:left w:w="100" w:type="dxa"/>
              <w:bottom w:w="100" w:type="dxa"/>
              <w:right w:w="100" w:type="dxa"/>
            </w:tcMar>
          </w:tcPr>
          <w:p w14:paraId="53F269DF">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Urea (</w:t>
            </w:r>
            <w:r>
              <w:rPr>
                <w:rFonts w:hint="default" w:ascii="Times New Roman" w:hAnsi="Times New Roman" w:eastAsia="SimSun" w:cs="Times New Roman"/>
                <w:sz w:val="24"/>
                <w:szCs w:val="24"/>
                <w:highlight w:val="yellow"/>
              </w:rPr>
              <w:t>mg/dL</w:t>
            </w:r>
            <w:r>
              <w:rPr>
                <w:rFonts w:hint="default" w:ascii="Times New Roman" w:hAnsi="Times New Roman" w:cs="Times New Roman"/>
                <w:sz w:val="24"/>
                <w:szCs w:val="24"/>
              </w:rPr>
              <w:t>)</w:t>
            </w:r>
          </w:p>
        </w:tc>
        <w:tc>
          <w:tcPr>
            <w:tcW w:w="3150" w:type="dxa"/>
            <w:tcBorders>
              <w:top w:val="nil"/>
              <w:left w:val="nil"/>
              <w:bottom w:val="nil"/>
              <w:right w:val="nil"/>
            </w:tcBorders>
            <w:tcMar>
              <w:top w:w="100" w:type="dxa"/>
              <w:left w:w="100" w:type="dxa"/>
              <w:bottom w:w="100" w:type="dxa"/>
              <w:right w:w="100" w:type="dxa"/>
            </w:tcMar>
          </w:tcPr>
          <w:p w14:paraId="4C86307C">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5.54 ± 0.87</w:t>
            </w:r>
          </w:p>
        </w:tc>
        <w:tc>
          <w:tcPr>
            <w:tcW w:w="2925" w:type="dxa"/>
            <w:tcBorders>
              <w:top w:val="nil"/>
              <w:left w:val="nil"/>
              <w:bottom w:val="nil"/>
              <w:right w:val="nil"/>
            </w:tcBorders>
            <w:tcMar>
              <w:top w:w="100" w:type="dxa"/>
              <w:left w:w="100" w:type="dxa"/>
              <w:bottom w:w="100" w:type="dxa"/>
              <w:right w:w="100" w:type="dxa"/>
            </w:tcMar>
          </w:tcPr>
          <w:p w14:paraId="75BEBB3D">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5.25 ± 0.61</w:t>
            </w:r>
          </w:p>
        </w:tc>
        <w:tc>
          <w:tcPr>
            <w:tcW w:w="1155" w:type="dxa"/>
            <w:tcBorders>
              <w:top w:val="nil"/>
              <w:left w:val="nil"/>
              <w:bottom w:val="nil"/>
              <w:right w:val="nil"/>
            </w:tcBorders>
            <w:tcMar>
              <w:top w:w="100" w:type="dxa"/>
              <w:left w:w="100" w:type="dxa"/>
              <w:bottom w:w="100" w:type="dxa"/>
              <w:right w:w="100" w:type="dxa"/>
            </w:tcMar>
          </w:tcPr>
          <w:p w14:paraId="4FB76F07">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0.022</w:t>
            </w:r>
          </w:p>
        </w:tc>
        <w:tc>
          <w:tcPr>
            <w:tcW w:w="1665" w:type="dxa"/>
            <w:tcBorders>
              <w:top w:val="nil"/>
              <w:left w:val="nil"/>
              <w:bottom w:val="nil"/>
              <w:right w:val="nil"/>
            </w:tcBorders>
            <w:tcMar>
              <w:top w:w="100" w:type="dxa"/>
              <w:left w:w="100" w:type="dxa"/>
              <w:bottom w:w="100" w:type="dxa"/>
              <w:right w:w="100" w:type="dxa"/>
            </w:tcMar>
          </w:tcPr>
          <w:p w14:paraId="0B332FD0">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Significant</w:t>
            </w:r>
          </w:p>
        </w:tc>
      </w:tr>
      <w:tr w14:paraId="7DA741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525" w:hRule="atLeast"/>
        </w:trPr>
        <w:tc>
          <w:tcPr>
            <w:tcW w:w="3810" w:type="dxa"/>
            <w:tcBorders>
              <w:top w:val="nil"/>
              <w:left w:val="nil"/>
              <w:bottom w:val="nil"/>
              <w:right w:val="nil"/>
            </w:tcBorders>
            <w:tcMar>
              <w:top w:w="100" w:type="dxa"/>
              <w:left w:w="100" w:type="dxa"/>
              <w:bottom w:w="100" w:type="dxa"/>
              <w:right w:w="100" w:type="dxa"/>
            </w:tcMar>
          </w:tcPr>
          <w:p w14:paraId="0FF7CE80">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Sodium (</w:t>
            </w:r>
            <w:r>
              <w:rPr>
                <w:rFonts w:hint="default" w:ascii="Times New Roman" w:hAnsi="Times New Roman" w:eastAsia="SimSun" w:cs="Times New Roman"/>
                <w:sz w:val="24"/>
                <w:szCs w:val="24"/>
                <w:highlight w:val="yellow"/>
              </w:rPr>
              <w:t>mg/dL</w:t>
            </w:r>
            <w:r>
              <w:rPr>
                <w:rFonts w:hint="default" w:ascii="Times New Roman" w:hAnsi="Times New Roman" w:cs="Times New Roman"/>
                <w:sz w:val="24"/>
                <w:szCs w:val="24"/>
              </w:rPr>
              <w:t>)</w:t>
            </w:r>
          </w:p>
        </w:tc>
        <w:tc>
          <w:tcPr>
            <w:tcW w:w="3150" w:type="dxa"/>
            <w:tcBorders>
              <w:top w:val="nil"/>
              <w:left w:val="nil"/>
              <w:bottom w:val="nil"/>
              <w:right w:val="nil"/>
            </w:tcBorders>
            <w:tcMar>
              <w:top w:w="100" w:type="dxa"/>
              <w:left w:w="100" w:type="dxa"/>
              <w:bottom w:w="100" w:type="dxa"/>
              <w:right w:w="100" w:type="dxa"/>
            </w:tcMar>
          </w:tcPr>
          <w:p w14:paraId="20BFBB4F">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135.85 ± 5.05</w:t>
            </w:r>
          </w:p>
        </w:tc>
        <w:tc>
          <w:tcPr>
            <w:tcW w:w="2925" w:type="dxa"/>
            <w:tcBorders>
              <w:top w:val="nil"/>
              <w:left w:val="nil"/>
              <w:bottom w:val="nil"/>
              <w:right w:val="nil"/>
            </w:tcBorders>
            <w:tcMar>
              <w:top w:w="100" w:type="dxa"/>
              <w:left w:w="100" w:type="dxa"/>
              <w:bottom w:w="100" w:type="dxa"/>
              <w:right w:w="100" w:type="dxa"/>
            </w:tcMar>
          </w:tcPr>
          <w:p w14:paraId="00D5154C">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136.54 ± 3.51</w:t>
            </w:r>
          </w:p>
        </w:tc>
        <w:tc>
          <w:tcPr>
            <w:tcW w:w="1155" w:type="dxa"/>
            <w:tcBorders>
              <w:top w:val="nil"/>
              <w:left w:val="nil"/>
              <w:bottom w:val="nil"/>
              <w:right w:val="nil"/>
            </w:tcBorders>
            <w:tcMar>
              <w:top w:w="100" w:type="dxa"/>
              <w:left w:w="100" w:type="dxa"/>
              <w:bottom w:w="100" w:type="dxa"/>
              <w:right w:w="100" w:type="dxa"/>
            </w:tcMar>
          </w:tcPr>
          <w:p w14:paraId="7FFA8627">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0.364</w:t>
            </w:r>
          </w:p>
        </w:tc>
        <w:tc>
          <w:tcPr>
            <w:tcW w:w="1665" w:type="dxa"/>
            <w:tcBorders>
              <w:top w:val="nil"/>
              <w:left w:val="nil"/>
              <w:bottom w:val="nil"/>
              <w:right w:val="nil"/>
            </w:tcBorders>
            <w:tcMar>
              <w:top w:w="100" w:type="dxa"/>
              <w:left w:w="100" w:type="dxa"/>
              <w:bottom w:w="100" w:type="dxa"/>
              <w:right w:w="100" w:type="dxa"/>
            </w:tcMar>
          </w:tcPr>
          <w:p w14:paraId="296A9943">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Not significant</w:t>
            </w:r>
          </w:p>
        </w:tc>
      </w:tr>
      <w:tr w14:paraId="5243F8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515" w:hRule="atLeast"/>
        </w:trPr>
        <w:tc>
          <w:tcPr>
            <w:tcW w:w="3810" w:type="dxa"/>
            <w:tcBorders>
              <w:top w:val="nil"/>
              <w:left w:val="nil"/>
              <w:bottom w:val="nil"/>
              <w:right w:val="nil"/>
            </w:tcBorders>
            <w:tcMar>
              <w:top w:w="100" w:type="dxa"/>
              <w:left w:w="100" w:type="dxa"/>
              <w:bottom w:w="100" w:type="dxa"/>
              <w:right w:w="100" w:type="dxa"/>
            </w:tcMar>
          </w:tcPr>
          <w:p w14:paraId="52FC87D4">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Potassium (</w:t>
            </w:r>
            <w:r>
              <w:rPr>
                <w:rFonts w:hint="default" w:ascii="Times New Roman" w:hAnsi="Times New Roman" w:eastAsia="SimSun" w:cs="Times New Roman"/>
                <w:sz w:val="24"/>
                <w:szCs w:val="24"/>
                <w:highlight w:val="yellow"/>
              </w:rPr>
              <w:t>mg/d</w:t>
            </w:r>
            <w:r>
              <w:rPr>
                <w:rFonts w:hint="default" w:ascii="Times New Roman" w:hAnsi="Times New Roman" w:eastAsia="SimSun" w:cs="Times New Roman"/>
                <w:sz w:val="24"/>
                <w:szCs w:val="24"/>
              </w:rPr>
              <w:t>L</w:t>
            </w:r>
            <w:r>
              <w:rPr>
                <w:rFonts w:hint="default" w:ascii="Times New Roman" w:hAnsi="Times New Roman" w:cs="Times New Roman"/>
                <w:sz w:val="24"/>
                <w:szCs w:val="24"/>
              </w:rPr>
              <w:t>)</w:t>
            </w:r>
          </w:p>
        </w:tc>
        <w:tc>
          <w:tcPr>
            <w:tcW w:w="3150" w:type="dxa"/>
            <w:tcBorders>
              <w:top w:val="nil"/>
              <w:left w:val="nil"/>
              <w:bottom w:val="nil"/>
              <w:right w:val="nil"/>
            </w:tcBorders>
            <w:tcMar>
              <w:top w:w="100" w:type="dxa"/>
              <w:left w:w="100" w:type="dxa"/>
              <w:bottom w:w="100" w:type="dxa"/>
              <w:right w:w="100" w:type="dxa"/>
            </w:tcMar>
          </w:tcPr>
          <w:p w14:paraId="02261059">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5.39 ± 0.98</w:t>
            </w:r>
          </w:p>
        </w:tc>
        <w:tc>
          <w:tcPr>
            <w:tcW w:w="2925" w:type="dxa"/>
            <w:tcBorders>
              <w:top w:val="nil"/>
              <w:left w:val="nil"/>
              <w:bottom w:val="nil"/>
              <w:right w:val="nil"/>
            </w:tcBorders>
            <w:tcMar>
              <w:top w:w="100" w:type="dxa"/>
              <w:left w:w="100" w:type="dxa"/>
              <w:bottom w:w="100" w:type="dxa"/>
              <w:right w:w="100" w:type="dxa"/>
            </w:tcMar>
          </w:tcPr>
          <w:p w14:paraId="35330D07">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4.24 ± 0.37</w:t>
            </w:r>
          </w:p>
        </w:tc>
        <w:tc>
          <w:tcPr>
            <w:tcW w:w="1155" w:type="dxa"/>
            <w:tcBorders>
              <w:top w:val="nil"/>
              <w:left w:val="nil"/>
              <w:bottom w:val="nil"/>
              <w:right w:val="nil"/>
            </w:tcBorders>
            <w:tcMar>
              <w:top w:w="100" w:type="dxa"/>
              <w:left w:w="100" w:type="dxa"/>
              <w:bottom w:w="100" w:type="dxa"/>
              <w:right w:w="100" w:type="dxa"/>
            </w:tcMar>
          </w:tcPr>
          <w:p w14:paraId="0F5B79A7">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&lt;0.001</w:t>
            </w:r>
          </w:p>
        </w:tc>
        <w:tc>
          <w:tcPr>
            <w:tcW w:w="1665" w:type="dxa"/>
            <w:tcBorders>
              <w:top w:val="nil"/>
              <w:left w:val="nil"/>
              <w:bottom w:val="nil"/>
              <w:right w:val="nil"/>
            </w:tcBorders>
            <w:tcMar>
              <w:top w:w="100" w:type="dxa"/>
              <w:left w:w="100" w:type="dxa"/>
              <w:bottom w:w="100" w:type="dxa"/>
              <w:right w:w="100" w:type="dxa"/>
            </w:tcMar>
          </w:tcPr>
          <w:p w14:paraId="3137CCA3">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Significant</w:t>
            </w:r>
          </w:p>
        </w:tc>
      </w:tr>
      <w:tr w14:paraId="0784FD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515" w:hRule="atLeast"/>
        </w:trPr>
        <w:tc>
          <w:tcPr>
            <w:tcW w:w="3810" w:type="dxa"/>
            <w:tcBorders>
              <w:top w:val="nil"/>
              <w:left w:val="nil"/>
              <w:bottom w:val="nil"/>
              <w:right w:val="nil"/>
            </w:tcBorders>
            <w:tcMar>
              <w:top w:w="100" w:type="dxa"/>
              <w:left w:w="100" w:type="dxa"/>
              <w:bottom w:w="100" w:type="dxa"/>
              <w:right w:w="100" w:type="dxa"/>
            </w:tcMar>
          </w:tcPr>
          <w:p w14:paraId="4BC5C3A4">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Chloride (</w:t>
            </w:r>
            <w:r>
              <w:rPr>
                <w:rFonts w:hint="default" w:ascii="Times New Roman" w:hAnsi="Times New Roman" w:eastAsia="SimSun" w:cs="Times New Roman"/>
                <w:sz w:val="24"/>
                <w:szCs w:val="24"/>
                <w:highlight w:val="yellow"/>
              </w:rPr>
              <w:t>mg/dL</w:t>
            </w:r>
            <w:r>
              <w:rPr>
                <w:rFonts w:hint="default" w:ascii="Times New Roman" w:hAnsi="Times New Roman" w:cs="Times New Roman"/>
                <w:sz w:val="24"/>
                <w:szCs w:val="24"/>
              </w:rPr>
              <w:t>)</w:t>
            </w:r>
          </w:p>
        </w:tc>
        <w:tc>
          <w:tcPr>
            <w:tcW w:w="3150" w:type="dxa"/>
            <w:tcBorders>
              <w:top w:val="nil"/>
              <w:left w:val="nil"/>
              <w:bottom w:val="nil"/>
              <w:right w:val="nil"/>
            </w:tcBorders>
            <w:tcMar>
              <w:top w:w="100" w:type="dxa"/>
              <w:left w:w="100" w:type="dxa"/>
              <w:bottom w:w="100" w:type="dxa"/>
              <w:right w:w="100" w:type="dxa"/>
            </w:tcMar>
          </w:tcPr>
          <w:p w14:paraId="464C548D">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103.81 ± 5.39</w:t>
            </w:r>
          </w:p>
        </w:tc>
        <w:tc>
          <w:tcPr>
            <w:tcW w:w="2925" w:type="dxa"/>
            <w:tcBorders>
              <w:top w:val="nil"/>
              <w:left w:val="nil"/>
              <w:bottom w:val="nil"/>
              <w:right w:val="nil"/>
            </w:tcBorders>
            <w:tcMar>
              <w:top w:w="100" w:type="dxa"/>
              <w:left w:w="100" w:type="dxa"/>
              <w:bottom w:w="100" w:type="dxa"/>
              <w:right w:w="100" w:type="dxa"/>
            </w:tcMar>
          </w:tcPr>
          <w:p w14:paraId="721A5D3E">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98.56 ± 2.87</w:t>
            </w:r>
          </w:p>
        </w:tc>
        <w:tc>
          <w:tcPr>
            <w:tcW w:w="1155" w:type="dxa"/>
            <w:tcBorders>
              <w:top w:val="nil"/>
              <w:left w:val="nil"/>
              <w:bottom w:val="nil"/>
              <w:right w:val="nil"/>
            </w:tcBorders>
            <w:tcMar>
              <w:top w:w="100" w:type="dxa"/>
              <w:left w:w="100" w:type="dxa"/>
              <w:bottom w:w="100" w:type="dxa"/>
              <w:right w:w="100" w:type="dxa"/>
            </w:tcMar>
          </w:tcPr>
          <w:p w14:paraId="3354AB9E">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&lt;0.001</w:t>
            </w:r>
          </w:p>
        </w:tc>
        <w:tc>
          <w:tcPr>
            <w:tcW w:w="1665" w:type="dxa"/>
            <w:tcBorders>
              <w:top w:val="nil"/>
              <w:left w:val="nil"/>
              <w:bottom w:val="nil"/>
              <w:right w:val="nil"/>
            </w:tcBorders>
            <w:tcMar>
              <w:top w:w="100" w:type="dxa"/>
              <w:left w:w="100" w:type="dxa"/>
              <w:bottom w:w="100" w:type="dxa"/>
              <w:right w:w="100" w:type="dxa"/>
            </w:tcMar>
          </w:tcPr>
          <w:p w14:paraId="468DF26D">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Significant</w:t>
            </w:r>
          </w:p>
        </w:tc>
      </w:tr>
      <w:tr w14:paraId="669B92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510" w:hRule="atLeast"/>
        </w:trPr>
        <w:tc>
          <w:tcPr>
            <w:tcW w:w="3810" w:type="dxa"/>
            <w:tcBorders>
              <w:top w:val="nil"/>
              <w:left w:val="nil"/>
              <w:bottom w:val="nil"/>
              <w:right w:val="nil"/>
            </w:tcBorders>
            <w:tcMar>
              <w:top w:w="100" w:type="dxa"/>
              <w:left w:w="100" w:type="dxa"/>
              <w:bottom w:w="100" w:type="dxa"/>
              <w:right w:w="100" w:type="dxa"/>
            </w:tcMar>
          </w:tcPr>
          <w:p w14:paraId="2AA79AF0">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Bicarbonate (</w:t>
            </w:r>
            <w:r>
              <w:rPr>
                <w:rFonts w:hint="default" w:ascii="Times New Roman" w:hAnsi="Times New Roman" w:eastAsia="SimSun" w:cs="Times New Roman"/>
                <w:sz w:val="24"/>
                <w:szCs w:val="24"/>
                <w:highlight w:val="yellow"/>
              </w:rPr>
              <w:t>mg/dL</w:t>
            </w:r>
            <w:r>
              <w:rPr>
                <w:rFonts w:hint="default" w:ascii="Times New Roman" w:hAnsi="Times New Roman" w:cs="Times New Roman"/>
                <w:sz w:val="24"/>
                <w:szCs w:val="24"/>
              </w:rPr>
              <w:t>)</w:t>
            </w:r>
          </w:p>
        </w:tc>
        <w:tc>
          <w:tcPr>
            <w:tcW w:w="3150" w:type="dxa"/>
            <w:tcBorders>
              <w:top w:val="nil"/>
              <w:left w:val="nil"/>
              <w:bottom w:val="nil"/>
              <w:right w:val="nil"/>
            </w:tcBorders>
            <w:tcMar>
              <w:top w:w="100" w:type="dxa"/>
              <w:left w:w="100" w:type="dxa"/>
              <w:bottom w:w="100" w:type="dxa"/>
              <w:right w:w="100" w:type="dxa"/>
            </w:tcMar>
          </w:tcPr>
          <w:p w14:paraId="31607532">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24.17 ± 1.68</w:t>
            </w:r>
          </w:p>
        </w:tc>
        <w:tc>
          <w:tcPr>
            <w:tcW w:w="2925" w:type="dxa"/>
            <w:tcBorders>
              <w:top w:val="nil"/>
              <w:left w:val="nil"/>
              <w:bottom w:val="nil"/>
              <w:right w:val="nil"/>
            </w:tcBorders>
            <w:tcMar>
              <w:top w:w="100" w:type="dxa"/>
              <w:left w:w="100" w:type="dxa"/>
              <w:bottom w:w="100" w:type="dxa"/>
              <w:right w:w="100" w:type="dxa"/>
            </w:tcMar>
          </w:tcPr>
          <w:p w14:paraId="1F17B37E">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23.51 ± 1.28</w:t>
            </w:r>
          </w:p>
        </w:tc>
        <w:tc>
          <w:tcPr>
            <w:tcW w:w="1155" w:type="dxa"/>
            <w:tcBorders>
              <w:top w:val="nil"/>
              <w:left w:val="nil"/>
              <w:bottom w:val="nil"/>
              <w:right w:val="nil"/>
            </w:tcBorders>
            <w:tcMar>
              <w:top w:w="100" w:type="dxa"/>
              <w:left w:w="100" w:type="dxa"/>
              <w:bottom w:w="100" w:type="dxa"/>
              <w:right w:w="100" w:type="dxa"/>
            </w:tcMar>
          </w:tcPr>
          <w:p w14:paraId="4DB0C234">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0.010</w:t>
            </w:r>
          </w:p>
        </w:tc>
        <w:tc>
          <w:tcPr>
            <w:tcW w:w="1665" w:type="dxa"/>
            <w:tcBorders>
              <w:top w:val="nil"/>
              <w:left w:val="nil"/>
              <w:bottom w:val="nil"/>
              <w:right w:val="nil"/>
            </w:tcBorders>
            <w:tcMar>
              <w:top w:w="100" w:type="dxa"/>
              <w:left w:w="100" w:type="dxa"/>
              <w:bottom w:w="100" w:type="dxa"/>
              <w:right w:w="100" w:type="dxa"/>
            </w:tcMar>
          </w:tcPr>
          <w:p w14:paraId="7EB15DD2">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Significant</w:t>
            </w:r>
          </w:p>
        </w:tc>
      </w:tr>
      <w:tr w14:paraId="44C8E1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515" w:hRule="atLeast"/>
        </w:trPr>
        <w:tc>
          <w:tcPr>
            <w:tcW w:w="3810" w:type="dxa"/>
            <w:tcBorders>
              <w:top w:val="nil"/>
              <w:left w:val="nil"/>
              <w:bottom w:val="nil"/>
              <w:right w:val="nil"/>
            </w:tcBorders>
            <w:tcMar>
              <w:top w:w="100" w:type="dxa"/>
              <w:left w:w="100" w:type="dxa"/>
              <w:bottom w:w="100" w:type="dxa"/>
              <w:right w:w="100" w:type="dxa"/>
            </w:tcMar>
          </w:tcPr>
          <w:p w14:paraId="3948958C">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Uric acid (</w:t>
            </w:r>
            <w:r>
              <w:rPr>
                <w:rFonts w:hint="default" w:ascii="Times New Roman" w:hAnsi="Times New Roman" w:eastAsia="SimSun" w:cs="Times New Roman"/>
                <w:sz w:val="24"/>
                <w:szCs w:val="24"/>
                <w:highlight w:val="yellow"/>
              </w:rPr>
              <w:t>mg/d</w:t>
            </w:r>
            <w:r>
              <w:rPr>
                <w:rFonts w:hint="default" w:ascii="Times New Roman" w:hAnsi="Times New Roman" w:eastAsia="SimSun" w:cs="Times New Roman"/>
                <w:sz w:val="24"/>
                <w:szCs w:val="24"/>
              </w:rPr>
              <w:t>L</w:t>
            </w:r>
            <w:r>
              <w:rPr>
                <w:rFonts w:hint="default" w:ascii="Times New Roman" w:hAnsi="Times New Roman" w:cs="Times New Roman"/>
                <w:sz w:val="24"/>
                <w:szCs w:val="24"/>
              </w:rPr>
              <w:t>)</w:t>
            </w:r>
          </w:p>
        </w:tc>
        <w:tc>
          <w:tcPr>
            <w:tcW w:w="3150" w:type="dxa"/>
            <w:tcBorders>
              <w:top w:val="nil"/>
              <w:left w:val="nil"/>
              <w:bottom w:val="nil"/>
              <w:right w:val="nil"/>
            </w:tcBorders>
            <w:tcMar>
              <w:top w:w="100" w:type="dxa"/>
              <w:left w:w="100" w:type="dxa"/>
              <w:bottom w:w="100" w:type="dxa"/>
              <w:right w:w="100" w:type="dxa"/>
            </w:tcMar>
          </w:tcPr>
          <w:p w14:paraId="1A14F5BE">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7.32 ± 0.40</w:t>
            </w:r>
          </w:p>
        </w:tc>
        <w:tc>
          <w:tcPr>
            <w:tcW w:w="2925" w:type="dxa"/>
            <w:tcBorders>
              <w:top w:val="nil"/>
              <w:left w:val="nil"/>
              <w:bottom w:val="nil"/>
              <w:right w:val="nil"/>
            </w:tcBorders>
            <w:tcMar>
              <w:top w:w="100" w:type="dxa"/>
              <w:left w:w="100" w:type="dxa"/>
              <w:bottom w:w="100" w:type="dxa"/>
              <w:right w:w="100" w:type="dxa"/>
            </w:tcMar>
          </w:tcPr>
          <w:p w14:paraId="1913E0EF">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5.27 ± 0.85</w:t>
            </w:r>
          </w:p>
        </w:tc>
        <w:tc>
          <w:tcPr>
            <w:tcW w:w="1155" w:type="dxa"/>
            <w:tcBorders>
              <w:top w:val="nil"/>
              <w:left w:val="nil"/>
              <w:bottom w:val="nil"/>
              <w:right w:val="nil"/>
            </w:tcBorders>
            <w:tcMar>
              <w:top w:w="100" w:type="dxa"/>
              <w:left w:w="100" w:type="dxa"/>
              <w:bottom w:w="100" w:type="dxa"/>
              <w:right w:w="100" w:type="dxa"/>
            </w:tcMar>
          </w:tcPr>
          <w:p w14:paraId="210EF794">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&lt;0.001</w:t>
            </w:r>
          </w:p>
        </w:tc>
        <w:tc>
          <w:tcPr>
            <w:tcW w:w="1665" w:type="dxa"/>
            <w:tcBorders>
              <w:top w:val="nil"/>
              <w:left w:val="nil"/>
              <w:bottom w:val="nil"/>
              <w:right w:val="nil"/>
            </w:tcBorders>
            <w:tcMar>
              <w:top w:w="100" w:type="dxa"/>
              <w:left w:w="100" w:type="dxa"/>
              <w:bottom w:w="100" w:type="dxa"/>
              <w:right w:w="100" w:type="dxa"/>
            </w:tcMar>
          </w:tcPr>
          <w:p w14:paraId="33606CB5">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Significant</w:t>
            </w:r>
          </w:p>
        </w:tc>
      </w:tr>
      <w:tr w14:paraId="248EF1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95" w:hRule="atLeast"/>
        </w:trPr>
        <w:tc>
          <w:tcPr>
            <w:tcW w:w="3810" w:type="dxa"/>
            <w:tcBorders>
              <w:top w:val="nil"/>
              <w:left w:val="nil"/>
              <w:bottom w:val="nil"/>
              <w:right w:val="nil"/>
            </w:tcBorders>
            <w:tcMar>
              <w:top w:w="100" w:type="dxa"/>
              <w:left w:w="100" w:type="dxa"/>
              <w:bottom w:w="100" w:type="dxa"/>
              <w:right w:w="100" w:type="dxa"/>
            </w:tcMar>
          </w:tcPr>
          <w:p w14:paraId="3E0785A3">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Uric Acid/Creatinine Ratio</w:t>
            </w:r>
          </w:p>
        </w:tc>
        <w:tc>
          <w:tcPr>
            <w:tcW w:w="3150" w:type="dxa"/>
            <w:tcBorders>
              <w:top w:val="nil"/>
              <w:left w:val="nil"/>
              <w:bottom w:val="nil"/>
              <w:right w:val="nil"/>
            </w:tcBorders>
            <w:tcMar>
              <w:top w:w="100" w:type="dxa"/>
              <w:left w:w="100" w:type="dxa"/>
              <w:bottom w:w="100" w:type="dxa"/>
              <w:right w:w="100" w:type="dxa"/>
            </w:tcMar>
          </w:tcPr>
          <w:p w14:paraId="7A82DE7D">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98.99 ± 17.03</w:t>
            </w:r>
          </w:p>
        </w:tc>
        <w:tc>
          <w:tcPr>
            <w:tcW w:w="2925" w:type="dxa"/>
            <w:tcBorders>
              <w:top w:val="nil"/>
              <w:left w:val="nil"/>
              <w:bottom w:val="nil"/>
              <w:right w:val="nil"/>
            </w:tcBorders>
            <w:tcMar>
              <w:top w:w="100" w:type="dxa"/>
              <w:left w:w="100" w:type="dxa"/>
              <w:bottom w:w="100" w:type="dxa"/>
              <w:right w:w="100" w:type="dxa"/>
            </w:tcMar>
          </w:tcPr>
          <w:p w14:paraId="1CC0CAB3">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81.88 ± 18.38</w:t>
            </w:r>
          </w:p>
        </w:tc>
        <w:tc>
          <w:tcPr>
            <w:tcW w:w="1155" w:type="dxa"/>
            <w:tcBorders>
              <w:top w:val="nil"/>
              <w:left w:val="nil"/>
              <w:bottom w:val="nil"/>
              <w:right w:val="nil"/>
            </w:tcBorders>
            <w:tcMar>
              <w:top w:w="100" w:type="dxa"/>
              <w:left w:w="100" w:type="dxa"/>
              <w:bottom w:w="100" w:type="dxa"/>
              <w:right w:w="100" w:type="dxa"/>
            </w:tcMar>
          </w:tcPr>
          <w:p w14:paraId="73C8178D">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&lt;0.001</w:t>
            </w:r>
          </w:p>
        </w:tc>
        <w:tc>
          <w:tcPr>
            <w:tcW w:w="1665" w:type="dxa"/>
            <w:tcBorders>
              <w:top w:val="nil"/>
              <w:left w:val="nil"/>
              <w:bottom w:val="nil"/>
              <w:right w:val="nil"/>
            </w:tcBorders>
            <w:tcMar>
              <w:top w:w="100" w:type="dxa"/>
              <w:left w:w="100" w:type="dxa"/>
              <w:bottom w:w="100" w:type="dxa"/>
              <w:right w:w="100" w:type="dxa"/>
            </w:tcMar>
          </w:tcPr>
          <w:p w14:paraId="780A10D0">
            <w:pPr>
              <w:spacing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Significant</w:t>
            </w:r>
          </w:p>
        </w:tc>
      </w:tr>
      <w:tr w14:paraId="551E82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90" w:hRule="atLeast"/>
        </w:trPr>
        <w:tc>
          <w:tcPr>
            <w:tcW w:w="3810" w:type="dxa"/>
            <w:tcBorders>
              <w:top w:val="nil"/>
              <w:left w:val="nil"/>
              <w:bottom w:val="nil"/>
              <w:right w:val="nil"/>
            </w:tcBorders>
            <w:tcMar>
              <w:top w:w="100" w:type="dxa"/>
              <w:left w:w="100" w:type="dxa"/>
              <w:bottom w:w="100" w:type="dxa"/>
              <w:right w:w="100" w:type="dxa"/>
            </w:tcMar>
          </w:tcPr>
          <w:p w14:paraId="422D9605">
            <w:pPr>
              <w:spacing w:after="24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Urea/Creatinine Ratio</w:t>
            </w:r>
          </w:p>
        </w:tc>
        <w:tc>
          <w:tcPr>
            <w:tcW w:w="3150" w:type="dxa"/>
            <w:tcBorders>
              <w:top w:val="nil"/>
              <w:left w:val="nil"/>
              <w:bottom w:val="nil"/>
              <w:right w:val="nil"/>
            </w:tcBorders>
            <w:tcMar>
              <w:top w:w="100" w:type="dxa"/>
              <w:left w:w="100" w:type="dxa"/>
              <w:bottom w:w="100" w:type="dxa"/>
              <w:right w:w="100" w:type="dxa"/>
            </w:tcMar>
          </w:tcPr>
          <w:p w14:paraId="3E220C63">
            <w:pPr>
              <w:spacing w:after="24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75.29 ± 18.30</w:t>
            </w:r>
          </w:p>
        </w:tc>
        <w:tc>
          <w:tcPr>
            <w:tcW w:w="2925" w:type="dxa"/>
            <w:tcBorders>
              <w:top w:val="nil"/>
              <w:left w:val="nil"/>
              <w:bottom w:val="nil"/>
              <w:right w:val="nil"/>
            </w:tcBorders>
            <w:tcMar>
              <w:top w:w="100" w:type="dxa"/>
              <w:left w:w="100" w:type="dxa"/>
              <w:bottom w:w="100" w:type="dxa"/>
              <w:right w:w="100" w:type="dxa"/>
            </w:tcMar>
          </w:tcPr>
          <w:p w14:paraId="395859FC">
            <w:pPr>
              <w:spacing w:after="24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80.55 ± 9.31</w:t>
            </w:r>
          </w:p>
        </w:tc>
        <w:tc>
          <w:tcPr>
            <w:tcW w:w="1155" w:type="dxa"/>
            <w:tcBorders>
              <w:top w:val="nil"/>
              <w:left w:val="nil"/>
              <w:bottom w:val="nil"/>
              <w:right w:val="nil"/>
            </w:tcBorders>
            <w:tcMar>
              <w:top w:w="100" w:type="dxa"/>
              <w:left w:w="100" w:type="dxa"/>
              <w:bottom w:w="100" w:type="dxa"/>
              <w:right w:w="100" w:type="dxa"/>
            </w:tcMar>
          </w:tcPr>
          <w:p w14:paraId="42AD9041">
            <w:pPr>
              <w:spacing w:after="24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0.042</w:t>
            </w:r>
          </w:p>
        </w:tc>
        <w:tc>
          <w:tcPr>
            <w:tcW w:w="1665" w:type="dxa"/>
            <w:tcBorders>
              <w:top w:val="nil"/>
              <w:left w:val="nil"/>
              <w:bottom w:val="nil"/>
              <w:right w:val="nil"/>
            </w:tcBorders>
            <w:tcMar>
              <w:top w:w="100" w:type="dxa"/>
              <w:left w:w="100" w:type="dxa"/>
              <w:bottom w:w="100" w:type="dxa"/>
              <w:right w:w="100" w:type="dxa"/>
            </w:tcMar>
          </w:tcPr>
          <w:p w14:paraId="4F9A30B3">
            <w:pPr>
              <w:spacing w:after="240" w:line="240" w:lineRule="auto"/>
              <w:jc w:val="both"/>
              <w:rPr>
                <w:rFonts w:hint="default" w:ascii="Times New Roman" w:hAnsi="Times New Roman" w:cs="Times New Roman"/>
                <w:sz w:val="24"/>
                <w:szCs w:val="24"/>
              </w:rPr>
            </w:pPr>
            <w:r>
              <w:rPr>
                <w:rFonts w:hint="default" w:ascii="Times New Roman" w:hAnsi="Times New Roman" w:cs="Times New Roman"/>
                <w:sz w:val="24"/>
                <w:szCs w:val="24"/>
              </w:rPr>
              <w:t>Significant</w:t>
            </w:r>
          </w:p>
        </w:tc>
      </w:tr>
    </w:tbl>
    <w:p w14:paraId="5C2BDE11">
      <w:pPr>
        <w:pStyle w:val="3"/>
        <w:keepNext w:val="0"/>
        <w:keepLines w:val="0"/>
        <w:spacing w:after="80" w:line="240" w:lineRule="auto"/>
        <w:jc w:val="both"/>
        <w:rPr>
          <w:sz w:val="24"/>
          <w:szCs w:val="24"/>
        </w:rPr>
      </w:pPr>
      <w:bookmarkStart w:id="17" w:name="_bhyqoseew0ke" w:colFirst="0" w:colLast="0"/>
      <w:bookmarkEnd w:id="17"/>
      <w:r>
        <w:rPr>
          <w:sz w:val="24"/>
          <w:szCs w:val="24"/>
        </w:rPr>
        <w:t>Values are expressed as mean ± standard deviation. p &lt; 0.05 considered statistically significant.</w:t>
      </w:r>
    </w:p>
    <w:p w14:paraId="24458D59">
      <w:pPr>
        <w:pStyle w:val="3"/>
        <w:keepNext w:val="0"/>
        <w:keepLines w:val="0"/>
        <w:spacing w:after="80" w:line="240" w:lineRule="auto"/>
        <w:jc w:val="both"/>
        <w:rPr>
          <w:b/>
          <w:bCs/>
          <w:sz w:val="34"/>
          <w:szCs w:val="34"/>
        </w:rPr>
      </w:pPr>
      <w:bookmarkStart w:id="18" w:name="_r187ei8ofuc7" w:colFirst="0" w:colLast="0"/>
      <w:bookmarkEnd w:id="18"/>
    </w:p>
    <w:p w14:paraId="642A1CA4">
      <w:pPr>
        <w:pStyle w:val="3"/>
        <w:keepNext w:val="0"/>
        <w:keepLines w:val="0"/>
        <w:spacing w:after="80" w:line="240" w:lineRule="auto"/>
        <w:jc w:val="both"/>
        <w:rPr>
          <w:b/>
          <w:bCs/>
          <w:sz w:val="34"/>
          <w:szCs w:val="34"/>
        </w:rPr>
      </w:pPr>
      <w:bookmarkStart w:id="19" w:name="_blxiyerwyquw" w:colFirst="0" w:colLast="0"/>
      <w:bookmarkEnd w:id="19"/>
    </w:p>
    <w:p w14:paraId="09B1B9B9">
      <w:pPr>
        <w:pStyle w:val="3"/>
        <w:keepNext w:val="0"/>
        <w:keepLines w:val="0"/>
        <w:spacing w:after="80" w:line="240" w:lineRule="auto"/>
        <w:jc w:val="both"/>
        <w:rPr>
          <w:b/>
          <w:bCs/>
          <w:sz w:val="24"/>
          <w:szCs w:val="24"/>
        </w:rPr>
      </w:pPr>
      <w:bookmarkStart w:id="20" w:name="_aoixd5v0cbec" w:colFirst="0" w:colLast="0"/>
      <w:bookmarkEnd w:id="20"/>
    </w:p>
    <w:p w14:paraId="71597A8C">
      <w:pPr>
        <w:spacing w:before="240" w:after="240" w:line="240" w:lineRule="auto"/>
        <w:jc w:val="both"/>
        <w:rPr>
          <w:b/>
          <w:bCs/>
          <w:sz w:val="24"/>
          <w:szCs w:val="24"/>
        </w:rPr>
      </w:pPr>
      <w:r>
        <w:rPr>
          <w:b/>
          <w:bCs/>
          <w:sz w:val="24"/>
          <w:szCs w:val="24"/>
        </w:rPr>
        <w:t>Table 3: Comparison of renal biomarkers and electrolyte parameters across trimesters</w:t>
      </w:r>
    </w:p>
    <w:tbl>
      <w:tblPr>
        <w:tblStyle w:val="20"/>
        <w:tblW w:w="12645" w:type="dxa"/>
        <w:tblInd w:w="10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00" w:type="dxa"/>
          <w:left w:w="100" w:type="dxa"/>
          <w:bottom w:w="100" w:type="dxa"/>
          <w:right w:w="100" w:type="dxa"/>
        </w:tblCellMar>
      </w:tblPr>
      <w:tblGrid>
        <w:gridCol w:w="3060"/>
        <w:gridCol w:w="2010"/>
        <w:gridCol w:w="1935"/>
        <w:gridCol w:w="1935"/>
        <w:gridCol w:w="1380"/>
        <w:gridCol w:w="2325"/>
      </w:tblGrid>
      <w:tr w14:paraId="568A2E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105" w:hRule="atLeast"/>
        </w:trPr>
        <w:tc>
          <w:tcPr>
            <w:tcW w:w="3060" w:type="dxa"/>
            <w:tcBorders>
              <w:top w:val="nil"/>
              <w:left w:val="nil"/>
              <w:bottom w:val="nil"/>
              <w:right w:val="nil"/>
            </w:tcBorders>
            <w:tcMar>
              <w:top w:w="100" w:type="dxa"/>
              <w:left w:w="100" w:type="dxa"/>
              <w:bottom w:w="100" w:type="dxa"/>
              <w:right w:w="100" w:type="dxa"/>
            </w:tcMar>
          </w:tcPr>
          <w:p w14:paraId="217D2555">
            <w:pPr>
              <w:spacing w:line="240" w:lineRule="auto"/>
              <w:rPr>
                <w:sz w:val="24"/>
                <w:szCs w:val="24"/>
              </w:rPr>
            </w:pPr>
            <w:r>
              <w:rPr>
                <w:b/>
                <w:bCs/>
                <w:sz w:val="24"/>
                <w:szCs w:val="24"/>
              </w:rPr>
              <w:t>Parameter</w:t>
            </w:r>
          </w:p>
        </w:tc>
        <w:tc>
          <w:tcPr>
            <w:tcW w:w="2010" w:type="dxa"/>
            <w:tcBorders>
              <w:top w:val="nil"/>
              <w:left w:val="nil"/>
              <w:bottom w:val="nil"/>
              <w:right w:val="nil"/>
            </w:tcBorders>
            <w:tcMar>
              <w:top w:w="100" w:type="dxa"/>
              <w:left w:w="100" w:type="dxa"/>
              <w:bottom w:w="100" w:type="dxa"/>
              <w:right w:w="100" w:type="dxa"/>
            </w:tcMar>
          </w:tcPr>
          <w:p w14:paraId="6387F0F9">
            <w:pPr>
              <w:spacing w:line="240" w:lineRule="auto"/>
              <w:jc w:val="center"/>
              <w:rPr>
                <w:sz w:val="24"/>
                <w:szCs w:val="24"/>
              </w:rPr>
            </w:pPr>
            <w:r>
              <w:rPr>
                <w:b/>
                <w:bCs/>
                <w:sz w:val="24"/>
                <w:szCs w:val="24"/>
              </w:rPr>
              <w:t>1st Trimester</w:t>
            </w:r>
          </w:p>
        </w:tc>
        <w:tc>
          <w:tcPr>
            <w:tcW w:w="1935" w:type="dxa"/>
            <w:tcBorders>
              <w:top w:val="nil"/>
              <w:left w:val="nil"/>
              <w:bottom w:val="nil"/>
              <w:right w:val="nil"/>
            </w:tcBorders>
            <w:tcMar>
              <w:top w:w="100" w:type="dxa"/>
              <w:left w:w="100" w:type="dxa"/>
              <w:bottom w:w="100" w:type="dxa"/>
              <w:right w:w="100" w:type="dxa"/>
            </w:tcMar>
          </w:tcPr>
          <w:p w14:paraId="0C0E133F">
            <w:pPr>
              <w:spacing w:line="240" w:lineRule="auto"/>
              <w:jc w:val="center"/>
              <w:rPr>
                <w:sz w:val="24"/>
                <w:szCs w:val="24"/>
              </w:rPr>
            </w:pPr>
            <w:r>
              <w:rPr>
                <w:b/>
                <w:bCs/>
                <w:sz w:val="24"/>
                <w:szCs w:val="24"/>
              </w:rPr>
              <w:t>2nd Trimester</w:t>
            </w:r>
          </w:p>
        </w:tc>
        <w:tc>
          <w:tcPr>
            <w:tcW w:w="1935" w:type="dxa"/>
            <w:tcBorders>
              <w:top w:val="nil"/>
              <w:left w:val="nil"/>
              <w:bottom w:val="nil"/>
              <w:right w:val="nil"/>
            </w:tcBorders>
            <w:tcMar>
              <w:top w:w="100" w:type="dxa"/>
              <w:left w:w="100" w:type="dxa"/>
              <w:bottom w:w="100" w:type="dxa"/>
              <w:right w:w="100" w:type="dxa"/>
            </w:tcMar>
          </w:tcPr>
          <w:p w14:paraId="61191936">
            <w:pPr>
              <w:spacing w:line="240" w:lineRule="auto"/>
              <w:jc w:val="center"/>
              <w:rPr>
                <w:sz w:val="24"/>
                <w:szCs w:val="24"/>
              </w:rPr>
            </w:pPr>
            <w:r>
              <w:rPr>
                <w:b/>
                <w:bCs/>
                <w:sz w:val="24"/>
                <w:szCs w:val="24"/>
              </w:rPr>
              <w:t>3rd Trimester</w:t>
            </w:r>
          </w:p>
        </w:tc>
        <w:tc>
          <w:tcPr>
            <w:tcW w:w="1380" w:type="dxa"/>
            <w:tcBorders>
              <w:top w:val="nil"/>
              <w:left w:val="nil"/>
              <w:bottom w:val="nil"/>
              <w:right w:val="nil"/>
            </w:tcBorders>
            <w:tcMar>
              <w:top w:w="100" w:type="dxa"/>
              <w:left w:w="100" w:type="dxa"/>
              <w:bottom w:w="100" w:type="dxa"/>
              <w:right w:w="100" w:type="dxa"/>
            </w:tcMar>
          </w:tcPr>
          <w:p w14:paraId="2B07DC9B">
            <w:pPr>
              <w:spacing w:line="240" w:lineRule="auto"/>
              <w:jc w:val="center"/>
              <w:rPr>
                <w:sz w:val="24"/>
                <w:szCs w:val="24"/>
              </w:rPr>
            </w:pPr>
            <w:r>
              <w:rPr>
                <w:b/>
                <w:bCs/>
                <w:sz w:val="24"/>
                <w:szCs w:val="24"/>
              </w:rPr>
              <w:t>p-value</w:t>
            </w:r>
          </w:p>
        </w:tc>
        <w:tc>
          <w:tcPr>
            <w:tcW w:w="2325" w:type="dxa"/>
            <w:tcBorders>
              <w:top w:val="nil"/>
              <w:left w:val="nil"/>
              <w:bottom w:val="nil"/>
              <w:right w:val="nil"/>
            </w:tcBorders>
            <w:tcMar>
              <w:top w:w="100" w:type="dxa"/>
              <w:left w:w="100" w:type="dxa"/>
              <w:bottom w:w="100" w:type="dxa"/>
              <w:right w:w="100" w:type="dxa"/>
            </w:tcMar>
          </w:tcPr>
          <w:p w14:paraId="5BBA3A55">
            <w:pPr>
              <w:spacing w:line="240" w:lineRule="auto"/>
              <w:jc w:val="center"/>
              <w:rPr>
                <w:sz w:val="24"/>
                <w:szCs w:val="24"/>
              </w:rPr>
            </w:pPr>
            <w:r>
              <w:rPr>
                <w:b/>
                <w:bCs/>
                <w:sz w:val="24"/>
                <w:szCs w:val="24"/>
              </w:rPr>
              <w:t>Significance</w:t>
            </w:r>
          </w:p>
        </w:tc>
      </w:tr>
      <w:tr w14:paraId="3BD54B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515" w:hRule="atLeast"/>
        </w:trPr>
        <w:tc>
          <w:tcPr>
            <w:tcW w:w="3060" w:type="dxa"/>
            <w:tcBorders>
              <w:top w:val="nil"/>
              <w:left w:val="nil"/>
              <w:bottom w:val="nil"/>
              <w:right w:val="nil"/>
            </w:tcBorders>
            <w:tcMar>
              <w:top w:w="100" w:type="dxa"/>
              <w:left w:w="100" w:type="dxa"/>
              <w:bottom w:w="100" w:type="dxa"/>
              <w:right w:w="100" w:type="dxa"/>
            </w:tcMar>
          </w:tcPr>
          <w:p w14:paraId="20E5DC56">
            <w:pPr>
              <w:spacing w:line="240" w:lineRule="auto"/>
              <w:jc w:val="both"/>
              <w:rPr>
                <w:sz w:val="24"/>
                <w:szCs w:val="24"/>
              </w:rPr>
            </w:pPr>
            <w:r>
              <w:rPr>
                <w:sz w:val="24"/>
                <w:szCs w:val="24"/>
              </w:rPr>
              <w:t>Creatinine (µmol/L)</w:t>
            </w:r>
          </w:p>
        </w:tc>
        <w:tc>
          <w:tcPr>
            <w:tcW w:w="2010" w:type="dxa"/>
            <w:tcBorders>
              <w:top w:val="nil"/>
              <w:left w:val="nil"/>
              <w:bottom w:val="nil"/>
              <w:right w:val="nil"/>
            </w:tcBorders>
            <w:tcMar>
              <w:top w:w="100" w:type="dxa"/>
              <w:left w:w="100" w:type="dxa"/>
              <w:bottom w:w="100" w:type="dxa"/>
              <w:right w:w="100" w:type="dxa"/>
            </w:tcMar>
          </w:tcPr>
          <w:p w14:paraId="3F08D2A4">
            <w:pPr>
              <w:spacing w:line="240" w:lineRule="auto"/>
              <w:jc w:val="both"/>
              <w:rPr>
                <w:sz w:val="24"/>
                <w:szCs w:val="24"/>
              </w:rPr>
            </w:pPr>
            <w:r>
              <w:rPr>
                <w:sz w:val="24"/>
                <w:szCs w:val="24"/>
              </w:rPr>
              <w:t>74.41 ± 12.27</w:t>
            </w:r>
          </w:p>
        </w:tc>
        <w:tc>
          <w:tcPr>
            <w:tcW w:w="1935" w:type="dxa"/>
            <w:tcBorders>
              <w:top w:val="nil"/>
              <w:left w:val="nil"/>
              <w:bottom w:val="nil"/>
              <w:right w:val="nil"/>
            </w:tcBorders>
            <w:tcMar>
              <w:top w:w="100" w:type="dxa"/>
              <w:left w:w="100" w:type="dxa"/>
              <w:bottom w:w="100" w:type="dxa"/>
              <w:right w:w="100" w:type="dxa"/>
            </w:tcMar>
          </w:tcPr>
          <w:p w14:paraId="442BACC9">
            <w:pPr>
              <w:spacing w:line="240" w:lineRule="auto"/>
              <w:jc w:val="both"/>
              <w:rPr>
                <w:sz w:val="24"/>
                <w:szCs w:val="24"/>
              </w:rPr>
            </w:pPr>
            <w:r>
              <w:rPr>
                <w:sz w:val="24"/>
                <w:szCs w:val="24"/>
              </w:rPr>
              <w:t>72.63 ± 9.06</w:t>
            </w:r>
          </w:p>
        </w:tc>
        <w:tc>
          <w:tcPr>
            <w:tcW w:w="1935" w:type="dxa"/>
            <w:tcBorders>
              <w:top w:val="nil"/>
              <w:left w:val="nil"/>
              <w:bottom w:val="nil"/>
              <w:right w:val="nil"/>
            </w:tcBorders>
            <w:tcMar>
              <w:top w:w="100" w:type="dxa"/>
              <w:left w:w="100" w:type="dxa"/>
              <w:bottom w:w="100" w:type="dxa"/>
              <w:right w:w="100" w:type="dxa"/>
            </w:tcMar>
          </w:tcPr>
          <w:p w14:paraId="6D348C12">
            <w:pPr>
              <w:spacing w:line="240" w:lineRule="auto"/>
              <w:jc w:val="both"/>
              <w:rPr>
                <w:sz w:val="24"/>
                <w:szCs w:val="24"/>
              </w:rPr>
            </w:pPr>
            <w:r>
              <w:rPr>
                <w:sz w:val="24"/>
                <w:szCs w:val="24"/>
              </w:rPr>
              <w:t>80.55 ± 13.33</w:t>
            </w:r>
          </w:p>
        </w:tc>
        <w:tc>
          <w:tcPr>
            <w:tcW w:w="1380" w:type="dxa"/>
            <w:tcBorders>
              <w:top w:val="nil"/>
              <w:left w:val="nil"/>
              <w:bottom w:val="nil"/>
              <w:right w:val="nil"/>
            </w:tcBorders>
            <w:tcMar>
              <w:top w:w="100" w:type="dxa"/>
              <w:left w:w="100" w:type="dxa"/>
              <w:bottom w:w="100" w:type="dxa"/>
              <w:right w:w="100" w:type="dxa"/>
            </w:tcMar>
          </w:tcPr>
          <w:p w14:paraId="3A939A72">
            <w:pPr>
              <w:spacing w:line="240" w:lineRule="auto"/>
              <w:jc w:val="both"/>
              <w:rPr>
                <w:sz w:val="24"/>
                <w:szCs w:val="24"/>
              </w:rPr>
            </w:pPr>
            <w:r>
              <w:rPr>
                <w:sz w:val="24"/>
                <w:szCs w:val="24"/>
              </w:rPr>
              <w:t>0.026</w:t>
            </w:r>
          </w:p>
        </w:tc>
        <w:tc>
          <w:tcPr>
            <w:tcW w:w="2325" w:type="dxa"/>
            <w:tcBorders>
              <w:top w:val="nil"/>
              <w:left w:val="nil"/>
              <w:bottom w:val="nil"/>
              <w:right w:val="nil"/>
            </w:tcBorders>
            <w:tcMar>
              <w:top w:w="100" w:type="dxa"/>
              <w:left w:w="100" w:type="dxa"/>
              <w:bottom w:w="100" w:type="dxa"/>
              <w:right w:w="100" w:type="dxa"/>
            </w:tcMar>
          </w:tcPr>
          <w:p w14:paraId="28117BD6">
            <w:pPr>
              <w:spacing w:line="240" w:lineRule="auto"/>
              <w:jc w:val="both"/>
              <w:rPr>
                <w:sz w:val="24"/>
                <w:szCs w:val="24"/>
              </w:rPr>
            </w:pPr>
            <w:r>
              <w:rPr>
                <w:sz w:val="24"/>
                <w:szCs w:val="24"/>
              </w:rPr>
              <w:t>Significant</w:t>
            </w:r>
          </w:p>
        </w:tc>
      </w:tr>
      <w:tr w14:paraId="2A6C4A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420" w:hRule="atLeast"/>
        </w:trPr>
        <w:tc>
          <w:tcPr>
            <w:tcW w:w="3060" w:type="dxa"/>
            <w:tcBorders>
              <w:top w:val="nil"/>
              <w:left w:val="nil"/>
              <w:bottom w:val="nil"/>
              <w:right w:val="nil"/>
            </w:tcBorders>
            <w:tcMar>
              <w:top w:w="100" w:type="dxa"/>
              <w:left w:w="100" w:type="dxa"/>
              <w:bottom w:w="100" w:type="dxa"/>
              <w:right w:w="100" w:type="dxa"/>
            </w:tcMar>
          </w:tcPr>
          <w:p w14:paraId="27D391F5">
            <w:pPr>
              <w:spacing w:line="240" w:lineRule="auto"/>
              <w:jc w:val="both"/>
              <w:rPr>
                <w:sz w:val="24"/>
                <w:szCs w:val="24"/>
              </w:rPr>
            </w:pPr>
            <w:r>
              <w:rPr>
                <w:sz w:val="24"/>
                <w:szCs w:val="24"/>
              </w:rPr>
              <w:t>Urea (mmol/L)</w:t>
            </w:r>
          </w:p>
        </w:tc>
        <w:tc>
          <w:tcPr>
            <w:tcW w:w="2010" w:type="dxa"/>
            <w:tcBorders>
              <w:top w:val="nil"/>
              <w:left w:val="nil"/>
              <w:bottom w:val="nil"/>
              <w:right w:val="nil"/>
            </w:tcBorders>
            <w:tcMar>
              <w:top w:w="100" w:type="dxa"/>
              <w:left w:w="100" w:type="dxa"/>
              <w:bottom w:w="100" w:type="dxa"/>
              <w:right w:w="100" w:type="dxa"/>
            </w:tcMar>
          </w:tcPr>
          <w:p w14:paraId="72BB288E">
            <w:pPr>
              <w:spacing w:line="240" w:lineRule="auto"/>
              <w:jc w:val="both"/>
              <w:rPr>
                <w:sz w:val="24"/>
                <w:szCs w:val="24"/>
              </w:rPr>
            </w:pPr>
            <w:r>
              <w:rPr>
                <w:sz w:val="24"/>
                <w:szCs w:val="24"/>
              </w:rPr>
              <w:t>5.55 ± 0.97</w:t>
            </w:r>
          </w:p>
        </w:tc>
        <w:tc>
          <w:tcPr>
            <w:tcW w:w="1935" w:type="dxa"/>
            <w:tcBorders>
              <w:top w:val="nil"/>
              <w:left w:val="nil"/>
              <w:bottom w:val="nil"/>
              <w:right w:val="nil"/>
            </w:tcBorders>
            <w:tcMar>
              <w:top w:w="100" w:type="dxa"/>
              <w:left w:w="100" w:type="dxa"/>
              <w:bottom w:w="100" w:type="dxa"/>
              <w:right w:w="100" w:type="dxa"/>
            </w:tcMar>
          </w:tcPr>
          <w:p w14:paraId="5071EF00">
            <w:pPr>
              <w:spacing w:line="240" w:lineRule="auto"/>
              <w:jc w:val="both"/>
              <w:rPr>
                <w:sz w:val="24"/>
                <w:szCs w:val="24"/>
              </w:rPr>
            </w:pPr>
            <w:r>
              <w:rPr>
                <w:sz w:val="24"/>
                <w:szCs w:val="24"/>
              </w:rPr>
              <w:t>5.52 ± 0.89</w:t>
            </w:r>
          </w:p>
        </w:tc>
        <w:tc>
          <w:tcPr>
            <w:tcW w:w="1935" w:type="dxa"/>
            <w:tcBorders>
              <w:top w:val="nil"/>
              <w:left w:val="nil"/>
              <w:bottom w:val="nil"/>
              <w:right w:val="nil"/>
            </w:tcBorders>
            <w:tcMar>
              <w:top w:w="100" w:type="dxa"/>
              <w:left w:w="100" w:type="dxa"/>
              <w:bottom w:w="100" w:type="dxa"/>
              <w:right w:w="100" w:type="dxa"/>
            </w:tcMar>
          </w:tcPr>
          <w:p w14:paraId="0D37ADC2">
            <w:pPr>
              <w:spacing w:line="240" w:lineRule="auto"/>
              <w:jc w:val="both"/>
              <w:rPr>
                <w:sz w:val="24"/>
                <w:szCs w:val="24"/>
              </w:rPr>
            </w:pPr>
            <w:r>
              <w:rPr>
                <w:sz w:val="24"/>
                <w:szCs w:val="24"/>
              </w:rPr>
              <w:t>5.57 ± 0.75</w:t>
            </w:r>
          </w:p>
        </w:tc>
        <w:tc>
          <w:tcPr>
            <w:tcW w:w="1380" w:type="dxa"/>
            <w:tcBorders>
              <w:top w:val="nil"/>
              <w:left w:val="nil"/>
              <w:bottom w:val="nil"/>
              <w:right w:val="nil"/>
            </w:tcBorders>
            <w:tcMar>
              <w:top w:w="100" w:type="dxa"/>
              <w:left w:w="100" w:type="dxa"/>
              <w:bottom w:w="100" w:type="dxa"/>
              <w:right w:w="100" w:type="dxa"/>
            </w:tcMar>
          </w:tcPr>
          <w:p w14:paraId="53A41BCB">
            <w:pPr>
              <w:spacing w:line="240" w:lineRule="auto"/>
              <w:jc w:val="both"/>
              <w:rPr>
                <w:sz w:val="24"/>
                <w:szCs w:val="24"/>
              </w:rPr>
            </w:pPr>
            <w:r>
              <w:rPr>
                <w:sz w:val="24"/>
                <w:szCs w:val="24"/>
              </w:rPr>
              <w:t>0.974</w:t>
            </w:r>
          </w:p>
        </w:tc>
        <w:tc>
          <w:tcPr>
            <w:tcW w:w="2325" w:type="dxa"/>
            <w:tcBorders>
              <w:top w:val="nil"/>
              <w:left w:val="nil"/>
              <w:bottom w:val="nil"/>
              <w:right w:val="nil"/>
            </w:tcBorders>
            <w:tcMar>
              <w:top w:w="100" w:type="dxa"/>
              <w:left w:w="100" w:type="dxa"/>
              <w:bottom w:w="100" w:type="dxa"/>
              <w:right w:w="100" w:type="dxa"/>
            </w:tcMar>
          </w:tcPr>
          <w:p w14:paraId="0608344C">
            <w:pPr>
              <w:spacing w:line="240" w:lineRule="auto"/>
              <w:jc w:val="both"/>
              <w:rPr>
                <w:sz w:val="24"/>
                <w:szCs w:val="24"/>
              </w:rPr>
            </w:pPr>
            <w:r>
              <w:rPr>
                <w:sz w:val="24"/>
                <w:szCs w:val="24"/>
              </w:rPr>
              <w:t>Not significant</w:t>
            </w:r>
          </w:p>
        </w:tc>
      </w:tr>
      <w:tr w14:paraId="25FCA6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315" w:hRule="atLeast"/>
        </w:trPr>
        <w:tc>
          <w:tcPr>
            <w:tcW w:w="3060" w:type="dxa"/>
            <w:tcBorders>
              <w:top w:val="nil"/>
              <w:left w:val="nil"/>
              <w:bottom w:val="nil"/>
              <w:right w:val="nil"/>
            </w:tcBorders>
            <w:tcMar>
              <w:top w:w="100" w:type="dxa"/>
              <w:left w:w="100" w:type="dxa"/>
              <w:bottom w:w="100" w:type="dxa"/>
              <w:right w:w="100" w:type="dxa"/>
            </w:tcMar>
          </w:tcPr>
          <w:p w14:paraId="7C217BFC">
            <w:pPr>
              <w:spacing w:line="240" w:lineRule="auto"/>
              <w:jc w:val="both"/>
              <w:rPr>
                <w:sz w:val="24"/>
                <w:szCs w:val="24"/>
              </w:rPr>
            </w:pPr>
            <w:r>
              <w:rPr>
                <w:sz w:val="24"/>
                <w:szCs w:val="24"/>
              </w:rPr>
              <w:t>Sodium (mmol/L)</w:t>
            </w:r>
          </w:p>
        </w:tc>
        <w:tc>
          <w:tcPr>
            <w:tcW w:w="2010" w:type="dxa"/>
            <w:tcBorders>
              <w:top w:val="nil"/>
              <w:left w:val="nil"/>
              <w:bottom w:val="nil"/>
              <w:right w:val="nil"/>
            </w:tcBorders>
            <w:tcMar>
              <w:top w:w="100" w:type="dxa"/>
              <w:left w:w="100" w:type="dxa"/>
              <w:bottom w:w="100" w:type="dxa"/>
              <w:right w:w="100" w:type="dxa"/>
            </w:tcMar>
          </w:tcPr>
          <w:p w14:paraId="0811DE1F">
            <w:pPr>
              <w:spacing w:line="240" w:lineRule="auto"/>
              <w:jc w:val="both"/>
              <w:rPr>
                <w:sz w:val="24"/>
                <w:szCs w:val="24"/>
              </w:rPr>
            </w:pPr>
            <w:r>
              <w:rPr>
                <w:sz w:val="24"/>
                <w:szCs w:val="24"/>
              </w:rPr>
              <w:t>135.65 ± 4.87</w:t>
            </w:r>
          </w:p>
        </w:tc>
        <w:tc>
          <w:tcPr>
            <w:tcW w:w="1935" w:type="dxa"/>
            <w:tcBorders>
              <w:top w:val="nil"/>
              <w:left w:val="nil"/>
              <w:bottom w:val="nil"/>
              <w:right w:val="nil"/>
            </w:tcBorders>
            <w:tcMar>
              <w:top w:w="100" w:type="dxa"/>
              <w:left w:w="100" w:type="dxa"/>
              <w:bottom w:w="100" w:type="dxa"/>
              <w:right w:w="100" w:type="dxa"/>
            </w:tcMar>
          </w:tcPr>
          <w:p w14:paraId="729CF2B3">
            <w:pPr>
              <w:spacing w:line="240" w:lineRule="auto"/>
              <w:jc w:val="both"/>
              <w:rPr>
                <w:sz w:val="24"/>
                <w:szCs w:val="24"/>
              </w:rPr>
            </w:pPr>
            <w:r>
              <w:rPr>
                <w:sz w:val="24"/>
                <w:szCs w:val="24"/>
              </w:rPr>
              <w:t>135.38 ± 4.31</w:t>
            </w:r>
          </w:p>
        </w:tc>
        <w:tc>
          <w:tcPr>
            <w:tcW w:w="1935" w:type="dxa"/>
            <w:tcBorders>
              <w:top w:val="nil"/>
              <w:left w:val="nil"/>
              <w:bottom w:val="nil"/>
              <w:right w:val="nil"/>
            </w:tcBorders>
            <w:tcMar>
              <w:top w:w="100" w:type="dxa"/>
              <w:left w:w="100" w:type="dxa"/>
              <w:bottom w:w="100" w:type="dxa"/>
              <w:right w:w="100" w:type="dxa"/>
            </w:tcMar>
          </w:tcPr>
          <w:p w14:paraId="4114AA03">
            <w:pPr>
              <w:spacing w:line="240" w:lineRule="auto"/>
              <w:jc w:val="both"/>
              <w:rPr>
                <w:sz w:val="24"/>
                <w:szCs w:val="24"/>
              </w:rPr>
            </w:pPr>
            <w:r>
              <w:rPr>
                <w:sz w:val="24"/>
                <w:szCs w:val="24"/>
              </w:rPr>
              <w:t>136.53 ± 5.93</w:t>
            </w:r>
          </w:p>
        </w:tc>
        <w:tc>
          <w:tcPr>
            <w:tcW w:w="1380" w:type="dxa"/>
            <w:tcBorders>
              <w:top w:val="nil"/>
              <w:left w:val="nil"/>
              <w:bottom w:val="nil"/>
              <w:right w:val="nil"/>
            </w:tcBorders>
            <w:tcMar>
              <w:top w:w="100" w:type="dxa"/>
              <w:left w:w="100" w:type="dxa"/>
              <w:bottom w:w="100" w:type="dxa"/>
              <w:right w:w="100" w:type="dxa"/>
            </w:tcMar>
          </w:tcPr>
          <w:p w14:paraId="4FE1C145">
            <w:pPr>
              <w:spacing w:line="240" w:lineRule="auto"/>
              <w:jc w:val="both"/>
              <w:rPr>
                <w:sz w:val="24"/>
                <w:szCs w:val="24"/>
              </w:rPr>
            </w:pPr>
            <w:r>
              <w:rPr>
                <w:sz w:val="24"/>
                <w:szCs w:val="24"/>
              </w:rPr>
              <w:t>0.656</w:t>
            </w:r>
          </w:p>
        </w:tc>
        <w:tc>
          <w:tcPr>
            <w:tcW w:w="2325" w:type="dxa"/>
            <w:tcBorders>
              <w:top w:val="nil"/>
              <w:left w:val="nil"/>
              <w:bottom w:val="nil"/>
              <w:right w:val="nil"/>
            </w:tcBorders>
            <w:tcMar>
              <w:top w:w="100" w:type="dxa"/>
              <w:left w:w="100" w:type="dxa"/>
              <w:bottom w:w="100" w:type="dxa"/>
              <w:right w:w="100" w:type="dxa"/>
            </w:tcMar>
          </w:tcPr>
          <w:p w14:paraId="012F527C">
            <w:pPr>
              <w:spacing w:line="240" w:lineRule="auto"/>
              <w:jc w:val="both"/>
              <w:rPr>
                <w:sz w:val="24"/>
                <w:szCs w:val="24"/>
              </w:rPr>
            </w:pPr>
            <w:r>
              <w:rPr>
                <w:sz w:val="24"/>
                <w:szCs w:val="24"/>
              </w:rPr>
              <w:t>Not significant</w:t>
            </w:r>
          </w:p>
        </w:tc>
      </w:tr>
      <w:tr w14:paraId="1EFC25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585" w:hRule="atLeast"/>
        </w:trPr>
        <w:tc>
          <w:tcPr>
            <w:tcW w:w="3060" w:type="dxa"/>
            <w:tcBorders>
              <w:top w:val="nil"/>
              <w:left w:val="nil"/>
              <w:bottom w:val="nil"/>
              <w:right w:val="nil"/>
            </w:tcBorders>
            <w:tcMar>
              <w:top w:w="100" w:type="dxa"/>
              <w:left w:w="100" w:type="dxa"/>
              <w:bottom w:w="100" w:type="dxa"/>
              <w:right w:w="100" w:type="dxa"/>
            </w:tcMar>
          </w:tcPr>
          <w:p w14:paraId="6167FE2E">
            <w:pPr>
              <w:spacing w:line="240" w:lineRule="auto"/>
              <w:jc w:val="both"/>
              <w:rPr>
                <w:sz w:val="24"/>
                <w:szCs w:val="24"/>
              </w:rPr>
            </w:pPr>
            <w:r>
              <w:rPr>
                <w:sz w:val="24"/>
                <w:szCs w:val="24"/>
              </w:rPr>
              <w:t>Potassium (mmol/L)</w:t>
            </w:r>
          </w:p>
        </w:tc>
        <w:tc>
          <w:tcPr>
            <w:tcW w:w="2010" w:type="dxa"/>
            <w:tcBorders>
              <w:top w:val="nil"/>
              <w:left w:val="nil"/>
              <w:bottom w:val="nil"/>
              <w:right w:val="nil"/>
            </w:tcBorders>
            <w:tcMar>
              <w:top w:w="100" w:type="dxa"/>
              <w:left w:w="100" w:type="dxa"/>
              <w:bottom w:w="100" w:type="dxa"/>
              <w:right w:w="100" w:type="dxa"/>
            </w:tcMar>
          </w:tcPr>
          <w:p w14:paraId="16BCB81B">
            <w:pPr>
              <w:spacing w:line="240" w:lineRule="auto"/>
              <w:jc w:val="both"/>
              <w:rPr>
                <w:sz w:val="24"/>
                <w:szCs w:val="24"/>
              </w:rPr>
            </w:pPr>
            <w:r>
              <w:rPr>
                <w:sz w:val="24"/>
                <w:szCs w:val="24"/>
              </w:rPr>
              <w:t>5.38 ± 0.99</w:t>
            </w:r>
          </w:p>
        </w:tc>
        <w:tc>
          <w:tcPr>
            <w:tcW w:w="1935" w:type="dxa"/>
            <w:tcBorders>
              <w:top w:val="nil"/>
              <w:left w:val="nil"/>
              <w:bottom w:val="nil"/>
              <w:right w:val="nil"/>
            </w:tcBorders>
            <w:tcMar>
              <w:top w:w="100" w:type="dxa"/>
              <w:left w:w="100" w:type="dxa"/>
              <w:bottom w:w="100" w:type="dxa"/>
              <w:right w:w="100" w:type="dxa"/>
            </w:tcMar>
          </w:tcPr>
          <w:p w14:paraId="4A6F852B">
            <w:pPr>
              <w:spacing w:line="240" w:lineRule="auto"/>
              <w:jc w:val="both"/>
              <w:rPr>
                <w:sz w:val="24"/>
                <w:szCs w:val="24"/>
              </w:rPr>
            </w:pPr>
            <w:r>
              <w:rPr>
                <w:sz w:val="24"/>
                <w:szCs w:val="24"/>
              </w:rPr>
              <w:t>5.15 ± 0.94</w:t>
            </w:r>
          </w:p>
        </w:tc>
        <w:tc>
          <w:tcPr>
            <w:tcW w:w="1935" w:type="dxa"/>
            <w:tcBorders>
              <w:top w:val="nil"/>
              <w:left w:val="nil"/>
              <w:bottom w:val="nil"/>
              <w:right w:val="nil"/>
            </w:tcBorders>
            <w:tcMar>
              <w:top w:w="100" w:type="dxa"/>
              <w:left w:w="100" w:type="dxa"/>
              <w:bottom w:w="100" w:type="dxa"/>
              <w:right w:w="100" w:type="dxa"/>
            </w:tcMar>
          </w:tcPr>
          <w:p w14:paraId="2E8EEF43">
            <w:pPr>
              <w:spacing w:line="240" w:lineRule="auto"/>
              <w:jc w:val="both"/>
              <w:rPr>
                <w:sz w:val="24"/>
                <w:szCs w:val="24"/>
              </w:rPr>
            </w:pPr>
            <w:r>
              <w:rPr>
                <w:sz w:val="24"/>
                <w:szCs w:val="24"/>
              </w:rPr>
              <w:t>5.66 ± 0.98</w:t>
            </w:r>
          </w:p>
        </w:tc>
        <w:tc>
          <w:tcPr>
            <w:tcW w:w="1380" w:type="dxa"/>
            <w:tcBorders>
              <w:top w:val="nil"/>
              <w:left w:val="nil"/>
              <w:bottom w:val="nil"/>
              <w:right w:val="nil"/>
            </w:tcBorders>
            <w:tcMar>
              <w:top w:w="100" w:type="dxa"/>
              <w:left w:w="100" w:type="dxa"/>
              <w:bottom w:w="100" w:type="dxa"/>
              <w:right w:w="100" w:type="dxa"/>
            </w:tcMar>
          </w:tcPr>
          <w:p w14:paraId="72BD9EFE">
            <w:pPr>
              <w:spacing w:line="240" w:lineRule="auto"/>
              <w:jc w:val="both"/>
              <w:rPr>
                <w:sz w:val="24"/>
                <w:szCs w:val="24"/>
              </w:rPr>
            </w:pPr>
            <w:r>
              <w:rPr>
                <w:sz w:val="24"/>
                <w:szCs w:val="24"/>
              </w:rPr>
              <w:t>0.132</w:t>
            </w:r>
          </w:p>
        </w:tc>
        <w:tc>
          <w:tcPr>
            <w:tcW w:w="2325" w:type="dxa"/>
            <w:tcBorders>
              <w:top w:val="nil"/>
              <w:left w:val="nil"/>
              <w:bottom w:val="nil"/>
              <w:right w:val="nil"/>
            </w:tcBorders>
            <w:tcMar>
              <w:top w:w="100" w:type="dxa"/>
              <w:left w:w="100" w:type="dxa"/>
              <w:bottom w:w="100" w:type="dxa"/>
              <w:right w:w="100" w:type="dxa"/>
            </w:tcMar>
          </w:tcPr>
          <w:p w14:paraId="5358705D">
            <w:pPr>
              <w:spacing w:line="240" w:lineRule="auto"/>
              <w:jc w:val="both"/>
              <w:rPr>
                <w:sz w:val="24"/>
                <w:szCs w:val="24"/>
              </w:rPr>
            </w:pPr>
            <w:r>
              <w:rPr>
                <w:sz w:val="24"/>
                <w:szCs w:val="24"/>
              </w:rPr>
              <w:t>Not significant</w:t>
            </w:r>
          </w:p>
        </w:tc>
      </w:tr>
      <w:tr w14:paraId="4B8D4A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515" w:hRule="atLeast"/>
        </w:trPr>
        <w:tc>
          <w:tcPr>
            <w:tcW w:w="3060" w:type="dxa"/>
            <w:tcBorders>
              <w:top w:val="nil"/>
              <w:left w:val="nil"/>
              <w:bottom w:val="nil"/>
              <w:right w:val="nil"/>
            </w:tcBorders>
            <w:tcMar>
              <w:top w:w="100" w:type="dxa"/>
              <w:left w:w="100" w:type="dxa"/>
              <w:bottom w:w="100" w:type="dxa"/>
              <w:right w:w="100" w:type="dxa"/>
            </w:tcMar>
          </w:tcPr>
          <w:p w14:paraId="1A64E5CA">
            <w:pPr>
              <w:spacing w:line="240" w:lineRule="auto"/>
              <w:jc w:val="both"/>
              <w:rPr>
                <w:sz w:val="24"/>
                <w:szCs w:val="24"/>
              </w:rPr>
            </w:pPr>
            <w:r>
              <w:rPr>
                <w:sz w:val="24"/>
                <w:szCs w:val="24"/>
              </w:rPr>
              <w:t>Chloride (mmol/L)</w:t>
            </w:r>
          </w:p>
        </w:tc>
        <w:tc>
          <w:tcPr>
            <w:tcW w:w="2010" w:type="dxa"/>
            <w:tcBorders>
              <w:top w:val="nil"/>
              <w:left w:val="nil"/>
              <w:bottom w:val="nil"/>
              <w:right w:val="nil"/>
            </w:tcBorders>
            <w:tcMar>
              <w:top w:w="100" w:type="dxa"/>
              <w:left w:w="100" w:type="dxa"/>
              <w:bottom w:w="100" w:type="dxa"/>
              <w:right w:w="100" w:type="dxa"/>
            </w:tcMar>
          </w:tcPr>
          <w:p w14:paraId="1D0686F5">
            <w:pPr>
              <w:spacing w:line="240" w:lineRule="auto"/>
              <w:jc w:val="both"/>
              <w:rPr>
                <w:sz w:val="24"/>
                <w:szCs w:val="24"/>
              </w:rPr>
            </w:pPr>
            <w:r>
              <w:rPr>
                <w:sz w:val="24"/>
                <w:szCs w:val="24"/>
              </w:rPr>
              <w:t>104.12 ± 4.72</w:t>
            </w:r>
          </w:p>
        </w:tc>
        <w:tc>
          <w:tcPr>
            <w:tcW w:w="1935" w:type="dxa"/>
            <w:tcBorders>
              <w:top w:val="nil"/>
              <w:left w:val="nil"/>
              <w:bottom w:val="nil"/>
              <w:right w:val="nil"/>
            </w:tcBorders>
            <w:tcMar>
              <w:top w:w="100" w:type="dxa"/>
              <w:left w:w="100" w:type="dxa"/>
              <w:bottom w:w="100" w:type="dxa"/>
              <w:right w:w="100" w:type="dxa"/>
            </w:tcMar>
          </w:tcPr>
          <w:p w14:paraId="0D03403C">
            <w:pPr>
              <w:spacing w:line="240" w:lineRule="auto"/>
              <w:jc w:val="both"/>
              <w:rPr>
                <w:sz w:val="24"/>
                <w:szCs w:val="24"/>
              </w:rPr>
            </w:pPr>
            <w:r>
              <w:rPr>
                <w:sz w:val="24"/>
                <w:szCs w:val="24"/>
              </w:rPr>
              <w:t>105.38 ± 5.20</w:t>
            </w:r>
          </w:p>
        </w:tc>
        <w:tc>
          <w:tcPr>
            <w:tcW w:w="1935" w:type="dxa"/>
            <w:tcBorders>
              <w:top w:val="nil"/>
              <w:left w:val="nil"/>
              <w:bottom w:val="nil"/>
              <w:right w:val="nil"/>
            </w:tcBorders>
            <w:tcMar>
              <w:top w:w="100" w:type="dxa"/>
              <w:left w:w="100" w:type="dxa"/>
              <w:bottom w:w="100" w:type="dxa"/>
              <w:right w:w="100" w:type="dxa"/>
            </w:tcMar>
          </w:tcPr>
          <w:p w14:paraId="7C8E1955">
            <w:pPr>
              <w:spacing w:line="240" w:lineRule="auto"/>
              <w:jc w:val="both"/>
              <w:rPr>
                <w:sz w:val="24"/>
                <w:szCs w:val="24"/>
              </w:rPr>
            </w:pPr>
            <w:r>
              <w:rPr>
                <w:sz w:val="24"/>
                <w:szCs w:val="24"/>
              </w:rPr>
              <w:t>101.94 ± 5.80</w:t>
            </w:r>
          </w:p>
        </w:tc>
        <w:tc>
          <w:tcPr>
            <w:tcW w:w="1380" w:type="dxa"/>
            <w:tcBorders>
              <w:top w:val="nil"/>
              <w:left w:val="nil"/>
              <w:bottom w:val="nil"/>
              <w:right w:val="nil"/>
            </w:tcBorders>
            <w:tcMar>
              <w:top w:w="100" w:type="dxa"/>
              <w:left w:w="100" w:type="dxa"/>
              <w:bottom w:w="100" w:type="dxa"/>
              <w:right w:w="100" w:type="dxa"/>
            </w:tcMar>
          </w:tcPr>
          <w:p w14:paraId="23C5DEC7">
            <w:pPr>
              <w:spacing w:line="240" w:lineRule="auto"/>
              <w:jc w:val="both"/>
              <w:rPr>
                <w:sz w:val="24"/>
                <w:szCs w:val="24"/>
              </w:rPr>
            </w:pPr>
            <w:r>
              <w:rPr>
                <w:sz w:val="24"/>
                <w:szCs w:val="24"/>
              </w:rPr>
              <w:t>0.043</w:t>
            </w:r>
          </w:p>
        </w:tc>
        <w:tc>
          <w:tcPr>
            <w:tcW w:w="2325" w:type="dxa"/>
            <w:tcBorders>
              <w:top w:val="nil"/>
              <w:left w:val="nil"/>
              <w:bottom w:val="nil"/>
              <w:right w:val="nil"/>
            </w:tcBorders>
            <w:tcMar>
              <w:top w:w="100" w:type="dxa"/>
              <w:left w:w="100" w:type="dxa"/>
              <w:bottom w:w="100" w:type="dxa"/>
              <w:right w:w="100" w:type="dxa"/>
            </w:tcMar>
          </w:tcPr>
          <w:p w14:paraId="5638EBEE">
            <w:pPr>
              <w:spacing w:line="240" w:lineRule="auto"/>
              <w:jc w:val="both"/>
              <w:rPr>
                <w:sz w:val="24"/>
                <w:szCs w:val="24"/>
              </w:rPr>
            </w:pPr>
            <w:r>
              <w:rPr>
                <w:sz w:val="24"/>
                <w:szCs w:val="24"/>
              </w:rPr>
              <w:t>Significant</w:t>
            </w:r>
          </w:p>
        </w:tc>
      </w:tr>
      <w:tr w14:paraId="5B33EA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540" w:hRule="atLeast"/>
        </w:trPr>
        <w:tc>
          <w:tcPr>
            <w:tcW w:w="3060" w:type="dxa"/>
            <w:tcBorders>
              <w:top w:val="nil"/>
              <w:left w:val="nil"/>
              <w:bottom w:val="nil"/>
              <w:right w:val="nil"/>
            </w:tcBorders>
            <w:tcMar>
              <w:top w:w="100" w:type="dxa"/>
              <w:left w:w="100" w:type="dxa"/>
              <w:bottom w:w="100" w:type="dxa"/>
              <w:right w:w="100" w:type="dxa"/>
            </w:tcMar>
          </w:tcPr>
          <w:p w14:paraId="33570D58">
            <w:pPr>
              <w:spacing w:line="240" w:lineRule="auto"/>
              <w:jc w:val="both"/>
              <w:rPr>
                <w:sz w:val="24"/>
                <w:szCs w:val="24"/>
              </w:rPr>
            </w:pPr>
            <w:r>
              <w:rPr>
                <w:sz w:val="24"/>
                <w:szCs w:val="24"/>
              </w:rPr>
              <w:t>Bicarbonate (mmol/L)</w:t>
            </w:r>
          </w:p>
        </w:tc>
        <w:tc>
          <w:tcPr>
            <w:tcW w:w="2010" w:type="dxa"/>
            <w:tcBorders>
              <w:top w:val="nil"/>
              <w:left w:val="nil"/>
              <w:bottom w:val="nil"/>
              <w:right w:val="nil"/>
            </w:tcBorders>
            <w:tcMar>
              <w:top w:w="100" w:type="dxa"/>
              <w:left w:w="100" w:type="dxa"/>
              <w:bottom w:w="100" w:type="dxa"/>
              <w:right w:w="100" w:type="dxa"/>
            </w:tcMar>
          </w:tcPr>
          <w:p w14:paraId="134AB442">
            <w:pPr>
              <w:spacing w:line="240" w:lineRule="auto"/>
              <w:jc w:val="both"/>
              <w:rPr>
                <w:sz w:val="24"/>
                <w:szCs w:val="24"/>
              </w:rPr>
            </w:pPr>
            <w:r>
              <w:rPr>
                <w:sz w:val="24"/>
                <w:szCs w:val="24"/>
              </w:rPr>
              <w:t>24.16 ± 1.71</w:t>
            </w:r>
          </w:p>
        </w:tc>
        <w:tc>
          <w:tcPr>
            <w:tcW w:w="1935" w:type="dxa"/>
            <w:tcBorders>
              <w:top w:val="nil"/>
              <w:left w:val="nil"/>
              <w:bottom w:val="nil"/>
              <w:right w:val="nil"/>
            </w:tcBorders>
            <w:tcMar>
              <w:top w:w="100" w:type="dxa"/>
              <w:left w:w="100" w:type="dxa"/>
              <w:bottom w:w="100" w:type="dxa"/>
              <w:right w:w="100" w:type="dxa"/>
            </w:tcMar>
          </w:tcPr>
          <w:p w14:paraId="4FAA1485">
            <w:pPr>
              <w:spacing w:line="240" w:lineRule="auto"/>
              <w:jc w:val="both"/>
              <w:rPr>
                <w:sz w:val="24"/>
                <w:szCs w:val="24"/>
              </w:rPr>
            </w:pPr>
            <w:r>
              <w:rPr>
                <w:sz w:val="24"/>
                <w:szCs w:val="24"/>
              </w:rPr>
              <w:t>24.11 ± 1.70</w:t>
            </w:r>
          </w:p>
        </w:tc>
        <w:tc>
          <w:tcPr>
            <w:tcW w:w="1935" w:type="dxa"/>
            <w:tcBorders>
              <w:top w:val="nil"/>
              <w:left w:val="nil"/>
              <w:bottom w:val="nil"/>
              <w:right w:val="nil"/>
            </w:tcBorders>
            <w:tcMar>
              <w:top w:w="100" w:type="dxa"/>
              <w:left w:w="100" w:type="dxa"/>
              <w:bottom w:w="100" w:type="dxa"/>
              <w:right w:w="100" w:type="dxa"/>
            </w:tcMar>
          </w:tcPr>
          <w:p w14:paraId="36CEDDE6">
            <w:pPr>
              <w:spacing w:line="240" w:lineRule="auto"/>
              <w:jc w:val="both"/>
              <w:rPr>
                <w:sz w:val="24"/>
                <w:szCs w:val="24"/>
              </w:rPr>
            </w:pPr>
            <w:r>
              <w:rPr>
                <w:sz w:val="24"/>
                <w:szCs w:val="24"/>
              </w:rPr>
              <w:t>24.25 ± 1.68</w:t>
            </w:r>
          </w:p>
        </w:tc>
        <w:tc>
          <w:tcPr>
            <w:tcW w:w="1380" w:type="dxa"/>
            <w:tcBorders>
              <w:top w:val="nil"/>
              <w:left w:val="nil"/>
              <w:bottom w:val="nil"/>
              <w:right w:val="nil"/>
            </w:tcBorders>
            <w:tcMar>
              <w:top w:w="100" w:type="dxa"/>
              <w:left w:w="100" w:type="dxa"/>
              <w:bottom w:w="100" w:type="dxa"/>
              <w:right w:w="100" w:type="dxa"/>
            </w:tcMar>
          </w:tcPr>
          <w:p w14:paraId="399AFE80">
            <w:pPr>
              <w:spacing w:line="240" w:lineRule="auto"/>
              <w:jc w:val="both"/>
              <w:rPr>
                <w:sz w:val="24"/>
                <w:szCs w:val="24"/>
              </w:rPr>
            </w:pPr>
            <w:r>
              <w:rPr>
                <w:sz w:val="24"/>
                <w:szCs w:val="24"/>
              </w:rPr>
              <w:t>0.951</w:t>
            </w:r>
          </w:p>
        </w:tc>
        <w:tc>
          <w:tcPr>
            <w:tcW w:w="2325" w:type="dxa"/>
            <w:tcBorders>
              <w:top w:val="nil"/>
              <w:left w:val="nil"/>
              <w:bottom w:val="nil"/>
              <w:right w:val="nil"/>
            </w:tcBorders>
            <w:tcMar>
              <w:top w:w="100" w:type="dxa"/>
              <w:left w:w="100" w:type="dxa"/>
              <w:bottom w:w="100" w:type="dxa"/>
              <w:right w:w="100" w:type="dxa"/>
            </w:tcMar>
          </w:tcPr>
          <w:p w14:paraId="6E915A96">
            <w:pPr>
              <w:spacing w:line="240" w:lineRule="auto"/>
              <w:jc w:val="both"/>
              <w:rPr>
                <w:sz w:val="24"/>
                <w:szCs w:val="24"/>
              </w:rPr>
            </w:pPr>
            <w:r>
              <w:rPr>
                <w:sz w:val="24"/>
                <w:szCs w:val="24"/>
              </w:rPr>
              <w:t>Not significant</w:t>
            </w:r>
          </w:p>
        </w:tc>
      </w:tr>
      <w:tr w14:paraId="622C11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525" w:hRule="atLeast"/>
        </w:trPr>
        <w:tc>
          <w:tcPr>
            <w:tcW w:w="3060" w:type="dxa"/>
            <w:tcBorders>
              <w:top w:val="nil"/>
              <w:left w:val="nil"/>
              <w:bottom w:val="nil"/>
              <w:right w:val="nil"/>
            </w:tcBorders>
            <w:tcMar>
              <w:top w:w="100" w:type="dxa"/>
              <w:left w:w="100" w:type="dxa"/>
              <w:bottom w:w="100" w:type="dxa"/>
              <w:right w:w="100" w:type="dxa"/>
            </w:tcMar>
          </w:tcPr>
          <w:p w14:paraId="03A81A30">
            <w:pPr>
              <w:spacing w:line="240" w:lineRule="auto"/>
              <w:jc w:val="both"/>
              <w:rPr>
                <w:sz w:val="24"/>
                <w:szCs w:val="24"/>
              </w:rPr>
            </w:pPr>
            <w:r>
              <w:rPr>
                <w:sz w:val="24"/>
                <w:szCs w:val="24"/>
              </w:rPr>
              <w:t>Uric acid (mmol/L)</w:t>
            </w:r>
          </w:p>
        </w:tc>
        <w:tc>
          <w:tcPr>
            <w:tcW w:w="2010" w:type="dxa"/>
            <w:tcBorders>
              <w:top w:val="nil"/>
              <w:left w:val="nil"/>
              <w:bottom w:val="nil"/>
              <w:right w:val="nil"/>
            </w:tcBorders>
            <w:tcMar>
              <w:top w:w="100" w:type="dxa"/>
              <w:left w:w="100" w:type="dxa"/>
              <w:bottom w:w="100" w:type="dxa"/>
              <w:right w:w="100" w:type="dxa"/>
            </w:tcMar>
          </w:tcPr>
          <w:p w14:paraId="324FD7FD">
            <w:pPr>
              <w:spacing w:line="240" w:lineRule="auto"/>
              <w:jc w:val="both"/>
              <w:rPr>
                <w:sz w:val="24"/>
                <w:szCs w:val="24"/>
              </w:rPr>
            </w:pPr>
            <w:r>
              <w:rPr>
                <w:sz w:val="24"/>
                <w:szCs w:val="24"/>
              </w:rPr>
              <w:t>7.33 ± 0.36</w:t>
            </w:r>
          </w:p>
        </w:tc>
        <w:tc>
          <w:tcPr>
            <w:tcW w:w="1935" w:type="dxa"/>
            <w:tcBorders>
              <w:top w:val="nil"/>
              <w:left w:val="nil"/>
              <w:bottom w:val="nil"/>
              <w:right w:val="nil"/>
            </w:tcBorders>
            <w:tcMar>
              <w:top w:w="100" w:type="dxa"/>
              <w:left w:w="100" w:type="dxa"/>
              <w:bottom w:w="100" w:type="dxa"/>
              <w:right w:w="100" w:type="dxa"/>
            </w:tcMar>
          </w:tcPr>
          <w:p w14:paraId="6F85927A">
            <w:pPr>
              <w:spacing w:line="240" w:lineRule="auto"/>
              <w:jc w:val="both"/>
              <w:rPr>
                <w:sz w:val="24"/>
                <w:szCs w:val="24"/>
              </w:rPr>
            </w:pPr>
            <w:r>
              <w:rPr>
                <w:sz w:val="24"/>
                <w:szCs w:val="24"/>
              </w:rPr>
              <w:t>7.34 ± 0.42</w:t>
            </w:r>
          </w:p>
        </w:tc>
        <w:tc>
          <w:tcPr>
            <w:tcW w:w="1935" w:type="dxa"/>
            <w:tcBorders>
              <w:top w:val="nil"/>
              <w:left w:val="nil"/>
              <w:bottom w:val="nil"/>
              <w:right w:val="nil"/>
            </w:tcBorders>
            <w:tcMar>
              <w:top w:w="100" w:type="dxa"/>
              <w:left w:w="100" w:type="dxa"/>
              <w:bottom w:w="100" w:type="dxa"/>
              <w:right w:w="100" w:type="dxa"/>
            </w:tcMar>
          </w:tcPr>
          <w:p w14:paraId="01178A57">
            <w:pPr>
              <w:spacing w:line="240" w:lineRule="auto"/>
              <w:jc w:val="both"/>
              <w:rPr>
                <w:sz w:val="24"/>
                <w:szCs w:val="24"/>
              </w:rPr>
            </w:pPr>
            <w:r>
              <w:rPr>
                <w:sz w:val="24"/>
                <w:szCs w:val="24"/>
              </w:rPr>
              <w:t>7.29 ± 0.42</w:t>
            </w:r>
          </w:p>
        </w:tc>
        <w:tc>
          <w:tcPr>
            <w:tcW w:w="1380" w:type="dxa"/>
            <w:tcBorders>
              <w:top w:val="nil"/>
              <w:left w:val="nil"/>
              <w:bottom w:val="nil"/>
              <w:right w:val="nil"/>
            </w:tcBorders>
            <w:tcMar>
              <w:top w:w="100" w:type="dxa"/>
              <w:left w:w="100" w:type="dxa"/>
              <w:bottom w:w="100" w:type="dxa"/>
              <w:right w:w="100" w:type="dxa"/>
            </w:tcMar>
          </w:tcPr>
          <w:p w14:paraId="3090D001">
            <w:pPr>
              <w:spacing w:line="240" w:lineRule="auto"/>
              <w:jc w:val="both"/>
              <w:rPr>
                <w:sz w:val="24"/>
                <w:szCs w:val="24"/>
              </w:rPr>
            </w:pPr>
            <w:r>
              <w:rPr>
                <w:sz w:val="24"/>
                <w:szCs w:val="24"/>
              </w:rPr>
              <w:t>0.853</w:t>
            </w:r>
          </w:p>
        </w:tc>
        <w:tc>
          <w:tcPr>
            <w:tcW w:w="2325" w:type="dxa"/>
            <w:tcBorders>
              <w:top w:val="nil"/>
              <w:left w:val="nil"/>
              <w:bottom w:val="nil"/>
              <w:right w:val="nil"/>
            </w:tcBorders>
            <w:tcMar>
              <w:top w:w="100" w:type="dxa"/>
              <w:left w:w="100" w:type="dxa"/>
              <w:bottom w:w="100" w:type="dxa"/>
              <w:right w:w="100" w:type="dxa"/>
            </w:tcMar>
          </w:tcPr>
          <w:p w14:paraId="621A91BE">
            <w:pPr>
              <w:spacing w:line="240" w:lineRule="auto"/>
              <w:jc w:val="both"/>
              <w:rPr>
                <w:sz w:val="24"/>
                <w:szCs w:val="24"/>
              </w:rPr>
            </w:pPr>
            <w:r>
              <w:rPr>
                <w:sz w:val="24"/>
                <w:szCs w:val="24"/>
              </w:rPr>
              <w:t>Not significant</w:t>
            </w:r>
          </w:p>
        </w:tc>
      </w:tr>
      <w:tr w14:paraId="19F7DC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525" w:hRule="atLeast"/>
        </w:trPr>
        <w:tc>
          <w:tcPr>
            <w:tcW w:w="3060" w:type="dxa"/>
            <w:tcBorders>
              <w:top w:val="nil"/>
              <w:left w:val="nil"/>
              <w:bottom w:val="nil"/>
              <w:right w:val="nil"/>
            </w:tcBorders>
            <w:tcMar>
              <w:top w:w="100" w:type="dxa"/>
              <w:left w:w="100" w:type="dxa"/>
              <w:bottom w:w="100" w:type="dxa"/>
              <w:right w:w="100" w:type="dxa"/>
            </w:tcMar>
          </w:tcPr>
          <w:p w14:paraId="41CC42BA">
            <w:pPr>
              <w:spacing w:line="240" w:lineRule="auto"/>
              <w:jc w:val="both"/>
              <w:rPr>
                <w:sz w:val="24"/>
                <w:szCs w:val="24"/>
              </w:rPr>
            </w:pPr>
            <w:r>
              <w:rPr>
                <w:sz w:val="24"/>
                <w:szCs w:val="24"/>
              </w:rPr>
              <w:t>Uric Acid/Creatinine Ratio</w:t>
            </w:r>
          </w:p>
        </w:tc>
        <w:tc>
          <w:tcPr>
            <w:tcW w:w="2010" w:type="dxa"/>
            <w:tcBorders>
              <w:top w:val="nil"/>
              <w:left w:val="nil"/>
              <w:bottom w:val="nil"/>
              <w:right w:val="nil"/>
            </w:tcBorders>
            <w:tcMar>
              <w:top w:w="100" w:type="dxa"/>
              <w:left w:w="100" w:type="dxa"/>
              <w:bottom w:w="100" w:type="dxa"/>
              <w:right w:w="100" w:type="dxa"/>
            </w:tcMar>
          </w:tcPr>
          <w:p w14:paraId="220E8427">
            <w:pPr>
              <w:spacing w:line="240" w:lineRule="auto"/>
              <w:jc w:val="both"/>
              <w:rPr>
                <w:sz w:val="24"/>
                <w:szCs w:val="24"/>
              </w:rPr>
            </w:pPr>
            <w:r>
              <w:rPr>
                <w:sz w:val="24"/>
                <w:szCs w:val="24"/>
              </w:rPr>
              <w:t>101.03 ± 16.47</w:t>
            </w:r>
          </w:p>
        </w:tc>
        <w:tc>
          <w:tcPr>
            <w:tcW w:w="1935" w:type="dxa"/>
            <w:tcBorders>
              <w:top w:val="nil"/>
              <w:left w:val="nil"/>
              <w:bottom w:val="nil"/>
              <w:right w:val="nil"/>
            </w:tcBorders>
            <w:tcMar>
              <w:top w:w="100" w:type="dxa"/>
              <w:left w:w="100" w:type="dxa"/>
              <w:bottom w:w="100" w:type="dxa"/>
              <w:right w:w="100" w:type="dxa"/>
            </w:tcMar>
          </w:tcPr>
          <w:p w14:paraId="348A53E9">
            <w:pPr>
              <w:spacing w:line="240" w:lineRule="auto"/>
              <w:jc w:val="both"/>
              <w:rPr>
                <w:sz w:val="24"/>
                <w:szCs w:val="24"/>
              </w:rPr>
            </w:pPr>
            <w:r>
              <w:rPr>
                <w:sz w:val="24"/>
                <w:szCs w:val="24"/>
              </w:rPr>
              <w:t>102.74 ± 15.28</w:t>
            </w:r>
          </w:p>
        </w:tc>
        <w:tc>
          <w:tcPr>
            <w:tcW w:w="1935" w:type="dxa"/>
            <w:tcBorders>
              <w:top w:val="nil"/>
              <w:left w:val="nil"/>
              <w:bottom w:val="nil"/>
              <w:right w:val="nil"/>
            </w:tcBorders>
            <w:tcMar>
              <w:top w:w="100" w:type="dxa"/>
              <w:left w:w="100" w:type="dxa"/>
              <w:bottom w:w="100" w:type="dxa"/>
              <w:right w:w="100" w:type="dxa"/>
            </w:tcMar>
          </w:tcPr>
          <w:p w14:paraId="5FC28599">
            <w:pPr>
              <w:spacing w:line="240" w:lineRule="auto"/>
              <w:jc w:val="both"/>
              <w:rPr>
                <w:sz w:val="24"/>
                <w:szCs w:val="24"/>
              </w:rPr>
            </w:pPr>
            <w:r>
              <w:rPr>
                <w:sz w:val="24"/>
                <w:szCs w:val="24"/>
              </w:rPr>
              <w:t>93.22 ± 18.24</w:t>
            </w:r>
          </w:p>
        </w:tc>
        <w:tc>
          <w:tcPr>
            <w:tcW w:w="1380" w:type="dxa"/>
            <w:tcBorders>
              <w:top w:val="nil"/>
              <w:left w:val="nil"/>
              <w:bottom w:val="nil"/>
              <w:right w:val="nil"/>
            </w:tcBorders>
            <w:tcMar>
              <w:top w:w="100" w:type="dxa"/>
              <w:left w:w="100" w:type="dxa"/>
              <w:bottom w:w="100" w:type="dxa"/>
              <w:right w:w="100" w:type="dxa"/>
            </w:tcMar>
          </w:tcPr>
          <w:p w14:paraId="26E7BAC6">
            <w:pPr>
              <w:spacing w:line="240" w:lineRule="auto"/>
              <w:jc w:val="both"/>
              <w:rPr>
                <w:sz w:val="24"/>
                <w:szCs w:val="24"/>
              </w:rPr>
            </w:pPr>
            <w:r>
              <w:rPr>
                <w:sz w:val="24"/>
                <w:szCs w:val="24"/>
              </w:rPr>
              <w:t>0.068</w:t>
            </w:r>
          </w:p>
        </w:tc>
        <w:tc>
          <w:tcPr>
            <w:tcW w:w="2325" w:type="dxa"/>
            <w:tcBorders>
              <w:top w:val="nil"/>
              <w:left w:val="nil"/>
              <w:bottom w:val="nil"/>
              <w:right w:val="nil"/>
            </w:tcBorders>
            <w:tcMar>
              <w:top w:w="100" w:type="dxa"/>
              <w:left w:w="100" w:type="dxa"/>
              <w:bottom w:w="100" w:type="dxa"/>
              <w:right w:w="100" w:type="dxa"/>
            </w:tcMar>
          </w:tcPr>
          <w:p w14:paraId="619BF632">
            <w:pPr>
              <w:spacing w:line="240" w:lineRule="auto"/>
              <w:jc w:val="both"/>
              <w:rPr>
                <w:sz w:val="24"/>
                <w:szCs w:val="24"/>
              </w:rPr>
            </w:pPr>
            <w:r>
              <w:rPr>
                <w:sz w:val="24"/>
                <w:szCs w:val="24"/>
              </w:rPr>
              <w:t>Not significant</w:t>
            </w:r>
          </w:p>
        </w:tc>
      </w:tr>
      <w:tr w14:paraId="7DCBD8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525" w:hRule="atLeast"/>
        </w:trPr>
        <w:tc>
          <w:tcPr>
            <w:tcW w:w="3060" w:type="dxa"/>
            <w:tcBorders>
              <w:top w:val="nil"/>
              <w:left w:val="nil"/>
              <w:bottom w:val="nil"/>
              <w:right w:val="nil"/>
            </w:tcBorders>
            <w:tcMar>
              <w:top w:w="100" w:type="dxa"/>
              <w:left w:w="100" w:type="dxa"/>
              <w:bottom w:w="100" w:type="dxa"/>
              <w:right w:w="100" w:type="dxa"/>
            </w:tcMar>
          </w:tcPr>
          <w:p w14:paraId="6E48C72B">
            <w:pPr>
              <w:spacing w:line="240" w:lineRule="auto"/>
              <w:jc w:val="both"/>
              <w:rPr>
                <w:sz w:val="24"/>
                <w:szCs w:val="24"/>
              </w:rPr>
            </w:pPr>
            <w:r>
              <w:rPr>
                <w:sz w:val="24"/>
                <w:szCs w:val="24"/>
              </w:rPr>
              <w:t>Urea/Creatinine Ratio</w:t>
            </w:r>
          </w:p>
        </w:tc>
        <w:tc>
          <w:tcPr>
            <w:tcW w:w="2010" w:type="dxa"/>
            <w:tcBorders>
              <w:top w:val="nil"/>
              <w:left w:val="nil"/>
              <w:bottom w:val="nil"/>
              <w:right w:val="nil"/>
            </w:tcBorders>
            <w:tcMar>
              <w:top w:w="100" w:type="dxa"/>
              <w:left w:w="100" w:type="dxa"/>
              <w:bottom w:w="100" w:type="dxa"/>
              <w:right w:w="100" w:type="dxa"/>
            </w:tcMar>
          </w:tcPr>
          <w:p w14:paraId="617E31C5">
            <w:pPr>
              <w:spacing w:line="240" w:lineRule="auto"/>
              <w:jc w:val="both"/>
              <w:rPr>
                <w:sz w:val="24"/>
                <w:szCs w:val="24"/>
              </w:rPr>
            </w:pPr>
            <w:r>
              <w:rPr>
                <w:sz w:val="24"/>
                <w:szCs w:val="24"/>
              </w:rPr>
              <w:t>76.70 ± 18.94</w:t>
            </w:r>
          </w:p>
        </w:tc>
        <w:tc>
          <w:tcPr>
            <w:tcW w:w="1935" w:type="dxa"/>
            <w:tcBorders>
              <w:top w:val="nil"/>
              <w:left w:val="nil"/>
              <w:bottom w:val="nil"/>
              <w:right w:val="nil"/>
            </w:tcBorders>
            <w:tcMar>
              <w:top w:w="100" w:type="dxa"/>
              <w:left w:w="100" w:type="dxa"/>
              <w:bottom w:w="100" w:type="dxa"/>
              <w:right w:w="100" w:type="dxa"/>
            </w:tcMar>
          </w:tcPr>
          <w:p w14:paraId="13C6A674">
            <w:pPr>
              <w:spacing w:line="240" w:lineRule="auto"/>
              <w:jc w:val="both"/>
              <w:rPr>
                <w:sz w:val="24"/>
                <w:szCs w:val="24"/>
              </w:rPr>
            </w:pPr>
            <w:r>
              <w:rPr>
                <w:sz w:val="24"/>
                <w:szCs w:val="24"/>
              </w:rPr>
              <w:t>77.57 ± 18.12</w:t>
            </w:r>
          </w:p>
        </w:tc>
        <w:tc>
          <w:tcPr>
            <w:tcW w:w="1935" w:type="dxa"/>
            <w:tcBorders>
              <w:top w:val="nil"/>
              <w:left w:val="nil"/>
              <w:bottom w:val="nil"/>
              <w:right w:val="nil"/>
            </w:tcBorders>
            <w:tcMar>
              <w:top w:w="100" w:type="dxa"/>
              <w:left w:w="100" w:type="dxa"/>
              <w:bottom w:w="100" w:type="dxa"/>
              <w:right w:w="100" w:type="dxa"/>
            </w:tcMar>
          </w:tcPr>
          <w:p w14:paraId="60A8C047">
            <w:pPr>
              <w:spacing w:line="240" w:lineRule="auto"/>
              <w:jc w:val="both"/>
              <w:rPr>
                <w:sz w:val="24"/>
                <w:szCs w:val="24"/>
              </w:rPr>
            </w:pPr>
            <w:r>
              <w:rPr>
                <w:sz w:val="24"/>
                <w:szCs w:val="24"/>
              </w:rPr>
              <w:t>71.59 ± 17.88</w:t>
            </w:r>
          </w:p>
        </w:tc>
        <w:tc>
          <w:tcPr>
            <w:tcW w:w="1380" w:type="dxa"/>
            <w:tcBorders>
              <w:top w:val="nil"/>
              <w:left w:val="nil"/>
              <w:bottom w:val="nil"/>
              <w:right w:val="nil"/>
            </w:tcBorders>
            <w:tcMar>
              <w:top w:w="100" w:type="dxa"/>
              <w:left w:w="100" w:type="dxa"/>
              <w:bottom w:w="100" w:type="dxa"/>
              <w:right w:w="100" w:type="dxa"/>
            </w:tcMar>
          </w:tcPr>
          <w:p w14:paraId="691A9267">
            <w:pPr>
              <w:spacing w:line="240" w:lineRule="auto"/>
              <w:jc w:val="both"/>
              <w:rPr>
                <w:sz w:val="24"/>
                <w:szCs w:val="24"/>
              </w:rPr>
            </w:pPr>
            <w:r>
              <w:rPr>
                <w:sz w:val="24"/>
                <w:szCs w:val="24"/>
              </w:rPr>
              <w:t>0.397</w:t>
            </w:r>
          </w:p>
        </w:tc>
        <w:tc>
          <w:tcPr>
            <w:tcW w:w="2325" w:type="dxa"/>
            <w:tcBorders>
              <w:top w:val="nil"/>
              <w:left w:val="nil"/>
              <w:bottom w:val="nil"/>
              <w:right w:val="nil"/>
            </w:tcBorders>
            <w:tcMar>
              <w:top w:w="100" w:type="dxa"/>
              <w:left w:w="100" w:type="dxa"/>
              <w:bottom w:w="100" w:type="dxa"/>
              <w:right w:w="100" w:type="dxa"/>
            </w:tcMar>
          </w:tcPr>
          <w:p w14:paraId="34D08835">
            <w:pPr>
              <w:spacing w:line="240" w:lineRule="auto"/>
              <w:jc w:val="both"/>
              <w:rPr>
                <w:sz w:val="24"/>
                <w:szCs w:val="24"/>
              </w:rPr>
            </w:pPr>
            <w:r>
              <w:rPr>
                <w:sz w:val="24"/>
                <w:szCs w:val="24"/>
              </w:rPr>
              <w:t>Not significant</w:t>
            </w:r>
          </w:p>
        </w:tc>
      </w:tr>
    </w:tbl>
    <w:p w14:paraId="05A34C05">
      <w:pPr>
        <w:spacing w:before="240" w:after="240"/>
        <w:jc w:val="both"/>
        <w:rPr>
          <w:sz w:val="24"/>
          <w:szCs w:val="24"/>
        </w:rPr>
      </w:pPr>
    </w:p>
    <w:p w14:paraId="19FD8F7B">
      <w:pPr>
        <w:pStyle w:val="3"/>
        <w:keepNext w:val="0"/>
        <w:keepLines w:val="0"/>
        <w:spacing w:after="80"/>
        <w:jc w:val="both"/>
        <w:rPr>
          <w:b/>
          <w:bCs/>
          <w:sz w:val="34"/>
          <w:szCs w:val="34"/>
        </w:rPr>
      </w:pPr>
      <w:bookmarkStart w:id="21" w:name="_bnf84k6p9mfz" w:colFirst="0" w:colLast="0"/>
      <w:bookmarkEnd w:id="21"/>
    </w:p>
    <w:p w14:paraId="29FC9BE9">
      <w:pPr>
        <w:pStyle w:val="3"/>
        <w:keepNext w:val="0"/>
        <w:keepLines w:val="0"/>
        <w:spacing w:after="80"/>
        <w:jc w:val="both"/>
        <w:rPr>
          <w:b/>
          <w:bCs/>
          <w:sz w:val="34"/>
          <w:szCs w:val="34"/>
        </w:rPr>
      </w:pPr>
      <w:bookmarkStart w:id="22" w:name="_hhh9jkbcq0qg" w:colFirst="0" w:colLast="0"/>
      <w:bookmarkEnd w:id="22"/>
    </w:p>
    <w:p w14:paraId="5119BD04">
      <w:pPr>
        <w:pStyle w:val="3"/>
        <w:keepNext w:val="0"/>
        <w:keepLines w:val="0"/>
        <w:spacing w:after="80"/>
        <w:jc w:val="both"/>
        <w:rPr>
          <w:b/>
          <w:bCs/>
          <w:sz w:val="34"/>
          <w:szCs w:val="34"/>
        </w:rPr>
      </w:pPr>
      <w:bookmarkStart w:id="23" w:name="_mvj0v1mb4h7i" w:colFirst="0" w:colLast="0"/>
      <w:bookmarkEnd w:id="23"/>
    </w:p>
    <w:p w14:paraId="6D0569E0">
      <w:pPr>
        <w:pStyle w:val="3"/>
        <w:keepNext w:val="0"/>
        <w:keepLines w:val="0"/>
        <w:spacing w:after="80"/>
        <w:jc w:val="both"/>
        <w:rPr>
          <w:b/>
          <w:bCs/>
          <w:sz w:val="34"/>
          <w:szCs w:val="34"/>
        </w:rPr>
      </w:pPr>
      <w:bookmarkStart w:id="24" w:name="_qkyqpp2s7z5y" w:colFirst="0" w:colLast="0"/>
      <w:bookmarkEnd w:id="24"/>
      <w:r>
        <w:rPr>
          <w:b/>
          <w:bCs/>
          <w:sz w:val="34"/>
          <w:szCs w:val="34"/>
        </w:rPr>
        <w:t>Table 4: Age Analysis</w:t>
      </w:r>
    </w:p>
    <w:p w14:paraId="62399A6A">
      <w:pPr>
        <w:spacing w:before="240" w:after="240"/>
        <w:jc w:val="both"/>
        <w:rPr>
          <w:b/>
          <w:bCs/>
          <w:sz w:val="24"/>
          <w:szCs w:val="24"/>
        </w:rPr>
      </w:pPr>
      <w:r>
        <w:rPr>
          <w:b/>
          <w:bCs/>
          <w:sz w:val="24"/>
          <w:szCs w:val="24"/>
        </w:rPr>
        <w:t>Table 4: Renal biomarkers across age groups in pregnant women</w:t>
      </w:r>
    </w:p>
    <w:tbl>
      <w:tblPr>
        <w:tblStyle w:val="21"/>
        <w:tblW w:w="1248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00" w:type="dxa"/>
          <w:left w:w="100" w:type="dxa"/>
          <w:bottom w:w="100" w:type="dxa"/>
          <w:right w:w="100" w:type="dxa"/>
        </w:tblCellMar>
      </w:tblPr>
      <w:tblGrid>
        <w:gridCol w:w="3330"/>
        <w:gridCol w:w="2055"/>
        <w:gridCol w:w="1785"/>
        <w:gridCol w:w="1920"/>
        <w:gridCol w:w="1470"/>
        <w:gridCol w:w="1920"/>
      </w:tblGrid>
      <w:tr w14:paraId="32AF36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515" w:hRule="atLeast"/>
        </w:trPr>
        <w:tc>
          <w:tcPr>
            <w:tcW w:w="3330" w:type="dxa"/>
            <w:tcBorders>
              <w:top w:val="nil"/>
              <w:left w:val="nil"/>
              <w:bottom w:val="nil"/>
              <w:right w:val="nil"/>
            </w:tcBorders>
            <w:tcMar>
              <w:top w:w="100" w:type="dxa"/>
              <w:left w:w="100" w:type="dxa"/>
              <w:bottom w:w="100" w:type="dxa"/>
              <w:right w:w="100" w:type="dxa"/>
            </w:tcMar>
          </w:tcPr>
          <w:p w14:paraId="4D0428C3">
            <w:pPr>
              <w:rPr>
                <w:sz w:val="24"/>
                <w:szCs w:val="24"/>
              </w:rPr>
            </w:pPr>
            <w:r>
              <w:rPr>
                <w:b/>
                <w:bCs/>
                <w:sz w:val="24"/>
                <w:szCs w:val="24"/>
              </w:rPr>
              <w:t>Parameter</w:t>
            </w:r>
          </w:p>
        </w:tc>
        <w:tc>
          <w:tcPr>
            <w:tcW w:w="2055" w:type="dxa"/>
            <w:tcBorders>
              <w:top w:val="nil"/>
              <w:left w:val="nil"/>
              <w:bottom w:val="nil"/>
              <w:right w:val="nil"/>
            </w:tcBorders>
            <w:tcMar>
              <w:top w:w="100" w:type="dxa"/>
              <w:left w:w="100" w:type="dxa"/>
              <w:bottom w:w="100" w:type="dxa"/>
              <w:right w:w="100" w:type="dxa"/>
            </w:tcMar>
          </w:tcPr>
          <w:p w14:paraId="347845A3">
            <w:pPr>
              <w:rPr>
                <w:sz w:val="24"/>
                <w:szCs w:val="24"/>
              </w:rPr>
            </w:pPr>
            <w:r>
              <w:rPr>
                <w:b/>
                <w:bCs/>
                <w:sz w:val="24"/>
                <w:szCs w:val="24"/>
              </w:rPr>
              <w:t>18–27 yrs</w:t>
            </w:r>
          </w:p>
        </w:tc>
        <w:tc>
          <w:tcPr>
            <w:tcW w:w="1785" w:type="dxa"/>
            <w:tcBorders>
              <w:top w:val="nil"/>
              <w:left w:val="nil"/>
              <w:bottom w:val="nil"/>
              <w:right w:val="nil"/>
            </w:tcBorders>
            <w:tcMar>
              <w:top w:w="100" w:type="dxa"/>
              <w:left w:w="100" w:type="dxa"/>
              <w:bottom w:w="100" w:type="dxa"/>
              <w:right w:w="100" w:type="dxa"/>
            </w:tcMar>
          </w:tcPr>
          <w:p w14:paraId="65EAF116">
            <w:pPr>
              <w:rPr>
                <w:sz w:val="24"/>
                <w:szCs w:val="24"/>
              </w:rPr>
            </w:pPr>
            <w:r>
              <w:rPr>
                <w:b/>
                <w:bCs/>
                <w:sz w:val="24"/>
                <w:szCs w:val="24"/>
              </w:rPr>
              <w:t>28–37 yrs</w:t>
            </w:r>
          </w:p>
        </w:tc>
        <w:tc>
          <w:tcPr>
            <w:tcW w:w="1920" w:type="dxa"/>
            <w:tcBorders>
              <w:top w:val="nil"/>
              <w:left w:val="nil"/>
              <w:bottom w:val="nil"/>
              <w:right w:val="nil"/>
            </w:tcBorders>
            <w:tcMar>
              <w:top w:w="100" w:type="dxa"/>
              <w:left w:w="100" w:type="dxa"/>
              <w:bottom w:w="100" w:type="dxa"/>
              <w:right w:w="100" w:type="dxa"/>
            </w:tcMar>
          </w:tcPr>
          <w:p w14:paraId="2AE4199B">
            <w:pPr>
              <w:rPr>
                <w:sz w:val="24"/>
                <w:szCs w:val="24"/>
              </w:rPr>
            </w:pPr>
            <w:r>
              <w:rPr>
                <w:b/>
                <w:bCs/>
                <w:sz w:val="24"/>
                <w:szCs w:val="24"/>
              </w:rPr>
              <w:t>38–47 yrs</w:t>
            </w:r>
          </w:p>
        </w:tc>
        <w:tc>
          <w:tcPr>
            <w:tcW w:w="1470" w:type="dxa"/>
            <w:tcBorders>
              <w:top w:val="nil"/>
              <w:left w:val="nil"/>
              <w:bottom w:val="nil"/>
              <w:right w:val="nil"/>
            </w:tcBorders>
            <w:tcMar>
              <w:top w:w="100" w:type="dxa"/>
              <w:left w:w="100" w:type="dxa"/>
              <w:bottom w:w="100" w:type="dxa"/>
              <w:right w:w="100" w:type="dxa"/>
            </w:tcMar>
          </w:tcPr>
          <w:p w14:paraId="03BCB57B">
            <w:pPr>
              <w:rPr>
                <w:sz w:val="24"/>
                <w:szCs w:val="24"/>
              </w:rPr>
            </w:pPr>
            <w:r>
              <w:rPr>
                <w:b/>
                <w:bCs/>
                <w:sz w:val="24"/>
                <w:szCs w:val="24"/>
              </w:rPr>
              <w:t>p-value</w:t>
            </w:r>
          </w:p>
        </w:tc>
        <w:tc>
          <w:tcPr>
            <w:tcW w:w="1920" w:type="dxa"/>
            <w:tcBorders>
              <w:top w:val="nil"/>
              <w:left w:val="nil"/>
              <w:bottom w:val="nil"/>
              <w:right w:val="nil"/>
            </w:tcBorders>
            <w:tcMar>
              <w:top w:w="100" w:type="dxa"/>
              <w:left w:w="100" w:type="dxa"/>
              <w:bottom w:w="100" w:type="dxa"/>
              <w:right w:w="100" w:type="dxa"/>
            </w:tcMar>
          </w:tcPr>
          <w:p w14:paraId="57062EFA">
            <w:pPr>
              <w:rPr>
                <w:sz w:val="24"/>
                <w:szCs w:val="24"/>
              </w:rPr>
            </w:pPr>
            <w:r>
              <w:rPr>
                <w:b/>
                <w:bCs/>
                <w:sz w:val="24"/>
                <w:szCs w:val="24"/>
              </w:rPr>
              <w:t>Significance</w:t>
            </w:r>
          </w:p>
        </w:tc>
      </w:tr>
      <w:tr w14:paraId="0AFB57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515" w:hRule="atLeast"/>
        </w:trPr>
        <w:tc>
          <w:tcPr>
            <w:tcW w:w="3330" w:type="dxa"/>
            <w:tcBorders>
              <w:top w:val="nil"/>
              <w:left w:val="nil"/>
              <w:bottom w:val="nil"/>
              <w:right w:val="nil"/>
            </w:tcBorders>
            <w:tcMar>
              <w:top w:w="100" w:type="dxa"/>
              <w:left w:w="100" w:type="dxa"/>
              <w:bottom w:w="100" w:type="dxa"/>
              <w:right w:w="100" w:type="dxa"/>
            </w:tcMar>
          </w:tcPr>
          <w:p w14:paraId="565BA519">
            <w:pPr>
              <w:jc w:val="both"/>
              <w:rPr>
                <w:sz w:val="24"/>
                <w:szCs w:val="24"/>
              </w:rPr>
            </w:pPr>
            <w:r>
              <w:rPr>
                <w:sz w:val="24"/>
                <w:szCs w:val="24"/>
              </w:rPr>
              <w:t>Creatinine (µmol/L)</w:t>
            </w:r>
          </w:p>
        </w:tc>
        <w:tc>
          <w:tcPr>
            <w:tcW w:w="2055" w:type="dxa"/>
            <w:tcBorders>
              <w:top w:val="nil"/>
              <w:left w:val="nil"/>
              <w:bottom w:val="nil"/>
              <w:right w:val="nil"/>
            </w:tcBorders>
            <w:tcMar>
              <w:top w:w="100" w:type="dxa"/>
              <w:left w:w="100" w:type="dxa"/>
              <w:bottom w:w="100" w:type="dxa"/>
              <w:right w:w="100" w:type="dxa"/>
            </w:tcMar>
          </w:tcPr>
          <w:p w14:paraId="1CA5DB54">
            <w:pPr>
              <w:jc w:val="both"/>
              <w:rPr>
                <w:sz w:val="24"/>
                <w:szCs w:val="24"/>
              </w:rPr>
            </w:pPr>
            <w:r>
              <w:rPr>
                <w:sz w:val="24"/>
                <w:szCs w:val="24"/>
              </w:rPr>
              <w:t>80.47 ± 10.09</w:t>
            </w:r>
          </w:p>
        </w:tc>
        <w:tc>
          <w:tcPr>
            <w:tcW w:w="1785" w:type="dxa"/>
            <w:tcBorders>
              <w:top w:val="nil"/>
              <w:left w:val="nil"/>
              <w:bottom w:val="nil"/>
              <w:right w:val="nil"/>
            </w:tcBorders>
            <w:tcMar>
              <w:top w:w="100" w:type="dxa"/>
              <w:left w:w="100" w:type="dxa"/>
              <w:bottom w:w="100" w:type="dxa"/>
              <w:right w:w="100" w:type="dxa"/>
            </w:tcMar>
          </w:tcPr>
          <w:p w14:paraId="2DD0FF9A">
            <w:pPr>
              <w:jc w:val="both"/>
              <w:rPr>
                <w:sz w:val="24"/>
                <w:szCs w:val="24"/>
              </w:rPr>
            </w:pPr>
            <w:r>
              <w:rPr>
                <w:sz w:val="24"/>
                <w:szCs w:val="24"/>
              </w:rPr>
              <w:t>73.68 ± 10.52</w:t>
            </w:r>
          </w:p>
        </w:tc>
        <w:tc>
          <w:tcPr>
            <w:tcW w:w="1920" w:type="dxa"/>
            <w:tcBorders>
              <w:top w:val="nil"/>
              <w:left w:val="nil"/>
              <w:bottom w:val="nil"/>
              <w:right w:val="nil"/>
            </w:tcBorders>
            <w:tcMar>
              <w:top w:w="100" w:type="dxa"/>
              <w:left w:w="100" w:type="dxa"/>
              <w:bottom w:w="100" w:type="dxa"/>
              <w:right w:w="100" w:type="dxa"/>
            </w:tcMar>
          </w:tcPr>
          <w:p w14:paraId="586529E8">
            <w:pPr>
              <w:jc w:val="both"/>
              <w:rPr>
                <w:sz w:val="24"/>
                <w:szCs w:val="24"/>
              </w:rPr>
            </w:pPr>
            <w:r>
              <w:rPr>
                <w:sz w:val="24"/>
                <w:szCs w:val="24"/>
              </w:rPr>
              <w:t>76.08 ± 14.71</w:t>
            </w:r>
          </w:p>
        </w:tc>
        <w:tc>
          <w:tcPr>
            <w:tcW w:w="1470" w:type="dxa"/>
            <w:tcBorders>
              <w:top w:val="nil"/>
              <w:left w:val="nil"/>
              <w:bottom w:val="nil"/>
              <w:right w:val="nil"/>
            </w:tcBorders>
            <w:tcMar>
              <w:top w:w="100" w:type="dxa"/>
              <w:left w:w="100" w:type="dxa"/>
              <w:bottom w:w="100" w:type="dxa"/>
              <w:right w:w="100" w:type="dxa"/>
            </w:tcMar>
          </w:tcPr>
          <w:p w14:paraId="3C3C2751">
            <w:pPr>
              <w:jc w:val="both"/>
              <w:rPr>
                <w:sz w:val="24"/>
                <w:szCs w:val="24"/>
              </w:rPr>
            </w:pPr>
            <w:r>
              <w:rPr>
                <w:sz w:val="24"/>
                <w:szCs w:val="24"/>
              </w:rPr>
              <w:t>0.122</w:t>
            </w:r>
          </w:p>
        </w:tc>
        <w:tc>
          <w:tcPr>
            <w:tcW w:w="1920" w:type="dxa"/>
            <w:tcBorders>
              <w:top w:val="nil"/>
              <w:left w:val="nil"/>
              <w:bottom w:val="nil"/>
              <w:right w:val="nil"/>
            </w:tcBorders>
            <w:tcMar>
              <w:top w:w="100" w:type="dxa"/>
              <w:left w:w="100" w:type="dxa"/>
              <w:bottom w:w="100" w:type="dxa"/>
              <w:right w:w="100" w:type="dxa"/>
            </w:tcMar>
          </w:tcPr>
          <w:p w14:paraId="60C17CB4">
            <w:pPr>
              <w:jc w:val="both"/>
              <w:rPr>
                <w:sz w:val="24"/>
                <w:szCs w:val="24"/>
              </w:rPr>
            </w:pPr>
            <w:r>
              <w:rPr>
                <w:sz w:val="24"/>
                <w:szCs w:val="24"/>
              </w:rPr>
              <w:t>NS</w:t>
            </w:r>
          </w:p>
        </w:tc>
      </w:tr>
      <w:tr w14:paraId="4D733C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515" w:hRule="atLeast"/>
        </w:trPr>
        <w:tc>
          <w:tcPr>
            <w:tcW w:w="3330" w:type="dxa"/>
            <w:tcBorders>
              <w:top w:val="nil"/>
              <w:left w:val="nil"/>
              <w:bottom w:val="nil"/>
              <w:right w:val="nil"/>
            </w:tcBorders>
            <w:tcMar>
              <w:top w:w="100" w:type="dxa"/>
              <w:left w:w="100" w:type="dxa"/>
              <w:bottom w:w="100" w:type="dxa"/>
              <w:right w:w="100" w:type="dxa"/>
            </w:tcMar>
          </w:tcPr>
          <w:p w14:paraId="03CE9936">
            <w:pPr>
              <w:jc w:val="both"/>
              <w:rPr>
                <w:sz w:val="24"/>
                <w:szCs w:val="24"/>
              </w:rPr>
            </w:pPr>
            <w:r>
              <w:rPr>
                <w:sz w:val="24"/>
                <w:szCs w:val="24"/>
              </w:rPr>
              <w:t>Urea (mmol/L)</w:t>
            </w:r>
          </w:p>
        </w:tc>
        <w:tc>
          <w:tcPr>
            <w:tcW w:w="2055" w:type="dxa"/>
            <w:tcBorders>
              <w:top w:val="nil"/>
              <w:left w:val="nil"/>
              <w:bottom w:val="nil"/>
              <w:right w:val="nil"/>
            </w:tcBorders>
            <w:tcMar>
              <w:top w:w="100" w:type="dxa"/>
              <w:left w:w="100" w:type="dxa"/>
              <w:bottom w:w="100" w:type="dxa"/>
              <w:right w:w="100" w:type="dxa"/>
            </w:tcMar>
          </w:tcPr>
          <w:p w14:paraId="77CBAA8F">
            <w:pPr>
              <w:jc w:val="both"/>
              <w:rPr>
                <w:sz w:val="24"/>
                <w:szCs w:val="24"/>
              </w:rPr>
            </w:pPr>
            <w:r>
              <w:rPr>
                <w:sz w:val="24"/>
                <w:szCs w:val="24"/>
              </w:rPr>
              <w:t>5.45 ± 0.95</w:t>
            </w:r>
          </w:p>
        </w:tc>
        <w:tc>
          <w:tcPr>
            <w:tcW w:w="1785" w:type="dxa"/>
            <w:tcBorders>
              <w:top w:val="nil"/>
              <w:left w:val="nil"/>
              <w:bottom w:val="nil"/>
              <w:right w:val="nil"/>
            </w:tcBorders>
            <w:tcMar>
              <w:top w:w="100" w:type="dxa"/>
              <w:left w:w="100" w:type="dxa"/>
              <w:bottom w:w="100" w:type="dxa"/>
              <w:right w:w="100" w:type="dxa"/>
            </w:tcMar>
          </w:tcPr>
          <w:p w14:paraId="2B0E6696">
            <w:pPr>
              <w:jc w:val="both"/>
              <w:rPr>
                <w:sz w:val="24"/>
                <w:szCs w:val="24"/>
              </w:rPr>
            </w:pPr>
            <w:r>
              <w:rPr>
                <w:sz w:val="24"/>
                <w:szCs w:val="24"/>
              </w:rPr>
              <w:t>5.54 ± 0.88</w:t>
            </w:r>
          </w:p>
        </w:tc>
        <w:tc>
          <w:tcPr>
            <w:tcW w:w="1920" w:type="dxa"/>
            <w:tcBorders>
              <w:top w:val="nil"/>
              <w:left w:val="nil"/>
              <w:bottom w:val="nil"/>
              <w:right w:val="nil"/>
            </w:tcBorders>
            <w:tcMar>
              <w:top w:w="100" w:type="dxa"/>
              <w:left w:w="100" w:type="dxa"/>
              <w:bottom w:w="100" w:type="dxa"/>
              <w:right w:w="100" w:type="dxa"/>
            </w:tcMar>
          </w:tcPr>
          <w:p w14:paraId="381DA4AE">
            <w:pPr>
              <w:jc w:val="both"/>
              <w:rPr>
                <w:sz w:val="24"/>
                <w:szCs w:val="24"/>
              </w:rPr>
            </w:pPr>
            <w:r>
              <w:rPr>
                <w:sz w:val="24"/>
                <w:szCs w:val="24"/>
              </w:rPr>
              <w:t>5.61 ± 0.80</w:t>
            </w:r>
          </w:p>
        </w:tc>
        <w:tc>
          <w:tcPr>
            <w:tcW w:w="1470" w:type="dxa"/>
            <w:tcBorders>
              <w:top w:val="nil"/>
              <w:left w:val="nil"/>
              <w:bottom w:val="nil"/>
              <w:right w:val="nil"/>
            </w:tcBorders>
            <w:tcMar>
              <w:top w:w="100" w:type="dxa"/>
              <w:left w:w="100" w:type="dxa"/>
              <w:bottom w:w="100" w:type="dxa"/>
              <w:right w:w="100" w:type="dxa"/>
            </w:tcMar>
          </w:tcPr>
          <w:p w14:paraId="0C1BB5C8">
            <w:pPr>
              <w:jc w:val="both"/>
              <w:rPr>
                <w:sz w:val="24"/>
                <w:szCs w:val="24"/>
              </w:rPr>
            </w:pPr>
            <w:r>
              <w:rPr>
                <w:sz w:val="24"/>
                <w:szCs w:val="24"/>
              </w:rPr>
              <w:t>0.845</w:t>
            </w:r>
          </w:p>
        </w:tc>
        <w:tc>
          <w:tcPr>
            <w:tcW w:w="1920" w:type="dxa"/>
            <w:tcBorders>
              <w:top w:val="nil"/>
              <w:left w:val="nil"/>
              <w:bottom w:val="nil"/>
              <w:right w:val="nil"/>
            </w:tcBorders>
            <w:tcMar>
              <w:top w:w="100" w:type="dxa"/>
              <w:left w:w="100" w:type="dxa"/>
              <w:bottom w:w="100" w:type="dxa"/>
              <w:right w:w="100" w:type="dxa"/>
            </w:tcMar>
          </w:tcPr>
          <w:p w14:paraId="00B7A62A">
            <w:pPr>
              <w:jc w:val="both"/>
              <w:rPr>
                <w:sz w:val="24"/>
                <w:szCs w:val="24"/>
              </w:rPr>
            </w:pPr>
            <w:r>
              <w:rPr>
                <w:sz w:val="24"/>
                <w:szCs w:val="24"/>
              </w:rPr>
              <w:t>NS</w:t>
            </w:r>
          </w:p>
        </w:tc>
      </w:tr>
      <w:tr w14:paraId="541827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515" w:hRule="atLeast"/>
        </w:trPr>
        <w:tc>
          <w:tcPr>
            <w:tcW w:w="3330" w:type="dxa"/>
            <w:tcBorders>
              <w:top w:val="nil"/>
              <w:left w:val="nil"/>
              <w:bottom w:val="nil"/>
              <w:right w:val="nil"/>
            </w:tcBorders>
            <w:tcMar>
              <w:top w:w="100" w:type="dxa"/>
              <w:left w:w="100" w:type="dxa"/>
              <w:bottom w:w="100" w:type="dxa"/>
              <w:right w:w="100" w:type="dxa"/>
            </w:tcMar>
          </w:tcPr>
          <w:p w14:paraId="1085124C">
            <w:pPr>
              <w:jc w:val="both"/>
              <w:rPr>
                <w:sz w:val="24"/>
                <w:szCs w:val="24"/>
              </w:rPr>
            </w:pPr>
            <w:r>
              <w:rPr>
                <w:sz w:val="24"/>
                <w:szCs w:val="24"/>
              </w:rPr>
              <w:t>Sodium (mmol/L)</w:t>
            </w:r>
          </w:p>
        </w:tc>
        <w:tc>
          <w:tcPr>
            <w:tcW w:w="2055" w:type="dxa"/>
            <w:tcBorders>
              <w:top w:val="nil"/>
              <w:left w:val="nil"/>
              <w:bottom w:val="nil"/>
              <w:right w:val="nil"/>
            </w:tcBorders>
            <w:tcMar>
              <w:top w:w="100" w:type="dxa"/>
              <w:left w:w="100" w:type="dxa"/>
              <w:bottom w:w="100" w:type="dxa"/>
              <w:right w:w="100" w:type="dxa"/>
            </w:tcMar>
          </w:tcPr>
          <w:p w14:paraId="79EAC076">
            <w:pPr>
              <w:jc w:val="both"/>
              <w:rPr>
                <w:sz w:val="24"/>
                <w:szCs w:val="24"/>
              </w:rPr>
            </w:pPr>
            <w:r>
              <w:rPr>
                <w:sz w:val="24"/>
                <w:szCs w:val="24"/>
              </w:rPr>
              <w:t>135.77 ± 5.09</w:t>
            </w:r>
          </w:p>
        </w:tc>
        <w:tc>
          <w:tcPr>
            <w:tcW w:w="1785" w:type="dxa"/>
            <w:tcBorders>
              <w:top w:val="nil"/>
              <w:left w:val="nil"/>
              <w:bottom w:val="nil"/>
              <w:right w:val="nil"/>
            </w:tcBorders>
            <w:tcMar>
              <w:top w:w="100" w:type="dxa"/>
              <w:left w:w="100" w:type="dxa"/>
              <w:bottom w:w="100" w:type="dxa"/>
              <w:right w:w="100" w:type="dxa"/>
            </w:tcMar>
          </w:tcPr>
          <w:p w14:paraId="492EB4F4">
            <w:pPr>
              <w:jc w:val="both"/>
              <w:rPr>
                <w:sz w:val="24"/>
                <w:szCs w:val="24"/>
              </w:rPr>
            </w:pPr>
            <w:r>
              <w:rPr>
                <w:sz w:val="24"/>
                <w:szCs w:val="24"/>
              </w:rPr>
              <w:t>136.01 ± 4.89</w:t>
            </w:r>
          </w:p>
        </w:tc>
        <w:tc>
          <w:tcPr>
            <w:tcW w:w="1920" w:type="dxa"/>
            <w:tcBorders>
              <w:top w:val="nil"/>
              <w:left w:val="nil"/>
              <w:bottom w:val="nil"/>
              <w:right w:val="nil"/>
            </w:tcBorders>
            <w:tcMar>
              <w:top w:w="100" w:type="dxa"/>
              <w:left w:w="100" w:type="dxa"/>
              <w:bottom w:w="100" w:type="dxa"/>
              <w:right w:w="100" w:type="dxa"/>
            </w:tcMar>
          </w:tcPr>
          <w:p w14:paraId="67A4545E">
            <w:pPr>
              <w:jc w:val="both"/>
              <w:rPr>
                <w:sz w:val="24"/>
                <w:szCs w:val="24"/>
              </w:rPr>
            </w:pPr>
            <w:r>
              <w:rPr>
                <w:sz w:val="24"/>
                <w:szCs w:val="24"/>
              </w:rPr>
              <w:t>135.68 ± 5.42</w:t>
            </w:r>
          </w:p>
        </w:tc>
        <w:tc>
          <w:tcPr>
            <w:tcW w:w="1470" w:type="dxa"/>
            <w:tcBorders>
              <w:top w:val="nil"/>
              <w:left w:val="nil"/>
              <w:bottom w:val="nil"/>
              <w:right w:val="nil"/>
            </w:tcBorders>
            <w:tcMar>
              <w:top w:w="100" w:type="dxa"/>
              <w:left w:w="100" w:type="dxa"/>
              <w:bottom w:w="100" w:type="dxa"/>
              <w:right w:w="100" w:type="dxa"/>
            </w:tcMar>
          </w:tcPr>
          <w:p w14:paraId="78CD038C">
            <w:pPr>
              <w:jc w:val="both"/>
              <w:rPr>
                <w:sz w:val="24"/>
                <w:szCs w:val="24"/>
              </w:rPr>
            </w:pPr>
            <w:r>
              <w:rPr>
                <w:sz w:val="24"/>
                <w:szCs w:val="24"/>
              </w:rPr>
              <w:t>0.962</w:t>
            </w:r>
          </w:p>
        </w:tc>
        <w:tc>
          <w:tcPr>
            <w:tcW w:w="1920" w:type="dxa"/>
            <w:tcBorders>
              <w:top w:val="nil"/>
              <w:left w:val="nil"/>
              <w:bottom w:val="nil"/>
              <w:right w:val="nil"/>
            </w:tcBorders>
            <w:tcMar>
              <w:top w:w="100" w:type="dxa"/>
              <w:left w:w="100" w:type="dxa"/>
              <w:bottom w:w="100" w:type="dxa"/>
              <w:right w:w="100" w:type="dxa"/>
            </w:tcMar>
          </w:tcPr>
          <w:p w14:paraId="12BF6241">
            <w:pPr>
              <w:jc w:val="both"/>
              <w:rPr>
                <w:sz w:val="24"/>
                <w:szCs w:val="24"/>
              </w:rPr>
            </w:pPr>
            <w:r>
              <w:rPr>
                <w:sz w:val="24"/>
                <w:szCs w:val="24"/>
              </w:rPr>
              <w:t>NS</w:t>
            </w:r>
          </w:p>
        </w:tc>
      </w:tr>
      <w:tr w14:paraId="37F7B2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515" w:hRule="atLeast"/>
        </w:trPr>
        <w:tc>
          <w:tcPr>
            <w:tcW w:w="3330" w:type="dxa"/>
            <w:tcBorders>
              <w:top w:val="nil"/>
              <w:left w:val="nil"/>
              <w:bottom w:val="nil"/>
              <w:right w:val="nil"/>
            </w:tcBorders>
            <w:tcMar>
              <w:top w:w="100" w:type="dxa"/>
              <w:left w:w="100" w:type="dxa"/>
              <w:bottom w:w="100" w:type="dxa"/>
              <w:right w:w="100" w:type="dxa"/>
            </w:tcMar>
          </w:tcPr>
          <w:p w14:paraId="6F60F8C0">
            <w:pPr>
              <w:jc w:val="both"/>
              <w:rPr>
                <w:sz w:val="24"/>
                <w:szCs w:val="24"/>
              </w:rPr>
            </w:pPr>
            <w:r>
              <w:rPr>
                <w:sz w:val="24"/>
                <w:szCs w:val="24"/>
              </w:rPr>
              <w:t>Potassium (mmol/L)</w:t>
            </w:r>
          </w:p>
        </w:tc>
        <w:tc>
          <w:tcPr>
            <w:tcW w:w="2055" w:type="dxa"/>
            <w:tcBorders>
              <w:top w:val="nil"/>
              <w:left w:val="nil"/>
              <w:bottom w:val="nil"/>
              <w:right w:val="nil"/>
            </w:tcBorders>
            <w:tcMar>
              <w:top w:w="100" w:type="dxa"/>
              <w:left w:w="100" w:type="dxa"/>
              <w:bottom w:w="100" w:type="dxa"/>
              <w:right w:w="100" w:type="dxa"/>
            </w:tcMar>
          </w:tcPr>
          <w:p w14:paraId="2A505550">
            <w:pPr>
              <w:jc w:val="both"/>
              <w:rPr>
                <w:sz w:val="24"/>
                <w:szCs w:val="24"/>
              </w:rPr>
            </w:pPr>
            <w:r>
              <w:rPr>
                <w:sz w:val="24"/>
                <w:szCs w:val="24"/>
              </w:rPr>
              <w:t>5.88 ± 1.05</w:t>
            </w:r>
          </w:p>
        </w:tc>
        <w:tc>
          <w:tcPr>
            <w:tcW w:w="1785" w:type="dxa"/>
            <w:tcBorders>
              <w:top w:val="nil"/>
              <w:left w:val="nil"/>
              <w:bottom w:val="nil"/>
              <w:right w:val="nil"/>
            </w:tcBorders>
            <w:tcMar>
              <w:top w:w="100" w:type="dxa"/>
              <w:left w:w="100" w:type="dxa"/>
              <w:bottom w:w="100" w:type="dxa"/>
              <w:right w:w="100" w:type="dxa"/>
            </w:tcMar>
          </w:tcPr>
          <w:p w14:paraId="15E50F5E">
            <w:pPr>
              <w:jc w:val="both"/>
              <w:rPr>
                <w:sz w:val="24"/>
                <w:szCs w:val="24"/>
              </w:rPr>
            </w:pPr>
            <w:r>
              <w:rPr>
                <w:sz w:val="24"/>
                <w:szCs w:val="24"/>
              </w:rPr>
              <w:t>5.34 ± 0.91</w:t>
            </w:r>
          </w:p>
        </w:tc>
        <w:tc>
          <w:tcPr>
            <w:tcW w:w="1920" w:type="dxa"/>
            <w:tcBorders>
              <w:top w:val="nil"/>
              <w:left w:val="nil"/>
              <w:bottom w:val="nil"/>
              <w:right w:val="nil"/>
            </w:tcBorders>
            <w:tcMar>
              <w:top w:w="100" w:type="dxa"/>
              <w:left w:w="100" w:type="dxa"/>
              <w:bottom w:w="100" w:type="dxa"/>
              <w:right w:w="100" w:type="dxa"/>
            </w:tcMar>
          </w:tcPr>
          <w:p w14:paraId="4DEBE6DA">
            <w:pPr>
              <w:jc w:val="both"/>
              <w:rPr>
                <w:sz w:val="24"/>
                <w:szCs w:val="24"/>
              </w:rPr>
            </w:pPr>
            <w:r>
              <w:rPr>
                <w:sz w:val="24"/>
                <w:szCs w:val="24"/>
              </w:rPr>
              <w:t>5.14 ± 0.97</w:t>
            </w:r>
          </w:p>
        </w:tc>
        <w:tc>
          <w:tcPr>
            <w:tcW w:w="1470" w:type="dxa"/>
            <w:tcBorders>
              <w:top w:val="nil"/>
              <w:left w:val="nil"/>
              <w:bottom w:val="nil"/>
              <w:right w:val="nil"/>
            </w:tcBorders>
            <w:tcMar>
              <w:top w:w="100" w:type="dxa"/>
              <w:left w:w="100" w:type="dxa"/>
              <w:bottom w:w="100" w:type="dxa"/>
              <w:right w:w="100" w:type="dxa"/>
            </w:tcMar>
          </w:tcPr>
          <w:p w14:paraId="394227EB">
            <w:pPr>
              <w:jc w:val="both"/>
              <w:rPr>
                <w:sz w:val="24"/>
                <w:szCs w:val="24"/>
              </w:rPr>
            </w:pPr>
            <w:r>
              <w:rPr>
                <w:sz w:val="24"/>
                <w:szCs w:val="24"/>
              </w:rPr>
              <w:t>0.032</w:t>
            </w:r>
          </w:p>
        </w:tc>
        <w:tc>
          <w:tcPr>
            <w:tcW w:w="1920" w:type="dxa"/>
            <w:tcBorders>
              <w:top w:val="nil"/>
              <w:left w:val="nil"/>
              <w:bottom w:val="nil"/>
              <w:right w:val="nil"/>
            </w:tcBorders>
            <w:tcMar>
              <w:top w:w="100" w:type="dxa"/>
              <w:left w:w="100" w:type="dxa"/>
              <w:bottom w:w="100" w:type="dxa"/>
              <w:right w:w="100" w:type="dxa"/>
            </w:tcMar>
          </w:tcPr>
          <w:p w14:paraId="6C5A2F74">
            <w:pPr>
              <w:jc w:val="both"/>
              <w:rPr>
                <w:sz w:val="24"/>
                <w:szCs w:val="24"/>
              </w:rPr>
            </w:pPr>
            <w:r>
              <w:rPr>
                <w:sz w:val="24"/>
                <w:szCs w:val="24"/>
              </w:rPr>
              <w:t>Significant</w:t>
            </w:r>
          </w:p>
        </w:tc>
      </w:tr>
      <w:tr w14:paraId="530A72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515" w:hRule="atLeast"/>
        </w:trPr>
        <w:tc>
          <w:tcPr>
            <w:tcW w:w="3330" w:type="dxa"/>
            <w:tcBorders>
              <w:top w:val="nil"/>
              <w:left w:val="nil"/>
              <w:bottom w:val="nil"/>
              <w:right w:val="nil"/>
            </w:tcBorders>
            <w:tcMar>
              <w:top w:w="100" w:type="dxa"/>
              <w:left w:w="100" w:type="dxa"/>
              <w:bottom w:w="100" w:type="dxa"/>
              <w:right w:w="100" w:type="dxa"/>
            </w:tcMar>
          </w:tcPr>
          <w:p w14:paraId="0494D1AC">
            <w:pPr>
              <w:jc w:val="both"/>
              <w:rPr>
                <w:sz w:val="24"/>
                <w:szCs w:val="24"/>
              </w:rPr>
            </w:pPr>
            <w:r>
              <w:rPr>
                <w:sz w:val="24"/>
                <w:szCs w:val="24"/>
              </w:rPr>
              <w:t>Chloride (mmol/L)</w:t>
            </w:r>
          </w:p>
        </w:tc>
        <w:tc>
          <w:tcPr>
            <w:tcW w:w="2055" w:type="dxa"/>
            <w:tcBorders>
              <w:top w:val="nil"/>
              <w:left w:val="nil"/>
              <w:bottom w:val="nil"/>
              <w:right w:val="nil"/>
            </w:tcBorders>
            <w:tcMar>
              <w:top w:w="100" w:type="dxa"/>
              <w:left w:w="100" w:type="dxa"/>
              <w:bottom w:w="100" w:type="dxa"/>
              <w:right w:w="100" w:type="dxa"/>
            </w:tcMar>
          </w:tcPr>
          <w:p w14:paraId="27168E4F">
            <w:pPr>
              <w:jc w:val="both"/>
              <w:rPr>
                <w:sz w:val="24"/>
                <w:szCs w:val="24"/>
              </w:rPr>
            </w:pPr>
            <w:r>
              <w:rPr>
                <w:sz w:val="24"/>
                <w:szCs w:val="24"/>
              </w:rPr>
              <w:t>102.84 ± 5.85</w:t>
            </w:r>
          </w:p>
        </w:tc>
        <w:tc>
          <w:tcPr>
            <w:tcW w:w="1785" w:type="dxa"/>
            <w:tcBorders>
              <w:top w:val="nil"/>
              <w:left w:val="nil"/>
              <w:bottom w:val="nil"/>
              <w:right w:val="nil"/>
            </w:tcBorders>
            <w:tcMar>
              <w:top w:w="100" w:type="dxa"/>
              <w:left w:w="100" w:type="dxa"/>
              <w:bottom w:w="100" w:type="dxa"/>
              <w:right w:w="100" w:type="dxa"/>
            </w:tcMar>
          </w:tcPr>
          <w:p w14:paraId="76F4D513">
            <w:pPr>
              <w:jc w:val="both"/>
              <w:rPr>
                <w:sz w:val="24"/>
                <w:szCs w:val="24"/>
              </w:rPr>
            </w:pPr>
            <w:r>
              <w:rPr>
                <w:sz w:val="24"/>
                <w:szCs w:val="24"/>
              </w:rPr>
              <w:t>104.31 ± 4.80</w:t>
            </w:r>
          </w:p>
        </w:tc>
        <w:tc>
          <w:tcPr>
            <w:tcW w:w="1920" w:type="dxa"/>
            <w:tcBorders>
              <w:top w:val="nil"/>
              <w:left w:val="nil"/>
              <w:bottom w:val="nil"/>
              <w:right w:val="nil"/>
            </w:tcBorders>
            <w:tcMar>
              <w:top w:w="100" w:type="dxa"/>
              <w:left w:w="100" w:type="dxa"/>
              <w:bottom w:w="100" w:type="dxa"/>
              <w:right w:w="100" w:type="dxa"/>
            </w:tcMar>
          </w:tcPr>
          <w:p w14:paraId="42CE2B47">
            <w:pPr>
              <w:jc w:val="both"/>
              <w:rPr>
                <w:sz w:val="24"/>
                <w:szCs w:val="24"/>
              </w:rPr>
            </w:pPr>
            <w:r>
              <w:rPr>
                <w:sz w:val="24"/>
                <w:szCs w:val="24"/>
              </w:rPr>
              <w:t>103.71 ± 6.00</w:t>
            </w:r>
          </w:p>
        </w:tc>
        <w:tc>
          <w:tcPr>
            <w:tcW w:w="1470" w:type="dxa"/>
            <w:tcBorders>
              <w:top w:val="nil"/>
              <w:left w:val="nil"/>
              <w:bottom w:val="nil"/>
              <w:right w:val="nil"/>
            </w:tcBorders>
            <w:tcMar>
              <w:top w:w="100" w:type="dxa"/>
              <w:left w:w="100" w:type="dxa"/>
              <w:bottom w:w="100" w:type="dxa"/>
              <w:right w:w="100" w:type="dxa"/>
            </w:tcMar>
          </w:tcPr>
          <w:p w14:paraId="320A1EB8">
            <w:pPr>
              <w:jc w:val="both"/>
              <w:rPr>
                <w:sz w:val="24"/>
                <w:szCs w:val="24"/>
              </w:rPr>
            </w:pPr>
            <w:r>
              <w:rPr>
                <w:sz w:val="24"/>
                <w:szCs w:val="24"/>
              </w:rPr>
              <w:t>0.614</w:t>
            </w:r>
          </w:p>
        </w:tc>
        <w:tc>
          <w:tcPr>
            <w:tcW w:w="1920" w:type="dxa"/>
            <w:tcBorders>
              <w:top w:val="nil"/>
              <w:left w:val="nil"/>
              <w:bottom w:val="nil"/>
              <w:right w:val="nil"/>
            </w:tcBorders>
            <w:tcMar>
              <w:top w:w="100" w:type="dxa"/>
              <w:left w:w="100" w:type="dxa"/>
              <w:bottom w:w="100" w:type="dxa"/>
              <w:right w:w="100" w:type="dxa"/>
            </w:tcMar>
          </w:tcPr>
          <w:p w14:paraId="6EC91CE6">
            <w:pPr>
              <w:jc w:val="both"/>
              <w:rPr>
                <w:sz w:val="24"/>
                <w:szCs w:val="24"/>
              </w:rPr>
            </w:pPr>
            <w:r>
              <w:rPr>
                <w:sz w:val="24"/>
                <w:szCs w:val="24"/>
              </w:rPr>
              <w:t>NS</w:t>
            </w:r>
          </w:p>
        </w:tc>
      </w:tr>
      <w:tr w14:paraId="0A4B0F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515" w:hRule="atLeast"/>
        </w:trPr>
        <w:tc>
          <w:tcPr>
            <w:tcW w:w="3330" w:type="dxa"/>
            <w:tcBorders>
              <w:top w:val="nil"/>
              <w:left w:val="nil"/>
              <w:bottom w:val="nil"/>
              <w:right w:val="nil"/>
            </w:tcBorders>
            <w:tcMar>
              <w:top w:w="100" w:type="dxa"/>
              <w:left w:w="100" w:type="dxa"/>
              <w:bottom w:w="100" w:type="dxa"/>
              <w:right w:w="100" w:type="dxa"/>
            </w:tcMar>
          </w:tcPr>
          <w:p w14:paraId="0FFE3B4D">
            <w:pPr>
              <w:jc w:val="both"/>
              <w:rPr>
                <w:sz w:val="24"/>
                <w:szCs w:val="24"/>
              </w:rPr>
            </w:pPr>
            <w:r>
              <w:rPr>
                <w:sz w:val="24"/>
                <w:szCs w:val="24"/>
              </w:rPr>
              <w:t>Bicarbonate (mmol/L)</w:t>
            </w:r>
          </w:p>
        </w:tc>
        <w:tc>
          <w:tcPr>
            <w:tcW w:w="2055" w:type="dxa"/>
            <w:tcBorders>
              <w:top w:val="nil"/>
              <w:left w:val="nil"/>
              <w:bottom w:val="nil"/>
              <w:right w:val="nil"/>
            </w:tcBorders>
            <w:tcMar>
              <w:top w:w="100" w:type="dxa"/>
              <w:left w:w="100" w:type="dxa"/>
              <w:bottom w:w="100" w:type="dxa"/>
              <w:right w:w="100" w:type="dxa"/>
            </w:tcMar>
          </w:tcPr>
          <w:p w14:paraId="07DACACD">
            <w:pPr>
              <w:jc w:val="both"/>
              <w:rPr>
                <w:sz w:val="24"/>
                <w:szCs w:val="24"/>
              </w:rPr>
            </w:pPr>
            <w:r>
              <w:rPr>
                <w:sz w:val="24"/>
                <w:szCs w:val="24"/>
              </w:rPr>
              <w:t>23.74 ± 1.64</w:t>
            </w:r>
          </w:p>
        </w:tc>
        <w:tc>
          <w:tcPr>
            <w:tcW w:w="1785" w:type="dxa"/>
            <w:tcBorders>
              <w:top w:val="nil"/>
              <w:left w:val="nil"/>
              <w:bottom w:val="nil"/>
              <w:right w:val="nil"/>
            </w:tcBorders>
            <w:tcMar>
              <w:top w:w="100" w:type="dxa"/>
              <w:left w:w="100" w:type="dxa"/>
              <w:bottom w:w="100" w:type="dxa"/>
              <w:right w:w="100" w:type="dxa"/>
            </w:tcMar>
          </w:tcPr>
          <w:p w14:paraId="11C9FFB4">
            <w:pPr>
              <w:jc w:val="both"/>
              <w:rPr>
                <w:sz w:val="24"/>
                <w:szCs w:val="24"/>
              </w:rPr>
            </w:pPr>
            <w:r>
              <w:rPr>
                <w:sz w:val="24"/>
                <w:szCs w:val="24"/>
              </w:rPr>
              <w:t>24.23 ± 1.69</w:t>
            </w:r>
          </w:p>
        </w:tc>
        <w:tc>
          <w:tcPr>
            <w:tcW w:w="1920" w:type="dxa"/>
            <w:tcBorders>
              <w:top w:val="nil"/>
              <w:left w:val="nil"/>
              <w:bottom w:val="nil"/>
              <w:right w:val="nil"/>
            </w:tcBorders>
            <w:tcMar>
              <w:top w:w="100" w:type="dxa"/>
              <w:left w:w="100" w:type="dxa"/>
              <w:bottom w:w="100" w:type="dxa"/>
              <w:right w:w="100" w:type="dxa"/>
            </w:tcMar>
          </w:tcPr>
          <w:p w14:paraId="06B08272">
            <w:pPr>
              <w:jc w:val="both"/>
              <w:rPr>
                <w:sz w:val="24"/>
                <w:szCs w:val="24"/>
              </w:rPr>
            </w:pPr>
            <w:r>
              <w:rPr>
                <w:sz w:val="24"/>
                <w:szCs w:val="24"/>
              </w:rPr>
              <w:t>24.38 ± 1.70</w:t>
            </w:r>
          </w:p>
        </w:tc>
        <w:tc>
          <w:tcPr>
            <w:tcW w:w="1470" w:type="dxa"/>
            <w:tcBorders>
              <w:top w:val="nil"/>
              <w:left w:val="nil"/>
              <w:bottom w:val="nil"/>
              <w:right w:val="nil"/>
            </w:tcBorders>
            <w:tcMar>
              <w:top w:w="100" w:type="dxa"/>
              <w:left w:w="100" w:type="dxa"/>
              <w:bottom w:w="100" w:type="dxa"/>
              <w:right w:w="100" w:type="dxa"/>
            </w:tcMar>
          </w:tcPr>
          <w:p w14:paraId="06F8E650">
            <w:pPr>
              <w:jc w:val="both"/>
              <w:rPr>
                <w:sz w:val="24"/>
                <w:szCs w:val="24"/>
              </w:rPr>
            </w:pPr>
            <w:r>
              <w:rPr>
                <w:sz w:val="24"/>
                <w:szCs w:val="24"/>
              </w:rPr>
              <w:t>0.418</w:t>
            </w:r>
          </w:p>
        </w:tc>
        <w:tc>
          <w:tcPr>
            <w:tcW w:w="1920" w:type="dxa"/>
            <w:tcBorders>
              <w:top w:val="nil"/>
              <w:left w:val="nil"/>
              <w:bottom w:val="nil"/>
              <w:right w:val="nil"/>
            </w:tcBorders>
            <w:tcMar>
              <w:top w:w="100" w:type="dxa"/>
              <w:left w:w="100" w:type="dxa"/>
              <w:bottom w:w="100" w:type="dxa"/>
              <w:right w:w="100" w:type="dxa"/>
            </w:tcMar>
          </w:tcPr>
          <w:p w14:paraId="267EE35B">
            <w:pPr>
              <w:jc w:val="both"/>
              <w:rPr>
                <w:sz w:val="24"/>
                <w:szCs w:val="24"/>
              </w:rPr>
            </w:pPr>
            <w:r>
              <w:rPr>
                <w:sz w:val="24"/>
                <w:szCs w:val="24"/>
              </w:rPr>
              <w:t>NS</w:t>
            </w:r>
          </w:p>
        </w:tc>
      </w:tr>
      <w:tr w14:paraId="349660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00" w:type="dxa"/>
            <w:left w:w="100" w:type="dxa"/>
            <w:bottom w:w="100" w:type="dxa"/>
            <w:right w:w="100" w:type="dxa"/>
          </w:tblCellMar>
        </w:tblPrEx>
        <w:trPr>
          <w:trHeight w:val="515" w:hRule="atLeast"/>
        </w:trPr>
        <w:tc>
          <w:tcPr>
            <w:tcW w:w="3330" w:type="dxa"/>
            <w:tcBorders>
              <w:top w:val="nil"/>
              <w:left w:val="nil"/>
              <w:bottom w:val="nil"/>
              <w:right w:val="nil"/>
            </w:tcBorders>
            <w:tcMar>
              <w:top w:w="100" w:type="dxa"/>
              <w:left w:w="100" w:type="dxa"/>
              <w:bottom w:w="100" w:type="dxa"/>
              <w:right w:w="100" w:type="dxa"/>
            </w:tcMar>
          </w:tcPr>
          <w:p w14:paraId="661FF027">
            <w:pPr>
              <w:jc w:val="both"/>
              <w:rPr>
                <w:sz w:val="24"/>
                <w:szCs w:val="24"/>
              </w:rPr>
            </w:pPr>
            <w:r>
              <w:rPr>
                <w:sz w:val="24"/>
                <w:szCs w:val="24"/>
              </w:rPr>
              <w:t>Uric acid (mmol/L)</w:t>
            </w:r>
          </w:p>
        </w:tc>
        <w:tc>
          <w:tcPr>
            <w:tcW w:w="2055" w:type="dxa"/>
            <w:tcBorders>
              <w:top w:val="nil"/>
              <w:left w:val="nil"/>
              <w:bottom w:val="nil"/>
              <w:right w:val="nil"/>
            </w:tcBorders>
            <w:tcMar>
              <w:top w:w="100" w:type="dxa"/>
              <w:left w:w="100" w:type="dxa"/>
              <w:bottom w:w="100" w:type="dxa"/>
              <w:right w:w="100" w:type="dxa"/>
            </w:tcMar>
          </w:tcPr>
          <w:p w14:paraId="09810CC7">
            <w:pPr>
              <w:jc w:val="both"/>
              <w:rPr>
                <w:sz w:val="24"/>
                <w:szCs w:val="24"/>
              </w:rPr>
            </w:pPr>
            <w:r>
              <w:rPr>
                <w:sz w:val="24"/>
                <w:szCs w:val="24"/>
              </w:rPr>
              <w:t>7.36 ± 0.41</w:t>
            </w:r>
          </w:p>
        </w:tc>
        <w:tc>
          <w:tcPr>
            <w:tcW w:w="1785" w:type="dxa"/>
            <w:tcBorders>
              <w:top w:val="nil"/>
              <w:left w:val="nil"/>
              <w:bottom w:val="nil"/>
              <w:right w:val="nil"/>
            </w:tcBorders>
            <w:tcMar>
              <w:top w:w="100" w:type="dxa"/>
              <w:left w:w="100" w:type="dxa"/>
              <w:bottom w:w="100" w:type="dxa"/>
              <w:right w:w="100" w:type="dxa"/>
            </w:tcMar>
          </w:tcPr>
          <w:p w14:paraId="3CFDDCE4">
            <w:pPr>
              <w:jc w:val="both"/>
              <w:rPr>
                <w:sz w:val="24"/>
                <w:szCs w:val="24"/>
              </w:rPr>
            </w:pPr>
            <w:r>
              <w:rPr>
                <w:sz w:val="24"/>
                <w:szCs w:val="24"/>
              </w:rPr>
              <w:t>7.31 ± 0.40</w:t>
            </w:r>
          </w:p>
        </w:tc>
        <w:tc>
          <w:tcPr>
            <w:tcW w:w="1920" w:type="dxa"/>
            <w:tcBorders>
              <w:top w:val="nil"/>
              <w:left w:val="nil"/>
              <w:bottom w:val="nil"/>
              <w:right w:val="nil"/>
            </w:tcBorders>
            <w:tcMar>
              <w:top w:w="100" w:type="dxa"/>
              <w:left w:w="100" w:type="dxa"/>
              <w:bottom w:w="100" w:type="dxa"/>
              <w:right w:w="100" w:type="dxa"/>
            </w:tcMar>
          </w:tcPr>
          <w:p w14:paraId="3C1160C1">
            <w:pPr>
              <w:jc w:val="both"/>
              <w:rPr>
                <w:sz w:val="24"/>
                <w:szCs w:val="24"/>
              </w:rPr>
            </w:pPr>
            <w:r>
              <w:rPr>
                <w:sz w:val="24"/>
                <w:szCs w:val="24"/>
              </w:rPr>
              <w:t>7.30 ± 0.39</w:t>
            </w:r>
          </w:p>
        </w:tc>
        <w:tc>
          <w:tcPr>
            <w:tcW w:w="1470" w:type="dxa"/>
            <w:tcBorders>
              <w:top w:val="nil"/>
              <w:left w:val="nil"/>
              <w:bottom w:val="nil"/>
              <w:right w:val="nil"/>
            </w:tcBorders>
            <w:tcMar>
              <w:top w:w="100" w:type="dxa"/>
              <w:left w:w="100" w:type="dxa"/>
              <w:bottom w:w="100" w:type="dxa"/>
              <w:right w:w="100" w:type="dxa"/>
            </w:tcMar>
          </w:tcPr>
          <w:p w14:paraId="0C58E668">
            <w:pPr>
              <w:jc w:val="both"/>
              <w:rPr>
                <w:sz w:val="24"/>
                <w:szCs w:val="24"/>
              </w:rPr>
            </w:pPr>
            <w:r>
              <w:rPr>
                <w:sz w:val="24"/>
                <w:szCs w:val="24"/>
              </w:rPr>
              <w:t>0.866</w:t>
            </w:r>
          </w:p>
        </w:tc>
        <w:tc>
          <w:tcPr>
            <w:tcW w:w="1920" w:type="dxa"/>
            <w:tcBorders>
              <w:top w:val="nil"/>
              <w:left w:val="nil"/>
              <w:bottom w:val="nil"/>
              <w:right w:val="nil"/>
            </w:tcBorders>
            <w:tcMar>
              <w:top w:w="100" w:type="dxa"/>
              <w:left w:w="100" w:type="dxa"/>
              <w:bottom w:w="100" w:type="dxa"/>
              <w:right w:w="100" w:type="dxa"/>
            </w:tcMar>
          </w:tcPr>
          <w:p w14:paraId="698DDD9B">
            <w:pPr>
              <w:jc w:val="both"/>
              <w:rPr>
                <w:sz w:val="24"/>
                <w:szCs w:val="24"/>
              </w:rPr>
            </w:pPr>
            <w:r>
              <w:rPr>
                <w:sz w:val="24"/>
                <w:szCs w:val="24"/>
              </w:rPr>
              <w:t>NS</w:t>
            </w:r>
          </w:p>
        </w:tc>
      </w:tr>
    </w:tbl>
    <w:p w14:paraId="67E9D853">
      <w:pPr>
        <w:spacing w:before="240" w:after="240"/>
        <w:jc w:val="both"/>
        <w:rPr>
          <w:sz w:val="24"/>
          <w:szCs w:val="24"/>
        </w:rPr>
      </w:pPr>
    </w:p>
    <w:p w14:paraId="4FA65ED9">
      <w:pPr>
        <w:spacing w:before="240" w:after="240"/>
        <w:jc w:val="both"/>
        <w:rPr>
          <w:sz w:val="24"/>
          <w:szCs w:val="24"/>
        </w:rPr>
      </w:pPr>
    </w:p>
    <w:p w14:paraId="4DDB4B34">
      <w:pPr>
        <w:jc w:val="both"/>
        <w:rPr>
          <w:b/>
          <w:bCs/>
          <w:sz w:val="24"/>
          <w:szCs w:val="24"/>
        </w:rPr>
      </w:pPr>
    </w:p>
    <w:p w14:paraId="32F6F5AE">
      <w:pPr>
        <w:jc w:val="both"/>
        <w:rPr>
          <w:b/>
          <w:bCs/>
          <w:sz w:val="24"/>
          <w:szCs w:val="24"/>
        </w:rPr>
      </w:pPr>
    </w:p>
    <w:p w14:paraId="27311688">
      <w:pPr>
        <w:rPr>
          <w:b/>
          <w:highlight w:val="yellow"/>
        </w:rPr>
      </w:pPr>
      <w:r>
        <w:rPr>
          <w:b/>
          <w:highlight w:val="yellow"/>
        </w:rPr>
        <w:t>Disclaimer (Artificial intelligence)</w:t>
      </w:r>
    </w:p>
    <w:p w14:paraId="437B02F2">
      <w:pPr>
        <w:rPr>
          <w:highlight w:val="yellow"/>
        </w:rPr>
      </w:pPr>
      <w:r>
        <w:rPr>
          <w:highlight w:val="yellow"/>
        </w:rPr>
        <w:t xml:space="preserve">Author(s) hereby declare that NO generative AI technologies such as Large Language Models (ChatGPT, COPILOT, etc.) and text-to-image generators have been used during the writing or editing of this manuscript. </w:t>
      </w:r>
    </w:p>
    <w:p w14:paraId="7019ADB3">
      <w:pPr>
        <w:jc w:val="both"/>
        <w:rPr>
          <w:b/>
          <w:bCs/>
          <w:sz w:val="24"/>
          <w:szCs w:val="24"/>
        </w:rPr>
      </w:pPr>
    </w:p>
    <w:p w14:paraId="392005EA">
      <w:pPr>
        <w:jc w:val="both"/>
        <w:rPr>
          <w:b/>
          <w:bCs/>
          <w:sz w:val="24"/>
          <w:szCs w:val="24"/>
        </w:rPr>
      </w:pPr>
    </w:p>
    <w:p w14:paraId="1292400F">
      <w:pPr>
        <w:jc w:val="both"/>
        <w:rPr>
          <w:b/>
          <w:bCs/>
          <w:sz w:val="24"/>
          <w:szCs w:val="24"/>
        </w:rPr>
        <w:sectPr>
          <w:pgSz w:w="15840" w:h="12240" w:orient="landscape"/>
          <w:pgMar w:top="1440" w:right="1440" w:bottom="1440" w:left="1440" w:header="720" w:footer="720" w:gutter="0"/>
          <w:cols w:space="720" w:num="1"/>
        </w:sectPr>
      </w:pPr>
    </w:p>
    <w:p w14:paraId="3E21BD73">
      <w:pPr>
        <w:jc w:val="both"/>
        <w:rPr>
          <w:b/>
          <w:bCs/>
          <w:sz w:val="24"/>
          <w:szCs w:val="24"/>
        </w:rPr>
      </w:pPr>
      <w:r>
        <w:rPr>
          <w:b/>
          <w:bCs/>
          <w:sz w:val="24"/>
          <w:szCs w:val="24"/>
        </w:rPr>
        <w:t>REFERENCE</w:t>
      </w:r>
    </w:p>
    <w:p w14:paraId="34D70092">
      <w:pPr>
        <w:numPr>
          <w:ilvl w:val="0"/>
          <w:numId w:val="1"/>
        </w:numPr>
        <w:spacing w:line="240" w:lineRule="auto"/>
        <w:jc w:val="both"/>
        <w:rPr>
          <w:sz w:val="24"/>
          <w:szCs w:val="24"/>
        </w:rPr>
      </w:pPr>
      <w:r>
        <w:rPr>
          <w:sz w:val="24"/>
          <w:szCs w:val="24"/>
        </w:rPr>
        <w:t xml:space="preserve">Ahmed, M. M., Saad, N. E., Abbas, S. M., El Azizi, T. M. S., &amp; El Sayed, I. (2024). Elevated uric acid in gestational diabetes and its risk on pregnancy outcomes. </w:t>
      </w:r>
      <w:r>
        <w:rPr>
          <w:i/>
          <w:iCs/>
          <w:sz w:val="24"/>
          <w:szCs w:val="24"/>
        </w:rPr>
        <w:t>SAGE Open Medicine, 12</w:t>
      </w:r>
      <w:r>
        <w:rPr>
          <w:sz w:val="24"/>
          <w:szCs w:val="24"/>
        </w:rPr>
        <w:t>, 20503121241241934. https://doi.org/10.1177/20503121241241934</w:t>
      </w:r>
    </w:p>
    <w:p w14:paraId="611B5673">
      <w:pPr>
        <w:spacing w:line="240" w:lineRule="auto"/>
        <w:ind w:left="720"/>
        <w:jc w:val="both"/>
        <w:rPr>
          <w:sz w:val="24"/>
          <w:szCs w:val="24"/>
        </w:rPr>
      </w:pPr>
    </w:p>
    <w:p w14:paraId="48FD1F64">
      <w:pPr>
        <w:numPr>
          <w:ilvl w:val="0"/>
          <w:numId w:val="1"/>
        </w:numPr>
        <w:spacing w:before="240" w:after="240" w:line="240" w:lineRule="auto"/>
        <w:jc w:val="both"/>
        <w:rPr>
          <w:sz w:val="24"/>
          <w:szCs w:val="24"/>
        </w:rPr>
      </w:pPr>
      <w:r>
        <w:rPr>
          <w:sz w:val="24"/>
          <w:szCs w:val="24"/>
        </w:rPr>
        <w:t xml:space="preserve">Arias-Sánchez, C., Pérez-Olmos, A., Reverte, V., Hernández, I., Cuevas, S., &amp; Llinás, M. T. (2025). Uric acid and preeclampsia: Pathophysiological interactions and the emerging role of inflammasome activation. </w:t>
      </w:r>
      <w:r>
        <w:rPr>
          <w:i/>
          <w:iCs/>
          <w:sz w:val="24"/>
          <w:szCs w:val="24"/>
        </w:rPr>
        <w:t>Antioxidants, 14</w:t>
      </w:r>
      <w:r>
        <w:rPr>
          <w:sz w:val="24"/>
          <w:szCs w:val="24"/>
        </w:rPr>
        <w:t>(8), 928. https://doi.org/10.3390/antiox14080928</w:t>
      </w:r>
    </w:p>
    <w:p w14:paraId="4D6E6D64">
      <w:pPr>
        <w:spacing w:before="240" w:after="240" w:line="240" w:lineRule="auto"/>
        <w:ind w:left="720"/>
        <w:jc w:val="both"/>
        <w:rPr>
          <w:sz w:val="24"/>
          <w:szCs w:val="24"/>
        </w:rPr>
      </w:pPr>
    </w:p>
    <w:p w14:paraId="61D33F4D">
      <w:pPr>
        <w:numPr>
          <w:ilvl w:val="0"/>
          <w:numId w:val="1"/>
        </w:numPr>
        <w:spacing w:line="240" w:lineRule="auto"/>
        <w:jc w:val="both"/>
        <w:rPr>
          <w:sz w:val="24"/>
          <w:szCs w:val="24"/>
        </w:rPr>
      </w:pPr>
      <w:r>
        <w:rPr>
          <w:sz w:val="24"/>
          <w:szCs w:val="24"/>
        </w:rPr>
        <w:t xml:space="preserve">Cheung, K. L., &amp; Lafayette, R. A. (2013). Renal physiology of pregnancy. </w:t>
      </w:r>
      <w:r>
        <w:rPr>
          <w:i/>
          <w:iCs/>
          <w:sz w:val="24"/>
          <w:szCs w:val="24"/>
        </w:rPr>
        <w:t>Advances in Chronic Kidney Disease, 20</w:t>
      </w:r>
      <w:r>
        <w:rPr>
          <w:sz w:val="24"/>
          <w:szCs w:val="24"/>
        </w:rPr>
        <w:t>(3), 209–214.</w:t>
      </w:r>
      <w:r>
        <w:fldChar w:fldCharType="begin"/>
      </w:r>
      <w:r>
        <w:instrText xml:space="preserve"> HYPERLINK "https://doi.org/10.1053/j.ackd.2013.01.012" \h </w:instrText>
      </w:r>
      <w:r>
        <w:fldChar w:fldCharType="separate"/>
      </w:r>
      <w:r>
        <w:rPr>
          <w:sz w:val="24"/>
          <w:szCs w:val="24"/>
          <w:u w:val="single"/>
        </w:rPr>
        <w:t xml:space="preserve"> </w:t>
      </w:r>
      <w:r>
        <w:rPr>
          <w:sz w:val="24"/>
          <w:szCs w:val="24"/>
          <w:u w:val="single"/>
        </w:rPr>
        <w:fldChar w:fldCharType="end"/>
      </w:r>
      <w:r>
        <w:fldChar w:fldCharType="begin"/>
      </w:r>
      <w:r>
        <w:instrText xml:space="preserve"> HYPERLINK "https://doi.org/10.1053/j.ackd.2013.01.012" \h </w:instrText>
      </w:r>
      <w:r>
        <w:fldChar w:fldCharType="separate"/>
      </w:r>
      <w:r>
        <w:rPr>
          <w:sz w:val="24"/>
          <w:szCs w:val="24"/>
          <w:u w:val="single"/>
        </w:rPr>
        <w:t>https://doi.org/10.1053/j.ackd.2013.01.012</w:t>
      </w:r>
      <w:r>
        <w:rPr>
          <w:sz w:val="24"/>
          <w:szCs w:val="24"/>
          <w:u w:val="single"/>
        </w:rPr>
        <w:fldChar w:fldCharType="end"/>
      </w:r>
    </w:p>
    <w:p w14:paraId="7AD5A2D4">
      <w:pPr>
        <w:spacing w:line="240" w:lineRule="auto"/>
        <w:ind w:left="720"/>
        <w:jc w:val="both"/>
        <w:rPr>
          <w:sz w:val="24"/>
          <w:szCs w:val="24"/>
          <w:u w:val="single"/>
        </w:rPr>
      </w:pPr>
    </w:p>
    <w:p w14:paraId="5DFAEDF5">
      <w:pPr>
        <w:numPr>
          <w:ilvl w:val="0"/>
          <w:numId w:val="1"/>
        </w:numPr>
        <w:spacing w:line="240" w:lineRule="auto"/>
        <w:jc w:val="both"/>
        <w:rPr>
          <w:sz w:val="24"/>
          <w:szCs w:val="24"/>
        </w:rPr>
      </w:pPr>
      <w:r>
        <w:rPr>
          <w:sz w:val="24"/>
          <w:szCs w:val="24"/>
        </w:rPr>
        <w:t>Corominas AI, Medina Y, Balconi S, Casale R, Farina M, Martínez N and Damiano AE (2022) Assessing the Role of Uric Acid as a Predictor of Preeclampsia. Front. Physiol. 12:785219. doi: 10.3389/fphys.2021.785219</w:t>
      </w:r>
    </w:p>
    <w:p w14:paraId="678912EA">
      <w:pPr>
        <w:spacing w:line="240" w:lineRule="auto"/>
        <w:ind w:left="720"/>
        <w:jc w:val="both"/>
        <w:rPr>
          <w:sz w:val="24"/>
          <w:szCs w:val="24"/>
        </w:rPr>
      </w:pPr>
    </w:p>
    <w:p w14:paraId="20726176">
      <w:pPr>
        <w:numPr>
          <w:ilvl w:val="0"/>
          <w:numId w:val="1"/>
        </w:numPr>
        <w:spacing w:before="240" w:after="240" w:line="240" w:lineRule="auto"/>
        <w:jc w:val="both"/>
        <w:rPr>
          <w:sz w:val="24"/>
          <w:szCs w:val="24"/>
        </w:rPr>
      </w:pPr>
      <w:r>
        <w:rPr>
          <w:sz w:val="24"/>
          <w:szCs w:val="24"/>
        </w:rPr>
        <w:t xml:space="preserve">Dines, V., Suvakov, S., Kattah, A., Vermunt, J., Narang, K., Jayachandran, M., Abou Hassan, C., Norby, A. M., &amp; Garovic, V. D. (2023). </w:t>
      </w:r>
      <w:r>
        <w:rPr>
          <w:i/>
          <w:iCs/>
          <w:sz w:val="24"/>
          <w:szCs w:val="24"/>
        </w:rPr>
        <w:t>Preeclampsia and the kidney: Pathophysiology and clinical implications</w:t>
      </w:r>
      <w:r>
        <w:rPr>
          <w:sz w:val="24"/>
          <w:szCs w:val="24"/>
        </w:rPr>
        <w:t xml:space="preserve">. </w:t>
      </w:r>
      <w:r>
        <w:rPr>
          <w:i/>
          <w:iCs/>
          <w:sz w:val="24"/>
          <w:szCs w:val="24"/>
        </w:rPr>
        <w:t>Comprehensive Physiology, 13</w:t>
      </w:r>
      <w:r>
        <w:rPr>
          <w:sz w:val="24"/>
          <w:szCs w:val="24"/>
        </w:rPr>
        <w:t>(1), 4231–4267.</w:t>
      </w:r>
      <w:r>
        <w:fldChar w:fldCharType="begin"/>
      </w:r>
      <w:r>
        <w:instrText xml:space="preserve"> HYPERLINK "https://doi.org/10.1002/j.2040-4603.2023.tb00249.x" \h </w:instrText>
      </w:r>
      <w:r>
        <w:fldChar w:fldCharType="separate"/>
      </w:r>
      <w:r>
        <w:rPr>
          <w:sz w:val="24"/>
          <w:szCs w:val="24"/>
          <w:u w:val="single"/>
        </w:rPr>
        <w:t xml:space="preserve"> </w:t>
      </w:r>
      <w:r>
        <w:rPr>
          <w:sz w:val="24"/>
          <w:szCs w:val="24"/>
          <w:u w:val="single"/>
        </w:rPr>
        <w:fldChar w:fldCharType="end"/>
      </w:r>
      <w:r>
        <w:fldChar w:fldCharType="begin"/>
      </w:r>
      <w:r>
        <w:instrText xml:space="preserve"> HYPERLINK "https://doi.org/10.1002/j.2040-4603.2023.tb00249.x" \h </w:instrText>
      </w:r>
      <w:r>
        <w:fldChar w:fldCharType="separate"/>
      </w:r>
      <w:r>
        <w:rPr>
          <w:sz w:val="24"/>
          <w:szCs w:val="24"/>
          <w:u w:val="single"/>
        </w:rPr>
        <w:t>https://doi.org/10.1002/j.2040-4603.2023.tb00249.x</w:t>
      </w:r>
      <w:r>
        <w:rPr>
          <w:sz w:val="24"/>
          <w:szCs w:val="24"/>
          <w:u w:val="single"/>
        </w:rPr>
        <w:fldChar w:fldCharType="end"/>
      </w:r>
    </w:p>
    <w:p w14:paraId="360B1B4B">
      <w:pPr>
        <w:spacing w:before="240" w:after="240" w:line="240" w:lineRule="auto"/>
        <w:ind w:left="720"/>
        <w:jc w:val="both"/>
        <w:rPr>
          <w:sz w:val="24"/>
          <w:szCs w:val="24"/>
          <w:u w:val="single"/>
        </w:rPr>
      </w:pPr>
    </w:p>
    <w:p w14:paraId="670917D9">
      <w:pPr>
        <w:numPr>
          <w:ilvl w:val="0"/>
          <w:numId w:val="1"/>
        </w:numPr>
        <w:spacing w:before="240" w:after="240" w:line="240" w:lineRule="auto"/>
        <w:jc w:val="both"/>
        <w:rPr>
          <w:sz w:val="24"/>
          <w:szCs w:val="24"/>
        </w:rPr>
      </w:pPr>
      <w:r>
        <w:rPr>
          <w:sz w:val="24"/>
          <w:szCs w:val="24"/>
        </w:rPr>
        <w:t xml:space="preserve">Dong, L., Li, W., Niu, X., Luan, L., &amp; Hui, S. (2025). Correlation of uric acid and lipid levels with preeclampsia and final pregnancy outcome in late pregnancy. </w:t>
      </w:r>
      <w:r>
        <w:rPr>
          <w:i/>
          <w:iCs/>
          <w:sz w:val="24"/>
          <w:szCs w:val="24"/>
        </w:rPr>
        <w:t>American Journal of Translational Research, 17</w:t>
      </w:r>
      <w:r>
        <w:rPr>
          <w:sz w:val="24"/>
          <w:szCs w:val="24"/>
        </w:rPr>
        <w:t>(4), 2800–2808.</w:t>
      </w:r>
      <w:r>
        <w:fldChar w:fldCharType="begin"/>
      </w:r>
      <w:r>
        <w:instrText xml:space="preserve"> HYPERLINK "https://doi.org/10.62347/HBLW4532" \h </w:instrText>
      </w:r>
      <w:r>
        <w:fldChar w:fldCharType="separate"/>
      </w:r>
      <w:r>
        <w:rPr>
          <w:sz w:val="24"/>
          <w:szCs w:val="24"/>
          <w:u w:val="single"/>
        </w:rPr>
        <w:t xml:space="preserve"> </w:t>
      </w:r>
      <w:r>
        <w:rPr>
          <w:sz w:val="24"/>
          <w:szCs w:val="24"/>
          <w:u w:val="single"/>
        </w:rPr>
        <w:fldChar w:fldCharType="end"/>
      </w:r>
      <w:r>
        <w:fldChar w:fldCharType="begin"/>
      </w:r>
      <w:r>
        <w:instrText xml:space="preserve"> HYPERLINK "https://doi.org/10.62347/HBLW4532" \h </w:instrText>
      </w:r>
      <w:r>
        <w:fldChar w:fldCharType="separate"/>
      </w:r>
      <w:r>
        <w:rPr>
          <w:sz w:val="24"/>
          <w:szCs w:val="24"/>
          <w:u w:val="single"/>
        </w:rPr>
        <w:t>https://doi.org/10.62347/HBLW4532</w:t>
      </w:r>
      <w:r>
        <w:rPr>
          <w:sz w:val="24"/>
          <w:szCs w:val="24"/>
          <w:u w:val="single"/>
        </w:rPr>
        <w:fldChar w:fldCharType="end"/>
      </w:r>
    </w:p>
    <w:p w14:paraId="5587B0F3">
      <w:pPr>
        <w:spacing w:before="240" w:after="240" w:line="240" w:lineRule="auto"/>
        <w:ind w:left="720"/>
        <w:jc w:val="both"/>
        <w:rPr>
          <w:sz w:val="24"/>
          <w:szCs w:val="24"/>
          <w:u w:val="single"/>
        </w:rPr>
      </w:pPr>
    </w:p>
    <w:p w14:paraId="1273172A">
      <w:pPr>
        <w:numPr>
          <w:ilvl w:val="0"/>
          <w:numId w:val="1"/>
        </w:numPr>
        <w:spacing w:line="240" w:lineRule="auto"/>
        <w:jc w:val="both"/>
        <w:rPr>
          <w:sz w:val="24"/>
          <w:szCs w:val="24"/>
        </w:rPr>
      </w:pPr>
      <w:r>
        <w:rPr>
          <w:sz w:val="24"/>
          <w:szCs w:val="24"/>
        </w:rPr>
        <w:t xml:space="preserve">Du, L., Zong, Y., Li, H., Wang, Q., Xie, L., Yang, B., Pang, Y., Zhang, C., Zhong, Z., &amp; Gao, J. (2024). </w:t>
      </w:r>
      <w:r>
        <w:rPr>
          <w:i/>
          <w:iCs/>
          <w:sz w:val="24"/>
          <w:szCs w:val="24"/>
        </w:rPr>
        <w:t>Hyperuricemia and its related diseases: mechanisms and advances in therapy</w:t>
      </w:r>
      <w:r>
        <w:rPr>
          <w:sz w:val="24"/>
          <w:szCs w:val="24"/>
        </w:rPr>
        <w:t>. Signal Transduction and Targeted Therapy, 9(1), 212.</w:t>
      </w:r>
      <w:r>
        <w:fldChar w:fldCharType="begin"/>
      </w:r>
      <w:r>
        <w:instrText xml:space="preserve"> HYPERLINK "https://doi.org/10.1038/s41392-024-01916-y" \h </w:instrText>
      </w:r>
      <w:r>
        <w:fldChar w:fldCharType="separate"/>
      </w:r>
      <w:r>
        <w:rPr>
          <w:sz w:val="24"/>
          <w:szCs w:val="24"/>
          <w:u w:val="single"/>
        </w:rPr>
        <w:t xml:space="preserve"> </w:t>
      </w:r>
      <w:r>
        <w:rPr>
          <w:sz w:val="24"/>
          <w:szCs w:val="24"/>
          <w:u w:val="single"/>
        </w:rPr>
        <w:fldChar w:fldCharType="end"/>
      </w:r>
      <w:r>
        <w:fldChar w:fldCharType="begin"/>
      </w:r>
      <w:r>
        <w:instrText xml:space="preserve"> HYPERLINK "https://doi.org/10.1038/s41392-024-01916-y" \h </w:instrText>
      </w:r>
      <w:r>
        <w:fldChar w:fldCharType="separate"/>
      </w:r>
      <w:r>
        <w:rPr>
          <w:sz w:val="24"/>
          <w:szCs w:val="24"/>
          <w:u w:val="single"/>
        </w:rPr>
        <w:t>https://doi.org/10.1038/s41392-024-01916-y</w:t>
      </w:r>
      <w:r>
        <w:rPr>
          <w:sz w:val="24"/>
          <w:szCs w:val="24"/>
          <w:u w:val="single"/>
        </w:rPr>
        <w:fldChar w:fldCharType="end"/>
      </w:r>
    </w:p>
    <w:p w14:paraId="533864FE">
      <w:pPr>
        <w:spacing w:line="240" w:lineRule="auto"/>
        <w:jc w:val="both"/>
        <w:rPr>
          <w:sz w:val="24"/>
          <w:szCs w:val="24"/>
        </w:rPr>
      </w:pPr>
    </w:p>
    <w:p w14:paraId="71D7E37F">
      <w:pPr>
        <w:numPr>
          <w:ilvl w:val="0"/>
          <w:numId w:val="1"/>
        </w:numPr>
        <w:spacing w:line="240" w:lineRule="auto"/>
        <w:jc w:val="both"/>
        <w:rPr>
          <w:sz w:val="24"/>
          <w:szCs w:val="24"/>
        </w:rPr>
      </w:pPr>
      <w:r>
        <w:rPr>
          <w:sz w:val="24"/>
          <w:szCs w:val="24"/>
        </w:rPr>
        <w:t xml:space="preserve">Gao, Y., Jia, J., Liu, X., Guo, S., &amp; Ming, L. (2021). </w:t>
      </w:r>
      <w:r>
        <w:rPr>
          <w:i/>
          <w:iCs/>
          <w:sz w:val="24"/>
          <w:szCs w:val="24"/>
        </w:rPr>
        <w:t>Trimester-specific reference intervals of serum urea, creatinine, and uric acid among healthy pregnant women in Zhengzhou, China</w:t>
      </w:r>
      <w:r>
        <w:rPr>
          <w:sz w:val="24"/>
          <w:szCs w:val="24"/>
        </w:rPr>
        <w:t>. Laboratory Medicine, 52(3), 267–272. https://doi.org/10.1093/labmed/lmaa088</w:t>
      </w:r>
    </w:p>
    <w:p w14:paraId="296F8F9E">
      <w:pPr>
        <w:spacing w:line="240" w:lineRule="auto"/>
        <w:ind w:left="720"/>
        <w:jc w:val="both"/>
        <w:rPr>
          <w:sz w:val="24"/>
          <w:szCs w:val="24"/>
        </w:rPr>
      </w:pPr>
    </w:p>
    <w:p w14:paraId="63B2F0FB">
      <w:pPr>
        <w:numPr>
          <w:ilvl w:val="0"/>
          <w:numId w:val="1"/>
        </w:numPr>
        <w:spacing w:before="240" w:after="240" w:line="240" w:lineRule="auto"/>
        <w:jc w:val="both"/>
        <w:rPr>
          <w:sz w:val="24"/>
          <w:szCs w:val="24"/>
        </w:rPr>
      </w:pPr>
      <w:r>
        <w:rPr>
          <w:sz w:val="24"/>
          <w:szCs w:val="24"/>
        </w:rPr>
        <w:t xml:space="preserve">Gounden, V., Bhatt, H., &amp; Jialal, I. (2024). Renal function tests. In </w:t>
      </w:r>
      <w:r>
        <w:rPr>
          <w:i/>
          <w:iCs/>
          <w:sz w:val="24"/>
          <w:szCs w:val="24"/>
        </w:rPr>
        <w:t>StatPearls</w:t>
      </w:r>
      <w:r>
        <w:rPr>
          <w:sz w:val="24"/>
          <w:szCs w:val="24"/>
        </w:rPr>
        <w:t>. StatPearls Publishing.</w:t>
      </w:r>
      <w:r>
        <w:fldChar w:fldCharType="begin"/>
      </w:r>
      <w:r>
        <w:instrText xml:space="preserve"> HYPERLINK "https://www.ncbi.nlm.nih.gov/books/NBK507821/" \h </w:instrText>
      </w:r>
      <w:r>
        <w:fldChar w:fldCharType="separate"/>
      </w:r>
      <w:r>
        <w:rPr>
          <w:sz w:val="24"/>
          <w:szCs w:val="24"/>
          <w:u w:val="single"/>
        </w:rPr>
        <w:t xml:space="preserve"> </w:t>
      </w:r>
      <w:r>
        <w:rPr>
          <w:sz w:val="24"/>
          <w:szCs w:val="24"/>
          <w:u w:val="single"/>
        </w:rPr>
        <w:fldChar w:fldCharType="end"/>
      </w:r>
      <w:r>
        <w:fldChar w:fldCharType="begin"/>
      </w:r>
      <w:r>
        <w:instrText xml:space="preserve"> HYPERLINK "https://www.ncbi.nlm.nih.gov/books/NBK507821/" \h </w:instrText>
      </w:r>
      <w:r>
        <w:fldChar w:fldCharType="separate"/>
      </w:r>
      <w:r>
        <w:rPr>
          <w:sz w:val="24"/>
          <w:szCs w:val="24"/>
          <w:u w:val="single"/>
        </w:rPr>
        <w:t>https://www.ncbi.nlm.nih.gov/books/NBK507821/</w:t>
      </w:r>
      <w:r>
        <w:rPr>
          <w:sz w:val="24"/>
          <w:szCs w:val="24"/>
          <w:u w:val="single"/>
        </w:rPr>
        <w:fldChar w:fldCharType="end"/>
      </w:r>
    </w:p>
    <w:p w14:paraId="02D5B64E">
      <w:pPr>
        <w:spacing w:before="240" w:after="240" w:line="240" w:lineRule="auto"/>
        <w:ind w:left="720"/>
        <w:jc w:val="both"/>
        <w:rPr>
          <w:sz w:val="24"/>
          <w:szCs w:val="24"/>
          <w:u w:val="single"/>
        </w:rPr>
      </w:pPr>
    </w:p>
    <w:p w14:paraId="00D267AF">
      <w:pPr>
        <w:numPr>
          <w:ilvl w:val="0"/>
          <w:numId w:val="1"/>
        </w:numPr>
        <w:spacing w:line="240" w:lineRule="auto"/>
        <w:jc w:val="both"/>
        <w:rPr>
          <w:sz w:val="24"/>
          <w:szCs w:val="24"/>
        </w:rPr>
      </w:pPr>
      <w:r>
        <w:rPr>
          <w:sz w:val="24"/>
          <w:szCs w:val="24"/>
        </w:rPr>
        <w:t xml:space="preserve">Han, L., Liu, L., Meng, L., Su, S., Lu, Y., Xu, Z., Tang, G., Wang, J., Zhu, H., Zhang, Y., Zhai, Y., &amp; Cao, Z. (2023). </w:t>
      </w:r>
      <w:r>
        <w:rPr>
          <w:i/>
          <w:iCs/>
          <w:sz w:val="24"/>
          <w:szCs w:val="24"/>
        </w:rPr>
        <w:t>Establishment of trimester-specific reference intervals of renal function tests and their predictive values in pregnant complications and perinatal outcomes: A population-based cohort study</w:t>
      </w:r>
      <w:r>
        <w:rPr>
          <w:sz w:val="24"/>
          <w:szCs w:val="24"/>
        </w:rPr>
        <w:t>. Practical Laboratory Medicine, 37, e00342.</w:t>
      </w:r>
      <w:r>
        <w:fldChar w:fldCharType="begin"/>
      </w:r>
      <w:r>
        <w:instrText xml:space="preserve"> HYPERLINK "https://doi.org/10.1016/j.plabm.2023.e00342" \h </w:instrText>
      </w:r>
      <w:r>
        <w:fldChar w:fldCharType="separate"/>
      </w:r>
      <w:r>
        <w:rPr>
          <w:sz w:val="24"/>
          <w:szCs w:val="24"/>
        </w:rPr>
        <w:t xml:space="preserve"> </w:t>
      </w:r>
      <w:r>
        <w:rPr>
          <w:sz w:val="24"/>
          <w:szCs w:val="24"/>
        </w:rPr>
        <w:fldChar w:fldCharType="end"/>
      </w:r>
      <w:r>
        <w:fldChar w:fldCharType="begin"/>
      </w:r>
      <w:r>
        <w:instrText xml:space="preserve"> HYPERLINK "https://doi.org/10.1016/j.plabm.2023.e00342" \h </w:instrText>
      </w:r>
      <w:r>
        <w:fldChar w:fldCharType="separate"/>
      </w:r>
      <w:r>
        <w:rPr>
          <w:sz w:val="24"/>
          <w:szCs w:val="24"/>
          <w:u w:val="single"/>
        </w:rPr>
        <w:t>https://doi.org/10.1016/j.plabm.2023.e00342</w:t>
      </w:r>
      <w:r>
        <w:rPr>
          <w:sz w:val="24"/>
          <w:szCs w:val="24"/>
          <w:u w:val="single"/>
        </w:rPr>
        <w:fldChar w:fldCharType="end"/>
      </w:r>
    </w:p>
    <w:p w14:paraId="35B0A74C">
      <w:pPr>
        <w:spacing w:line="240" w:lineRule="auto"/>
        <w:ind w:left="720"/>
        <w:jc w:val="both"/>
        <w:rPr>
          <w:sz w:val="24"/>
          <w:szCs w:val="24"/>
        </w:rPr>
      </w:pPr>
    </w:p>
    <w:p w14:paraId="4C5355C7">
      <w:pPr>
        <w:numPr>
          <w:ilvl w:val="0"/>
          <w:numId w:val="1"/>
        </w:numPr>
        <w:spacing w:line="240" w:lineRule="auto"/>
        <w:jc w:val="both"/>
        <w:rPr>
          <w:sz w:val="24"/>
          <w:szCs w:val="24"/>
        </w:rPr>
      </w:pPr>
      <w:r>
        <w:rPr>
          <w:sz w:val="24"/>
          <w:szCs w:val="24"/>
        </w:rPr>
        <w:t xml:space="preserve">Harel, Z., McArthur, E., Hladunewich, M., Dirk, J. S., Wald, R., Garg, A. X., &amp; Ray, J. G. (2019). </w:t>
      </w:r>
      <w:r>
        <w:rPr>
          <w:i/>
          <w:iCs/>
          <w:sz w:val="24"/>
          <w:szCs w:val="24"/>
        </w:rPr>
        <w:t>Serum creatinine levels before, during, and after pregnancy</w:t>
      </w:r>
      <w:r>
        <w:rPr>
          <w:sz w:val="24"/>
          <w:szCs w:val="24"/>
        </w:rPr>
        <w:t>. JAMA, 321(2), 205–207.</w:t>
      </w:r>
      <w:r>
        <w:fldChar w:fldCharType="begin"/>
      </w:r>
      <w:r>
        <w:instrText xml:space="preserve"> HYPERLINK "https://doi.org/10.1001/jama.2018.17948" \h </w:instrText>
      </w:r>
      <w:r>
        <w:fldChar w:fldCharType="separate"/>
      </w:r>
      <w:r>
        <w:rPr>
          <w:sz w:val="24"/>
          <w:szCs w:val="24"/>
        </w:rPr>
        <w:t xml:space="preserve"> </w:t>
      </w:r>
      <w:r>
        <w:rPr>
          <w:sz w:val="24"/>
          <w:szCs w:val="24"/>
        </w:rPr>
        <w:fldChar w:fldCharType="end"/>
      </w:r>
      <w:r>
        <w:fldChar w:fldCharType="begin"/>
      </w:r>
      <w:r>
        <w:instrText xml:space="preserve"> HYPERLINK "https://doi.org/10.1001/jama.2018.17948" \h </w:instrText>
      </w:r>
      <w:r>
        <w:fldChar w:fldCharType="separate"/>
      </w:r>
      <w:r>
        <w:rPr>
          <w:sz w:val="24"/>
          <w:szCs w:val="24"/>
          <w:u w:val="single"/>
        </w:rPr>
        <w:t>https://doi.org/10.1001/jama.2018.17948</w:t>
      </w:r>
      <w:r>
        <w:rPr>
          <w:sz w:val="24"/>
          <w:szCs w:val="24"/>
          <w:u w:val="single"/>
        </w:rPr>
        <w:fldChar w:fldCharType="end"/>
      </w:r>
    </w:p>
    <w:p w14:paraId="3D97C8E2">
      <w:pPr>
        <w:spacing w:line="240" w:lineRule="auto"/>
        <w:ind w:left="720"/>
        <w:jc w:val="both"/>
        <w:rPr>
          <w:sz w:val="24"/>
          <w:szCs w:val="24"/>
        </w:rPr>
      </w:pPr>
    </w:p>
    <w:p w14:paraId="0F5E6C7B">
      <w:pPr>
        <w:numPr>
          <w:ilvl w:val="0"/>
          <w:numId w:val="1"/>
        </w:numPr>
        <w:spacing w:line="240" w:lineRule="auto"/>
        <w:jc w:val="both"/>
        <w:rPr>
          <w:sz w:val="24"/>
          <w:szCs w:val="24"/>
        </w:rPr>
      </w:pPr>
      <w:r>
        <w:rPr>
          <w:sz w:val="24"/>
          <w:szCs w:val="24"/>
        </w:rPr>
        <w:t xml:space="preserve">Huang, Z., Hong, Q., Zhang, X., Xiao, W., Wang, L., Cui, S., Feng, Z., Lv, Y., Cai, G., Chen, X., &amp; Wu, D. (2017). </w:t>
      </w:r>
      <w:r>
        <w:rPr>
          <w:i/>
          <w:iCs/>
          <w:sz w:val="24"/>
          <w:szCs w:val="24"/>
        </w:rPr>
        <w:t>Aldose reductase mediates endothelial cell dysfunction induced by high uric acid concentrations</w:t>
      </w:r>
      <w:r>
        <w:rPr>
          <w:sz w:val="24"/>
          <w:szCs w:val="24"/>
        </w:rPr>
        <w:t>. Cell Communication and Signaling, 15, 3.</w:t>
      </w:r>
      <w:r>
        <w:fldChar w:fldCharType="begin"/>
      </w:r>
      <w:r>
        <w:instrText xml:space="preserve"> HYPERLINK "https://doi.org/10.1186/s12964-016-0158-6" \h </w:instrText>
      </w:r>
      <w:r>
        <w:fldChar w:fldCharType="separate"/>
      </w:r>
      <w:r>
        <w:rPr>
          <w:sz w:val="24"/>
          <w:szCs w:val="24"/>
          <w:u w:val="single"/>
        </w:rPr>
        <w:t xml:space="preserve"> </w:t>
      </w:r>
      <w:r>
        <w:rPr>
          <w:sz w:val="24"/>
          <w:szCs w:val="24"/>
          <w:u w:val="single"/>
        </w:rPr>
        <w:fldChar w:fldCharType="end"/>
      </w:r>
      <w:r>
        <w:fldChar w:fldCharType="begin"/>
      </w:r>
      <w:r>
        <w:instrText xml:space="preserve"> HYPERLINK "https://doi.org/10.1186/s12964-016-0158-6" \h </w:instrText>
      </w:r>
      <w:r>
        <w:fldChar w:fldCharType="separate"/>
      </w:r>
      <w:r>
        <w:rPr>
          <w:sz w:val="24"/>
          <w:szCs w:val="24"/>
          <w:u w:val="single"/>
        </w:rPr>
        <w:t>https://doi.org/10.1186/s12964-016-0158-6</w:t>
      </w:r>
      <w:r>
        <w:rPr>
          <w:sz w:val="24"/>
          <w:szCs w:val="24"/>
          <w:u w:val="single"/>
        </w:rPr>
        <w:fldChar w:fldCharType="end"/>
      </w:r>
    </w:p>
    <w:p w14:paraId="1FFE36A0">
      <w:pPr>
        <w:spacing w:line="240" w:lineRule="auto"/>
        <w:ind w:left="720"/>
        <w:jc w:val="both"/>
        <w:rPr>
          <w:sz w:val="24"/>
          <w:szCs w:val="24"/>
        </w:rPr>
      </w:pPr>
    </w:p>
    <w:p w14:paraId="7EEFC8B2">
      <w:pPr>
        <w:numPr>
          <w:ilvl w:val="0"/>
          <w:numId w:val="1"/>
        </w:numPr>
        <w:spacing w:line="240" w:lineRule="auto"/>
        <w:jc w:val="both"/>
        <w:rPr>
          <w:sz w:val="24"/>
          <w:szCs w:val="24"/>
        </w:rPr>
      </w:pPr>
      <w:r>
        <w:rPr>
          <w:sz w:val="24"/>
          <w:szCs w:val="24"/>
        </w:rPr>
        <w:t xml:space="preserve">Lin, C.C., Chen, T.Y., Li, C.I., Liu, C.S., Lin, C.H., Wang, M.C., Yang, S.Y., &amp; Li, T.C. (2021). Renal markers and risks of allcause and cardiovascular mortality from the Taichung community based cohort study. </w:t>
      </w:r>
      <w:r>
        <w:rPr>
          <w:i/>
          <w:iCs/>
          <w:sz w:val="24"/>
          <w:szCs w:val="24"/>
        </w:rPr>
        <w:t>Scientific Reports, 11</w:t>
      </w:r>
      <w:r>
        <w:rPr>
          <w:sz w:val="24"/>
          <w:szCs w:val="24"/>
        </w:rPr>
        <w:t>, 14143. https://doi.org/10.1038/s41598021936275</w:t>
      </w:r>
    </w:p>
    <w:p w14:paraId="7D412CD6">
      <w:pPr>
        <w:spacing w:line="240" w:lineRule="auto"/>
        <w:ind w:left="720"/>
        <w:jc w:val="both"/>
        <w:rPr>
          <w:sz w:val="24"/>
          <w:szCs w:val="24"/>
        </w:rPr>
      </w:pPr>
    </w:p>
    <w:p w14:paraId="333FCC39">
      <w:pPr>
        <w:numPr>
          <w:ilvl w:val="0"/>
          <w:numId w:val="1"/>
        </w:numPr>
        <w:spacing w:before="240" w:after="240" w:line="240" w:lineRule="auto"/>
        <w:jc w:val="both"/>
        <w:rPr>
          <w:sz w:val="24"/>
          <w:szCs w:val="24"/>
        </w:rPr>
      </w:pPr>
      <w:r>
        <w:rPr>
          <w:sz w:val="24"/>
          <w:szCs w:val="24"/>
        </w:rPr>
        <w:t xml:space="preserve">Luo, L., Huang, S., Zhuang, Z., Mo, Y., Guo, N., &amp; Ge, L. (2024). The impact of serum uric acid levels on hypertensive disorders of pregnancy in advanced maternal age women: A retrospective study from a single center in China. </w:t>
      </w:r>
      <w:r>
        <w:rPr>
          <w:i/>
          <w:iCs/>
          <w:sz w:val="24"/>
          <w:szCs w:val="24"/>
        </w:rPr>
        <w:t>Medical Science Monitor, 30</w:t>
      </w:r>
      <w:r>
        <w:rPr>
          <w:sz w:val="24"/>
          <w:szCs w:val="24"/>
        </w:rPr>
        <w:t>, e942629. https://doi.org/10.12659/MSM.942629</w:t>
      </w:r>
    </w:p>
    <w:p w14:paraId="59808390">
      <w:pPr>
        <w:spacing w:before="240" w:after="240" w:line="240" w:lineRule="auto"/>
        <w:ind w:left="720"/>
        <w:jc w:val="both"/>
        <w:rPr>
          <w:sz w:val="24"/>
          <w:szCs w:val="24"/>
        </w:rPr>
      </w:pPr>
    </w:p>
    <w:p w14:paraId="2AC933F5">
      <w:pPr>
        <w:numPr>
          <w:ilvl w:val="0"/>
          <w:numId w:val="1"/>
        </w:numPr>
        <w:spacing w:line="240" w:lineRule="auto"/>
        <w:jc w:val="both"/>
        <w:rPr>
          <w:sz w:val="24"/>
          <w:szCs w:val="24"/>
        </w:rPr>
      </w:pPr>
      <w:r>
        <w:rPr>
          <w:sz w:val="24"/>
          <w:szCs w:val="24"/>
        </w:rPr>
        <w:t>Meena P and Batool A (2026) Electrolyte homeostasis in pregnancy: from physiological adaptations to clinical disturbances — a nephrologist’s perspective. Front. Nephrol. 6:1773415. doi: 10.3389/fneph.2026.1773415</w:t>
      </w:r>
    </w:p>
    <w:p w14:paraId="42641503">
      <w:pPr>
        <w:spacing w:line="240" w:lineRule="auto"/>
        <w:ind w:left="720"/>
        <w:jc w:val="both"/>
        <w:rPr>
          <w:sz w:val="24"/>
          <w:szCs w:val="24"/>
        </w:rPr>
      </w:pPr>
    </w:p>
    <w:p w14:paraId="77CB67A9">
      <w:pPr>
        <w:numPr>
          <w:ilvl w:val="0"/>
          <w:numId w:val="1"/>
        </w:numPr>
        <w:spacing w:before="240" w:after="240" w:line="240" w:lineRule="auto"/>
        <w:jc w:val="both"/>
        <w:rPr>
          <w:sz w:val="24"/>
          <w:szCs w:val="24"/>
        </w:rPr>
      </w:pPr>
      <w:r>
        <w:rPr>
          <w:sz w:val="24"/>
          <w:szCs w:val="24"/>
        </w:rPr>
        <w:t xml:space="preserve">Mussap, M., &amp; Noto, A. (2020). Renal disorders in pregnancy. </w:t>
      </w:r>
      <w:r>
        <w:rPr>
          <w:i/>
          <w:iCs/>
          <w:sz w:val="24"/>
          <w:szCs w:val="24"/>
        </w:rPr>
        <w:t>Journal of Laboratory and Precision Medicine, 5</w:t>
      </w:r>
      <w:r>
        <w:rPr>
          <w:sz w:val="24"/>
          <w:szCs w:val="24"/>
        </w:rPr>
        <w:t>, Article 18. https://doi.org/10.21037/jlpm.2020.02.04</w:t>
      </w:r>
    </w:p>
    <w:p w14:paraId="3A31092E">
      <w:pPr>
        <w:spacing w:before="240" w:after="240" w:line="240" w:lineRule="auto"/>
        <w:ind w:left="720"/>
        <w:jc w:val="both"/>
        <w:rPr>
          <w:sz w:val="24"/>
          <w:szCs w:val="24"/>
        </w:rPr>
      </w:pPr>
    </w:p>
    <w:p w14:paraId="74CC33D2">
      <w:pPr>
        <w:numPr>
          <w:ilvl w:val="0"/>
          <w:numId w:val="1"/>
        </w:numPr>
        <w:spacing w:before="240" w:after="240" w:line="240" w:lineRule="auto"/>
        <w:jc w:val="both"/>
        <w:rPr>
          <w:sz w:val="24"/>
          <w:szCs w:val="24"/>
        </w:rPr>
      </w:pPr>
      <w:r>
        <w:rPr>
          <w:sz w:val="24"/>
          <w:szCs w:val="24"/>
        </w:rPr>
        <w:t xml:space="preserve">Mustaqeem, R., &amp; Arif, A. (2023). Renal tubular acidosis. In </w:t>
      </w:r>
      <w:r>
        <w:rPr>
          <w:i/>
          <w:iCs/>
          <w:sz w:val="24"/>
          <w:szCs w:val="24"/>
        </w:rPr>
        <w:t>StatPearls</w:t>
      </w:r>
      <w:r>
        <w:rPr>
          <w:sz w:val="24"/>
          <w:szCs w:val="24"/>
        </w:rPr>
        <w:t>. StatPearls Publishing.</w:t>
      </w:r>
      <w:r>
        <w:fldChar w:fldCharType="begin"/>
      </w:r>
      <w:r>
        <w:instrText xml:space="preserve"> HYPERLINK "https://www.ncbi.nlm.nih.gov/books/NBK519044/" \h </w:instrText>
      </w:r>
      <w:r>
        <w:fldChar w:fldCharType="separate"/>
      </w:r>
      <w:r>
        <w:rPr>
          <w:sz w:val="24"/>
          <w:szCs w:val="24"/>
          <w:u w:val="single"/>
        </w:rPr>
        <w:t xml:space="preserve"> </w:t>
      </w:r>
      <w:r>
        <w:rPr>
          <w:sz w:val="24"/>
          <w:szCs w:val="24"/>
          <w:u w:val="single"/>
        </w:rPr>
        <w:fldChar w:fldCharType="end"/>
      </w:r>
      <w:r>
        <w:fldChar w:fldCharType="begin"/>
      </w:r>
      <w:r>
        <w:instrText xml:space="preserve"> HYPERLINK "https://www.ncbi.nlm.nih.gov/books/NBK519044/" \h </w:instrText>
      </w:r>
      <w:r>
        <w:fldChar w:fldCharType="separate"/>
      </w:r>
      <w:r>
        <w:rPr>
          <w:sz w:val="24"/>
          <w:szCs w:val="24"/>
          <w:u w:val="single"/>
        </w:rPr>
        <w:t>https://www.ncbi.nlm.nih.gov/books/NBK519044/</w:t>
      </w:r>
      <w:r>
        <w:rPr>
          <w:sz w:val="24"/>
          <w:szCs w:val="24"/>
          <w:u w:val="single"/>
        </w:rPr>
        <w:fldChar w:fldCharType="end"/>
      </w:r>
    </w:p>
    <w:p w14:paraId="1B7CC39A">
      <w:pPr>
        <w:spacing w:before="240" w:after="240" w:line="240" w:lineRule="auto"/>
        <w:ind w:left="720"/>
        <w:jc w:val="both"/>
        <w:rPr>
          <w:sz w:val="24"/>
          <w:szCs w:val="24"/>
          <w:u w:val="single"/>
        </w:rPr>
      </w:pPr>
    </w:p>
    <w:p w14:paraId="38629085">
      <w:pPr>
        <w:numPr>
          <w:ilvl w:val="0"/>
          <w:numId w:val="1"/>
        </w:numPr>
        <w:spacing w:before="240" w:after="240" w:line="240" w:lineRule="auto"/>
        <w:jc w:val="both"/>
        <w:rPr>
          <w:sz w:val="24"/>
          <w:szCs w:val="24"/>
        </w:rPr>
      </w:pPr>
      <w:r>
        <w:rPr>
          <w:sz w:val="24"/>
          <w:szCs w:val="24"/>
        </w:rPr>
        <w:t xml:space="preserve">Nelson-Piercy, C., Srisawat, N., Kashani, K., et al. (2025). Pregnancy-associated acute kidney injury—Consensus report of the 32nd Acute Disease Quality Initiative workgroup. </w:t>
      </w:r>
      <w:r>
        <w:rPr>
          <w:i/>
          <w:iCs/>
          <w:sz w:val="24"/>
          <w:szCs w:val="24"/>
        </w:rPr>
        <w:t>Nature Reviews Nephrology, 21</w:t>
      </w:r>
      <w:r>
        <w:rPr>
          <w:sz w:val="24"/>
          <w:szCs w:val="24"/>
        </w:rPr>
        <w:t>, 633–646.</w:t>
      </w:r>
      <w:r>
        <w:fldChar w:fldCharType="begin"/>
      </w:r>
      <w:r>
        <w:instrText xml:space="preserve"> HYPERLINK "https://doi.org/10.1038/s41581-025-00979-6" \h </w:instrText>
      </w:r>
      <w:r>
        <w:fldChar w:fldCharType="separate"/>
      </w:r>
      <w:r>
        <w:rPr>
          <w:sz w:val="24"/>
          <w:szCs w:val="24"/>
          <w:u w:val="single"/>
        </w:rPr>
        <w:t xml:space="preserve"> </w:t>
      </w:r>
      <w:r>
        <w:rPr>
          <w:sz w:val="24"/>
          <w:szCs w:val="24"/>
          <w:u w:val="single"/>
        </w:rPr>
        <w:fldChar w:fldCharType="end"/>
      </w:r>
      <w:r>
        <w:fldChar w:fldCharType="begin"/>
      </w:r>
      <w:r>
        <w:instrText xml:space="preserve"> HYPERLINK "https://doi.org/10.1038/s41581-025-00979-6" \h </w:instrText>
      </w:r>
      <w:r>
        <w:fldChar w:fldCharType="separate"/>
      </w:r>
      <w:r>
        <w:rPr>
          <w:sz w:val="24"/>
          <w:szCs w:val="24"/>
          <w:u w:val="single"/>
        </w:rPr>
        <w:t>https://doi.org/10.1038/s41581-025-00979-6</w:t>
      </w:r>
      <w:r>
        <w:rPr>
          <w:sz w:val="24"/>
          <w:szCs w:val="24"/>
          <w:u w:val="single"/>
        </w:rPr>
        <w:fldChar w:fldCharType="end"/>
      </w:r>
    </w:p>
    <w:p w14:paraId="1C031E08">
      <w:pPr>
        <w:spacing w:line="240" w:lineRule="auto"/>
        <w:ind w:left="720"/>
        <w:jc w:val="both"/>
        <w:rPr>
          <w:sz w:val="24"/>
          <w:szCs w:val="24"/>
          <w:u w:val="single"/>
        </w:rPr>
      </w:pPr>
    </w:p>
    <w:p w14:paraId="744C5873">
      <w:pPr>
        <w:numPr>
          <w:ilvl w:val="0"/>
          <w:numId w:val="1"/>
        </w:numPr>
        <w:spacing w:line="240" w:lineRule="auto"/>
        <w:jc w:val="both"/>
        <w:rPr>
          <w:sz w:val="24"/>
          <w:szCs w:val="24"/>
        </w:rPr>
      </w:pPr>
      <w:r>
        <w:rPr>
          <w:sz w:val="24"/>
          <w:szCs w:val="24"/>
        </w:rPr>
        <w:t xml:space="preserve">Ohikere, O. P., Mokwenye, N. V., Emokpae, A. M., Ige, I. P., &amp; Adewole, A. A. (2025). </w:t>
      </w:r>
      <w:r>
        <w:rPr>
          <w:i/>
          <w:iCs/>
          <w:sz w:val="24"/>
          <w:szCs w:val="24"/>
        </w:rPr>
        <w:t>Comparative study of myocardial biomarkers among women with and without polycystic ovarian syndrome (PCOS) in Nigeria</w:t>
      </w:r>
      <w:r>
        <w:rPr>
          <w:sz w:val="24"/>
          <w:szCs w:val="24"/>
        </w:rPr>
        <w:t>. International Journal of Research and Scientific Innovation, 12(11), 1041–1064.</w:t>
      </w:r>
      <w:r>
        <w:fldChar w:fldCharType="begin"/>
      </w:r>
      <w:r>
        <w:instrText xml:space="preserve"> HYPERLINK "https://doi.org/10.51244/IJRSI.2025.12110097" \h </w:instrText>
      </w:r>
      <w:r>
        <w:fldChar w:fldCharType="separate"/>
      </w:r>
      <w:r>
        <w:rPr>
          <w:sz w:val="24"/>
          <w:szCs w:val="24"/>
          <w:u w:val="single"/>
        </w:rPr>
        <w:t xml:space="preserve"> </w:t>
      </w:r>
      <w:r>
        <w:rPr>
          <w:sz w:val="24"/>
          <w:szCs w:val="24"/>
          <w:u w:val="single"/>
        </w:rPr>
        <w:fldChar w:fldCharType="end"/>
      </w:r>
      <w:r>
        <w:fldChar w:fldCharType="begin"/>
      </w:r>
      <w:r>
        <w:instrText xml:space="preserve"> HYPERLINK "https://doi.org/10.51244/IJRSI.2025.12110097" \h </w:instrText>
      </w:r>
      <w:r>
        <w:fldChar w:fldCharType="separate"/>
      </w:r>
      <w:r>
        <w:rPr>
          <w:sz w:val="24"/>
          <w:szCs w:val="24"/>
          <w:u w:val="single"/>
        </w:rPr>
        <w:t>https://doi.org/10.51244/IJRSI.2025.12110097</w:t>
      </w:r>
      <w:r>
        <w:rPr>
          <w:sz w:val="24"/>
          <w:szCs w:val="24"/>
          <w:u w:val="single"/>
        </w:rPr>
        <w:fldChar w:fldCharType="end"/>
      </w:r>
    </w:p>
    <w:p w14:paraId="1FFA8FC0">
      <w:pPr>
        <w:spacing w:line="240" w:lineRule="auto"/>
        <w:ind w:left="720"/>
        <w:jc w:val="both"/>
        <w:rPr>
          <w:sz w:val="24"/>
          <w:szCs w:val="24"/>
        </w:rPr>
      </w:pPr>
    </w:p>
    <w:p w14:paraId="2B19D9D2">
      <w:pPr>
        <w:numPr>
          <w:ilvl w:val="0"/>
          <w:numId w:val="1"/>
        </w:numPr>
        <w:spacing w:line="240" w:lineRule="auto"/>
        <w:jc w:val="both"/>
        <w:rPr>
          <w:sz w:val="24"/>
          <w:szCs w:val="24"/>
        </w:rPr>
      </w:pPr>
      <w:r>
        <w:rPr>
          <w:sz w:val="24"/>
          <w:szCs w:val="24"/>
        </w:rPr>
        <w:t xml:space="preserve">Paizis, K., &amp; Jarvis, E. (2021). Kidney physiology and acute kidney disease in pregnancy. In K. K. Chen (Ed.), </w:t>
      </w:r>
      <w:r>
        <w:rPr>
          <w:i/>
          <w:iCs/>
          <w:sz w:val="24"/>
          <w:szCs w:val="24"/>
        </w:rPr>
        <w:t>The continuous textbook of women’s medicine: Obstetrics module (Vol. 2)</w:t>
      </w:r>
      <w:r>
        <w:rPr>
          <w:sz w:val="24"/>
          <w:szCs w:val="24"/>
        </w:rPr>
        <w:t>. Global Library of Women’s Medicine. https://doi.org/10.3843/GLOWM.414973</w:t>
      </w:r>
    </w:p>
    <w:p w14:paraId="46EBC616">
      <w:pPr>
        <w:spacing w:line="240" w:lineRule="auto"/>
        <w:ind w:left="720"/>
        <w:jc w:val="both"/>
        <w:rPr>
          <w:sz w:val="24"/>
          <w:szCs w:val="24"/>
        </w:rPr>
      </w:pPr>
    </w:p>
    <w:p w14:paraId="1BB5003D">
      <w:pPr>
        <w:numPr>
          <w:ilvl w:val="0"/>
          <w:numId w:val="1"/>
        </w:numPr>
        <w:spacing w:before="240" w:after="240" w:line="240" w:lineRule="auto"/>
        <w:jc w:val="both"/>
        <w:rPr>
          <w:sz w:val="24"/>
          <w:szCs w:val="24"/>
        </w:rPr>
      </w:pPr>
      <w:r>
        <w:rPr>
          <w:sz w:val="24"/>
          <w:szCs w:val="24"/>
        </w:rPr>
        <w:t xml:space="preserve">Palmer, B. F., &amp; Clegg, D. J. (2019). Physiology and pathophysiology of potassium homeostasis: Core curriculum 2019. </w:t>
      </w:r>
      <w:r>
        <w:rPr>
          <w:i/>
          <w:iCs/>
          <w:sz w:val="24"/>
          <w:szCs w:val="24"/>
        </w:rPr>
        <w:t>American Journal of Kidney Diseases, 74</w:t>
      </w:r>
      <w:r>
        <w:rPr>
          <w:sz w:val="24"/>
          <w:szCs w:val="24"/>
        </w:rPr>
        <w:t>(5), 682–695. https://doi.org/10.1053/j.ajkd.2019.03.427</w:t>
      </w:r>
    </w:p>
    <w:p w14:paraId="121D0E6B">
      <w:pPr>
        <w:spacing w:before="240" w:after="240" w:line="240" w:lineRule="auto"/>
        <w:ind w:left="720"/>
        <w:jc w:val="both"/>
        <w:rPr>
          <w:sz w:val="24"/>
          <w:szCs w:val="24"/>
        </w:rPr>
      </w:pPr>
    </w:p>
    <w:p w14:paraId="098EE98D">
      <w:pPr>
        <w:numPr>
          <w:ilvl w:val="0"/>
          <w:numId w:val="1"/>
        </w:numPr>
        <w:spacing w:line="240" w:lineRule="auto"/>
        <w:jc w:val="both"/>
        <w:rPr>
          <w:sz w:val="24"/>
          <w:szCs w:val="24"/>
        </w:rPr>
      </w:pPr>
      <w:r>
        <w:rPr>
          <w:sz w:val="24"/>
          <w:szCs w:val="24"/>
        </w:rPr>
        <w:t xml:space="preserve">Piani, F., Agnoletti, D., Baracchi, A., Scarduelli, S., Verde, C., Tossetta, G., Montaguti, E., Simonazzi, G., Degli Esposti, D., &amp; Borghi, C. (2023). </w:t>
      </w:r>
      <w:r>
        <w:rPr>
          <w:i/>
          <w:iCs/>
          <w:sz w:val="24"/>
          <w:szCs w:val="24"/>
        </w:rPr>
        <w:t>Serum uric acid to creatinine ratio and risk of preeclampsia and adverse pregnancy outcomes</w:t>
      </w:r>
      <w:r>
        <w:rPr>
          <w:sz w:val="24"/>
          <w:szCs w:val="24"/>
        </w:rPr>
        <w:t>. Journal of Hypertension, 41(8), 1333–1338. https://doi.org/10.1097/HJH.0000000000003472</w:t>
      </w:r>
    </w:p>
    <w:p w14:paraId="28B67164">
      <w:pPr>
        <w:spacing w:line="240" w:lineRule="auto"/>
        <w:ind w:left="720"/>
        <w:jc w:val="both"/>
        <w:rPr>
          <w:sz w:val="24"/>
          <w:szCs w:val="24"/>
        </w:rPr>
      </w:pPr>
    </w:p>
    <w:p w14:paraId="2DA03648">
      <w:pPr>
        <w:numPr>
          <w:ilvl w:val="0"/>
          <w:numId w:val="1"/>
        </w:numPr>
        <w:spacing w:before="240" w:after="240" w:line="240" w:lineRule="auto"/>
        <w:jc w:val="both"/>
        <w:rPr>
          <w:sz w:val="24"/>
          <w:szCs w:val="24"/>
        </w:rPr>
      </w:pPr>
      <w:r>
        <w:rPr>
          <w:sz w:val="24"/>
          <w:szCs w:val="24"/>
        </w:rPr>
        <w:t xml:space="preserve">Piscitani, L., Sipari, P., Di Pietro, L. O., Bussolaro, S., Guido, M., &amp; Fantasia, I. (2025). Kidney and pregnancy: A comprehensive review. </w:t>
      </w:r>
      <w:r>
        <w:rPr>
          <w:i/>
          <w:iCs/>
          <w:sz w:val="24"/>
          <w:szCs w:val="24"/>
        </w:rPr>
        <w:t>Clinics and Practice, 15</w:t>
      </w:r>
      <w:r>
        <w:rPr>
          <w:sz w:val="24"/>
          <w:szCs w:val="24"/>
        </w:rPr>
        <w:t>(10), 189.</w:t>
      </w:r>
      <w:r>
        <w:fldChar w:fldCharType="begin"/>
      </w:r>
      <w:r>
        <w:instrText xml:space="preserve"> HYPERLINK "https://doi.org/10.3390/clinpract15100189" \h </w:instrText>
      </w:r>
      <w:r>
        <w:fldChar w:fldCharType="separate"/>
      </w:r>
      <w:r>
        <w:rPr>
          <w:sz w:val="24"/>
          <w:szCs w:val="24"/>
          <w:u w:val="single"/>
        </w:rPr>
        <w:t xml:space="preserve"> </w:t>
      </w:r>
      <w:r>
        <w:rPr>
          <w:sz w:val="24"/>
          <w:szCs w:val="24"/>
          <w:u w:val="single"/>
        </w:rPr>
        <w:fldChar w:fldCharType="end"/>
      </w:r>
      <w:r>
        <w:fldChar w:fldCharType="begin"/>
      </w:r>
      <w:r>
        <w:instrText xml:space="preserve"> HYPERLINK "https://doi.org/10.3390/clinpract15100189" \h </w:instrText>
      </w:r>
      <w:r>
        <w:fldChar w:fldCharType="separate"/>
      </w:r>
      <w:r>
        <w:rPr>
          <w:sz w:val="24"/>
          <w:szCs w:val="24"/>
          <w:u w:val="single"/>
        </w:rPr>
        <w:t>https://doi.org/10.3390/clinpract15100189</w:t>
      </w:r>
      <w:r>
        <w:rPr>
          <w:sz w:val="24"/>
          <w:szCs w:val="24"/>
          <w:u w:val="single"/>
        </w:rPr>
        <w:fldChar w:fldCharType="end"/>
      </w:r>
    </w:p>
    <w:p w14:paraId="20790230">
      <w:pPr>
        <w:spacing w:before="240" w:after="240" w:line="240" w:lineRule="auto"/>
        <w:ind w:left="720"/>
        <w:jc w:val="both"/>
        <w:rPr>
          <w:sz w:val="24"/>
          <w:szCs w:val="24"/>
          <w:u w:val="single"/>
        </w:rPr>
      </w:pPr>
    </w:p>
    <w:p w14:paraId="34629FF5">
      <w:pPr>
        <w:numPr>
          <w:ilvl w:val="0"/>
          <w:numId w:val="1"/>
        </w:numPr>
        <w:spacing w:line="240" w:lineRule="auto"/>
        <w:jc w:val="both"/>
        <w:rPr>
          <w:sz w:val="24"/>
          <w:szCs w:val="24"/>
        </w:rPr>
      </w:pPr>
      <w:r>
        <w:rPr>
          <w:sz w:val="24"/>
          <w:szCs w:val="24"/>
        </w:rPr>
        <w:t xml:space="preserve">Plapp, F. (2019, March 31; updated 2024, July 26). </w:t>
      </w:r>
      <w:r>
        <w:rPr>
          <w:i/>
          <w:iCs/>
          <w:sz w:val="24"/>
          <w:szCs w:val="24"/>
        </w:rPr>
        <w:t>Serum creatinine during pregnancy</w:t>
      </w:r>
      <w:r>
        <w:rPr>
          <w:sz w:val="24"/>
          <w:szCs w:val="24"/>
        </w:rPr>
        <w:t>. ClinLab Navigator.</w:t>
      </w:r>
      <w:r>
        <w:fldChar w:fldCharType="begin"/>
      </w:r>
      <w:r>
        <w:instrText xml:space="preserve"> HYPERLINK "https://www.clinlabnavigator.com/blog/serum-creatinine-during-pregnancy.html" \h </w:instrText>
      </w:r>
      <w:r>
        <w:fldChar w:fldCharType="separate"/>
      </w:r>
      <w:r>
        <w:rPr>
          <w:sz w:val="24"/>
          <w:szCs w:val="24"/>
          <w:u w:val="single"/>
        </w:rPr>
        <w:t xml:space="preserve"> </w:t>
      </w:r>
      <w:r>
        <w:rPr>
          <w:sz w:val="24"/>
          <w:szCs w:val="24"/>
          <w:u w:val="single"/>
        </w:rPr>
        <w:fldChar w:fldCharType="end"/>
      </w:r>
      <w:r>
        <w:fldChar w:fldCharType="begin"/>
      </w:r>
      <w:r>
        <w:instrText xml:space="preserve"> HYPERLINK "https://www.clinlabnavigator.com/blog/serum-creatinine-during-pregnancy.html" \h </w:instrText>
      </w:r>
      <w:r>
        <w:fldChar w:fldCharType="separate"/>
      </w:r>
      <w:r>
        <w:rPr>
          <w:sz w:val="24"/>
          <w:szCs w:val="24"/>
          <w:u w:val="single"/>
        </w:rPr>
        <w:t>https://www.clinlabnavigator.com/blog/serum-creatinine-during-pregnancy.html</w:t>
      </w:r>
      <w:r>
        <w:rPr>
          <w:sz w:val="24"/>
          <w:szCs w:val="24"/>
          <w:u w:val="single"/>
        </w:rPr>
        <w:fldChar w:fldCharType="end"/>
      </w:r>
    </w:p>
    <w:p w14:paraId="0212B344">
      <w:pPr>
        <w:spacing w:line="240" w:lineRule="auto"/>
        <w:jc w:val="both"/>
        <w:rPr>
          <w:sz w:val="24"/>
          <w:szCs w:val="24"/>
        </w:rPr>
      </w:pPr>
    </w:p>
    <w:p w14:paraId="1F345BD2">
      <w:pPr>
        <w:numPr>
          <w:ilvl w:val="0"/>
          <w:numId w:val="1"/>
        </w:numPr>
        <w:spacing w:line="240" w:lineRule="auto"/>
        <w:jc w:val="both"/>
        <w:rPr>
          <w:sz w:val="24"/>
          <w:szCs w:val="24"/>
        </w:rPr>
      </w:pPr>
      <w:r>
        <w:rPr>
          <w:sz w:val="24"/>
          <w:szCs w:val="24"/>
        </w:rPr>
        <w:t xml:space="preserve">Rangaswami, J., Bhalla, V., Blair, J. E. A., Chang, T. I., Costa, S., Lentine, K. L., Lerma, E. V., Mezue, K., Molitch, M., Mullens, W., Ronco, C., Tang, W. H. W., &amp; McCullough, P. A. (2019). </w:t>
      </w:r>
      <w:r>
        <w:rPr>
          <w:i/>
          <w:iCs/>
          <w:sz w:val="24"/>
          <w:szCs w:val="24"/>
        </w:rPr>
        <w:t>Cardiorenal syndrome: Classification, pathophysiology, diagnosis, and treatment strategies: A scientific statement from the American Heart Association</w:t>
      </w:r>
      <w:r>
        <w:rPr>
          <w:sz w:val="24"/>
          <w:szCs w:val="24"/>
        </w:rPr>
        <w:t>. Circulation, 139(16), e840–e878.</w:t>
      </w:r>
      <w:r>
        <w:fldChar w:fldCharType="begin"/>
      </w:r>
      <w:r>
        <w:instrText xml:space="preserve"> HYPERLINK "https://doi.org/10.1161/CIR.0000000000000664" \h </w:instrText>
      </w:r>
      <w:r>
        <w:fldChar w:fldCharType="separate"/>
      </w:r>
      <w:r>
        <w:rPr>
          <w:sz w:val="24"/>
          <w:szCs w:val="24"/>
          <w:u w:val="single"/>
        </w:rPr>
        <w:t xml:space="preserve"> </w:t>
      </w:r>
      <w:r>
        <w:rPr>
          <w:sz w:val="24"/>
          <w:szCs w:val="24"/>
          <w:u w:val="single"/>
        </w:rPr>
        <w:fldChar w:fldCharType="end"/>
      </w:r>
      <w:r>
        <w:fldChar w:fldCharType="begin"/>
      </w:r>
      <w:r>
        <w:instrText xml:space="preserve"> HYPERLINK "https://doi.org/10.1161/CIR.0000000000000664" \h </w:instrText>
      </w:r>
      <w:r>
        <w:fldChar w:fldCharType="separate"/>
      </w:r>
      <w:r>
        <w:rPr>
          <w:sz w:val="24"/>
          <w:szCs w:val="24"/>
          <w:u w:val="single"/>
        </w:rPr>
        <w:t>https://doi.org/10.1161/CIR.0000000000000664</w:t>
      </w:r>
      <w:r>
        <w:rPr>
          <w:sz w:val="24"/>
          <w:szCs w:val="24"/>
          <w:u w:val="single"/>
        </w:rPr>
        <w:fldChar w:fldCharType="end"/>
      </w:r>
    </w:p>
    <w:p w14:paraId="5A77F2E1">
      <w:pPr>
        <w:spacing w:line="240" w:lineRule="auto"/>
        <w:ind w:left="720"/>
        <w:jc w:val="both"/>
        <w:rPr>
          <w:sz w:val="24"/>
          <w:szCs w:val="24"/>
          <w:u w:val="single"/>
        </w:rPr>
      </w:pPr>
    </w:p>
    <w:p w14:paraId="76B6C656">
      <w:pPr>
        <w:numPr>
          <w:ilvl w:val="0"/>
          <w:numId w:val="1"/>
        </w:numPr>
        <w:spacing w:before="240" w:after="240" w:line="240" w:lineRule="auto"/>
        <w:jc w:val="both"/>
        <w:rPr>
          <w:sz w:val="24"/>
          <w:szCs w:val="24"/>
        </w:rPr>
      </w:pPr>
      <w:r>
        <w:rPr>
          <w:sz w:val="24"/>
          <w:szCs w:val="24"/>
        </w:rPr>
        <w:t xml:space="preserve">Schauer, M., Burtscher, M., Motevalli, M., Tanous, D., Mair, S., &amp; Wirnitzer, K. (2024). Gender disparities in health biomarkers, lifestyle patterns, and nutritional status among bank staff: A cross-sectional study. </w:t>
      </w:r>
      <w:r>
        <w:rPr>
          <w:i/>
          <w:iCs/>
          <w:sz w:val="24"/>
          <w:szCs w:val="24"/>
        </w:rPr>
        <w:t>Medicina, 60</w:t>
      </w:r>
      <w:r>
        <w:rPr>
          <w:sz w:val="24"/>
          <w:szCs w:val="24"/>
        </w:rPr>
        <w:t>(3), 413. https://doi.org/10.3390/medicina60030413</w:t>
      </w:r>
    </w:p>
    <w:p w14:paraId="75EC36CB">
      <w:pPr>
        <w:spacing w:before="240" w:after="240" w:line="240" w:lineRule="auto"/>
        <w:ind w:left="720"/>
        <w:jc w:val="both"/>
        <w:rPr>
          <w:sz w:val="24"/>
          <w:szCs w:val="24"/>
        </w:rPr>
      </w:pPr>
    </w:p>
    <w:p w14:paraId="0F00A8D1">
      <w:pPr>
        <w:numPr>
          <w:ilvl w:val="0"/>
          <w:numId w:val="1"/>
        </w:numPr>
        <w:spacing w:line="240" w:lineRule="auto"/>
        <w:jc w:val="both"/>
        <w:rPr>
          <w:sz w:val="24"/>
          <w:szCs w:val="24"/>
        </w:rPr>
      </w:pPr>
      <w:r>
        <w:rPr>
          <w:sz w:val="24"/>
          <w:szCs w:val="24"/>
        </w:rPr>
        <w:t xml:space="preserve">Scott, J. H., Menouar, M. A., &amp; Dunn, R. J. (2023). </w:t>
      </w:r>
      <w:r>
        <w:rPr>
          <w:i/>
          <w:iCs/>
          <w:sz w:val="24"/>
          <w:szCs w:val="24"/>
        </w:rPr>
        <w:t>Physiology, aldosterone</w:t>
      </w:r>
      <w:r>
        <w:rPr>
          <w:sz w:val="24"/>
          <w:szCs w:val="24"/>
        </w:rPr>
        <w:t>. In StatPearls. StatPearls Publishing.</w:t>
      </w:r>
      <w:r>
        <w:fldChar w:fldCharType="begin"/>
      </w:r>
      <w:r>
        <w:instrText xml:space="preserve"> HYPERLINK "https://www.ncbi.nlm.nih.gov/books/NBK470339/" \h </w:instrText>
      </w:r>
      <w:r>
        <w:fldChar w:fldCharType="separate"/>
      </w:r>
      <w:r>
        <w:rPr>
          <w:sz w:val="24"/>
          <w:szCs w:val="24"/>
          <w:u w:val="single"/>
        </w:rPr>
        <w:t xml:space="preserve"> </w:t>
      </w:r>
      <w:r>
        <w:rPr>
          <w:sz w:val="24"/>
          <w:szCs w:val="24"/>
          <w:u w:val="single"/>
        </w:rPr>
        <w:fldChar w:fldCharType="end"/>
      </w:r>
      <w:r>
        <w:fldChar w:fldCharType="begin"/>
      </w:r>
      <w:r>
        <w:instrText xml:space="preserve"> HYPERLINK "https://www.ncbi.nlm.nih.gov/books/NBK470339/" \h </w:instrText>
      </w:r>
      <w:r>
        <w:fldChar w:fldCharType="separate"/>
      </w:r>
      <w:r>
        <w:rPr>
          <w:sz w:val="24"/>
          <w:szCs w:val="24"/>
          <w:u w:val="single"/>
        </w:rPr>
        <w:t>https://www.ncbi.nlm.nih.gov/books/NBK470339/</w:t>
      </w:r>
      <w:r>
        <w:rPr>
          <w:sz w:val="24"/>
          <w:szCs w:val="24"/>
          <w:u w:val="single"/>
        </w:rPr>
        <w:fldChar w:fldCharType="end"/>
      </w:r>
    </w:p>
    <w:p w14:paraId="6CE6DBA2">
      <w:pPr>
        <w:spacing w:line="240" w:lineRule="auto"/>
        <w:ind w:left="720"/>
        <w:jc w:val="both"/>
        <w:rPr>
          <w:sz w:val="24"/>
          <w:szCs w:val="24"/>
          <w:u w:val="single"/>
        </w:rPr>
      </w:pPr>
    </w:p>
    <w:p w14:paraId="6217454E">
      <w:pPr>
        <w:numPr>
          <w:ilvl w:val="0"/>
          <w:numId w:val="1"/>
        </w:numPr>
        <w:spacing w:before="240" w:after="240" w:line="240" w:lineRule="auto"/>
        <w:jc w:val="both"/>
        <w:rPr>
          <w:sz w:val="24"/>
          <w:szCs w:val="24"/>
        </w:rPr>
      </w:pPr>
      <w:r>
        <w:rPr>
          <w:sz w:val="24"/>
          <w:szCs w:val="24"/>
        </w:rPr>
        <w:t xml:space="preserve">Singla, A. (2025, August 29). </w:t>
      </w:r>
      <w:r>
        <w:rPr>
          <w:i/>
          <w:iCs/>
          <w:sz w:val="24"/>
          <w:szCs w:val="24"/>
        </w:rPr>
        <w:t>High uric acid in pregnancy: Causes, symptoms, and health risks</w:t>
      </w:r>
      <w:r>
        <w:rPr>
          <w:sz w:val="24"/>
          <w:szCs w:val="24"/>
        </w:rPr>
        <w:t>. Cloudnine Care.</w:t>
      </w:r>
      <w:r>
        <w:fldChar w:fldCharType="begin"/>
      </w:r>
      <w:r>
        <w:instrText xml:space="preserve"> HYPERLINK "https://www.cloudninecare.com/blog/high-uric-acid-in-pregnancy-causes-symptoms-and-health-risks?utm_source=chatgpt.com" \h </w:instrText>
      </w:r>
      <w:r>
        <w:fldChar w:fldCharType="separate"/>
      </w:r>
      <w:r>
        <w:rPr>
          <w:sz w:val="24"/>
          <w:szCs w:val="24"/>
          <w:u w:val="single"/>
        </w:rPr>
        <w:t xml:space="preserve"> </w:t>
      </w:r>
      <w:r>
        <w:rPr>
          <w:sz w:val="24"/>
          <w:szCs w:val="24"/>
          <w:u w:val="single"/>
        </w:rPr>
        <w:fldChar w:fldCharType="end"/>
      </w:r>
      <w:r>
        <w:fldChar w:fldCharType="begin"/>
      </w:r>
      <w:r>
        <w:instrText xml:space="preserve"> HYPERLINK "https://www.cloudninecare.com/blog/high-uric-acid-in-pregnancy-causes-symptoms-and-health-risks?utm_source=chatgpt.com" \h </w:instrText>
      </w:r>
      <w:r>
        <w:fldChar w:fldCharType="separate"/>
      </w:r>
      <w:r>
        <w:rPr>
          <w:sz w:val="24"/>
          <w:szCs w:val="24"/>
          <w:u w:val="single"/>
        </w:rPr>
        <w:t>https://www.cloudninecare.com/blog/high-uric-acid-in-pregnancy-causes-symptoms-and-health-risks</w:t>
      </w:r>
      <w:r>
        <w:rPr>
          <w:sz w:val="24"/>
          <w:szCs w:val="24"/>
          <w:u w:val="single"/>
        </w:rPr>
        <w:fldChar w:fldCharType="end"/>
      </w:r>
    </w:p>
    <w:p w14:paraId="3CD16AF6">
      <w:pPr>
        <w:spacing w:before="240" w:after="240" w:line="240" w:lineRule="auto"/>
        <w:ind w:left="720"/>
        <w:jc w:val="both"/>
        <w:rPr>
          <w:sz w:val="24"/>
          <w:szCs w:val="24"/>
          <w:u w:val="single"/>
        </w:rPr>
      </w:pPr>
    </w:p>
    <w:p w14:paraId="7DF4B525">
      <w:pPr>
        <w:numPr>
          <w:ilvl w:val="0"/>
          <w:numId w:val="1"/>
        </w:numPr>
        <w:spacing w:before="240" w:after="240" w:line="240" w:lineRule="auto"/>
        <w:jc w:val="both"/>
        <w:rPr>
          <w:sz w:val="24"/>
          <w:szCs w:val="24"/>
        </w:rPr>
      </w:pPr>
      <w:r>
        <w:rPr>
          <w:sz w:val="24"/>
          <w:szCs w:val="24"/>
        </w:rPr>
        <w:t xml:space="preserve">Soma-Pillay, P., Nelson-Piercy, C., Tolppanen, H., &amp; Mebazaa, A. (2016). Physiological changes in pregnancy. </w:t>
      </w:r>
      <w:r>
        <w:rPr>
          <w:i/>
          <w:iCs/>
          <w:sz w:val="24"/>
          <w:szCs w:val="24"/>
        </w:rPr>
        <w:t>Cardiovascular Journal of Africa, 27</w:t>
      </w:r>
      <w:r>
        <w:rPr>
          <w:sz w:val="24"/>
          <w:szCs w:val="24"/>
        </w:rPr>
        <w:t>(2), 89–94.</w:t>
      </w:r>
      <w:r>
        <w:fldChar w:fldCharType="begin"/>
      </w:r>
      <w:r>
        <w:instrText xml:space="preserve"> HYPERLINK "https://doi.org/10.5830/CVJA-2016-021" \h </w:instrText>
      </w:r>
      <w:r>
        <w:fldChar w:fldCharType="separate"/>
      </w:r>
      <w:r>
        <w:rPr>
          <w:sz w:val="24"/>
          <w:szCs w:val="24"/>
        </w:rPr>
        <w:t xml:space="preserve"> </w:t>
      </w:r>
      <w:r>
        <w:rPr>
          <w:sz w:val="24"/>
          <w:szCs w:val="24"/>
        </w:rPr>
        <w:fldChar w:fldCharType="end"/>
      </w:r>
      <w:r>
        <w:fldChar w:fldCharType="begin"/>
      </w:r>
      <w:r>
        <w:instrText xml:space="preserve"> HYPERLINK "https://doi.org/10.5830/CVJA-2016-021" \h </w:instrText>
      </w:r>
      <w:r>
        <w:fldChar w:fldCharType="separate"/>
      </w:r>
      <w:r>
        <w:rPr>
          <w:sz w:val="24"/>
          <w:szCs w:val="24"/>
          <w:u w:val="single"/>
        </w:rPr>
        <w:t>https://doi.org/10.5830/CVJA-2016-021</w:t>
      </w:r>
      <w:r>
        <w:rPr>
          <w:sz w:val="24"/>
          <w:szCs w:val="24"/>
          <w:u w:val="single"/>
        </w:rPr>
        <w:fldChar w:fldCharType="end"/>
      </w:r>
    </w:p>
    <w:p w14:paraId="1DC1851C">
      <w:pPr>
        <w:spacing w:before="240" w:after="240" w:line="240" w:lineRule="auto"/>
        <w:ind w:left="720"/>
        <w:jc w:val="both"/>
        <w:rPr>
          <w:sz w:val="24"/>
          <w:szCs w:val="24"/>
          <w:u w:val="single"/>
        </w:rPr>
      </w:pPr>
    </w:p>
    <w:p w14:paraId="4683670F">
      <w:pPr>
        <w:numPr>
          <w:ilvl w:val="0"/>
          <w:numId w:val="1"/>
        </w:numPr>
        <w:spacing w:line="240" w:lineRule="auto"/>
        <w:jc w:val="both"/>
        <w:rPr>
          <w:sz w:val="24"/>
          <w:szCs w:val="24"/>
        </w:rPr>
      </w:pPr>
      <w:r>
        <w:rPr>
          <w:sz w:val="24"/>
          <w:szCs w:val="24"/>
        </w:rPr>
        <w:t xml:space="preserve">Tal, R., &amp; Taylor, H. S. (2021). Endocrinology of pregnancy. In K. R. Feingold, R. A. Adler, S. F. Ahmed, et al. (Eds.), </w:t>
      </w:r>
      <w:r>
        <w:rPr>
          <w:i/>
          <w:iCs/>
          <w:sz w:val="24"/>
          <w:szCs w:val="24"/>
        </w:rPr>
        <w:t>Endotext</w:t>
      </w:r>
      <w:r>
        <w:rPr>
          <w:sz w:val="24"/>
          <w:szCs w:val="24"/>
        </w:rPr>
        <w:t xml:space="preserve"> [Internet]. MDText.com, Inc.</w:t>
      </w:r>
      <w:r>
        <w:fldChar w:fldCharType="begin"/>
      </w:r>
      <w:r>
        <w:instrText xml:space="preserve"> HYPERLINK "https://www.ncbi.nlm.nih.gov/books/NBK278962/" \h </w:instrText>
      </w:r>
      <w:r>
        <w:fldChar w:fldCharType="separate"/>
      </w:r>
      <w:r>
        <w:rPr>
          <w:sz w:val="24"/>
          <w:szCs w:val="24"/>
          <w:u w:val="single"/>
        </w:rPr>
        <w:t xml:space="preserve"> </w:t>
      </w:r>
      <w:r>
        <w:rPr>
          <w:sz w:val="24"/>
          <w:szCs w:val="24"/>
          <w:u w:val="single"/>
        </w:rPr>
        <w:fldChar w:fldCharType="end"/>
      </w:r>
      <w:r>
        <w:fldChar w:fldCharType="begin"/>
      </w:r>
      <w:r>
        <w:instrText xml:space="preserve"> HYPERLINK "https://www.ncbi.nlm.nih.gov/books/NBK278962/" \h </w:instrText>
      </w:r>
      <w:r>
        <w:fldChar w:fldCharType="separate"/>
      </w:r>
      <w:r>
        <w:rPr>
          <w:sz w:val="24"/>
          <w:szCs w:val="24"/>
          <w:u w:val="single"/>
        </w:rPr>
        <w:t>https://www.ncbi.nlm.nih.gov/books/NBK278962/</w:t>
      </w:r>
      <w:r>
        <w:rPr>
          <w:sz w:val="24"/>
          <w:szCs w:val="24"/>
          <w:u w:val="single"/>
        </w:rPr>
        <w:fldChar w:fldCharType="end"/>
      </w:r>
    </w:p>
    <w:p w14:paraId="6E468E7D">
      <w:pPr>
        <w:spacing w:line="240" w:lineRule="auto"/>
        <w:jc w:val="both"/>
        <w:rPr>
          <w:sz w:val="24"/>
          <w:szCs w:val="24"/>
        </w:rPr>
      </w:pPr>
    </w:p>
    <w:p w14:paraId="4E6BA60B">
      <w:pPr>
        <w:numPr>
          <w:ilvl w:val="0"/>
          <w:numId w:val="1"/>
        </w:numPr>
        <w:spacing w:line="240" w:lineRule="auto"/>
        <w:jc w:val="both"/>
        <w:rPr>
          <w:sz w:val="24"/>
          <w:szCs w:val="24"/>
        </w:rPr>
      </w:pPr>
      <w:r>
        <w:rPr>
          <w:sz w:val="24"/>
          <w:szCs w:val="24"/>
        </w:rPr>
        <w:t xml:space="preserve">Ushida, T., Katsuki, S., Fuma, K., Tano, S., Matsuo, S., Yoshida, S., Yamashita, M., Kajiyama, H., &amp; Kotani, T. (2025). </w:t>
      </w:r>
      <w:r>
        <w:rPr>
          <w:i/>
          <w:iCs/>
          <w:sz w:val="24"/>
          <w:szCs w:val="24"/>
        </w:rPr>
        <w:t>Maternal renal function during pregnancy and the early postpartum period in normotensive and hypertensive pregnancies</w:t>
      </w:r>
      <w:r>
        <w:rPr>
          <w:sz w:val="24"/>
          <w:szCs w:val="24"/>
        </w:rPr>
        <w:t>. Journal of Obstetrics and Gynaecology Research, 51(12), e70172.</w:t>
      </w:r>
      <w:r>
        <w:fldChar w:fldCharType="begin"/>
      </w:r>
      <w:r>
        <w:instrText xml:space="preserve"> HYPERLINK "https://doi.org/10.1111/jog.70172" \h </w:instrText>
      </w:r>
      <w:r>
        <w:fldChar w:fldCharType="separate"/>
      </w:r>
      <w:r>
        <w:rPr>
          <w:sz w:val="24"/>
          <w:szCs w:val="24"/>
        </w:rPr>
        <w:t xml:space="preserve"> </w:t>
      </w:r>
      <w:r>
        <w:rPr>
          <w:sz w:val="24"/>
          <w:szCs w:val="24"/>
        </w:rPr>
        <w:fldChar w:fldCharType="end"/>
      </w:r>
      <w:r>
        <w:fldChar w:fldCharType="begin"/>
      </w:r>
      <w:r>
        <w:instrText xml:space="preserve"> HYPERLINK "https://doi.org/10.1111/jog.70172" \h </w:instrText>
      </w:r>
      <w:r>
        <w:fldChar w:fldCharType="separate"/>
      </w:r>
      <w:r>
        <w:rPr>
          <w:sz w:val="24"/>
          <w:szCs w:val="24"/>
          <w:u w:val="single"/>
        </w:rPr>
        <w:t>https://doi.org/10.1111/jog.70172</w:t>
      </w:r>
      <w:r>
        <w:rPr>
          <w:sz w:val="24"/>
          <w:szCs w:val="24"/>
          <w:u w:val="single"/>
        </w:rPr>
        <w:fldChar w:fldCharType="end"/>
      </w:r>
    </w:p>
    <w:p w14:paraId="5D43E945">
      <w:pPr>
        <w:spacing w:line="240" w:lineRule="auto"/>
        <w:ind w:left="720"/>
        <w:jc w:val="both"/>
        <w:rPr>
          <w:sz w:val="24"/>
          <w:szCs w:val="24"/>
        </w:rPr>
      </w:pPr>
    </w:p>
    <w:p w14:paraId="63753507">
      <w:pPr>
        <w:numPr>
          <w:ilvl w:val="0"/>
          <w:numId w:val="1"/>
        </w:numPr>
        <w:spacing w:line="240" w:lineRule="auto"/>
        <w:jc w:val="both"/>
        <w:rPr>
          <w:sz w:val="24"/>
          <w:szCs w:val="24"/>
        </w:rPr>
      </w:pPr>
      <w:r>
        <w:rPr>
          <w:sz w:val="24"/>
          <w:szCs w:val="24"/>
        </w:rPr>
        <w:t xml:space="preserve">Vinturache, A., &amp; Khalil, A. (2021). </w:t>
      </w:r>
      <w:r>
        <w:rPr>
          <w:i/>
          <w:iCs/>
          <w:sz w:val="24"/>
          <w:szCs w:val="24"/>
        </w:rPr>
        <w:t>Maternal physiological changes in pregnancy</w:t>
      </w:r>
      <w:r>
        <w:rPr>
          <w:sz w:val="24"/>
          <w:szCs w:val="24"/>
        </w:rPr>
        <w:t>. In The Global Library of Women’s Medicine (GLOWM), Obstetrics Module, Volume 4: Fetal development and maternal adaptation.</w:t>
      </w:r>
      <w:r>
        <w:fldChar w:fldCharType="begin"/>
      </w:r>
      <w:r>
        <w:instrText xml:space="preserve"> HYPERLINK "https://doi.org/10.3843/GLOWM.411323" \h </w:instrText>
      </w:r>
      <w:r>
        <w:fldChar w:fldCharType="separate"/>
      </w:r>
      <w:r>
        <w:rPr>
          <w:sz w:val="24"/>
          <w:szCs w:val="24"/>
        </w:rPr>
        <w:t xml:space="preserve"> </w:t>
      </w:r>
      <w:r>
        <w:rPr>
          <w:sz w:val="24"/>
          <w:szCs w:val="24"/>
        </w:rPr>
        <w:fldChar w:fldCharType="end"/>
      </w:r>
      <w:r>
        <w:fldChar w:fldCharType="begin"/>
      </w:r>
      <w:r>
        <w:instrText xml:space="preserve"> HYPERLINK "https://doi.org/10.3843/GLOWM.411323" \h </w:instrText>
      </w:r>
      <w:r>
        <w:fldChar w:fldCharType="separate"/>
      </w:r>
      <w:r>
        <w:rPr>
          <w:sz w:val="24"/>
          <w:szCs w:val="24"/>
          <w:u w:val="single"/>
        </w:rPr>
        <w:t>https://doi.org/10.3843/GLOWM.411323</w:t>
      </w:r>
      <w:r>
        <w:rPr>
          <w:sz w:val="24"/>
          <w:szCs w:val="24"/>
          <w:u w:val="single"/>
        </w:rPr>
        <w:fldChar w:fldCharType="end"/>
      </w:r>
    </w:p>
    <w:p w14:paraId="76BF52CD">
      <w:pPr>
        <w:spacing w:line="240" w:lineRule="auto"/>
        <w:ind w:left="720"/>
        <w:jc w:val="both"/>
        <w:rPr>
          <w:sz w:val="24"/>
          <w:szCs w:val="24"/>
          <w:u w:val="single"/>
        </w:rPr>
      </w:pPr>
    </w:p>
    <w:p w14:paraId="27B2C153">
      <w:pPr>
        <w:numPr>
          <w:ilvl w:val="0"/>
          <w:numId w:val="1"/>
        </w:numPr>
        <w:spacing w:line="240" w:lineRule="auto"/>
        <w:jc w:val="both"/>
        <w:rPr>
          <w:sz w:val="24"/>
          <w:szCs w:val="24"/>
        </w:rPr>
      </w:pPr>
      <w:r>
        <w:rPr>
          <w:sz w:val="24"/>
          <w:szCs w:val="24"/>
        </w:rPr>
        <w:t xml:space="preserve">Wang, D., Lv, S., Wei, Y., &amp; Zhao, X. (2026). Imaging and fluid biomarkers for prognostic stratification in cerebral amyloid angiopathy. </w:t>
      </w:r>
      <w:r>
        <w:rPr>
          <w:i/>
          <w:iCs/>
          <w:sz w:val="24"/>
          <w:szCs w:val="24"/>
        </w:rPr>
        <w:t>Journal of Neurology, 273</w:t>
      </w:r>
      <w:r>
        <w:rPr>
          <w:sz w:val="24"/>
          <w:szCs w:val="24"/>
        </w:rPr>
        <w:t>(2), 90.</w:t>
      </w:r>
      <w:r>
        <w:fldChar w:fldCharType="begin"/>
      </w:r>
      <w:r>
        <w:instrText xml:space="preserve"> HYPERLINK "https://doi.org/10.1007/s00415-026-13626-2" \h </w:instrText>
      </w:r>
      <w:r>
        <w:fldChar w:fldCharType="separate"/>
      </w:r>
      <w:r>
        <w:rPr>
          <w:sz w:val="24"/>
          <w:szCs w:val="24"/>
        </w:rPr>
        <w:t xml:space="preserve"> </w:t>
      </w:r>
      <w:r>
        <w:rPr>
          <w:sz w:val="24"/>
          <w:szCs w:val="24"/>
        </w:rPr>
        <w:fldChar w:fldCharType="end"/>
      </w:r>
      <w:r>
        <w:fldChar w:fldCharType="begin"/>
      </w:r>
      <w:r>
        <w:instrText xml:space="preserve"> HYPERLINK "https://doi.org/10.1007/s00415-026-13626-2" \h </w:instrText>
      </w:r>
      <w:r>
        <w:fldChar w:fldCharType="separate"/>
      </w:r>
      <w:r>
        <w:rPr>
          <w:sz w:val="24"/>
          <w:szCs w:val="24"/>
          <w:u w:val="single"/>
        </w:rPr>
        <w:t>https://doi.org/10.1007/s00415-026-13626-2</w:t>
      </w:r>
      <w:r>
        <w:rPr>
          <w:sz w:val="24"/>
          <w:szCs w:val="24"/>
          <w:u w:val="single"/>
        </w:rPr>
        <w:fldChar w:fldCharType="end"/>
      </w:r>
    </w:p>
    <w:p w14:paraId="0B6A51B1">
      <w:pPr>
        <w:spacing w:line="240" w:lineRule="auto"/>
        <w:ind w:left="720"/>
        <w:jc w:val="both"/>
        <w:rPr>
          <w:sz w:val="24"/>
          <w:szCs w:val="24"/>
        </w:rPr>
      </w:pPr>
    </w:p>
    <w:p w14:paraId="772404C3">
      <w:pPr>
        <w:numPr>
          <w:ilvl w:val="0"/>
          <w:numId w:val="1"/>
        </w:numPr>
        <w:spacing w:line="240" w:lineRule="auto"/>
        <w:jc w:val="both"/>
        <w:rPr>
          <w:sz w:val="24"/>
          <w:szCs w:val="24"/>
        </w:rPr>
      </w:pPr>
      <w:r>
        <w:rPr>
          <w:sz w:val="24"/>
          <w:szCs w:val="24"/>
        </w:rPr>
        <w:t xml:space="preserve">Wu, F., Cui, C., Wu, J., &amp; Wang, Y. (2024). </w:t>
      </w:r>
      <w:r>
        <w:rPr>
          <w:i/>
          <w:iCs/>
          <w:sz w:val="24"/>
          <w:szCs w:val="24"/>
        </w:rPr>
        <w:t>Association between lipid accumulation product index and chronic kidney disease: A systematic review and meta-analysis</w:t>
      </w:r>
      <w:r>
        <w:rPr>
          <w:sz w:val="24"/>
          <w:szCs w:val="24"/>
        </w:rPr>
        <w:t>. Experimental and Therapeutic Medicine, 28, 308.</w:t>
      </w:r>
      <w:r>
        <w:fldChar w:fldCharType="begin"/>
      </w:r>
      <w:r>
        <w:instrText xml:space="preserve"> HYPERLINK "https://doi.org/10.3892/etm.2024.12597" \h </w:instrText>
      </w:r>
      <w:r>
        <w:fldChar w:fldCharType="separate"/>
      </w:r>
      <w:r>
        <w:rPr>
          <w:sz w:val="24"/>
          <w:szCs w:val="24"/>
          <w:u w:val="single"/>
        </w:rPr>
        <w:t xml:space="preserve"> </w:t>
      </w:r>
      <w:r>
        <w:rPr>
          <w:sz w:val="24"/>
          <w:szCs w:val="24"/>
          <w:u w:val="single"/>
        </w:rPr>
        <w:fldChar w:fldCharType="end"/>
      </w:r>
      <w:r>
        <w:fldChar w:fldCharType="begin"/>
      </w:r>
      <w:r>
        <w:instrText xml:space="preserve"> HYPERLINK "https://doi.org/10.3892/etm.2024.12597" \h </w:instrText>
      </w:r>
      <w:r>
        <w:fldChar w:fldCharType="separate"/>
      </w:r>
      <w:r>
        <w:rPr>
          <w:sz w:val="24"/>
          <w:szCs w:val="24"/>
          <w:u w:val="single"/>
        </w:rPr>
        <w:t>https://doi.org/10.3892/etm.2024.12597</w:t>
      </w:r>
      <w:r>
        <w:rPr>
          <w:sz w:val="24"/>
          <w:szCs w:val="24"/>
          <w:u w:val="single"/>
        </w:rPr>
        <w:fldChar w:fldCharType="end"/>
      </w:r>
    </w:p>
    <w:p w14:paraId="57978A40">
      <w:pPr>
        <w:spacing w:line="240" w:lineRule="auto"/>
        <w:ind w:left="720"/>
        <w:jc w:val="both"/>
        <w:rPr>
          <w:sz w:val="24"/>
          <w:szCs w:val="24"/>
        </w:rPr>
      </w:pPr>
    </w:p>
    <w:p w14:paraId="5DB23116">
      <w:pPr>
        <w:numPr>
          <w:ilvl w:val="0"/>
          <w:numId w:val="1"/>
        </w:numPr>
        <w:spacing w:line="240" w:lineRule="auto"/>
        <w:jc w:val="both"/>
        <w:rPr>
          <w:sz w:val="24"/>
          <w:szCs w:val="24"/>
        </w:rPr>
      </w:pPr>
      <w:r>
        <w:rPr>
          <w:sz w:val="24"/>
          <w:szCs w:val="24"/>
        </w:rPr>
        <w:t xml:space="preserve">Wu, Q., Qiu, X., &amp; Chen, H. (2026). Advancements in early biomarkers of acute kidney injury: From traditional indicators to a paradigm shift in lactate metabolism. </w:t>
      </w:r>
      <w:r>
        <w:rPr>
          <w:i/>
          <w:iCs/>
          <w:sz w:val="24"/>
          <w:szCs w:val="24"/>
        </w:rPr>
        <w:t>Annals of Medicine, 58</w:t>
      </w:r>
      <w:r>
        <w:rPr>
          <w:sz w:val="24"/>
          <w:szCs w:val="24"/>
        </w:rPr>
        <w:t>(1), 2612383.</w:t>
      </w:r>
      <w:r>
        <w:fldChar w:fldCharType="begin"/>
      </w:r>
      <w:r>
        <w:instrText xml:space="preserve"> HYPERLINK "https://doi.org/10.1080/07853890.2025.2612383" \h </w:instrText>
      </w:r>
      <w:r>
        <w:fldChar w:fldCharType="separate"/>
      </w:r>
      <w:r>
        <w:rPr>
          <w:sz w:val="24"/>
          <w:szCs w:val="24"/>
        </w:rPr>
        <w:t xml:space="preserve"> </w:t>
      </w:r>
      <w:r>
        <w:rPr>
          <w:sz w:val="24"/>
          <w:szCs w:val="24"/>
        </w:rPr>
        <w:fldChar w:fldCharType="end"/>
      </w:r>
      <w:r>
        <w:fldChar w:fldCharType="begin"/>
      </w:r>
      <w:r>
        <w:instrText xml:space="preserve"> HYPERLINK "https://doi.org/10.1080/07853890.2025.2612383" \h </w:instrText>
      </w:r>
      <w:r>
        <w:fldChar w:fldCharType="separate"/>
      </w:r>
      <w:r>
        <w:rPr>
          <w:sz w:val="24"/>
          <w:szCs w:val="24"/>
          <w:u w:val="single"/>
        </w:rPr>
        <w:t>https://doi.org/10.1080/07853890.2025.2612383</w:t>
      </w:r>
      <w:r>
        <w:rPr>
          <w:sz w:val="24"/>
          <w:szCs w:val="24"/>
          <w:u w:val="single"/>
        </w:rPr>
        <w:fldChar w:fldCharType="end"/>
      </w:r>
    </w:p>
    <w:p w14:paraId="427FC8EB">
      <w:pPr>
        <w:jc w:val="both"/>
        <w:rPr>
          <w:sz w:val="24"/>
          <w:szCs w:val="24"/>
        </w:rPr>
      </w:pPr>
    </w:p>
    <w:sectPr>
      <w:pgSz w:w="12240" w:h="15840"/>
      <w:pgMar w:top="1440" w:right="1440" w:bottom="1440" w:left="1440" w:header="720" w:footer="72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embedRegular r:id="rId1" w:fontKey="{050EB964-602B-476D-B996-AC6797A9A92E}"/>
  </w:font>
  <w:font w:name="Arial">
    <w:panose1 w:val="020B0604020202020204"/>
    <w:charset w:val="86"/>
    <w:family w:val="swiss"/>
    <w:pitch w:val="default"/>
    <w:sig w:usb0="E0002EFF" w:usb1="C000785B" w:usb2="00000009" w:usb3="00000000" w:csb0="400001FF" w:csb1="FFFF0000"/>
    <w:embedRegular r:id="rId2" w:fontKey="{6639B361-CEA1-47F2-8FC8-52D5EDA490FF}"/>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3" w:fontKey="{F0CD402F-77D1-4475-A412-5DFD626E7BF1}"/>
  </w:font>
  <w:font w:name="Wingdings">
    <w:panose1 w:val="05000000000000000000"/>
    <w:charset w:val="02"/>
    <w:family w:val="auto"/>
    <w:pitch w:val="default"/>
    <w:sig w:usb0="00000000" w:usb1="00000000" w:usb2="00000000" w:usb3="00000000" w:csb0="80000000" w:csb1="00000000"/>
    <w:embedRegular r:id="rId4" w:fontKey="{EB667D47-5B22-481C-A26E-AB6074B28FFE}"/>
  </w:font>
  <w:font w:name="Calibri">
    <w:panose1 w:val="020F0502020204030204"/>
    <w:charset w:val="00"/>
    <w:family w:val="swiss"/>
    <w:pitch w:val="default"/>
    <w:sig w:usb0="E4002EFF" w:usb1="C200247B" w:usb2="00000009" w:usb3="00000000" w:csb0="200001FF" w:csb1="00000000"/>
    <w:embedRegular r:id="rId5" w:fontKey="{A832820D-6B36-49E7-9D76-66AB648D03F0}"/>
  </w:font>
  <w:font w:name="等线">
    <w:altName w:val="Microsoft YaHei"/>
    <w:panose1 w:val="00000000000000000000"/>
    <w:charset w:val="86"/>
    <w:family w:val="auto"/>
    <w:pitch w:val="default"/>
    <w:sig w:usb0="00000000" w:usb1="00000000" w:usb2="00000000" w:usb3="00000000" w:csb0="00000000" w:csb1="00000000"/>
  </w:font>
  <w:font w:name="Arial">
    <w:panose1 w:val="020B0604020202020204"/>
    <w:charset w:val="00"/>
    <w:family w:val="auto"/>
    <w:pitch w:val="default"/>
    <w:sig w:usb0="E0002EFF" w:usb1="C000785B" w:usb2="00000009" w:usb3="00000000" w:csb0="400001FF" w:csb1="FFFF0000"/>
    <w:embedRegular r:id="rId6" w:fontKey="{AAA50D80-3F21-4FAA-9B20-241740162D35}"/>
  </w:font>
  <w:font w:name="Microsoft YaHei">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A3D185">
    <w:pPr>
      <w:pStyle w:val="1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A9DBEC">
    <w:pPr>
      <w:pStyle w:val="1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236205">
    <w:pPr>
      <w:pStyle w:val="1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76" w:lineRule="auto"/>
      </w:pPr>
      <w:r>
        <w:separator/>
      </w:r>
    </w:p>
  </w:footnote>
  <w:footnote w:type="continuationSeparator" w:id="1">
    <w:p>
      <w:pPr>
        <w:spacing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F09FFE">
    <w:pPr>
      <w:pStyle w:val="11"/>
    </w:pPr>
    <w:r>
      <w:pict>
        <v:shape id="PowerPlusWaterMarkObject458338861" o:spid="_x0000_s2051" o:spt="136" type="#_x0000_t136" style="position:absolute;left:0pt;height:65.95pt;width:593.85pt;mso-position-horizontal:center;mso-position-horizontal-relative:margin;mso-position-vertical:center;mso-position-vertical-relative:margin;rotation:20643840f;z-index:-251655168;mso-width-relative:page;mso-height-relative:page;" fillcolor="#C0C0C0" filled="t" stroked="f" coordsize="21600,21600" o:allowincell="f">
          <v:path/>
          <v:fill on="t" opacity="32768f" focussize="0,0"/>
          <v:stroke on="f"/>
          <v:imagedata o:title=""/>
          <o:lock v:ext="edit"/>
          <v:textpath on="t" fitpath="t" trim="f" xscale="f" string="UNDER PEER REVIEW" style="font-family:Arial;font-size:1pt;v-text-align:center;"/>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85F441">
    <w:pPr>
      <w:pStyle w:val="11"/>
    </w:pPr>
    <w:r>
      <w:pict>
        <v:shape id="PowerPlusWaterMarkObject458338860" o:spid="_x0000_s2050" o:spt="136" type="#_x0000_t136" style="position:absolute;left:0pt;height:65.95pt;width:593.85pt;mso-position-horizontal:center;mso-position-horizontal-relative:margin;mso-position-vertical:center;mso-position-vertical-relative:margin;rotation:20643840f;z-index:-251656192;mso-width-relative:page;mso-height-relative:page;" fillcolor="#C0C0C0" filled="t" stroked="f" coordsize="21600,21600" o:allowincell="f">
          <v:path/>
          <v:fill on="t" opacity="32768f" focussize="0,0"/>
          <v:stroke on="f"/>
          <v:imagedata o:title=""/>
          <o:lock v:ext="edit"/>
          <v:textpath on="t" fitpath="t" trim="f" xscale="f" string="UNDER PEER REVIEW" style="font-family:Arial;font-size:1pt;v-text-align:center;"/>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AEF405">
    <w:pPr>
      <w:pStyle w:val="11"/>
    </w:pPr>
    <w:r>
      <w:pict>
        <v:shape id="PowerPlusWaterMarkObject458338859" o:spid="_x0000_s2049" o:spt="136" type="#_x0000_t136" style="position:absolute;left:0pt;height:65.95pt;width:593.85pt;mso-position-horizontal:center;mso-position-horizontal-relative:margin;mso-position-vertical:center;mso-position-vertical-relative:margin;rotation:20643840f;z-index:-251657216;mso-width-relative:page;mso-height-relative:page;" fillcolor="#C0C0C0" filled="t" stroked="f" coordsize="21600,21600" o:allowincell="f">
          <v:path/>
          <v:fill on="t" opacity="32768f" focussize="0,0"/>
          <v:stroke on="f"/>
          <v:imagedata o:title=""/>
          <o:lock v:ext="edit"/>
          <v:textpath on="t" fitpath="t" trim="f" xscale="f" string="UNDER PEER REVIEW" style="font-family:Arial;font-size:1pt;v-text-align:center;"/>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8717814"/>
    <w:multiLevelType w:val="multilevel"/>
    <w:tmpl w:val="08717814"/>
    <w:lvl w:ilvl="0" w:tentative="0">
      <w:start w:val="1"/>
      <w:numFmt w:val="decimal"/>
      <w:lvlText w:val="%1."/>
      <w:lvlJc w:val="left"/>
      <w:pPr>
        <w:ind w:left="720" w:hanging="360"/>
      </w:pPr>
      <w:rPr>
        <w:u w:val="none"/>
      </w:rPr>
    </w:lvl>
    <w:lvl w:ilvl="1" w:tentative="0">
      <w:start w:val="1"/>
      <w:numFmt w:val="lowerLetter"/>
      <w:lvlText w:val="%2."/>
      <w:lvlJc w:val="left"/>
      <w:pPr>
        <w:ind w:left="1440" w:hanging="360"/>
      </w:pPr>
      <w:rPr>
        <w:u w:val="none"/>
      </w:rPr>
    </w:lvl>
    <w:lvl w:ilvl="2" w:tentative="0">
      <w:start w:val="1"/>
      <w:numFmt w:val="lowerRoman"/>
      <w:lvlText w:val="%3."/>
      <w:lvlJc w:val="righ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righ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righ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bordersDoNotSurroundHeader w:val="0"/>
  <w:bordersDoNotSurroundFooter w:val="0"/>
  <w:documentProtection w:enforcement="0"/>
  <w:defaultTabStop w:val="720"/>
  <w:displayHorizontalDrawingGridEvery w:val="1"/>
  <w:displayVerticalDrawingGridEvery w:val="1"/>
  <w:noPunctuationKerning w:val="1"/>
  <w:characterSpacingControl w:val="doNotCompress"/>
  <w:hdrShapeDefaults>
    <o:shapelayout v:ext="edit">
      <o:idmap v:ext="edit" data="2"/>
    </o:shapelayout>
  </w:hdrShapeDefaults>
  <w:footnotePr>
    <w:footnote w:id="0"/>
    <w:footnote w:id="1"/>
  </w:footnotePr>
  <w:endnotePr>
    <w:endnote w:id="0"/>
    <w:endnote w:id="1"/>
  </w:endnotePr>
  <w:compat>
    <w:doNotExpandShiftReturn/>
    <w:doNotWrapTextWithPunct/>
    <w:doNotUseEastAsian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46EA"/>
    <w:rsid w:val="00115F17"/>
    <w:rsid w:val="001546EA"/>
    <w:rsid w:val="001870AB"/>
    <w:rsid w:val="001959B1"/>
    <w:rsid w:val="001E2CC1"/>
    <w:rsid w:val="007670B5"/>
    <w:rsid w:val="0081693A"/>
    <w:rsid w:val="008751FB"/>
    <w:rsid w:val="00D6637F"/>
    <w:rsid w:val="00EA67E1"/>
    <w:rsid w:val="10E82E4C"/>
    <w:rsid w:val="328F62DE"/>
    <w:rsid w:val="5BAE21B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line="276" w:lineRule="auto"/>
    </w:pPr>
    <w:rPr>
      <w:rFonts w:ascii="Arial" w:hAnsi="Arial" w:eastAsia="Arial" w:cs="Arial"/>
      <w:sz w:val="22"/>
      <w:szCs w:val="22"/>
      <w:lang w:val="en" w:eastAsia="en-US" w:bidi="ar-SA"/>
    </w:rPr>
  </w:style>
  <w:style w:type="paragraph" w:styleId="2">
    <w:name w:val="heading 1"/>
    <w:basedOn w:val="1"/>
    <w:next w:val="1"/>
    <w:qFormat/>
    <w:uiPriority w:val="9"/>
    <w:pPr>
      <w:keepNext/>
      <w:keepLines/>
      <w:spacing w:before="400" w:after="120"/>
      <w:outlineLvl w:val="0"/>
    </w:pPr>
    <w:rPr>
      <w:sz w:val="40"/>
      <w:szCs w:val="40"/>
    </w:rPr>
  </w:style>
  <w:style w:type="paragraph" w:styleId="3">
    <w:name w:val="heading 2"/>
    <w:basedOn w:val="1"/>
    <w:next w:val="1"/>
    <w:unhideWhenUsed/>
    <w:qFormat/>
    <w:uiPriority w:val="9"/>
    <w:pPr>
      <w:keepNext/>
      <w:keepLines/>
      <w:spacing w:before="360" w:after="120"/>
      <w:outlineLvl w:val="1"/>
    </w:pPr>
    <w:rPr>
      <w:sz w:val="32"/>
      <w:szCs w:val="32"/>
    </w:rPr>
  </w:style>
  <w:style w:type="paragraph" w:styleId="4">
    <w:name w:val="heading 3"/>
    <w:basedOn w:val="1"/>
    <w:next w:val="1"/>
    <w:semiHidden/>
    <w:unhideWhenUsed/>
    <w:qFormat/>
    <w:uiPriority w:val="9"/>
    <w:pPr>
      <w:keepNext/>
      <w:keepLines/>
      <w:spacing w:before="320" w:after="80"/>
      <w:outlineLvl w:val="2"/>
    </w:pPr>
    <w:rPr>
      <w:color w:val="434343"/>
      <w:sz w:val="28"/>
      <w:szCs w:val="28"/>
    </w:rPr>
  </w:style>
  <w:style w:type="paragraph" w:styleId="5">
    <w:name w:val="heading 4"/>
    <w:basedOn w:val="1"/>
    <w:next w:val="1"/>
    <w:semiHidden/>
    <w:unhideWhenUsed/>
    <w:qFormat/>
    <w:uiPriority w:val="9"/>
    <w:pPr>
      <w:keepNext/>
      <w:keepLines/>
      <w:spacing w:before="280" w:after="80"/>
      <w:outlineLvl w:val="3"/>
    </w:pPr>
    <w:rPr>
      <w:color w:val="666666"/>
      <w:sz w:val="24"/>
      <w:szCs w:val="24"/>
    </w:rPr>
  </w:style>
  <w:style w:type="paragraph" w:styleId="6">
    <w:name w:val="heading 5"/>
    <w:basedOn w:val="1"/>
    <w:next w:val="1"/>
    <w:semiHidden/>
    <w:unhideWhenUsed/>
    <w:qFormat/>
    <w:uiPriority w:val="9"/>
    <w:pPr>
      <w:keepNext/>
      <w:keepLines/>
      <w:spacing w:before="240" w:after="80"/>
      <w:outlineLvl w:val="4"/>
    </w:pPr>
    <w:rPr>
      <w:color w:val="666666"/>
    </w:rPr>
  </w:style>
  <w:style w:type="paragraph" w:styleId="7">
    <w:name w:val="heading 6"/>
    <w:basedOn w:val="1"/>
    <w:next w:val="1"/>
    <w:semiHidden/>
    <w:unhideWhenUsed/>
    <w:qFormat/>
    <w:uiPriority w:val="9"/>
    <w:pPr>
      <w:keepNext/>
      <w:keepLines/>
      <w:spacing w:before="240" w:after="80"/>
      <w:outlineLvl w:val="5"/>
    </w:pPr>
    <w:rPr>
      <w:i/>
      <w:iCs/>
      <w:color w:val="666666"/>
    </w:rPr>
  </w:style>
  <w:style w:type="character" w:default="1" w:styleId="8">
    <w:name w:val="Default Paragraph Font"/>
    <w:semiHidden/>
    <w:unhideWhenUsed/>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10">
    <w:name w:val="footer"/>
    <w:basedOn w:val="1"/>
    <w:link w:val="24"/>
    <w:unhideWhenUsed/>
    <w:qFormat/>
    <w:uiPriority w:val="99"/>
    <w:pPr>
      <w:tabs>
        <w:tab w:val="center" w:pos="4680"/>
        <w:tab w:val="right" w:pos="9360"/>
      </w:tabs>
      <w:spacing w:line="240" w:lineRule="auto"/>
    </w:pPr>
  </w:style>
  <w:style w:type="paragraph" w:styleId="11">
    <w:name w:val="header"/>
    <w:basedOn w:val="1"/>
    <w:link w:val="23"/>
    <w:unhideWhenUsed/>
    <w:qFormat/>
    <w:uiPriority w:val="99"/>
    <w:pPr>
      <w:tabs>
        <w:tab w:val="center" w:pos="4680"/>
        <w:tab w:val="right" w:pos="9360"/>
      </w:tabs>
      <w:spacing w:line="240" w:lineRule="auto"/>
    </w:pPr>
  </w:style>
  <w:style w:type="character" w:styleId="12">
    <w:name w:val="Hyperlink"/>
    <w:basedOn w:val="8"/>
    <w:unhideWhenUsed/>
    <w:qFormat/>
    <w:uiPriority w:val="99"/>
    <w:rPr>
      <w:color w:val="0000FF" w:themeColor="hyperlink"/>
      <w:u w:val="single"/>
      <w14:textFill>
        <w14:solidFill>
          <w14:schemeClr w14:val="hlink"/>
        </w14:solidFill>
      </w14:textFill>
    </w:rPr>
  </w:style>
  <w:style w:type="paragraph" w:styleId="13">
    <w:name w:val="Normal (Web)"/>
    <w:semiHidden/>
    <w:unhideWhenUsed/>
    <w:uiPriority w:val="99"/>
    <w:pPr>
      <w:spacing w:before="0" w:beforeAutospacing="1" w:after="0" w:afterAutospacing="1"/>
      <w:ind w:left="0" w:right="0"/>
      <w:jc w:val="left"/>
    </w:pPr>
    <w:rPr>
      <w:kern w:val="0"/>
      <w:sz w:val="24"/>
      <w:szCs w:val="24"/>
      <w:lang w:val="en-US" w:eastAsia="zh-CN" w:bidi="ar"/>
    </w:rPr>
  </w:style>
  <w:style w:type="character" w:styleId="14">
    <w:name w:val="Strong"/>
    <w:basedOn w:val="8"/>
    <w:qFormat/>
    <w:uiPriority w:val="22"/>
    <w:rPr>
      <w:b/>
      <w:bCs/>
    </w:rPr>
  </w:style>
  <w:style w:type="paragraph" w:styleId="15">
    <w:name w:val="Subtitle"/>
    <w:basedOn w:val="1"/>
    <w:next w:val="1"/>
    <w:qFormat/>
    <w:uiPriority w:val="11"/>
    <w:pPr>
      <w:keepNext/>
      <w:keepLines/>
      <w:spacing w:after="320"/>
    </w:pPr>
    <w:rPr>
      <w:color w:val="666666"/>
      <w:sz w:val="30"/>
      <w:szCs w:val="30"/>
    </w:rPr>
  </w:style>
  <w:style w:type="paragraph" w:styleId="16">
    <w:name w:val="Title"/>
    <w:basedOn w:val="1"/>
    <w:next w:val="1"/>
    <w:qFormat/>
    <w:uiPriority w:val="10"/>
    <w:pPr>
      <w:keepNext/>
      <w:keepLines/>
      <w:spacing w:after="60"/>
    </w:pPr>
    <w:rPr>
      <w:sz w:val="52"/>
      <w:szCs w:val="52"/>
    </w:rPr>
  </w:style>
  <w:style w:type="table" w:customStyle="1" w:styleId="17">
    <w:name w:val="TableNormal"/>
    <w:qFormat/>
    <w:uiPriority w:val="0"/>
    <w:tblPr>
      <w:tblCellMar>
        <w:top w:w="100" w:type="dxa"/>
        <w:left w:w="100" w:type="dxa"/>
        <w:bottom w:w="100" w:type="dxa"/>
        <w:right w:w="100" w:type="dxa"/>
      </w:tblCellMar>
    </w:tblPr>
  </w:style>
  <w:style w:type="table" w:customStyle="1" w:styleId="18">
    <w:name w:val="_Style 12"/>
    <w:basedOn w:val="17"/>
    <w:qFormat/>
    <w:uiPriority w:val="0"/>
  </w:style>
  <w:style w:type="table" w:customStyle="1" w:styleId="19">
    <w:name w:val="_Style 13"/>
    <w:basedOn w:val="17"/>
    <w:qFormat/>
    <w:uiPriority w:val="0"/>
  </w:style>
  <w:style w:type="table" w:customStyle="1" w:styleId="20">
    <w:name w:val="_Style 14"/>
    <w:basedOn w:val="17"/>
    <w:qFormat/>
    <w:uiPriority w:val="0"/>
  </w:style>
  <w:style w:type="table" w:customStyle="1" w:styleId="21">
    <w:name w:val="_Style 15"/>
    <w:basedOn w:val="17"/>
    <w:qFormat/>
    <w:uiPriority w:val="0"/>
  </w:style>
  <w:style w:type="character" w:customStyle="1" w:styleId="22">
    <w:name w:val="Unresolved Mention"/>
    <w:basedOn w:val="8"/>
    <w:semiHidden/>
    <w:unhideWhenUsed/>
    <w:qFormat/>
    <w:uiPriority w:val="99"/>
    <w:rPr>
      <w:color w:val="605E5C"/>
      <w:shd w:val="clear" w:color="auto" w:fill="E1DFDD"/>
    </w:rPr>
  </w:style>
  <w:style w:type="character" w:customStyle="1" w:styleId="23">
    <w:name w:val="Header Char"/>
    <w:basedOn w:val="8"/>
    <w:link w:val="11"/>
    <w:qFormat/>
    <w:uiPriority w:val="99"/>
  </w:style>
  <w:style w:type="character" w:customStyle="1" w:styleId="24">
    <w:name w:val="Footer Char"/>
    <w:basedOn w:val="8"/>
    <w:link w:val="10"/>
    <w:qFormat/>
    <w:uiPriority w:val="99"/>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numbering" Target="numbering.xml"/><Relationship Id="rId12" Type="http://schemas.openxmlformats.org/officeDocument/2006/relationships/customXml" Target="../customXml/item1.xml"/><Relationship Id="rId11" Type="http://schemas.openxmlformats.org/officeDocument/2006/relationships/theme" Target="theme/theme1.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2051"/>
    <customShpInfo spid="_x0000_s2050"/>
    <customShpInfo spid="_x0000_s204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19</Pages>
  <Words>4562</Words>
  <Characters>29126</Characters>
  <Lines>261</Lines>
  <Paragraphs>73</Paragraphs>
  <TotalTime>25</TotalTime>
  <ScaleCrop>false</ScaleCrop>
  <LinksUpToDate>false</LinksUpToDate>
  <CharactersWithSpaces>33374</CharactersWithSpaces>
  <Application>WPS Office_12.1.0.25862_F1E327BC-269C-435d-A152-05C5408002CA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2026-04-20T12:09:00Z</dcterms:created>
  <dc:creator>ADMIN</dc:creator>
  <cp:lastModifiedBy>Alofa Chinwe Melford</cp:lastModifiedBy>
  <dcterms:modified xsi:type="dcterms:W3CDTF">2026-04-24T13:59:20Z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eyJoZGlkIjoiMzM2NjMwNzlhODAzM2VkMTIzZDZiMTcyZGVkOTdhNzMiLCJ1c2VySWQiOiI3MDUwMDU3NzI1NDUifQ==</vt:lpwstr>
  </property>
  <property fmtid="{D5CDD505-2E9C-101B-9397-08002B2CF9AE}" pid="3" name="KSOProductBuildVer">
    <vt:lpwstr>1033-12.1.0.25862</vt:lpwstr>
  </property>
  <property fmtid="{D5CDD505-2E9C-101B-9397-08002B2CF9AE}" pid="4" name="ICV">
    <vt:lpwstr>E3171F7CFBA343F399A1B454F779C679_12</vt:lpwstr>
  </property>
</Properties>
</file>