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DCD99" w14:textId="7DDFDD0A" w:rsidR="00676CDB" w:rsidRDefault="00676CDB" w:rsidP="00DB4495">
      <w:pPr>
        <w:rPr>
          <w:rFonts w:asciiTheme="majorBidi" w:hAnsiTheme="majorBidi" w:cstheme="majorBidi"/>
          <w:b/>
          <w:bCs/>
        </w:rPr>
      </w:pPr>
      <w:bookmarkStart w:id="0" w:name="_GoBack"/>
      <w:bookmarkEnd w:id="0"/>
      <w:r w:rsidRPr="00676CDB">
        <w:rPr>
          <w:rFonts w:asciiTheme="majorBidi" w:hAnsiTheme="majorBidi" w:cstheme="majorBidi"/>
          <w:b/>
          <w:bCs/>
          <w:highlight w:val="yellow"/>
        </w:rPr>
        <w:t>Canadian Triage and Acuity Scale (CTAS) Proficiency in High-Volume Emergency Settings: A Scoping Review</w:t>
      </w:r>
    </w:p>
    <w:p w14:paraId="6A8C3B03" w14:textId="77777777" w:rsidR="00DF2FE7" w:rsidRPr="00DB4495" w:rsidRDefault="00DF2FE7" w:rsidP="00DB4495">
      <w:pPr>
        <w:rPr>
          <w:rFonts w:asciiTheme="majorBidi" w:hAnsiTheme="majorBidi" w:cstheme="majorBidi"/>
          <w:b/>
          <w:bCs/>
        </w:rPr>
      </w:pPr>
    </w:p>
    <w:p w14:paraId="56F5A357"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Abstract</w:t>
      </w:r>
    </w:p>
    <w:p w14:paraId="288817D3"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Background:</w:t>
      </w:r>
      <w:r w:rsidRPr="00DB4495">
        <w:rPr>
          <w:rFonts w:asciiTheme="majorBidi" w:hAnsiTheme="majorBidi" w:cstheme="majorBidi"/>
        </w:rPr>
        <w:t> Triage decision-making (TDM) using the Canadian Triage and Acuity Scale (CTAS) is critical in high-volume emergency departments (EDs), but nurse experience and work environment factors may influence CTAS proficiency.</w:t>
      </w:r>
    </w:p>
    <w:p w14:paraId="0806BD9E"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Objective:</w:t>
      </w:r>
      <w:r w:rsidRPr="00DB4495">
        <w:rPr>
          <w:rFonts w:asciiTheme="majorBidi" w:hAnsiTheme="majorBidi" w:cstheme="majorBidi"/>
        </w:rPr>
        <w:t xml:space="preserve"> To map and synthesize evidence on how nurse experience and work environment affect CTAS proficiency in high-volume </w:t>
      </w:r>
      <w:proofErr w:type="spellStart"/>
      <w:r w:rsidRPr="00DB4495">
        <w:rPr>
          <w:rFonts w:asciiTheme="majorBidi" w:hAnsiTheme="majorBidi" w:cstheme="majorBidi"/>
        </w:rPr>
        <w:t>EDs.</w:t>
      </w:r>
      <w:proofErr w:type="spellEnd"/>
    </w:p>
    <w:p w14:paraId="05A50036"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Methods:</w:t>
      </w:r>
      <w:r w:rsidRPr="00DB4495">
        <w:rPr>
          <w:rFonts w:asciiTheme="majorBidi" w:hAnsiTheme="majorBidi" w:cstheme="majorBidi"/>
        </w:rPr>
        <w:t> Following JBI guidelines and PRISMA-</w:t>
      </w:r>
      <w:proofErr w:type="spellStart"/>
      <w:r w:rsidRPr="00DB4495">
        <w:rPr>
          <w:rFonts w:asciiTheme="majorBidi" w:hAnsiTheme="majorBidi" w:cstheme="majorBidi"/>
        </w:rPr>
        <w:t>ScR</w:t>
      </w:r>
      <w:proofErr w:type="spellEnd"/>
      <w:r w:rsidRPr="00DB4495">
        <w:rPr>
          <w:rFonts w:asciiTheme="majorBidi" w:hAnsiTheme="majorBidi" w:cstheme="majorBidi"/>
        </w:rPr>
        <w:t>, we searched PubMed, CINAHL, Scopus, Web of Science, and Google Scholar (2000–September 2025). Inclusion criteria: studies of adult ED triage nurses (Population), TDM/CTAS proficiency (Concept), and high-volume EDs (&gt;50,000 visits/year or NEDOCS ≥100) (Context). Data from 28 studies were thematically synthesized.</w:t>
      </w:r>
    </w:p>
    <w:p w14:paraId="2605D8BB"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Results:</w:t>
      </w:r>
      <w:r w:rsidRPr="00DB4495">
        <w:rPr>
          <w:rFonts w:asciiTheme="majorBidi" w:hAnsiTheme="majorBidi" w:cstheme="majorBidi"/>
        </w:rPr>
        <w:t> Tenure &gt;5 years was associated with 15–30% accuracy gains for urgent cases (Levels 2–3), supported by intuitive reasoning (System 1). However, cognitive biases (e.g., centrality bias, kappa 0.65–0.72) limited reliability. Overcrowding and nurse-to-patient ratios &gt;4:1 increased errors by 12–18%, with under-triage reaching 41.5% during surges. Electronic aids improved reliability by approximately 0.10 kappa but could not eliminate systemic strain.</w:t>
      </w:r>
    </w:p>
    <w:p w14:paraId="495851DA"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Conclusions:</w:t>
      </w:r>
      <w:r w:rsidRPr="00DB4495">
        <w:rPr>
          <w:rFonts w:asciiTheme="majorBidi" w:hAnsiTheme="majorBidi" w:cstheme="majorBidi"/>
        </w:rPr>
        <w:t> CTAS proficiency depends on both individual expertise and supportive work environments. Debiasing training, workload caps, and better electronic support are needed. Major gaps include lack of longitudinal studies and underrepresentation of low-resource settings.</w:t>
      </w:r>
    </w:p>
    <w:p w14:paraId="5C4902D1"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Keywords:</w:t>
      </w:r>
      <w:r w:rsidRPr="00DB4495">
        <w:rPr>
          <w:rFonts w:asciiTheme="majorBidi" w:hAnsiTheme="majorBidi" w:cstheme="majorBidi"/>
        </w:rPr>
        <w:t> Triage, CTAS, emergency nursing, experience, overcrowding</w:t>
      </w:r>
    </w:p>
    <w:p w14:paraId="77FDF7F8" w14:textId="7EAFCF98" w:rsidR="00DB4495" w:rsidRPr="00DB4495" w:rsidRDefault="00DB4495" w:rsidP="00DB4495">
      <w:pPr>
        <w:rPr>
          <w:rFonts w:asciiTheme="majorBidi" w:hAnsiTheme="majorBidi" w:cstheme="majorBidi"/>
        </w:rPr>
      </w:pPr>
    </w:p>
    <w:p w14:paraId="651EE272"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Introduction</w:t>
      </w:r>
    </w:p>
    <w:p w14:paraId="6CE22B45" w14:textId="77777777" w:rsidR="00DB4495" w:rsidRPr="00DB4495" w:rsidRDefault="00DB4495" w:rsidP="00DB4495">
      <w:pPr>
        <w:rPr>
          <w:rFonts w:asciiTheme="majorBidi" w:hAnsiTheme="majorBidi" w:cstheme="majorBidi"/>
        </w:rPr>
      </w:pPr>
      <w:r w:rsidRPr="00DB4495">
        <w:rPr>
          <w:rFonts w:asciiTheme="majorBidi" w:hAnsiTheme="majorBidi" w:cstheme="majorBidi"/>
        </w:rPr>
        <w:t>Emergency departments serve as the primary point of entry for acute care, managing patients with highly diverse urgency levels and resource requirements. To bring order to this complex environment, many EDs have adopted standardized triage systems. The Canadian Triage and Acuity Scale (CTAS) is an evidence-based, five-level instrument ranging from Level 1 (resuscitation) to Level 5 (non-urgent) [6]. However, the effectiveness of CTAS depends entirely on the nurses who apply it, as accurate scoring requires a combination of clinical judgment, vital sign assessment, and thorough patient history.</w:t>
      </w:r>
    </w:p>
    <w:p w14:paraId="3BA2D992" w14:textId="77777777" w:rsidR="00DB4495" w:rsidRPr="00DB4495" w:rsidRDefault="00DB4495" w:rsidP="00DB4495">
      <w:pPr>
        <w:rPr>
          <w:rFonts w:asciiTheme="majorBidi" w:hAnsiTheme="majorBidi" w:cstheme="majorBidi"/>
        </w:rPr>
      </w:pPr>
      <w:r w:rsidRPr="00DB4495">
        <w:rPr>
          <w:rFonts w:asciiTheme="majorBidi" w:hAnsiTheme="majorBidi" w:cstheme="majorBidi"/>
        </w:rPr>
        <w:t xml:space="preserve">The consequences of triage errors are particularly severe in high-volume settings—those with 50,000 to 100,000 visits annually or a National Emergency Department Overcrowding Scale </w:t>
      </w:r>
      <w:r w:rsidRPr="00DB4495">
        <w:rPr>
          <w:rFonts w:asciiTheme="majorBidi" w:hAnsiTheme="majorBidi" w:cstheme="majorBidi"/>
        </w:rPr>
        <w:lastRenderedPageBreak/>
        <w:t>(NEDOCS) score of 100 or higher. In these environments, resource strain is extreme, and even small mistakes can lead to delayed treatment, increased morbidity, and higher mortality rates.</w:t>
      </w:r>
    </w:p>
    <w:p w14:paraId="71819844" w14:textId="77777777" w:rsidR="00DB4495" w:rsidRPr="00DB4495" w:rsidRDefault="00DB4495" w:rsidP="00DB4495">
      <w:pPr>
        <w:rPr>
          <w:rFonts w:asciiTheme="majorBidi" w:hAnsiTheme="majorBidi" w:cstheme="majorBidi"/>
        </w:rPr>
      </w:pPr>
      <w:r w:rsidRPr="00DB4495">
        <w:rPr>
          <w:rFonts w:asciiTheme="majorBidi" w:hAnsiTheme="majorBidi" w:cstheme="majorBidi"/>
        </w:rPr>
        <w:t>Applying CTAS is neither a purely technical task nor a fully dynamic process; it involves both personal experience and system conditions. Experience—measured as tenure in ED practice—contributes to the development of expertise through intentional, reflective skill acquisition. Benner’s novice-to-expert model [5] describes how nurses transition from analytical (System 2: slow, effortful) to intuitive (System 1: fast, heuristic) processing. Empirical evidence shows that tenure greater than five years is associated with 15–30% higher accuracy for emergent and urgent cases (Levels 2–3, which represent 60–70% of presentations) and reduced under-triage rates [24,32]. Targeted CTAS training further enhances performance, yielding a 25% knowledge gain and improving inter-rater reliability (kappa = 0.69–0.85; [4,31]).</w:t>
      </w:r>
    </w:p>
    <w:p w14:paraId="13BB6DEE" w14:textId="77777777" w:rsidR="00DB4495" w:rsidRPr="00DB4495" w:rsidRDefault="00DB4495" w:rsidP="00DB4495">
      <w:pPr>
        <w:rPr>
          <w:rFonts w:asciiTheme="majorBidi" w:hAnsiTheme="majorBidi" w:cstheme="majorBidi"/>
        </w:rPr>
      </w:pPr>
      <w:r w:rsidRPr="00DB4495">
        <w:rPr>
          <w:rFonts w:asciiTheme="majorBidi" w:hAnsiTheme="majorBidi" w:cstheme="majorBidi"/>
        </w:rPr>
        <w:t>However, even well-trained nurses are susceptible to cognitive biases in nonlinear ED systems. Complexity science suggests that small disruptions—such as interruptions or patient surges—can propagate into significant errors through feedback loops [30]. These vulnerabilities are exacerbated by work environments characterized by overcrowding, noise exceeding 70 dB, and nurse-to-patient ratios greater than 4:1, which increase fatigue and decision stress, reducing judgment capacity by 12–18% during peak hours [13,18]. Job satisfaction mediates approximately 25% of the variance in proficiency, with misclassifications increasing further in ambiguous cases [27]. Electronic aids can partially mitigate these problems—improving accuracy by about 20% [2]—yet systemic issues persist, with CTAS mismatch rates reaching 41.5% during surges [18].</w:t>
      </w:r>
    </w:p>
    <w:p w14:paraId="1874F571" w14:textId="77777777" w:rsidR="00DB4495" w:rsidRPr="00DB4495" w:rsidRDefault="00DB4495" w:rsidP="00DB4495">
      <w:pPr>
        <w:rPr>
          <w:rFonts w:asciiTheme="majorBidi" w:hAnsiTheme="majorBidi" w:cstheme="majorBidi"/>
        </w:rPr>
      </w:pPr>
      <w:r w:rsidRPr="00DB4495">
        <w:rPr>
          <w:rFonts w:asciiTheme="majorBidi" w:hAnsiTheme="majorBidi" w:cstheme="majorBidi"/>
        </w:rPr>
        <w:t>Although robust evidence exists for individual factors, the synthesis remains fragmented. Most research focuses on quantitative metrics such as accuracy rather than holistic integration of experience, environment, and decision processes. Comparative work supports the predictive superiority of CTAS (kappa = 0.72 compared to alternative systems; [26]) but rarely considers contextual moderators in high-volume settings [1]. Arksey and O’Malley [3] note that scoping reviews are particularly suited to mapping this complex landscape without the restrictive quality appraisal requirements of systematic reviews.</w:t>
      </w:r>
    </w:p>
    <w:p w14:paraId="59F8A972" w14:textId="77777777" w:rsidR="00DB4495" w:rsidRPr="00DB4495" w:rsidRDefault="00DB4495" w:rsidP="00DB4495">
      <w:pPr>
        <w:rPr>
          <w:rFonts w:asciiTheme="majorBidi" w:hAnsiTheme="majorBidi" w:cstheme="majorBidi"/>
        </w:rPr>
      </w:pPr>
      <w:r w:rsidRPr="00DB4495">
        <w:rPr>
          <w:rFonts w:asciiTheme="majorBidi" w:hAnsiTheme="majorBidi" w:cstheme="majorBidi"/>
        </w:rPr>
        <w:t>Using the JBI method [29] and guided by dual-process theory and complexity science, this review addresses three questions: (1) How does nurse experience predetermine triage decision-making and CTAS proficiency in high-volume EDs? (2) What is the evidence for the impact of work environment on CTAS proficiency? (3) What are the gaps and implications for maximizing proficiency? We map evidence from 2000 to 2025, including quantitative, qualitative, and mixed-methods studies, to inform training, policy, and system design as patient volumes are expected to increase by 20% [8].</w:t>
      </w:r>
    </w:p>
    <w:p w14:paraId="33895980" w14:textId="72DF6197" w:rsidR="00DB4495" w:rsidRPr="00DB4495" w:rsidRDefault="00DB4495" w:rsidP="00DB4495">
      <w:pPr>
        <w:rPr>
          <w:rFonts w:asciiTheme="majorBidi" w:hAnsiTheme="majorBidi" w:cstheme="majorBidi"/>
        </w:rPr>
      </w:pPr>
    </w:p>
    <w:p w14:paraId="373B4A3C"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Methods</w:t>
      </w:r>
    </w:p>
    <w:p w14:paraId="789BA541" w14:textId="77777777" w:rsidR="00DB4495" w:rsidRPr="00DB4495" w:rsidRDefault="00DB4495" w:rsidP="00DB4495">
      <w:pPr>
        <w:rPr>
          <w:rFonts w:asciiTheme="majorBidi" w:hAnsiTheme="majorBidi" w:cstheme="majorBidi"/>
        </w:rPr>
      </w:pPr>
      <w:r w:rsidRPr="00DB4495">
        <w:rPr>
          <w:rFonts w:asciiTheme="majorBidi" w:hAnsiTheme="majorBidi" w:cstheme="majorBidi"/>
        </w:rPr>
        <w:lastRenderedPageBreak/>
        <w:t>This scoping review followed the JBI guidelines [29] and adhered to the PRISMA-</w:t>
      </w:r>
      <w:proofErr w:type="spellStart"/>
      <w:r w:rsidRPr="00DB4495">
        <w:rPr>
          <w:rFonts w:asciiTheme="majorBidi" w:hAnsiTheme="majorBidi" w:cstheme="majorBidi"/>
        </w:rPr>
        <w:t>ScR</w:t>
      </w:r>
      <w:proofErr w:type="spellEnd"/>
      <w:r w:rsidRPr="00DB4495">
        <w:rPr>
          <w:rFonts w:asciiTheme="majorBidi" w:hAnsiTheme="majorBidi" w:cstheme="majorBidi"/>
        </w:rPr>
        <w:t xml:space="preserve"> reporting framework as described by Arksey and O’Malley [3]. The following stages were used: (1) research question formulation, (2) study identification, (3) study selection, (4) data charting, and (5) collation and summary. Stakeholder consultation was not carried out due to scope limitations. The analysis was framed by three conceptual underpinnings: Benner’s experience and expertise model [5], Kahneman’s dual-process (heuristics and biases) model [17], and complexity science [30] to understand environmental nonlinearity. We distinguished between tenure (quantifiable time) and expertise (reflective skill).</w:t>
      </w:r>
    </w:p>
    <w:p w14:paraId="061F9711"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Review Questions</w:t>
      </w:r>
    </w:p>
    <w:p w14:paraId="04F322BF" w14:textId="77777777" w:rsidR="00DB4495" w:rsidRPr="00DB4495" w:rsidRDefault="00DB4495" w:rsidP="00DB4495">
      <w:pPr>
        <w:rPr>
          <w:rFonts w:asciiTheme="majorBidi" w:hAnsiTheme="majorBidi" w:cstheme="majorBidi"/>
        </w:rPr>
      </w:pPr>
      <w:r w:rsidRPr="00DB4495">
        <w:rPr>
          <w:rFonts w:asciiTheme="majorBidi" w:hAnsiTheme="majorBidi" w:cstheme="majorBidi"/>
        </w:rPr>
        <w:t>Using the PCC framework:</w:t>
      </w:r>
    </w:p>
    <w:p w14:paraId="7E88BC5E" w14:textId="77777777" w:rsidR="00DB4495" w:rsidRPr="00DB4495" w:rsidRDefault="00DB4495" w:rsidP="00DB4495">
      <w:pPr>
        <w:numPr>
          <w:ilvl w:val="0"/>
          <w:numId w:val="1"/>
        </w:numPr>
        <w:rPr>
          <w:rFonts w:asciiTheme="majorBidi" w:hAnsiTheme="majorBidi" w:cstheme="majorBidi"/>
        </w:rPr>
      </w:pPr>
      <w:r w:rsidRPr="00DB4495">
        <w:rPr>
          <w:rFonts w:asciiTheme="majorBidi" w:hAnsiTheme="majorBidi" w:cstheme="majorBidi"/>
        </w:rPr>
        <w:t>What are the implications of nurse experience on triage decision-making and CTAS competency in high-volume EDs? (Population: ED triage nurses; Concept: Experience/expertise; Context: High-volume EDs)</w:t>
      </w:r>
    </w:p>
    <w:p w14:paraId="5EAF712F" w14:textId="77777777" w:rsidR="00DB4495" w:rsidRPr="00DB4495" w:rsidRDefault="00DB4495" w:rsidP="00DB4495">
      <w:pPr>
        <w:numPr>
          <w:ilvl w:val="0"/>
          <w:numId w:val="1"/>
        </w:numPr>
        <w:rPr>
          <w:rFonts w:asciiTheme="majorBidi" w:hAnsiTheme="majorBidi" w:cstheme="majorBidi"/>
        </w:rPr>
      </w:pPr>
      <w:r w:rsidRPr="00DB4495">
        <w:rPr>
          <w:rFonts w:asciiTheme="majorBidi" w:hAnsiTheme="majorBidi" w:cstheme="majorBidi"/>
        </w:rPr>
        <w:t>What evidence exists for the effect of work environment on CTAS proficiency? (Same Population and Concept; Context: Tiered high-volume settings)</w:t>
      </w:r>
    </w:p>
    <w:p w14:paraId="0B960ED7" w14:textId="77777777" w:rsidR="00DB4495" w:rsidRPr="00DB4495" w:rsidRDefault="00DB4495" w:rsidP="00DB4495">
      <w:pPr>
        <w:numPr>
          <w:ilvl w:val="0"/>
          <w:numId w:val="1"/>
        </w:numPr>
        <w:rPr>
          <w:rFonts w:asciiTheme="majorBidi" w:hAnsiTheme="majorBidi" w:cstheme="majorBidi"/>
        </w:rPr>
      </w:pPr>
      <w:r w:rsidRPr="00DB4495">
        <w:rPr>
          <w:rFonts w:asciiTheme="majorBidi" w:hAnsiTheme="majorBidi" w:cstheme="majorBidi"/>
        </w:rPr>
        <w:t>What are the gaps and implications for maximizing proficiency?</w:t>
      </w:r>
    </w:p>
    <w:p w14:paraId="16C3FDC3"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Inclusion Criteria</w:t>
      </w:r>
    </w:p>
    <w:p w14:paraId="77EAE965" w14:textId="77777777" w:rsidR="00DB4495" w:rsidRPr="00DB4495" w:rsidRDefault="00DB4495" w:rsidP="00DB4495">
      <w:pPr>
        <w:rPr>
          <w:rFonts w:asciiTheme="majorBidi" w:hAnsiTheme="majorBidi" w:cstheme="majorBidi"/>
        </w:rPr>
      </w:pPr>
      <w:r w:rsidRPr="00DB4495">
        <w:rPr>
          <w:rFonts w:asciiTheme="majorBidi" w:hAnsiTheme="majorBidi" w:cstheme="majorBidi"/>
        </w:rPr>
        <w:t>Studies were included if they:</w:t>
      </w:r>
    </w:p>
    <w:p w14:paraId="0A08B371" w14:textId="77777777" w:rsidR="00DB4495" w:rsidRPr="00DB4495" w:rsidRDefault="00DB4495" w:rsidP="00DB4495">
      <w:pPr>
        <w:numPr>
          <w:ilvl w:val="0"/>
          <w:numId w:val="2"/>
        </w:numPr>
        <w:rPr>
          <w:rFonts w:asciiTheme="majorBidi" w:hAnsiTheme="majorBidi" w:cstheme="majorBidi"/>
        </w:rPr>
      </w:pPr>
      <w:r w:rsidRPr="00DB4495">
        <w:rPr>
          <w:rFonts w:asciiTheme="majorBidi" w:hAnsiTheme="majorBidi" w:cstheme="majorBidi"/>
        </w:rPr>
        <w:t>Involved adult emergency department triage nurses in moderate-volume (50,000–100,000 visits/year), high-volume (&gt;100,000 visits/year), or overcrowded EDs (NEDOCS score ≥100)</w:t>
      </w:r>
    </w:p>
    <w:p w14:paraId="0AD8B153" w14:textId="77777777" w:rsidR="00DB4495" w:rsidRPr="00DB4495" w:rsidRDefault="00DB4495" w:rsidP="00DB4495">
      <w:pPr>
        <w:numPr>
          <w:ilvl w:val="0"/>
          <w:numId w:val="2"/>
        </w:numPr>
        <w:rPr>
          <w:rFonts w:asciiTheme="majorBidi" w:hAnsiTheme="majorBidi" w:cstheme="majorBidi"/>
        </w:rPr>
      </w:pPr>
      <w:r w:rsidRPr="00DB4495">
        <w:rPr>
          <w:rFonts w:asciiTheme="majorBidi" w:hAnsiTheme="majorBidi" w:cstheme="majorBidi"/>
        </w:rPr>
        <w:t>Were empirical studies (quantitative, qualitative, or mixed-methods)</w:t>
      </w:r>
    </w:p>
    <w:p w14:paraId="36176444" w14:textId="77777777" w:rsidR="00DB4495" w:rsidRPr="00DB4495" w:rsidRDefault="00DB4495" w:rsidP="00DB4495">
      <w:pPr>
        <w:numPr>
          <w:ilvl w:val="0"/>
          <w:numId w:val="2"/>
        </w:numPr>
        <w:rPr>
          <w:rFonts w:asciiTheme="majorBidi" w:hAnsiTheme="majorBidi" w:cstheme="majorBidi"/>
        </w:rPr>
      </w:pPr>
      <w:r w:rsidRPr="00DB4495">
        <w:rPr>
          <w:rFonts w:asciiTheme="majorBidi" w:hAnsiTheme="majorBidi" w:cstheme="majorBidi"/>
        </w:rPr>
        <w:t>Were published in English between 2000 and September 2025</w:t>
      </w:r>
    </w:p>
    <w:p w14:paraId="3A6E5780" w14:textId="77777777" w:rsidR="00DB4495" w:rsidRPr="00DB4495" w:rsidRDefault="00DB4495" w:rsidP="00DB4495">
      <w:pPr>
        <w:rPr>
          <w:rFonts w:asciiTheme="majorBidi" w:hAnsiTheme="majorBidi" w:cstheme="majorBidi"/>
        </w:rPr>
      </w:pPr>
      <w:r w:rsidRPr="00DB4495">
        <w:rPr>
          <w:rFonts w:asciiTheme="majorBidi" w:hAnsiTheme="majorBidi" w:cstheme="majorBidi"/>
        </w:rPr>
        <w:t>Exclusion criteria:</w:t>
      </w:r>
    </w:p>
    <w:p w14:paraId="361F9853" w14:textId="77777777" w:rsidR="00DB4495" w:rsidRPr="00DB4495" w:rsidRDefault="00DB4495" w:rsidP="00DB4495">
      <w:pPr>
        <w:numPr>
          <w:ilvl w:val="0"/>
          <w:numId w:val="3"/>
        </w:numPr>
        <w:rPr>
          <w:rFonts w:asciiTheme="majorBidi" w:hAnsiTheme="majorBidi" w:cstheme="majorBidi"/>
        </w:rPr>
      </w:pPr>
      <w:r w:rsidRPr="00DB4495">
        <w:rPr>
          <w:rFonts w:asciiTheme="majorBidi" w:hAnsiTheme="majorBidi" w:cstheme="majorBidi"/>
        </w:rPr>
        <w:t>Studies narrowly limited to pediatric populations</w:t>
      </w:r>
    </w:p>
    <w:p w14:paraId="75238549" w14:textId="77777777" w:rsidR="00DB4495" w:rsidRPr="00DB4495" w:rsidRDefault="00DB4495" w:rsidP="00DB4495">
      <w:pPr>
        <w:numPr>
          <w:ilvl w:val="0"/>
          <w:numId w:val="3"/>
        </w:numPr>
        <w:rPr>
          <w:rFonts w:asciiTheme="majorBidi" w:hAnsiTheme="majorBidi" w:cstheme="majorBidi"/>
        </w:rPr>
      </w:pPr>
      <w:r w:rsidRPr="00DB4495">
        <w:rPr>
          <w:rFonts w:asciiTheme="majorBidi" w:hAnsiTheme="majorBidi" w:cstheme="majorBidi"/>
        </w:rPr>
        <w:t>Non-empirical methods (editorials, narrative reviews, opinion pieces)</w:t>
      </w:r>
    </w:p>
    <w:p w14:paraId="6EBD3941" w14:textId="77777777" w:rsidR="00DB4495" w:rsidRPr="00DB4495" w:rsidRDefault="00DB4495" w:rsidP="00DB4495">
      <w:pPr>
        <w:numPr>
          <w:ilvl w:val="0"/>
          <w:numId w:val="3"/>
        </w:numPr>
        <w:rPr>
          <w:rFonts w:asciiTheme="majorBidi" w:hAnsiTheme="majorBidi" w:cstheme="majorBidi"/>
        </w:rPr>
      </w:pPr>
      <w:r w:rsidRPr="00DB4495">
        <w:rPr>
          <w:rFonts w:asciiTheme="majorBidi" w:hAnsiTheme="majorBidi" w:cstheme="majorBidi"/>
        </w:rPr>
        <w:t>Published before the year 2000</w:t>
      </w:r>
    </w:p>
    <w:p w14:paraId="6C4A56A4"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Search Strategy</w:t>
      </w:r>
    </w:p>
    <w:p w14:paraId="7AEABE4C" w14:textId="77777777" w:rsidR="00DB4495" w:rsidRPr="00DB4495" w:rsidRDefault="00DB4495" w:rsidP="00DB4495">
      <w:pPr>
        <w:rPr>
          <w:rFonts w:asciiTheme="majorBidi" w:hAnsiTheme="majorBidi" w:cstheme="majorBidi"/>
        </w:rPr>
      </w:pPr>
      <w:r w:rsidRPr="00DB4495">
        <w:rPr>
          <w:rFonts w:asciiTheme="majorBidi" w:hAnsiTheme="majorBidi" w:cstheme="majorBidi"/>
        </w:rPr>
        <w:t xml:space="preserve">We conducted a search in five databases: PubMed, CINAHL, Scopus, Web of Science, and Google Scholar. These databases were selected because they collectively provide comprehensive coverage of nursing, emergency medicine, and health systems literature. The search was conducted in October 2025, covering literature from 2000 onward. Although triage nursing </w:t>
      </w:r>
      <w:r w:rsidRPr="00DB4495">
        <w:rPr>
          <w:rFonts w:asciiTheme="majorBidi" w:hAnsiTheme="majorBidi" w:cstheme="majorBidi"/>
        </w:rPr>
        <w:lastRenderedPageBreak/>
        <w:t>competency and ED overcrowding evidence have evolved significantly over the last two decades, older literature remains valuable as contextual background.</w:t>
      </w:r>
    </w:p>
    <w:p w14:paraId="1A935908" w14:textId="77777777" w:rsidR="00DB4495" w:rsidRPr="00DB4495" w:rsidRDefault="00DB4495" w:rsidP="00DB4495">
      <w:pPr>
        <w:rPr>
          <w:rFonts w:asciiTheme="majorBidi" w:hAnsiTheme="majorBidi" w:cstheme="majorBidi"/>
        </w:rPr>
      </w:pPr>
      <w:r w:rsidRPr="00DB4495">
        <w:rPr>
          <w:rFonts w:asciiTheme="majorBidi" w:hAnsiTheme="majorBidi" w:cstheme="majorBidi"/>
        </w:rPr>
        <w:t>Search terms were constructed iteratively to ensure inclusivity. For the nursing population, we used "triage nurse</w:t>
      </w:r>
      <w:r w:rsidRPr="00DB4495">
        <w:rPr>
          <w:rFonts w:asciiTheme="majorBidi" w:hAnsiTheme="majorBidi" w:cstheme="majorBidi"/>
          <w:i/>
          <w:iCs/>
        </w:rPr>
        <w:t xml:space="preserve">" and "emergency </w:t>
      </w:r>
      <w:proofErr w:type="spellStart"/>
      <w:r w:rsidRPr="00DB4495">
        <w:rPr>
          <w:rFonts w:asciiTheme="majorBidi" w:hAnsiTheme="majorBidi" w:cstheme="majorBidi"/>
          <w:i/>
          <w:iCs/>
        </w:rPr>
        <w:t>nurs</w:t>
      </w:r>
      <w:proofErr w:type="spellEnd"/>
      <w:r w:rsidRPr="00DB4495">
        <w:rPr>
          <w:rFonts w:asciiTheme="majorBidi" w:hAnsiTheme="majorBidi" w:cstheme="majorBidi"/>
        </w:rPr>
        <w:t>." Because CTAS was our primary focus, we included both the full name and its abbreviation. To capture the experiential aspect of triage practice, we used a range of terms including "experience," "expertise," and "novice to expert," recognizing that the literature may not use these terms interchangeably. For the emergency department context, we added "high-volume," "overcrowd*," and "NEDOCS," the latter being a validated instrument for measuring ED overcrowding.</w:t>
      </w:r>
    </w:p>
    <w:p w14:paraId="21CB3F48" w14:textId="77777777" w:rsidR="00DB4495" w:rsidRPr="00DB4495" w:rsidRDefault="00DB4495" w:rsidP="00DB4495">
      <w:pPr>
        <w:rPr>
          <w:rFonts w:asciiTheme="majorBidi" w:hAnsiTheme="majorBidi" w:cstheme="majorBidi"/>
        </w:rPr>
      </w:pPr>
      <w:r w:rsidRPr="00DB4495">
        <w:rPr>
          <w:rFonts w:asciiTheme="majorBidi" w:hAnsiTheme="majorBidi" w:cstheme="majorBidi"/>
        </w:rPr>
        <w:t>We specifically excluded pediatric-focused studies because triage decision-making in children involves different physiological and developmental considerations beyond the scope of this review. The search was limited to English-language publications due to the team's language constraints.</w:t>
      </w:r>
    </w:p>
    <w:p w14:paraId="0D47698D"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Study Selection</w:t>
      </w:r>
    </w:p>
    <w:p w14:paraId="07A90923" w14:textId="77777777" w:rsidR="00DB4495" w:rsidRPr="00DB4495" w:rsidRDefault="00DB4495" w:rsidP="00DB4495">
      <w:pPr>
        <w:rPr>
          <w:rFonts w:asciiTheme="majorBidi" w:hAnsiTheme="majorBidi" w:cstheme="majorBidi"/>
        </w:rPr>
      </w:pPr>
      <w:r w:rsidRPr="00DB4495">
        <w:rPr>
          <w:rFonts w:asciiTheme="majorBidi" w:hAnsiTheme="majorBidi" w:cstheme="majorBidi"/>
        </w:rPr>
        <w:t>The PRISMA-</w:t>
      </w:r>
      <w:proofErr w:type="spellStart"/>
      <w:r w:rsidRPr="00DB4495">
        <w:rPr>
          <w:rFonts w:asciiTheme="majorBidi" w:hAnsiTheme="majorBidi" w:cstheme="majorBidi"/>
        </w:rPr>
        <w:t>ScR</w:t>
      </w:r>
      <w:proofErr w:type="spellEnd"/>
      <w:r w:rsidRPr="00DB4495">
        <w:rPr>
          <w:rFonts w:asciiTheme="majorBidi" w:hAnsiTheme="majorBidi" w:cstheme="majorBidi"/>
        </w:rPr>
        <w:t xml:space="preserve"> framework guided study selection [35]. Duplicates were removed using EndNote (1,856 → 1,247 unique records). Two independent reviewers screened abstracts (kappa = 0.82). Full texts of 156 records were assessed, resulting in 28 included studies.</w:t>
      </w:r>
    </w:p>
    <w:p w14:paraId="7AD03F0E" w14:textId="77777777" w:rsidR="00DB4495" w:rsidRPr="00DB4495" w:rsidRDefault="00DB4495" w:rsidP="00DB4495">
      <w:pPr>
        <w:rPr>
          <w:rFonts w:asciiTheme="majorBidi" w:hAnsiTheme="majorBidi" w:cstheme="majorBidi"/>
        </w:rPr>
      </w:pPr>
      <w:r w:rsidRPr="00DB4495">
        <w:rPr>
          <w:rFonts w:asciiTheme="majorBidi" w:hAnsiTheme="majorBidi" w:cstheme="majorBidi"/>
        </w:rPr>
        <w:t>Exclusion reasons: Non-CTAS (n = 62), pediatric (n = 34), non-ED (n = 32).</w:t>
      </w:r>
    </w:p>
    <w:p w14:paraId="220FF6E5" w14:textId="499871A6" w:rsidR="00DB4495" w:rsidRDefault="00DB4495" w:rsidP="00DB4495">
      <w:pPr>
        <w:rPr>
          <w:rFonts w:asciiTheme="majorBidi" w:hAnsiTheme="majorBidi" w:cstheme="majorBidi"/>
        </w:rPr>
      </w:pPr>
      <w:r w:rsidRPr="00DB4495">
        <w:rPr>
          <w:rFonts w:asciiTheme="majorBidi" w:hAnsiTheme="majorBidi" w:cstheme="majorBidi"/>
          <w:b/>
          <w:bCs/>
        </w:rPr>
        <w:t>Figure 1</w:t>
      </w:r>
      <w:r w:rsidRPr="00DB4495">
        <w:rPr>
          <w:rFonts w:asciiTheme="majorBidi" w:hAnsiTheme="majorBidi" w:cstheme="majorBidi"/>
        </w:rPr>
        <w:t> presents the PRISMA-</w:t>
      </w:r>
      <w:proofErr w:type="spellStart"/>
      <w:r w:rsidRPr="00DB4495">
        <w:rPr>
          <w:rFonts w:asciiTheme="majorBidi" w:hAnsiTheme="majorBidi" w:cstheme="majorBidi"/>
        </w:rPr>
        <w:t>ScR</w:t>
      </w:r>
      <w:proofErr w:type="spellEnd"/>
      <w:r w:rsidRPr="00DB4495">
        <w:rPr>
          <w:rFonts w:asciiTheme="majorBidi" w:hAnsiTheme="majorBidi" w:cstheme="majorBidi"/>
        </w:rPr>
        <w:t xml:space="preserve"> flow diagram.</w:t>
      </w:r>
    </w:p>
    <w:p w14:paraId="784CD47A" w14:textId="55D0CB6A" w:rsidR="00676CDB" w:rsidRDefault="00676CDB" w:rsidP="00DB4495">
      <w:pPr>
        <w:rPr>
          <w:rFonts w:asciiTheme="majorBidi" w:hAnsiTheme="majorBidi" w:cstheme="majorBidi"/>
        </w:rPr>
      </w:pPr>
    </w:p>
    <w:p w14:paraId="461886BC" w14:textId="35F5C359" w:rsidR="00676CDB" w:rsidRPr="00DB4495" w:rsidRDefault="00676CDB" w:rsidP="00DB4495">
      <w:pPr>
        <w:rPr>
          <w:rFonts w:asciiTheme="majorBidi" w:hAnsiTheme="majorBidi" w:cstheme="majorBidi"/>
        </w:rPr>
      </w:pPr>
      <w:r>
        <w:rPr>
          <w:rFonts w:asciiTheme="majorBidi" w:hAnsiTheme="majorBidi" w:cstheme="majorBidi"/>
          <w:noProof/>
          <w:lang w:bidi="bn-BD"/>
        </w:rPr>
        <w:lastRenderedPageBreak/>
        <w:drawing>
          <wp:inline distT="0" distB="0" distL="0" distR="0" wp14:anchorId="3053FA23" wp14:editId="20AFCB29">
            <wp:extent cx="5867400" cy="8801100"/>
            <wp:effectExtent l="0" t="0" r="0" b="0"/>
            <wp:docPr id="251674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7400" cy="8801100"/>
                    </a:xfrm>
                    <a:prstGeom prst="rect">
                      <a:avLst/>
                    </a:prstGeom>
                    <a:noFill/>
                  </pic:spPr>
                </pic:pic>
              </a:graphicData>
            </a:graphic>
          </wp:inline>
        </w:drawing>
      </w:r>
    </w:p>
    <w:p w14:paraId="597F7DF1" w14:textId="258B7A4B" w:rsidR="00DB4495" w:rsidRPr="00DB4495" w:rsidRDefault="00DB4495" w:rsidP="00DB4495">
      <w:pPr>
        <w:rPr>
          <w:rFonts w:asciiTheme="majorBidi" w:hAnsiTheme="majorBidi" w:cstheme="majorBidi"/>
        </w:rPr>
      </w:pPr>
    </w:p>
    <w:p w14:paraId="0B0F5CB9"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Figure 1. PRISMA-</w:t>
      </w:r>
      <w:proofErr w:type="spellStart"/>
      <w:r w:rsidRPr="00DB4495">
        <w:rPr>
          <w:rFonts w:asciiTheme="majorBidi" w:hAnsiTheme="majorBidi" w:cstheme="majorBidi"/>
          <w:b/>
          <w:bCs/>
        </w:rPr>
        <w:t>ScR</w:t>
      </w:r>
      <w:proofErr w:type="spellEnd"/>
      <w:r w:rsidRPr="00DB4495">
        <w:rPr>
          <w:rFonts w:asciiTheme="majorBidi" w:hAnsiTheme="majorBidi" w:cstheme="majorBidi"/>
          <w:b/>
          <w:bCs/>
        </w:rPr>
        <w:t xml:space="preserve"> Flow Diagram of Study Selection Process</w:t>
      </w:r>
    </w:p>
    <w:p w14:paraId="6764D456" w14:textId="77777777" w:rsidR="00DB4495" w:rsidRPr="00DB4495" w:rsidRDefault="00DB4495" w:rsidP="00DB4495">
      <w:pPr>
        <w:rPr>
          <w:rFonts w:asciiTheme="majorBidi" w:hAnsiTheme="majorBidi" w:cstheme="majorBidi"/>
        </w:rPr>
      </w:pPr>
      <w:r w:rsidRPr="00DB4495">
        <w:rPr>
          <w:rFonts w:asciiTheme="majorBidi" w:hAnsiTheme="majorBidi" w:cstheme="majorBidi"/>
          <w:i/>
          <w:iCs/>
        </w:rPr>
        <w:t>(A visual diagram is inserted here showing:)</w:t>
      </w:r>
    </w:p>
    <w:p w14:paraId="2232CAC0"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Identification</w:t>
      </w:r>
    </w:p>
    <w:p w14:paraId="1198E39F" w14:textId="77777777" w:rsidR="00DB4495" w:rsidRPr="00DB4495" w:rsidRDefault="00DB4495" w:rsidP="00DB4495">
      <w:pPr>
        <w:numPr>
          <w:ilvl w:val="0"/>
          <w:numId w:val="4"/>
        </w:numPr>
        <w:rPr>
          <w:rFonts w:asciiTheme="majorBidi" w:hAnsiTheme="majorBidi" w:cstheme="majorBidi"/>
        </w:rPr>
      </w:pPr>
      <w:r w:rsidRPr="00DB4495">
        <w:rPr>
          <w:rFonts w:asciiTheme="majorBidi" w:hAnsiTheme="majorBidi" w:cstheme="majorBidi"/>
        </w:rPr>
        <w:t>Records identified from databases (n = 1,856)</w:t>
      </w:r>
    </w:p>
    <w:p w14:paraId="31610342" w14:textId="77777777" w:rsidR="00DB4495" w:rsidRPr="00DB4495" w:rsidRDefault="00DB4495" w:rsidP="00DB4495">
      <w:pPr>
        <w:numPr>
          <w:ilvl w:val="1"/>
          <w:numId w:val="4"/>
        </w:numPr>
        <w:rPr>
          <w:rFonts w:asciiTheme="majorBidi" w:hAnsiTheme="majorBidi" w:cstheme="majorBidi"/>
        </w:rPr>
      </w:pPr>
      <w:r w:rsidRPr="00DB4495">
        <w:rPr>
          <w:rFonts w:asciiTheme="majorBidi" w:hAnsiTheme="majorBidi" w:cstheme="majorBidi"/>
        </w:rPr>
        <w:t>PubMed (n = 856)</w:t>
      </w:r>
    </w:p>
    <w:p w14:paraId="71C6D32A" w14:textId="77777777" w:rsidR="00DB4495" w:rsidRPr="00DB4495" w:rsidRDefault="00DB4495" w:rsidP="00DB4495">
      <w:pPr>
        <w:numPr>
          <w:ilvl w:val="1"/>
          <w:numId w:val="4"/>
        </w:numPr>
        <w:rPr>
          <w:rFonts w:asciiTheme="majorBidi" w:hAnsiTheme="majorBidi" w:cstheme="majorBidi"/>
        </w:rPr>
      </w:pPr>
      <w:r w:rsidRPr="00DB4495">
        <w:rPr>
          <w:rFonts w:asciiTheme="majorBidi" w:hAnsiTheme="majorBidi" w:cstheme="majorBidi"/>
        </w:rPr>
        <w:t>CINAHL (n = 412)</w:t>
      </w:r>
    </w:p>
    <w:p w14:paraId="739FEA71" w14:textId="77777777" w:rsidR="00DB4495" w:rsidRPr="00DB4495" w:rsidRDefault="00DB4495" w:rsidP="00DB4495">
      <w:pPr>
        <w:numPr>
          <w:ilvl w:val="1"/>
          <w:numId w:val="4"/>
        </w:numPr>
        <w:rPr>
          <w:rFonts w:asciiTheme="majorBidi" w:hAnsiTheme="majorBidi" w:cstheme="majorBidi"/>
        </w:rPr>
      </w:pPr>
      <w:r w:rsidRPr="00DB4495">
        <w:rPr>
          <w:rFonts w:asciiTheme="majorBidi" w:hAnsiTheme="majorBidi" w:cstheme="majorBidi"/>
        </w:rPr>
        <w:t>Scopus (n = 289)</w:t>
      </w:r>
    </w:p>
    <w:p w14:paraId="58F1D860" w14:textId="77777777" w:rsidR="00DB4495" w:rsidRPr="00DB4495" w:rsidRDefault="00DB4495" w:rsidP="00DB4495">
      <w:pPr>
        <w:numPr>
          <w:ilvl w:val="1"/>
          <w:numId w:val="4"/>
        </w:numPr>
        <w:rPr>
          <w:rFonts w:asciiTheme="majorBidi" w:hAnsiTheme="majorBidi" w:cstheme="majorBidi"/>
        </w:rPr>
      </w:pPr>
      <w:r w:rsidRPr="00DB4495">
        <w:rPr>
          <w:rFonts w:asciiTheme="majorBidi" w:hAnsiTheme="majorBidi" w:cstheme="majorBidi"/>
        </w:rPr>
        <w:t>Web of Science (n = 198)</w:t>
      </w:r>
    </w:p>
    <w:p w14:paraId="5106C74C" w14:textId="77777777" w:rsidR="00DB4495" w:rsidRPr="00DB4495" w:rsidRDefault="00DB4495" w:rsidP="00DB4495">
      <w:pPr>
        <w:numPr>
          <w:ilvl w:val="1"/>
          <w:numId w:val="4"/>
        </w:numPr>
        <w:rPr>
          <w:rFonts w:asciiTheme="majorBidi" w:hAnsiTheme="majorBidi" w:cstheme="majorBidi"/>
        </w:rPr>
      </w:pPr>
      <w:r w:rsidRPr="00DB4495">
        <w:rPr>
          <w:rFonts w:asciiTheme="majorBidi" w:hAnsiTheme="majorBidi" w:cstheme="majorBidi"/>
        </w:rPr>
        <w:t>Google Scholar (n = 101)</w:t>
      </w:r>
    </w:p>
    <w:p w14:paraId="0C188215" w14:textId="77777777" w:rsidR="00DB4495" w:rsidRPr="00DB4495" w:rsidRDefault="00DB4495" w:rsidP="00DB4495">
      <w:pPr>
        <w:numPr>
          <w:ilvl w:val="0"/>
          <w:numId w:val="4"/>
        </w:numPr>
        <w:rPr>
          <w:rFonts w:asciiTheme="majorBidi" w:hAnsiTheme="majorBidi" w:cstheme="majorBidi"/>
        </w:rPr>
      </w:pPr>
      <w:r w:rsidRPr="00DB4495">
        <w:rPr>
          <w:rFonts w:asciiTheme="majorBidi" w:hAnsiTheme="majorBidi" w:cstheme="majorBidi"/>
        </w:rPr>
        <w:t>Duplicates removed (n = 609)</w:t>
      </w:r>
    </w:p>
    <w:p w14:paraId="23432072"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Screening</w:t>
      </w:r>
    </w:p>
    <w:p w14:paraId="61406D75" w14:textId="77777777" w:rsidR="00DB4495" w:rsidRPr="00DB4495" w:rsidRDefault="00DB4495" w:rsidP="00DB4495">
      <w:pPr>
        <w:numPr>
          <w:ilvl w:val="0"/>
          <w:numId w:val="5"/>
        </w:numPr>
        <w:rPr>
          <w:rFonts w:asciiTheme="majorBidi" w:hAnsiTheme="majorBidi" w:cstheme="majorBidi"/>
        </w:rPr>
      </w:pPr>
      <w:r w:rsidRPr="00DB4495">
        <w:rPr>
          <w:rFonts w:asciiTheme="majorBidi" w:hAnsiTheme="majorBidi" w:cstheme="majorBidi"/>
        </w:rPr>
        <w:t>Records screened (n = 1,247)</w:t>
      </w:r>
    </w:p>
    <w:p w14:paraId="7FB41C9C" w14:textId="77777777" w:rsidR="00DB4495" w:rsidRPr="00DB4495" w:rsidRDefault="00DB4495" w:rsidP="00DB4495">
      <w:pPr>
        <w:numPr>
          <w:ilvl w:val="0"/>
          <w:numId w:val="5"/>
        </w:numPr>
        <w:rPr>
          <w:rFonts w:asciiTheme="majorBidi" w:hAnsiTheme="majorBidi" w:cstheme="majorBidi"/>
        </w:rPr>
      </w:pPr>
      <w:r w:rsidRPr="00DB4495">
        <w:rPr>
          <w:rFonts w:asciiTheme="majorBidi" w:hAnsiTheme="majorBidi" w:cstheme="majorBidi"/>
        </w:rPr>
        <w:t>Records excluded based on title/abstract (n = 1,091)</w:t>
      </w:r>
    </w:p>
    <w:p w14:paraId="3BBA7738"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Eligibility</w:t>
      </w:r>
    </w:p>
    <w:p w14:paraId="7B7C8492" w14:textId="77777777" w:rsidR="00DB4495" w:rsidRPr="00DB4495" w:rsidRDefault="00DB4495" w:rsidP="00DB4495">
      <w:pPr>
        <w:numPr>
          <w:ilvl w:val="0"/>
          <w:numId w:val="6"/>
        </w:numPr>
        <w:rPr>
          <w:rFonts w:asciiTheme="majorBidi" w:hAnsiTheme="majorBidi" w:cstheme="majorBidi"/>
        </w:rPr>
      </w:pPr>
      <w:r w:rsidRPr="00DB4495">
        <w:rPr>
          <w:rFonts w:asciiTheme="majorBidi" w:hAnsiTheme="majorBidi" w:cstheme="majorBidi"/>
        </w:rPr>
        <w:t>Full-text reports sought (n = 156)</w:t>
      </w:r>
    </w:p>
    <w:p w14:paraId="72F6BE16" w14:textId="77777777" w:rsidR="00DB4495" w:rsidRPr="00DB4495" w:rsidRDefault="00DB4495" w:rsidP="00DB4495">
      <w:pPr>
        <w:numPr>
          <w:ilvl w:val="0"/>
          <w:numId w:val="6"/>
        </w:numPr>
        <w:rPr>
          <w:rFonts w:asciiTheme="majorBidi" w:hAnsiTheme="majorBidi" w:cstheme="majorBidi"/>
        </w:rPr>
      </w:pPr>
      <w:r w:rsidRPr="00DB4495">
        <w:rPr>
          <w:rFonts w:asciiTheme="majorBidi" w:hAnsiTheme="majorBidi" w:cstheme="majorBidi"/>
        </w:rPr>
        <w:t>Full-text reports assessed (n = 156) → Not retrieved (n = 0)</w:t>
      </w:r>
    </w:p>
    <w:p w14:paraId="7EE7454E" w14:textId="77777777" w:rsidR="00DB4495" w:rsidRPr="00DB4495" w:rsidRDefault="00DB4495" w:rsidP="00DB4495">
      <w:pPr>
        <w:numPr>
          <w:ilvl w:val="0"/>
          <w:numId w:val="6"/>
        </w:numPr>
        <w:rPr>
          <w:rFonts w:asciiTheme="majorBidi" w:hAnsiTheme="majorBidi" w:cstheme="majorBidi"/>
        </w:rPr>
      </w:pPr>
      <w:r w:rsidRPr="00DB4495">
        <w:rPr>
          <w:rFonts w:asciiTheme="majorBidi" w:hAnsiTheme="majorBidi" w:cstheme="majorBidi"/>
        </w:rPr>
        <w:t>Reports excluded (n = 128):</w:t>
      </w:r>
    </w:p>
    <w:p w14:paraId="095AB029" w14:textId="77777777" w:rsidR="00DB4495" w:rsidRPr="00DB4495" w:rsidRDefault="00DB4495" w:rsidP="00DB4495">
      <w:pPr>
        <w:numPr>
          <w:ilvl w:val="1"/>
          <w:numId w:val="6"/>
        </w:numPr>
        <w:rPr>
          <w:rFonts w:asciiTheme="majorBidi" w:hAnsiTheme="majorBidi" w:cstheme="majorBidi"/>
        </w:rPr>
      </w:pPr>
      <w:r w:rsidRPr="00DB4495">
        <w:rPr>
          <w:rFonts w:asciiTheme="majorBidi" w:hAnsiTheme="majorBidi" w:cstheme="majorBidi"/>
        </w:rPr>
        <w:t>Non-CTAS outcome (n = 62)</w:t>
      </w:r>
    </w:p>
    <w:p w14:paraId="7724BAE1" w14:textId="77777777" w:rsidR="00DB4495" w:rsidRPr="00DB4495" w:rsidRDefault="00DB4495" w:rsidP="00DB4495">
      <w:pPr>
        <w:numPr>
          <w:ilvl w:val="1"/>
          <w:numId w:val="6"/>
        </w:numPr>
        <w:rPr>
          <w:rFonts w:asciiTheme="majorBidi" w:hAnsiTheme="majorBidi" w:cstheme="majorBidi"/>
        </w:rPr>
      </w:pPr>
      <w:r w:rsidRPr="00DB4495">
        <w:rPr>
          <w:rFonts w:asciiTheme="majorBidi" w:hAnsiTheme="majorBidi" w:cstheme="majorBidi"/>
        </w:rPr>
        <w:t>Pediatric population (n = 34)</w:t>
      </w:r>
    </w:p>
    <w:p w14:paraId="57224D76" w14:textId="77777777" w:rsidR="00DB4495" w:rsidRPr="00DB4495" w:rsidRDefault="00DB4495" w:rsidP="00DB4495">
      <w:pPr>
        <w:numPr>
          <w:ilvl w:val="1"/>
          <w:numId w:val="6"/>
        </w:numPr>
        <w:rPr>
          <w:rFonts w:asciiTheme="majorBidi" w:hAnsiTheme="majorBidi" w:cstheme="majorBidi"/>
        </w:rPr>
      </w:pPr>
      <w:r w:rsidRPr="00DB4495">
        <w:rPr>
          <w:rFonts w:asciiTheme="majorBidi" w:hAnsiTheme="majorBidi" w:cstheme="majorBidi"/>
        </w:rPr>
        <w:t>Non-ED setting (n = 32)</w:t>
      </w:r>
    </w:p>
    <w:p w14:paraId="5A028E4B"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Included</w:t>
      </w:r>
    </w:p>
    <w:p w14:paraId="2F19B8B3" w14:textId="77777777" w:rsidR="00DB4495" w:rsidRPr="00DB4495" w:rsidRDefault="00DB4495" w:rsidP="00DB4495">
      <w:pPr>
        <w:numPr>
          <w:ilvl w:val="0"/>
          <w:numId w:val="7"/>
        </w:numPr>
        <w:rPr>
          <w:rFonts w:asciiTheme="majorBidi" w:hAnsiTheme="majorBidi" w:cstheme="majorBidi"/>
        </w:rPr>
      </w:pPr>
      <w:r w:rsidRPr="00DB4495">
        <w:rPr>
          <w:rFonts w:asciiTheme="majorBidi" w:hAnsiTheme="majorBidi" w:cstheme="majorBidi"/>
        </w:rPr>
        <w:t>Studies included in qualitative synthesis (n = 28)</w:t>
      </w:r>
    </w:p>
    <w:p w14:paraId="08CF829F" w14:textId="77777777" w:rsidR="00DB4495" w:rsidRPr="00DB4495" w:rsidRDefault="00DB4495" w:rsidP="00DB4495">
      <w:pPr>
        <w:numPr>
          <w:ilvl w:val="1"/>
          <w:numId w:val="7"/>
        </w:numPr>
        <w:rPr>
          <w:rFonts w:asciiTheme="majorBidi" w:hAnsiTheme="majorBidi" w:cstheme="majorBidi"/>
        </w:rPr>
      </w:pPr>
      <w:r w:rsidRPr="00DB4495">
        <w:rPr>
          <w:rFonts w:asciiTheme="majorBidi" w:hAnsiTheme="majorBidi" w:cstheme="majorBidi"/>
        </w:rPr>
        <w:t>Quantitative studies (n = 16)</w:t>
      </w:r>
    </w:p>
    <w:p w14:paraId="1BD2CE34" w14:textId="77777777" w:rsidR="00DB4495" w:rsidRPr="00DB4495" w:rsidRDefault="00DB4495" w:rsidP="00DB4495">
      <w:pPr>
        <w:numPr>
          <w:ilvl w:val="1"/>
          <w:numId w:val="7"/>
        </w:numPr>
        <w:rPr>
          <w:rFonts w:asciiTheme="majorBidi" w:hAnsiTheme="majorBidi" w:cstheme="majorBidi"/>
        </w:rPr>
      </w:pPr>
      <w:r w:rsidRPr="00DB4495">
        <w:rPr>
          <w:rFonts w:asciiTheme="majorBidi" w:hAnsiTheme="majorBidi" w:cstheme="majorBidi"/>
        </w:rPr>
        <w:t>Qualitative studies (n = 5)</w:t>
      </w:r>
    </w:p>
    <w:p w14:paraId="013D5C76" w14:textId="77777777" w:rsidR="00DB4495" w:rsidRPr="00DB4495" w:rsidRDefault="00DB4495" w:rsidP="00DB4495">
      <w:pPr>
        <w:numPr>
          <w:ilvl w:val="1"/>
          <w:numId w:val="7"/>
        </w:numPr>
        <w:rPr>
          <w:rFonts w:asciiTheme="majorBidi" w:hAnsiTheme="majorBidi" w:cstheme="majorBidi"/>
        </w:rPr>
      </w:pPr>
      <w:r w:rsidRPr="00DB4495">
        <w:rPr>
          <w:rFonts w:asciiTheme="majorBidi" w:hAnsiTheme="majorBidi" w:cstheme="majorBidi"/>
        </w:rPr>
        <w:t>Mixed-methods studies (n = 7)</w:t>
      </w:r>
    </w:p>
    <w:p w14:paraId="2A10DDDB" w14:textId="77777777" w:rsidR="00DB4495" w:rsidRPr="00DB4495" w:rsidRDefault="00DB4495" w:rsidP="00DB4495">
      <w:pPr>
        <w:rPr>
          <w:rFonts w:asciiTheme="majorBidi" w:hAnsiTheme="majorBidi" w:cstheme="majorBidi"/>
        </w:rPr>
      </w:pPr>
      <w:r w:rsidRPr="00DB4495">
        <w:rPr>
          <w:rFonts w:asciiTheme="majorBidi" w:hAnsiTheme="majorBidi" w:cstheme="majorBidi"/>
          <w:i/>
          <w:iCs/>
        </w:rPr>
        <w:t xml:space="preserve">Adapted from </w:t>
      </w:r>
      <w:proofErr w:type="spellStart"/>
      <w:r w:rsidRPr="00DB4495">
        <w:rPr>
          <w:rFonts w:asciiTheme="majorBidi" w:hAnsiTheme="majorBidi" w:cstheme="majorBidi"/>
          <w:i/>
          <w:iCs/>
        </w:rPr>
        <w:t>Tricco</w:t>
      </w:r>
      <w:proofErr w:type="spellEnd"/>
      <w:r w:rsidRPr="00DB4495">
        <w:rPr>
          <w:rFonts w:asciiTheme="majorBidi" w:hAnsiTheme="majorBidi" w:cstheme="majorBidi"/>
          <w:i/>
          <w:iCs/>
        </w:rPr>
        <w:t xml:space="preserve"> et al., 2018 [35].</w:t>
      </w:r>
    </w:p>
    <w:p w14:paraId="641BDCDF" w14:textId="3A212B6B" w:rsidR="00DB4495" w:rsidRPr="00DB4495" w:rsidRDefault="00DB4495" w:rsidP="00DB4495">
      <w:pPr>
        <w:rPr>
          <w:rFonts w:asciiTheme="majorBidi" w:hAnsiTheme="majorBidi" w:cstheme="majorBidi"/>
        </w:rPr>
      </w:pPr>
    </w:p>
    <w:p w14:paraId="1BF532D7"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Data Charting and Synthesis</w:t>
      </w:r>
    </w:p>
    <w:p w14:paraId="28AC1968" w14:textId="77777777" w:rsidR="00DB4495" w:rsidRPr="00DB4495" w:rsidRDefault="00DB4495" w:rsidP="00DB4495">
      <w:pPr>
        <w:rPr>
          <w:rFonts w:asciiTheme="majorBidi" w:hAnsiTheme="majorBidi" w:cstheme="majorBidi"/>
        </w:rPr>
      </w:pPr>
      <w:r w:rsidRPr="00DB4495">
        <w:rPr>
          <w:rFonts w:asciiTheme="majorBidi" w:hAnsiTheme="majorBidi" w:cstheme="majorBidi"/>
        </w:rPr>
        <w:t>We used a JBI</w:t>
      </w:r>
      <w:r w:rsidRPr="00DB4495">
        <w:rPr>
          <w:rFonts w:asciiTheme="majorBidi" w:hAnsiTheme="majorBidi" w:cstheme="majorBidi"/>
        </w:rPr>
        <w:noBreakHyphen/>
        <w:t>standardized form to extract: author/year, design, sample size, setting, outcome measures, and key findings. Thematic synthesis combined quantitative descriptive data and qualitative coding across three major themes: experience, work environment, and triage decision-making processes.</w:t>
      </w:r>
    </w:p>
    <w:p w14:paraId="6D576034"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Data Extraction and Synthesis of Quantitative Findings</w:t>
      </w:r>
    </w:p>
    <w:p w14:paraId="4C129849" w14:textId="77777777" w:rsidR="00DB4495" w:rsidRPr="00DB4495" w:rsidRDefault="00DB4495" w:rsidP="00DB4495">
      <w:pPr>
        <w:rPr>
          <w:rFonts w:asciiTheme="majorBidi" w:hAnsiTheme="majorBidi" w:cstheme="majorBidi"/>
        </w:rPr>
      </w:pPr>
      <w:r w:rsidRPr="00DB4495">
        <w:rPr>
          <w:rFonts w:asciiTheme="majorBidi" w:hAnsiTheme="majorBidi" w:cstheme="majorBidi"/>
        </w:rPr>
        <w:t>For each included study, we extracted: (a) kappa coefficients or percent agreement for inter-rater reliability, (b) accuracy percentages stratified by experience level (e.g., &lt;1 year, 1–5 years, &gt;5 years), (c) error rates (under-triage, over-triage) during overcrowding or high patient loads, and (d) effect sizes for environmental factors (noise, interruptions, ratios). When multiple studies reported similar outcomes, we calculated ranges (e.g., 15–30% accuracy gain) and noted the study designs (e.g., cross-sectional, prospective observational). We did not perform meta-analysis due to heterogeneity; all reported values are directly quoted or derived from the original study tables.</w:t>
      </w:r>
    </w:p>
    <w:p w14:paraId="006909DB" w14:textId="15CD7D13" w:rsidR="00DB4495" w:rsidRDefault="00DB4495" w:rsidP="00DB4495">
      <w:pPr>
        <w:rPr>
          <w:rFonts w:asciiTheme="majorBidi" w:hAnsiTheme="majorBidi" w:cstheme="majorBidi"/>
        </w:rPr>
      </w:pPr>
    </w:p>
    <w:p w14:paraId="57963FFA" w14:textId="77777777" w:rsidR="00DF2FE7" w:rsidRPr="00DB4495" w:rsidRDefault="00DF2FE7" w:rsidP="00DB4495">
      <w:pPr>
        <w:rPr>
          <w:rFonts w:asciiTheme="majorBidi" w:hAnsiTheme="majorBidi" w:cstheme="majorBidi"/>
        </w:rPr>
      </w:pPr>
    </w:p>
    <w:p w14:paraId="58ABC829"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Results</w:t>
      </w:r>
    </w:p>
    <w:p w14:paraId="512AB02D" w14:textId="77777777" w:rsidR="00DB4495" w:rsidRPr="00DB4495" w:rsidRDefault="00DB4495" w:rsidP="00DB4495">
      <w:pPr>
        <w:rPr>
          <w:rFonts w:asciiTheme="majorBidi" w:hAnsiTheme="majorBidi" w:cstheme="majorBidi"/>
        </w:rPr>
      </w:pPr>
      <w:r w:rsidRPr="00DB4495">
        <w:rPr>
          <w:rFonts w:asciiTheme="majorBidi" w:hAnsiTheme="majorBidi" w:cstheme="majorBidi"/>
        </w:rPr>
        <w:t>Twenty-eight studies published between 2005 and 2025 met the eligibility criteria. Geographically, studies originated from North America (n = 14), Europe (n = 8), Asia (n = 4), and the Middle East (n = 2). Sample sizes ranged from 15 to 12,000 participants. Cross-sectional designs predominated (n = 16). Settings included moderate-tier (n = 10), high-tier (n = 12), and overcrowded EDs (n = 6). Inter-rater reliability ranged from 0.65 to 0.92, under-triage errors from 14% to 41%, and inter-rater dispute rates varied accordingly.</w:t>
      </w:r>
    </w:p>
    <w:p w14:paraId="6DB58A0F"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Characteristics of Included Studies</w:t>
      </w:r>
    </w:p>
    <w:p w14:paraId="687E47E0" w14:textId="47E6FA70" w:rsidR="00DB4495" w:rsidRPr="00DB4495" w:rsidRDefault="00DB4495" w:rsidP="00DB4495">
      <w:pPr>
        <w:rPr>
          <w:rFonts w:asciiTheme="majorBidi" w:hAnsiTheme="majorBidi" w:cstheme="majorBidi"/>
        </w:rPr>
      </w:pPr>
      <w:r w:rsidRPr="00DB4495">
        <w:rPr>
          <w:rFonts w:asciiTheme="majorBidi" w:hAnsiTheme="majorBidi" w:cstheme="majorBidi"/>
          <w:b/>
          <w:bCs/>
        </w:rPr>
        <w:t>Table 1</w:t>
      </w:r>
      <w:r w:rsidR="00676CDB">
        <w:rPr>
          <w:rFonts w:asciiTheme="majorBidi" w:hAnsiTheme="majorBidi" w:cstheme="majorBidi"/>
          <w:b/>
          <w:bCs/>
        </w:rPr>
        <w:t xml:space="preserve">: </w:t>
      </w:r>
      <w:r w:rsidRPr="00DB4495">
        <w:rPr>
          <w:rFonts w:asciiTheme="majorBidi" w:hAnsiTheme="majorBidi" w:cstheme="majorBidi"/>
        </w:rPr>
        <w:t xml:space="preserve"> key characteristics of all 28 included studies.</w:t>
      </w:r>
    </w:p>
    <w:tbl>
      <w:tblPr>
        <w:tblStyle w:val="TableGrid"/>
        <w:tblW w:w="0" w:type="auto"/>
        <w:tblLook w:val="04A0" w:firstRow="1" w:lastRow="0" w:firstColumn="1" w:lastColumn="0" w:noHBand="0" w:noVBand="1"/>
      </w:tblPr>
      <w:tblGrid>
        <w:gridCol w:w="614"/>
        <w:gridCol w:w="1435"/>
        <w:gridCol w:w="1170"/>
        <w:gridCol w:w="768"/>
        <w:gridCol w:w="1363"/>
        <w:gridCol w:w="1151"/>
        <w:gridCol w:w="1424"/>
        <w:gridCol w:w="1425"/>
      </w:tblGrid>
      <w:tr w:rsidR="00DB4495" w:rsidRPr="00DB4495" w14:paraId="21CB2142" w14:textId="77777777" w:rsidTr="00DB4495">
        <w:tc>
          <w:tcPr>
            <w:tcW w:w="0" w:type="auto"/>
            <w:hideMark/>
          </w:tcPr>
          <w:p w14:paraId="4F9841E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Study ID</w:t>
            </w:r>
          </w:p>
        </w:tc>
        <w:tc>
          <w:tcPr>
            <w:tcW w:w="0" w:type="auto"/>
            <w:hideMark/>
          </w:tcPr>
          <w:p w14:paraId="1F25197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Author(s), Year</w:t>
            </w:r>
          </w:p>
        </w:tc>
        <w:tc>
          <w:tcPr>
            <w:tcW w:w="0" w:type="auto"/>
            <w:hideMark/>
          </w:tcPr>
          <w:p w14:paraId="6D4F400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Design</w:t>
            </w:r>
          </w:p>
        </w:tc>
        <w:tc>
          <w:tcPr>
            <w:tcW w:w="0" w:type="auto"/>
            <w:hideMark/>
          </w:tcPr>
          <w:p w14:paraId="1457224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Sample Size</w:t>
            </w:r>
          </w:p>
        </w:tc>
        <w:tc>
          <w:tcPr>
            <w:tcW w:w="0" w:type="auto"/>
            <w:hideMark/>
          </w:tcPr>
          <w:p w14:paraId="6DCBF02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Setting (Volume Tier)</w:t>
            </w:r>
          </w:p>
        </w:tc>
        <w:tc>
          <w:tcPr>
            <w:tcW w:w="0" w:type="auto"/>
            <w:hideMark/>
          </w:tcPr>
          <w:p w14:paraId="43C94F5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Outcome Measure</w:t>
            </w:r>
          </w:p>
        </w:tc>
        <w:tc>
          <w:tcPr>
            <w:tcW w:w="0" w:type="auto"/>
            <w:hideMark/>
          </w:tcPr>
          <w:p w14:paraId="1CF51BD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Result</w:t>
            </w:r>
          </w:p>
        </w:tc>
        <w:tc>
          <w:tcPr>
            <w:tcW w:w="0" w:type="auto"/>
            <w:hideMark/>
          </w:tcPr>
          <w:p w14:paraId="023AB8A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Key Finding</w:t>
            </w:r>
          </w:p>
        </w:tc>
      </w:tr>
      <w:tr w:rsidR="00DB4495" w:rsidRPr="00DB4495" w14:paraId="6B3EDF26" w14:textId="77777777" w:rsidTr="00DB4495">
        <w:tc>
          <w:tcPr>
            <w:tcW w:w="0" w:type="auto"/>
            <w:hideMark/>
          </w:tcPr>
          <w:p w14:paraId="08C7B01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w:t>
            </w:r>
          </w:p>
        </w:tc>
        <w:tc>
          <w:tcPr>
            <w:tcW w:w="0" w:type="auto"/>
            <w:hideMark/>
          </w:tcPr>
          <w:p w14:paraId="6FBBBF1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Rankin et al., 2011</w:t>
            </w:r>
          </w:p>
        </w:tc>
        <w:tc>
          <w:tcPr>
            <w:tcW w:w="0" w:type="auto"/>
            <w:hideMark/>
          </w:tcPr>
          <w:p w14:paraId="109ED9E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Experimental</w:t>
            </w:r>
          </w:p>
        </w:tc>
        <w:tc>
          <w:tcPr>
            <w:tcW w:w="0" w:type="auto"/>
            <w:hideMark/>
          </w:tcPr>
          <w:p w14:paraId="391A5932"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112</w:t>
            </w:r>
          </w:p>
        </w:tc>
        <w:tc>
          <w:tcPr>
            <w:tcW w:w="0" w:type="auto"/>
            <w:hideMark/>
          </w:tcPr>
          <w:p w14:paraId="42DCAAA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Urban ED, Canada (High)</w:t>
            </w:r>
          </w:p>
        </w:tc>
        <w:tc>
          <w:tcPr>
            <w:tcW w:w="0" w:type="auto"/>
            <w:hideMark/>
          </w:tcPr>
          <w:p w14:paraId="268CB50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Triage accuracy (%)</w:t>
            </w:r>
          </w:p>
        </w:tc>
        <w:tc>
          <w:tcPr>
            <w:tcW w:w="0" w:type="auto"/>
            <w:hideMark/>
          </w:tcPr>
          <w:p w14:paraId="7F0A4D0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85% post-training</w:t>
            </w:r>
          </w:p>
        </w:tc>
        <w:tc>
          <w:tcPr>
            <w:tcW w:w="0" w:type="auto"/>
            <w:hideMark/>
          </w:tcPr>
          <w:p w14:paraId="493AAE5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Online unit enhanced beginner-</w:t>
            </w:r>
            <w:r w:rsidRPr="00DB4495">
              <w:rPr>
                <w:rFonts w:asciiTheme="majorBidi" w:hAnsiTheme="majorBidi" w:cstheme="majorBidi"/>
              </w:rPr>
              <w:lastRenderedPageBreak/>
              <w:t>expert differences</w:t>
            </w:r>
          </w:p>
        </w:tc>
      </w:tr>
      <w:tr w:rsidR="00DB4495" w:rsidRPr="00DB4495" w14:paraId="1879C74A" w14:textId="77777777" w:rsidTr="00DB4495">
        <w:tc>
          <w:tcPr>
            <w:tcW w:w="0" w:type="auto"/>
            <w:hideMark/>
          </w:tcPr>
          <w:p w14:paraId="6603A0B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lastRenderedPageBreak/>
              <w:t>2</w:t>
            </w:r>
          </w:p>
        </w:tc>
        <w:tc>
          <w:tcPr>
            <w:tcW w:w="0" w:type="auto"/>
            <w:hideMark/>
          </w:tcPr>
          <w:p w14:paraId="3438E272"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Atack et al., 2005</w:t>
            </w:r>
          </w:p>
        </w:tc>
        <w:tc>
          <w:tcPr>
            <w:tcW w:w="0" w:type="auto"/>
            <w:hideMark/>
          </w:tcPr>
          <w:p w14:paraId="05540D1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Quasi-experimental</w:t>
            </w:r>
          </w:p>
        </w:tc>
        <w:tc>
          <w:tcPr>
            <w:tcW w:w="0" w:type="auto"/>
            <w:hideMark/>
          </w:tcPr>
          <w:p w14:paraId="04866DB2"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89</w:t>
            </w:r>
          </w:p>
        </w:tc>
        <w:tc>
          <w:tcPr>
            <w:tcW w:w="0" w:type="auto"/>
            <w:hideMark/>
          </w:tcPr>
          <w:p w14:paraId="342AE65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Several EDs, Canada (Moderate)</w:t>
            </w:r>
          </w:p>
        </w:tc>
        <w:tc>
          <w:tcPr>
            <w:tcW w:w="0" w:type="auto"/>
            <w:hideMark/>
          </w:tcPr>
          <w:p w14:paraId="6CD32C3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Knowledge gain (%)</w:t>
            </w:r>
          </w:p>
        </w:tc>
        <w:tc>
          <w:tcPr>
            <w:tcW w:w="0" w:type="auto"/>
            <w:hideMark/>
          </w:tcPr>
          <w:p w14:paraId="7C53EB9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25% improvement</w:t>
            </w:r>
          </w:p>
        </w:tc>
        <w:tc>
          <w:tcPr>
            <w:tcW w:w="0" w:type="auto"/>
            <w:hideMark/>
          </w:tcPr>
          <w:p w14:paraId="3A81968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Training developed spontaneous logic</w:t>
            </w:r>
          </w:p>
        </w:tc>
      </w:tr>
      <w:tr w:rsidR="00DB4495" w:rsidRPr="00DB4495" w14:paraId="0D5DD1D2" w14:textId="77777777" w:rsidTr="00DB4495">
        <w:tc>
          <w:tcPr>
            <w:tcW w:w="0" w:type="auto"/>
            <w:hideMark/>
          </w:tcPr>
          <w:p w14:paraId="12DF257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3</w:t>
            </w:r>
          </w:p>
        </w:tc>
        <w:tc>
          <w:tcPr>
            <w:tcW w:w="0" w:type="auto"/>
            <w:hideMark/>
          </w:tcPr>
          <w:p w14:paraId="15AD404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Seo et al., 2024</w:t>
            </w:r>
          </w:p>
        </w:tc>
        <w:tc>
          <w:tcPr>
            <w:tcW w:w="0" w:type="auto"/>
            <w:hideMark/>
          </w:tcPr>
          <w:p w14:paraId="32882C9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Cross-sectional</w:t>
            </w:r>
          </w:p>
        </w:tc>
        <w:tc>
          <w:tcPr>
            <w:tcW w:w="0" w:type="auto"/>
            <w:hideMark/>
          </w:tcPr>
          <w:p w14:paraId="2D23E1F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245</w:t>
            </w:r>
          </w:p>
        </w:tc>
        <w:tc>
          <w:tcPr>
            <w:tcW w:w="0" w:type="auto"/>
            <w:hideMark/>
          </w:tcPr>
          <w:p w14:paraId="54A1A32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High-volume ED, Korea (High)</w:t>
            </w:r>
          </w:p>
        </w:tc>
        <w:tc>
          <w:tcPr>
            <w:tcW w:w="0" w:type="auto"/>
            <w:hideMark/>
          </w:tcPr>
          <w:p w14:paraId="57FC7C0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Classification accuracy (%)</w:t>
            </w:r>
          </w:p>
        </w:tc>
        <w:tc>
          <w:tcPr>
            <w:tcW w:w="0" w:type="auto"/>
            <w:hideMark/>
          </w:tcPr>
          <w:p w14:paraId="0C303F7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78%</w:t>
            </w:r>
          </w:p>
        </w:tc>
        <w:tc>
          <w:tcPr>
            <w:tcW w:w="0" w:type="auto"/>
            <w:hideMark/>
          </w:tcPr>
          <w:p w14:paraId="31FE8C6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Tenure &gt;5 years associated with Level 2-3 accuracy</w:t>
            </w:r>
          </w:p>
        </w:tc>
      </w:tr>
      <w:tr w:rsidR="00DB4495" w:rsidRPr="00DB4495" w14:paraId="566330C6" w14:textId="77777777" w:rsidTr="00DB4495">
        <w:tc>
          <w:tcPr>
            <w:tcW w:w="0" w:type="auto"/>
            <w:hideMark/>
          </w:tcPr>
          <w:p w14:paraId="63471CC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4</w:t>
            </w:r>
          </w:p>
        </w:tc>
        <w:tc>
          <w:tcPr>
            <w:tcW w:w="0" w:type="auto"/>
            <w:hideMark/>
          </w:tcPr>
          <w:p w14:paraId="3A2921E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Göransson et al., 2006</w:t>
            </w:r>
          </w:p>
        </w:tc>
        <w:tc>
          <w:tcPr>
            <w:tcW w:w="0" w:type="auto"/>
            <w:hideMark/>
          </w:tcPr>
          <w:p w14:paraId="570608D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Prospective survey</w:t>
            </w:r>
          </w:p>
        </w:tc>
        <w:tc>
          <w:tcPr>
            <w:tcW w:w="0" w:type="auto"/>
            <w:hideMark/>
          </w:tcPr>
          <w:p w14:paraId="1D8EC26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423</w:t>
            </w:r>
          </w:p>
        </w:tc>
        <w:tc>
          <w:tcPr>
            <w:tcW w:w="0" w:type="auto"/>
            <w:hideMark/>
          </w:tcPr>
          <w:p w14:paraId="08C3D0A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Swedish EDs (High)</w:t>
            </w:r>
          </w:p>
        </w:tc>
        <w:tc>
          <w:tcPr>
            <w:tcW w:w="0" w:type="auto"/>
            <w:hideMark/>
          </w:tcPr>
          <w:p w14:paraId="5B27EF6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Triage accuracy (%)</w:t>
            </w:r>
          </w:p>
        </w:tc>
        <w:tc>
          <w:tcPr>
            <w:tcW w:w="0" w:type="auto"/>
            <w:hideMark/>
          </w:tcPr>
          <w:p w14:paraId="26183BB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58%</w:t>
            </w:r>
          </w:p>
        </w:tc>
        <w:tc>
          <w:tcPr>
            <w:tcW w:w="0" w:type="auto"/>
            <w:hideMark/>
          </w:tcPr>
          <w:p w14:paraId="0AB82B5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Variability in inter-rater agreement</w:t>
            </w:r>
          </w:p>
        </w:tc>
      </w:tr>
      <w:tr w:rsidR="00DB4495" w:rsidRPr="00DB4495" w14:paraId="16B21825" w14:textId="77777777" w:rsidTr="00DB4495">
        <w:tc>
          <w:tcPr>
            <w:tcW w:w="0" w:type="auto"/>
            <w:hideMark/>
          </w:tcPr>
          <w:p w14:paraId="3652EE0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5</w:t>
            </w:r>
          </w:p>
        </w:tc>
        <w:tc>
          <w:tcPr>
            <w:tcW w:w="0" w:type="auto"/>
            <w:hideMark/>
          </w:tcPr>
          <w:p w14:paraId="26834590" w14:textId="77777777" w:rsidR="00DB4495" w:rsidRPr="00DB4495" w:rsidRDefault="00DB4495" w:rsidP="00DB4495">
            <w:pPr>
              <w:spacing w:after="160" w:line="278" w:lineRule="auto"/>
              <w:rPr>
                <w:rFonts w:asciiTheme="majorBidi" w:hAnsiTheme="majorBidi" w:cstheme="majorBidi"/>
              </w:rPr>
            </w:pPr>
            <w:proofErr w:type="spellStart"/>
            <w:r w:rsidRPr="00DB4495">
              <w:rPr>
                <w:rFonts w:asciiTheme="majorBidi" w:hAnsiTheme="majorBidi" w:cstheme="majorBidi"/>
              </w:rPr>
              <w:t>Elkum</w:t>
            </w:r>
            <w:proofErr w:type="spellEnd"/>
            <w:r w:rsidRPr="00DB4495">
              <w:rPr>
                <w:rFonts w:asciiTheme="majorBidi" w:hAnsiTheme="majorBidi" w:cstheme="majorBidi"/>
              </w:rPr>
              <w:t xml:space="preserve"> et al., 2011</w:t>
            </w:r>
          </w:p>
        </w:tc>
        <w:tc>
          <w:tcPr>
            <w:tcW w:w="0" w:type="auto"/>
            <w:hideMark/>
          </w:tcPr>
          <w:p w14:paraId="15105AD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Retrospective chart review</w:t>
            </w:r>
          </w:p>
        </w:tc>
        <w:tc>
          <w:tcPr>
            <w:tcW w:w="0" w:type="auto"/>
            <w:hideMark/>
          </w:tcPr>
          <w:p w14:paraId="2F78AB9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1,206</w:t>
            </w:r>
          </w:p>
        </w:tc>
        <w:tc>
          <w:tcPr>
            <w:tcW w:w="0" w:type="auto"/>
            <w:hideMark/>
          </w:tcPr>
          <w:p w14:paraId="435A908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Tertiary ED, Saudi Arabia (High)</w:t>
            </w:r>
          </w:p>
        </w:tc>
        <w:tc>
          <w:tcPr>
            <w:tcW w:w="0" w:type="auto"/>
            <w:hideMark/>
          </w:tcPr>
          <w:p w14:paraId="04673D06" w14:textId="77777777" w:rsidR="00DB4495" w:rsidRPr="00DB4495" w:rsidRDefault="00DB4495" w:rsidP="00DB4495">
            <w:pPr>
              <w:spacing w:after="160" w:line="278" w:lineRule="auto"/>
              <w:rPr>
                <w:rFonts w:asciiTheme="majorBidi" w:hAnsiTheme="majorBidi" w:cstheme="majorBidi"/>
              </w:rPr>
            </w:pPr>
            <w:proofErr w:type="spellStart"/>
            <w:r w:rsidRPr="00DB4495">
              <w:rPr>
                <w:rFonts w:asciiTheme="majorBidi" w:hAnsiTheme="majorBidi" w:cstheme="majorBidi"/>
              </w:rPr>
              <w:t>Fractile</w:t>
            </w:r>
            <w:proofErr w:type="spellEnd"/>
            <w:r w:rsidRPr="00DB4495">
              <w:rPr>
                <w:rFonts w:asciiTheme="majorBidi" w:hAnsiTheme="majorBidi" w:cstheme="majorBidi"/>
              </w:rPr>
              <w:t xml:space="preserve"> response (%)</w:t>
            </w:r>
          </w:p>
        </w:tc>
        <w:tc>
          <w:tcPr>
            <w:tcW w:w="0" w:type="auto"/>
            <w:hideMark/>
          </w:tcPr>
          <w:p w14:paraId="079CC89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100% for Level 1</w:t>
            </w:r>
          </w:p>
        </w:tc>
        <w:tc>
          <w:tcPr>
            <w:tcW w:w="0" w:type="auto"/>
            <w:hideMark/>
          </w:tcPr>
          <w:p w14:paraId="24C78E7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Compliance with wait times in implementation</w:t>
            </w:r>
          </w:p>
        </w:tc>
      </w:tr>
      <w:tr w:rsidR="00DB4495" w:rsidRPr="00DB4495" w14:paraId="609AC5B2" w14:textId="77777777" w:rsidTr="00DB4495">
        <w:tc>
          <w:tcPr>
            <w:tcW w:w="0" w:type="auto"/>
            <w:hideMark/>
          </w:tcPr>
          <w:p w14:paraId="495508E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6</w:t>
            </w:r>
          </w:p>
        </w:tc>
        <w:tc>
          <w:tcPr>
            <w:tcW w:w="0" w:type="auto"/>
            <w:hideMark/>
          </w:tcPr>
          <w:p w14:paraId="5E434801" w14:textId="77777777" w:rsidR="00DB4495" w:rsidRPr="00DB4495" w:rsidRDefault="00DB4495" w:rsidP="00DB4495">
            <w:pPr>
              <w:spacing w:after="160" w:line="278" w:lineRule="auto"/>
              <w:rPr>
                <w:rFonts w:asciiTheme="majorBidi" w:hAnsiTheme="majorBidi" w:cstheme="majorBidi"/>
              </w:rPr>
            </w:pPr>
            <w:proofErr w:type="spellStart"/>
            <w:r w:rsidRPr="00DB4495">
              <w:rPr>
                <w:rFonts w:asciiTheme="majorBidi" w:hAnsiTheme="majorBidi" w:cstheme="majorBidi"/>
              </w:rPr>
              <w:t>Leeies</w:t>
            </w:r>
            <w:proofErr w:type="spellEnd"/>
            <w:r w:rsidRPr="00DB4495">
              <w:rPr>
                <w:rFonts w:asciiTheme="majorBidi" w:hAnsiTheme="majorBidi" w:cstheme="majorBidi"/>
              </w:rPr>
              <w:t xml:space="preserve"> et al., 2017</w:t>
            </w:r>
          </w:p>
        </w:tc>
        <w:tc>
          <w:tcPr>
            <w:tcW w:w="0" w:type="auto"/>
            <w:hideMark/>
          </w:tcPr>
          <w:p w14:paraId="562E302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Observational</w:t>
            </w:r>
          </w:p>
        </w:tc>
        <w:tc>
          <w:tcPr>
            <w:tcW w:w="0" w:type="auto"/>
            <w:hideMark/>
          </w:tcPr>
          <w:p w14:paraId="44F9D6D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14,378</w:t>
            </w:r>
          </w:p>
        </w:tc>
        <w:tc>
          <w:tcPr>
            <w:tcW w:w="0" w:type="auto"/>
            <w:hideMark/>
          </w:tcPr>
          <w:p w14:paraId="3FB45A1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Prehospital/EDs, Canada (High)</w:t>
            </w:r>
          </w:p>
        </w:tc>
        <w:tc>
          <w:tcPr>
            <w:tcW w:w="0" w:type="auto"/>
            <w:hideMark/>
          </w:tcPr>
          <w:p w14:paraId="04F1DA1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Inter-rater reliability (kappa)</w:t>
            </w:r>
          </w:p>
        </w:tc>
        <w:tc>
          <w:tcPr>
            <w:tcW w:w="0" w:type="auto"/>
            <w:hideMark/>
          </w:tcPr>
          <w:p w14:paraId="4D493A4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0.437</w:t>
            </w:r>
          </w:p>
        </w:tc>
        <w:tc>
          <w:tcPr>
            <w:tcW w:w="0" w:type="auto"/>
            <w:hideMark/>
          </w:tcPr>
          <w:p w14:paraId="0D4D113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Moderate agreement in prehospital transfer</w:t>
            </w:r>
          </w:p>
        </w:tc>
      </w:tr>
      <w:tr w:rsidR="00DB4495" w:rsidRPr="00DB4495" w14:paraId="3A3E2829" w14:textId="77777777" w:rsidTr="00DB4495">
        <w:tc>
          <w:tcPr>
            <w:tcW w:w="0" w:type="auto"/>
            <w:hideMark/>
          </w:tcPr>
          <w:p w14:paraId="2C9F1F8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7</w:t>
            </w:r>
          </w:p>
        </w:tc>
        <w:tc>
          <w:tcPr>
            <w:tcW w:w="0" w:type="auto"/>
            <w:hideMark/>
          </w:tcPr>
          <w:p w14:paraId="6F8913B2"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Curran-Sills et al., 2017</w:t>
            </w:r>
          </w:p>
        </w:tc>
        <w:tc>
          <w:tcPr>
            <w:tcW w:w="0" w:type="auto"/>
            <w:hideMark/>
          </w:tcPr>
          <w:p w14:paraId="78C5807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Prospective pilot</w:t>
            </w:r>
          </w:p>
        </w:tc>
        <w:tc>
          <w:tcPr>
            <w:tcW w:w="0" w:type="auto"/>
            <w:hideMark/>
          </w:tcPr>
          <w:p w14:paraId="4BDDFED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20</w:t>
            </w:r>
          </w:p>
        </w:tc>
        <w:tc>
          <w:tcPr>
            <w:tcW w:w="0" w:type="auto"/>
            <w:hideMark/>
          </w:tcPr>
          <w:p w14:paraId="1E856A9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ED, Canada (Moderate)</w:t>
            </w:r>
          </w:p>
        </w:tc>
        <w:tc>
          <w:tcPr>
            <w:tcW w:w="0" w:type="auto"/>
            <w:hideMark/>
          </w:tcPr>
          <w:p w14:paraId="7F564A4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Triage accuracy (%)</w:t>
            </w:r>
          </w:p>
        </w:tc>
        <w:tc>
          <w:tcPr>
            <w:tcW w:w="0" w:type="auto"/>
            <w:hideMark/>
          </w:tcPr>
          <w:p w14:paraId="2C6CDE4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77.8%</w:t>
            </w:r>
          </w:p>
        </w:tc>
        <w:tc>
          <w:tcPr>
            <w:tcW w:w="0" w:type="auto"/>
            <w:hideMark/>
          </w:tcPr>
          <w:p w14:paraId="6797810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Speed-accuracy trade-off in stroke cases</w:t>
            </w:r>
          </w:p>
        </w:tc>
      </w:tr>
      <w:tr w:rsidR="00DB4495" w:rsidRPr="00DB4495" w14:paraId="66F5B769" w14:textId="77777777" w:rsidTr="00DB4495">
        <w:tc>
          <w:tcPr>
            <w:tcW w:w="0" w:type="auto"/>
            <w:hideMark/>
          </w:tcPr>
          <w:p w14:paraId="7D978A5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8</w:t>
            </w:r>
          </w:p>
        </w:tc>
        <w:tc>
          <w:tcPr>
            <w:tcW w:w="0" w:type="auto"/>
            <w:hideMark/>
          </w:tcPr>
          <w:p w14:paraId="39A2A5C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Howlett &amp; Atkinson, 2012</w:t>
            </w:r>
          </w:p>
        </w:tc>
        <w:tc>
          <w:tcPr>
            <w:tcW w:w="0" w:type="auto"/>
            <w:hideMark/>
          </w:tcPr>
          <w:p w14:paraId="2FBDFD6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Retrospective chart review</w:t>
            </w:r>
          </w:p>
        </w:tc>
        <w:tc>
          <w:tcPr>
            <w:tcW w:w="0" w:type="auto"/>
            <w:hideMark/>
          </w:tcPr>
          <w:p w14:paraId="26AE86B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2,838</w:t>
            </w:r>
          </w:p>
        </w:tc>
        <w:tc>
          <w:tcPr>
            <w:tcW w:w="0" w:type="auto"/>
            <w:hideMark/>
          </w:tcPr>
          <w:p w14:paraId="107427A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Community ED, Canada (Moderate)</w:t>
            </w:r>
          </w:p>
        </w:tc>
        <w:tc>
          <w:tcPr>
            <w:tcW w:w="0" w:type="auto"/>
            <w:hideMark/>
          </w:tcPr>
          <w:p w14:paraId="5322ECF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Interobserver reliability (kappa)</w:t>
            </w:r>
          </w:p>
        </w:tc>
        <w:tc>
          <w:tcPr>
            <w:tcW w:w="0" w:type="auto"/>
            <w:hideMark/>
          </w:tcPr>
          <w:p w14:paraId="7DE9A6C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0.596</w:t>
            </w:r>
          </w:p>
        </w:tc>
        <w:tc>
          <w:tcPr>
            <w:tcW w:w="0" w:type="auto"/>
            <w:hideMark/>
          </w:tcPr>
          <w:p w14:paraId="07AF30F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Consistency improved with certification</w:t>
            </w:r>
          </w:p>
        </w:tc>
      </w:tr>
      <w:tr w:rsidR="00DB4495" w:rsidRPr="00DB4495" w14:paraId="461AFF1F" w14:textId="77777777" w:rsidTr="00DB4495">
        <w:tc>
          <w:tcPr>
            <w:tcW w:w="0" w:type="auto"/>
            <w:hideMark/>
          </w:tcPr>
          <w:p w14:paraId="7B8A2EE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lastRenderedPageBreak/>
              <w:t>9</w:t>
            </w:r>
          </w:p>
        </w:tc>
        <w:tc>
          <w:tcPr>
            <w:tcW w:w="0" w:type="auto"/>
            <w:hideMark/>
          </w:tcPr>
          <w:p w14:paraId="7F35519D" w14:textId="77777777" w:rsidR="00DB4495" w:rsidRPr="00DB4495" w:rsidRDefault="00DB4495" w:rsidP="00DB4495">
            <w:pPr>
              <w:spacing w:after="160" w:line="278" w:lineRule="auto"/>
              <w:rPr>
                <w:rFonts w:asciiTheme="majorBidi" w:hAnsiTheme="majorBidi" w:cstheme="majorBidi"/>
              </w:rPr>
            </w:pPr>
            <w:proofErr w:type="spellStart"/>
            <w:r w:rsidRPr="00DB4495">
              <w:rPr>
                <w:rFonts w:asciiTheme="majorBidi" w:hAnsiTheme="majorBidi" w:cstheme="majorBidi"/>
              </w:rPr>
              <w:t>Alumran</w:t>
            </w:r>
            <w:proofErr w:type="spellEnd"/>
            <w:r w:rsidRPr="00DB4495">
              <w:rPr>
                <w:rFonts w:asciiTheme="majorBidi" w:hAnsiTheme="majorBidi" w:cstheme="majorBidi"/>
              </w:rPr>
              <w:t xml:space="preserve"> et al., 2020</w:t>
            </w:r>
          </w:p>
        </w:tc>
        <w:tc>
          <w:tcPr>
            <w:tcW w:w="0" w:type="auto"/>
            <w:hideMark/>
          </w:tcPr>
          <w:p w14:paraId="3B88F92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Cross-sectional survey</w:t>
            </w:r>
          </w:p>
        </w:tc>
        <w:tc>
          <w:tcPr>
            <w:tcW w:w="0" w:type="auto"/>
            <w:hideMark/>
          </w:tcPr>
          <w:p w14:paraId="10CC516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71</w:t>
            </w:r>
          </w:p>
        </w:tc>
        <w:tc>
          <w:tcPr>
            <w:tcW w:w="0" w:type="auto"/>
            <w:hideMark/>
          </w:tcPr>
          <w:p w14:paraId="095A866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EDs, Saudi Arabia (High)</w:t>
            </w:r>
          </w:p>
        </w:tc>
        <w:tc>
          <w:tcPr>
            <w:tcW w:w="0" w:type="auto"/>
            <w:hideMark/>
          </w:tcPr>
          <w:p w14:paraId="70E3C01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e-CTAS usage (TAM scale)</w:t>
            </w:r>
          </w:p>
        </w:tc>
        <w:tc>
          <w:tcPr>
            <w:tcW w:w="0" w:type="auto"/>
            <w:hideMark/>
          </w:tcPr>
          <w:p w14:paraId="6C4C160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Increased with tenure</w:t>
            </w:r>
          </w:p>
        </w:tc>
        <w:tc>
          <w:tcPr>
            <w:tcW w:w="0" w:type="auto"/>
            <w:hideMark/>
          </w:tcPr>
          <w:p w14:paraId="3DF6F4D2"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Aids mitigated environmental variability</w:t>
            </w:r>
          </w:p>
        </w:tc>
      </w:tr>
      <w:tr w:rsidR="00DB4495" w:rsidRPr="00DB4495" w14:paraId="3F9EF3EA" w14:textId="77777777" w:rsidTr="00DB4495">
        <w:tc>
          <w:tcPr>
            <w:tcW w:w="0" w:type="auto"/>
            <w:hideMark/>
          </w:tcPr>
          <w:p w14:paraId="14BA122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10</w:t>
            </w:r>
          </w:p>
        </w:tc>
        <w:tc>
          <w:tcPr>
            <w:tcW w:w="0" w:type="auto"/>
            <w:hideMark/>
          </w:tcPr>
          <w:p w14:paraId="4156CCA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Davis et al., 2022</w:t>
            </w:r>
          </w:p>
        </w:tc>
        <w:tc>
          <w:tcPr>
            <w:tcW w:w="0" w:type="auto"/>
            <w:hideMark/>
          </w:tcPr>
          <w:p w14:paraId="39F66A9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Retrospective observational</w:t>
            </w:r>
          </w:p>
        </w:tc>
        <w:tc>
          <w:tcPr>
            <w:tcW w:w="0" w:type="auto"/>
            <w:hideMark/>
          </w:tcPr>
          <w:p w14:paraId="3D637AE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229,744</w:t>
            </w:r>
          </w:p>
        </w:tc>
        <w:tc>
          <w:tcPr>
            <w:tcW w:w="0" w:type="auto"/>
            <w:hideMark/>
          </w:tcPr>
          <w:p w14:paraId="2C6F6A5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Tertiary ED, Canada (High)</w:t>
            </w:r>
          </w:p>
        </w:tc>
        <w:tc>
          <w:tcPr>
            <w:tcW w:w="0" w:type="auto"/>
            <w:hideMark/>
          </w:tcPr>
          <w:p w14:paraId="494EF40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Validity association (OR)</w:t>
            </w:r>
          </w:p>
        </w:tc>
        <w:tc>
          <w:tcPr>
            <w:tcW w:w="0" w:type="auto"/>
            <w:hideMark/>
          </w:tcPr>
          <w:p w14:paraId="74F39BE2"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Improved with nurse supervision</w:t>
            </w:r>
          </w:p>
        </w:tc>
        <w:tc>
          <w:tcPr>
            <w:tcW w:w="0" w:type="auto"/>
            <w:hideMark/>
          </w:tcPr>
          <w:p w14:paraId="40B01EE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Nurse-led triage valid for outcomes</w:t>
            </w:r>
          </w:p>
        </w:tc>
      </w:tr>
      <w:tr w:rsidR="00DB4495" w:rsidRPr="00DB4495" w14:paraId="0F7D1CB3" w14:textId="77777777" w:rsidTr="00DB4495">
        <w:tc>
          <w:tcPr>
            <w:tcW w:w="0" w:type="auto"/>
            <w:hideMark/>
          </w:tcPr>
          <w:p w14:paraId="500029F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11</w:t>
            </w:r>
          </w:p>
        </w:tc>
        <w:tc>
          <w:tcPr>
            <w:tcW w:w="0" w:type="auto"/>
            <w:hideMark/>
          </w:tcPr>
          <w:p w14:paraId="3157511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Oh &amp; Jung, 2024</w:t>
            </w:r>
          </w:p>
        </w:tc>
        <w:tc>
          <w:tcPr>
            <w:tcW w:w="0" w:type="auto"/>
            <w:hideMark/>
          </w:tcPr>
          <w:p w14:paraId="7DCE76B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Cross-sectional</w:t>
            </w:r>
          </w:p>
        </w:tc>
        <w:tc>
          <w:tcPr>
            <w:tcW w:w="0" w:type="auto"/>
            <w:hideMark/>
          </w:tcPr>
          <w:p w14:paraId="74ADD78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157</w:t>
            </w:r>
          </w:p>
        </w:tc>
        <w:tc>
          <w:tcPr>
            <w:tcW w:w="0" w:type="auto"/>
            <w:hideMark/>
          </w:tcPr>
          <w:p w14:paraId="4C32FA3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EDs, South Korea (High)</w:t>
            </w:r>
          </w:p>
        </w:tc>
        <w:tc>
          <w:tcPr>
            <w:tcW w:w="0" w:type="auto"/>
            <w:hideMark/>
          </w:tcPr>
          <w:p w14:paraId="5AB4E5A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KTAS proficiency score</w:t>
            </w:r>
          </w:p>
        </w:tc>
        <w:tc>
          <w:tcPr>
            <w:tcW w:w="0" w:type="auto"/>
            <w:hideMark/>
          </w:tcPr>
          <w:p w14:paraId="68DBAFF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Mean 3.05</w:t>
            </w:r>
          </w:p>
        </w:tc>
        <w:tc>
          <w:tcPr>
            <w:tcW w:w="0" w:type="auto"/>
            <w:hideMark/>
          </w:tcPr>
          <w:p w14:paraId="4EFB086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Satisfaction mediated error reduction</w:t>
            </w:r>
          </w:p>
        </w:tc>
      </w:tr>
      <w:tr w:rsidR="00DB4495" w:rsidRPr="00DB4495" w14:paraId="6E90C35D" w14:textId="77777777" w:rsidTr="00DB4495">
        <w:tc>
          <w:tcPr>
            <w:tcW w:w="0" w:type="auto"/>
            <w:hideMark/>
          </w:tcPr>
          <w:p w14:paraId="4DC2BFF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12</w:t>
            </w:r>
          </w:p>
        </w:tc>
        <w:tc>
          <w:tcPr>
            <w:tcW w:w="0" w:type="auto"/>
            <w:hideMark/>
          </w:tcPr>
          <w:p w14:paraId="434C3942"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Kalan et al., 2024</w:t>
            </w:r>
          </w:p>
        </w:tc>
        <w:tc>
          <w:tcPr>
            <w:tcW w:w="0" w:type="auto"/>
            <w:hideMark/>
          </w:tcPr>
          <w:p w14:paraId="5E3D657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Prospective observational</w:t>
            </w:r>
          </w:p>
        </w:tc>
        <w:tc>
          <w:tcPr>
            <w:tcW w:w="0" w:type="auto"/>
            <w:hideMark/>
          </w:tcPr>
          <w:p w14:paraId="746AE49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351</w:t>
            </w:r>
          </w:p>
        </w:tc>
        <w:tc>
          <w:tcPr>
            <w:tcW w:w="0" w:type="auto"/>
            <w:hideMark/>
          </w:tcPr>
          <w:p w14:paraId="43D15F6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Private ED, UAE (High)</w:t>
            </w:r>
          </w:p>
        </w:tc>
        <w:tc>
          <w:tcPr>
            <w:tcW w:w="0" w:type="auto"/>
            <w:hideMark/>
          </w:tcPr>
          <w:p w14:paraId="5246FDA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Mismatch rate (%)</w:t>
            </w:r>
          </w:p>
        </w:tc>
        <w:tc>
          <w:tcPr>
            <w:tcW w:w="0" w:type="auto"/>
            <w:hideMark/>
          </w:tcPr>
          <w:p w14:paraId="087E428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41.5%</w:t>
            </w:r>
          </w:p>
        </w:tc>
        <w:tc>
          <w:tcPr>
            <w:tcW w:w="0" w:type="auto"/>
            <w:hideMark/>
          </w:tcPr>
          <w:p w14:paraId="6ECAA10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Under-triage peaked in overcrowding</w:t>
            </w:r>
          </w:p>
        </w:tc>
      </w:tr>
      <w:tr w:rsidR="00DB4495" w:rsidRPr="00DB4495" w14:paraId="2E8A2F37" w14:textId="77777777" w:rsidTr="00DB4495">
        <w:tc>
          <w:tcPr>
            <w:tcW w:w="0" w:type="auto"/>
            <w:hideMark/>
          </w:tcPr>
          <w:p w14:paraId="42A3B29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13</w:t>
            </w:r>
          </w:p>
        </w:tc>
        <w:tc>
          <w:tcPr>
            <w:tcW w:w="0" w:type="auto"/>
            <w:hideMark/>
          </w:tcPr>
          <w:p w14:paraId="1D07CCD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Grant et al., 2025</w:t>
            </w:r>
          </w:p>
        </w:tc>
        <w:tc>
          <w:tcPr>
            <w:tcW w:w="0" w:type="auto"/>
            <w:hideMark/>
          </w:tcPr>
          <w:p w14:paraId="4F49F02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Retrospective</w:t>
            </w:r>
          </w:p>
        </w:tc>
        <w:tc>
          <w:tcPr>
            <w:tcW w:w="0" w:type="auto"/>
            <w:hideMark/>
          </w:tcPr>
          <w:p w14:paraId="628DF94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670,841</w:t>
            </w:r>
          </w:p>
        </w:tc>
        <w:tc>
          <w:tcPr>
            <w:tcW w:w="0" w:type="auto"/>
            <w:hideMark/>
          </w:tcPr>
          <w:p w14:paraId="7BA10A1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ED, Canada (High)</w:t>
            </w:r>
          </w:p>
        </w:tc>
        <w:tc>
          <w:tcPr>
            <w:tcW w:w="0" w:type="auto"/>
            <w:hideMark/>
          </w:tcPr>
          <w:p w14:paraId="6C0CBA0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ROC for critical care</w:t>
            </w:r>
          </w:p>
        </w:tc>
        <w:tc>
          <w:tcPr>
            <w:tcW w:w="0" w:type="auto"/>
            <w:hideMark/>
          </w:tcPr>
          <w:p w14:paraId="3F4A1FE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0.804</w:t>
            </w:r>
          </w:p>
        </w:tc>
        <w:tc>
          <w:tcPr>
            <w:tcW w:w="0" w:type="auto"/>
            <w:hideMark/>
          </w:tcPr>
          <w:p w14:paraId="19B7782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CTAS predictive but bias-prone</w:t>
            </w:r>
          </w:p>
        </w:tc>
      </w:tr>
      <w:tr w:rsidR="00DB4495" w:rsidRPr="00DB4495" w14:paraId="1983016B" w14:textId="77777777" w:rsidTr="00DB4495">
        <w:tc>
          <w:tcPr>
            <w:tcW w:w="0" w:type="auto"/>
            <w:hideMark/>
          </w:tcPr>
          <w:p w14:paraId="064214C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14</w:t>
            </w:r>
          </w:p>
        </w:tc>
        <w:tc>
          <w:tcPr>
            <w:tcW w:w="0" w:type="auto"/>
            <w:hideMark/>
          </w:tcPr>
          <w:p w14:paraId="302471FC" w14:textId="77777777" w:rsidR="00DB4495" w:rsidRPr="00DB4495" w:rsidRDefault="00DB4495" w:rsidP="00DB4495">
            <w:pPr>
              <w:spacing w:after="160" w:line="278" w:lineRule="auto"/>
              <w:rPr>
                <w:rFonts w:asciiTheme="majorBidi" w:hAnsiTheme="majorBidi" w:cstheme="majorBidi"/>
              </w:rPr>
            </w:pPr>
            <w:proofErr w:type="spellStart"/>
            <w:r w:rsidRPr="00DB4495">
              <w:rPr>
                <w:rFonts w:asciiTheme="majorBidi" w:hAnsiTheme="majorBidi" w:cstheme="majorBidi"/>
              </w:rPr>
              <w:t>Penciner</w:t>
            </w:r>
            <w:proofErr w:type="spellEnd"/>
            <w:r w:rsidRPr="00DB4495">
              <w:rPr>
                <w:rFonts w:asciiTheme="majorBidi" w:hAnsiTheme="majorBidi" w:cstheme="majorBidi"/>
              </w:rPr>
              <w:t xml:space="preserve"> et al., 2025</w:t>
            </w:r>
          </w:p>
        </w:tc>
        <w:tc>
          <w:tcPr>
            <w:tcW w:w="0" w:type="auto"/>
            <w:hideMark/>
          </w:tcPr>
          <w:p w14:paraId="013599E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Prospective observational</w:t>
            </w:r>
          </w:p>
        </w:tc>
        <w:tc>
          <w:tcPr>
            <w:tcW w:w="0" w:type="auto"/>
            <w:hideMark/>
          </w:tcPr>
          <w:p w14:paraId="005E061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557</w:t>
            </w:r>
          </w:p>
        </w:tc>
        <w:tc>
          <w:tcPr>
            <w:tcW w:w="0" w:type="auto"/>
            <w:hideMark/>
          </w:tcPr>
          <w:p w14:paraId="321C6BA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Ambulatory ED, Canada (Moderate)</w:t>
            </w:r>
          </w:p>
        </w:tc>
        <w:tc>
          <w:tcPr>
            <w:tcW w:w="0" w:type="auto"/>
            <w:hideMark/>
          </w:tcPr>
          <w:p w14:paraId="075B066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Correlation CTAS-tasks (r)</w:t>
            </w:r>
          </w:p>
        </w:tc>
        <w:tc>
          <w:tcPr>
            <w:tcW w:w="0" w:type="auto"/>
            <w:hideMark/>
          </w:tcPr>
          <w:p w14:paraId="4A12515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0.17–0.21</w:t>
            </w:r>
          </w:p>
        </w:tc>
        <w:tc>
          <w:tcPr>
            <w:tcW w:w="0" w:type="auto"/>
            <w:hideMark/>
          </w:tcPr>
          <w:p w14:paraId="3BC8982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Low link to workload in ambulatory</w:t>
            </w:r>
          </w:p>
        </w:tc>
      </w:tr>
      <w:tr w:rsidR="00DB4495" w:rsidRPr="00DB4495" w14:paraId="1BC24076" w14:textId="77777777" w:rsidTr="00DB4495">
        <w:tc>
          <w:tcPr>
            <w:tcW w:w="0" w:type="auto"/>
            <w:hideMark/>
          </w:tcPr>
          <w:p w14:paraId="51DA1E2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15</w:t>
            </w:r>
          </w:p>
        </w:tc>
        <w:tc>
          <w:tcPr>
            <w:tcW w:w="0" w:type="auto"/>
            <w:hideMark/>
          </w:tcPr>
          <w:p w14:paraId="37C334BA" w14:textId="77777777" w:rsidR="00DB4495" w:rsidRPr="00DB4495" w:rsidRDefault="00DB4495" w:rsidP="00DB4495">
            <w:pPr>
              <w:spacing w:after="160" w:line="278" w:lineRule="auto"/>
              <w:rPr>
                <w:rFonts w:asciiTheme="majorBidi" w:hAnsiTheme="majorBidi" w:cstheme="majorBidi"/>
              </w:rPr>
            </w:pPr>
            <w:proofErr w:type="spellStart"/>
            <w:r w:rsidRPr="00DB4495">
              <w:rPr>
                <w:rFonts w:asciiTheme="majorBidi" w:hAnsiTheme="majorBidi" w:cstheme="majorBidi"/>
              </w:rPr>
              <w:t>Levis-Elmelech</w:t>
            </w:r>
            <w:proofErr w:type="spellEnd"/>
            <w:r w:rsidRPr="00DB4495">
              <w:rPr>
                <w:rFonts w:asciiTheme="majorBidi" w:hAnsiTheme="majorBidi" w:cstheme="majorBidi"/>
              </w:rPr>
              <w:t xml:space="preserve"> et al., 2022</w:t>
            </w:r>
          </w:p>
        </w:tc>
        <w:tc>
          <w:tcPr>
            <w:tcW w:w="0" w:type="auto"/>
            <w:hideMark/>
          </w:tcPr>
          <w:p w14:paraId="56CAA1C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Cross-sectional</w:t>
            </w:r>
          </w:p>
        </w:tc>
        <w:tc>
          <w:tcPr>
            <w:tcW w:w="0" w:type="auto"/>
            <w:hideMark/>
          </w:tcPr>
          <w:p w14:paraId="36AC4F5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200</w:t>
            </w:r>
          </w:p>
        </w:tc>
        <w:tc>
          <w:tcPr>
            <w:tcW w:w="0" w:type="auto"/>
            <w:hideMark/>
          </w:tcPr>
          <w:p w14:paraId="0B6BA6F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Urban EDs, Israel (High)</w:t>
            </w:r>
          </w:p>
        </w:tc>
        <w:tc>
          <w:tcPr>
            <w:tcW w:w="0" w:type="auto"/>
            <w:hideMark/>
          </w:tcPr>
          <w:p w14:paraId="3BF1826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Accuracy difference (%)</w:t>
            </w:r>
          </w:p>
        </w:tc>
        <w:tc>
          <w:tcPr>
            <w:tcW w:w="0" w:type="auto"/>
            <w:hideMark/>
          </w:tcPr>
          <w:p w14:paraId="3B24DBD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15% higher with tenure</w:t>
            </w:r>
          </w:p>
        </w:tc>
        <w:tc>
          <w:tcPr>
            <w:tcW w:w="0" w:type="auto"/>
            <w:hideMark/>
          </w:tcPr>
          <w:p w14:paraId="1011F3C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Expertise buffered fatigue</w:t>
            </w:r>
          </w:p>
        </w:tc>
      </w:tr>
      <w:tr w:rsidR="00DB4495" w:rsidRPr="00DB4495" w14:paraId="503486E6" w14:textId="77777777" w:rsidTr="00DB4495">
        <w:tc>
          <w:tcPr>
            <w:tcW w:w="0" w:type="auto"/>
            <w:hideMark/>
          </w:tcPr>
          <w:p w14:paraId="062FAB9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16</w:t>
            </w:r>
          </w:p>
        </w:tc>
        <w:tc>
          <w:tcPr>
            <w:tcW w:w="0" w:type="auto"/>
            <w:hideMark/>
          </w:tcPr>
          <w:p w14:paraId="6DD56BB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Fekonja et al., 2022</w:t>
            </w:r>
          </w:p>
        </w:tc>
        <w:tc>
          <w:tcPr>
            <w:tcW w:w="0" w:type="auto"/>
            <w:hideMark/>
          </w:tcPr>
          <w:p w14:paraId="2F92DC8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Mixed-methods</w:t>
            </w:r>
          </w:p>
        </w:tc>
        <w:tc>
          <w:tcPr>
            <w:tcW w:w="0" w:type="auto"/>
            <w:hideMark/>
          </w:tcPr>
          <w:p w14:paraId="3022B04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150</w:t>
            </w:r>
          </w:p>
        </w:tc>
        <w:tc>
          <w:tcPr>
            <w:tcW w:w="0" w:type="auto"/>
            <w:hideMark/>
          </w:tcPr>
          <w:p w14:paraId="3DD0BAE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EDs, Slovenia (Moderate)</w:t>
            </w:r>
          </w:p>
        </w:tc>
        <w:tc>
          <w:tcPr>
            <w:tcW w:w="0" w:type="auto"/>
            <w:hideMark/>
          </w:tcPr>
          <w:p w14:paraId="0BA005F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Satisfaction-proficiency (r)</w:t>
            </w:r>
          </w:p>
        </w:tc>
        <w:tc>
          <w:tcPr>
            <w:tcW w:w="0" w:type="auto"/>
            <w:hideMark/>
          </w:tcPr>
          <w:p w14:paraId="1511B5D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0.45</w:t>
            </w:r>
          </w:p>
        </w:tc>
        <w:tc>
          <w:tcPr>
            <w:tcW w:w="0" w:type="auto"/>
            <w:hideMark/>
          </w:tcPr>
          <w:p w14:paraId="6379BC2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Morale reduced misclassifications</w:t>
            </w:r>
          </w:p>
        </w:tc>
      </w:tr>
      <w:tr w:rsidR="00DB4495" w:rsidRPr="00DB4495" w14:paraId="7211027A" w14:textId="77777777" w:rsidTr="00DB4495">
        <w:tc>
          <w:tcPr>
            <w:tcW w:w="0" w:type="auto"/>
            <w:hideMark/>
          </w:tcPr>
          <w:p w14:paraId="0A28182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lastRenderedPageBreak/>
              <w:t>17</w:t>
            </w:r>
          </w:p>
        </w:tc>
        <w:tc>
          <w:tcPr>
            <w:tcW w:w="0" w:type="auto"/>
            <w:hideMark/>
          </w:tcPr>
          <w:p w14:paraId="3F322CB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Zachariasse et al., 2019</w:t>
            </w:r>
          </w:p>
        </w:tc>
        <w:tc>
          <w:tcPr>
            <w:tcW w:w="0" w:type="auto"/>
            <w:hideMark/>
          </w:tcPr>
          <w:p w14:paraId="02E9241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Systematic review/meta-analysis</w:t>
            </w:r>
          </w:p>
        </w:tc>
        <w:tc>
          <w:tcPr>
            <w:tcW w:w="0" w:type="auto"/>
            <w:hideMark/>
          </w:tcPr>
          <w:p w14:paraId="451A837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66 studies</w:t>
            </w:r>
          </w:p>
        </w:tc>
        <w:tc>
          <w:tcPr>
            <w:tcW w:w="0" w:type="auto"/>
            <w:hideMark/>
          </w:tcPr>
          <w:p w14:paraId="253312E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International EDs (High)</w:t>
            </w:r>
          </w:p>
        </w:tc>
        <w:tc>
          <w:tcPr>
            <w:tcW w:w="0" w:type="auto"/>
            <w:hideMark/>
          </w:tcPr>
          <w:p w14:paraId="3369E7A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Sensitivity high-urgency (%)</w:t>
            </w:r>
          </w:p>
        </w:tc>
        <w:tc>
          <w:tcPr>
            <w:tcW w:w="0" w:type="auto"/>
            <w:hideMark/>
          </w:tcPr>
          <w:p w14:paraId="00E8346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71–93%</w:t>
            </w:r>
          </w:p>
        </w:tc>
        <w:tc>
          <w:tcPr>
            <w:tcW w:w="0" w:type="auto"/>
            <w:hideMark/>
          </w:tcPr>
          <w:p w14:paraId="672E30B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Environmental moderators key</w:t>
            </w:r>
          </w:p>
        </w:tc>
      </w:tr>
      <w:tr w:rsidR="00DB4495" w:rsidRPr="00DB4495" w14:paraId="13A350DA" w14:textId="77777777" w:rsidTr="00DB4495">
        <w:tc>
          <w:tcPr>
            <w:tcW w:w="0" w:type="auto"/>
            <w:hideMark/>
          </w:tcPr>
          <w:p w14:paraId="1198E7A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18</w:t>
            </w:r>
          </w:p>
        </w:tc>
        <w:tc>
          <w:tcPr>
            <w:tcW w:w="0" w:type="auto"/>
            <w:hideMark/>
          </w:tcPr>
          <w:p w14:paraId="31FAAEC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Lee et al., 2015</w:t>
            </w:r>
          </w:p>
        </w:tc>
        <w:tc>
          <w:tcPr>
            <w:tcW w:w="0" w:type="auto"/>
            <w:hideMark/>
          </w:tcPr>
          <w:p w14:paraId="790FF75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Prospective simulation</w:t>
            </w:r>
          </w:p>
        </w:tc>
        <w:tc>
          <w:tcPr>
            <w:tcW w:w="0" w:type="auto"/>
            <w:hideMark/>
          </w:tcPr>
          <w:p w14:paraId="74907F6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50</w:t>
            </w:r>
          </w:p>
        </w:tc>
        <w:tc>
          <w:tcPr>
            <w:tcW w:w="0" w:type="auto"/>
            <w:hideMark/>
          </w:tcPr>
          <w:p w14:paraId="667542B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Simulated MCI, ED (High)</w:t>
            </w:r>
          </w:p>
        </w:tc>
        <w:tc>
          <w:tcPr>
            <w:tcW w:w="0" w:type="auto"/>
            <w:hideMark/>
          </w:tcPr>
          <w:p w14:paraId="3B8CBF9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Accuracy in hybrid model (%)</w:t>
            </w:r>
          </w:p>
        </w:tc>
        <w:tc>
          <w:tcPr>
            <w:tcW w:w="0" w:type="auto"/>
            <w:hideMark/>
          </w:tcPr>
          <w:p w14:paraId="219EF9A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57%</w:t>
            </w:r>
          </w:p>
        </w:tc>
        <w:tc>
          <w:tcPr>
            <w:tcW w:w="0" w:type="auto"/>
            <w:hideMark/>
          </w:tcPr>
          <w:p w14:paraId="6ADBF71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START-CTAS sustained flow</w:t>
            </w:r>
          </w:p>
        </w:tc>
      </w:tr>
      <w:tr w:rsidR="00DB4495" w:rsidRPr="00DB4495" w14:paraId="3F85FB53" w14:textId="77777777" w:rsidTr="00DB4495">
        <w:tc>
          <w:tcPr>
            <w:tcW w:w="0" w:type="auto"/>
            <w:hideMark/>
          </w:tcPr>
          <w:p w14:paraId="7B617BD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19</w:t>
            </w:r>
          </w:p>
        </w:tc>
        <w:tc>
          <w:tcPr>
            <w:tcW w:w="0" w:type="auto"/>
            <w:hideMark/>
          </w:tcPr>
          <w:p w14:paraId="65D9776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Shlenger et al., 2025</w:t>
            </w:r>
          </w:p>
        </w:tc>
        <w:tc>
          <w:tcPr>
            <w:tcW w:w="0" w:type="auto"/>
            <w:hideMark/>
          </w:tcPr>
          <w:p w14:paraId="62C63AD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RCT</w:t>
            </w:r>
          </w:p>
        </w:tc>
        <w:tc>
          <w:tcPr>
            <w:tcW w:w="0" w:type="auto"/>
            <w:hideMark/>
          </w:tcPr>
          <w:p w14:paraId="69CBA86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100</w:t>
            </w:r>
          </w:p>
        </w:tc>
        <w:tc>
          <w:tcPr>
            <w:tcW w:w="0" w:type="auto"/>
            <w:hideMark/>
          </w:tcPr>
          <w:p w14:paraId="4507C1D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ED, Israel (High)</w:t>
            </w:r>
          </w:p>
        </w:tc>
        <w:tc>
          <w:tcPr>
            <w:tcW w:w="0" w:type="auto"/>
            <w:hideMark/>
          </w:tcPr>
          <w:p w14:paraId="55A45A2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Accuracy 5-level CTAS (%)</w:t>
            </w:r>
          </w:p>
        </w:tc>
        <w:tc>
          <w:tcPr>
            <w:tcW w:w="0" w:type="auto"/>
            <w:hideMark/>
          </w:tcPr>
          <w:p w14:paraId="1D2460F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49%</w:t>
            </w:r>
          </w:p>
        </w:tc>
        <w:tc>
          <w:tcPr>
            <w:tcW w:w="0" w:type="auto"/>
            <w:hideMark/>
          </w:tcPr>
          <w:p w14:paraId="17A8BDC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Centrality bias reduced with 4-level</w:t>
            </w:r>
          </w:p>
        </w:tc>
      </w:tr>
      <w:tr w:rsidR="00DB4495" w:rsidRPr="00DB4495" w14:paraId="1F14ACBD" w14:textId="77777777" w:rsidTr="00DB4495">
        <w:tc>
          <w:tcPr>
            <w:tcW w:w="0" w:type="auto"/>
            <w:hideMark/>
          </w:tcPr>
          <w:p w14:paraId="12076C2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20</w:t>
            </w:r>
          </w:p>
        </w:tc>
        <w:tc>
          <w:tcPr>
            <w:tcW w:w="0" w:type="auto"/>
            <w:hideMark/>
          </w:tcPr>
          <w:p w14:paraId="41CDF00F" w14:textId="77777777" w:rsidR="00DB4495" w:rsidRPr="00DB4495" w:rsidRDefault="00DB4495" w:rsidP="00DB4495">
            <w:pPr>
              <w:spacing w:after="160" w:line="278" w:lineRule="auto"/>
              <w:rPr>
                <w:rFonts w:asciiTheme="majorBidi" w:hAnsiTheme="majorBidi" w:cstheme="majorBidi"/>
              </w:rPr>
            </w:pPr>
            <w:proofErr w:type="spellStart"/>
            <w:r w:rsidRPr="00DB4495">
              <w:rPr>
                <w:rFonts w:asciiTheme="majorBidi" w:hAnsiTheme="majorBidi" w:cstheme="majorBidi"/>
              </w:rPr>
              <w:t>Suamchaiyaphum</w:t>
            </w:r>
            <w:proofErr w:type="spellEnd"/>
            <w:r w:rsidRPr="00DB4495">
              <w:rPr>
                <w:rFonts w:asciiTheme="majorBidi" w:hAnsiTheme="majorBidi" w:cstheme="majorBidi"/>
              </w:rPr>
              <w:t xml:space="preserve"> &amp; </w:t>
            </w:r>
            <w:proofErr w:type="spellStart"/>
            <w:r w:rsidRPr="00DB4495">
              <w:rPr>
                <w:rFonts w:asciiTheme="majorBidi" w:hAnsiTheme="majorBidi" w:cstheme="majorBidi"/>
              </w:rPr>
              <w:t>Wongro</w:t>
            </w:r>
            <w:proofErr w:type="spellEnd"/>
            <w:r w:rsidRPr="00DB4495">
              <w:rPr>
                <w:rFonts w:asciiTheme="majorBidi" w:hAnsiTheme="majorBidi" w:cstheme="majorBidi"/>
              </w:rPr>
              <w:t>, 2024</w:t>
            </w:r>
          </w:p>
        </w:tc>
        <w:tc>
          <w:tcPr>
            <w:tcW w:w="0" w:type="auto"/>
            <w:hideMark/>
          </w:tcPr>
          <w:p w14:paraId="147F570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Evidence-based review</w:t>
            </w:r>
          </w:p>
        </w:tc>
        <w:tc>
          <w:tcPr>
            <w:tcW w:w="0" w:type="auto"/>
            <w:hideMark/>
          </w:tcPr>
          <w:p w14:paraId="743975E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N/A</w:t>
            </w:r>
          </w:p>
        </w:tc>
        <w:tc>
          <w:tcPr>
            <w:tcW w:w="0" w:type="auto"/>
            <w:hideMark/>
          </w:tcPr>
          <w:p w14:paraId="5B6C6BF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Various (High)</w:t>
            </w:r>
          </w:p>
        </w:tc>
        <w:tc>
          <w:tcPr>
            <w:tcW w:w="0" w:type="auto"/>
            <w:hideMark/>
          </w:tcPr>
          <w:p w14:paraId="6976CF2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Error increase from environment (%)</w:t>
            </w:r>
          </w:p>
        </w:tc>
        <w:tc>
          <w:tcPr>
            <w:tcW w:w="0" w:type="auto"/>
            <w:hideMark/>
          </w:tcPr>
          <w:p w14:paraId="0DF5DEA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12–18%</w:t>
            </w:r>
          </w:p>
        </w:tc>
        <w:tc>
          <w:tcPr>
            <w:tcW w:w="0" w:type="auto"/>
            <w:hideMark/>
          </w:tcPr>
          <w:p w14:paraId="2C6AFA6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Distractors amplified heuristics</w:t>
            </w:r>
          </w:p>
        </w:tc>
      </w:tr>
      <w:tr w:rsidR="00DB4495" w:rsidRPr="00DB4495" w14:paraId="1AF4C198" w14:textId="77777777" w:rsidTr="00DB4495">
        <w:tc>
          <w:tcPr>
            <w:tcW w:w="0" w:type="auto"/>
            <w:hideMark/>
          </w:tcPr>
          <w:p w14:paraId="7733A36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21</w:t>
            </w:r>
          </w:p>
        </w:tc>
        <w:tc>
          <w:tcPr>
            <w:tcW w:w="0" w:type="auto"/>
            <w:hideMark/>
          </w:tcPr>
          <w:p w14:paraId="131090F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Lee et al., 2011</w:t>
            </w:r>
          </w:p>
        </w:tc>
        <w:tc>
          <w:tcPr>
            <w:tcW w:w="0" w:type="auto"/>
            <w:hideMark/>
          </w:tcPr>
          <w:p w14:paraId="7D9638F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Prospective observational</w:t>
            </w:r>
          </w:p>
        </w:tc>
        <w:tc>
          <w:tcPr>
            <w:tcW w:w="0" w:type="auto"/>
            <w:hideMark/>
          </w:tcPr>
          <w:p w14:paraId="0713F80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493</w:t>
            </w:r>
          </w:p>
        </w:tc>
        <w:tc>
          <w:tcPr>
            <w:tcW w:w="0" w:type="auto"/>
            <w:hideMark/>
          </w:tcPr>
          <w:p w14:paraId="241FFE0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Urban EDs, Korea (High)</w:t>
            </w:r>
          </w:p>
        </w:tc>
        <w:tc>
          <w:tcPr>
            <w:tcW w:w="0" w:type="auto"/>
            <w:hideMark/>
          </w:tcPr>
          <w:p w14:paraId="7A618E0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Sensitivity elderly Level ≤2 (%)</w:t>
            </w:r>
          </w:p>
        </w:tc>
        <w:tc>
          <w:tcPr>
            <w:tcW w:w="0" w:type="auto"/>
            <w:hideMark/>
          </w:tcPr>
          <w:p w14:paraId="0B91F4C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97.9%</w:t>
            </w:r>
          </w:p>
        </w:tc>
        <w:tc>
          <w:tcPr>
            <w:tcW w:w="0" w:type="auto"/>
            <w:hideMark/>
          </w:tcPr>
          <w:p w14:paraId="7967B76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Strong validity in vulnerable groups</w:t>
            </w:r>
          </w:p>
        </w:tc>
      </w:tr>
      <w:tr w:rsidR="00DB4495" w:rsidRPr="00DB4495" w14:paraId="7BE8BC22" w14:textId="77777777" w:rsidTr="00DB4495">
        <w:tc>
          <w:tcPr>
            <w:tcW w:w="0" w:type="auto"/>
            <w:hideMark/>
          </w:tcPr>
          <w:p w14:paraId="3AB3946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22</w:t>
            </w:r>
          </w:p>
        </w:tc>
        <w:tc>
          <w:tcPr>
            <w:tcW w:w="0" w:type="auto"/>
            <w:hideMark/>
          </w:tcPr>
          <w:p w14:paraId="1650DF0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Ng et al., 2010</w:t>
            </w:r>
          </w:p>
        </w:tc>
        <w:tc>
          <w:tcPr>
            <w:tcW w:w="0" w:type="auto"/>
            <w:hideMark/>
          </w:tcPr>
          <w:p w14:paraId="3788DE7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Comparative</w:t>
            </w:r>
          </w:p>
        </w:tc>
        <w:tc>
          <w:tcPr>
            <w:tcW w:w="0" w:type="auto"/>
            <w:hideMark/>
          </w:tcPr>
          <w:p w14:paraId="18CA792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1,000</w:t>
            </w:r>
          </w:p>
        </w:tc>
        <w:tc>
          <w:tcPr>
            <w:tcW w:w="0" w:type="auto"/>
            <w:hideMark/>
          </w:tcPr>
          <w:p w14:paraId="2A96C0C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EDs, Taiwan (Moderate)</w:t>
            </w:r>
          </w:p>
        </w:tc>
        <w:tc>
          <w:tcPr>
            <w:tcW w:w="0" w:type="auto"/>
            <w:hideMark/>
          </w:tcPr>
          <w:p w14:paraId="746E9CE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Predictive validity (kappa)</w:t>
            </w:r>
          </w:p>
        </w:tc>
        <w:tc>
          <w:tcPr>
            <w:tcW w:w="0" w:type="auto"/>
            <w:hideMark/>
          </w:tcPr>
          <w:p w14:paraId="528671D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0.72</w:t>
            </w:r>
          </w:p>
        </w:tc>
        <w:tc>
          <w:tcPr>
            <w:tcW w:w="0" w:type="auto"/>
            <w:hideMark/>
          </w:tcPr>
          <w:p w14:paraId="0AC9D47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Superior to local systems</w:t>
            </w:r>
          </w:p>
        </w:tc>
      </w:tr>
      <w:tr w:rsidR="00DB4495" w:rsidRPr="00DB4495" w14:paraId="175CB69E" w14:textId="77777777" w:rsidTr="00DB4495">
        <w:tc>
          <w:tcPr>
            <w:tcW w:w="0" w:type="auto"/>
            <w:hideMark/>
          </w:tcPr>
          <w:p w14:paraId="2A865B9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23</w:t>
            </w:r>
          </w:p>
        </w:tc>
        <w:tc>
          <w:tcPr>
            <w:tcW w:w="0" w:type="auto"/>
            <w:hideMark/>
          </w:tcPr>
          <w:p w14:paraId="7F737CD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Bullard et al., 2011</w:t>
            </w:r>
          </w:p>
        </w:tc>
        <w:tc>
          <w:tcPr>
            <w:tcW w:w="0" w:type="auto"/>
            <w:hideMark/>
          </w:tcPr>
          <w:p w14:paraId="0C89935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Cross-sectional</w:t>
            </w:r>
          </w:p>
        </w:tc>
        <w:tc>
          <w:tcPr>
            <w:tcW w:w="0" w:type="auto"/>
            <w:hideMark/>
          </w:tcPr>
          <w:p w14:paraId="14E6F41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5,000</w:t>
            </w:r>
          </w:p>
        </w:tc>
        <w:tc>
          <w:tcPr>
            <w:tcW w:w="0" w:type="auto"/>
            <w:hideMark/>
          </w:tcPr>
          <w:p w14:paraId="7B2EA44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Multiple Canadian EDs (High)</w:t>
            </w:r>
          </w:p>
        </w:tc>
        <w:tc>
          <w:tcPr>
            <w:tcW w:w="0" w:type="auto"/>
            <w:hideMark/>
          </w:tcPr>
          <w:p w14:paraId="4761A2D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Reliability post-revision (kappa)</w:t>
            </w:r>
          </w:p>
        </w:tc>
        <w:tc>
          <w:tcPr>
            <w:tcW w:w="0" w:type="auto"/>
            <w:hideMark/>
          </w:tcPr>
          <w:p w14:paraId="07B10AF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0.72</w:t>
            </w:r>
          </w:p>
        </w:tc>
        <w:tc>
          <w:tcPr>
            <w:tcW w:w="0" w:type="auto"/>
            <w:hideMark/>
          </w:tcPr>
          <w:p w14:paraId="2DFE7F0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Revisions enhanced consistency</w:t>
            </w:r>
          </w:p>
        </w:tc>
      </w:tr>
      <w:tr w:rsidR="00DB4495" w:rsidRPr="00DB4495" w14:paraId="5765C4C0" w14:textId="77777777" w:rsidTr="00DB4495">
        <w:tc>
          <w:tcPr>
            <w:tcW w:w="0" w:type="auto"/>
            <w:hideMark/>
          </w:tcPr>
          <w:p w14:paraId="5AD69B4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24</w:t>
            </w:r>
          </w:p>
        </w:tc>
        <w:tc>
          <w:tcPr>
            <w:tcW w:w="0" w:type="auto"/>
            <w:hideMark/>
          </w:tcPr>
          <w:p w14:paraId="760F980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Beveridge et al., 1999</w:t>
            </w:r>
          </w:p>
        </w:tc>
        <w:tc>
          <w:tcPr>
            <w:tcW w:w="0" w:type="auto"/>
            <w:hideMark/>
          </w:tcPr>
          <w:p w14:paraId="4F484F4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Validation study</w:t>
            </w:r>
          </w:p>
        </w:tc>
        <w:tc>
          <w:tcPr>
            <w:tcW w:w="0" w:type="auto"/>
            <w:hideMark/>
          </w:tcPr>
          <w:p w14:paraId="241772D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2,500</w:t>
            </w:r>
          </w:p>
        </w:tc>
        <w:tc>
          <w:tcPr>
            <w:tcW w:w="0" w:type="auto"/>
            <w:hideMark/>
          </w:tcPr>
          <w:p w14:paraId="329CDC6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Canadian EDs (Moderate)</w:t>
            </w:r>
          </w:p>
        </w:tc>
        <w:tc>
          <w:tcPr>
            <w:tcW w:w="0" w:type="auto"/>
            <w:hideMark/>
          </w:tcPr>
          <w:p w14:paraId="46C0F7E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Initial reliability (kappa)</w:t>
            </w:r>
          </w:p>
        </w:tc>
        <w:tc>
          <w:tcPr>
            <w:tcW w:w="0" w:type="auto"/>
            <w:hideMark/>
          </w:tcPr>
          <w:p w14:paraId="73F3E6A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0.78</w:t>
            </w:r>
          </w:p>
        </w:tc>
        <w:tc>
          <w:tcPr>
            <w:tcW w:w="0" w:type="auto"/>
            <w:hideMark/>
          </w:tcPr>
          <w:p w14:paraId="6EE4B7A2"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Foundational high agreement</w:t>
            </w:r>
          </w:p>
        </w:tc>
      </w:tr>
      <w:tr w:rsidR="00DB4495" w:rsidRPr="00DB4495" w14:paraId="61DBDCEF" w14:textId="77777777" w:rsidTr="00DB4495">
        <w:tc>
          <w:tcPr>
            <w:tcW w:w="0" w:type="auto"/>
            <w:hideMark/>
          </w:tcPr>
          <w:p w14:paraId="7639E02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25</w:t>
            </w:r>
          </w:p>
        </w:tc>
        <w:tc>
          <w:tcPr>
            <w:tcW w:w="0" w:type="auto"/>
            <w:hideMark/>
          </w:tcPr>
          <w:p w14:paraId="255A03C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Mistry et al., 2023</w:t>
            </w:r>
          </w:p>
        </w:tc>
        <w:tc>
          <w:tcPr>
            <w:tcW w:w="0" w:type="auto"/>
            <w:hideMark/>
          </w:tcPr>
          <w:p w14:paraId="0950A73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Mixed-methods</w:t>
            </w:r>
          </w:p>
        </w:tc>
        <w:tc>
          <w:tcPr>
            <w:tcW w:w="0" w:type="auto"/>
            <w:hideMark/>
          </w:tcPr>
          <w:p w14:paraId="762BB75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120</w:t>
            </w:r>
          </w:p>
        </w:tc>
        <w:tc>
          <w:tcPr>
            <w:tcW w:w="0" w:type="auto"/>
            <w:hideMark/>
          </w:tcPr>
          <w:p w14:paraId="0625F7C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 xml:space="preserve">Pediatric EDs, </w:t>
            </w:r>
            <w:r w:rsidRPr="00DB4495">
              <w:rPr>
                <w:rFonts w:asciiTheme="majorBidi" w:hAnsiTheme="majorBidi" w:cstheme="majorBidi"/>
              </w:rPr>
              <w:lastRenderedPageBreak/>
              <w:t>Canada (High)</w:t>
            </w:r>
          </w:p>
        </w:tc>
        <w:tc>
          <w:tcPr>
            <w:tcW w:w="0" w:type="auto"/>
            <w:hideMark/>
          </w:tcPr>
          <w:p w14:paraId="799E448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lastRenderedPageBreak/>
              <w:t xml:space="preserve">Accuracy pediatric </w:t>
            </w:r>
            <w:r w:rsidRPr="00DB4495">
              <w:rPr>
                <w:rFonts w:asciiTheme="majorBidi" w:hAnsiTheme="majorBidi" w:cstheme="majorBidi"/>
              </w:rPr>
              <w:lastRenderedPageBreak/>
              <w:t>CTAS (%)</w:t>
            </w:r>
          </w:p>
        </w:tc>
        <w:tc>
          <w:tcPr>
            <w:tcW w:w="0" w:type="auto"/>
            <w:hideMark/>
          </w:tcPr>
          <w:p w14:paraId="47B90A8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lastRenderedPageBreak/>
              <w:t>82%</w:t>
            </w:r>
          </w:p>
        </w:tc>
        <w:tc>
          <w:tcPr>
            <w:tcW w:w="0" w:type="auto"/>
            <w:hideMark/>
          </w:tcPr>
          <w:p w14:paraId="20D68C9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Adapted for age but bias persistent</w:t>
            </w:r>
          </w:p>
        </w:tc>
      </w:tr>
      <w:tr w:rsidR="00DB4495" w:rsidRPr="00DB4495" w14:paraId="106BB941" w14:textId="77777777" w:rsidTr="00DB4495">
        <w:tc>
          <w:tcPr>
            <w:tcW w:w="0" w:type="auto"/>
            <w:hideMark/>
          </w:tcPr>
          <w:p w14:paraId="4AB7AE7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26</w:t>
            </w:r>
          </w:p>
        </w:tc>
        <w:tc>
          <w:tcPr>
            <w:tcW w:w="0" w:type="auto"/>
            <w:hideMark/>
          </w:tcPr>
          <w:p w14:paraId="03ADE04F" w14:textId="77777777" w:rsidR="00DB4495" w:rsidRPr="00DB4495" w:rsidRDefault="00DB4495" w:rsidP="00DB4495">
            <w:pPr>
              <w:spacing w:after="160" w:line="278" w:lineRule="auto"/>
              <w:rPr>
                <w:rFonts w:asciiTheme="majorBidi" w:hAnsiTheme="majorBidi" w:cstheme="majorBidi"/>
              </w:rPr>
            </w:pPr>
            <w:proofErr w:type="spellStart"/>
            <w:r w:rsidRPr="00DB4495">
              <w:rPr>
                <w:rFonts w:asciiTheme="majorBidi" w:hAnsiTheme="majorBidi" w:cstheme="majorBidi"/>
              </w:rPr>
              <w:t>Alquraini</w:t>
            </w:r>
            <w:proofErr w:type="spellEnd"/>
            <w:r w:rsidRPr="00DB4495">
              <w:rPr>
                <w:rFonts w:asciiTheme="majorBidi" w:hAnsiTheme="majorBidi" w:cstheme="majorBidi"/>
              </w:rPr>
              <w:t xml:space="preserve"> et al., 2024</w:t>
            </w:r>
          </w:p>
        </w:tc>
        <w:tc>
          <w:tcPr>
            <w:tcW w:w="0" w:type="auto"/>
            <w:hideMark/>
          </w:tcPr>
          <w:p w14:paraId="4082E39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Scoping review</w:t>
            </w:r>
          </w:p>
        </w:tc>
        <w:tc>
          <w:tcPr>
            <w:tcW w:w="0" w:type="auto"/>
            <w:hideMark/>
          </w:tcPr>
          <w:p w14:paraId="78619D6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50 studies</w:t>
            </w:r>
          </w:p>
        </w:tc>
        <w:tc>
          <w:tcPr>
            <w:tcW w:w="0" w:type="auto"/>
            <w:hideMark/>
          </w:tcPr>
          <w:p w14:paraId="53E03CD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International (High)</w:t>
            </w:r>
          </w:p>
        </w:tc>
        <w:tc>
          <w:tcPr>
            <w:tcW w:w="0" w:type="auto"/>
            <w:hideMark/>
          </w:tcPr>
          <w:p w14:paraId="5C8A64B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Training gaps (thematic)</w:t>
            </w:r>
          </w:p>
        </w:tc>
        <w:tc>
          <w:tcPr>
            <w:tcW w:w="0" w:type="auto"/>
            <w:hideMark/>
          </w:tcPr>
          <w:p w14:paraId="44466FD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Underrepresented low-resource</w:t>
            </w:r>
          </w:p>
        </w:tc>
        <w:tc>
          <w:tcPr>
            <w:tcW w:w="0" w:type="auto"/>
            <w:hideMark/>
          </w:tcPr>
          <w:p w14:paraId="5D3D36C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Need for contextual adaptations</w:t>
            </w:r>
          </w:p>
        </w:tc>
      </w:tr>
      <w:tr w:rsidR="00DB4495" w:rsidRPr="00DB4495" w14:paraId="7BC53C4F" w14:textId="77777777" w:rsidTr="00DB4495">
        <w:tc>
          <w:tcPr>
            <w:tcW w:w="0" w:type="auto"/>
            <w:hideMark/>
          </w:tcPr>
          <w:p w14:paraId="0FAEAC3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27</w:t>
            </w:r>
          </w:p>
        </w:tc>
        <w:tc>
          <w:tcPr>
            <w:tcW w:w="0" w:type="auto"/>
            <w:hideMark/>
          </w:tcPr>
          <w:p w14:paraId="3B12476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Khan et al., 2021</w:t>
            </w:r>
          </w:p>
        </w:tc>
        <w:tc>
          <w:tcPr>
            <w:tcW w:w="0" w:type="auto"/>
            <w:hideMark/>
          </w:tcPr>
          <w:p w14:paraId="474ADAF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Qualitative</w:t>
            </w:r>
          </w:p>
        </w:tc>
        <w:tc>
          <w:tcPr>
            <w:tcW w:w="0" w:type="auto"/>
            <w:hideMark/>
          </w:tcPr>
          <w:p w14:paraId="1DBF22A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25</w:t>
            </w:r>
          </w:p>
        </w:tc>
        <w:tc>
          <w:tcPr>
            <w:tcW w:w="0" w:type="auto"/>
            <w:hideMark/>
          </w:tcPr>
          <w:p w14:paraId="48A224B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High-volume EDs, UK (High)</w:t>
            </w:r>
          </w:p>
        </w:tc>
        <w:tc>
          <w:tcPr>
            <w:tcW w:w="0" w:type="auto"/>
            <w:hideMark/>
          </w:tcPr>
          <w:p w14:paraId="0F680AA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TDM complexity (themes)</w:t>
            </w:r>
          </w:p>
        </w:tc>
        <w:tc>
          <w:tcPr>
            <w:tcW w:w="0" w:type="auto"/>
            <w:hideMark/>
          </w:tcPr>
          <w:p w14:paraId="256C7D2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Heuristics dominant</w:t>
            </w:r>
          </w:p>
        </w:tc>
        <w:tc>
          <w:tcPr>
            <w:tcW w:w="0" w:type="auto"/>
            <w:hideMark/>
          </w:tcPr>
          <w:p w14:paraId="4E0A49F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Ambiguity challenged expertise</w:t>
            </w:r>
          </w:p>
        </w:tc>
      </w:tr>
      <w:tr w:rsidR="00DB4495" w:rsidRPr="00DB4495" w14:paraId="705E4381" w14:textId="77777777" w:rsidTr="00DB4495">
        <w:tc>
          <w:tcPr>
            <w:tcW w:w="0" w:type="auto"/>
            <w:hideMark/>
          </w:tcPr>
          <w:p w14:paraId="58A794E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28</w:t>
            </w:r>
          </w:p>
        </w:tc>
        <w:tc>
          <w:tcPr>
            <w:tcW w:w="0" w:type="auto"/>
            <w:hideMark/>
          </w:tcPr>
          <w:p w14:paraId="3007C1C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Fekonja et al., 2022</w:t>
            </w:r>
          </w:p>
        </w:tc>
        <w:tc>
          <w:tcPr>
            <w:tcW w:w="0" w:type="auto"/>
            <w:hideMark/>
          </w:tcPr>
          <w:p w14:paraId="34A1A5B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Mixed-methods</w:t>
            </w:r>
          </w:p>
        </w:tc>
        <w:tc>
          <w:tcPr>
            <w:tcW w:w="0" w:type="auto"/>
            <w:hideMark/>
          </w:tcPr>
          <w:p w14:paraId="385E4C32"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150</w:t>
            </w:r>
          </w:p>
        </w:tc>
        <w:tc>
          <w:tcPr>
            <w:tcW w:w="0" w:type="auto"/>
            <w:hideMark/>
          </w:tcPr>
          <w:p w14:paraId="149DEC4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EDs, Slovenia (Moderate)</w:t>
            </w:r>
          </w:p>
        </w:tc>
        <w:tc>
          <w:tcPr>
            <w:tcW w:w="0" w:type="auto"/>
            <w:hideMark/>
          </w:tcPr>
          <w:p w14:paraId="097E895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Satisfaction-triage link (r)</w:t>
            </w:r>
          </w:p>
        </w:tc>
        <w:tc>
          <w:tcPr>
            <w:tcW w:w="0" w:type="auto"/>
            <w:hideMark/>
          </w:tcPr>
          <w:p w14:paraId="566843E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0.45</w:t>
            </w:r>
          </w:p>
        </w:tc>
        <w:tc>
          <w:tcPr>
            <w:tcW w:w="0" w:type="auto"/>
            <w:hideMark/>
          </w:tcPr>
          <w:p w14:paraId="790282B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Systemic support essential</w:t>
            </w:r>
          </w:p>
        </w:tc>
      </w:tr>
    </w:tbl>
    <w:p w14:paraId="6B50AA91" w14:textId="036005DC" w:rsidR="00DB4495" w:rsidRPr="00DB4495" w:rsidRDefault="00DB4495" w:rsidP="00DB4495">
      <w:pPr>
        <w:rPr>
          <w:rFonts w:asciiTheme="majorBidi" w:hAnsiTheme="majorBidi" w:cstheme="majorBidi"/>
        </w:rPr>
      </w:pPr>
    </w:p>
    <w:p w14:paraId="10AC5C83" w14:textId="26D16F05" w:rsidR="00DB4495" w:rsidRPr="00DB4495" w:rsidRDefault="00DB4495" w:rsidP="00DB4495">
      <w:pPr>
        <w:rPr>
          <w:rFonts w:asciiTheme="majorBidi" w:hAnsiTheme="majorBidi" w:cstheme="majorBidi"/>
        </w:rPr>
      </w:pPr>
      <w:r w:rsidRPr="00DB4495">
        <w:rPr>
          <w:rFonts w:asciiTheme="majorBidi" w:hAnsiTheme="majorBidi" w:cstheme="majorBidi"/>
          <w:b/>
          <w:bCs/>
        </w:rPr>
        <w:t xml:space="preserve">Table </w:t>
      </w:r>
      <w:proofErr w:type="gramStart"/>
      <w:r w:rsidRPr="00DB4495">
        <w:rPr>
          <w:rFonts w:asciiTheme="majorBidi" w:hAnsiTheme="majorBidi" w:cstheme="majorBidi"/>
          <w:b/>
          <w:bCs/>
        </w:rPr>
        <w:t>2</w:t>
      </w:r>
      <w:r w:rsidRPr="00DB4495">
        <w:rPr>
          <w:rFonts w:asciiTheme="majorBidi" w:hAnsiTheme="majorBidi" w:cstheme="majorBidi"/>
        </w:rPr>
        <w:t> </w:t>
      </w:r>
      <w:r w:rsidR="00676CDB">
        <w:rPr>
          <w:rFonts w:asciiTheme="majorBidi" w:hAnsiTheme="majorBidi" w:cstheme="majorBidi"/>
        </w:rPr>
        <w:t>:</w:t>
      </w:r>
      <w:proofErr w:type="gramEnd"/>
      <w:r w:rsidRPr="00DB4495">
        <w:rPr>
          <w:rFonts w:asciiTheme="majorBidi" w:hAnsiTheme="majorBidi" w:cstheme="majorBidi"/>
        </w:rPr>
        <w:t xml:space="preserve"> a thematic summary of quantitative findings across all studies.</w:t>
      </w:r>
    </w:p>
    <w:tbl>
      <w:tblPr>
        <w:tblStyle w:val="TableGrid"/>
        <w:tblW w:w="0" w:type="auto"/>
        <w:tblLook w:val="04A0" w:firstRow="1" w:lastRow="0" w:firstColumn="1" w:lastColumn="0" w:noHBand="0" w:noVBand="1"/>
      </w:tblPr>
      <w:tblGrid>
        <w:gridCol w:w="2088"/>
        <w:gridCol w:w="2121"/>
        <w:gridCol w:w="1109"/>
        <w:gridCol w:w="1973"/>
        <w:gridCol w:w="2059"/>
      </w:tblGrid>
      <w:tr w:rsidR="00DB4495" w:rsidRPr="00DB4495" w14:paraId="34690A66" w14:textId="77777777" w:rsidTr="00DB4495">
        <w:tc>
          <w:tcPr>
            <w:tcW w:w="0" w:type="auto"/>
            <w:hideMark/>
          </w:tcPr>
          <w:p w14:paraId="3F65CD5B"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Theme</w:t>
            </w:r>
          </w:p>
        </w:tc>
        <w:tc>
          <w:tcPr>
            <w:tcW w:w="0" w:type="auto"/>
            <w:hideMark/>
          </w:tcPr>
          <w:p w14:paraId="3F83E5A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Key Finding</w:t>
            </w:r>
          </w:p>
        </w:tc>
        <w:tc>
          <w:tcPr>
            <w:tcW w:w="0" w:type="auto"/>
            <w:hideMark/>
          </w:tcPr>
          <w:p w14:paraId="420D864A"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Range / Value</w:t>
            </w:r>
          </w:p>
        </w:tc>
        <w:tc>
          <w:tcPr>
            <w:tcW w:w="0" w:type="auto"/>
            <w:hideMark/>
          </w:tcPr>
          <w:p w14:paraId="1BE5AA3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Supporting Studies (IDs from Table 1)</w:t>
            </w:r>
          </w:p>
        </w:tc>
        <w:tc>
          <w:tcPr>
            <w:tcW w:w="0" w:type="auto"/>
            <w:hideMark/>
          </w:tcPr>
          <w:p w14:paraId="54BEBD1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Study Designs</w:t>
            </w:r>
          </w:p>
        </w:tc>
      </w:tr>
      <w:tr w:rsidR="00DB4495" w:rsidRPr="00DB4495" w14:paraId="5C3BC594" w14:textId="77777777" w:rsidTr="00DB4495">
        <w:tc>
          <w:tcPr>
            <w:tcW w:w="0" w:type="auto"/>
            <w:hideMark/>
          </w:tcPr>
          <w:p w14:paraId="3CC0CC3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Tenure &gt;5 years</w:t>
            </w:r>
          </w:p>
        </w:tc>
        <w:tc>
          <w:tcPr>
            <w:tcW w:w="0" w:type="auto"/>
            <w:hideMark/>
          </w:tcPr>
          <w:p w14:paraId="4B680A3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Accuracy gain for Levels 2–3</w:t>
            </w:r>
          </w:p>
        </w:tc>
        <w:tc>
          <w:tcPr>
            <w:tcW w:w="0" w:type="auto"/>
            <w:hideMark/>
          </w:tcPr>
          <w:p w14:paraId="715BBEF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15–30%</w:t>
            </w:r>
          </w:p>
        </w:tc>
        <w:tc>
          <w:tcPr>
            <w:tcW w:w="0" w:type="auto"/>
            <w:hideMark/>
          </w:tcPr>
          <w:p w14:paraId="67B9AFF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3, 15, 24</w:t>
            </w:r>
          </w:p>
        </w:tc>
        <w:tc>
          <w:tcPr>
            <w:tcW w:w="0" w:type="auto"/>
            <w:hideMark/>
          </w:tcPr>
          <w:p w14:paraId="599FA2F7"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Cross-sectional, prospective</w:t>
            </w:r>
          </w:p>
        </w:tc>
      </w:tr>
      <w:tr w:rsidR="00DB4495" w:rsidRPr="00DB4495" w14:paraId="51D0F263" w14:textId="77777777" w:rsidTr="00DB4495">
        <w:tc>
          <w:tcPr>
            <w:tcW w:w="0" w:type="auto"/>
            <w:hideMark/>
          </w:tcPr>
          <w:p w14:paraId="7C17B58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Experience → intuitive reasoning</w:t>
            </w:r>
          </w:p>
        </w:tc>
        <w:tc>
          <w:tcPr>
            <w:tcW w:w="0" w:type="auto"/>
            <w:hideMark/>
          </w:tcPr>
          <w:p w14:paraId="349BD21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Faster triage, but bias-prone</w:t>
            </w:r>
          </w:p>
        </w:tc>
        <w:tc>
          <w:tcPr>
            <w:tcW w:w="0" w:type="auto"/>
            <w:hideMark/>
          </w:tcPr>
          <w:p w14:paraId="58D6775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kappa 0.65–0.72</w:t>
            </w:r>
          </w:p>
        </w:tc>
        <w:tc>
          <w:tcPr>
            <w:tcW w:w="0" w:type="auto"/>
            <w:hideMark/>
          </w:tcPr>
          <w:p w14:paraId="36AE3CE5"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1, 23, 26</w:t>
            </w:r>
          </w:p>
        </w:tc>
        <w:tc>
          <w:tcPr>
            <w:tcW w:w="0" w:type="auto"/>
            <w:hideMark/>
          </w:tcPr>
          <w:p w14:paraId="5562FEA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Experimental, cross-sectional</w:t>
            </w:r>
          </w:p>
        </w:tc>
      </w:tr>
      <w:tr w:rsidR="00DB4495" w:rsidRPr="00DB4495" w14:paraId="1988CF39" w14:textId="77777777" w:rsidTr="00DB4495">
        <w:tc>
          <w:tcPr>
            <w:tcW w:w="0" w:type="auto"/>
            <w:hideMark/>
          </w:tcPr>
          <w:p w14:paraId="57EF9B0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Centrality bias</w:t>
            </w:r>
          </w:p>
        </w:tc>
        <w:tc>
          <w:tcPr>
            <w:tcW w:w="0" w:type="auto"/>
            <w:hideMark/>
          </w:tcPr>
          <w:p w14:paraId="1E1A437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Reduced accuracy with 5-level CTAS</w:t>
            </w:r>
          </w:p>
        </w:tc>
        <w:tc>
          <w:tcPr>
            <w:tcW w:w="0" w:type="auto"/>
            <w:hideMark/>
          </w:tcPr>
          <w:p w14:paraId="709A03D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49% (vs. 4-level)</w:t>
            </w:r>
          </w:p>
        </w:tc>
        <w:tc>
          <w:tcPr>
            <w:tcW w:w="0" w:type="auto"/>
            <w:hideMark/>
          </w:tcPr>
          <w:p w14:paraId="5F932FD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19</w:t>
            </w:r>
          </w:p>
        </w:tc>
        <w:tc>
          <w:tcPr>
            <w:tcW w:w="0" w:type="auto"/>
            <w:hideMark/>
          </w:tcPr>
          <w:p w14:paraId="2CA037C8"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RCT</w:t>
            </w:r>
          </w:p>
        </w:tc>
      </w:tr>
      <w:tr w:rsidR="00DB4495" w:rsidRPr="00DB4495" w14:paraId="56FE8D46" w14:textId="77777777" w:rsidTr="00DB4495">
        <w:tc>
          <w:tcPr>
            <w:tcW w:w="0" w:type="auto"/>
            <w:hideMark/>
          </w:tcPr>
          <w:p w14:paraId="30826FD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Overcrowding / surges</w:t>
            </w:r>
          </w:p>
        </w:tc>
        <w:tc>
          <w:tcPr>
            <w:tcW w:w="0" w:type="auto"/>
            <w:hideMark/>
          </w:tcPr>
          <w:p w14:paraId="17092C14"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Error increase</w:t>
            </w:r>
          </w:p>
        </w:tc>
        <w:tc>
          <w:tcPr>
            <w:tcW w:w="0" w:type="auto"/>
            <w:hideMark/>
          </w:tcPr>
          <w:p w14:paraId="55ECABB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12–18%</w:t>
            </w:r>
          </w:p>
        </w:tc>
        <w:tc>
          <w:tcPr>
            <w:tcW w:w="0" w:type="auto"/>
            <w:hideMark/>
          </w:tcPr>
          <w:p w14:paraId="738585D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12, 18, 20</w:t>
            </w:r>
          </w:p>
        </w:tc>
        <w:tc>
          <w:tcPr>
            <w:tcW w:w="0" w:type="auto"/>
            <w:hideMark/>
          </w:tcPr>
          <w:p w14:paraId="646D7A6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Observational, review</w:t>
            </w:r>
          </w:p>
        </w:tc>
      </w:tr>
      <w:tr w:rsidR="00DB4495" w:rsidRPr="00DB4495" w14:paraId="6D2394CA" w14:textId="77777777" w:rsidTr="00DB4495">
        <w:tc>
          <w:tcPr>
            <w:tcW w:w="0" w:type="auto"/>
            <w:hideMark/>
          </w:tcPr>
          <w:p w14:paraId="7E7EA2EC"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Nurse-patient ratio &gt;4:1</w:t>
            </w:r>
          </w:p>
        </w:tc>
        <w:tc>
          <w:tcPr>
            <w:tcW w:w="0" w:type="auto"/>
            <w:hideMark/>
          </w:tcPr>
          <w:p w14:paraId="5B3D3889"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Under-triage during peaks</w:t>
            </w:r>
          </w:p>
        </w:tc>
        <w:tc>
          <w:tcPr>
            <w:tcW w:w="0" w:type="auto"/>
            <w:hideMark/>
          </w:tcPr>
          <w:p w14:paraId="56AEC2E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Up to 41.5%</w:t>
            </w:r>
          </w:p>
        </w:tc>
        <w:tc>
          <w:tcPr>
            <w:tcW w:w="0" w:type="auto"/>
            <w:hideMark/>
          </w:tcPr>
          <w:p w14:paraId="0977D75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12, 18</w:t>
            </w:r>
          </w:p>
        </w:tc>
        <w:tc>
          <w:tcPr>
            <w:tcW w:w="0" w:type="auto"/>
            <w:hideMark/>
          </w:tcPr>
          <w:p w14:paraId="558BBEC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Prospective observational</w:t>
            </w:r>
          </w:p>
        </w:tc>
      </w:tr>
      <w:tr w:rsidR="00DB4495" w:rsidRPr="00DB4495" w14:paraId="0F72581E" w14:textId="77777777" w:rsidTr="00DB4495">
        <w:tc>
          <w:tcPr>
            <w:tcW w:w="0" w:type="auto"/>
            <w:hideMark/>
          </w:tcPr>
          <w:p w14:paraId="090FECD1"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Electronic aids</w:t>
            </w:r>
          </w:p>
        </w:tc>
        <w:tc>
          <w:tcPr>
            <w:tcW w:w="0" w:type="auto"/>
            <w:hideMark/>
          </w:tcPr>
          <w:p w14:paraId="42FCC2E6"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Improvement in kappa</w:t>
            </w:r>
          </w:p>
        </w:tc>
        <w:tc>
          <w:tcPr>
            <w:tcW w:w="0" w:type="auto"/>
            <w:hideMark/>
          </w:tcPr>
          <w:p w14:paraId="75CDDB8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+0.10</w:t>
            </w:r>
          </w:p>
        </w:tc>
        <w:tc>
          <w:tcPr>
            <w:tcW w:w="0" w:type="auto"/>
            <w:hideMark/>
          </w:tcPr>
          <w:p w14:paraId="756AB78E"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2, 9</w:t>
            </w:r>
          </w:p>
        </w:tc>
        <w:tc>
          <w:tcPr>
            <w:tcW w:w="0" w:type="auto"/>
            <w:hideMark/>
          </w:tcPr>
          <w:p w14:paraId="1A10BEB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Quasi-experimental, survey</w:t>
            </w:r>
          </w:p>
        </w:tc>
      </w:tr>
      <w:tr w:rsidR="00DB4495" w:rsidRPr="00DB4495" w14:paraId="0E35A428" w14:textId="77777777" w:rsidTr="00DB4495">
        <w:tc>
          <w:tcPr>
            <w:tcW w:w="0" w:type="auto"/>
            <w:hideMark/>
          </w:tcPr>
          <w:p w14:paraId="30AB2940"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lastRenderedPageBreak/>
              <w:t>Job satisfaction</w:t>
            </w:r>
          </w:p>
        </w:tc>
        <w:tc>
          <w:tcPr>
            <w:tcW w:w="0" w:type="auto"/>
            <w:hideMark/>
          </w:tcPr>
          <w:p w14:paraId="315A587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Variance in proficiency mediated</w:t>
            </w:r>
          </w:p>
        </w:tc>
        <w:tc>
          <w:tcPr>
            <w:tcW w:w="0" w:type="auto"/>
            <w:hideMark/>
          </w:tcPr>
          <w:p w14:paraId="72017DE3"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25%</w:t>
            </w:r>
          </w:p>
        </w:tc>
        <w:tc>
          <w:tcPr>
            <w:tcW w:w="0" w:type="auto"/>
            <w:hideMark/>
          </w:tcPr>
          <w:p w14:paraId="3E475C6F"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13, 16, 28</w:t>
            </w:r>
          </w:p>
        </w:tc>
        <w:tc>
          <w:tcPr>
            <w:tcW w:w="0" w:type="auto"/>
            <w:hideMark/>
          </w:tcPr>
          <w:p w14:paraId="52B1E89D" w14:textId="77777777" w:rsidR="00DB4495" w:rsidRPr="00DB4495" w:rsidRDefault="00DB4495" w:rsidP="00DB4495">
            <w:pPr>
              <w:spacing w:after="160" w:line="278" w:lineRule="auto"/>
              <w:rPr>
                <w:rFonts w:asciiTheme="majorBidi" w:hAnsiTheme="majorBidi" w:cstheme="majorBidi"/>
              </w:rPr>
            </w:pPr>
            <w:r w:rsidRPr="00DB4495">
              <w:rPr>
                <w:rFonts w:asciiTheme="majorBidi" w:hAnsiTheme="majorBidi" w:cstheme="majorBidi"/>
              </w:rPr>
              <w:t>Mixed-methods, cross-sectional</w:t>
            </w:r>
          </w:p>
        </w:tc>
      </w:tr>
    </w:tbl>
    <w:p w14:paraId="3AE75332" w14:textId="77777777" w:rsidR="00DB4495" w:rsidRPr="00DB4495" w:rsidRDefault="00F803F3" w:rsidP="00DB4495">
      <w:pPr>
        <w:rPr>
          <w:rFonts w:asciiTheme="majorBidi" w:hAnsiTheme="majorBidi" w:cstheme="majorBidi"/>
        </w:rPr>
      </w:pPr>
      <w:r>
        <w:rPr>
          <w:rFonts w:asciiTheme="majorBidi" w:hAnsiTheme="majorBidi" w:cstheme="majorBidi"/>
        </w:rPr>
        <w:pict w14:anchorId="3D9AB132">
          <v:rect id="_x0000_i1025" style="width:0;height:.75pt" o:hralign="center" o:hrstd="t" o:hr="t" fillcolor="#a0a0a0" stroked="f"/>
        </w:pict>
      </w:r>
    </w:p>
    <w:p w14:paraId="576F75A3"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Nurse Experience and Expertise</w:t>
      </w:r>
    </w:p>
    <w:p w14:paraId="6A00CB33" w14:textId="77777777" w:rsidR="00DB4495" w:rsidRPr="00DB4495" w:rsidRDefault="00DB4495" w:rsidP="00DB4495">
      <w:pPr>
        <w:rPr>
          <w:rFonts w:asciiTheme="majorBidi" w:hAnsiTheme="majorBidi" w:cstheme="majorBidi"/>
        </w:rPr>
      </w:pPr>
      <w:r w:rsidRPr="00DB4495">
        <w:rPr>
          <w:rFonts w:asciiTheme="majorBidi" w:hAnsiTheme="majorBidi" w:cstheme="majorBidi"/>
        </w:rPr>
        <w:t>Seventeen studies (61% of the sample) found a correlation between tenure and gains in proficiency. Nurses with more than five years of ED experience demonstrated 15–30% higher accuracy for Levels 2 and 3 (urgent and emergent cases). Expertise, defined as reflective practice rather than passive time in role, facilitated System 1 intuitive reasoning that allowed faster triage decisions without sacrificing accuracy [32]. Formal CTAS training programs reduced under-triage by 14–22% compared to untrained or novice nurses [4].</w:t>
      </w:r>
    </w:p>
    <w:p w14:paraId="3B804D54" w14:textId="77777777" w:rsidR="00DB4495" w:rsidRPr="00DB4495" w:rsidRDefault="00DB4495" w:rsidP="00DB4495">
      <w:pPr>
        <w:rPr>
          <w:rFonts w:asciiTheme="majorBidi" w:hAnsiTheme="majorBidi" w:cstheme="majorBidi"/>
        </w:rPr>
      </w:pPr>
      <w:r w:rsidRPr="00DB4495">
        <w:rPr>
          <w:rFonts w:asciiTheme="majorBidi" w:hAnsiTheme="majorBidi" w:cstheme="majorBidi"/>
        </w:rPr>
        <w:t>However, reliability was constrained by cognitive biases. Inter-rater reliability kappa values ranged from 0.65 to 0.72, indicating only moderate to substantial agreement. Centrality bias—the tendency to assign middle-level acuity scores (Level 3)—reduced accuracy to 49% in one randomized controlled trial when nurses used the full five-level CTAS compared to a simplified four-level version [33].</w:t>
      </w:r>
    </w:p>
    <w:p w14:paraId="44235546"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Work Environment Factors</w:t>
      </w:r>
    </w:p>
    <w:p w14:paraId="1A8B3C64" w14:textId="77777777" w:rsidR="00DB4495" w:rsidRPr="00DB4495" w:rsidRDefault="00DB4495" w:rsidP="00DB4495">
      <w:pPr>
        <w:rPr>
          <w:rFonts w:asciiTheme="majorBidi" w:hAnsiTheme="majorBidi" w:cstheme="majorBidi"/>
        </w:rPr>
      </w:pPr>
      <w:r w:rsidRPr="00DB4495">
        <w:rPr>
          <w:rFonts w:asciiTheme="majorBidi" w:hAnsiTheme="majorBidi" w:cstheme="majorBidi"/>
        </w:rPr>
        <w:t>Twenty-two studies (79%) linked environmental factors to triage errors. Overcrowding (NEDOCS ≥100) and nurse-to-patient ratios exceeding 4:1 were associated with error increases of 12–18%. Under-triage—assigning a lower acuity level than warranted—reached 41.5% during patient surges [18]. Noise levels above 70 dB and frequent interruptions each reduced accuracy by approximately one-fifth [11].</w:t>
      </w:r>
    </w:p>
    <w:p w14:paraId="6A9899A0" w14:textId="77777777" w:rsidR="00DB4495" w:rsidRPr="00DB4495" w:rsidRDefault="00DB4495" w:rsidP="00DB4495">
      <w:pPr>
        <w:rPr>
          <w:rFonts w:asciiTheme="majorBidi" w:hAnsiTheme="majorBidi" w:cstheme="majorBidi"/>
        </w:rPr>
      </w:pPr>
      <w:r w:rsidRPr="00DB4495">
        <w:rPr>
          <w:rFonts w:asciiTheme="majorBidi" w:hAnsiTheme="majorBidi" w:cstheme="majorBidi"/>
        </w:rPr>
        <w:t>Job satisfaction mediated approximately 25% of the variance in triage proficiency. Nurses who reported higher satisfaction with their work environment, staffing levels, and administrative support made fewer misclassifications, particularly in ambiguous cases [13,27]. Electronic aids, such as e-CTAS platforms, improved inter-rater reliability by approximately 0.10 kappa but could not fully eliminate the effects of overcrowding and fatigue [2,9].</w:t>
      </w:r>
    </w:p>
    <w:p w14:paraId="7B4A6C08"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Triage Decision-Making Processes</w:t>
      </w:r>
    </w:p>
    <w:p w14:paraId="711F7819" w14:textId="77777777" w:rsidR="00DB4495" w:rsidRPr="00DB4495" w:rsidRDefault="00DB4495" w:rsidP="00DB4495">
      <w:pPr>
        <w:rPr>
          <w:rFonts w:asciiTheme="majorBidi" w:hAnsiTheme="majorBidi" w:cstheme="majorBidi"/>
        </w:rPr>
      </w:pPr>
      <w:r w:rsidRPr="00DB4495">
        <w:rPr>
          <w:rFonts w:asciiTheme="majorBidi" w:hAnsiTheme="majorBidi" w:cstheme="majorBidi"/>
        </w:rPr>
        <w:t>The predictive validity of CTAS was high, with sensitivity for detecting high-urgency elderly patients reaching 97.9% [21]. However, heuristic-based reasoning—reliance on mental shortcuts—increased ambiguity errors when patient presentations did not fit typical patterns [34]. Hybrid triage models that combined CTAS with other systems (e.g., START for mass casualty incidents) sustained 57% accuracy in simulation studies, suggesting that no single system is sufficient across all contexts [20].</w:t>
      </w:r>
    </w:p>
    <w:p w14:paraId="5F4F4766" w14:textId="1AE27AD0" w:rsidR="00DB4495" w:rsidRPr="00DB4495" w:rsidRDefault="00DB4495" w:rsidP="00DB4495">
      <w:pPr>
        <w:rPr>
          <w:rFonts w:asciiTheme="majorBidi" w:hAnsiTheme="majorBidi" w:cstheme="majorBidi"/>
        </w:rPr>
      </w:pPr>
    </w:p>
    <w:p w14:paraId="7F72F8AE"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lastRenderedPageBreak/>
        <w:t>Discussion</w:t>
      </w:r>
    </w:p>
    <w:p w14:paraId="78BB293D" w14:textId="77777777" w:rsidR="00DB4495" w:rsidRPr="00DB4495" w:rsidRDefault="00DB4495" w:rsidP="00DB4495">
      <w:pPr>
        <w:rPr>
          <w:rFonts w:asciiTheme="majorBidi" w:hAnsiTheme="majorBidi" w:cstheme="majorBidi"/>
        </w:rPr>
      </w:pPr>
      <w:r w:rsidRPr="00DB4495">
        <w:rPr>
          <w:rFonts w:asciiTheme="majorBidi" w:hAnsiTheme="majorBidi" w:cstheme="majorBidi"/>
        </w:rPr>
        <w:t>This scoping review reveals a fragile triad in high-volume EDs: experience develops knowledge, yet the nonlinearity of the setting and the heuristics inherent in triage decision-making interfere with CTAS mastery. Complexity science suggests that EDs function as adaptive systems in which small perturbations—such as fatigue caused by patient surges—are amplified through feedback loops, undermining System 1 intuition even among reflective experts [30,17].</w:t>
      </w:r>
    </w:p>
    <w:p w14:paraId="3F29F715" w14:textId="77777777" w:rsidR="00DB4495" w:rsidRPr="00DB4495" w:rsidRDefault="00DB4495" w:rsidP="00DB4495">
      <w:pPr>
        <w:rPr>
          <w:rFonts w:asciiTheme="majorBidi" w:hAnsiTheme="majorBidi" w:cstheme="majorBidi"/>
        </w:rPr>
      </w:pPr>
      <w:r w:rsidRPr="00DB4495">
        <w:rPr>
          <w:rFonts w:asciiTheme="majorBidi" w:hAnsiTheme="majorBidi" w:cstheme="majorBidi"/>
        </w:rPr>
        <w:t>The 15–30% accuracy advantage associated with tenure exceeding five years [32] aligns with Benner’s novice-to-expert model [5]. However, this advantage collapses in the face of cognitive biases such as centrality bias, which reduced accuracy to 49% in one study [33]. Deliberate practice—structured reflection on triage decisions—remains under-researched; only 18% of qualitative studies in this review explicitly examined reflective skill acquisition. This suggests that passive time in role is an insufficient proxy for expertise.</w:t>
      </w:r>
    </w:p>
    <w:p w14:paraId="47F8A616" w14:textId="77777777" w:rsidR="00DB4495" w:rsidRPr="00DB4495" w:rsidRDefault="00DB4495" w:rsidP="00DB4495">
      <w:pPr>
        <w:rPr>
          <w:rFonts w:asciiTheme="majorBidi" w:hAnsiTheme="majorBidi" w:cstheme="majorBidi"/>
        </w:rPr>
      </w:pPr>
      <w:r w:rsidRPr="00DB4495">
        <w:rPr>
          <w:rFonts w:asciiTheme="majorBidi" w:hAnsiTheme="majorBidi" w:cstheme="majorBidi"/>
        </w:rPr>
        <w:t>The 12–18% increase in errors during overcrowding [36] reflects a fundamental human factors problem: cognitive overload exceeds working memory capacity, forcing even experienced nurses back into analytical (System 2) processing, which is slower and more effortful [11]. This finding challenges ED design assumptions. A NEDOCS score of 100 or higher should be recognized as a marker of systemic failure rather than an acceptable operational norm. The observation that mismatch rates reach 41.5% during surges [18] stands in stark contrast to the kappa of 0.72 reported for CTAS validity under ideal conditions [26]. This gap between efficacy (performance in research settings) and effectiveness (performance in real-world surges) has direct implications for patient safety.</w:t>
      </w:r>
    </w:p>
    <w:p w14:paraId="29088272" w14:textId="77777777" w:rsidR="00DB4495" w:rsidRPr="00DB4495" w:rsidRDefault="00DB4495" w:rsidP="00DB4495">
      <w:pPr>
        <w:rPr>
          <w:rFonts w:asciiTheme="majorBidi" w:hAnsiTheme="majorBidi" w:cstheme="majorBidi"/>
        </w:rPr>
      </w:pPr>
      <w:r w:rsidRPr="00DB4495">
        <w:rPr>
          <w:rFonts w:asciiTheme="majorBidi" w:hAnsiTheme="majorBidi" w:cstheme="majorBidi"/>
        </w:rPr>
        <w:t>The interdependence of experience and environment is noteworthy. Tenure buffers against some environmental distractors, but heuristics can cascade into significant errors during surges. Proficiency is therefore best understood as a continuous, context-dependent property rather than a fixed competency. Cross-sectional studies—which dominate the literature (57% of included studies)—cannot capture how expertise evolves over time or how environmental fluctuations affect decision quality.</w:t>
      </w:r>
    </w:p>
    <w:p w14:paraId="46810AD5"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Theoretical Implications</w:t>
      </w:r>
    </w:p>
    <w:p w14:paraId="5F8968CA" w14:textId="77777777" w:rsidR="00DB4495" w:rsidRPr="00DB4495" w:rsidRDefault="00DB4495" w:rsidP="00DB4495">
      <w:pPr>
        <w:rPr>
          <w:rFonts w:asciiTheme="majorBidi" w:hAnsiTheme="majorBidi" w:cstheme="majorBidi"/>
        </w:rPr>
      </w:pPr>
      <w:r w:rsidRPr="00DB4495">
        <w:rPr>
          <w:rFonts w:asciiTheme="majorBidi" w:hAnsiTheme="majorBidi" w:cstheme="majorBidi"/>
        </w:rPr>
        <w:t>Our findings support an integrated model in which CTAS proficiency emerges from the interaction of individual cognition (experience, training, bias susceptibility) and system-level factors (crowding, staffing, electronic support). Dual-process theory explains why intuitive reasoning benefits experienced nurses under normal conditions but fails under overload. Complexity science explains why small environmental stressors propagate into large errors. Future theoretical work should formalize these interactions, potentially using agent-based modeling or systems dynamics.</w:t>
      </w:r>
    </w:p>
    <w:p w14:paraId="3585FE4D"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Practical Recommendations</w:t>
      </w:r>
    </w:p>
    <w:p w14:paraId="70799F8B"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lastRenderedPageBreak/>
        <w:t>Debiasing training:</w:t>
      </w:r>
      <w:r w:rsidRPr="00DB4495">
        <w:rPr>
          <w:rFonts w:asciiTheme="majorBidi" w:hAnsiTheme="majorBidi" w:cstheme="majorBidi"/>
        </w:rPr>
        <w:t xml:space="preserve"> Modular training programs that explicitly address centrality bias and other heuristics should be delivered every two years. Evidence from </w:t>
      </w:r>
      <w:proofErr w:type="spellStart"/>
      <w:r w:rsidRPr="00DB4495">
        <w:rPr>
          <w:rFonts w:asciiTheme="majorBidi" w:hAnsiTheme="majorBidi" w:cstheme="majorBidi"/>
        </w:rPr>
        <w:t>Shlenger</w:t>
      </w:r>
      <w:proofErr w:type="spellEnd"/>
      <w:r w:rsidRPr="00DB4495">
        <w:rPr>
          <w:rFonts w:asciiTheme="majorBidi" w:hAnsiTheme="majorBidi" w:cstheme="majorBidi"/>
        </w:rPr>
        <w:t xml:space="preserve"> et al. [33] suggests that simplifying the CTAS to four levels in training scenarios can improve accuracy by 19%.</w:t>
      </w:r>
    </w:p>
    <w:p w14:paraId="04EA93F5"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Mentorship programs:</w:t>
      </w:r>
      <w:r w:rsidRPr="00DB4495">
        <w:rPr>
          <w:rFonts w:asciiTheme="majorBidi" w:hAnsiTheme="majorBidi" w:cstheme="majorBidi"/>
        </w:rPr>
        <w:t> Pairing novice nurses with expert mentors for structured case reviews can accelerate the transition from analytical to intuitive reasoning. Early evidence suggests a 15% transfer of accuracy gains from training to practice.</w:t>
      </w:r>
    </w:p>
    <w:p w14:paraId="363AC63E"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Workload caps:</w:t>
      </w:r>
      <w:r w:rsidRPr="00DB4495">
        <w:rPr>
          <w:rFonts w:asciiTheme="majorBidi" w:hAnsiTheme="majorBidi" w:cstheme="majorBidi"/>
        </w:rPr>
        <w:t> Accreditation bodies should consider tiered requirements that cap nurse-to-patient ratios at 3:1 in high-volume EDs and mandate NEDOCS monitoring. The estimated cost of delayed treatment due to triage errors exceeds $500 million annually [8]; workload caps are cost-effective compared to this burden.</w:t>
      </w:r>
    </w:p>
    <w:p w14:paraId="07D400C2" w14:textId="77777777" w:rsidR="00DB4495" w:rsidRPr="00DB4495" w:rsidRDefault="00DB4495" w:rsidP="00DB4495">
      <w:pPr>
        <w:rPr>
          <w:rFonts w:asciiTheme="majorBidi" w:hAnsiTheme="majorBidi" w:cstheme="majorBidi"/>
        </w:rPr>
      </w:pPr>
      <w:r w:rsidRPr="00DB4495">
        <w:rPr>
          <w:rFonts w:asciiTheme="majorBidi" w:hAnsiTheme="majorBidi" w:cstheme="majorBidi"/>
          <w:b/>
          <w:bCs/>
        </w:rPr>
        <w:t>Electronic aids:</w:t>
      </w:r>
      <w:r w:rsidRPr="00DB4495">
        <w:rPr>
          <w:rFonts w:asciiTheme="majorBidi" w:hAnsiTheme="majorBidi" w:cstheme="majorBidi"/>
        </w:rPr>
        <w:t> While current e-CTAS platforms improve reliability by only 0.10 kappa, next-generation systems that incorporate real-time crowding data and cognitive forcing functions (e.g., requiring justification for Level 3 assignments) may yield larger gains.</w:t>
      </w:r>
    </w:p>
    <w:p w14:paraId="6B2DC9D9"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Equity Gaps</w:t>
      </w:r>
    </w:p>
    <w:p w14:paraId="56A56C96" w14:textId="77777777" w:rsidR="00DB4495" w:rsidRDefault="00DB4495" w:rsidP="00DB4495">
      <w:pPr>
        <w:rPr>
          <w:rFonts w:asciiTheme="majorBidi" w:hAnsiTheme="majorBidi" w:cstheme="majorBidi"/>
        </w:rPr>
      </w:pPr>
      <w:r w:rsidRPr="00DB4495">
        <w:rPr>
          <w:rFonts w:asciiTheme="majorBidi" w:hAnsiTheme="majorBidi" w:cstheme="majorBidi"/>
        </w:rPr>
        <w:t>Low-resource settings are severely underrepresented in the literature (only 7% of studies). Vulnerable populations—such as elderly patients, who show 97.9% sensitivity for high acuity but remain bias-prone [21]—are also understudied. This evidence gap risks perpetuating health disparities, as triage systems designed in and for high-resource Western EDs may not perform equitably elsewhere. Future research must prioritize validation studies in low- and middle-income countries and among marginalized populations.</w:t>
      </w:r>
    </w:p>
    <w:p w14:paraId="7F2FEBEB" w14:textId="77777777" w:rsidR="00DF2FE7" w:rsidRDefault="00DF2FE7" w:rsidP="00DB4495">
      <w:pPr>
        <w:rPr>
          <w:rFonts w:asciiTheme="majorBidi" w:hAnsiTheme="majorBidi" w:cstheme="majorBidi"/>
        </w:rPr>
      </w:pPr>
    </w:p>
    <w:p w14:paraId="331DD789" w14:textId="77777777" w:rsidR="00DF2FE7" w:rsidRPr="00DB4495" w:rsidRDefault="00DF2FE7" w:rsidP="00DB4495">
      <w:pPr>
        <w:rPr>
          <w:rFonts w:asciiTheme="majorBidi" w:hAnsiTheme="majorBidi" w:cstheme="majorBidi"/>
        </w:rPr>
      </w:pPr>
    </w:p>
    <w:p w14:paraId="23439FEB"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Research Gaps and Future Directions</w:t>
      </w:r>
    </w:p>
    <w:p w14:paraId="745AC3A6" w14:textId="77777777" w:rsidR="00DB4495" w:rsidRPr="00DB4495" w:rsidRDefault="00DB4495" w:rsidP="00DB4495">
      <w:pPr>
        <w:rPr>
          <w:rFonts w:asciiTheme="majorBidi" w:hAnsiTheme="majorBidi" w:cstheme="majorBidi"/>
        </w:rPr>
      </w:pPr>
      <w:r w:rsidRPr="00DB4495">
        <w:rPr>
          <w:rFonts w:asciiTheme="majorBidi" w:hAnsiTheme="majorBidi" w:cstheme="majorBidi"/>
        </w:rPr>
        <w:t xml:space="preserve">Longitudinal designs are urgently needed to track how CTAS proficiency changes over time and to distinguish the effects of tenure from those of deliberate practice. Simulation studies (29% of included studies) overestimate gains because they cannot reproduce the nonlinear stressors of real </w:t>
      </w:r>
      <w:proofErr w:type="spellStart"/>
      <w:r w:rsidRPr="00DB4495">
        <w:rPr>
          <w:rFonts w:asciiTheme="majorBidi" w:hAnsiTheme="majorBidi" w:cstheme="majorBidi"/>
        </w:rPr>
        <w:t>EDs.</w:t>
      </w:r>
      <w:proofErr w:type="spellEnd"/>
      <w:r w:rsidRPr="00DB4495">
        <w:rPr>
          <w:rFonts w:asciiTheme="majorBidi" w:hAnsiTheme="majorBidi" w:cstheme="majorBidi"/>
        </w:rPr>
        <w:t xml:space="preserve"> Future research should use in situ simulation or naturalistic observation to capture real-world performance.</w:t>
      </w:r>
    </w:p>
    <w:p w14:paraId="5910A9DE" w14:textId="77777777" w:rsidR="00DB4495" w:rsidRPr="00DB4495" w:rsidRDefault="00DB4495" w:rsidP="00DB4495">
      <w:pPr>
        <w:rPr>
          <w:rFonts w:asciiTheme="majorBidi" w:hAnsiTheme="majorBidi" w:cstheme="majorBidi"/>
        </w:rPr>
      </w:pPr>
      <w:r w:rsidRPr="00DB4495">
        <w:rPr>
          <w:rFonts w:asciiTheme="majorBidi" w:hAnsiTheme="majorBidi" w:cstheme="majorBidi"/>
        </w:rPr>
        <w:t>Hybrid models that combine human decision-making with artificial intelligence—such as machine learning triage assistants—warrant further investigation. However, these should be designed as cognitive aids that augment, rather than replace, nurse judgment. Equity lenses must be applied to all future studies, ensuring that samples include diverse settings and populations.</w:t>
      </w:r>
    </w:p>
    <w:p w14:paraId="6F519F82"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Limitations</w:t>
      </w:r>
    </w:p>
    <w:p w14:paraId="296133B7" w14:textId="77777777" w:rsidR="00DB4495" w:rsidRPr="00DB4495" w:rsidRDefault="00DB4495" w:rsidP="00DB4495">
      <w:pPr>
        <w:rPr>
          <w:rFonts w:asciiTheme="majorBidi" w:hAnsiTheme="majorBidi" w:cstheme="majorBidi"/>
        </w:rPr>
      </w:pPr>
      <w:r w:rsidRPr="00DB4495">
        <w:rPr>
          <w:rFonts w:asciiTheme="majorBidi" w:hAnsiTheme="majorBidi" w:cstheme="majorBidi"/>
        </w:rPr>
        <w:lastRenderedPageBreak/>
        <w:t xml:space="preserve">This review has several limitations. First, the predominance of cross-sectional designs (57% of studies) precludes causal inferences about the effects of experience or environmental changes over time. Second, 29% of included studies used simulations, which may overestimate real-world accuracy due to the absence of true overcrowding stressors. Third, 86% of studies originated from urban, high-resource settings, limiting generalizability to rural or low-resource </w:t>
      </w:r>
      <w:proofErr w:type="spellStart"/>
      <w:r w:rsidRPr="00DB4495">
        <w:rPr>
          <w:rFonts w:asciiTheme="majorBidi" w:hAnsiTheme="majorBidi" w:cstheme="majorBidi"/>
        </w:rPr>
        <w:t>EDs.</w:t>
      </w:r>
      <w:proofErr w:type="spellEnd"/>
      <w:r w:rsidRPr="00DB4495">
        <w:rPr>
          <w:rFonts w:asciiTheme="majorBidi" w:hAnsiTheme="majorBidi" w:cstheme="majorBidi"/>
        </w:rPr>
        <w:t xml:space="preserve"> Fourth, our English-language restriction may have excluded relevant non-English publications. Fifth, as a scoping review, we did not perform formal quality appraisal of included studies; this is consistent with scoping review methodology [3,29] but means that the strength of individual findings was not systematically assessed.</w:t>
      </w:r>
    </w:p>
    <w:p w14:paraId="1109C621" w14:textId="5571A1FB" w:rsidR="00DB4495" w:rsidRPr="00DB4495" w:rsidRDefault="00DB4495" w:rsidP="00DB4495">
      <w:pPr>
        <w:rPr>
          <w:rFonts w:asciiTheme="majorBidi" w:hAnsiTheme="majorBidi" w:cstheme="majorBidi"/>
        </w:rPr>
      </w:pPr>
    </w:p>
    <w:p w14:paraId="3F02A0E0"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Conclusion</w:t>
      </w:r>
    </w:p>
    <w:p w14:paraId="62E296C0" w14:textId="77777777" w:rsidR="00DB4495" w:rsidRPr="00DB4495" w:rsidRDefault="00DB4495" w:rsidP="00DB4495">
      <w:pPr>
        <w:rPr>
          <w:rFonts w:asciiTheme="majorBidi" w:hAnsiTheme="majorBidi" w:cstheme="majorBidi"/>
        </w:rPr>
      </w:pPr>
      <w:r w:rsidRPr="00DB4495">
        <w:rPr>
          <w:rFonts w:asciiTheme="majorBidi" w:hAnsiTheme="majorBidi" w:cstheme="majorBidi"/>
        </w:rPr>
        <w:t>This scoping review synthesizes evidence on how nurse experience, work environment, and triage decision-making interact to shape CTAS proficiency in high-volume emergency departments. The results demonstrate that experience does improve accuracy—enabling intuitive reasoning that benefits patient care—but these advantages are not absolute. Under the weight of cognitive biases, overcrowding, and escalating workplace demands, even experienced nurses make inconsistent triage decisions.</w:t>
      </w:r>
    </w:p>
    <w:p w14:paraId="29BE3ABD" w14:textId="77777777" w:rsidR="00DB4495" w:rsidRPr="00DB4495" w:rsidRDefault="00DB4495" w:rsidP="00DB4495">
      <w:pPr>
        <w:rPr>
          <w:rFonts w:asciiTheme="majorBidi" w:hAnsiTheme="majorBidi" w:cstheme="majorBidi"/>
        </w:rPr>
      </w:pPr>
      <w:r w:rsidRPr="00DB4495">
        <w:rPr>
          <w:rFonts w:asciiTheme="majorBidi" w:hAnsiTheme="majorBidi" w:cstheme="majorBidi"/>
        </w:rPr>
        <w:t>CTAS competence must therefore be reconceptualized as a dynamic, context-dependent property rather than a fixed competency acquired once and predictably maintained. Personal knowledge is necessary but insufficient; it requires support from a system environment that facilitates rather than prejudices good decisions. Formal education, deliberate debiasing strategies, and purposeful workload management are all key levers for improving triage accuracy and, ultimately, patient safety.</w:t>
      </w:r>
    </w:p>
    <w:p w14:paraId="01E02939" w14:textId="77777777" w:rsidR="00DB4495" w:rsidRPr="00DB4495" w:rsidRDefault="00DB4495" w:rsidP="00DB4495">
      <w:pPr>
        <w:rPr>
          <w:rFonts w:asciiTheme="majorBidi" w:hAnsiTheme="majorBidi" w:cstheme="majorBidi"/>
        </w:rPr>
      </w:pPr>
      <w:r w:rsidRPr="00DB4495">
        <w:rPr>
          <w:rFonts w:asciiTheme="majorBidi" w:hAnsiTheme="majorBidi" w:cstheme="majorBidi"/>
        </w:rPr>
        <w:t>Future research should prioritize longitudinal designs to track competency over time, focus on low-resource and underrepresented settings, and develop interventions that integrate human expertise with technological support as partners rather than alternatives. As emergency care environments grow increasingly complex, sustained investment in both the individual nurse and the systems in which they work will be essential to maintaining high-quality triage practice.</w:t>
      </w:r>
    </w:p>
    <w:p w14:paraId="0F9A2AE7" w14:textId="7D8E4172" w:rsidR="00DB4495" w:rsidRPr="00DB4495" w:rsidRDefault="00DB4495" w:rsidP="00DB4495">
      <w:pPr>
        <w:rPr>
          <w:rFonts w:asciiTheme="majorBidi" w:hAnsiTheme="majorBidi" w:cstheme="majorBidi"/>
        </w:rPr>
      </w:pPr>
    </w:p>
    <w:p w14:paraId="286CA66E" w14:textId="77777777" w:rsidR="00DB4495" w:rsidRPr="00DB4495" w:rsidRDefault="00DB4495" w:rsidP="00DB4495">
      <w:pPr>
        <w:rPr>
          <w:rFonts w:asciiTheme="majorBidi" w:hAnsiTheme="majorBidi" w:cstheme="majorBidi"/>
          <w:b/>
          <w:bCs/>
        </w:rPr>
      </w:pPr>
      <w:r w:rsidRPr="00DB4495">
        <w:rPr>
          <w:rFonts w:asciiTheme="majorBidi" w:hAnsiTheme="majorBidi" w:cstheme="majorBidi"/>
          <w:b/>
          <w:bCs/>
        </w:rPr>
        <w:t>Disclaimer (Artificial Intelligence)</w:t>
      </w:r>
    </w:p>
    <w:p w14:paraId="6B399184" w14:textId="77777777" w:rsidR="00DB4495" w:rsidRPr="00DB4495" w:rsidRDefault="00DB4495" w:rsidP="00DB4495">
      <w:pPr>
        <w:rPr>
          <w:rFonts w:asciiTheme="majorBidi" w:hAnsiTheme="majorBidi" w:cstheme="majorBidi"/>
        </w:rPr>
      </w:pPr>
      <w:r w:rsidRPr="00DB4495">
        <w:rPr>
          <w:rFonts w:asciiTheme="majorBidi" w:hAnsiTheme="majorBidi" w:cstheme="majorBidi"/>
        </w:rPr>
        <w:t>The author(s) hereby declare that NO generative AI technologies such as Large Language Models (ChatGPT, COPILOT, etc.) and text-to-image generators have been used during the writing or editing of this manuscript.</w:t>
      </w:r>
    </w:p>
    <w:p w14:paraId="1A9060B4" w14:textId="7A87FF65" w:rsidR="00DB4495" w:rsidRPr="00DB4495" w:rsidRDefault="00DB4495" w:rsidP="00DB4495">
      <w:pPr>
        <w:rPr>
          <w:rFonts w:asciiTheme="majorBidi" w:hAnsiTheme="majorBidi" w:cstheme="majorBidi"/>
        </w:rPr>
      </w:pPr>
    </w:p>
    <w:p w14:paraId="2C064D50" w14:textId="77777777" w:rsidR="00DF2FE7" w:rsidRDefault="00DF2FE7" w:rsidP="00DB4495">
      <w:pPr>
        <w:rPr>
          <w:rFonts w:asciiTheme="majorBidi" w:hAnsiTheme="majorBidi" w:cstheme="majorBidi"/>
          <w:b/>
          <w:bCs/>
        </w:rPr>
      </w:pPr>
    </w:p>
    <w:p w14:paraId="4B9CBB6C" w14:textId="77777777" w:rsidR="00DF2FE7" w:rsidRDefault="00DF2FE7" w:rsidP="00DB4495">
      <w:pPr>
        <w:rPr>
          <w:rFonts w:asciiTheme="majorBidi" w:hAnsiTheme="majorBidi" w:cstheme="majorBidi"/>
          <w:b/>
          <w:bCs/>
        </w:rPr>
      </w:pPr>
    </w:p>
    <w:p w14:paraId="5AD69C2E" w14:textId="77777777" w:rsidR="00DF2FE7" w:rsidRDefault="00DF2FE7" w:rsidP="00DB4495">
      <w:pPr>
        <w:rPr>
          <w:rFonts w:asciiTheme="majorBidi" w:hAnsiTheme="majorBidi" w:cstheme="majorBidi"/>
          <w:b/>
          <w:bCs/>
        </w:rPr>
      </w:pPr>
    </w:p>
    <w:p w14:paraId="08A9E3D4" w14:textId="77777777" w:rsidR="00DF2FE7" w:rsidRDefault="00DF2FE7" w:rsidP="00DB4495">
      <w:pPr>
        <w:rPr>
          <w:rFonts w:asciiTheme="majorBidi" w:hAnsiTheme="majorBidi" w:cstheme="majorBidi"/>
          <w:b/>
          <w:bCs/>
        </w:rPr>
      </w:pPr>
    </w:p>
    <w:p w14:paraId="29FD92DD" w14:textId="77777777" w:rsidR="00DF2FE7" w:rsidRDefault="00DF2FE7" w:rsidP="00DB4495">
      <w:pPr>
        <w:rPr>
          <w:rFonts w:asciiTheme="majorBidi" w:hAnsiTheme="majorBidi" w:cstheme="majorBidi"/>
          <w:b/>
          <w:bCs/>
        </w:rPr>
      </w:pPr>
    </w:p>
    <w:p w14:paraId="64770556" w14:textId="77777777" w:rsidR="00DF2FE7" w:rsidRDefault="00DF2FE7" w:rsidP="00DB4495">
      <w:pPr>
        <w:rPr>
          <w:rFonts w:asciiTheme="majorBidi" w:hAnsiTheme="majorBidi" w:cstheme="majorBidi"/>
          <w:b/>
          <w:bCs/>
        </w:rPr>
      </w:pPr>
    </w:p>
    <w:p w14:paraId="41F47DC8" w14:textId="77777777" w:rsidR="00DF2FE7" w:rsidRDefault="00DF2FE7" w:rsidP="00DB4495">
      <w:pPr>
        <w:rPr>
          <w:rFonts w:asciiTheme="majorBidi" w:hAnsiTheme="majorBidi" w:cstheme="majorBidi"/>
          <w:b/>
          <w:bCs/>
        </w:rPr>
      </w:pPr>
    </w:p>
    <w:p w14:paraId="61A90257" w14:textId="77777777" w:rsidR="00DF2FE7" w:rsidRDefault="00DF2FE7" w:rsidP="00DB4495">
      <w:pPr>
        <w:rPr>
          <w:rFonts w:asciiTheme="majorBidi" w:hAnsiTheme="majorBidi" w:cstheme="majorBidi"/>
          <w:b/>
          <w:bCs/>
        </w:rPr>
      </w:pPr>
    </w:p>
    <w:p w14:paraId="40F04738" w14:textId="77777777" w:rsidR="00DF2FE7" w:rsidRDefault="00DF2FE7" w:rsidP="00DB4495">
      <w:pPr>
        <w:rPr>
          <w:rFonts w:asciiTheme="majorBidi" w:hAnsiTheme="majorBidi" w:cstheme="majorBidi"/>
          <w:b/>
          <w:bCs/>
        </w:rPr>
      </w:pPr>
    </w:p>
    <w:p w14:paraId="73515EE6" w14:textId="77777777" w:rsidR="00DF2FE7" w:rsidRDefault="00DF2FE7" w:rsidP="00DB4495">
      <w:pPr>
        <w:rPr>
          <w:rFonts w:asciiTheme="majorBidi" w:hAnsiTheme="majorBidi" w:cstheme="majorBidi"/>
          <w:b/>
          <w:bCs/>
        </w:rPr>
      </w:pPr>
    </w:p>
    <w:p w14:paraId="4433060E" w14:textId="77777777" w:rsidR="00DF2FE7" w:rsidRDefault="00DF2FE7" w:rsidP="00DB4495">
      <w:pPr>
        <w:rPr>
          <w:rFonts w:asciiTheme="majorBidi" w:hAnsiTheme="majorBidi" w:cstheme="majorBidi"/>
          <w:b/>
          <w:bCs/>
        </w:rPr>
      </w:pPr>
    </w:p>
    <w:p w14:paraId="57DA2359" w14:textId="77777777" w:rsidR="00DF2FE7" w:rsidRDefault="00DF2FE7" w:rsidP="00DB4495">
      <w:pPr>
        <w:rPr>
          <w:rFonts w:asciiTheme="majorBidi" w:hAnsiTheme="majorBidi" w:cstheme="majorBidi"/>
          <w:b/>
          <w:bCs/>
        </w:rPr>
      </w:pPr>
    </w:p>
    <w:p w14:paraId="7B6002CE" w14:textId="77777777" w:rsidR="00DF2FE7" w:rsidRDefault="00DF2FE7" w:rsidP="00DB4495">
      <w:pPr>
        <w:rPr>
          <w:rFonts w:asciiTheme="majorBidi" w:hAnsiTheme="majorBidi" w:cstheme="majorBidi"/>
          <w:b/>
          <w:bCs/>
        </w:rPr>
      </w:pPr>
    </w:p>
    <w:p w14:paraId="3BE55B84" w14:textId="77777777" w:rsidR="00DF2FE7" w:rsidRDefault="00DF2FE7" w:rsidP="00DB4495">
      <w:pPr>
        <w:rPr>
          <w:rFonts w:asciiTheme="majorBidi" w:hAnsiTheme="majorBidi" w:cstheme="majorBidi"/>
          <w:b/>
          <w:bCs/>
        </w:rPr>
      </w:pPr>
    </w:p>
    <w:p w14:paraId="0F06C3B9" w14:textId="77777777" w:rsidR="00DF2FE7" w:rsidRDefault="00DF2FE7" w:rsidP="00DB4495">
      <w:pPr>
        <w:rPr>
          <w:rFonts w:asciiTheme="majorBidi" w:hAnsiTheme="majorBidi" w:cstheme="majorBidi"/>
          <w:b/>
          <w:bCs/>
        </w:rPr>
      </w:pPr>
    </w:p>
    <w:p w14:paraId="3FBFC6C6" w14:textId="77777777" w:rsidR="00DF2FE7" w:rsidRDefault="00DF2FE7" w:rsidP="00DB4495">
      <w:pPr>
        <w:rPr>
          <w:rFonts w:asciiTheme="majorBidi" w:hAnsiTheme="majorBidi" w:cstheme="majorBidi"/>
          <w:b/>
          <w:bCs/>
        </w:rPr>
      </w:pPr>
    </w:p>
    <w:p w14:paraId="24A84EEC" w14:textId="77777777" w:rsidR="00DF2FE7" w:rsidRDefault="00DF2FE7" w:rsidP="00DB4495">
      <w:pPr>
        <w:rPr>
          <w:rFonts w:asciiTheme="majorBidi" w:hAnsiTheme="majorBidi" w:cstheme="majorBidi"/>
          <w:b/>
          <w:bCs/>
        </w:rPr>
      </w:pPr>
    </w:p>
    <w:p w14:paraId="5EA8FC4A" w14:textId="77777777" w:rsidR="00DF2FE7" w:rsidRDefault="00DF2FE7" w:rsidP="00DB4495">
      <w:pPr>
        <w:rPr>
          <w:rFonts w:asciiTheme="majorBidi" w:hAnsiTheme="majorBidi" w:cstheme="majorBidi"/>
          <w:b/>
          <w:bCs/>
        </w:rPr>
      </w:pPr>
    </w:p>
    <w:p w14:paraId="1BEF1775" w14:textId="77777777" w:rsidR="00DF2FE7" w:rsidRDefault="00DF2FE7" w:rsidP="00DB4495">
      <w:pPr>
        <w:rPr>
          <w:rFonts w:asciiTheme="majorBidi" w:hAnsiTheme="majorBidi" w:cstheme="majorBidi"/>
          <w:b/>
          <w:bCs/>
        </w:rPr>
      </w:pPr>
    </w:p>
    <w:p w14:paraId="0CFA547D" w14:textId="77777777" w:rsidR="00DF2FE7" w:rsidRDefault="00DF2FE7" w:rsidP="00DB4495">
      <w:pPr>
        <w:rPr>
          <w:rFonts w:asciiTheme="majorBidi" w:hAnsiTheme="majorBidi" w:cstheme="majorBidi"/>
          <w:b/>
          <w:bCs/>
        </w:rPr>
      </w:pPr>
    </w:p>
    <w:p w14:paraId="2FDA94A9" w14:textId="3E63928F" w:rsidR="00DB4495" w:rsidRPr="00DB4495" w:rsidRDefault="00DB4495" w:rsidP="00DB4495">
      <w:pPr>
        <w:rPr>
          <w:rFonts w:asciiTheme="majorBidi" w:hAnsiTheme="majorBidi" w:cstheme="majorBidi"/>
          <w:b/>
          <w:bCs/>
        </w:rPr>
      </w:pPr>
      <w:r w:rsidRPr="00DB4495">
        <w:rPr>
          <w:rFonts w:asciiTheme="majorBidi" w:hAnsiTheme="majorBidi" w:cstheme="majorBidi"/>
          <w:b/>
          <w:bCs/>
        </w:rPr>
        <w:t>References</w:t>
      </w:r>
    </w:p>
    <w:p w14:paraId="6F85E4DE" w14:textId="77777777" w:rsidR="00DB4495" w:rsidRPr="00DB4495" w:rsidRDefault="00DB4495" w:rsidP="00DB4495">
      <w:pPr>
        <w:numPr>
          <w:ilvl w:val="0"/>
          <w:numId w:val="8"/>
        </w:numPr>
        <w:rPr>
          <w:rFonts w:asciiTheme="majorBidi" w:hAnsiTheme="majorBidi" w:cstheme="majorBidi"/>
        </w:rPr>
      </w:pPr>
      <w:proofErr w:type="spellStart"/>
      <w:r w:rsidRPr="00DB4495">
        <w:rPr>
          <w:rFonts w:asciiTheme="majorBidi" w:hAnsiTheme="majorBidi" w:cstheme="majorBidi"/>
        </w:rPr>
        <w:t>Alquraini</w:t>
      </w:r>
      <w:proofErr w:type="spellEnd"/>
      <w:r w:rsidRPr="00DB4495">
        <w:rPr>
          <w:rFonts w:asciiTheme="majorBidi" w:hAnsiTheme="majorBidi" w:cstheme="majorBidi"/>
        </w:rPr>
        <w:t xml:space="preserve"> M, Alotaibi A, Almutairi A. Gaps in triage training for CTAS: a scoping review. J Emerg Nurs. 2024;50(3):210-225. doi:10.1016/j.jen.2023.12.003.</w:t>
      </w:r>
    </w:p>
    <w:p w14:paraId="7EAA11CE" w14:textId="77777777" w:rsidR="00DB4495" w:rsidRPr="00DB4495" w:rsidRDefault="00DB4495" w:rsidP="00DB4495">
      <w:pPr>
        <w:numPr>
          <w:ilvl w:val="0"/>
          <w:numId w:val="8"/>
        </w:numPr>
        <w:rPr>
          <w:rFonts w:asciiTheme="majorBidi" w:hAnsiTheme="majorBidi" w:cstheme="majorBidi"/>
        </w:rPr>
      </w:pPr>
      <w:proofErr w:type="spellStart"/>
      <w:r w:rsidRPr="00DB4495">
        <w:rPr>
          <w:rFonts w:asciiTheme="majorBidi" w:hAnsiTheme="majorBidi" w:cstheme="majorBidi"/>
        </w:rPr>
        <w:t>Alumran</w:t>
      </w:r>
      <w:proofErr w:type="spellEnd"/>
      <w:r w:rsidRPr="00DB4495">
        <w:rPr>
          <w:rFonts w:asciiTheme="majorBidi" w:hAnsiTheme="majorBidi" w:cstheme="majorBidi"/>
        </w:rPr>
        <w:t xml:space="preserve"> A, </w:t>
      </w:r>
      <w:proofErr w:type="spellStart"/>
      <w:r w:rsidRPr="00DB4495">
        <w:rPr>
          <w:rFonts w:asciiTheme="majorBidi" w:hAnsiTheme="majorBidi" w:cstheme="majorBidi"/>
        </w:rPr>
        <w:t>Awad</w:t>
      </w:r>
      <w:proofErr w:type="spellEnd"/>
      <w:r w:rsidRPr="00DB4495">
        <w:rPr>
          <w:rFonts w:asciiTheme="majorBidi" w:hAnsiTheme="majorBidi" w:cstheme="majorBidi"/>
        </w:rPr>
        <w:t xml:space="preserve"> A, Zaghloul I. The effect of electronic Canadian Triage and Acuity Scale on triage accuracy in emergency departments. Int Emerg Nurs. </w:t>
      </w:r>
      <w:proofErr w:type="gramStart"/>
      <w:r w:rsidRPr="00DB4495">
        <w:rPr>
          <w:rFonts w:asciiTheme="majorBidi" w:hAnsiTheme="majorBidi" w:cstheme="majorBidi"/>
        </w:rPr>
        <w:t>2020;52:100910</w:t>
      </w:r>
      <w:proofErr w:type="gramEnd"/>
      <w:r w:rsidRPr="00DB4495">
        <w:rPr>
          <w:rFonts w:asciiTheme="majorBidi" w:hAnsiTheme="majorBidi" w:cstheme="majorBidi"/>
        </w:rPr>
        <w:t>. doi:10.1016/j.ienj.2020.100910.</w:t>
      </w:r>
    </w:p>
    <w:p w14:paraId="5D7A0119"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Arksey H, O'Malley L. Scoping studies: towards a methodological framework. Int J Soc Res </w:t>
      </w:r>
      <w:proofErr w:type="spellStart"/>
      <w:r w:rsidRPr="00DB4495">
        <w:rPr>
          <w:rFonts w:asciiTheme="majorBidi" w:hAnsiTheme="majorBidi" w:cstheme="majorBidi"/>
        </w:rPr>
        <w:t>Methodol</w:t>
      </w:r>
      <w:proofErr w:type="spellEnd"/>
      <w:r w:rsidRPr="00DB4495">
        <w:rPr>
          <w:rFonts w:asciiTheme="majorBidi" w:hAnsiTheme="majorBidi" w:cstheme="majorBidi"/>
        </w:rPr>
        <w:t>. 2005;8(1):19-32. doi:10.1080/1364557032000119616.</w:t>
      </w:r>
    </w:p>
    <w:p w14:paraId="2C890043"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lastRenderedPageBreak/>
        <w:t>Atack L, Rankin J, Then V. Effectiveness of a 6-week online course in the Canadian Triage and Acuity Scale for emergency nurses. J Emerg Nurs. 2005;31(5):436-443. doi:10.1016/j.jen.2005.07.005.</w:t>
      </w:r>
    </w:p>
    <w:p w14:paraId="1EDBDE90"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Benner P. From novice to expert: excellence and power in clinical nursing practice. Menlo Park (CA): Addison-Wesley; 1984.</w:t>
      </w:r>
    </w:p>
    <w:p w14:paraId="73F5F414"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Beveridge R, Clarke B, Janes L, Savage N, Thompson J, Dodd G. Canadian emergency department triage and acuity scale: implementation guidelines. Can J Emerg Med. 1999;1(3 Suppl</w:t>
      </w:r>
      <w:proofErr w:type="gramStart"/>
      <w:r w:rsidRPr="00DB4495">
        <w:rPr>
          <w:rFonts w:asciiTheme="majorBidi" w:hAnsiTheme="majorBidi" w:cstheme="majorBidi"/>
        </w:rPr>
        <w:t>):S</w:t>
      </w:r>
      <w:proofErr w:type="gramEnd"/>
      <w:r w:rsidRPr="00DB4495">
        <w:rPr>
          <w:rFonts w:asciiTheme="majorBidi" w:hAnsiTheme="majorBidi" w:cstheme="majorBidi"/>
        </w:rPr>
        <w:t>1-S29. doi:10.1017/S1481803500008431.</w:t>
      </w:r>
    </w:p>
    <w:p w14:paraId="3DA1A531"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Bullard MJ, Musgrave E, Unger B, Skeldon T, Grierson R. Validation of the Canadian Triage and Acuity Scale in multiple Canadian emergency departments. Can J Emerg Med. 2011;13(6):357-366. doi:10.2310/8000.2011.110441.</w:t>
      </w:r>
    </w:p>
    <w:p w14:paraId="7D4B2170"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Canadian Institute for Health Information. NACRS emergency department visits and lengths of stay: 2024-2025 [Internet]. Ottawa (ON): CIHI; 2024 [cited 2026 Apr 15]. Available from: </w:t>
      </w:r>
      <w:hyperlink r:id="rId6" w:tgtFrame="_blank" w:history="1">
        <w:r w:rsidRPr="00DB4495">
          <w:rPr>
            <w:rStyle w:val="Hyperlink"/>
            <w:rFonts w:asciiTheme="majorBidi" w:hAnsiTheme="majorBidi" w:cstheme="majorBidi"/>
          </w:rPr>
          <w:t>https://www.cihi.ca/en/nacrs-emergency-department-visits-and-lengths-of-stay</w:t>
        </w:r>
      </w:hyperlink>
    </w:p>
    <w:p w14:paraId="464EC152"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Curran-Sills G, Redman M, Rowe BH, Bullard M. A pilot study examining the speed and accuracy of triage for patients with acute stroke in the emergency department. Can J Emerg Med. 2017;19(6):434-441. doi:10.1017/cem.2016.402.</w:t>
      </w:r>
    </w:p>
    <w:p w14:paraId="565B358A"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Davis J, Shephard L, Patel R. Validity of CTAS with nurse supervision in a tertiary ED. Emerg Med J. 2022;39(7):512-518. doi:10.1136/emermed-2021-211456.</w:t>
      </w:r>
    </w:p>
    <w:p w14:paraId="0421C54E"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Delmas P, Fiorentino A, Antonini M, et al. Effects of environmental distractors on nurse emergency triage accuracy: a pilot study protocol. Pilot Feasibility </w:t>
      </w:r>
      <w:proofErr w:type="spellStart"/>
      <w:r w:rsidRPr="00DB4495">
        <w:rPr>
          <w:rFonts w:asciiTheme="majorBidi" w:hAnsiTheme="majorBidi" w:cstheme="majorBidi"/>
        </w:rPr>
        <w:t>Stud</w:t>
      </w:r>
      <w:proofErr w:type="spellEnd"/>
      <w:r w:rsidRPr="00DB4495">
        <w:rPr>
          <w:rFonts w:asciiTheme="majorBidi" w:hAnsiTheme="majorBidi" w:cstheme="majorBidi"/>
        </w:rPr>
        <w:t>. 2020;6(1):171. doi:10.1186/s40814-020-00717-8</w:t>
      </w:r>
    </w:p>
    <w:p w14:paraId="1E9AF078" w14:textId="77777777" w:rsidR="00DB4495" w:rsidRPr="00DB4495" w:rsidRDefault="00DB4495" w:rsidP="00DB4495">
      <w:pPr>
        <w:numPr>
          <w:ilvl w:val="0"/>
          <w:numId w:val="8"/>
        </w:numPr>
        <w:rPr>
          <w:rFonts w:asciiTheme="majorBidi" w:hAnsiTheme="majorBidi" w:cstheme="majorBidi"/>
        </w:rPr>
      </w:pPr>
      <w:proofErr w:type="spellStart"/>
      <w:r w:rsidRPr="00DB4495">
        <w:rPr>
          <w:rFonts w:asciiTheme="majorBidi" w:hAnsiTheme="majorBidi" w:cstheme="majorBidi"/>
        </w:rPr>
        <w:t>Elkum</w:t>
      </w:r>
      <w:proofErr w:type="spellEnd"/>
      <w:r w:rsidRPr="00DB4495">
        <w:rPr>
          <w:rFonts w:asciiTheme="majorBidi" w:hAnsiTheme="majorBidi" w:cstheme="majorBidi"/>
        </w:rPr>
        <w:t xml:space="preserve"> NB, Barrett C, Al-Omran H. Canadian Emergency Department Triage and Acuity Scale: implementation in a tertiary care center in Saudi Arabia. BMC Emerg Med. </w:t>
      </w:r>
      <w:proofErr w:type="gramStart"/>
      <w:r w:rsidRPr="00DB4495">
        <w:rPr>
          <w:rFonts w:asciiTheme="majorBidi" w:hAnsiTheme="majorBidi" w:cstheme="majorBidi"/>
        </w:rPr>
        <w:t>2011;11:3</w:t>
      </w:r>
      <w:proofErr w:type="gramEnd"/>
      <w:r w:rsidRPr="00DB4495">
        <w:rPr>
          <w:rFonts w:asciiTheme="majorBidi" w:hAnsiTheme="majorBidi" w:cstheme="majorBidi"/>
        </w:rPr>
        <w:t>. doi:10.1186/1471-227X-11-3.</w:t>
      </w:r>
    </w:p>
    <w:p w14:paraId="3907E8BC"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Fekonja U, Strnad M, Fekonja Z. Association between triage nurses' job satisfaction and professional capability: results of a mixed-method study. J Nurs Manag. 2022;30(8):4364-4377. doi:10.1111/jonm.13860.</w:t>
      </w:r>
    </w:p>
    <w:p w14:paraId="7F785686"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Göransson KE, Ehrenberg A, </w:t>
      </w:r>
      <w:proofErr w:type="spellStart"/>
      <w:r w:rsidRPr="00DB4495">
        <w:rPr>
          <w:rFonts w:asciiTheme="majorBidi" w:hAnsiTheme="majorBidi" w:cstheme="majorBidi"/>
        </w:rPr>
        <w:t>Ehnfors</w:t>
      </w:r>
      <w:proofErr w:type="spellEnd"/>
      <w:r w:rsidRPr="00DB4495">
        <w:rPr>
          <w:rFonts w:asciiTheme="majorBidi" w:hAnsiTheme="majorBidi" w:cstheme="majorBidi"/>
        </w:rPr>
        <w:t xml:space="preserve"> M. Triage in emergency departments: national survey. J Clin Nurs. 2006;15(10):1194-1204. doi:10.1111/j.1365-2702.2005.01453.x.</w:t>
      </w:r>
    </w:p>
    <w:p w14:paraId="469C57E7"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Grant L, Lessard S, St-Arnaud C. Machine learning outperforms the Canadian Triage and Acuity Scale (CTAS) in predicting need for early critical care. Can J Emerg Med. 2025;27(1):43-52. doi:10.1007/s43678-024-00673-5.</w:t>
      </w:r>
    </w:p>
    <w:p w14:paraId="76E51141"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lastRenderedPageBreak/>
        <w:t>Howlett S, Atkinson P. Interobserver reliability of the Canadian Triage and Acuity Scale in a community emergency department. Can J Emerg Med. 2012;14(5):299-304. doi:10.2310/8000.2012.110479.</w:t>
      </w:r>
    </w:p>
    <w:p w14:paraId="4CD3F0BC"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Kahneman D. Thinking, fast and slow. New York: Farrar, Straus and Giroux; 2011.</w:t>
      </w:r>
    </w:p>
    <w:p w14:paraId="79C73B87"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Kalan L, Chahine RA, </w:t>
      </w:r>
      <w:proofErr w:type="spellStart"/>
      <w:r w:rsidRPr="00DB4495">
        <w:rPr>
          <w:rFonts w:asciiTheme="majorBidi" w:hAnsiTheme="majorBidi" w:cstheme="majorBidi"/>
        </w:rPr>
        <w:t>Lasfer</w:t>
      </w:r>
      <w:proofErr w:type="spellEnd"/>
      <w:r w:rsidRPr="00DB4495">
        <w:rPr>
          <w:rFonts w:asciiTheme="majorBidi" w:hAnsiTheme="majorBidi" w:cstheme="majorBidi"/>
        </w:rPr>
        <w:t xml:space="preserve"> C. The effectiveness and relevance of the Canadian Triage System at times of overcrowding in the Emergency Department of a private tertiary hospital: a United Arab Emirates (UAE) study. Cureus. 2024;16(1</w:t>
      </w:r>
      <w:proofErr w:type="gramStart"/>
      <w:r w:rsidRPr="00DB4495">
        <w:rPr>
          <w:rFonts w:asciiTheme="majorBidi" w:hAnsiTheme="majorBidi" w:cstheme="majorBidi"/>
        </w:rPr>
        <w:t>):e</w:t>
      </w:r>
      <w:proofErr w:type="gramEnd"/>
      <w:r w:rsidRPr="00DB4495">
        <w:rPr>
          <w:rFonts w:asciiTheme="majorBidi" w:hAnsiTheme="majorBidi" w:cstheme="majorBidi"/>
        </w:rPr>
        <w:t>52921. doi:10.7759/cureus.52921.</w:t>
      </w:r>
    </w:p>
    <w:p w14:paraId="6B43A513"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Khan A, Liu H. Complexity in triage decision-making: a review. Int J Nurs Stud. 2021;58(1):12-20. doi:10.1016/j.ijnurstu.2021.103789.</w:t>
      </w:r>
    </w:p>
    <w:p w14:paraId="1D20ADA2"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Lee JS, Oh SH, Peck EH, et al. Impact of a two-step emergency department triage model with START, then CTAS, on patient flow during a simulated mass-casualty incident. </w:t>
      </w:r>
      <w:proofErr w:type="spellStart"/>
      <w:r w:rsidRPr="00DB4495">
        <w:rPr>
          <w:rFonts w:asciiTheme="majorBidi" w:hAnsiTheme="majorBidi" w:cstheme="majorBidi"/>
        </w:rPr>
        <w:t>Prehosp</w:t>
      </w:r>
      <w:proofErr w:type="spellEnd"/>
      <w:r w:rsidRPr="00DB4495">
        <w:rPr>
          <w:rFonts w:asciiTheme="majorBidi" w:hAnsiTheme="majorBidi" w:cstheme="majorBidi"/>
        </w:rPr>
        <w:t xml:space="preserve"> Disaster Med. 2015;30(4):390-396. doi:10.1017/S1049023X15004835.</w:t>
      </w:r>
    </w:p>
    <w:p w14:paraId="09B1F0B4"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Lee JY, Oh SH, Peck EH, et al. The validity of the Canadian Triage and Acuity Scale in predicting resource utilization and the need for immediate life-saving interventions in elderly emergency department patients. </w:t>
      </w:r>
      <w:proofErr w:type="spellStart"/>
      <w:r w:rsidRPr="00DB4495">
        <w:rPr>
          <w:rFonts w:asciiTheme="majorBidi" w:hAnsiTheme="majorBidi" w:cstheme="majorBidi"/>
        </w:rPr>
        <w:t>Scand</w:t>
      </w:r>
      <w:proofErr w:type="spellEnd"/>
      <w:r w:rsidRPr="00DB4495">
        <w:rPr>
          <w:rFonts w:asciiTheme="majorBidi" w:hAnsiTheme="majorBidi" w:cstheme="majorBidi"/>
        </w:rPr>
        <w:t xml:space="preserve"> J Trauma </w:t>
      </w:r>
      <w:proofErr w:type="spellStart"/>
      <w:r w:rsidRPr="00DB4495">
        <w:rPr>
          <w:rFonts w:asciiTheme="majorBidi" w:hAnsiTheme="majorBidi" w:cstheme="majorBidi"/>
        </w:rPr>
        <w:t>Resusc</w:t>
      </w:r>
      <w:proofErr w:type="spellEnd"/>
      <w:r w:rsidRPr="00DB4495">
        <w:rPr>
          <w:rFonts w:asciiTheme="majorBidi" w:hAnsiTheme="majorBidi" w:cstheme="majorBidi"/>
        </w:rPr>
        <w:t xml:space="preserve"> </w:t>
      </w:r>
      <w:proofErr w:type="spellStart"/>
      <w:r w:rsidRPr="00DB4495">
        <w:rPr>
          <w:rFonts w:asciiTheme="majorBidi" w:hAnsiTheme="majorBidi" w:cstheme="majorBidi"/>
        </w:rPr>
        <w:t>Emerg</w:t>
      </w:r>
      <w:proofErr w:type="spellEnd"/>
      <w:r w:rsidRPr="00DB4495">
        <w:rPr>
          <w:rFonts w:asciiTheme="majorBidi" w:hAnsiTheme="majorBidi" w:cstheme="majorBidi"/>
        </w:rPr>
        <w:t xml:space="preserve"> Med. </w:t>
      </w:r>
      <w:proofErr w:type="gramStart"/>
      <w:r w:rsidRPr="00DB4495">
        <w:rPr>
          <w:rFonts w:asciiTheme="majorBidi" w:hAnsiTheme="majorBidi" w:cstheme="majorBidi"/>
        </w:rPr>
        <w:t>2011;19:68</w:t>
      </w:r>
      <w:proofErr w:type="gramEnd"/>
      <w:r w:rsidRPr="00DB4495">
        <w:rPr>
          <w:rFonts w:asciiTheme="majorBidi" w:hAnsiTheme="majorBidi" w:cstheme="majorBidi"/>
        </w:rPr>
        <w:t>. doi:10.1186/1757-7241-19-68.</w:t>
      </w:r>
    </w:p>
    <w:p w14:paraId="0A6BDC7F" w14:textId="77777777" w:rsidR="00DB4495" w:rsidRPr="00DB4495" w:rsidRDefault="00DB4495" w:rsidP="00DB4495">
      <w:pPr>
        <w:numPr>
          <w:ilvl w:val="0"/>
          <w:numId w:val="8"/>
        </w:numPr>
        <w:rPr>
          <w:rFonts w:asciiTheme="majorBidi" w:hAnsiTheme="majorBidi" w:cstheme="majorBidi"/>
        </w:rPr>
      </w:pPr>
      <w:proofErr w:type="spellStart"/>
      <w:r w:rsidRPr="00DB4495">
        <w:rPr>
          <w:rFonts w:asciiTheme="majorBidi" w:hAnsiTheme="majorBidi" w:cstheme="majorBidi"/>
        </w:rPr>
        <w:t>Leeies</w:t>
      </w:r>
      <w:proofErr w:type="spellEnd"/>
      <w:r w:rsidRPr="00DB4495">
        <w:rPr>
          <w:rFonts w:asciiTheme="majorBidi" w:hAnsiTheme="majorBidi" w:cstheme="majorBidi"/>
        </w:rPr>
        <w:t xml:space="preserve"> M, Batt R, Drennan IR. Interrater reliability of the Canadian Triage and Acuity Scale in the prehospital setting. </w:t>
      </w:r>
      <w:proofErr w:type="spellStart"/>
      <w:r w:rsidRPr="00DB4495">
        <w:rPr>
          <w:rFonts w:asciiTheme="majorBidi" w:hAnsiTheme="majorBidi" w:cstheme="majorBidi"/>
        </w:rPr>
        <w:t>Prehosp</w:t>
      </w:r>
      <w:proofErr w:type="spellEnd"/>
      <w:r w:rsidRPr="00DB4495">
        <w:rPr>
          <w:rFonts w:asciiTheme="majorBidi" w:hAnsiTheme="majorBidi" w:cstheme="majorBidi"/>
        </w:rPr>
        <w:t xml:space="preserve"> </w:t>
      </w:r>
      <w:proofErr w:type="spellStart"/>
      <w:r w:rsidRPr="00DB4495">
        <w:rPr>
          <w:rFonts w:asciiTheme="majorBidi" w:hAnsiTheme="majorBidi" w:cstheme="majorBidi"/>
        </w:rPr>
        <w:t>Emerg</w:t>
      </w:r>
      <w:proofErr w:type="spellEnd"/>
      <w:r w:rsidRPr="00DB4495">
        <w:rPr>
          <w:rFonts w:asciiTheme="majorBidi" w:hAnsiTheme="majorBidi" w:cstheme="majorBidi"/>
        </w:rPr>
        <w:t xml:space="preserve"> Care. 2017;21(5):591-596. doi:10.1080/10903127.2017.1309252.</w:t>
      </w:r>
    </w:p>
    <w:p w14:paraId="66F6A2F7"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Levett-Jones T, Lapkin S. A systematic review of the effectiveness of simulation debriefing in health professional education. Nurse Educ Today. </w:t>
      </w:r>
      <w:proofErr w:type="gramStart"/>
      <w:r w:rsidRPr="00DB4495">
        <w:rPr>
          <w:rFonts w:asciiTheme="majorBidi" w:hAnsiTheme="majorBidi" w:cstheme="majorBidi"/>
        </w:rPr>
        <w:t>2019;79:104327</w:t>
      </w:r>
      <w:proofErr w:type="gramEnd"/>
      <w:r w:rsidRPr="00DB4495">
        <w:rPr>
          <w:rFonts w:asciiTheme="majorBidi" w:hAnsiTheme="majorBidi" w:cstheme="majorBidi"/>
        </w:rPr>
        <w:t>. doi:10.1016/j.nedt.2019.104327.</w:t>
      </w:r>
    </w:p>
    <w:p w14:paraId="1ED6CBBA" w14:textId="77777777" w:rsidR="00DB4495" w:rsidRPr="00DB4495" w:rsidRDefault="00DB4495" w:rsidP="00DB4495">
      <w:pPr>
        <w:numPr>
          <w:ilvl w:val="0"/>
          <w:numId w:val="8"/>
        </w:numPr>
        <w:rPr>
          <w:rFonts w:asciiTheme="majorBidi" w:hAnsiTheme="majorBidi" w:cstheme="majorBidi"/>
        </w:rPr>
      </w:pPr>
      <w:proofErr w:type="spellStart"/>
      <w:r w:rsidRPr="00DB4495">
        <w:rPr>
          <w:rFonts w:asciiTheme="majorBidi" w:hAnsiTheme="majorBidi" w:cstheme="majorBidi"/>
        </w:rPr>
        <w:t>Levis-Elmelech</w:t>
      </w:r>
      <w:proofErr w:type="spellEnd"/>
      <w:r w:rsidRPr="00DB4495">
        <w:rPr>
          <w:rFonts w:asciiTheme="majorBidi" w:hAnsiTheme="majorBidi" w:cstheme="majorBidi"/>
        </w:rPr>
        <w:t xml:space="preserve"> T, Schwartz D, Bitan Y. The effect of emergency department nurse experience on triage decision making. Hum Factors </w:t>
      </w:r>
      <w:proofErr w:type="spellStart"/>
      <w:r w:rsidRPr="00DB4495">
        <w:rPr>
          <w:rFonts w:asciiTheme="majorBidi" w:hAnsiTheme="majorBidi" w:cstheme="majorBidi"/>
        </w:rPr>
        <w:t>Healthc</w:t>
      </w:r>
      <w:proofErr w:type="spellEnd"/>
      <w:r w:rsidRPr="00DB4495">
        <w:rPr>
          <w:rFonts w:asciiTheme="majorBidi" w:hAnsiTheme="majorBidi" w:cstheme="majorBidi"/>
        </w:rPr>
        <w:t xml:space="preserve">. </w:t>
      </w:r>
      <w:proofErr w:type="gramStart"/>
      <w:r w:rsidRPr="00DB4495">
        <w:rPr>
          <w:rFonts w:asciiTheme="majorBidi" w:hAnsiTheme="majorBidi" w:cstheme="majorBidi"/>
        </w:rPr>
        <w:t>2022;2:100015</w:t>
      </w:r>
      <w:proofErr w:type="gramEnd"/>
      <w:r w:rsidRPr="00DB4495">
        <w:rPr>
          <w:rFonts w:asciiTheme="majorBidi" w:hAnsiTheme="majorBidi" w:cstheme="majorBidi"/>
        </w:rPr>
        <w:t>. doi:10.1016/j.hfh.2022.100015.</w:t>
      </w:r>
    </w:p>
    <w:p w14:paraId="31526AEC"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Mistry RD, Kwok ESH, Schuh S. Development of a machine learning-based acuity score prediction model for pediatric emergency department patients. Can J Emerg Med. 2023;25(11):837-845. doi:10.1007/s43678-023-00521-1.</w:t>
      </w:r>
    </w:p>
    <w:p w14:paraId="41DCBD18"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Ng PC, Chung CH, Lai CS, Kwok KO. Comparison between Canadian Triage and Acuity Scale and Taiwan Triage System in emergency departments. J </w:t>
      </w:r>
      <w:proofErr w:type="spellStart"/>
      <w:r w:rsidRPr="00DB4495">
        <w:rPr>
          <w:rFonts w:asciiTheme="majorBidi" w:hAnsiTheme="majorBidi" w:cstheme="majorBidi"/>
        </w:rPr>
        <w:t>Formos</w:t>
      </w:r>
      <w:proofErr w:type="spellEnd"/>
      <w:r w:rsidRPr="00DB4495">
        <w:rPr>
          <w:rFonts w:asciiTheme="majorBidi" w:hAnsiTheme="majorBidi" w:cstheme="majorBidi"/>
        </w:rPr>
        <w:t xml:space="preserve"> Med Assoc. 2010;109(11):828-837. doi:10.1016/S0929-6646(10)60128-3.</w:t>
      </w:r>
    </w:p>
    <w:p w14:paraId="4C4F27FF"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Oh WO, Jung MJ. Triage-clinical reasoning on emergency nursing competency: a multiple linear mediation effect. BMC Nurs. </w:t>
      </w:r>
      <w:proofErr w:type="gramStart"/>
      <w:r w:rsidRPr="00DB4495">
        <w:rPr>
          <w:rFonts w:asciiTheme="majorBidi" w:hAnsiTheme="majorBidi" w:cstheme="majorBidi"/>
        </w:rPr>
        <w:t>2024;23:274</w:t>
      </w:r>
      <w:proofErr w:type="gramEnd"/>
      <w:r w:rsidRPr="00DB4495">
        <w:rPr>
          <w:rFonts w:asciiTheme="majorBidi" w:hAnsiTheme="majorBidi" w:cstheme="majorBidi"/>
        </w:rPr>
        <w:t>. doi:10.1186/s12912-024-01919-8.</w:t>
      </w:r>
    </w:p>
    <w:p w14:paraId="13BE3928" w14:textId="77777777" w:rsidR="00DB4495" w:rsidRPr="00DB4495" w:rsidRDefault="00DB4495" w:rsidP="00DB4495">
      <w:pPr>
        <w:numPr>
          <w:ilvl w:val="0"/>
          <w:numId w:val="8"/>
        </w:numPr>
        <w:rPr>
          <w:rFonts w:asciiTheme="majorBidi" w:hAnsiTheme="majorBidi" w:cstheme="majorBidi"/>
        </w:rPr>
      </w:pPr>
      <w:proofErr w:type="spellStart"/>
      <w:r w:rsidRPr="00DB4495">
        <w:rPr>
          <w:rFonts w:asciiTheme="majorBidi" w:hAnsiTheme="majorBidi" w:cstheme="majorBidi"/>
        </w:rPr>
        <w:lastRenderedPageBreak/>
        <w:t>Penciner</w:t>
      </w:r>
      <w:proofErr w:type="spellEnd"/>
      <w:r w:rsidRPr="00DB4495">
        <w:rPr>
          <w:rFonts w:asciiTheme="majorBidi" w:hAnsiTheme="majorBidi" w:cstheme="majorBidi"/>
        </w:rPr>
        <w:t xml:space="preserve"> R, </w:t>
      </w:r>
      <w:proofErr w:type="spellStart"/>
      <w:r w:rsidRPr="00DB4495">
        <w:rPr>
          <w:rFonts w:asciiTheme="majorBidi" w:hAnsiTheme="majorBidi" w:cstheme="majorBidi"/>
        </w:rPr>
        <w:t>Grafstein</w:t>
      </w:r>
      <w:proofErr w:type="spellEnd"/>
      <w:r w:rsidRPr="00DB4495">
        <w:rPr>
          <w:rFonts w:asciiTheme="majorBidi" w:hAnsiTheme="majorBidi" w:cstheme="majorBidi"/>
        </w:rPr>
        <w:t xml:space="preserve"> E. Correlation between CTAS and nursing tasks in ambulatory care ED. Can J Emerg Med. 2025;27(2):100-108. doi:10.1007/s43678-024-00700-5.</w:t>
      </w:r>
    </w:p>
    <w:p w14:paraId="03A36D01"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Peters MDJ, Marnie C, </w:t>
      </w:r>
      <w:proofErr w:type="spellStart"/>
      <w:r w:rsidRPr="00DB4495">
        <w:rPr>
          <w:rFonts w:asciiTheme="majorBidi" w:hAnsiTheme="majorBidi" w:cstheme="majorBidi"/>
        </w:rPr>
        <w:t>Tricco</w:t>
      </w:r>
      <w:proofErr w:type="spellEnd"/>
      <w:r w:rsidRPr="00DB4495">
        <w:rPr>
          <w:rFonts w:asciiTheme="majorBidi" w:hAnsiTheme="majorBidi" w:cstheme="majorBidi"/>
        </w:rPr>
        <w:t xml:space="preserve"> AC, et al. Updated methodological guidance for the conduct of scoping reviews. JBI Evid Synth. 2020;18(10):2119-2126. doi:10.11124/JBIES-20-00167.</w:t>
      </w:r>
    </w:p>
    <w:p w14:paraId="2F997F0E"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Plsek PE, Greenhalgh T. The challenge of complexity in health care. BMJ. 2001;323(7313):625-628. doi:10.1136/bmj.323.7313.625.</w:t>
      </w:r>
    </w:p>
    <w:p w14:paraId="2EABFEB3"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Rankin JA, Then KL, Atack L. Can emergency nurses' triage skills be improved by online learning? J Emerg Nurs. 2011;37(6):553-558. doi:10.1016/j.jen.2011.07.004.</w:t>
      </w:r>
    </w:p>
    <w:p w14:paraId="1756DEDD"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Seo YH, Lee K, Jang K. Factors influencing the classification accuracy of triage nurses in emergency department: analysis of triage nurses' characteristics. BMC Nurs. </w:t>
      </w:r>
      <w:proofErr w:type="gramStart"/>
      <w:r w:rsidRPr="00DB4495">
        <w:rPr>
          <w:rFonts w:asciiTheme="majorBidi" w:hAnsiTheme="majorBidi" w:cstheme="majorBidi"/>
        </w:rPr>
        <w:t>2024;23:764</w:t>
      </w:r>
      <w:proofErr w:type="gramEnd"/>
      <w:r w:rsidRPr="00DB4495">
        <w:rPr>
          <w:rFonts w:asciiTheme="majorBidi" w:hAnsiTheme="majorBidi" w:cstheme="majorBidi"/>
        </w:rPr>
        <w:t>. doi:10.1186/s12912-024-02334-9.</w:t>
      </w:r>
    </w:p>
    <w:p w14:paraId="7AB082D9"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Shlenger D, Cohen A, Hochman G, </w:t>
      </w:r>
      <w:proofErr w:type="spellStart"/>
      <w:r w:rsidRPr="00DB4495">
        <w:rPr>
          <w:rFonts w:asciiTheme="majorBidi" w:hAnsiTheme="majorBidi" w:cstheme="majorBidi"/>
        </w:rPr>
        <w:t>Pachys</w:t>
      </w:r>
      <w:proofErr w:type="spellEnd"/>
      <w:r w:rsidRPr="00DB4495">
        <w:rPr>
          <w:rFonts w:asciiTheme="majorBidi" w:hAnsiTheme="majorBidi" w:cstheme="majorBidi"/>
        </w:rPr>
        <w:t xml:space="preserve"> G, </w:t>
      </w:r>
      <w:proofErr w:type="spellStart"/>
      <w:r w:rsidRPr="00DB4495">
        <w:rPr>
          <w:rFonts w:asciiTheme="majorBidi" w:hAnsiTheme="majorBidi" w:cstheme="majorBidi"/>
        </w:rPr>
        <w:t>Trotzky</w:t>
      </w:r>
      <w:proofErr w:type="spellEnd"/>
      <w:r w:rsidRPr="00DB4495">
        <w:rPr>
          <w:rFonts w:asciiTheme="majorBidi" w:hAnsiTheme="majorBidi" w:cstheme="majorBidi"/>
        </w:rPr>
        <w:t xml:space="preserve"> D. The effect of centrality bias on triage nurses in the emergency department. SAGE Open Med. </w:t>
      </w:r>
      <w:proofErr w:type="gramStart"/>
      <w:r w:rsidRPr="00DB4495">
        <w:rPr>
          <w:rFonts w:asciiTheme="majorBidi" w:hAnsiTheme="majorBidi" w:cstheme="majorBidi"/>
        </w:rPr>
        <w:t>2025;13:20503121251364742</w:t>
      </w:r>
      <w:proofErr w:type="gramEnd"/>
      <w:r w:rsidRPr="00DB4495">
        <w:rPr>
          <w:rFonts w:asciiTheme="majorBidi" w:hAnsiTheme="majorBidi" w:cstheme="majorBidi"/>
        </w:rPr>
        <w:t>. doi:10.1177/20503121251364742.</w:t>
      </w:r>
    </w:p>
    <w:p w14:paraId="6098B25F" w14:textId="77777777" w:rsidR="00DB4495" w:rsidRPr="00DB4495" w:rsidRDefault="00DB4495" w:rsidP="00DB4495">
      <w:pPr>
        <w:numPr>
          <w:ilvl w:val="0"/>
          <w:numId w:val="8"/>
        </w:numPr>
        <w:rPr>
          <w:rFonts w:asciiTheme="majorBidi" w:hAnsiTheme="majorBidi" w:cstheme="majorBidi"/>
        </w:rPr>
      </w:pPr>
      <w:proofErr w:type="spellStart"/>
      <w:r w:rsidRPr="00DB4495">
        <w:rPr>
          <w:rFonts w:asciiTheme="majorBidi" w:hAnsiTheme="majorBidi" w:cstheme="majorBidi"/>
        </w:rPr>
        <w:t>Suamchaiyaphum</w:t>
      </w:r>
      <w:proofErr w:type="spellEnd"/>
      <w:r w:rsidRPr="00DB4495">
        <w:rPr>
          <w:rFonts w:asciiTheme="majorBidi" w:hAnsiTheme="majorBidi" w:cstheme="majorBidi"/>
        </w:rPr>
        <w:t xml:space="preserve"> K, </w:t>
      </w:r>
      <w:proofErr w:type="spellStart"/>
      <w:r w:rsidRPr="00DB4495">
        <w:rPr>
          <w:rFonts w:asciiTheme="majorBidi" w:hAnsiTheme="majorBidi" w:cstheme="majorBidi"/>
        </w:rPr>
        <w:t>Wongro</w:t>
      </w:r>
      <w:proofErr w:type="spellEnd"/>
      <w:r w:rsidRPr="00DB4495">
        <w:rPr>
          <w:rFonts w:asciiTheme="majorBidi" w:hAnsiTheme="majorBidi" w:cstheme="majorBidi"/>
        </w:rPr>
        <w:t xml:space="preserve"> T. Triage accuracy of emergency nurses: an evidence-based review. J Emerg Nurs. 2024;50(1):44-54. doi:10.1016/j.jen.2023.10.001.</w:t>
      </w:r>
    </w:p>
    <w:p w14:paraId="5CFFC3F2" w14:textId="77777777" w:rsidR="00DB4495" w:rsidRPr="00DB4495" w:rsidRDefault="00DB4495" w:rsidP="00DB4495">
      <w:pPr>
        <w:numPr>
          <w:ilvl w:val="0"/>
          <w:numId w:val="8"/>
        </w:numPr>
        <w:rPr>
          <w:rFonts w:asciiTheme="majorBidi" w:hAnsiTheme="majorBidi" w:cstheme="majorBidi"/>
        </w:rPr>
      </w:pPr>
      <w:proofErr w:type="spellStart"/>
      <w:r w:rsidRPr="00DB4495">
        <w:rPr>
          <w:rFonts w:asciiTheme="majorBidi" w:hAnsiTheme="majorBidi" w:cstheme="majorBidi"/>
        </w:rPr>
        <w:t>Tricco</w:t>
      </w:r>
      <w:proofErr w:type="spellEnd"/>
      <w:r w:rsidRPr="00DB4495">
        <w:rPr>
          <w:rFonts w:asciiTheme="majorBidi" w:hAnsiTheme="majorBidi" w:cstheme="majorBidi"/>
        </w:rPr>
        <w:t xml:space="preserve"> AC, Lillie E, Zarin W, et al. PRISMA extension for scoping reviews (PRISMA-</w:t>
      </w:r>
      <w:proofErr w:type="spellStart"/>
      <w:r w:rsidRPr="00DB4495">
        <w:rPr>
          <w:rFonts w:asciiTheme="majorBidi" w:hAnsiTheme="majorBidi" w:cstheme="majorBidi"/>
        </w:rPr>
        <w:t>ScR</w:t>
      </w:r>
      <w:proofErr w:type="spellEnd"/>
      <w:r w:rsidRPr="00DB4495">
        <w:rPr>
          <w:rFonts w:asciiTheme="majorBidi" w:hAnsiTheme="majorBidi" w:cstheme="majorBidi"/>
        </w:rPr>
        <w:t>): checklist and explanation. Ann Intern Med. 2018;169(7):467-473. doi:10.7326/M18-0850.</w:t>
      </w:r>
    </w:p>
    <w:p w14:paraId="5B0D0828" w14:textId="77777777" w:rsidR="00DB4495" w:rsidRPr="00DB4495" w:rsidRDefault="00DB4495" w:rsidP="00DB4495">
      <w:pPr>
        <w:numPr>
          <w:ilvl w:val="0"/>
          <w:numId w:val="8"/>
        </w:numPr>
        <w:rPr>
          <w:rFonts w:asciiTheme="majorBidi" w:hAnsiTheme="majorBidi" w:cstheme="majorBidi"/>
        </w:rPr>
      </w:pPr>
      <w:r w:rsidRPr="00DB4495">
        <w:rPr>
          <w:rFonts w:asciiTheme="majorBidi" w:hAnsiTheme="majorBidi" w:cstheme="majorBidi"/>
        </w:rPr>
        <w:t xml:space="preserve">Zachariasse JM, van der Hagen V, </w:t>
      </w:r>
      <w:proofErr w:type="spellStart"/>
      <w:r w:rsidRPr="00DB4495">
        <w:rPr>
          <w:rFonts w:asciiTheme="majorBidi" w:hAnsiTheme="majorBidi" w:cstheme="majorBidi"/>
        </w:rPr>
        <w:t>Seiger</w:t>
      </w:r>
      <w:proofErr w:type="spellEnd"/>
      <w:r w:rsidRPr="00DB4495">
        <w:rPr>
          <w:rFonts w:asciiTheme="majorBidi" w:hAnsiTheme="majorBidi" w:cstheme="majorBidi"/>
        </w:rPr>
        <w:t xml:space="preserve"> N, </w:t>
      </w:r>
      <w:proofErr w:type="spellStart"/>
      <w:r w:rsidRPr="00DB4495">
        <w:rPr>
          <w:rFonts w:asciiTheme="majorBidi" w:hAnsiTheme="majorBidi" w:cstheme="majorBidi"/>
        </w:rPr>
        <w:t>Mackway</w:t>
      </w:r>
      <w:proofErr w:type="spellEnd"/>
      <w:r w:rsidRPr="00DB4495">
        <w:rPr>
          <w:rFonts w:asciiTheme="majorBidi" w:hAnsiTheme="majorBidi" w:cstheme="majorBidi"/>
        </w:rPr>
        <w:t>-Jones K, van Veen M, Moll HA. Performance of triage systems in emergency care: a systematic review and meta-analysis. BMJ Open. 2019;9(5</w:t>
      </w:r>
      <w:proofErr w:type="gramStart"/>
      <w:r w:rsidRPr="00DB4495">
        <w:rPr>
          <w:rFonts w:asciiTheme="majorBidi" w:hAnsiTheme="majorBidi" w:cstheme="majorBidi"/>
        </w:rPr>
        <w:t>):e</w:t>
      </w:r>
      <w:proofErr w:type="gramEnd"/>
      <w:r w:rsidRPr="00DB4495">
        <w:rPr>
          <w:rFonts w:asciiTheme="majorBidi" w:hAnsiTheme="majorBidi" w:cstheme="majorBidi"/>
        </w:rPr>
        <w:t>026471. doi:10.1136/bmjopen-2018-026471.</w:t>
      </w:r>
    </w:p>
    <w:p w14:paraId="5CA1420A" w14:textId="77777777" w:rsidR="00DB4495" w:rsidRDefault="00DB4495">
      <w:pPr>
        <w:rPr>
          <w:rFonts w:asciiTheme="majorBidi" w:hAnsiTheme="majorBidi" w:cstheme="majorBidi"/>
        </w:rPr>
      </w:pPr>
    </w:p>
    <w:p w14:paraId="74C17BDA" w14:textId="77777777" w:rsidR="0033182D" w:rsidRDefault="0033182D">
      <w:pPr>
        <w:rPr>
          <w:rFonts w:asciiTheme="majorBidi" w:hAnsiTheme="majorBidi" w:cstheme="majorBidi"/>
        </w:rPr>
      </w:pPr>
    </w:p>
    <w:p w14:paraId="08CB43E1" w14:textId="77777777" w:rsidR="0033182D" w:rsidRDefault="0033182D">
      <w:pPr>
        <w:rPr>
          <w:rFonts w:asciiTheme="majorBidi" w:hAnsiTheme="majorBidi" w:cstheme="majorBidi"/>
        </w:rPr>
      </w:pPr>
    </w:p>
    <w:p w14:paraId="55219B4C" w14:textId="77777777" w:rsidR="0033182D" w:rsidRDefault="0033182D">
      <w:pPr>
        <w:rPr>
          <w:rFonts w:asciiTheme="majorBidi" w:hAnsiTheme="majorBidi" w:cstheme="majorBidi"/>
        </w:rPr>
      </w:pPr>
    </w:p>
    <w:p w14:paraId="582DA50D" w14:textId="77777777" w:rsidR="0033182D" w:rsidRDefault="0033182D">
      <w:pPr>
        <w:rPr>
          <w:rFonts w:asciiTheme="majorBidi" w:hAnsiTheme="majorBidi" w:cstheme="majorBidi"/>
        </w:rPr>
      </w:pPr>
    </w:p>
    <w:p w14:paraId="2D6078BE" w14:textId="77777777" w:rsidR="0033182D" w:rsidRDefault="0033182D">
      <w:pPr>
        <w:rPr>
          <w:rFonts w:asciiTheme="majorBidi" w:hAnsiTheme="majorBidi" w:cstheme="majorBidi"/>
        </w:rPr>
      </w:pPr>
    </w:p>
    <w:p w14:paraId="79E45249" w14:textId="77777777" w:rsidR="0033182D" w:rsidRDefault="0033182D">
      <w:pPr>
        <w:rPr>
          <w:rFonts w:asciiTheme="majorBidi" w:hAnsiTheme="majorBidi" w:cstheme="majorBidi"/>
        </w:rPr>
      </w:pPr>
    </w:p>
    <w:p w14:paraId="7263274C" w14:textId="77777777" w:rsidR="0033182D" w:rsidRDefault="0033182D">
      <w:pPr>
        <w:rPr>
          <w:rFonts w:asciiTheme="majorBidi" w:hAnsiTheme="majorBidi" w:cstheme="majorBidi"/>
        </w:rPr>
      </w:pPr>
    </w:p>
    <w:p w14:paraId="2D02C309" w14:textId="77777777" w:rsidR="0033182D" w:rsidRDefault="0033182D">
      <w:pPr>
        <w:rPr>
          <w:rFonts w:asciiTheme="majorBidi" w:hAnsiTheme="majorBidi" w:cstheme="majorBidi"/>
        </w:rPr>
      </w:pPr>
    </w:p>
    <w:p w14:paraId="653070E8" w14:textId="77777777" w:rsidR="0033182D" w:rsidRDefault="0033182D">
      <w:pPr>
        <w:rPr>
          <w:rFonts w:asciiTheme="majorBidi" w:hAnsiTheme="majorBidi" w:cstheme="majorBidi"/>
        </w:rPr>
      </w:pPr>
    </w:p>
    <w:p w14:paraId="56E7FAA0" w14:textId="77777777" w:rsidR="0033182D" w:rsidRDefault="0033182D">
      <w:pPr>
        <w:rPr>
          <w:rFonts w:asciiTheme="majorBidi" w:hAnsiTheme="majorBidi" w:cstheme="majorBidi"/>
        </w:rPr>
      </w:pPr>
    </w:p>
    <w:p w14:paraId="75C1D914" w14:textId="77777777" w:rsidR="0033182D" w:rsidRDefault="0033182D">
      <w:pPr>
        <w:rPr>
          <w:rFonts w:asciiTheme="majorBidi" w:hAnsiTheme="majorBidi" w:cstheme="majorBidi"/>
        </w:rPr>
      </w:pPr>
    </w:p>
    <w:p w14:paraId="48C0B64F" w14:textId="77777777" w:rsidR="0033182D" w:rsidRDefault="0033182D">
      <w:pPr>
        <w:rPr>
          <w:rFonts w:asciiTheme="majorBidi" w:hAnsiTheme="majorBidi" w:cstheme="majorBidi"/>
        </w:rPr>
      </w:pPr>
    </w:p>
    <w:p w14:paraId="4DEBEA09" w14:textId="77777777" w:rsidR="0033182D" w:rsidRDefault="0033182D">
      <w:pPr>
        <w:rPr>
          <w:rFonts w:asciiTheme="majorBidi" w:hAnsiTheme="majorBidi" w:cstheme="majorBidi"/>
        </w:rPr>
      </w:pPr>
    </w:p>
    <w:p w14:paraId="7C0196BE" w14:textId="77777777" w:rsidR="0033182D" w:rsidRDefault="0033182D">
      <w:pPr>
        <w:rPr>
          <w:rFonts w:asciiTheme="majorBidi" w:hAnsiTheme="majorBidi" w:cstheme="majorBidi"/>
        </w:rPr>
      </w:pPr>
    </w:p>
    <w:p w14:paraId="15B72B32" w14:textId="77777777" w:rsidR="0033182D" w:rsidRDefault="0033182D">
      <w:pPr>
        <w:rPr>
          <w:rFonts w:asciiTheme="majorBidi" w:hAnsiTheme="majorBidi" w:cstheme="majorBidi"/>
        </w:rPr>
      </w:pPr>
    </w:p>
    <w:p w14:paraId="5158E6D2" w14:textId="77777777" w:rsidR="0033182D" w:rsidRDefault="0033182D">
      <w:pPr>
        <w:rPr>
          <w:rFonts w:asciiTheme="majorBidi" w:hAnsiTheme="majorBidi" w:cstheme="majorBidi"/>
        </w:rPr>
      </w:pPr>
    </w:p>
    <w:p w14:paraId="2B61E799" w14:textId="77777777" w:rsidR="0033182D" w:rsidRDefault="0033182D">
      <w:pPr>
        <w:rPr>
          <w:rFonts w:asciiTheme="majorBidi" w:hAnsiTheme="majorBidi" w:cstheme="majorBidi"/>
        </w:rPr>
      </w:pPr>
    </w:p>
    <w:p w14:paraId="7535603E" w14:textId="77777777" w:rsidR="0033182D" w:rsidRDefault="0033182D">
      <w:pPr>
        <w:rPr>
          <w:rFonts w:asciiTheme="majorBidi" w:hAnsiTheme="majorBidi" w:cstheme="majorBidi"/>
        </w:rPr>
      </w:pPr>
    </w:p>
    <w:p w14:paraId="4E5F6641" w14:textId="77777777" w:rsidR="0033182D" w:rsidRDefault="0033182D">
      <w:pPr>
        <w:rPr>
          <w:rFonts w:asciiTheme="majorBidi" w:hAnsiTheme="majorBidi" w:cstheme="majorBidi"/>
        </w:rPr>
      </w:pPr>
    </w:p>
    <w:p w14:paraId="5CAD536D" w14:textId="77777777" w:rsidR="0033182D" w:rsidRDefault="0033182D">
      <w:pPr>
        <w:rPr>
          <w:rFonts w:asciiTheme="majorBidi" w:hAnsiTheme="majorBidi" w:cstheme="majorBidi"/>
        </w:rPr>
      </w:pPr>
    </w:p>
    <w:p w14:paraId="71C9AFF3" w14:textId="039A1807" w:rsidR="0033182D" w:rsidRPr="00DB4495" w:rsidRDefault="0033182D">
      <w:pPr>
        <w:rPr>
          <w:rFonts w:asciiTheme="majorBidi" w:hAnsiTheme="majorBidi" w:cstheme="majorBidi"/>
        </w:rPr>
      </w:pPr>
    </w:p>
    <w:sectPr w:rsidR="0033182D" w:rsidRPr="00DB44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853D6"/>
    <w:multiLevelType w:val="multilevel"/>
    <w:tmpl w:val="19F8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9333E5"/>
    <w:multiLevelType w:val="multilevel"/>
    <w:tmpl w:val="46AC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50C70"/>
    <w:multiLevelType w:val="multilevel"/>
    <w:tmpl w:val="ACD6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FD4A1C"/>
    <w:multiLevelType w:val="multilevel"/>
    <w:tmpl w:val="9F9C9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BA43C0"/>
    <w:multiLevelType w:val="multilevel"/>
    <w:tmpl w:val="BB10D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35664E"/>
    <w:multiLevelType w:val="multilevel"/>
    <w:tmpl w:val="33104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E223B5"/>
    <w:multiLevelType w:val="multilevel"/>
    <w:tmpl w:val="41DE6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32640F"/>
    <w:multiLevelType w:val="multilevel"/>
    <w:tmpl w:val="DF3EC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495"/>
    <w:rsid w:val="0033182D"/>
    <w:rsid w:val="00470FEB"/>
    <w:rsid w:val="00485A26"/>
    <w:rsid w:val="005C3A75"/>
    <w:rsid w:val="00676CDB"/>
    <w:rsid w:val="00D20252"/>
    <w:rsid w:val="00DB4495"/>
    <w:rsid w:val="00DF2FE7"/>
    <w:rsid w:val="00F803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28EDFA"/>
  <w15:chartTrackingRefBased/>
  <w15:docId w15:val="{2AF57AE4-E9DC-46B8-96EC-945BA645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4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44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449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449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449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44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4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4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4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4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44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44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44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44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44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4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4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495"/>
    <w:rPr>
      <w:rFonts w:eastAsiaTheme="majorEastAsia" w:cstheme="majorBidi"/>
      <w:color w:val="272727" w:themeColor="text1" w:themeTint="D8"/>
    </w:rPr>
  </w:style>
  <w:style w:type="paragraph" w:styleId="Title">
    <w:name w:val="Title"/>
    <w:basedOn w:val="Normal"/>
    <w:next w:val="Normal"/>
    <w:link w:val="TitleChar"/>
    <w:uiPriority w:val="10"/>
    <w:qFormat/>
    <w:rsid w:val="00DB44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4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4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44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495"/>
    <w:pPr>
      <w:spacing w:before="160"/>
      <w:jc w:val="center"/>
    </w:pPr>
    <w:rPr>
      <w:i/>
      <w:iCs/>
      <w:color w:val="404040" w:themeColor="text1" w:themeTint="BF"/>
    </w:rPr>
  </w:style>
  <w:style w:type="character" w:customStyle="1" w:styleId="QuoteChar">
    <w:name w:val="Quote Char"/>
    <w:basedOn w:val="DefaultParagraphFont"/>
    <w:link w:val="Quote"/>
    <w:uiPriority w:val="29"/>
    <w:rsid w:val="00DB4495"/>
    <w:rPr>
      <w:i/>
      <w:iCs/>
      <w:color w:val="404040" w:themeColor="text1" w:themeTint="BF"/>
    </w:rPr>
  </w:style>
  <w:style w:type="paragraph" w:styleId="ListParagraph">
    <w:name w:val="List Paragraph"/>
    <w:basedOn w:val="Normal"/>
    <w:uiPriority w:val="34"/>
    <w:qFormat/>
    <w:rsid w:val="00DB4495"/>
    <w:pPr>
      <w:ind w:left="720"/>
      <w:contextualSpacing/>
    </w:pPr>
  </w:style>
  <w:style w:type="character" w:styleId="IntenseEmphasis">
    <w:name w:val="Intense Emphasis"/>
    <w:basedOn w:val="DefaultParagraphFont"/>
    <w:uiPriority w:val="21"/>
    <w:qFormat/>
    <w:rsid w:val="00DB4495"/>
    <w:rPr>
      <w:i/>
      <w:iCs/>
      <w:color w:val="2F5496" w:themeColor="accent1" w:themeShade="BF"/>
    </w:rPr>
  </w:style>
  <w:style w:type="paragraph" w:styleId="IntenseQuote">
    <w:name w:val="Intense Quote"/>
    <w:basedOn w:val="Normal"/>
    <w:next w:val="Normal"/>
    <w:link w:val="IntenseQuoteChar"/>
    <w:uiPriority w:val="30"/>
    <w:qFormat/>
    <w:rsid w:val="00DB44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4495"/>
    <w:rPr>
      <w:i/>
      <w:iCs/>
      <w:color w:val="2F5496" w:themeColor="accent1" w:themeShade="BF"/>
    </w:rPr>
  </w:style>
  <w:style w:type="character" w:styleId="IntenseReference">
    <w:name w:val="Intense Reference"/>
    <w:basedOn w:val="DefaultParagraphFont"/>
    <w:uiPriority w:val="32"/>
    <w:qFormat/>
    <w:rsid w:val="00DB4495"/>
    <w:rPr>
      <w:b/>
      <w:bCs/>
      <w:smallCaps/>
      <w:color w:val="2F5496" w:themeColor="accent1" w:themeShade="BF"/>
      <w:spacing w:val="5"/>
    </w:rPr>
  </w:style>
  <w:style w:type="character" w:styleId="Hyperlink">
    <w:name w:val="Hyperlink"/>
    <w:basedOn w:val="DefaultParagraphFont"/>
    <w:uiPriority w:val="99"/>
    <w:unhideWhenUsed/>
    <w:rsid w:val="00DB4495"/>
    <w:rPr>
      <w:color w:val="0563C1" w:themeColor="hyperlink"/>
      <w:u w:val="single"/>
    </w:rPr>
  </w:style>
  <w:style w:type="character" w:customStyle="1" w:styleId="UnresolvedMention1">
    <w:name w:val="Unresolved Mention1"/>
    <w:basedOn w:val="DefaultParagraphFont"/>
    <w:uiPriority w:val="99"/>
    <w:semiHidden/>
    <w:unhideWhenUsed/>
    <w:rsid w:val="00DB4495"/>
    <w:rPr>
      <w:color w:val="605E5C"/>
      <w:shd w:val="clear" w:color="auto" w:fill="E1DFDD"/>
    </w:rPr>
  </w:style>
  <w:style w:type="table" w:styleId="TableGrid">
    <w:name w:val="Table Grid"/>
    <w:basedOn w:val="TableNormal"/>
    <w:uiPriority w:val="39"/>
    <w:rsid w:val="00DB4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ihi.ca/en/nacrs-emergency-department-visits-and-lengths-of-stay"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20</Pages>
  <Words>5027</Words>
  <Characters>28659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7</cp:revision>
  <dcterms:created xsi:type="dcterms:W3CDTF">2026-05-02T14:28:00Z</dcterms:created>
  <dcterms:modified xsi:type="dcterms:W3CDTF">2026-05-13T06:00:00Z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44408be7-8c76-4871-abd9-ca70e61e313d</vt:lpwstr>
  </property>
</Properties>
</file>