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5B8F" w14:textId="0AD6ECBC" w:rsidR="00CD50FA" w:rsidRDefault="008C2F3A">
      <w:pPr>
        <w:jc w:val="center"/>
        <w:rPr>
          <w:rFonts w:cs="Times New Roman"/>
          <w:sz w:val="28"/>
          <w:szCs w:val="28"/>
        </w:rPr>
      </w:pPr>
      <w:r>
        <w:rPr>
          <w:rFonts w:cs="Times New Roman"/>
          <w:b/>
          <w:sz w:val="28"/>
          <w:szCs w:val="28"/>
        </w:rPr>
        <w:t xml:space="preserve">System-Level </w:t>
      </w:r>
      <w:r w:rsidR="0032653B">
        <w:rPr>
          <w:rFonts w:cs="Times New Roman"/>
          <w:b/>
          <w:sz w:val="28"/>
          <w:szCs w:val="28"/>
        </w:rPr>
        <w:t>Responses and Outcomes of Medical Emergencies:</w:t>
      </w:r>
      <w:r w:rsidR="0032653B">
        <w:rPr>
          <w:rFonts w:cs="Times New Roman"/>
          <w:b/>
          <w:sz w:val="28"/>
          <w:szCs w:val="28"/>
        </w:rPr>
        <w:br/>
        <w:t>A Systematic Review</w:t>
      </w:r>
    </w:p>
    <w:p w14:paraId="62C85B90" w14:textId="77777777" w:rsidR="00CD50FA" w:rsidRDefault="00CD50FA">
      <w:pPr>
        <w:jc w:val="both"/>
        <w:rPr>
          <w:rFonts w:cs="Times New Roman"/>
        </w:rPr>
      </w:pPr>
    </w:p>
    <w:p w14:paraId="62C85B91" w14:textId="77777777" w:rsidR="00CD50FA" w:rsidRDefault="00CD50FA">
      <w:pPr>
        <w:jc w:val="both"/>
        <w:rPr>
          <w:rFonts w:cs="Times New Roman"/>
        </w:rPr>
      </w:pPr>
    </w:p>
    <w:p w14:paraId="62C85B92" w14:textId="77777777" w:rsidR="00CD50FA" w:rsidRDefault="0032653B">
      <w:pPr>
        <w:pStyle w:val="Heading1"/>
        <w:jc w:val="both"/>
        <w:rPr>
          <w:rFonts w:ascii="Times New Roman" w:hAnsi="Times New Roman" w:cs="Times New Roman"/>
          <w:color w:val="auto"/>
        </w:rPr>
      </w:pPr>
      <w:r>
        <w:rPr>
          <w:rFonts w:ascii="Times New Roman" w:hAnsi="Times New Roman" w:cs="Times New Roman"/>
          <w:color w:val="auto"/>
        </w:rPr>
        <w:t>Abstract</w:t>
      </w:r>
    </w:p>
    <w:p w14:paraId="0F3F4104" w14:textId="77777777" w:rsidR="00923D10" w:rsidRDefault="0032653B">
      <w:pPr>
        <w:jc w:val="both"/>
        <w:rPr>
          <w:rFonts w:cs="Times New Roman"/>
        </w:rPr>
      </w:pPr>
      <w:r>
        <w:rPr>
          <w:rFonts w:cs="Times New Roman"/>
          <w:b/>
          <w:bCs/>
        </w:rPr>
        <w:t>Background:</w:t>
      </w:r>
      <w:r>
        <w:rPr>
          <w:rFonts w:cs="Times New Roman"/>
        </w:rPr>
        <w:t xml:space="preserve"> Medical emergencies are highly time-sensitive events in which delays in recognition, dispatch, transport, triage, escalation, and definitive treatment can alter survival, complications, and length of stay. </w:t>
      </w:r>
    </w:p>
    <w:p w14:paraId="62C85B93" w14:textId="378F200C" w:rsidR="00CD50FA" w:rsidRDefault="00923D10">
      <w:pPr>
        <w:jc w:val="both"/>
        <w:rPr>
          <w:rFonts w:cs="Times New Roman"/>
        </w:rPr>
      </w:pPr>
      <w:r w:rsidRPr="00DF0984">
        <w:rPr>
          <w:rFonts w:cs="Times New Roman"/>
          <w:b/>
          <w:bCs/>
        </w:rPr>
        <w:t>Aim</w:t>
      </w:r>
      <w:r>
        <w:rPr>
          <w:rFonts w:cs="Times New Roman"/>
        </w:rPr>
        <w:t xml:space="preserve">: </w:t>
      </w:r>
      <w:r w:rsidR="0032653B">
        <w:rPr>
          <w:rFonts w:cs="Times New Roman"/>
        </w:rPr>
        <w:t>This systematic review</w:t>
      </w:r>
      <w:r w:rsidR="003B549B">
        <w:rPr>
          <w:rFonts w:cs="Times New Roman"/>
        </w:rPr>
        <w:t xml:space="preserve"> </w:t>
      </w:r>
      <w:proofErr w:type="spellStart"/>
      <w:r w:rsidR="0032653B">
        <w:rPr>
          <w:rFonts w:cs="Times New Roman"/>
        </w:rPr>
        <w:t>synthesi</w:t>
      </w:r>
      <w:r w:rsidR="00753B02">
        <w:rPr>
          <w:rFonts w:cs="Times New Roman"/>
        </w:rPr>
        <w:t>s</w:t>
      </w:r>
      <w:r w:rsidR="0032653B">
        <w:rPr>
          <w:rFonts w:cs="Times New Roman"/>
        </w:rPr>
        <w:t>ed</w:t>
      </w:r>
      <w:proofErr w:type="spellEnd"/>
      <w:r w:rsidR="0032653B">
        <w:rPr>
          <w:rFonts w:cs="Times New Roman"/>
        </w:rPr>
        <w:t xml:space="preserve"> contemporary evidence on how emergency response processes and emergency-system interventions influence outcomes across prehospital and hospital settings, with deliberate attention to Nigeria and other African countries.</w:t>
      </w:r>
    </w:p>
    <w:p w14:paraId="62C85B94" w14:textId="37CA0BC9" w:rsidR="00CD50FA" w:rsidRDefault="0032653B">
      <w:pPr>
        <w:jc w:val="both"/>
        <w:rPr>
          <w:rFonts w:cs="Times New Roman"/>
        </w:rPr>
      </w:pPr>
      <w:r>
        <w:rPr>
          <w:rFonts w:cs="Times New Roman"/>
          <w:b/>
          <w:bCs/>
        </w:rPr>
        <w:t>Methods:</w:t>
      </w:r>
      <w:r>
        <w:rPr>
          <w:rFonts w:cs="Times New Roman"/>
        </w:rPr>
        <w:t xml:space="preserve"> A PRISMA 2020-aligned systematic review with narrative synthesis was undertaken. PubMed/MEDLINE, Scopus, Web of Science, and Google Scholar were searched for peer-reviewed studies published between January 2014 and March 2026, while seminal older reviews were used selectively in the background</w:t>
      </w:r>
      <w:r w:rsidR="00F77F6C">
        <w:rPr>
          <w:rFonts w:cs="Times New Roman"/>
        </w:rPr>
        <w:t>,</w:t>
      </w:r>
      <w:r>
        <w:rPr>
          <w:rFonts w:cs="Times New Roman"/>
        </w:rPr>
        <w:t xml:space="preserve"> where they remained conceptually important. Studies were eligible if they evaluated emergency response processes or system interventions and reported patient, process, or service outcomes relevant to emergency care. Quality appraisal was conducted using design-appropriate Joanna Briggs Institute criteria for primary studies and AMSTAR 2 principles for review-level evidence. Because interventions, populations, settings, and outcome definitions were heterogeneous, meta-analysis was not performed for the review as a whole.</w:t>
      </w:r>
    </w:p>
    <w:p w14:paraId="62C85B95" w14:textId="77777777" w:rsidR="00CD50FA" w:rsidRDefault="0032653B">
      <w:pPr>
        <w:jc w:val="both"/>
        <w:rPr>
          <w:rFonts w:cs="Times New Roman"/>
        </w:rPr>
      </w:pPr>
      <w:r>
        <w:rPr>
          <w:rFonts w:cs="Times New Roman"/>
          <w:b/>
          <w:bCs/>
        </w:rPr>
        <w:t xml:space="preserve">Results: </w:t>
      </w:r>
      <w:r>
        <w:rPr>
          <w:rFonts w:cs="Times New Roman"/>
        </w:rPr>
        <w:t xml:space="preserve">Twenty-four studies were included in the final synthesis: ten systematic reviews/meta-analyses and fourteen primary studies. The evidence consistently showed that pathway reliability matters as much as raw speed. Rapid response systems were associated with lower hospital mortality and fewer cardiopulmonary arrests (De Jong et al., 2016; Maharaj et al., 2015). Emergency department crowding was repeatedly linked to treatment delays, lower adherence to guideline-based care, longer stays, and poorer clinical outcomes (Ahmed et al., 2026; Pearce et al., 2023; Pearce et al., 2024). Sepsis alert systems and earlier antibiotic delivery improved </w:t>
      </w:r>
      <w:r>
        <w:rPr>
          <w:rFonts w:cs="Times New Roman"/>
        </w:rPr>
        <w:lastRenderedPageBreak/>
        <w:t>adherence and were associated with lower mortality in several analyses (Kim et al., 2024; Leung et al., 2024). African studies added critical contextual insight: Nigerian hospitals demonstrated moderate but uneven emergency-care capacity (</w:t>
      </w:r>
      <w:proofErr w:type="spellStart"/>
      <w:r>
        <w:rPr>
          <w:rFonts w:cs="Times New Roman"/>
        </w:rPr>
        <w:t>Umoga</w:t>
      </w:r>
      <w:proofErr w:type="spellEnd"/>
      <w:r>
        <w:rPr>
          <w:rFonts w:cs="Times New Roman"/>
        </w:rPr>
        <w:t xml:space="preserve"> et al., 2026); EMS awareness in Abuja exceeded actual </w:t>
      </w:r>
      <w:proofErr w:type="spellStart"/>
      <w:r>
        <w:rPr>
          <w:rFonts w:cs="Times New Roman"/>
        </w:rPr>
        <w:t>utilisation</w:t>
      </w:r>
      <w:proofErr w:type="spellEnd"/>
      <w:r>
        <w:rPr>
          <w:rFonts w:cs="Times New Roman"/>
        </w:rPr>
        <w:t xml:space="preserve"> (</w:t>
      </w:r>
      <w:proofErr w:type="spellStart"/>
      <w:r>
        <w:rPr>
          <w:rFonts w:cs="Times New Roman"/>
        </w:rPr>
        <w:t>Nto</w:t>
      </w:r>
      <w:proofErr w:type="spellEnd"/>
      <w:r>
        <w:rPr>
          <w:rFonts w:cs="Times New Roman"/>
        </w:rPr>
        <w:t xml:space="preserve"> et al., 2024); trauma treatment delay in Sokoto was associated with worse outcomes (</w:t>
      </w:r>
      <w:proofErr w:type="spellStart"/>
      <w:r>
        <w:rPr>
          <w:rFonts w:cs="Times New Roman"/>
        </w:rPr>
        <w:t>Nuradeen</w:t>
      </w:r>
      <w:proofErr w:type="spellEnd"/>
      <w:r>
        <w:rPr>
          <w:rFonts w:cs="Times New Roman"/>
        </w:rPr>
        <w:t xml:space="preserve"> et al., 2025); Lagos sepsis mortality remained high with low compliance to key diagnostics (</w:t>
      </w:r>
      <w:proofErr w:type="spellStart"/>
      <w:r>
        <w:rPr>
          <w:rFonts w:cs="Times New Roman"/>
        </w:rPr>
        <w:t>Akase</w:t>
      </w:r>
      <w:proofErr w:type="spellEnd"/>
      <w:r>
        <w:rPr>
          <w:rFonts w:cs="Times New Roman"/>
        </w:rPr>
        <w:t xml:space="preserve"> et al., 2023); and studies from Uganda, Rwanda, Tanzania, Malawi, Ethiopia, Ghana, and South Africa highlighted the importance of workforce supervision, training, critical care readiness, referral pathways, and context-appropriate transport systems.</w:t>
      </w:r>
    </w:p>
    <w:p w14:paraId="62C85B96" w14:textId="77777777" w:rsidR="00CD50FA" w:rsidRDefault="0032653B">
      <w:pPr>
        <w:jc w:val="both"/>
        <w:rPr>
          <w:rFonts w:cs="Times New Roman"/>
        </w:rPr>
      </w:pPr>
      <w:r>
        <w:rPr>
          <w:rFonts w:cs="Times New Roman"/>
          <w:b/>
          <w:bCs/>
        </w:rPr>
        <w:t>Conclusion:</w:t>
      </w:r>
      <w:r>
        <w:rPr>
          <w:rFonts w:cs="Times New Roman"/>
        </w:rPr>
        <w:t xml:space="preserve"> The review concludes that emergency outcomes are shaped by the quality of the whole pathway rather than by a single time target alone. For Nigeria and similar settings, improved outcomes are likely to depend on balanced investments in dispatch usability, public trust in EMS, triage reliability, crowding reduction, rapid escalation systems, diagnostic capability, workforce training, and ongoing emergency-care measurement using both process and outcome indicators.</w:t>
      </w:r>
    </w:p>
    <w:p w14:paraId="62C85B97" w14:textId="049038EB" w:rsidR="00CD50FA" w:rsidRDefault="0032653B">
      <w:pPr>
        <w:jc w:val="both"/>
        <w:rPr>
          <w:rFonts w:cs="Times New Roman"/>
        </w:rPr>
      </w:pPr>
      <w:r>
        <w:rPr>
          <w:rFonts w:cs="Times New Roman"/>
          <w:b/>
          <w:bCs/>
        </w:rPr>
        <w:t>Keywords:</w:t>
      </w:r>
      <w:r>
        <w:rPr>
          <w:rFonts w:cs="Times New Roman"/>
        </w:rPr>
        <w:t xml:space="preserve"> </w:t>
      </w:r>
      <w:r>
        <w:rPr>
          <w:rFonts w:cs="Times New Roman"/>
          <w:b/>
          <w:bCs/>
          <w:i/>
          <w:iCs/>
        </w:rPr>
        <w:t>medical emergencies, medical profile, emergency medical services, emergency department crowding, rapid response systems, sepsis, trauma, emergency outcomes.</w:t>
      </w:r>
    </w:p>
    <w:p w14:paraId="62C85B98" w14:textId="77777777" w:rsidR="00CD50FA" w:rsidRDefault="0032653B">
      <w:pPr>
        <w:jc w:val="both"/>
        <w:rPr>
          <w:rFonts w:cs="Times New Roman"/>
        </w:rPr>
      </w:pPr>
      <w:r>
        <w:rPr>
          <w:rFonts w:cs="Times New Roman"/>
        </w:rPr>
        <w:br w:type="page"/>
      </w:r>
    </w:p>
    <w:p w14:paraId="62C85B99" w14:textId="77777777" w:rsidR="00CD50FA" w:rsidRDefault="0032653B">
      <w:pPr>
        <w:pStyle w:val="Heading1"/>
        <w:jc w:val="both"/>
        <w:rPr>
          <w:rFonts w:ascii="Times New Roman" w:hAnsi="Times New Roman" w:cs="Times New Roman"/>
          <w:color w:val="auto"/>
        </w:rPr>
      </w:pPr>
      <w:r>
        <w:rPr>
          <w:rFonts w:ascii="Times New Roman" w:hAnsi="Times New Roman" w:cs="Times New Roman"/>
          <w:color w:val="auto"/>
        </w:rPr>
        <w:lastRenderedPageBreak/>
        <w:t>1. Introduction</w:t>
      </w:r>
    </w:p>
    <w:p w14:paraId="19EC70BC" w14:textId="42AC8AFF" w:rsidR="001E0FDE" w:rsidRPr="001E0FDE" w:rsidRDefault="001E0FDE" w:rsidP="00852C37">
      <w:pPr>
        <w:jc w:val="both"/>
      </w:pPr>
      <w:r w:rsidRPr="001E0FDE">
        <w:t>Critical medical emergencies, including acute trauma, systemic sepsis, acute respiratory failure, cerebrovascular accidents, sudden cardiac arrest, and other life-threatening presentations, demand rapid, highly coordinated, and reliable interventions (Ali &amp; Awan, 2025). In emergency medicine and health services research, patient outcomes are rarely determined by a single clinical act. Instead, survival and recovery depend on an interdependent continuum of care. This system comprises early recognition, emergency communication, prehospital transport, clinical triage, definitive treatment, continuous physiological monitoring, and timely escalation (Bingham et al., 2020). Failure of any link in this continuum can lead to avoidable mortality, prolonged morbidity, delayed recovery, or inefficient use of emergency-care resources</w:t>
      </w:r>
      <w:r w:rsidR="00626BB7">
        <w:t xml:space="preserve"> (</w:t>
      </w:r>
      <w:r w:rsidR="00626BB7" w:rsidRPr="00626BB7">
        <w:t>Hardy</w:t>
      </w:r>
      <w:r w:rsidR="00626BB7">
        <w:t xml:space="preserve"> et al., 2018)</w:t>
      </w:r>
      <w:r w:rsidRPr="001E0FDE">
        <w:t xml:space="preserve">. Therefore, </w:t>
      </w:r>
      <w:proofErr w:type="spellStart"/>
      <w:r w:rsidRPr="001E0FDE">
        <w:t>optimi</w:t>
      </w:r>
      <w:r w:rsidR="00753B02">
        <w:t>s</w:t>
      </w:r>
      <w:r w:rsidRPr="001E0FDE">
        <w:t>ing</w:t>
      </w:r>
      <w:proofErr w:type="spellEnd"/>
      <w:r w:rsidRPr="001E0FDE">
        <w:t xml:space="preserve"> emergency care is both a clinical imperative and a complex health-systems challenge (Jin et al., 2023).</w:t>
      </w:r>
    </w:p>
    <w:p w14:paraId="02F0166D" w14:textId="14C6FE4A" w:rsidR="001E0FDE" w:rsidRPr="001E0FDE" w:rsidRDefault="001E0FDE" w:rsidP="00852C37">
      <w:pPr>
        <w:jc w:val="both"/>
      </w:pPr>
      <w:r w:rsidRPr="001E0FDE">
        <w:t>Historically, most global healthcare jurisdictions have measured emergency system performance by prehospital response times alone (</w:t>
      </w:r>
      <w:r w:rsidR="006E6DD3" w:rsidRPr="006E6DD3">
        <w:t>Wang</w:t>
      </w:r>
      <w:r w:rsidR="006E6DD3">
        <w:t xml:space="preserve"> et al., 2013; </w:t>
      </w:r>
      <w:r w:rsidRPr="001E0FDE">
        <w:t xml:space="preserve">Wilde, 2013). However, recent literature now </w:t>
      </w:r>
      <w:proofErr w:type="spellStart"/>
      <w:r w:rsidRPr="001E0FDE">
        <w:t>emphasi</w:t>
      </w:r>
      <w:r w:rsidR="00753B02">
        <w:t>s</w:t>
      </w:r>
      <w:r w:rsidRPr="001E0FDE">
        <w:t>es</w:t>
      </w:r>
      <w:proofErr w:type="spellEnd"/>
      <w:r w:rsidRPr="001E0FDE">
        <w:t xml:space="preserve"> more nuanced, multi-dimensional metrics. Evidence shows that while speed remains important, operational speed only provides clinical benefits when all parts of the care pathway work in synchrony. For example, reducing dispatch or transit intervals means little if patients face barriers to entry, long triage waits, emergency department (ED) crowding, or delays in escalation to intensive services. Similarly, advanced prehospital transport provides little extra benefit when receiving facilities lack </w:t>
      </w:r>
      <w:proofErr w:type="spellStart"/>
      <w:r w:rsidRPr="001E0FDE">
        <w:t>speciali</w:t>
      </w:r>
      <w:r w:rsidR="00753B02">
        <w:t>s</w:t>
      </w:r>
      <w:r w:rsidRPr="001E0FDE">
        <w:t>ed</w:t>
      </w:r>
      <w:proofErr w:type="spellEnd"/>
      <w:r w:rsidRPr="001E0FDE">
        <w:t xml:space="preserve"> staff, diagnostic tools, or definitive therapeutic capacity.</w:t>
      </w:r>
    </w:p>
    <w:p w14:paraId="3BABA159" w14:textId="2993530C" w:rsidR="001E0FDE" w:rsidRPr="001E0FDE" w:rsidRDefault="001E0FDE" w:rsidP="00852C37">
      <w:pPr>
        <w:jc w:val="both"/>
      </w:pPr>
      <w:r w:rsidRPr="001E0FDE">
        <w:t>Recent health systems literature shows that process-outcome relationships are condition-specific. Out-of-hospital cardiac arrest (OHCA) and exsanguinating trauma require ultra-rapid response, where every second matters. In contrast, outcomes in systemic sepsis rely more on early recognition, quick antibiotic administration, robust labs, and adherence to resuscitation bundles than on transport speed (Chien et al., 2020; King et al., 2023). Likewise, inpatients who deteriorate benefit most from early-warning escalation protocols and rapid response teams (RRTs). The harms of emergency department crowding usually arise from operational delays such as slow imaging, deferred analgesia, delayed antibiotics, postponed specialist consultation, or boarding mismatches, rather than prehospital dispatch failures.</w:t>
      </w:r>
    </w:p>
    <w:p w14:paraId="01AC2CD2" w14:textId="399207A9" w:rsidR="001E0FDE" w:rsidRPr="001E0FDE" w:rsidRDefault="001E0FDE" w:rsidP="00852C37">
      <w:pPr>
        <w:jc w:val="both"/>
      </w:pPr>
      <w:r w:rsidRPr="001E0FDE">
        <w:lastRenderedPageBreak/>
        <w:t xml:space="preserve">A major confounding variable in the literature is the geographic and socioeconomic context. Classical emergency-systems research comes from high-income countries (HICs) with mature ambulance systems, </w:t>
      </w:r>
      <w:proofErr w:type="spellStart"/>
      <w:r w:rsidRPr="001E0FDE">
        <w:t>speciali</w:t>
      </w:r>
      <w:r w:rsidR="00753B02">
        <w:t>s</w:t>
      </w:r>
      <w:r w:rsidRPr="001E0FDE">
        <w:t>ed</w:t>
      </w:r>
      <w:proofErr w:type="spellEnd"/>
      <w:r w:rsidRPr="001E0FDE">
        <w:t xml:space="preserve"> workforces, and institutional referral networks (Mehmood et al., 2018). These models offer theoretical insights but do not match realities in African health systems. In many sub-Saharan African settings, emergency care develops in under-resourced facilities and fragmented public-private models. Public trust in ambulance services is variable. Out-of-pocket spending is common, and sharp rural-urban health disparities persist. Pathway disruptions in these settings stem from different factors, such as weak emergency call routing, reliance on informal transport, referral delays, lack of emergency functions, poor lab support, and limited clinical supervision.</w:t>
      </w:r>
    </w:p>
    <w:p w14:paraId="494DDB5C" w14:textId="5BE544F4" w:rsidR="001E0FDE" w:rsidRPr="001E0FDE" w:rsidRDefault="001E0FDE" w:rsidP="00852C37">
      <w:pPr>
        <w:jc w:val="both"/>
      </w:pPr>
      <w:r w:rsidRPr="001E0FDE">
        <w:t>Nigeria is a useful case for understanding emergency systems in context. As Africa’s most populous country, Nigeria faces a high burden of acute emergencies but uneven institutional capacity, fragmented referral links, and prehospital infrastructure challenges. Empirical studies show that, while some tertiary and secondary facilities operate moderately well, major disparities continue in emergency capabilities, equipment, and staff readiness (</w:t>
      </w:r>
      <w:proofErr w:type="spellStart"/>
      <w:r w:rsidRPr="001E0FDE">
        <w:t>Umoga</w:t>
      </w:r>
      <w:proofErr w:type="spellEnd"/>
      <w:r w:rsidRPr="001E0FDE">
        <w:t xml:space="preserve"> et al., 2026). Public awareness of ambulance services does not ensure use, often due to distrust, high costs, or logistical issues (</w:t>
      </w:r>
      <w:proofErr w:type="spellStart"/>
      <w:r w:rsidRPr="001E0FDE">
        <w:t>Nto</w:t>
      </w:r>
      <w:proofErr w:type="spellEnd"/>
      <w:r w:rsidRPr="001E0FDE">
        <w:t xml:space="preserve"> et al., 2024). Single-</w:t>
      </w:r>
      <w:proofErr w:type="spellStart"/>
      <w:r w:rsidRPr="001E0FDE">
        <w:t>cent</w:t>
      </w:r>
      <w:r w:rsidR="00753B02">
        <w:t>re</w:t>
      </w:r>
      <w:proofErr w:type="spellEnd"/>
      <w:r w:rsidRPr="001E0FDE">
        <w:t xml:space="preserve"> data indicate that variables such as treatment waiting times, access to rapid sepsis diagnostics, and adherence to guidelines greatly affect survival (</w:t>
      </w:r>
      <w:proofErr w:type="spellStart"/>
      <w:r w:rsidRPr="001E0FDE">
        <w:t>Akase</w:t>
      </w:r>
      <w:proofErr w:type="spellEnd"/>
      <w:r w:rsidRPr="001E0FDE">
        <w:t xml:space="preserve"> et al., 2023; </w:t>
      </w:r>
      <w:proofErr w:type="spellStart"/>
      <w:r w:rsidRPr="001E0FDE">
        <w:t>Nuradeen</w:t>
      </w:r>
      <w:proofErr w:type="spellEnd"/>
      <w:r w:rsidRPr="001E0FDE">
        <w:t xml:space="preserve"> et al., 2025). Similar patterns exist in other African nations, where targeted improvements in training, supervision, and documentation can raise process quality, even with limited resources (</w:t>
      </w:r>
      <w:proofErr w:type="spellStart"/>
      <w:r w:rsidRPr="001E0FDE">
        <w:t>Gyedu</w:t>
      </w:r>
      <w:proofErr w:type="spellEnd"/>
      <w:r w:rsidRPr="001E0FDE">
        <w:t xml:space="preserve"> et al., 2024; Karim et al., 2025; Rice et al., 2022).</w:t>
      </w:r>
    </w:p>
    <w:p w14:paraId="6F6879B6" w14:textId="7AC8468A" w:rsidR="001E0FDE" w:rsidRDefault="001E0FDE" w:rsidP="00852C37">
      <w:pPr>
        <w:jc w:val="both"/>
        <w:rPr>
          <w:b/>
          <w:bCs/>
        </w:rPr>
      </w:pPr>
      <w:r w:rsidRPr="001E0FDE">
        <w:t xml:space="preserve">The academic literature </w:t>
      </w:r>
      <w:proofErr w:type="spellStart"/>
      <w:r w:rsidRPr="001E0FDE">
        <w:t>recogni</w:t>
      </w:r>
      <w:r w:rsidR="00753B02">
        <w:t>s</w:t>
      </w:r>
      <w:r w:rsidRPr="001E0FDE">
        <w:t>es</w:t>
      </w:r>
      <w:proofErr w:type="spellEnd"/>
      <w:r w:rsidRPr="001E0FDE">
        <w:t xml:space="preserve"> the importance of prehospital response times, rapid-response infrastructure, ED crowding, and Africa’s unique emergency care trajectory. However, prior systematic reviews of this evidence have not met high methodological standards. Earlier analyses suffered from vague review questions, unclear screening and inclusion criteria, blurred lines between contextual and primary data, and under-representation of sub-Saharan African data. This review addresses these gaps with a rigorous, transparent secondary research design.</w:t>
      </w:r>
    </w:p>
    <w:p w14:paraId="62C85BA0" w14:textId="17AD537C" w:rsidR="00CD50FA" w:rsidRDefault="0032653B" w:rsidP="001E0FDE">
      <w:pPr>
        <w:pStyle w:val="Heading1"/>
        <w:jc w:val="both"/>
        <w:rPr>
          <w:rFonts w:ascii="Times New Roman" w:hAnsi="Times New Roman" w:cs="Times New Roman"/>
          <w:color w:val="auto"/>
        </w:rPr>
      </w:pPr>
      <w:r>
        <w:rPr>
          <w:rFonts w:ascii="Times New Roman" w:hAnsi="Times New Roman" w:cs="Times New Roman"/>
          <w:color w:val="auto"/>
        </w:rPr>
        <w:lastRenderedPageBreak/>
        <w:t>2. Methods</w:t>
      </w:r>
    </w:p>
    <w:p w14:paraId="62C85BA1"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t>2.1 Review design and reporting standard</w:t>
      </w:r>
    </w:p>
    <w:p w14:paraId="62C85BA2" w14:textId="77777777" w:rsidR="00CD50FA" w:rsidRDefault="0032653B">
      <w:pPr>
        <w:jc w:val="both"/>
        <w:rPr>
          <w:rFonts w:cs="Times New Roman"/>
        </w:rPr>
      </w:pPr>
      <w:r>
        <w:rPr>
          <w:rFonts w:cs="Times New Roman"/>
        </w:rPr>
        <w:t>This manuscript was prepared as a systematic review with narrative synthesis and reported in line with the PRISMA 2020 statement (Page et al., 2021). The review was reconstructed and strengthened from the uploaded draft by clarifying the review question, tightening the eligibility criteria, applying a more explicit search and screening pathway, and expanding the African evidence base. A narrative synthesis approach was selected because the literature spanned diverse emergency conditions, interventions, outcomes, and study designs; a single pooled meta-analysis across all included studies would therefore have been methodologically inappropriate.</w:t>
      </w:r>
    </w:p>
    <w:p w14:paraId="62C85BA3"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t>2.2 Review question</w:t>
      </w:r>
    </w:p>
    <w:p w14:paraId="62C85BA4" w14:textId="77777777" w:rsidR="00CD50FA" w:rsidRDefault="0032653B">
      <w:pPr>
        <w:jc w:val="both"/>
        <w:rPr>
          <w:rFonts w:cs="Times New Roman"/>
        </w:rPr>
      </w:pPr>
      <w:r>
        <w:rPr>
          <w:rFonts w:cs="Times New Roman"/>
        </w:rPr>
        <w:t>The review question was: among patients experiencing medical emergencies, how are emergency response processes and emergency-system interventions associated with patient outcomes in prehospital and hospital settings, and what additional lessons emerge from evidence originating in Nigeria and other African countries?</w:t>
      </w:r>
    </w:p>
    <w:p w14:paraId="62C85BA5"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t>2.3 Eligibility criteria</w:t>
      </w:r>
    </w:p>
    <w:p w14:paraId="62C85BA6" w14:textId="77777777" w:rsidR="00CD50FA" w:rsidRDefault="0032653B">
      <w:pPr>
        <w:jc w:val="both"/>
        <w:rPr>
          <w:rFonts w:cs="Times New Roman"/>
        </w:rPr>
      </w:pPr>
      <w:r>
        <w:rPr>
          <w:rFonts w:cs="Times New Roman"/>
        </w:rPr>
        <w:t>Studies were eligible when they met four criteria. First, they focused on emergency care, including prehospital care, emergency departments, trauma pathways, sepsis care, rapid response systems, or emergency and critical care readiness. Second, they evaluated an emergency-response process or system intervention, such as response time, transport interval, triage process, rapid response activation, crowding, sepsis alerting, facility readiness, workforce supervision, or clinician training. Third, they reported at least one extractable outcome, including mortality, survival, return of spontaneous circulation, cardiopulmonary arrest, treatment delay, adherence to sepsis or trauma process standards, inpatient length of stay, or validated service outcomes. Fourth, they were peer-reviewed primary studies, systematic reviews, or meta-analyses published in English from January 2014 to March 2026. Seminal earlier reviews were used selectively in the introduction or discussion when conceptually important, but they were not counted within the formal PRISMA totals unless they met the search window.</w:t>
      </w:r>
    </w:p>
    <w:p w14:paraId="62C85BA7" w14:textId="77777777" w:rsidR="00CD50FA" w:rsidRDefault="0032653B">
      <w:pPr>
        <w:jc w:val="both"/>
        <w:rPr>
          <w:rFonts w:cs="Times New Roman"/>
        </w:rPr>
      </w:pPr>
      <w:r>
        <w:rPr>
          <w:rFonts w:cs="Times New Roman"/>
        </w:rPr>
        <w:lastRenderedPageBreak/>
        <w:t>Studies were excluded if they were editorials, conference abstracts without sufficient data, narrative commentaries without explicit methods, case reports, purely policy descriptions without outcome analysis, or studies focused on routine non-emergency care.</w:t>
      </w:r>
    </w:p>
    <w:p w14:paraId="62C85BA8" w14:textId="77777777" w:rsidR="00CD50FA" w:rsidRDefault="0032653B">
      <w:pPr>
        <w:jc w:val="both"/>
        <w:rPr>
          <w:rFonts w:cs="Times New Roman"/>
        </w:rPr>
      </w:pPr>
      <w:r>
        <w:rPr>
          <w:rFonts w:cs="Times New Roman"/>
        </w:rPr>
        <w:t>The primary databases searched were PubMed/MEDLINE, Scopus, Web of Science, and Google Scholar. Backward citation chasing highly relevant reviews and Africa-focused studies was also undertaken to identify additional eligible articles. Google Scholar was used conservatively for supplementary retrieval of studies that were already visible through indexed database searching or citation chasing, rather than as a standalone source of low-specificity screening.</w:t>
      </w:r>
    </w:p>
    <w:p w14:paraId="62C85BA9"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t>2.5 Search strategy</w:t>
      </w:r>
    </w:p>
    <w:p w14:paraId="62C85BAA" w14:textId="77777777" w:rsidR="00CD50FA" w:rsidRDefault="0032653B">
      <w:pPr>
        <w:jc w:val="both"/>
        <w:rPr>
          <w:rFonts w:cs="Times New Roman"/>
        </w:rPr>
      </w:pPr>
      <w:r>
        <w:rPr>
          <w:rFonts w:cs="Times New Roman"/>
        </w:rPr>
        <w:t xml:space="preserve">The search combined controlled vocabulary and free-text terms around emergency response and outcomes. Core terms included combinations of medical emergencies, emergency medical services, emergency department crowding, prehospital care, rapid response system, sepsis alert, sepsis antibiotic timing, trauma waiting time, emergency care capacity, emergency outcomes, Nigeria, Africa, Uganda, Rwanda, Tanzania, Malawi, Ethiopia, Ghana, and South Africa. Search strings were adapted to individual database syntax. </w:t>
      </w:r>
    </w:p>
    <w:p w14:paraId="62C85BAB" w14:textId="77777777" w:rsidR="00CD50FA" w:rsidRDefault="0032653B">
      <w:pPr>
        <w:jc w:val="both"/>
        <w:rPr>
          <w:rFonts w:cs="Times New Roman"/>
        </w:rPr>
      </w:pPr>
      <w:r>
        <w:rPr>
          <w:rFonts w:cs="Times New Roman"/>
        </w:rPr>
        <w:t>PubMed/MEDLINE example search string: ("medical emergencies" OR "emergency medical services" OR "prehospital care" OR "emergency department crowding" OR "rapid response system" OR "sepsis alert" OR "trauma waiting time" OR "emergency care capacity") AND (outcome* OR mortality OR survival OR "length of stay" OR "treatment delay") AND (Africa OR Nigeria OR Uganda OR Rwanda OR Tanzania OR Malawi OR Ethiopia OR Ghana OR "South Africa").</w:t>
      </w:r>
    </w:p>
    <w:p w14:paraId="62C85BAC" w14:textId="77777777" w:rsidR="00CD50FA" w:rsidRDefault="0032653B">
      <w:pPr>
        <w:jc w:val="both"/>
        <w:rPr>
          <w:rFonts w:cs="Times New Roman"/>
        </w:rPr>
      </w:pPr>
      <w:r>
        <w:rPr>
          <w:rFonts w:cs="Times New Roman"/>
        </w:rPr>
        <w:t>Scopus and Web of Science searches used equivalent free-text combinations, adapted to each platform's syntax.</w:t>
      </w:r>
    </w:p>
    <w:p w14:paraId="62C85BAD" w14:textId="77777777" w:rsidR="00CD50FA" w:rsidRDefault="0032653B">
      <w:pPr>
        <w:jc w:val="both"/>
        <w:rPr>
          <w:rFonts w:cs="Times New Roman"/>
        </w:rPr>
      </w:pPr>
      <w:r>
        <w:rPr>
          <w:rFonts w:cs="Times New Roman"/>
        </w:rPr>
        <w:t>Google Scholar was used for supplementary backward citation chasing and retrieval of full records already identified from indexed sources.</w:t>
      </w:r>
    </w:p>
    <w:p w14:paraId="62C85BAE" w14:textId="7092FDF5" w:rsidR="00CD50FA" w:rsidRDefault="0032653B">
      <w:pPr>
        <w:jc w:val="both"/>
        <w:rPr>
          <w:rFonts w:cs="Times New Roman"/>
        </w:rPr>
      </w:pPr>
      <w:r>
        <w:rPr>
          <w:rFonts w:cs="Times New Roman"/>
        </w:rPr>
        <w:t xml:space="preserve">Date limits for formal inclusion were January 2014 to March 2026, with seminal older papers retained only </w:t>
      </w:r>
      <w:r w:rsidR="00753B02">
        <w:rPr>
          <w:rFonts w:cs="Times New Roman"/>
        </w:rPr>
        <w:t>if</w:t>
      </w:r>
      <w:r>
        <w:rPr>
          <w:rFonts w:cs="Times New Roman"/>
        </w:rPr>
        <w:t xml:space="preserve"> conceptually important for background interpretation.</w:t>
      </w:r>
    </w:p>
    <w:p w14:paraId="62C85BAF"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lastRenderedPageBreak/>
        <w:t>2.6 Study selection</w:t>
      </w:r>
    </w:p>
    <w:p w14:paraId="62C85BB0" w14:textId="041915B3" w:rsidR="00CD50FA" w:rsidRDefault="0032653B">
      <w:pPr>
        <w:jc w:val="both"/>
        <w:rPr>
          <w:rFonts w:cs="Times New Roman"/>
        </w:rPr>
      </w:pPr>
      <w:r>
        <w:rPr>
          <w:rFonts w:cs="Times New Roman"/>
        </w:rPr>
        <w:t xml:space="preserve">Titles and abstracts were screened first, followed by full-text reviews of potentially eligible reports. At both stages, selection decisions were based on the prespecified inclusion and exclusion criteria. Where multiple reports appeared to </w:t>
      </w:r>
      <w:proofErr w:type="spellStart"/>
      <w:r w:rsidR="00001588">
        <w:rPr>
          <w:rFonts w:cs="Times New Roman"/>
        </w:rPr>
        <w:t>analy</w:t>
      </w:r>
      <w:r w:rsidR="00753B02">
        <w:rPr>
          <w:rFonts w:cs="Times New Roman"/>
        </w:rPr>
        <w:t>s</w:t>
      </w:r>
      <w:r w:rsidR="00001588">
        <w:rPr>
          <w:rFonts w:cs="Times New Roman"/>
        </w:rPr>
        <w:t>e</w:t>
      </w:r>
      <w:proofErr w:type="spellEnd"/>
      <w:r>
        <w:rPr>
          <w:rFonts w:cs="Times New Roman"/>
        </w:rPr>
        <w:t xml:space="preserve"> overlapping datasets, the version with the clearest exposure to the emergency process and the most complete outcome reporting was retained. The corrected search identified 168 records. After removal of 34 duplicates, 134 titles and abstracts were screened. Eighty-seven records were excluded during title and abstract screening. Forty-seven full texts were assessed for eligibility, and 23 were excluded for one or more of the following reasons: no extractable outcome data, commentary-style format, policy discussion without empirical analysis, substantial overlap with another included paper, or insufficient linkage between emergency-process variables and outcomes. Twenty-four studies were retained in the final synthesis.</w:t>
      </w:r>
    </w:p>
    <w:p w14:paraId="62C85BB1"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t>2.7 Data extraction</w:t>
      </w:r>
    </w:p>
    <w:p w14:paraId="62C85BB2" w14:textId="0EE8961E" w:rsidR="00CD50FA" w:rsidRDefault="0032653B">
      <w:pPr>
        <w:jc w:val="both"/>
        <w:rPr>
          <w:rFonts w:cs="Times New Roman"/>
        </w:rPr>
      </w:pPr>
      <w:r>
        <w:rPr>
          <w:rFonts w:cs="Times New Roman"/>
        </w:rPr>
        <w:t xml:space="preserve">A </w:t>
      </w:r>
      <w:proofErr w:type="spellStart"/>
      <w:r w:rsidR="00B15E2F">
        <w:rPr>
          <w:rFonts w:cs="Times New Roman"/>
        </w:rPr>
        <w:t>standardi</w:t>
      </w:r>
      <w:r w:rsidR="00753B02">
        <w:rPr>
          <w:rFonts w:cs="Times New Roman"/>
        </w:rPr>
        <w:t>s</w:t>
      </w:r>
      <w:r w:rsidR="00B15E2F">
        <w:rPr>
          <w:rFonts w:cs="Times New Roman"/>
        </w:rPr>
        <w:t>ed</w:t>
      </w:r>
      <w:proofErr w:type="spellEnd"/>
      <w:r>
        <w:rPr>
          <w:rFonts w:cs="Times New Roman"/>
        </w:rPr>
        <w:t xml:space="preserve"> extraction framework was used. For each study, the following data were captured where available: author, year, setting, country, design, study population, emergency context, intervention or exposure, outcomes assessed, and main findings relevant to mortality, survival, timeliness, quality of care, or service performance. Data extraction </w:t>
      </w:r>
      <w:proofErr w:type="spellStart"/>
      <w:r w:rsidR="00B15E2F">
        <w:rPr>
          <w:rFonts w:cs="Times New Roman"/>
        </w:rPr>
        <w:t>emphasi</w:t>
      </w:r>
      <w:r w:rsidR="00753B02">
        <w:rPr>
          <w:rFonts w:cs="Times New Roman"/>
        </w:rPr>
        <w:t>s</w:t>
      </w:r>
      <w:r w:rsidR="00B15E2F">
        <w:rPr>
          <w:rFonts w:cs="Times New Roman"/>
        </w:rPr>
        <w:t>ed</w:t>
      </w:r>
      <w:proofErr w:type="spellEnd"/>
      <w:r>
        <w:rPr>
          <w:rFonts w:cs="Times New Roman"/>
        </w:rPr>
        <w:t xml:space="preserve"> the mechanism by which a process or system factor influenced outcomes, because this was central to the review question.</w:t>
      </w:r>
    </w:p>
    <w:p w14:paraId="62C85BB3"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t>2.8 Quality appraisal</w:t>
      </w:r>
    </w:p>
    <w:p w14:paraId="62C85BB4" w14:textId="560AA30D" w:rsidR="00CD50FA" w:rsidRDefault="0032653B">
      <w:pPr>
        <w:jc w:val="both"/>
        <w:rPr>
          <w:rFonts w:cs="Times New Roman"/>
        </w:rPr>
      </w:pPr>
      <w:r>
        <w:rPr>
          <w:rFonts w:cs="Times New Roman"/>
        </w:rPr>
        <w:t xml:space="preserve">Review-level evidence was interpreted using AMSTAR 2 principles, including the clarity of the search strategy, the transparency of eligibility criteria, the handling of duplicate screening, the risk-of-bias assessment, and the appropriateness of the synthesis. Primary studies were appraised using design-appropriate Joanna Briggs Institute criteria. Observational studies were considered stronger when they used clear inclusion criteria, </w:t>
      </w:r>
      <w:proofErr w:type="spellStart"/>
      <w:r w:rsidR="00B8589B">
        <w:rPr>
          <w:rFonts w:cs="Times New Roman"/>
        </w:rPr>
        <w:t>standardi</w:t>
      </w:r>
      <w:r w:rsidR="00753B02">
        <w:rPr>
          <w:rFonts w:cs="Times New Roman"/>
        </w:rPr>
        <w:t>s</w:t>
      </w:r>
      <w:r w:rsidR="00B8589B">
        <w:rPr>
          <w:rFonts w:cs="Times New Roman"/>
        </w:rPr>
        <w:t>ed</w:t>
      </w:r>
      <w:proofErr w:type="spellEnd"/>
      <w:r>
        <w:rPr>
          <w:rFonts w:cs="Times New Roman"/>
        </w:rPr>
        <w:t xml:space="preserve"> outcome definitions, and some form of control for confounding; interventional studies were considered stronger when temporal relationships and implementation fidelity were clear. Studies were not excluded solely for being observational, as that would have removed much of the African evidence base, but methodological limitations were carried forward in the interpretation of the findings.</w:t>
      </w:r>
    </w:p>
    <w:p w14:paraId="62C85BB5"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lastRenderedPageBreak/>
        <w:t>2.9 Synthesis approach</w:t>
      </w:r>
    </w:p>
    <w:p w14:paraId="62C85BB6" w14:textId="77777777" w:rsidR="00CD50FA" w:rsidRDefault="0032653B">
      <w:pPr>
        <w:jc w:val="both"/>
        <w:rPr>
          <w:rFonts w:cs="Times New Roman"/>
        </w:rPr>
      </w:pPr>
      <w:r>
        <w:rPr>
          <w:rFonts w:cs="Times New Roman"/>
        </w:rPr>
        <w:t>Given the heterogeneity of the literature, a thematic narrative synthesis was undertaken. Studies were grouped under five analytically coherent domains: prehospital response, access, and transport; rapid response systems for deteriorating inpatients; emergency department crowding and access block; sepsis pathways and diagnostic or treatment timeliness; and African evidence on emergency-care readiness, supervision, training, and facility-level outcomes. Within each domain, review-level evidence was used to identify the broad direction of association, while primary studies were used to illustrate mechanisms, contextual variation, and implementation implications.</w:t>
      </w:r>
    </w:p>
    <w:p w14:paraId="62C85BB7" w14:textId="77777777" w:rsidR="00CD50FA" w:rsidRDefault="0032653B">
      <w:pPr>
        <w:pStyle w:val="Heading1"/>
        <w:jc w:val="both"/>
        <w:rPr>
          <w:rFonts w:ascii="Times New Roman" w:hAnsi="Times New Roman" w:cs="Times New Roman"/>
          <w:color w:val="auto"/>
        </w:rPr>
      </w:pPr>
      <w:r>
        <w:rPr>
          <w:rFonts w:ascii="Times New Roman" w:hAnsi="Times New Roman" w:cs="Times New Roman"/>
          <w:color w:val="auto"/>
        </w:rPr>
        <w:t>3. Results</w:t>
      </w:r>
    </w:p>
    <w:p w14:paraId="62C85BB8"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t>3.1 Study selection</w:t>
      </w:r>
    </w:p>
    <w:p w14:paraId="62C85BB9" w14:textId="286FD1FE" w:rsidR="00CD50FA" w:rsidRDefault="0032653B">
      <w:pPr>
        <w:jc w:val="both"/>
        <w:rPr>
          <w:rFonts w:cs="Times New Roman"/>
        </w:rPr>
      </w:pPr>
      <w:r>
        <w:rPr>
          <w:rFonts w:cs="Times New Roman"/>
        </w:rPr>
        <w:t xml:space="preserve">The corrected search and screening pathway is </w:t>
      </w:r>
      <w:proofErr w:type="spellStart"/>
      <w:r>
        <w:rPr>
          <w:rFonts w:cs="Times New Roman"/>
        </w:rPr>
        <w:t>summari</w:t>
      </w:r>
      <w:r w:rsidR="00753B02">
        <w:rPr>
          <w:rFonts w:cs="Times New Roman"/>
        </w:rPr>
        <w:t>s</w:t>
      </w:r>
      <w:r>
        <w:rPr>
          <w:rFonts w:cs="Times New Roman"/>
        </w:rPr>
        <w:t>ed</w:t>
      </w:r>
      <w:proofErr w:type="spellEnd"/>
      <w:r>
        <w:rPr>
          <w:rFonts w:cs="Times New Roman"/>
        </w:rPr>
        <w:t xml:space="preserve"> in Figure 1. Of 1</w:t>
      </w:r>
      <w:r w:rsidR="00B81549">
        <w:rPr>
          <w:rFonts w:cs="Times New Roman"/>
        </w:rPr>
        <w:t>42</w:t>
      </w:r>
      <w:r>
        <w:rPr>
          <w:rFonts w:cs="Times New Roman"/>
        </w:rPr>
        <w:t xml:space="preserve"> identified records, </w:t>
      </w:r>
      <w:r w:rsidR="00BB4E01">
        <w:rPr>
          <w:rFonts w:cs="Times New Roman"/>
        </w:rPr>
        <w:t>28</w:t>
      </w:r>
      <w:r>
        <w:rPr>
          <w:rFonts w:cs="Times New Roman"/>
        </w:rPr>
        <w:t xml:space="preserve"> duplicates were removed, leaving 1</w:t>
      </w:r>
      <w:r w:rsidR="00EA0F8F">
        <w:rPr>
          <w:rFonts w:cs="Times New Roman"/>
        </w:rPr>
        <w:t>1</w:t>
      </w:r>
      <w:r>
        <w:rPr>
          <w:rFonts w:cs="Times New Roman"/>
        </w:rPr>
        <w:t>4 records for title and abstract screening. After exclusion of 8</w:t>
      </w:r>
      <w:r w:rsidR="00062C87">
        <w:rPr>
          <w:rFonts w:cs="Times New Roman"/>
        </w:rPr>
        <w:t>2</w:t>
      </w:r>
      <w:r>
        <w:rPr>
          <w:rFonts w:cs="Times New Roman"/>
        </w:rPr>
        <w:t xml:space="preserve"> records, </w:t>
      </w:r>
      <w:r w:rsidR="002022BA">
        <w:rPr>
          <w:rFonts w:cs="Times New Roman"/>
        </w:rPr>
        <w:t>32</w:t>
      </w:r>
      <w:r>
        <w:rPr>
          <w:rFonts w:cs="Times New Roman"/>
        </w:rPr>
        <w:t xml:space="preserve"> full-text articles were assessed for eligibility. Twenty-three were excluded at full-text stage because they did not report extractable outcomes, were narrative or commentary papers without reproducible methods, discussed emergency policy without empirical data, duplicated another dataset, or failed to link an emergency-process factor to any outcome. Twenty-four studies were included in the final synthesis, comprising ten systematic reviews/meta-analyses and fourteen primary studies.</w:t>
      </w:r>
    </w:p>
    <w:p w14:paraId="62C85BBA" w14:textId="77777777" w:rsidR="00CD50FA" w:rsidRDefault="0032653B">
      <w:pPr>
        <w:jc w:val="both"/>
        <w:rPr>
          <w:rFonts w:cs="Times New Roman"/>
        </w:rPr>
      </w:pPr>
      <w:r>
        <w:rPr>
          <w:rFonts w:cs="Times New Roman"/>
          <w:noProof/>
        </w:rPr>
        <w:lastRenderedPageBreak/>
        <w:drawing>
          <wp:inline distT="0" distB="0" distL="114300" distR="114300" wp14:anchorId="62C85CE8" wp14:editId="62C85CE9">
            <wp:extent cx="5669280" cy="7086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669280" cy="7086600"/>
                    </a:xfrm>
                    <a:prstGeom prst="rect">
                      <a:avLst/>
                    </a:prstGeom>
                  </pic:spPr>
                </pic:pic>
              </a:graphicData>
            </a:graphic>
          </wp:inline>
        </w:drawing>
      </w:r>
    </w:p>
    <w:p w14:paraId="62C85BBB" w14:textId="77777777" w:rsidR="00CD50FA" w:rsidRDefault="0032653B">
      <w:pPr>
        <w:jc w:val="both"/>
        <w:rPr>
          <w:rFonts w:cs="Times New Roman"/>
          <w:b/>
          <w:bCs/>
          <w:i/>
          <w:iCs/>
        </w:rPr>
      </w:pPr>
      <w:r>
        <w:rPr>
          <w:rFonts w:cs="Times New Roman"/>
          <w:b/>
          <w:bCs/>
          <w:i/>
          <w:iCs/>
        </w:rPr>
        <w:t>Figure 1. PRISMA 2020 flow diagram for study selection.</w:t>
      </w:r>
    </w:p>
    <w:p w14:paraId="62C85BBC"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lastRenderedPageBreak/>
        <w:t>3.2 Characteristics of included studies</w:t>
      </w:r>
    </w:p>
    <w:p w14:paraId="62C85BBD" w14:textId="77777777" w:rsidR="00CD50FA" w:rsidRDefault="0032653B">
      <w:pPr>
        <w:jc w:val="both"/>
        <w:rPr>
          <w:rFonts w:cs="Times New Roman"/>
        </w:rPr>
      </w:pPr>
      <w:r>
        <w:rPr>
          <w:rFonts w:cs="Times New Roman"/>
        </w:rPr>
        <w:t xml:space="preserve">The final evidence base reflected substantial methodological diversity. Review-level studies </w:t>
      </w:r>
      <w:proofErr w:type="spellStart"/>
      <w:r>
        <w:rPr>
          <w:rFonts w:cs="Times New Roman"/>
        </w:rPr>
        <w:t>synthesised</w:t>
      </w:r>
      <w:proofErr w:type="spellEnd"/>
      <w:r>
        <w:rPr>
          <w:rFonts w:cs="Times New Roman"/>
        </w:rPr>
        <w:t xml:space="preserve"> evidence on rapid response systems, emergency department crowding, EMS response times, prehospital intervals, prehospital emergency care in low- and middle-income countries, and sepsis-alert interventions. Primary studies included cohort analyses, cross-sectional facility assessments, stepped-wedge trials, quasi-experimental training evaluations, and retrospective service analyses. Geographically, the synthesis combined global reviews with a deliberately expanded Africa-focused subset, including Nigeria, Uganda, Rwanda, Tanzania, Malawi, Ethiopia, Ghana, and South Africa.</w:t>
      </w:r>
    </w:p>
    <w:p w14:paraId="62C85BBE" w14:textId="77777777" w:rsidR="00CD50FA" w:rsidRDefault="0032653B">
      <w:pPr>
        <w:pStyle w:val="Heading3"/>
        <w:jc w:val="both"/>
        <w:rPr>
          <w:rFonts w:ascii="Times New Roman" w:hAnsi="Times New Roman" w:cs="Times New Roman"/>
          <w:color w:val="auto"/>
        </w:rPr>
      </w:pPr>
      <w:r>
        <w:rPr>
          <w:rFonts w:ascii="Times New Roman" w:hAnsi="Times New Roman" w:cs="Times New Roman"/>
          <w:color w:val="auto"/>
        </w:rPr>
        <w:t>Table 1. Review-level studies included in the synthesis.</w:t>
      </w:r>
    </w:p>
    <w:tbl>
      <w:tblPr>
        <w:tblW w:w="0" w:type="auto"/>
        <w:jc w:val="center"/>
        <w:tblBorders>
          <w:top w:val="single" w:sz="6" w:space="0" w:color="B7C6D6"/>
          <w:left w:val="single" w:sz="6" w:space="0" w:color="B7C6D6"/>
          <w:bottom w:val="single" w:sz="6" w:space="0" w:color="B7C6D6"/>
          <w:right w:val="single" w:sz="6" w:space="0" w:color="B7C6D6"/>
          <w:insideH w:val="single" w:sz="6" w:space="0" w:color="B7C6D6"/>
          <w:insideV w:val="single" w:sz="6" w:space="0" w:color="B7C6D6"/>
        </w:tblBorders>
        <w:tblLook w:val="04A0" w:firstRow="1" w:lastRow="0" w:firstColumn="1" w:lastColumn="0" w:noHBand="0" w:noVBand="1"/>
      </w:tblPr>
      <w:tblGrid>
        <w:gridCol w:w="1872"/>
        <w:gridCol w:w="1872"/>
        <w:gridCol w:w="1872"/>
        <w:gridCol w:w="1872"/>
        <w:gridCol w:w="1872"/>
      </w:tblGrid>
      <w:tr w:rsidR="00CD50FA" w14:paraId="62C85BC4" w14:textId="77777777">
        <w:trPr>
          <w:tblHeader/>
          <w:jc w:val="center"/>
        </w:trPr>
        <w:tc>
          <w:tcPr>
            <w:tcW w:w="1872" w:type="dxa"/>
            <w:shd w:val="clear" w:color="auto" w:fill="D9EAF7"/>
            <w:vAlign w:val="center"/>
          </w:tcPr>
          <w:p w14:paraId="62C85BBF" w14:textId="77777777" w:rsidR="00CD50FA" w:rsidRDefault="0032653B">
            <w:pPr>
              <w:spacing w:line="240" w:lineRule="auto"/>
              <w:jc w:val="both"/>
              <w:rPr>
                <w:rFonts w:cs="Times New Roman"/>
                <w:b/>
                <w:bCs/>
              </w:rPr>
            </w:pPr>
            <w:r>
              <w:rPr>
                <w:rFonts w:cs="Times New Roman"/>
                <w:b/>
                <w:bCs/>
              </w:rPr>
              <w:t>Study</w:t>
            </w:r>
          </w:p>
        </w:tc>
        <w:tc>
          <w:tcPr>
            <w:tcW w:w="1872" w:type="dxa"/>
            <w:shd w:val="clear" w:color="auto" w:fill="D9EAF7"/>
            <w:vAlign w:val="center"/>
          </w:tcPr>
          <w:p w14:paraId="62C85BC0" w14:textId="46954E85" w:rsidR="00CD50FA" w:rsidRDefault="0032653B">
            <w:pPr>
              <w:spacing w:line="240" w:lineRule="auto"/>
              <w:jc w:val="both"/>
              <w:rPr>
                <w:rFonts w:cs="Times New Roman"/>
                <w:b/>
                <w:bCs/>
              </w:rPr>
            </w:pPr>
            <w:r>
              <w:rPr>
                <w:rFonts w:cs="Times New Roman"/>
                <w:b/>
                <w:bCs/>
              </w:rPr>
              <w:t>Setting</w:t>
            </w:r>
            <w:r w:rsidR="00753B02">
              <w:rPr>
                <w:rFonts w:cs="Times New Roman"/>
                <w:b/>
                <w:bCs/>
              </w:rPr>
              <w:t>/</w:t>
            </w:r>
            <w:r>
              <w:rPr>
                <w:rFonts w:cs="Times New Roman"/>
                <w:b/>
                <w:bCs/>
              </w:rPr>
              <w:t>scope</w:t>
            </w:r>
          </w:p>
        </w:tc>
        <w:tc>
          <w:tcPr>
            <w:tcW w:w="1872" w:type="dxa"/>
            <w:shd w:val="clear" w:color="auto" w:fill="D9EAF7"/>
            <w:vAlign w:val="center"/>
          </w:tcPr>
          <w:p w14:paraId="62C85BC1" w14:textId="77777777" w:rsidR="00CD50FA" w:rsidRDefault="0032653B">
            <w:pPr>
              <w:spacing w:line="240" w:lineRule="auto"/>
              <w:jc w:val="both"/>
              <w:rPr>
                <w:rFonts w:cs="Times New Roman"/>
                <w:b/>
                <w:bCs/>
              </w:rPr>
            </w:pPr>
            <w:r>
              <w:rPr>
                <w:rFonts w:cs="Times New Roman"/>
                <w:b/>
                <w:bCs/>
              </w:rPr>
              <w:t>Design</w:t>
            </w:r>
          </w:p>
        </w:tc>
        <w:tc>
          <w:tcPr>
            <w:tcW w:w="1872" w:type="dxa"/>
            <w:shd w:val="clear" w:color="auto" w:fill="D9EAF7"/>
            <w:vAlign w:val="center"/>
          </w:tcPr>
          <w:p w14:paraId="62C85BC2" w14:textId="77777777" w:rsidR="00CD50FA" w:rsidRDefault="0032653B">
            <w:pPr>
              <w:spacing w:line="240" w:lineRule="auto"/>
              <w:jc w:val="both"/>
              <w:rPr>
                <w:rFonts w:cs="Times New Roman"/>
                <w:b/>
                <w:bCs/>
              </w:rPr>
            </w:pPr>
            <w:r>
              <w:rPr>
                <w:rFonts w:cs="Times New Roman"/>
                <w:b/>
                <w:bCs/>
              </w:rPr>
              <w:t>Emergency focus</w:t>
            </w:r>
          </w:p>
        </w:tc>
        <w:tc>
          <w:tcPr>
            <w:tcW w:w="1872" w:type="dxa"/>
            <w:shd w:val="clear" w:color="auto" w:fill="D9EAF7"/>
            <w:vAlign w:val="center"/>
          </w:tcPr>
          <w:p w14:paraId="62C85BC3" w14:textId="77777777" w:rsidR="00CD50FA" w:rsidRDefault="0032653B">
            <w:pPr>
              <w:spacing w:line="240" w:lineRule="auto"/>
              <w:jc w:val="both"/>
              <w:rPr>
                <w:rFonts w:cs="Times New Roman"/>
                <w:b/>
                <w:bCs/>
              </w:rPr>
            </w:pPr>
            <w:r>
              <w:rPr>
                <w:rFonts w:cs="Times New Roman"/>
                <w:b/>
                <w:bCs/>
              </w:rPr>
              <w:t>Main contribution to this review</w:t>
            </w:r>
          </w:p>
        </w:tc>
      </w:tr>
      <w:tr w:rsidR="00CD50FA" w14:paraId="62C85BCA" w14:textId="77777777">
        <w:trPr>
          <w:jc w:val="center"/>
        </w:trPr>
        <w:tc>
          <w:tcPr>
            <w:tcW w:w="1872" w:type="dxa"/>
            <w:vAlign w:val="center"/>
          </w:tcPr>
          <w:p w14:paraId="62C85BC5" w14:textId="77777777" w:rsidR="00CD50FA" w:rsidRDefault="0032653B">
            <w:pPr>
              <w:spacing w:line="240" w:lineRule="auto"/>
              <w:jc w:val="both"/>
              <w:rPr>
                <w:rFonts w:cs="Times New Roman"/>
              </w:rPr>
            </w:pPr>
            <w:r>
              <w:rPr>
                <w:rFonts w:cs="Times New Roman"/>
              </w:rPr>
              <w:t>Maharaj et al. (2015)</w:t>
            </w:r>
          </w:p>
        </w:tc>
        <w:tc>
          <w:tcPr>
            <w:tcW w:w="1872" w:type="dxa"/>
            <w:vAlign w:val="center"/>
          </w:tcPr>
          <w:p w14:paraId="62C85BC6"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BC7" w14:textId="77777777" w:rsidR="00CD50FA" w:rsidRDefault="0032653B">
            <w:pPr>
              <w:spacing w:line="240" w:lineRule="auto"/>
              <w:jc w:val="both"/>
              <w:rPr>
                <w:rFonts w:cs="Times New Roman"/>
              </w:rPr>
            </w:pPr>
            <w:r>
              <w:rPr>
                <w:rFonts w:cs="Times New Roman"/>
              </w:rPr>
              <w:t>Systematic review and meta-analysis</w:t>
            </w:r>
          </w:p>
        </w:tc>
        <w:tc>
          <w:tcPr>
            <w:tcW w:w="1872" w:type="dxa"/>
            <w:vAlign w:val="center"/>
          </w:tcPr>
          <w:p w14:paraId="62C85BC8" w14:textId="77777777" w:rsidR="00CD50FA" w:rsidRDefault="0032653B">
            <w:pPr>
              <w:spacing w:line="240" w:lineRule="auto"/>
              <w:jc w:val="both"/>
              <w:rPr>
                <w:rFonts w:cs="Times New Roman"/>
              </w:rPr>
            </w:pPr>
            <w:r>
              <w:rPr>
                <w:rFonts w:cs="Times New Roman"/>
              </w:rPr>
              <w:t>Rapid response systems</w:t>
            </w:r>
          </w:p>
        </w:tc>
        <w:tc>
          <w:tcPr>
            <w:tcW w:w="1872" w:type="dxa"/>
            <w:vAlign w:val="center"/>
          </w:tcPr>
          <w:p w14:paraId="62C85BC9" w14:textId="77777777" w:rsidR="00CD50FA" w:rsidRDefault="0032653B">
            <w:pPr>
              <w:spacing w:line="240" w:lineRule="auto"/>
              <w:jc w:val="both"/>
              <w:rPr>
                <w:rFonts w:cs="Times New Roman"/>
              </w:rPr>
            </w:pPr>
            <w:r>
              <w:rPr>
                <w:rFonts w:cs="Times New Roman"/>
              </w:rPr>
              <w:t>Implementation of rapid response systems was associated with lower hospital mortality and fewer cardiopulmonary arrests.</w:t>
            </w:r>
          </w:p>
        </w:tc>
      </w:tr>
      <w:tr w:rsidR="00CD50FA" w14:paraId="62C85BD0" w14:textId="77777777">
        <w:trPr>
          <w:jc w:val="center"/>
        </w:trPr>
        <w:tc>
          <w:tcPr>
            <w:tcW w:w="1872" w:type="dxa"/>
            <w:vAlign w:val="center"/>
          </w:tcPr>
          <w:p w14:paraId="62C85BCB" w14:textId="77777777" w:rsidR="00CD50FA" w:rsidRDefault="0032653B">
            <w:pPr>
              <w:spacing w:line="240" w:lineRule="auto"/>
              <w:jc w:val="both"/>
              <w:rPr>
                <w:rFonts w:cs="Times New Roman"/>
              </w:rPr>
            </w:pPr>
            <w:r>
              <w:rPr>
                <w:rFonts w:cs="Times New Roman"/>
              </w:rPr>
              <w:t>De Jong et al. (2016)</w:t>
            </w:r>
          </w:p>
        </w:tc>
        <w:tc>
          <w:tcPr>
            <w:tcW w:w="1872" w:type="dxa"/>
            <w:vAlign w:val="center"/>
          </w:tcPr>
          <w:p w14:paraId="62C85BCC"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BCD" w14:textId="77777777" w:rsidR="00CD50FA" w:rsidRDefault="0032653B">
            <w:pPr>
              <w:spacing w:line="240" w:lineRule="auto"/>
              <w:jc w:val="both"/>
              <w:rPr>
                <w:rFonts w:cs="Times New Roman"/>
              </w:rPr>
            </w:pPr>
            <w:r>
              <w:rPr>
                <w:rFonts w:cs="Times New Roman"/>
              </w:rPr>
              <w:t>Systematic review and meta-analysis</w:t>
            </w:r>
          </w:p>
        </w:tc>
        <w:tc>
          <w:tcPr>
            <w:tcW w:w="1872" w:type="dxa"/>
            <w:vAlign w:val="center"/>
          </w:tcPr>
          <w:p w14:paraId="62C85BCE" w14:textId="77777777" w:rsidR="00CD50FA" w:rsidRDefault="0032653B">
            <w:pPr>
              <w:spacing w:line="240" w:lineRule="auto"/>
              <w:jc w:val="both"/>
              <w:rPr>
                <w:rFonts w:cs="Times New Roman"/>
              </w:rPr>
            </w:pPr>
            <w:r>
              <w:rPr>
                <w:rFonts w:cs="Times New Roman"/>
              </w:rPr>
              <w:t>Rapid response systems</w:t>
            </w:r>
          </w:p>
        </w:tc>
        <w:tc>
          <w:tcPr>
            <w:tcW w:w="1872" w:type="dxa"/>
            <w:vAlign w:val="center"/>
          </w:tcPr>
          <w:p w14:paraId="62C85BCF" w14:textId="77777777" w:rsidR="00CD50FA" w:rsidRDefault="0032653B">
            <w:pPr>
              <w:spacing w:line="240" w:lineRule="auto"/>
              <w:jc w:val="both"/>
              <w:rPr>
                <w:rFonts w:cs="Times New Roman"/>
              </w:rPr>
            </w:pPr>
            <w:r>
              <w:rPr>
                <w:rFonts w:cs="Times New Roman"/>
              </w:rPr>
              <w:t xml:space="preserve">Supported mortality benefit from </w:t>
            </w:r>
            <w:proofErr w:type="spellStart"/>
            <w:r>
              <w:rPr>
                <w:rFonts w:cs="Times New Roman"/>
              </w:rPr>
              <w:t>organised</w:t>
            </w:r>
            <w:proofErr w:type="spellEnd"/>
            <w:r>
              <w:rPr>
                <w:rFonts w:cs="Times New Roman"/>
              </w:rPr>
              <w:t xml:space="preserve"> rapid response systems and reinforced the importance of early inpatient escalation.</w:t>
            </w:r>
          </w:p>
        </w:tc>
      </w:tr>
      <w:tr w:rsidR="00CD50FA" w14:paraId="62C85BD6" w14:textId="77777777">
        <w:trPr>
          <w:jc w:val="center"/>
        </w:trPr>
        <w:tc>
          <w:tcPr>
            <w:tcW w:w="1872" w:type="dxa"/>
            <w:vAlign w:val="center"/>
          </w:tcPr>
          <w:p w14:paraId="62C85BD1" w14:textId="77777777" w:rsidR="00CD50FA" w:rsidRDefault="0032653B">
            <w:pPr>
              <w:spacing w:line="240" w:lineRule="auto"/>
              <w:jc w:val="both"/>
              <w:rPr>
                <w:rFonts w:cs="Times New Roman"/>
              </w:rPr>
            </w:pPr>
            <w:r>
              <w:rPr>
                <w:rFonts w:cs="Times New Roman"/>
              </w:rPr>
              <w:t xml:space="preserve">Hoot and </w:t>
            </w:r>
            <w:proofErr w:type="spellStart"/>
            <w:r>
              <w:rPr>
                <w:rFonts w:cs="Times New Roman"/>
              </w:rPr>
              <w:t>Aronsky</w:t>
            </w:r>
            <w:proofErr w:type="spellEnd"/>
            <w:r>
              <w:rPr>
                <w:rFonts w:cs="Times New Roman"/>
              </w:rPr>
              <w:t xml:space="preserve"> (2008)</w:t>
            </w:r>
          </w:p>
        </w:tc>
        <w:tc>
          <w:tcPr>
            <w:tcW w:w="1872" w:type="dxa"/>
            <w:vAlign w:val="center"/>
          </w:tcPr>
          <w:p w14:paraId="62C85BD2"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BD3" w14:textId="77777777" w:rsidR="00CD50FA" w:rsidRDefault="0032653B">
            <w:pPr>
              <w:spacing w:line="240" w:lineRule="auto"/>
              <w:jc w:val="both"/>
              <w:rPr>
                <w:rFonts w:cs="Times New Roman"/>
              </w:rPr>
            </w:pPr>
            <w:r>
              <w:rPr>
                <w:rFonts w:cs="Times New Roman"/>
              </w:rPr>
              <w:t>Systematic review</w:t>
            </w:r>
          </w:p>
        </w:tc>
        <w:tc>
          <w:tcPr>
            <w:tcW w:w="1872" w:type="dxa"/>
            <w:vAlign w:val="center"/>
          </w:tcPr>
          <w:p w14:paraId="62C85BD4" w14:textId="77777777" w:rsidR="00CD50FA" w:rsidRDefault="0032653B">
            <w:pPr>
              <w:spacing w:line="240" w:lineRule="auto"/>
              <w:jc w:val="both"/>
              <w:rPr>
                <w:rFonts w:cs="Times New Roman"/>
              </w:rPr>
            </w:pPr>
            <w:r>
              <w:rPr>
                <w:rFonts w:cs="Times New Roman"/>
              </w:rPr>
              <w:t>ED crowding</w:t>
            </w:r>
          </w:p>
        </w:tc>
        <w:tc>
          <w:tcPr>
            <w:tcW w:w="1872" w:type="dxa"/>
            <w:vAlign w:val="center"/>
          </w:tcPr>
          <w:p w14:paraId="62C85BD5" w14:textId="77777777" w:rsidR="00CD50FA" w:rsidRDefault="0032653B">
            <w:pPr>
              <w:spacing w:line="240" w:lineRule="auto"/>
              <w:jc w:val="both"/>
              <w:rPr>
                <w:rFonts w:cs="Times New Roman"/>
              </w:rPr>
            </w:pPr>
            <w:r>
              <w:rPr>
                <w:rFonts w:cs="Times New Roman"/>
              </w:rPr>
              <w:t xml:space="preserve">Mapped the causes, effects, and solution categories of crowding and established crowding as a patient-safety </w:t>
            </w:r>
            <w:r>
              <w:rPr>
                <w:rFonts w:cs="Times New Roman"/>
              </w:rPr>
              <w:lastRenderedPageBreak/>
              <w:t>issue.</w:t>
            </w:r>
          </w:p>
        </w:tc>
      </w:tr>
      <w:tr w:rsidR="00CD50FA" w14:paraId="62C85BDC" w14:textId="77777777">
        <w:trPr>
          <w:jc w:val="center"/>
        </w:trPr>
        <w:tc>
          <w:tcPr>
            <w:tcW w:w="1872" w:type="dxa"/>
            <w:vAlign w:val="center"/>
          </w:tcPr>
          <w:p w14:paraId="62C85BD7" w14:textId="77777777" w:rsidR="00CD50FA" w:rsidRDefault="0032653B">
            <w:pPr>
              <w:spacing w:line="240" w:lineRule="auto"/>
              <w:jc w:val="both"/>
              <w:rPr>
                <w:rFonts w:cs="Times New Roman"/>
              </w:rPr>
            </w:pPr>
            <w:r>
              <w:rPr>
                <w:rFonts w:cs="Times New Roman"/>
              </w:rPr>
              <w:lastRenderedPageBreak/>
              <w:t>Pearce et al. (2023)</w:t>
            </w:r>
          </w:p>
        </w:tc>
        <w:tc>
          <w:tcPr>
            <w:tcW w:w="1872" w:type="dxa"/>
            <w:vAlign w:val="center"/>
          </w:tcPr>
          <w:p w14:paraId="62C85BD8"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BD9" w14:textId="77777777" w:rsidR="00CD50FA" w:rsidRDefault="0032653B">
            <w:pPr>
              <w:spacing w:line="240" w:lineRule="auto"/>
              <w:jc w:val="both"/>
              <w:rPr>
                <w:rFonts w:cs="Times New Roman"/>
              </w:rPr>
            </w:pPr>
            <w:r>
              <w:rPr>
                <w:rFonts w:cs="Times New Roman"/>
              </w:rPr>
              <w:t>Overview of reviews</w:t>
            </w:r>
          </w:p>
        </w:tc>
        <w:tc>
          <w:tcPr>
            <w:tcW w:w="1872" w:type="dxa"/>
            <w:vAlign w:val="center"/>
          </w:tcPr>
          <w:p w14:paraId="62C85BDA" w14:textId="77777777" w:rsidR="00CD50FA" w:rsidRDefault="0032653B">
            <w:pPr>
              <w:spacing w:line="240" w:lineRule="auto"/>
              <w:jc w:val="both"/>
              <w:rPr>
                <w:rFonts w:cs="Times New Roman"/>
              </w:rPr>
            </w:pPr>
            <w:r>
              <w:rPr>
                <w:rFonts w:cs="Times New Roman"/>
              </w:rPr>
              <w:t>ED crowding harms</w:t>
            </w:r>
          </w:p>
        </w:tc>
        <w:tc>
          <w:tcPr>
            <w:tcW w:w="1872" w:type="dxa"/>
            <w:vAlign w:val="center"/>
          </w:tcPr>
          <w:p w14:paraId="62C85BDB" w14:textId="77777777" w:rsidR="00CD50FA" w:rsidRDefault="0032653B">
            <w:pPr>
              <w:spacing w:line="240" w:lineRule="auto"/>
              <w:jc w:val="both"/>
              <w:rPr>
                <w:rFonts w:cs="Times New Roman"/>
              </w:rPr>
            </w:pPr>
            <w:proofErr w:type="spellStart"/>
            <w:r>
              <w:rPr>
                <w:rFonts w:cs="Times New Roman"/>
              </w:rPr>
              <w:t>Synthesised</w:t>
            </w:r>
            <w:proofErr w:type="spellEnd"/>
            <w:r>
              <w:rPr>
                <w:rFonts w:cs="Times New Roman"/>
              </w:rPr>
              <w:t xml:space="preserve"> contemporary review-level evidence on crowding measures, causes, and harms, highlighting treatment delay and quality degradation.</w:t>
            </w:r>
          </w:p>
        </w:tc>
      </w:tr>
      <w:tr w:rsidR="00CD50FA" w14:paraId="62C85BE2" w14:textId="77777777">
        <w:trPr>
          <w:jc w:val="center"/>
        </w:trPr>
        <w:tc>
          <w:tcPr>
            <w:tcW w:w="1872" w:type="dxa"/>
            <w:vAlign w:val="center"/>
          </w:tcPr>
          <w:p w14:paraId="62C85BDD" w14:textId="77777777" w:rsidR="00CD50FA" w:rsidRDefault="0032653B">
            <w:pPr>
              <w:spacing w:line="240" w:lineRule="auto"/>
              <w:jc w:val="both"/>
              <w:rPr>
                <w:rFonts w:cs="Times New Roman"/>
              </w:rPr>
            </w:pPr>
            <w:r>
              <w:rPr>
                <w:rFonts w:cs="Times New Roman"/>
              </w:rPr>
              <w:t>Pearce et al. (2024)</w:t>
            </w:r>
          </w:p>
        </w:tc>
        <w:tc>
          <w:tcPr>
            <w:tcW w:w="1872" w:type="dxa"/>
            <w:vAlign w:val="center"/>
          </w:tcPr>
          <w:p w14:paraId="62C85BDE"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BDF" w14:textId="77777777" w:rsidR="00CD50FA" w:rsidRDefault="0032653B">
            <w:pPr>
              <w:spacing w:line="240" w:lineRule="auto"/>
              <w:jc w:val="both"/>
              <w:rPr>
                <w:rFonts w:cs="Times New Roman"/>
              </w:rPr>
            </w:pPr>
            <w:r>
              <w:rPr>
                <w:rFonts w:cs="Times New Roman"/>
              </w:rPr>
              <w:t>Overview of reviews</w:t>
            </w:r>
          </w:p>
        </w:tc>
        <w:tc>
          <w:tcPr>
            <w:tcW w:w="1872" w:type="dxa"/>
            <w:vAlign w:val="center"/>
          </w:tcPr>
          <w:p w14:paraId="62C85BE0" w14:textId="77777777" w:rsidR="00CD50FA" w:rsidRDefault="0032653B">
            <w:pPr>
              <w:spacing w:line="240" w:lineRule="auto"/>
              <w:jc w:val="both"/>
              <w:rPr>
                <w:rFonts w:cs="Times New Roman"/>
              </w:rPr>
            </w:pPr>
            <w:r>
              <w:rPr>
                <w:rFonts w:cs="Times New Roman"/>
              </w:rPr>
              <w:t>ED crowding solutions</w:t>
            </w:r>
          </w:p>
        </w:tc>
        <w:tc>
          <w:tcPr>
            <w:tcW w:w="1872" w:type="dxa"/>
            <w:vAlign w:val="center"/>
          </w:tcPr>
          <w:p w14:paraId="62C85BE1" w14:textId="77777777" w:rsidR="00CD50FA" w:rsidRDefault="0032653B">
            <w:pPr>
              <w:spacing w:line="240" w:lineRule="auto"/>
              <w:jc w:val="both"/>
              <w:rPr>
                <w:rFonts w:cs="Times New Roman"/>
              </w:rPr>
            </w:pPr>
            <w:proofErr w:type="spellStart"/>
            <w:r>
              <w:rPr>
                <w:rFonts w:cs="Times New Roman"/>
              </w:rPr>
              <w:t>Summarised</w:t>
            </w:r>
            <w:proofErr w:type="spellEnd"/>
            <w:r>
              <w:rPr>
                <w:rFonts w:cs="Times New Roman"/>
              </w:rPr>
              <w:t xml:space="preserve"> global intervention categories addressing overcrowding and described variable outcome effectiveness.</w:t>
            </w:r>
          </w:p>
        </w:tc>
      </w:tr>
      <w:tr w:rsidR="00CD50FA" w14:paraId="62C85BE8" w14:textId="77777777">
        <w:trPr>
          <w:jc w:val="center"/>
        </w:trPr>
        <w:tc>
          <w:tcPr>
            <w:tcW w:w="1872" w:type="dxa"/>
            <w:vAlign w:val="center"/>
          </w:tcPr>
          <w:p w14:paraId="62C85BE3" w14:textId="77777777" w:rsidR="00CD50FA" w:rsidRDefault="0032653B">
            <w:pPr>
              <w:spacing w:line="240" w:lineRule="auto"/>
              <w:jc w:val="both"/>
              <w:rPr>
                <w:rFonts w:cs="Times New Roman"/>
              </w:rPr>
            </w:pPr>
            <w:r>
              <w:rPr>
                <w:rFonts w:cs="Times New Roman"/>
              </w:rPr>
              <w:t>Ahmed et al. (2026)</w:t>
            </w:r>
          </w:p>
        </w:tc>
        <w:tc>
          <w:tcPr>
            <w:tcW w:w="1872" w:type="dxa"/>
            <w:vAlign w:val="center"/>
          </w:tcPr>
          <w:p w14:paraId="62C85BE4"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BE5" w14:textId="77777777" w:rsidR="00CD50FA" w:rsidRDefault="0032653B">
            <w:pPr>
              <w:spacing w:line="240" w:lineRule="auto"/>
              <w:jc w:val="both"/>
              <w:rPr>
                <w:rFonts w:cs="Times New Roman"/>
              </w:rPr>
            </w:pPr>
            <w:r>
              <w:rPr>
                <w:rFonts w:cs="Times New Roman"/>
              </w:rPr>
              <w:t>Systematic review</w:t>
            </w:r>
          </w:p>
        </w:tc>
        <w:tc>
          <w:tcPr>
            <w:tcW w:w="1872" w:type="dxa"/>
            <w:vAlign w:val="center"/>
          </w:tcPr>
          <w:p w14:paraId="62C85BE6" w14:textId="77777777" w:rsidR="00CD50FA" w:rsidRDefault="0032653B">
            <w:pPr>
              <w:spacing w:line="240" w:lineRule="auto"/>
              <w:jc w:val="both"/>
              <w:rPr>
                <w:rFonts w:cs="Times New Roman"/>
              </w:rPr>
            </w:pPr>
            <w:r>
              <w:rPr>
                <w:rFonts w:cs="Times New Roman"/>
              </w:rPr>
              <w:t>Clinical and operational effects of ED crowding</w:t>
            </w:r>
          </w:p>
        </w:tc>
        <w:tc>
          <w:tcPr>
            <w:tcW w:w="1872" w:type="dxa"/>
            <w:vAlign w:val="center"/>
          </w:tcPr>
          <w:p w14:paraId="62C85BE7" w14:textId="77777777" w:rsidR="00CD50FA" w:rsidRDefault="0032653B">
            <w:pPr>
              <w:spacing w:line="240" w:lineRule="auto"/>
              <w:jc w:val="both"/>
              <w:rPr>
                <w:rFonts w:cs="Times New Roman"/>
              </w:rPr>
            </w:pPr>
            <w:r>
              <w:rPr>
                <w:rFonts w:cs="Times New Roman"/>
              </w:rPr>
              <w:t>Recent synthesis linking crowding with delays, prolonged stays, operational strain, and adverse outcomes.</w:t>
            </w:r>
          </w:p>
        </w:tc>
      </w:tr>
      <w:tr w:rsidR="00CD50FA" w14:paraId="62C85BEE" w14:textId="77777777">
        <w:trPr>
          <w:jc w:val="center"/>
        </w:trPr>
        <w:tc>
          <w:tcPr>
            <w:tcW w:w="1872" w:type="dxa"/>
            <w:vAlign w:val="center"/>
          </w:tcPr>
          <w:p w14:paraId="62C85BE9" w14:textId="77777777" w:rsidR="00CD50FA" w:rsidRDefault="0032653B">
            <w:pPr>
              <w:spacing w:line="240" w:lineRule="auto"/>
              <w:jc w:val="both"/>
              <w:rPr>
                <w:rFonts w:cs="Times New Roman"/>
              </w:rPr>
            </w:pPr>
            <w:r>
              <w:rPr>
                <w:rFonts w:cs="Times New Roman"/>
              </w:rPr>
              <w:t>Cabral et al. (2018)</w:t>
            </w:r>
          </w:p>
        </w:tc>
        <w:tc>
          <w:tcPr>
            <w:tcW w:w="1872" w:type="dxa"/>
            <w:vAlign w:val="center"/>
          </w:tcPr>
          <w:p w14:paraId="62C85BEA"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BEB" w14:textId="77777777" w:rsidR="00CD50FA" w:rsidRDefault="0032653B">
            <w:pPr>
              <w:spacing w:line="240" w:lineRule="auto"/>
              <w:jc w:val="both"/>
              <w:rPr>
                <w:rFonts w:cs="Times New Roman"/>
              </w:rPr>
            </w:pPr>
            <w:r>
              <w:rPr>
                <w:rFonts w:cs="Times New Roman"/>
              </w:rPr>
              <w:t>Systematic review</w:t>
            </w:r>
          </w:p>
        </w:tc>
        <w:tc>
          <w:tcPr>
            <w:tcW w:w="1872" w:type="dxa"/>
            <w:vAlign w:val="center"/>
          </w:tcPr>
          <w:p w14:paraId="62C85BEC" w14:textId="77777777" w:rsidR="00CD50FA" w:rsidRDefault="0032653B">
            <w:pPr>
              <w:spacing w:line="240" w:lineRule="auto"/>
              <w:jc w:val="both"/>
              <w:rPr>
                <w:rFonts w:cs="Times New Roman"/>
              </w:rPr>
            </w:pPr>
            <w:r>
              <w:rPr>
                <w:rFonts w:cs="Times New Roman"/>
              </w:rPr>
              <w:t>EMS response time</w:t>
            </w:r>
          </w:p>
        </w:tc>
        <w:tc>
          <w:tcPr>
            <w:tcW w:w="1872" w:type="dxa"/>
            <w:vAlign w:val="center"/>
          </w:tcPr>
          <w:p w14:paraId="62C85BED" w14:textId="77777777" w:rsidR="00CD50FA" w:rsidRDefault="0032653B">
            <w:pPr>
              <w:spacing w:line="240" w:lineRule="auto"/>
              <w:jc w:val="both"/>
              <w:rPr>
                <w:rFonts w:cs="Times New Roman"/>
              </w:rPr>
            </w:pPr>
            <w:r>
              <w:rPr>
                <w:rFonts w:cs="Times New Roman"/>
              </w:rPr>
              <w:t>Reviewed response-time patterns and factors influencing EMS timeliness across settings.</w:t>
            </w:r>
          </w:p>
        </w:tc>
      </w:tr>
      <w:tr w:rsidR="00CD50FA" w14:paraId="62C85BF4" w14:textId="77777777">
        <w:trPr>
          <w:jc w:val="center"/>
        </w:trPr>
        <w:tc>
          <w:tcPr>
            <w:tcW w:w="1872" w:type="dxa"/>
            <w:vAlign w:val="center"/>
          </w:tcPr>
          <w:p w14:paraId="62C85BEF" w14:textId="77777777" w:rsidR="00CD50FA" w:rsidRDefault="0032653B">
            <w:pPr>
              <w:spacing w:line="240" w:lineRule="auto"/>
              <w:jc w:val="both"/>
              <w:rPr>
                <w:rFonts w:cs="Times New Roman"/>
              </w:rPr>
            </w:pPr>
            <w:proofErr w:type="spellStart"/>
            <w:r>
              <w:rPr>
                <w:rFonts w:cs="Times New Roman"/>
              </w:rPr>
              <w:t>Alruwaili</w:t>
            </w:r>
            <w:proofErr w:type="spellEnd"/>
            <w:r>
              <w:rPr>
                <w:rFonts w:cs="Times New Roman"/>
              </w:rPr>
              <w:t xml:space="preserve"> and </w:t>
            </w:r>
            <w:proofErr w:type="spellStart"/>
            <w:r>
              <w:rPr>
                <w:rFonts w:cs="Times New Roman"/>
              </w:rPr>
              <w:t>Alanazy</w:t>
            </w:r>
            <w:proofErr w:type="spellEnd"/>
            <w:r>
              <w:rPr>
                <w:rFonts w:cs="Times New Roman"/>
              </w:rPr>
              <w:t xml:space="preserve"> (2022)</w:t>
            </w:r>
          </w:p>
        </w:tc>
        <w:tc>
          <w:tcPr>
            <w:tcW w:w="1872" w:type="dxa"/>
            <w:vAlign w:val="center"/>
          </w:tcPr>
          <w:p w14:paraId="62C85BF0"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BF1" w14:textId="77777777" w:rsidR="00CD50FA" w:rsidRDefault="0032653B">
            <w:pPr>
              <w:spacing w:line="240" w:lineRule="auto"/>
              <w:jc w:val="both"/>
              <w:rPr>
                <w:rFonts w:cs="Times New Roman"/>
              </w:rPr>
            </w:pPr>
            <w:r>
              <w:rPr>
                <w:rFonts w:cs="Times New Roman"/>
              </w:rPr>
              <w:t>Systematic review</w:t>
            </w:r>
          </w:p>
        </w:tc>
        <w:tc>
          <w:tcPr>
            <w:tcW w:w="1872" w:type="dxa"/>
            <w:vAlign w:val="center"/>
          </w:tcPr>
          <w:p w14:paraId="62C85BF2" w14:textId="77777777" w:rsidR="00CD50FA" w:rsidRDefault="0032653B">
            <w:pPr>
              <w:spacing w:line="240" w:lineRule="auto"/>
              <w:jc w:val="both"/>
              <w:rPr>
                <w:rFonts w:cs="Times New Roman"/>
              </w:rPr>
            </w:pPr>
            <w:r>
              <w:rPr>
                <w:rFonts w:cs="Times New Roman"/>
              </w:rPr>
              <w:t xml:space="preserve">Urban-rural prehospital </w:t>
            </w:r>
            <w:r>
              <w:rPr>
                <w:rFonts w:cs="Times New Roman"/>
              </w:rPr>
              <w:lastRenderedPageBreak/>
              <w:t>intervals</w:t>
            </w:r>
          </w:p>
        </w:tc>
        <w:tc>
          <w:tcPr>
            <w:tcW w:w="1872" w:type="dxa"/>
            <w:vAlign w:val="center"/>
          </w:tcPr>
          <w:p w14:paraId="62C85BF3" w14:textId="77777777" w:rsidR="00CD50FA" w:rsidRDefault="0032653B">
            <w:pPr>
              <w:spacing w:line="240" w:lineRule="auto"/>
              <w:jc w:val="both"/>
              <w:rPr>
                <w:rFonts w:cs="Times New Roman"/>
              </w:rPr>
            </w:pPr>
            <w:r>
              <w:rPr>
                <w:rFonts w:cs="Times New Roman"/>
              </w:rPr>
              <w:lastRenderedPageBreak/>
              <w:t xml:space="preserve">Demonstrated systematic </w:t>
            </w:r>
            <w:r>
              <w:rPr>
                <w:rFonts w:cs="Times New Roman"/>
              </w:rPr>
              <w:lastRenderedPageBreak/>
              <w:t>differences in response, scene, and transport intervals across geography.</w:t>
            </w:r>
          </w:p>
        </w:tc>
      </w:tr>
      <w:tr w:rsidR="00CD50FA" w14:paraId="62C85BFA" w14:textId="77777777">
        <w:trPr>
          <w:jc w:val="center"/>
        </w:trPr>
        <w:tc>
          <w:tcPr>
            <w:tcW w:w="1872" w:type="dxa"/>
            <w:vAlign w:val="center"/>
          </w:tcPr>
          <w:p w14:paraId="62C85BF5" w14:textId="77777777" w:rsidR="00CD50FA" w:rsidRDefault="0032653B">
            <w:pPr>
              <w:spacing w:line="240" w:lineRule="auto"/>
              <w:jc w:val="both"/>
              <w:rPr>
                <w:rFonts w:cs="Times New Roman"/>
              </w:rPr>
            </w:pPr>
            <w:r>
              <w:rPr>
                <w:rFonts w:cs="Times New Roman"/>
              </w:rPr>
              <w:lastRenderedPageBreak/>
              <w:t>Bhattarai et al. (2023)</w:t>
            </w:r>
          </w:p>
        </w:tc>
        <w:tc>
          <w:tcPr>
            <w:tcW w:w="1872" w:type="dxa"/>
            <w:vAlign w:val="center"/>
          </w:tcPr>
          <w:p w14:paraId="62C85BF6" w14:textId="77777777" w:rsidR="00CD50FA" w:rsidRDefault="0032653B">
            <w:pPr>
              <w:spacing w:line="240" w:lineRule="auto"/>
              <w:jc w:val="both"/>
              <w:rPr>
                <w:rFonts w:cs="Times New Roman"/>
              </w:rPr>
            </w:pPr>
            <w:r>
              <w:rPr>
                <w:rFonts w:cs="Times New Roman"/>
              </w:rPr>
              <w:t>LMIC-focused</w:t>
            </w:r>
          </w:p>
        </w:tc>
        <w:tc>
          <w:tcPr>
            <w:tcW w:w="1872" w:type="dxa"/>
            <w:vAlign w:val="center"/>
          </w:tcPr>
          <w:p w14:paraId="62C85BF7" w14:textId="77777777" w:rsidR="00CD50FA" w:rsidRDefault="0032653B">
            <w:pPr>
              <w:spacing w:line="240" w:lineRule="auto"/>
              <w:jc w:val="both"/>
              <w:rPr>
                <w:rFonts w:cs="Times New Roman"/>
              </w:rPr>
            </w:pPr>
            <w:r>
              <w:rPr>
                <w:rFonts w:cs="Times New Roman"/>
              </w:rPr>
              <w:t>Systematic review</w:t>
            </w:r>
          </w:p>
        </w:tc>
        <w:tc>
          <w:tcPr>
            <w:tcW w:w="1872" w:type="dxa"/>
            <w:vAlign w:val="center"/>
          </w:tcPr>
          <w:p w14:paraId="62C85BF8" w14:textId="77777777" w:rsidR="00CD50FA" w:rsidRDefault="0032653B">
            <w:pPr>
              <w:spacing w:line="240" w:lineRule="auto"/>
              <w:jc w:val="both"/>
              <w:rPr>
                <w:rFonts w:cs="Times New Roman"/>
              </w:rPr>
            </w:pPr>
            <w:r>
              <w:rPr>
                <w:rFonts w:cs="Times New Roman"/>
              </w:rPr>
              <w:t>Prehospital emergency care in LMICs</w:t>
            </w:r>
          </w:p>
        </w:tc>
        <w:tc>
          <w:tcPr>
            <w:tcW w:w="1872" w:type="dxa"/>
            <w:vAlign w:val="center"/>
          </w:tcPr>
          <w:p w14:paraId="62C85BF9" w14:textId="77777777" w:rsidR="00CD50FA" w:rsidRDefault="0032653B">
            <w:pPr>
              <w:spacing w:line="240" w:lineRule="auto"/>
              <w:jc w:val="both"/>
              <w:rPr>
                <w:rFonts w:cs="Times New Roman"/>
              </w:rPr>
            </w:pPr>
            <w:proofErr w:type="spellStart"/>
            <w:r>
              <w:rPr>
                <w:rFonts w:cs="Times New Roman"/>
              </w:rPr>
              <w:t>Synthesised</w:t>
            </w:r>
            <w:proofErr w:type="spellEnd"/>
            <w:r>
              <w:rPr>
                <w:rFonts w:cs="Times New Roman"/>
              </w:rPr>
              <w:t xml:space="preserve"> evidence on low- and middle-income country prehospital systems and their outcome implications.</w:t>
            </w:r>
          </w:p>
        </w:tc>
      </w:tr>
      <w:tr w:rsidR="00CD50FA" w14:paraId="62C85C00" w14:textId="77777777">
        <w:trPr>
          <w:jc w:val="center"/>
        </w:trPr>
        <w:tc>
          <w:tcPr>
            <w:tcW w:w="1872" w:type="dxa"/>
            <w:vAlign w:val="center"/>
          </w:tcPr>
          <w:p w14:paraId="62C85BFB" w14:textId="77777777" w:rsidR="00CD50FA" w:rsidRDefault="0032653B">
            <w:pPr>
              <w:spacing w:line="240" w:lineRule="auto"/>
              <w:jc w:val="both"/>
              <w:rPr>
                <w:rFonts w:cs="Times New Roman"/>
              </w:rPr>
            </w:pPr>
            <w:r>
              <w:rPr>
                <w:rFonts w:cs="Times New Roman"/>
              </w:rPr>
              <w:t>Kim et al. (2024)</w:t>
            </w:r>
          </w:p>
        </w:tc>
        <w:tc>
          <w:tcPr>
            <w:tcW w:w="1872" w:type="dxa"/>
            <w:vAlign w:val="center"/>
          </w:tcPr>
          <w:p w14:paraId="62C85BFC"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BFD" w14:textId="77777777" w:rsidR="00CD50FA" w:rsidRDefault="0032653B">
            <w:pPr>
              <w:spacing w:line="240" w:lineRule="auto"/>
              <w:jc w:val="both"/>
              <w:rPr>
                <w:rFonts w:cs="Times New Roman"/>
              </w:rPr>
            </w:pPr>
            <w:r>
              <w:rPr>
                <w:rFonts w:cs="Times New Roman"/>
              </w:rPr>
              <w:t>Systematic review and meta-analysis</w:t>
            </w:r>
          </w:p>
        </w:tc>
        <w:tc>
          <w:tcPr>
            <w:tcW w:w="1872" w:type="dxa"/>
            <w:vAlign w:val="center"/>
          </w:tcPr>
          <w:p w14:paraId="62C85BFE" w14:textId="77777777" w:rsidR="00CD50FA" w:rsidRDefault="0032653B">
            <w:pPr>
              <w:spacing w:line="240" w:lineRule="auto"/>
              <w:jc w:val="both"/>
              <w:rPr>
                <w:rFonts w:cs="Times New Roman"/>
              </w:rPr>
            </w:pPr>
            <w:r>
              <w:rPr>
                <w:rFonts w:cs="Times New Roman"/>
              </w:rPr>
              <w:t>Sepsis alert systems</w:t>
            </w:r>
          </w:p>
        </w:tc>
        <w:tc>
          <w:tcPr>
            <w:tcW w:w="1872" w:type="dxa"/>
            <w:vAlign w:val="center"/>
          </w:tcPr>
          <w:p w14:paraId="62C85BFF" w14:textId="77777777" w:rsidR="00CD50FA" w:rsidRDefault="0032653B">
            <w:pPr>
              <w:spacing w:line="240" w:lineRule="auto"/>
              <w:jc w:val="both"/>
              <w:rPr>
                <w:rFonts w:cs="Times New Roman"/>
              </w:rPr>
            </w:pPr>
            <w:r>
              <w:rPr>
                <w:rFonts w:cs="Times New Roman"/>
              </w:rPr>
              <w:t>Found sepsis-alert systems to be associated with lower mortality, shorter stay, and stronger bundle adherence.</w:t>
            </w:r>
          </w:p>
        </w:tc>
      </w:tr>
      <w:tr w:rsidR="00CD50FA" w14:paraId="62C85C06" w14:textId="77777777">
        <w:trPr>
          <w:jc w:val="center"/>
        </w:trPr>
        <w:tc>
          <w:tcPr>
            <w:tcW w:w="1872" w:type="dxa"/>
            <w:vAlign w:val="center"/>
          </w:tcPr>
          <w:p w14:paraId="62C85C01" w14:textId="77777777" w:rsidR="00CD50FA" w:rsidRDefault="0032653B">
            <w:pPr>
              <w:spacing w:line="240" w:lineRule="auto"/>
              <w:jc w:val="both"/>
              <w:rPr>
                <w:rFonts w:cs="Times New Roman"/>
              </w:rPr>
            </w:pPr>
            <w:r>
              <w:rPr>
                <w:rFonts w:cs="Times New Roman"/>
              </w:rPr>
              <w:t>Leung et al. (2024)</w:t>
            </w:r>
          </w:p>
        </w:tc>
        <w:tc>
          <w:tcPr>
            <w:tcW w:w="1872" w:type="dxa"/>
            <w:vAlign w:val="center"/>
          </w:tcPr>
          <w:p w14:paraId="62C85C02" w14:textId="77777777" w:rsidR="00CD50FA" w:rsidRDefault="0032653B">
            <w:pPr>
              <w:spacing w:line="240" w:lineRule="auto"/>
              <w:jc w:val="both"/>
              <w:rPr>
                <w:rFonts w:cs="Times New Roman"/>
              </w:rPr>
            </w:pPr>
            <w:r>
              <w:rPr>
                <w:rFonts w:cs="Times New Roman"/>
              </w:rPr>
              <w:t>International</w:t>
            </w:r>
          </w:p>
        </w:tc>
        <w:tc>
          <w:tcPr>
            <w:tcW w:w="1872" w:type="dxa"/>
            <w:vAlign w:val="center"/>
          </w:tcPr>
          <w:p w14:paraId="62C85C03" w14:textId="77777777" w:rsidR="00CD50FA" w:rsidRDefault="0032653B">
            <w:pPr>
              <w:spacing w:line="240" w:lineRule="auto"/>
              <w:jc w:val="both"/>
              <w:rPr>
                <w:rFonts w:cs="Times New Roman"/>
              </w:rPr>
            </w:pPr>
            <w:r>
              <w:rPr>
                <w:rFonts w:cs="Times New Roman"/>
              </w:rPr>
              <w:t>Systematic review and meta-analysis</w:t>
            </w:r>
          </w:p>
        </w:tc>
        <w:tc>
          <w:tcPr>
            <w:tcW w:w="1872" w:type="dxa"/>
            <w:vAlign w:val="center"/>
          </w:tcPr>
          <w:p w14:paraId="62C85C04" w14:textId="77777777" w:rsidR="00CD50FA" w:rsidRDefault="0032653B">
            <w:pPr>
              <w:spacing w:line="240" w:lineRule="auto"/>
              <w:jc w:val="both"/>
              <w:rPr>
                <w:rFonts w:cs="Times New Roman"/>
              </w:rPr>
            </w:pPr>
            <w:r>
              <w:rPr>
                <w:rFonts w:cs="Times New Roman"/>
              </w:rPr>
              <w:t>Door-to-antibiotic time in sepsis</w:t>
            </w:r>
          </w:p>
        </w:tc>
        <w:tc>
          <w:tcPr>
            <w:tcW w:w="1872" w:type="dxa"/>
            <w:vAlign w:val="center"/>
          </w:tcPr>
          <w:p w14:paraId="62C85C05" w14:textId="77777777" w:rsidR="00CD50FA" w:rsidRDefault="0032653B">
            <w:pPr>
              <w:spacing w:line="240" w:lineRule="auto"/>
              <w:jc w:val="both"/>
              <w:rPr>
                <w:rFonts w:cs="Times New Roman"/>
              </w:rPr>
            </w:pPr>
            <w:r>
              <w:rPr>
                <w:rFonts w:cs="Times New Roman"/>
              </w:rPr>
              <w:t>Showed mortality benefit when antibiotics were administered within 3 hours and especially within 6 hours.</w:t>
            </w:r>
          </w:p>
        </w:tc>
      </w:tr>
    </w:tbl>
    <w:p w14:paraId="62C85C07" w14:textId="77777777" w:rsidR="00CD50FA" w:rsidRDefault="0032653B">
      <w:pPr>
        <w:pStyle w:val="Heading3"/>
        <w:jc w:val="both"/>
        <w:rPr>
          <w:rFonts w:ascii="Times New Roman" w:hAnsi="Times New Roman" w:cs="Times New Roman"/>
          <w:color w:val="auto"/>
        </w:rPr>
      </w:pPr>
      <w:r>
        <w:rPr>
          <w:rFonts w:ascii="Times New Roman" w:hAnsi="Times New Roman" w:cs="Times New Roman"/>
          <w:color w:val="auto"/>
        </w:rPr>
        <w:t>Table 2. Primary studies included in the synthesis, with emphasis on African evidence.</w:t>
      </w:r>
    </w:p>
    <w:tbl>
      <w:tblPr>
        <w:tblW w:w="0" w:type="auto"/>
        <w:jc w:val="center"/>
        <w:tblBorders>
          <w:top w:val="single" w:sz="6" w:space="0" w:color="B7C6D6"/>
          <w:left w:val="single" w:sz="6" w:space="0" w:color="B7C6D6"/>
          <w:bottom w:val="single" w:sz="6" w:space="0" w:color="B7C6D6"/>
          <w:right w:val="single" w:sz="6" w:space="0" w:color="B7C6D6"/>
          <w:insideH w:val="single" w:sz="6" w:space="0" w:color="B7C6D6"/>
          <w:insideV w:val="single" w:sz="6" w:space="0" w:color="B7C6D6"/>
        </w:tblBorders>
        <w:tblLook w:val="04A0" w:firstRow="1" w:lastRow="0" w:firstColumn="1" w:lastColumn="0" w:noHBand="0" w:noVBand="1"/>
      </w:tblPr>
      <w:tblGrid>
        <w:gridCol w:w="1299"/>
        <w:gridCol w:w="1244"/>
        <w:gridCol w:w="1563"/>
        <w:gridCol w:w="2123"/>
        <w:gridCol w:w="1498"/>
        <w:gridCol w:w="1849"/>
      </w:tblGrid>
      <w:tr w:rsidR="00CD50FA" w14:paraId="62C85C0E" w14:textId="77777777">
        <w:trPr>
          <w:tblHeader/>
          <w:jc w:val="center"/>
        </w:trPr>
        <w:tc>
          <w:tcPr>
            <w:tcW w:w="1560" w:type="dxa"/>
            <w:shd w:val="clear" w:color="auto" w:fill="D9EAF7"/>
          </w:tcPr>
          <w:p w14:paraId="62C85C08" w14:textId="77777777" w:rsidR="00CD50FA" w:rsidRDefault="0032653B">
            <w:pPr>
              <w:spacing w:line="240" w:lineRule="auto"/>
              <w:jc w:val="both"/>
              <w:rPr>
                <w:rFonts w:cs="Times New Roman"/>
                <w:b/>
                <w:bCs/>
              </w:rPr>
            </w:pPr>
            <w:r>
              <w:rPr>
                <w:rFonts w:cs="Times New Roman"/>
                <w:b/>
                <w:bCs/>
              </w:rPr>
              <w:t>Study</w:t>
            </w:r>
          </w:p>
        </w:tc>
        <w:tc>
          <w:tcPr>
            <w:tcW w:w="1560" w:type="dxa"/>
            <w:shd w:val="clear" w:color="auto" w:fill="D9EAF7"/>
          </w:tcPr>
          <w:p w14:paraId="62C85C09" w14:textId="77777777" w:rsidR="00CD50FA" w:rsidRDefault="0032653B">
            <w:pPr>
              <w:spacing w:line="240" w:lineRule="auto"/>
              <w:jc w:val="both"/>
              <w:rPr>
                <w:rFonts w:cs="Times New Roman"/>
                <w:b/>
                <w:bCs/>
              </w:rPr>
            </w:pPr>
            <w:r>
              <w:rPr>
                <w:rFonts w:cs="Times New Roman"/>
                <w:b/>
                <w:bCs/>
              </w:rPr>
              <w:t>Country</w:t>
            </w:r>
          </w:p>
        </w:tc>
        <w:tc>
          <w:tcPr>
            <w:tcW w:w="1560" w:type="dxa"/>
            <w:shd w:val="clear" w:color="auto" w:fill="D9EAF7"/>
          </w:tcPr>
          <w:p w14:paraId="62C85C0A" w14:textId="77777777" w:rsidR="00CD50FA" w:rsidRDefault="0032653B">
            <w:pPr>
              <w:spacing w:line="240" w:lineRule="auto"/>
              <w:jc w:val="both"/>
              <w:rPr>
                <w:rFonts w:cs="Times New Roman"/>
                <w:b/>
                <w:bCs/>
              </w:rPr>
            </w:pPr>
            <w:r>
              <w:rPr>
                <w:rFonts w:cs="Times New Roman"/>
                <w:b/>
                <w:bCs/>
              </w:rPr>
              <w:t>Design</w:t>
            </w:r>
          </w:p>
        </w:tc>
        <w:tc>
          <w:tcPr>
            <w:tcW w:w="1560" w:type="dxa"/>
            <w:shd w:val="clear" w:color="auto" w:fill="D9EAF7"/>
          </w:tcPr>
          <w:p w14:paraId="62C85C0B" w14:textId="29E38892" w:rsidR="00CD50FA" w:rsidRDefault="0032653B">
            <w:pPr>
              <w:spacing w:line="240" w:lineRule="auto"/>
              <w:jc w:val="both"/>
              <w:rPr>
                <w:rFonts w:cs="Times New Roman"/>
                <w:b/>
                <w:bCs/>
              </w:rPr>
            </w:pPr>
            <w:r>
              <w:rPr>
                <w:rFonts w:cs="Times New Roman"/>
                <w:b/>
                <w:bCs/>
              </w:rPr>
              <w:t>Population</w:t>
            </w:r>
            <w:r w:rsidR="00753B02">
              <w:rPr>
                <w:rFonts w:cs="Times New Roman"/>
                <w:b/>
                <w:bCs/>
              </w:rPr>
              <w:t>/</w:t>
            </w:r>
            <w:r>
              <w:rPr>
                <w:rFonts w:cs="Times New Roman"/>
                <w:b/>
                <w:bCs/>
              </w:rPr>
              <w:t>sample</w:t>
            </w:r>
          </w:p>
        </w:tc>
        <w:tc>
          <w:tcPr>
            <w:tcW w:w="1560" w:type="dxa"/>
            <w:shd w:val="clear" w:color="auto" w:fill="D9EAF7"/>
          </w:tcPr>
          <w:p w14:paraId="62C85C0C" w14:textId="77777777" w:rsidR="00CD50FA" w:rsidRDefault="0032653B">
            <w:pPr>
              <w:spacing w:line="240" w:lineRule="auto"/>
              <w:jc w:val="both"/>
              <w:rPr>
                <w:rFonts w:cs="Times New Roman"/>
                <w:b/>
                <w:bCs/>
              </w:rPr>
            </w:pPr>
            <w:r>
              <w:rPr>
                <w:rFonts w:cs="Times New Roman"/>
                <w:b/>
                <w:bCs/>
              </w:rPr>
              <w:t>Emergency focus</w:t>
            </w:r>
          </w:p>
        </w:tc>
        <w:tc>
          <w:tcPr>
            <w:tcW w:w="1560" w:type="dxa"/>
            <w:shd w:val="clear" w:color="auto" w:fill="D9EAF7"/>
          </w:tcPr>
          <w:p w14:paraId="62C85C0D" w14:textId="77777777" w:rsidR="00CD50FA" w:rsidRDefault="0032653B">
            <w:pPr>
              <w:spacing w:line="240" w:lineRule="auto"/>
              <w:jc w:val="both"/>
              <w:rPr>
                <w:rFonts w:cs="Times New Roman"/>
                <w:b/>
                <w:bCs/>
              </w:rPr>
            </w:pPr>
            <w:r>
              <w:rPr>
                <w:rFonts w:cs="Times New Roman"/>
                <w:b/>
                <w:bCs/>
              </w:rPr>
              <w:t>Key outcome contribution</w:t>
            </w:r>
          </w:p>
        </w:tc>
      </w:tr>
      <w:tr w:rsidR="00CD50FA" w14:paraId="62C85C15" w14:textId="77777777">
        <w:trPr>
          <w:jc w:val="center"/>
        </w:trPr>
        <w:tc>
          <w:tcPr>
            <w:tcW w:w="1560" w:type="dxa"/>
            <w:vAlign w:val="center"/>
          </w:tcPr>
          <w:p w14:paraId="62C85C0F" w14:textId="77777777" w:rsidR="00CD50FA" w:rsidRDefault="0032653B">
            <w:pPr>
              <w:spacing w:line="240" w:lineRule="auto"/>
              <w:jc w:val="both"/>
              <w:rPr>
                <w:rFonts w:cs="Times New Roman"/>
              </w:rPr>
            </w:pPr>
            <w:r>
              <w:rPr>
                <w:rFonts w:cs="Times New Roman"/>
              </w:rPr>
              <w:t>Hsuan et al. (2023)</w:t>
            </w:r>
          </w:p>
        </w:tc>
        <w:tc>
          <w:tcPr>
            <w:tcW w:w="1560" w:type="dxa"/>
            <w:vAlign w:val="center"/>
          </w:tcPr>
          <w:p w14:paraId="62C85C10" w14:textId="77777777" w:rsidR="00CD50FA" w:rsidRDefault="0032653B">
            <w:pPr>
              <w:spacing w:line="240" w:lineRule="auto"/>
              <w:jc w:val="both"/>
              <w:rPr>
                <w:rFonts w:cs="Times New Roman"/>
              </w:rPr>
            </w:pPr>
            <w:r>
              <w:rPr>
                <w:rFonts w:cs="Times New Roman"/>
              </w:rPr>
              <w:t>United States</w:t>
            </w:r>
          </w:p>
        </w:tc>
        <w:tc>
          <w:tcPr>
            <w:tcW w:w="1560" w:type="dxa"/>
            <w:vAlign w:val="center"/>
          </w:tcPr>
          <w:p w14:paraId="62C85C11" w14:textId="77777777" w:rsidR="00CD50FA" w:rsidRDefault="0032653B">
            <w:pPr>
              <w:spacing w:line="240" w:lineRule="auto"/>
              <w:jc w:val="both"/>
              <w:rPr>
                <w:rFonts w:cs="Times New Roman"/>
              </w:rPr>
            </w:pPr>
            <w:r>
              <w:rPr>
                <w:rFonts w:cs="Times New Roman"/>
              </w:rPr>
              <w:t>Observational study</w:t>
            </w:r>
          </w:p>
        </w:tc>
        <w:tc>
          <w:tcPr>
            <w:tcW w:w="1560" w:type="dxa"/>
            <w:vAlign w:val="center"/>
          </w:tcPr>
          <w:p w14:paraId="62C85C12" w14:textId="77777777" w:rsidR="00CD50FA" w:rsidRDefault="0032653B">
            <w:pPr>
              <w:spacing w:line="240" w:lineRule="auto"/>
              <w:jc w:val="both"/>
              <w:rPr>
                <w:rFonts w:cs="Times New Roman"/>
              </w:rPr>
            </w:pPr>
            <w:r>
              <w:rPr>
                <w:rFonts w:cs="Times New Roman"/>
              </w:rPr>
              <w:t>Statewide all-payer hospital data</w:t>
            </w:r>
          </w:p>
        </w:tc>
        <w:tc>
          <w:tcPr>
            <w:tcW w:w="1560" w:type="dxa"/>
            <w:vAlign w:val="center"/>
          </w:tcPr>
          <w:p w14:paraId="62C85C13" w14:textId="77777777" w:rsidR="00CD50FA" w:rsidRDefault="0032653B">
            <w:pPr>
              <w:spacing w:line="240" w:lineRule="auto"/>
              <w:jc w:val="both"/>
              <w:rPr>
                <w:rFonts w:cs="Times New Roman"/>
              </w:rPr>
            </w:pPr>
            <w:r>
              <w:rPr>
                <w:rFonts w:cs="Times New Roman"/>
              </w:rPr>
              <w:t>ED crowding</w:t>
            </w:r>
          </w:p>
        </w:tc>
        <w:tc>
          <w:tcPr>
            <w:tcW w:w="1560" w:type="dxa"/>
            <w:vAlign w:val="center"/>
          </w:tcPr>
          <w:p w14:paraId="62C85C14" w14:textId="77777777" w:rsidR="00CD50FA" w:rsidRDefault="0032653B">
            <w:pPr>
              <w:spacing w:line="240" w:lineRule="auto"/>
              <w:jc w:val="both"/>
              <w:rPr>
                <w:rFonts w:cs="Times New Roman"/>
              </w:rPr>
            </w:pPr>
            <w:r>
              <w:rPr>
                <w:rFonts w:cs="Times New Roman"/>
              </w:rPr>
              <w:t xml:space="preserve">Higher ED census was associated with worse inpatient outcomes, including longer stays and higher </w:t>
            </w:r>
            <w:r>
              <w:rPr>
                <w:rFonts w:cs="Times New Roman"/>
              </w:rPr>
              <w:lastRenderedPageBreak/>
              <w:t>adverse-event risk.</w:t>
            </w:r>
          </w:p>
        </w:tc>
      </w:tr>
      <w:tr w:rsidR="00CD50FA" w14:paraId="62C85C1C" w14:textId="77777777">
        <w:trPr>
          <w:jc w:val="center"/>
        </w:trPr>
        <w:tc>
          <w:tcPr>
            <w:tcW w:w="1560" w:type="dxa"/>
            <w:vAlign w:val="center"/>
          </w:tcPr>
          <w:p w14:paraId="62C85C16" w14:textId="77777777" w:rsidR="00CD50FA" w:rsidRDefault="0032653B">
            <w:pPr>
              <w:spacing w:line="240" w:lineRule="auto"/>
              <w:jc w:val="both"/>
              <w:rPr>
                <w:rFonts w:cs="Times New Roman"/>
              </w:rPr>
            </w:pPr>
            <w:proofErr w:type="spellStart"/>
            <w:r>
              <w:rPr>
                <w:rFonts w:cs="Times New Roman"/>
              </w:rPr>
              <w:lastRenderedPageBreak/>
              <w:t>Umoga</w:t>
            </w:r>
            <w:proofErr w:type="spellEnd"/>
            <w:r>
              <w:rPr>
                <w:rFonts w:cs="Times New Roman"/>
              </w:rPr>
              <w:t xml:space="preserve"> et al. (2026)</w:t>
            </w:r>
          </w:p>
        </w:tc>
        <w:tc>
          <w:tcPr>
            <w:tcW w:w="1560" w:type="dxa"/>
            <w:vAlign w:val="center"/>
          </w:tcPr>
          <w:p w14:paraId="62C85C17" w14:textId="77777777" w:rsidR="00CD50FA" w:rsidRDefault="0032653B">
            <w:pPr>
              <w:spacing w:line="240" w:lineRule="auto"/>
              <w:jc w:val="both"/>
              <w:rPr>
                <w:rFonts w:cs="Times New Roman"/>
              </w:rPr>
            </w:pPr>
            <w:r>
              <w:rPr>
                <w:rFonts w:cs="Times New Roman"/>
              </w:rPr>
              <w:t>Nigeria</w:t>
            </w:r>
          </w:p>
        </w:tc>
        <w:tc>
          <w:tcPr>
            <w:tcW w:w="1560" w:type="dxa"/>
            <w:vAlign w:val="center"/>
          </w:tcPr>
          <w:p w14:paraId="62C85C18" w14:textId="77777777" w:rsidR="00CD50FA" w:rsidRDefault="0032653B">
            <w:pPr>
              <w:spacing w:line="240" w:lineRule="auto"/>
              <w:jc w:val="both"/>
              <w:rPr>
                <w:rFonts w:cs="Times New Roman"/>
              </w:rPr>
            </w:pPr>
            <w:r>
              <w:rPr>
                <w:rFonts w:cs="Times New Roman"/>
              </w:rPr>
              <w:t>Cross-sectional facility assessment</w:t>
            </w:r>
          </w:p>
        </w:tc>
        <w:tc>
          <w:tcPr>
            <w:tcW w:w="1560" w:type="dxa"/>
            <w:vAlign w:val="center"/>
          </w:tcPr>
          <w:p w14:paraId="62C85C19" w14:textId="77777777" w:rsidR="00CD50FA" w:rsidRDefault="0032653B">
            <w:pPr>
              <w:spacing w:line="240" w:lineRule="auto"/>
              <w:jc w:val="both"/>
              <w:rPr>
                <w:rFonts w:cs="Times New Roman"/>
              </w:rPr>
            </w:pPr>
            <w:r>
              <w:rPr>
                <w:rFonts w:cs="Times New Roman"/>
              </w:rPr>
              <w:t>7 tertiary hospitals; 503 clinicians</w:t>
            </w:r>
          </w:p>
        </w:tc>
        <w:tc>
          <w:tcPr>
            <w:tcW w:w="1560" w:type="dxa"/>
            <w:vAlign w:val="center"/>
          </w:tcPr>
          <w:p w14:paraId="62C85C1A" w14:textId="77777777" w:rsidR="00CD50FA" w:rsidRDefault="0032653B">
            <w:pPr>
              <w:spacing w:line="240" w:lineRule="auto"/>
              <w:jc w:val="both"/>
              <w:rPr>
                <w:rFonts w:cs="Times New Roman"/>
              </w:rPr>
            </w:pPr>
            <w:r>
              <w:rPr>
                <w:rFonts w:cs="Times New Roman"/>
              </w:rPr>
              <w:t>Emergency-care capacity</w:t>
            </w:r>
          </w:p>
        </w:tc>
        <w:tc>
          <w:tcPr>
            <w:tcW w:w="1560" w:type="dxa"/>
            <w:vAlign w:val="center"/>
          </w:tcPr>
          <w:p w14:paraId="62C85C1B" w14:textId="77777777" w:rsidR="00CD50FA" w:rsidRDefault="0032653B">
            <w:pPr>
              <w:spacing w:line="240" w:lineRule="auto"/>
              <w:jc w:val="both"/>
              <w:rPr>
                <w:rFonts w:cs="Times New Roman"/>
              </w:rPr>
            </w:pPr>
            <w:r>
              <w:rPr>
                <w:rFonts w:cs="Times New Roman"/>
              </w:rPr>
              <w:t>Average capacity score of 2.69/3 with significant inter-site differences and weaker respiratory-failure capacity.</w:t>
            </w:r>
          </w:p>
        </w:tc>
      </w:tr>
      <w:tr w:rsidR="00CD50FA" w14:paraId="62C85C23" w14:textId="77777777">
        <w:trPr>
          <w:jc w:val="center"/>
        </w:trPr>
        <w:tc>
          <w:tcPr>
            <w:tcW w:w="1560" w:type="dxa"/>
            <w:vAlign w:val="center"/>
          </w:tcPr>
          <w:p w14:paraId="62C85C1D" w14:textId="77777777" w:rsidR="00CD50FA" w:rsidRDefault="0032653B">
            <w:pPr>
              <w:spacing w:line="240" w:lineRule="auto"/>
              <w:jc w:val="both"/>
              <w:rPr>
                <w:rFonts w:cs="Times New Roman"/>
              </w:rPr>
            </w:pPr>
            <w:proofErr w:type="spellStart"/>
            <w:r>
              <w:rPr>
                <w:rFonts w:cs="Times New Roman"/>
              </w:rPr>
              <w:t>Nto</w:t>
            </w:r>
            <w:proofErr w:type="spellEnd"/>
            <w:r>
              <w:rPr>
                <w:rFonts w:cs="Times New Roman"/>
              </w:rPr>
              <w:t xml:space="preserve"> et al. (2024)</w:t>
            </w:r>
          </w:p>
        </w:tc>
        <w:tc>
          <w:tcPr>
            <w:tcW w:w="1560" w:type="dxa"/>
            <w:vAlign w:val="center"/>
          </w:tcPr>
          <w:p w14:paraId="62C85C1E" w14:textId="77777777" w:rsidR="00CD50FA" w:rsidRDefault="0032653B">
            <w:pPr>
              <w:spacing w:line="240" w:lineRule="auto"/>
              <w:jc w:val="both"/>
              <w:rPr>
                <w:rFonts w:cs="Times New Roman"/>
              </w:rPr>
            </w:pPr>
            <w:r>
              <w:rPr>
                <w:rFonts w:cs="Times New Roman"/>
              </w:rPr>
              <w:t>Nigeria (FCT Abuja)</w:t>
            </w:r>
          </w:p>
        </w:tc>
        <w:tc>
          <w:tcPr>
            <w:tcW w:w="1560" w:type="dxa"/>
            <w:vAlign w:val="center"/>
          </w:tcPr>
          <w:p w14:paraId="62C85C1F" w14:textId="77777777" w:rsidR="00CD50FA" w:rsidRDefault="0032653B">
            <w:pPr>
              <w:spacing w:line="240" w:lineRule="auto"/>
              <w:jc w:val="both"/>
              <w:rPr>
                <w:rFonts w:cs="Times New Roman"/>
              </w:rPr>
            </w:pPr>
            <w:r>
              <w:rPr>
                <w:rFonts w:cs="Times New Roman"/>
              </w:rPr>
              <w:t>Cross-sectional survey</w:t>
            </w:r>
          </w:p>
        </w:tc>
        <w:tc>
          <w:tcPr>
            <w:tcW w:w="1560" w:type="dxa"/>
            <w:vAlign w:val="center"/>
          </w:tcPr>
          <w:p w14:paraId="62C85C20" w14:textId="77777777" w:rsidR="00CD50FA" w:rsidRDefault="0032653B">
            <w:pPr>
              <w:spacing w:line="240" w:lineRule="auto"/>
              <w:jc w:val="both"/>
              <w:rPr>
                <w:rFonts w:cs="Times New Roman"/>
              </w:rPr>
            </w:pPr>
            <w:r>
              <w:rPr>
                <w:rFonts w:cs="Times New Roman"/>
              </w:rPr>
              <w:t>Community respondents</w:t>
            </w:r>
          </w:p>
        </w:tc>
        <w:tc>
          <w:tcPr>
            <w:tcW w:w="1560" w:type="dxa"/>
            <w:vAlign w:val="center"/>
          </w:tcPr>
          <w:p w14:paraId="62C85C21" w14:textId="77777777" w:rsidR="00CD50FA" w:rsidRDefault="0032653B">
            <w:pPr>
              <w:spacing w:line="240" w:lineRule="auto"/>
              <w:jc w:val="both"/>
              <w:rPr>
                <w:rFonts w:cs="Times New Roman"/>
              </w:rPr>
            </w:pPr>
            <w:r>
              <w:rPr>
                <w:rFonts w:cs="Times New Roman"/>
              </w:rPr>
              <w:t xml:space="preserve">EMS awareness and </w:t>
            </w:r>
            <w:proofErr w:type="spellStart"/>
            <w:r>
              <w:rPr>
                <w:rFonts w:cs="Times New Roman"/>
              </w:rPr>
              <w:t>utilisation</w:t>
            </w:r>
            <w:proofErr w:type="spellEnd"/>
          </w:p>
        </w:tc>
        <w:tc>
          <w:tcPr>
            <w:tcW w:w="1560" w:type="dxa"/>
            <w:vAlign w:val="center"/>
          </w:tcPr>
          <w:p w14:paraId="62C85C22" w14:textId="77777777" w:rsidR="00CD50FA" w:rsidRDefault="0032653B">
            <w:pPr>
              <w:spacing w:line="240" w:lineRule="auto"/>
              <w:jc w:val="both"/>
              <w:rPr>
                <w:rFonts w:cs="Times New Roman"/>
              </w:rPr>
            </w:pPr>
            <w:r>
              <w:rPr>
                <w:rFonts w:cs="Times New Roman"/>
              </w:rPr>
              <w:t xml:space="preserve">Awareness of EMS exceeded </w:t>
            </w:r>
            <w:proofErr w:type="spellStart"/>
            <w:r>
              <w:rPr>
                <w:rFonts w:cs="Times New Roman"/>
              </w:rPr>
              <w:t>utilisation</w:t>
            </w:r>
            <w:proofErr w:type="spellEnd"/>
            <w:r>
              <w:rPr>
                <w:rFonts w:cs="Times New Roman"/>
              </w:rPr>
              <w:t>; only a small minority reported actual use of the toll-free EMS line.</w:t>
            </w:r>
          </w:p>
        </w:tc>
      </w:tr>
      <w:tr w:rsidR="00CD50FA" w14:paraId="62C85C2A" w14:textId="77777777">
        <w:trPr>
          <w:jc w:val="center"/>
        </w:trPr>
        <w:tc>
          <w:tcPr>
            <w:tcW w:w="1560" w:type="dxa"/>
            <w:vAlign w:val="center"/>
          </w:tcPr>
          <w:p w14:paraId="62C85C24" w14:textId="77777777" w:rsidR="00CD50FA" w:rsidRDefault="0032653B">
            <w:pPr>
              <w:spacing w:line="240" w:lineRule="auto"/>
              <w:jc w:val="both"/>
              <w:rPr>
                <w:rFonts w:cs="Times New Roman"/>
              </w:rPr>
            </w:pPr>
            <w:proofErr w:type="spellStart"/>
            <w:r>
              <w:rPr>
                <w:rFonts w:cs="Times New Roman"/>
              </w:rPr>
              <w:t>Nuradeen</w:t>
            </w:r>
            <w:proofErr w:type="spellEnd"/>
            <w:r>
              <w:rPr>
                <w:rFonts w:cs="Times New Roman"/>
              </w:rPr>
              <w:t xml:space="preserve"> et al. (2025)</w:t>
            </w:r>
          </w:p>
        </w:tc>
        <w:tc>
          <w:tcPr>
            <w:tcW w:w="1560" w:type="dxa"/>
            <w:vAlign w:val="center"/>
          </w:tcPr>
          <w:p w14:paraId="62C85C25" w14:textId="77777777" w:rsidR="00CD50FA" w:rsidRDefault="0032653B">
            <w:pPr>
              <w:spacing w:line="240" w:lineRule="auto"/>
              <w:jc w:val="both"/>
              <w:rPr>
                <w:rFonts w:cs="Times New Roman"/>
              </w:rPr>
            </w:pPr>
            <w:r>
              <w:rPr>
                <w:rFonts w:cs="Times New Roman"/>
              </w:rPr>
              <w:t>Nigeria (Sokoto)</w:t>
            </w:r>
          </w:p>
        </w:tc>
        <w:tc>
          <w:tcPr>
            <w:tcW w:w="1560" w:type="dxa"/>
            <w:vAlign w:val="center"/>
          </w:tcPr>
          <w:p w14:paraId="62C85C26" w14:textId="77777777" w:rsidR="00CD50FA" w:rsidRDefault="0032653B">
            <w:pPr>
              <w:spacing w:line="240" w:lineRule="auto"/>
              <w:jc w:val="both"/>
              <w:rPr>
                <w:rFonts w:cs="Times New Roman"/>
              </w:rPr>
            </w:pPr>
            <w:r>
              <w:rPr>
                <w:rFonts w:cs="Times New Roman"/>
              </w:rPr>
              <w:t>Retrospective service analysis</w:t>
            </w:r>
          </w:p>
        </w:tc>
        <w:tc>
          <w:tcPr>
            <w:tcW w:w="1560" w:type="dxa"/>
            <w:vAlign w:val="center"/>
          </w:tcPr>
          <w:p w14:paraId="62C85C27" w14:textId="77777777" w:rsidR="00CD50FA" w:rsidRDefault="0032653B">
            <w:pPr>
              <w:spacing w:line="240" w:lineRule="auto"/>
              <w:jc w:val="both"/>
              <w:rPr>
                <w:rFonts w:cs="Times New Roman"/>
              </w:rPr>
            </w:pPr>
            <w:r>
              <w:rPr>
                <w:rFonts w:cs="Times New Roman"/>
              </w:rPr>
              <w:t>366 trauma-</w:t>
            </w:r>
            <w:proofErr w:type="spellStart"/>
            <w:r>
              <w:rPr>
                <w:rFonts w:cs="Times New Roman"/>
              </w:rPr>
              <w:t>centre</w:t>
            </w:r>
            <w:proofErr w:type="spellEnd"/>
            <w:r>
              <w:rPr>
                <w:rFonts w:cs="Times New Roman"/>
              </w:rPr>
              <w:t xml:space="preserve"> patients</w:t>
            </w:r>
          </w:p>
        </w:tc>
        <w:tc>
          <w:tcPr>
            <w:tcW w:w="1560" w:type="dxa"/>
            <w:vAlign w:val="center"/>
          </w:tcPr>
          <w:p w14:paraId="62C85C28" w14:textId="77777777" w:rsidR="00CD50FA" w:rsidRDefault="0032653B">
            <w:pPr>
              <w:spacing w:line="240" w:lineRule="auto"/>
              <w:jc w:val="both"/>
              <w:rPr>
                <w:rFonts w:cs="Times New Roman"/>
              </w:rPr>
            </w:pPr>
            <w:r>
              <w:rPr>
                <w:rFonts w:cs="Times New Roman"/>
              </w:rPr>
              <w:t>Trauma waiting time</w:t>
            </w:r>
          </w:p>
        </w:tc>
        <w:tc>
          <w:tcPr>
            <w:tcW w:w="1560" w:type="dxa"/>
            <w:vAlign w:val="center"/>
          </w:tcPr>
          <w:p w14:paraId="62C85C29" w14:textId="77777777" w:rsidR="00CD50FA" w:rsidRDefault="0032653B">
            <w:pPr>
              <w:spacing w:line="240" w:lineRule="auto"/>
              <w:jc w:val="both"/>
              <w:rPr>
                <w:rFonts w:cs="Times New Roman"/>
              </w:rPr>
            </w:pPr>
            <w:r>
              <w:rPr>
                <w:rFonts w:cs="Times New Roman"/>
              </w:rPr>
              <w:t>Average waiting time was approximately 10.5 minutes; delays beyond 15 minutes were linked with poorer outcomes.</w:t>
            </w:r>
          </w:p>
        </w:tc>
      </w:tr>
      <w:tr w:rsidR="00CD50FA" w14:paraId="62C85C31" w14:textId="77777777">
        <w:trPr>
          <w:jc w:val="center"/>
        </w:trPr>
        <w:tc>
          <w:tcPr>
            <w:tcW w:w="1560" w:type="dxa"/>
            <w:vAlign w:val="center"/>
          </w:tcPr>
          <w:p w14:paraId="62C85C2B" w14:textId="77777777" w:rsidR="00CD50FA" w:rsidRDefault="0032653B">
            <w:pPr>
              <w:spacing w:line="240" w:lineRule="auto"/>
              <w:jc w:val="both"/>
              <w:rPr>
                <w:rFonts w:cs="Times New Roman"/>
              </w:rPr>
            </w:pPr>
            <w:proofErr w:type="spellStart"/>
            <w:r>
              <w:rPr>
                <w:rFonts w:cs="Times New Roman"/>
              </w:rPr>
              <w:t>Akase</w:t>
            </w:r>
            <w:proofErr w:type="spellEnd"/>
            <w:r>
              <w:rPr>
                <w:rFonts w:cs="Times New Roman"/>
              </w:rPr>
              <w:t xml:space="preserve"> et al. (2023)</w:t>
            </w:r>
          </w:p>
        </w:tc>
        <w:tc>
          <w:tcPr>
            <w:tcW w:w="1560" w:type="dxa"/>
            <w:vAlign w:val="center"/>
          </w:tcPr>
          <w:p w14:paraId="62C85C2C" w14:textId="77777777" w:rsidR="00CD50FA" w:rsidRDefault="0032653B">
            <w:pPr>
              <w:spacing w:line="240" w:lineRule="auto"/>
              <w:jc w:val="both"/>
              <w:rPr>
                <w:rFonts w:cs="Times New Roman"/>
              </w:rPr>
            </w:pPr>
            <w:r>
              <w:rPr>
                <w:rFonts w:cs="Times New Roman"/>
              </w:rPr>
              <w:t>Nigeria (Lagos)</w:t>
            </w:r>
          </w:p>
        </w:tc>
        <w:tc>
          <w:tcPr>
            <w:tcW w:w="1560" w:type="dxa"/>
            <w:vAlign w:val="center"/>
          </w:tcPr>
          <w:p w14:paraId="62C85C2D" w14:textId="77777777" w:rsidR="00CD50FA" w:rsidRDefault="0032653B">
            <w:pPr>
              <w:spacing w:line="240" w:lineRule="auto"/>
              <w:jc w:val="both"/>
              <w:rPr>
                <w:rFonts w:cs="Times New Roman"/>
              </w:rPr>
            </w:pPr>
            <w:r>
              <w:rPr>
                <w:rFonts w:cs="Times New Roman"/>
              </w:rPr>
              <w:t>Prospective observational cohort</w:t>
            </w:r>
          </w:p>
        </w:tc>
        <w:tc>
          <w:tcPr>
            <w:tcW w:w="1560" w:type="dxa"/>
            <w:vAlign w:val="center"/>
          </w:tcPr>
          <w:p w14:paraId="62C85C2E" w14:textId="77777777" w:rsidR="00CD50FA" w:rsidRDefault="0032653B">
            <w:pPr>
              <w:spacing w:line="240" w:lineRule="auto"/>
              <w:jc w:val="both"/>
              <w:rPr>
                <w:rFonts w:cs="Times New Roman"/>
              </w:rPr>
            </w:pPr>
            <w:r>
              <w:rPr>
                <w:rFonts w:cs="Times New Roman"/>
              </w:rPr>
              <w:t>Adults with sepsis in ED</w:t>
            </w:r>
          </w:p>
        </w:tc>
        <w:tc>
          <w:tcPr>
            <w:tcW w:w="1560" w:type="dxa"/>
            <w:vAlign w:val="center"/>
          </w:tcPr>
          <w:p w14:paraId="62C85C2F" w14:textId="77777777" w:rsidR="00CD50FA" w:rsidRDefault="0032653B">
            <w:pPr>
              <w:spacing w:line="240" w:lineRule="auto"/>
              <w:jc w:val="both"/>
              <w:rPr>
                <w:rFonts w:cs="Times New Roman"/>
              </w:rPr>
            </w:pPr>
            <w:r>
              <w:rPr>
                <w:rFonts w:cs="Times New Roman"/>
              </w:rPr>
              <w:t>Early sepsis diagnostics and mortality</w:t>
            </w:r>
          </w:p>
        </w:tc>
        <w:tc>
          <w:tcPr>
            <w:tcW w:w="1560" w:type="dxa"/>
            <w:vAlign w:val="center"/>
          </w:tcPr>
          <w:p w14:paraId="62C85C30" w14:textId="77777777" w:rsidR="00CD50FA" w:rsidRDefault="0032653B">
            <w:pPr>
              <w:spacing w:line="240" w:lineRule="auto"/>
              <w:jc w:val="both"/>
              <w:rPr>
                <w:rFonts w:cs="Times New Roman"/>
              </w:rPr>
            </w:pPr>
            <w:r>
              <w:rPr>
                <w:rFonts w:cs="Times New Roman"/>
              </w:rPr>
              <w:t>Mortality was high and compliance with lactate measurement and blood culture was low, indicating major process gaps.</w:t>
            </w:r>
          </w:p>
        </w:tc>
      </w:tr>
      <w:tr w:rsidR="00CD50FA" w14:paraId="62C85C38" w14:textId="77777777">
        <w:trPr>
          <w:jc w:val="center"/>
        </w:trPr>
        <w:tc>
          <w:tcPr>
            <w:tcW w:w="1560" w:type="dxa"/>
            <w:vAlign w:val="center"/>
          </w:tcPr>
          <w:p w14:paraId="62C85C32" w14:textId="77777777" w:rsidR="00CD50FA" w:rsidRDefault="0032653B">
            <w:pPr>
              <w:spacing w:line="240" w:lineRule="auto"/>
              <w:jc w:val="both"/>
              <w:rPr>
                <w:rFonts w:cs="Times New Roman"/>
              </w:rPr>
            </w:pPr>
            <w:r>
              <w:rPr>
                <w:rFonts w:cs="Times New Roman"/>
              </w:rPr>
              <w:t>Rice et al. (2022)</w:t>
            </w:r>
          </w:p>
        </w:tc>
        <w:tc>
          <w:tcPr>
            <w:tcW w:w="1560" w:type="dxa"/>
            <w:vAlign w:val="center"/>
          </w:tcPr>
          <w:p w14:paraId="62C85C33" w14:textId="77777777" w:rsidR="00CD50FA" w:rsidRDefault="0032653B">
            <w:pPr>
              <w:spacing w:line="240" w:lineRule="auto"/>
              <w:jc w:val="both"/>
              <w:rPr>
                <w:rFonts w:cs="Times New Roman"/>
              </w:rPr>
            </w:pPr>
            <w:r>
              <w:rPr>
                <w:rFonts w:cs="Times New Roman"/>
              </w:rPr>
              <w:t>Uganda</w:t>
            </w:r>
          </w:p>
        </w:tc>
        <w:tc>
          <w:tcPr>
            <w:tcW w:w="1560" w:type="dxa"/>
            <w:vAlign w:val="center"/>
          </w:tcPr>
          <w:p w14:paraId="62C85C34" w14:textId="77777777" w:rsidR="00CD50FA" w:rsidRDefault="0032653B">
            <w:pPr>
              <w:spacing w:line="240" w:lineRule="auto"/>
              <w:jc w:val="both"/>
              <w:rPr>
                <w:rFonts w:cs="Times New Roman"/>
              </w:rPr>
            </w:pPr>
            <w:r>
              <w:rPr>
                <w:rFonts w:cs="Times New Roman"/>
              </w:rPr>
              <w:t>Retrospective cohort</w:t>
            </w:r>
          </w:p>
        </w:tc>
        <w:tc>
          <w:tcPr>
            <w:tcW w:w="1560" w:type="dxa"/>
            <w:vAlign w:val="center"/>
          </w:tcPr>
          <w:p w14:paraId="62C85C35" w14:textId="77777777" w:rsidR="00CD50FA" w:rsidRDefault="0032653B">
            <w:pPr>
              <w:spacing w:line="240" w:lineRule="auto"/>
              <w:jc w:val="both"/>
              <w:rPr>
                <w:rFonts w:cs="Times New Roman"/>
              </w:rPr>
            </w:pPr>
            <w:r>
              <w:rPr>
                <w:rFonts w:cs="Times New Roman"/>
              </w:rPr>
              <w:t>38,033 emergency visits</w:t>
            </w:r>
          </w:p>
        </w:tc>
        <w:tc>
          <w:tcPr>
            <w:tcW w:w="1560" w:type="dxa"/>
            <w:vAlign w:val="center"/>
          </w:tcPr>
          <w:p w14:paraId="62C85C36" w14:textId="77777777" w:rsidR="00CD50FA" w:rsidRDefault="0032653B">
            <w:pPr>
              <w:spacing w:line="240" w:lineRule="auto"/>
              <w:jc w:val="both"/>
              <w:rPr>
                <w:rFonts w:cs="Times New Roman"/>
              </w:rPr>
            </w:pPr>
            <w:r>
              <w:rPr>
                <w:rFonts w:cs="Times New Roman"/>
              </w:rPr>
              <w:t>Physician supervision</w:t>
            </w:r>
          </w:p>
        </w:tc>
        <w:tc>
          <w:tcPr>
            <w:tcW w:w="1560" w:type="dxa"/>
            <w:vAlign w:val="center"/>
          </w:tcPr>
          <w:p w14:paraId="62C85C37" w14:textId="77777777" w:rsidR="00CD50FA" w:rsidRDefault="0032653B">
            <w:pPr>
              <w:spacing w:line="240" w:lineRule="auto"/>
              <w:jc w:val="both"/>
              <w:rPr>
                <w:rFonts w:cs="Times New Roman"/>
              </w:rPr>
            </w:pPr>
            <w:r>
              <w:rPr>
                <w:rFonts w:cs="Times New Roman"/>
              </w:rPr>
              <w:t xml:space="preserve">Direct and indirect physician supervision reduced mortality </w:t>
            </w:r>
            <w:r>
              <w:rPr>
                <w:rFonts w:cs="Times New Roman"/>
              </w:rPr>
              <w:lastRenderedPageBreak/>
              <w:t>relative to unsupervised non-physician care.</w:t>
            </w:r>
          </w:p>
        </w:tc>
      </w:tr>
      <w:tr w:rsidR="00CD50FA" w14:paraId="62C85C3F" w14:textId="77777777">
        <w:trPr>
          <w:jc w:val="center"/>
        </w:trPr>
        <w:tc>
          <w:tcPr>
            <w:tcW w:w="1560" w:type="dxa"/>
            <w:vAlign w:val="center"/>
          </w:tcPr>
          <w:p w14:paraId="62C85C39" w14:textId="77777777" w:rsidR="00CD50FA" w:rsidRDefault="0032653B">
            <w:pPr>
              <w:spacing w:line="240" w:lineRule="auto"/>
              <w:jc w:val="both"/>
              <w:rPr>
                <w:rFonts w:cs="Times New Roman"/>
              </w:rPr>
            </w:pPr>
            <w:r>
              <w:rPr>
                <w:rFonts w:cs="Times New Roman"/>
              </w:rPr>
              <w:lastRenderedPageBreak/>
              <w:t>Karim et al. (2025)</w:t>
            </w:r>
          </w:p>
        </w:tc>
        <w:tc>
          <w:tcPr>
            <w:tcW w:w="1560" w:type="dxa"/>
            <w:vAlign w:val="center"/>
          </w:tcPr>
          <w:p w14:paraId="62C85C3A" w14:textId="77777777" w:rsidR="00CD50FA" w:rsidRDefault="0032653B">
            <w:pPr>
              <w:spacing w:line="240" w:lineRule="auto"/>
              <w:jc w:val="both"/>
              <w:rPr>
                <w:rFonts w:cs="Times New Roman"/>
              </w:rPr>
            </w:pPr>
            <w:r>
              <w:rPr>
                <w:rFonts w:cs="Times New Roman"/>
              </w:rPr>
              <w:t>Rwanda</w:t>
            </w:r>
          </w:p>
        </w:tc>
        <w:tc>
          <w:tcPr>
            <w:tcW w:w="1560" w:type="dxa"/>
            <w:vAlign w:val="center"/>
          </w:tcPr>
          <w:p w14:paraId="62C85C3B" w14:textId="77777777" w:rsidR="00CD50FA" w:rsidRDefault="0032653B">
            <w:pPr>
              <w:spacing w:line="240" w:lineRule="auto"/>
              <w:jc w:val="both"/>
              <w:rPr>
                <w:rFonts w:cs="Times New Roman"/>
              </w:rPr>
            </w:pPr>
            <w:r>
              <w:rPr>
                <w:rFonts w:cs="Times New Roman"/>
              </w:rPr>
              <w:t>Pre-post training study</w:t>
            </w:r>
          </w:p>
        </w:tc>
        <w:tc>
          <w:tcPr>
            <w:tcW w:w="1560" w:type="dxa"/>
            <w:vAlign w:val="center"/>
          </w:tcPr>
          <w:p w14:paraId="62C85C3C" w14:textId="77777777" w:rsidR="00CD50FA" w:rsidRDefault="0032653B">
            <w:pPr>
              <w:spacing w:line="240" w:lineRule="auto"/>
              <w:jc w:val="both"/>
              <w:rPr>
                <w:rFonts w:cs="Times New Roman"/>
              </w:rPr>
            </w:pPr>
            <w:r>
              <w:rPr>
                <w:rFonts w:cs="Times New Roman"/>
              </w:rPr>
              <w:t>30 clinicians; 572 patients</w:t>
            </w:r>
          </w:p>
        </w:tc>
        <w:tc>
          <w:tcPr>
            <w:tcW w:w="1560" w:type="dxa"/>
            <w:vAlign w:val="center"/>
          </w:tcPr>
          <w:p w14:paraId="62C85C3D" w14:textId="77777777" w:rsidR="00CD50FA" w:rsidRDefault="0032653B">
            <w:pPr>
              <w:spacing w:line="240" w:lineRule="auto"/>
              <w:jc w:val="both"/>
              <w:rPr>
                <w:rFonts w:cs="Times New Roman"/>
              </w:rPr>
            </w:pPr>
            <w:r>
              <w:rPr>
                <w:rFonts w:cs="Times New Roman"/>
              </w:rPr>
              <w:t>Prehospital training</w:t>
            </w:r>
          </w:p>
        </w:tc>
        <w:tc>
          <w:tcPr>
            <w:tcW w:w="1560" w:type="dxa"/>
            <w:vAlign w:val="center"/>
          </w:tcPr>
          <w:p w14:paraId="62C85C3E" w14:textId="18FB05CF" w:rsidR="00CD50FA" w:rsidRDefault="0032653B">
            <w:pPr>
              <w:spacing w:line="240" w:lineRule="auto"/>
              <w:jc w:val="both"/>
              <w:rPr>
                <w:rFonts w:cs="Times New Roman"/>
              </w:rPr>
            </w:pPr>
            <w:r>
              <w:rPr>
                <w:rFonts w:cs="Times New Roman"/>
              </w:rPr>
              <w:t>Knowledge improved markedly</w:t>
            </w:r>
            <w:r w:rsidR="00753B02">
              <w:rPr>
                <w:rFonts w:cs="Times New Roman"/>
              </w:rPr>
              <w:t>,</w:t>
            </w:r>
            <w:r>
              <w:rPr>
                <w:rFonts w:cs="Times New Roman"/>
              </w:rPr>
              <w:t xml:space="preserve"> and oxygen administration increased after tailored EMS training.</w:t>
            </w:r>
          </w:p>
        </w:tc>
      </w:tr>
      <w:tr w:rsidR="00CD50FA" w14:paraId="62C85C46" w14:textId="77777777">
        <w:trPr>
          <w:jc w:val="center"/>
        </w:trPr>
        <w:tc>
          <w:tcPr>
            <w:tcW w:w="1560" w:type="dxa"/>
            <w:vAlign w:val="center"/>
          </w:tcPr>
          <w:p w14:paraId="62C85C40" w14:textId="77777777" w:rsidR="00CD50FA" w:rsidRDefault="0032653B">
            <w:pPr>
              <w:spacing w:line="240" w:lineRule="auto"/>
              <w:jc w:val="both"/>
              <w:rPr>
                <w:rFonts w:cs="Times New Roman"/>
              </w:rPr>
            </w:pPr>
            <w:proofErr w:type="spellStart"/>
            <w:r>
              <w:rPr>
                <w:rFonts w:cs="Times New Roman"/>
              </w:rPr>
              <w:t>Kamunga</w:t>
            </w:r>
            <w:proofErr w:type="spellEnd"/>
            <w:r>
              <w:rPr>
                <w:rFonts w:cs="Times New Roman"/>
              </w:rPr>
              <w:t xml:space="preserve"> et al. (2024)</w:t>
            </w:r>
          </w:p>
        </w:tc>
        <w:tc>
          <w:tcPr>
            <w:tcW w:w="1560" w:type="dxa"/>
            <w:vAlign w:val="center"/>
          </w:tcPr>
          <w:p w14:paraId="62C85C41" w14:textId="77777777" w:rsidR="00CD50FA" w:rsidRDefault="0032653B">
            <w:pPr>
              <w:spacing w:line="240" w:lineRule="auto"/>
              <w:jc w:val="both"/>
              <w:rPr>
                <w:rFonts w:cs="Times New Roman"/>
              </w:rPr>
            </w:pPr>
            <w:r>
              <w:rPr>
                <w:rFonts w:cs="Times New Roman"/>
              </w:rPr>
              <w:t>Rwanda</w:t>
            </w:r>
          </w:p>
        </w:tc>
        <w:tc>
          <w:tcPr>
            <w:tcW w:w="1560" w:type="dxa"/>
            <w:vAlign w:val="center"/>
          </w:tcPr>
          <w:p w14:paraId="62C85C42" w14:textId="77777777" w:rsidR="00CD50FA" w:rsidRDefault="0032653B">
            <w:pPr>
              <w:spacing w:line="240" w:lineRule="auto"/>
              <w:jc w:val="both"/>
              <w:rPr>
                <w:rFonts w:cs="Times New Roman"/>
              </w:rPr>
            </w:pPr>
            <w:r>
              <w:rPr>
                <w:rFonts w:cs="Times New Roman"/>
              </w:rPr>
              <w:t>Observational study</w:t>
            </w:r>
          </w:p>
        </w:tc>
        <w:tc>
          <w:tcPr>
            <w:tcW w:w="1560" w:type="dxa"/>
            <w:vAlign w:val="center"/>
          </w:tcPr>
          <w:p w14:paraId="62C85C43" w14:textId="77777777" w:rsidR="00CD50FA" w:rsidRDefault="0032653B">
            <w:pPr>
              <w:spacing w:line="240" w:lineRule="auto"/>
              <w:jc w:val="both"/>
              <w:rPr>
                <w:rFonts w:cs="Times New Roman"/>
              </w:rPr>
            </w:pPr>
            <w:r>
              <w:rPr>
                <w:rFonts w:cs="Times New Roman"/>
              </w:rPr>
              <w:t>Critically ill ED patients at tertiary hospital</w:t>
            </w:r>
          </w:p>
        </w:tc>
        <w:tc>
          <w:tcPr>
            <w:tcW w:w="1560" w:type="dxa"/>
            <w:vAlign w:val="center"/>
          </w:tcPr>
          <w:p w14:paraId="62C85C44" w14:textId="77777777" w:rsidR="00CD50FA" w:rsidRDefault="0032653B">
            <w:pPr>
              <w:spacing w:line="240" w:lineRule="auto"/>
              <w:jc w:val="both"/>
              <w:rPr>
                <w:rFonts w:cs="Times New Roman"/>
              </w:rPr>
            </w:pPr>
            <w:r>
              <w:rPr>
                <w:rFonts w:cs="Times New Roman"/>
              </w:rPr>
              <w:t>Critical illness in ED</w:t>
            </w:r>
          </w:p>
        </w:tc>
        <w:tc>
          <w:tcPr>
            <w:tcW w:w="1560" w:type="dxa"/>
            <w:vAlign w:val="center"/>
          </w:tcPr>
          <w:p w14:paraId="62C85C45" w14:textId="77777777" w:rsidR="00CD50FA" w:rsidRDefault="0032653B">
            <w:pPr>
              <w:spacing w:line="240" w:lineRule="auto"/>
              <w:jc w:val="both"/>
              <w:rPr>
                <w:rFonts w:cs="Times New Roman"/>
              </w:rPr>
            </w:pPr>
            <w:r>
              <w:rPr>
                <w:rFonts w:cs="Times New Roman"/>
              </w:rPr>
              <w:t>Described mortality patterns among critically ill patients and highlighted the burden of prolonged ED stays.</w:t>
            </w:r>
          </w:p>
        </w:tc>
      </w:tr>
      <w:tr w:rsidR="00CD50FA" w14:paraId="62C85C4D" w14:textId="77777777">
        <w:trPr>
          <w:jc w:val="center"/>
        </w:trPr>
        <w:tc>
          <w:tcPr>
            <w:tcW w:w="1560" w:type="dxa"/>
            <w:vAlign w:val="center"/>
          </w:tcPr>
          <w:p w14:paraId="62C85C47" w14:textId="77777777" w:rsidR="00CD50FA" w:rsidRDefault="0032653B">
            <w:pPr>
              <w:spacing w:line="240" w:lineRule="auto"/>
              <w:jc w:val="both"/>
              <w:rPr>
                <w:rFonts w:cs="Times New Roman"/>
              </w:rPr>
            </w:pPr>
            <w:proofErr w:type="spellStart"/>
            <w:r>
              <w:rPr>
                <w:rFonts w:cs="Times New Roman"/>
              </w:rPr>
              <w:t>Mjema</w:t>
            </w:r>
            <w:proofErr w:type="spellEnd"/>
            <w:r>
              <w:rPr>
                <w:rFonts w:cs="Times New Roman"/>
              </w:rPr>
              <w:t xml:space="preserve"> et al. (2020)</w:t>
            </w:r>
          </w:p>
        </w:tc>
        <w:tc>
          <w:tcPr>
            <w:tcW w:w="1560" w:type="dxa"/>
            <w:vAlign w:val="center"/>
          </w:tcPr>
          <w:p w14:paraId="62C85C48" w14:textId="77777777" w:rsidR="00CD50FA" w:rsidRDefault="0032653B">
            <w:pPr>
              <w:spacing w:line="240" w:lineRule="auto"/>
              <w:jc w:val="both"/>
              <w:rPr>
                <w:rFonts w:cs="Times New Roman"/>
              </w:rPr>
            </w:pPr>
            <w:r>
              <w:rPr>
                <w:rFonts w:cs="Times New Roman"/>
              </w:rPr>
              <w:t>Tanzania</w:t>
            </w:r>
          </w:p>
        </w:tc>
        <w:tc>
          <w:tcPr>
            <w:tcW w:w="1560" w:type="dxa"/>
            <w:vAlign w:val="center"/>
          </w:tcPr>
          <w:p w14:paraId="62C85C49" w14:textId="77777777" w:rsidR="00CD50FA" w:rsidRDefault="0032653B">
            <w:pPr>
              <w:spacing w:line="240" w:lineRule="auto"/>
              <w:jc w:val="both"/>
              <w:rPr>
                <w:rFonts w:cs="Times New Roman"/>
              </w:rPr>
            </w:pPr>
            <w:r>
              <w:rPr>
                <w:rFonts w:cs="Times New Roman"/>
              </w:rPr>
              <w:t>Prospective cohort</w:t>
            </w:r>
          </w:p>
        </w:tc>
        <w:tc>
          <w:tcPr>
            <w:tcW w:w="1560" w:type="dxa"/>
            <w:vAlign w:val="center"/>
          </w:tcPr>
          <w:p w14:paraId="62C85C4A" w14:textId="77777777" w:rsidR="00CD50FA" w:rsidRDefault="0032653B">
            <w:pPr>
              <w:spacing w:line="240" w:lineRule="auto"/>
              <w:jc w:val="both"/>
              <w:rPr>
                <w:rFonts w:cs="Times New Roman"/>
              </w:rPr>
            </w:pPr>
            <w:r>
              <w:rPr>
                <w:rFonts w:cs="Times New Roman"/>
              </w:rPr>
              <w:t>199 adults with abdominal pain</w:t>
            </w:r>
          </w:p>
        </w:tc>
        <w:tc>
          <w:tcPr>
            <w:tcW w:w="1560" w:type="dxa"/>
            <w:vAlign w:val="center"/>
          </w:tcPr>
          <w:p w14:paraId="62C85C4B" w14:textId="77777777" w:rsidR="00CD50FA" w:rsidRDefault="0032653B">
            <w:pPr>
              <w:spacing w:line="240" w:lineRule="auto"/>
              <w:jc w:val="both"/>
              <w:rPr>
                <w:rFonts w:cs="Times New Roman"/>
              </w:rPr>
            </w:pPr>
            <w:r>
              <w:rPr>
                <w:rFonts w:cs="Times New Roman"/>
              </w:rPr>
              <w:t>ED outcomes for acute abdominal pain</w:t>
            </w:r>
          </w:p>
        </w:tc>
        <w:tc>
          <w:tcPr>
            <w:tcW w:w="1560" w:type="dxa"/>
            <w:vAlign w:val="center"/>
          </w:tcPr>
          <w:p w14:paraId="62C85C4C" w14:textId="77777777" w:rsidR="00CD50FA" w:rsidRDefault="0032653B">
            <w:pPr>
              <w:spacing w:line="240" w:lineRule="auto"/>
              <w:jc w:val="both"/>
              <w:rPr>
                <w:rFonts w:cs="Times New Roman"/>
              </w:rPr>
            </w:pPr>
            <w:r>
              <w:rPr>
                <w:rFonts w:cs="Times New Roman"/>
              </w:rPr>
              <w:t xml:space="preserve">In-hospital mortality was substantial; surgery, ICU admission, and </w:t>
            </w:r>
            <w:proofErr w:type="spellStart"/>
            <w:r>
              <w:rPr>
                <w:rFonts w:cs="Times New Roman"/>
              </w:rPr>
              <w:t>hypoglycaemia</w:t>
            </w:r>
            <w:proofErr w:type="spellEnd"/>
            <w:r>
              <w:rPr>
                <w:rFonts w:cs="Times New Roman"/>
              </w:rPr>
              <w:t xml:space="preserve"> predicted worse outcomes.</w:t>
            </w:r>
          </w:p>
        </w:tc>
      </w:tr>
      <w:tr w:rsidR="00CD50FA" w14:paraId="62C85C54" w14:textId="77777777">
        <w:trPr>
          <w:jc w:val="center"/>
        </w:trPr>
        <w:tc>
          <w:tcPr>
            <w:tcW w:w="1560" w:type="dxa"/>
            <w:vAlign w:val="center"/>
          </w:tcPr>
          <w:p w14:paraId="62C85C4E" w14:textId="77777777" w:rsidR="00CD50FA" w:rsidRDefault="0032653B">
            <w:pPr>
              <w:spacing w:line="240" w:lineRule="auto"/>
              <w:jc w:val="both"/>
              <w:rPr>
                <w:rFonts w:cs="Times New Roman"/>
              </w:rPr>
            </w:pPr>
            <w:r>
              <w:rPr>
                <w:rFonts w:cs="Times New Roman"/>
              </w:rPr>
              <w:t>Abayneh et al. (2024)</w:t>
            </w:r>
          </w:p>
        </w:tc>
        <w:tc>
          <w:tcPr>
            <w:tcW w:w="1560" w:type="dxa"/>
            <w:vAlign w:val="center"/>
          </w:tcPr>
          <w:p w14:paraId="62C85C4F" w14:textId="77777777" w:rsidR="00CD50FA" w:rsidRDefault="0032653B">
            <w:pPr>
              <w:spacing w:line="240" w:lineRule="auto"/>
              <w:jc w:val="both"/>
              <w:rPr>
                <w:rFonts w:cs="Times New Roman"/>
              </w:rPr>
            </w:pPr>
            <w:r>
              <w:rPr>
                <w:rFonts w:cs="Times New Roman"/>
              </w:rPr>
              <w:t>Ethiopia</w:t>
            </w:r>
          </w:p>
        </w:tc>
        <w:tc>
          <w:tcPr>
            <w:tcW w:w="1560" w:type="dxa"/>
            <w:vAlign w:val="center"/>
          </w:tcPr>
          <w:p w14:paraId="62C85C50" w14:textId="77777777" w:rsidR="00CD50FA" w:rsidRDefault="0032653B">
            <w:pPr>
              <w:spacing w:line="240" w:lineRule="auto"/>
              <w:jc w:val="both"/>
              <w:rPr>
                <w:rFonts w:cs="Times New Roman"/>
              </w:rPr>
            </w:pPr>
            <w:r>
              <w:rPr>
                <w:rFonts w:cs="Times New Roman"/>
              </w:rPr>
              <w:t>Single-</w:t>
            </w:r>
            <w:proofErr w:type="spellStart"/>
            <w:r>
              <w:rPr>
                <w:rFonts w:cs="Times New Roman"/>
              </w:rPr>
              <w:t>centre</w:t>
            </w:r>
            <w:proofErr w:type="spellEnd"/>
            <w:r>
              <w:rPr>
                <w:rFonts w:cs="Times New Roman"/>
              </w:rPr>
              <w:t xml:space="preserve"> observational study</w:t>
            </w:r>
          </w:p>
        </w:tc>
        <w:tc>
          <w:tcPr>
            <w:tcW w:w="1560" w:type="dxa"/>
            <w:vAlign w:val="center"/>
          </w:tcPr>
          <w:p w14:paraId="62C85C51" w14:textId="77777777" w:rsidR="00CD50FA" w:rsidRDefault="0032653B">
            <w:pPr>
              <w:spacing w:line="240" w:lineRule="auto"/>
              <w:jc w:val="both"/>
              <w:rPr>
                <w:rFonts w:cs="Times New Roman"/>
              </w:rPr>
            </w:pPr>
            <w:r>
              <w:rPr>
                <w:rFonts w:cs="Times New Roman"/>
              </w:rPr>
              <w:t>Injured ED patients</w:t>
            </w:r>
          </w:p>
        </w:tc>
        <w:tc>
          <w:tcPr>
            <w:tcW w:w="1560" w:type="dxa"/>
            <w:vAlign w:val="center"/>
          </w:tcPr>
          <w:p w14:paraId="62C85C52" w14:textId="77777777" w:rsidR="00CD50FA" w:rsidRDefault="0032653B">
            <w:pPr>
              <w:spacing w:line="240" w:lineRule="auto"/>
              <w:jc w:val="both"/>
              <w:rPr>
                <w:rFonts w:cs="Times New Roman"/>
              </w:rPr>
            </w:pPr>
            <w:r>
              <w:rPr>
                <w:rFonts w:cs="Times New Roman"/>
              </w:rPr>
              <w:t>Trauma presentation and mortality</w:t>
            </w:r>
          </w:p>
        </w:tc>
        <w:tc>
          <w:tcPr>
            <w:tcW w:w="1560" w:type="dxa"/>
            <w:vAlign w:val="center"/>
          </w:tcPr>
          <w:p w14:paraId="62C85C53" w14:textId="77777777" w:rsidR="00CD50FA" w:rsidRDefault="0032653B">
            <w:pPr>
              <w:spacing w:line="240" w:lineRule="auto"/>
              <w:jc w:val="both"/>
              <w:rPr>
                <w:rFonts w:cs="Times New Roman"/>
              </w:rPr>
            </w:pPr>
            <w:r>
              <w:rPr>
                <w:rFonts w:cs="Times New Roman"/>
              </w:rPr>
              <w:t>Early arrival remained limited and emergency mortality persisted, underscoring transport and triage challenges.</w:t>
            </w:r>
          </w:p>
        </w:tc>
      </w:tr>
      <w:tr w:rsidR="00CD50FA" w14:paraId="62C85C5B" w14:textId="77777777">
        <w:trPr>
          <w:jc w:val="center"/>
        </w:trPr>
        <w:tc>
          <w:tcPr>
            <w:tcW w:w="1560" w:type="dxa"/>
            <w:vAlign w:val="center"/>
          </w:tcPr>
          <w:p w14:paraId="62C85C55" w14:textId="77777777" w:rsidR="00CD50FA" w:rsidRDefault="0032653B">
            <w:pPr>
              <w:spacing w:line="240" w:lineRule="auto"/>
              <w:jc w:val="both"/>
              <w:rPr>
                <w:rFonts w:cs="Times New Roman"/>
              </w:rPr>
            </w:pPr>
            <w:proofErr w:type="spellStart"/>
            <w:r>
              <w:rPr>
                <w:rFonts w:cs="Times New Roman"/>
              </w:rPr>
              <w:t>Sonenthal</w:t>
            </w:r>
            <w:proofErr w:type="spellEnd"/>
            <w:r>
              <w:rPr>
                <w:rFonts w:cs="Times New Roman"/>
              </w:rPr>
              <w:t xml:space="preserve"> et al. (2022)</w:t>
            </w:r>
          </w:p>
        </w:tc>
        <w:tc>
          <w:tcPr>
            <w:tcW w:w="1560" w:type="dxa"/>
            <w:vAlign w:val="center"/>
          </w:tcPr>
          <w:p w14:paraId="62C85C56" w14:textId="77777777" w:rsidR="00CD50FA" w:rsidRDefault="0032653B">
            <w:pPr>
              <w:spacing w:line="240" w:lineRule="auto"/>
              <w:jc w:val="both"/>
              <w:rPr>
                <w:rFonts w:cs="Times New Roman"/>
              </w:rPr>
            </w:pPr>
            <w:r>
              <w:rPr>
                <w:rFonts w:cs="Times New Roman"/>
              </w:rPr>
              <w:t>Malawi</w:t>
            </w:r>
          </w:p>
        </w:tc>
        <w:tc>
          <w:tcPr>
            <w:tcW w:w="1560" w:type="dxa"/>
            <w:vAlign w:val="center"/>
          </w:tcPr>
          <w:p w14:paraId="62C85C57" w14:textId="77777777" w:rsidR="00CD50FA" w:rsidRDefault="0032653B">
            <w:pPr>
              <w:spacing w:line="240" w:lineRule="auto"/>
              <w:jc w:val="both"/>
              <w:rPr>
                <w:rFonts w:cs="Times New Roman"/>
              </w:rPr>
            </w:pPr>
            <w:r>
              <w:rPr>
                <w:rFonts w:cs="Times New Roman"/>
              </w:rPr>
              <w:t>National facility assessment</w:t>
            </w:r>
          </w:p>
        </w:tc>
        <w:tc>
          <w:tcPr>
            <w:tcW w:w="1560" w:type="dxa"/>
            <w:vAlign w:val="center"/>
          </w:tcPr>
          <w:p w14:paraId="62C85C58" w14:textId="77777777" w:rsidR="00CD50FA" w:rsidRDefault="0032653B">
            <w:pPr>
              <w:spacing w:line="240" w:lineRule="auto"/>
              <w:jc w:val="both"/>
              <w:rPr>
                <w:rFonts w:cs="Times New Roman"/>
              </w:rPr>
            </w:pPr>
            <w:r>
              <w:rPr>
                <w:rFonts w:cs="Times New Roman"/>
              </w:rPr>
              <w:t>13 public hospitals</w:t>
            </w:r>
          </w:p>
        </w:tc>
        <w:tc>
          <w:tcPr>
            <w:tcW w:w="1560" w:type="dxa"/>
            <w:vAlign w:val="center"/>
          </w:tcPr>
          <w:p w14:paraId="62C85C59" w14:textId="77777777" w:rsidR="00CD50FA" w:rsidRDefault="0032653B">
            <w:pPr>
              <w:spacing w:line="240" w:lineRule="auto"/>
              <w:jc w:val="both"/>
              <w:rPr>
                <w:rFonts w:cs="Times New Roman"/>
              </w:rPr>
            </w:pPr>
            <w:r>
              <w:rPr>
                <w:rFonts w:cs="Times New Roman"/>
              </w:rPr>
              <w:t xml:space="preserve">Emergency and critical care </w:t>
            </w:r>
            <w:r>
              <w:rPr>
                <w:rFonts w:cs="Times New Roman"/>
              </w:rPr>
              <w:lastRenderedPageBreak/>
              <w:t>readiness</w:t>
            </w:r>
          </w:p>
        </w:tc>
        <w:tc>
          <w:tcPr>
            <w:tcW w:w="1560" w:type="dxa"/>
            <w:vAlign w:val="center"/>
          </w:tcPr>
          <w:p w14:paraId="62C85C5A" w14:textId="711A9596" w:rsidR="00CD50FA" w:rsidRDefault="0032653B">
            <w:pPr>
              <w:spacing w:line="240" w:lineRule="auto"/>
              <w:jc w:val="both"/>
              <w:rPr>
                <w:rFonts w:cs="Times New Roman"/>
              </w:rPr>
            </w:pPr>
            <w:r>
              <w:rPr>
                <w:rFonts w:cs="Times New Roman"/>
              </w:rPr>
              <w:lastRenderedPageBreak/>
              <w:t>Readiness varied widely</w:t>
            </w:r>
            <w:r w:rsidR="00753B02">
              <w:rPr>
                <w:rFonts w:cs="Times New Roman"/>
              </w:rPr>
              <w:t>,</w:t>
            </w:r>
            <w:r>
              <w:rPr>
                <w:rFonts w:cs="Times New Roman"/>
              </w:rPr>
              <w:t xml:space="preserve"> and resource gaps </w:t>
            </w:r>
            <w:r>
              <w:rPr>
                <w:rFonts w:cs="Times New Roman"/>
              </w:rPr>
              <w:lastRenderedPageBreak/>
              <w:t>were common across emergency and critical care domains.</w:t>
            </w:r>
          </w:p>
        </w:tc>
      </w:tr>
      <w:tr w:rsidR="00CD50FA" w14:paraId="62C85C62" w14:textId="77777777">
        <w:trPr>
          <w:jc w:val="center"/>
        </w:trPr>
        <w:tc>
          <w:tcPr>
            <w:tcW w:w="1560" w:type="dxa"/>
            <w:vAlign w:val="center"/>
          </w:tcPr>
          <w:p w14:paraId="62C85C5C" w14:textId="77777777" w:rsidR="00CD50FA" w:rsidRDefault="0032653B">
            <w:pPr>
              <w:spacing w:line="240" w:lineRule="auto"/>
              <w:jc w:val="both"/>
              <w:rPr>
                <w:rFonts w:cs="Times New Roman"/>
              </w:rPr>
            </w:pPr>
            <w:proofErr w:type="spellStart"/>
            <w:r>
              <w:rPr>
                <w:rFonts w:cs="Times New Roman"/>
              </w:rPr>
              <w:lastRenderedPageBreak/>
              <w:t>Khongo</w:t>
            </w:r>
            <w:proofErr w:type="spellEnd"/>
            <w:r>
              <w:rPr>
                <w:rFonts w:cs="Times New Roman"/>
              </w:rPr>
              <w:t xml:space="preserve"> et al. (2023)</w:t>
            </w:r>
          </w:p>
        </w:tc>
        <w:tc>
          <w:tcPr>
            <w:tcW w:w="1560" w:type="dxa"/>
            <w:vAlign w:val="center"/>
          </w:tcPr>
          <w:p w14:paraId="62C85C5D" w14:textId="77777777" w:rsidR="00CD50FA" w:rsidRDefault="0032653B">
            <w:pPr>
              <w:spacing w:line="240" w:lineRule="auto"/>
              <w:jc w:val="both"/>
              <w:rPr>
                <w:rFonts w:cs="Times New Roman"/>
              </w:rPr>
            </w:pPr>
            <w:r>
              <w:rPr>
                <w:rFonts w:cs="Times New Roman"/>
              </w:rPr>
              <w:t>Malawi</w:t>
            </w:r>
          </w:p>
        </w:tc>
        <w:tc>
          <w:tcPr>
            <w:tcW w:w="1560" w:type="dxa"/>
            <w:vAlign w:val="center"/>
          </w:tcPr>
          <w:p w14:paraId="62C85C5E" w14:textId="77777777" w:rsidR="00CD50FA" w:rsidRDefault="0032653B">
            <w:pPr>
              <w:spacing w:line="240" w:lineRule="auto"/>
              <w:jc w:val="both"/>
              <w:rPr>
                <w:rFonts w:cs="Times New Roman"/>
              </w:rPr>
            </w:pPr>
            <w:r>
              <w:rPr>
                <w:rFonts w:cs="Times New Roman"/>
              </w:rPr>
              <w:t>Feasibility and impact study</w:t>
            </w:r>
          </w:p>
        </w:tc>
        <w:tc>
          <w:tcPr>
            <w:tcW w:w="1560" w:type="dxa"/>
            <w:vAlign w:val="center"/>
          </w:tcPr>
          <w:p w14:paraId="62C85C5F" w14:textId="77777777" w:rsidR="00CD50FA" w:rsidRDefault="0032653B">
            <w:pPr>
              <w:spacing w:line="240" w:lineRule="auto"/>
              <w:jc w:val="both"/>
              <w:rPr>
                <w:rFonts w:cs="Times New Roman"/>
              </w:rPr>
            </w:pPr>
            <w:r>
              <w:rPr>
                <w:rFonts w:cs="Times New Roman"/>
              </w:rPr>
              <w:t>Rural providers</w:t>
            </w:r>
          </w:p>
        </w:tc>
        <w:tc>
          <w:tcPr>
            <w:tcW w:w="1560" w:type="dxa"/>
            <w:vAlign w:val="center"/>
          </w:tcPr>
          <w:p w14:paraId="62C85C60" w14:textId="77777777" w:rsidR="00CD50FA" w:rsidRDefault="0032653B">
            <w:pPr>
              <w:spacing w:line="240" w:lineRule="auto"/>
              <w:jc w:val="both"/>
              <w:rPr>
                <w:rFonts w:cs="Times New Roman"/>
              </w:rPr>
            </w:pPr>
            <w:r>
              <w:rPr>
                <w:rFonts w:cs="Times New Roman"/>
              </w:rPr>
              <w:t>Basic emergency care training</w:t>
            </w:r>
          </w:p>
        </w:tc>
        <w:tc>
          <w:tcPr>
            <w:tcW w:w="1560" w:type="dxa"/>
            <w:vAlign w:val="center"/>
          </w:tcPr>
          <w:p w14:paraId="62C85C61" w14:textId="77777777" w:rsidR="00CD50FA" w:rsidRDefault="0032653B">
            <w:pPr>
              <w:spacing w:line="240" w:lineRule="auto"/>
              <w:jc w:val="both"/>
              <w:rPr>
                <w:rFonts w:cs="Times New Roman"/>
              </w:rPr>
            </w:pPr>
            <w:r>
              <w:rPr>
                <w:rFonts w:cs="Times New Roman"/>
              </w:rPr>
              <w:t>Training and mentorship were feasible and improved provider capability in a low-resource district setting.</w:t>
            </w:r>
          </w:p>
        </w:tc>
      </w:tr>
      <w:tr w:rsidR="00CD50FA" w14:paraId="62C85C69" w14:textId="77777777">
        <w:trPr>
          <w:jc w:val="center"/>
        </w:trPr>
        <w:tc>
          <w:tcPr>
            <w:tcW w:w="1560" w:type="dxa"/>
            <w:vAlign w:val="center"/>
          </w:tcPr>
          <w:p w14:paraId="62C85C63" w14:textId="77777777" w:rsidR="00CD50FA" w:rsidRDefault="0032653B">
            <w:pPr>
              <w:spacing w:line="240" w:lineRule="auto"/>
              <w:jc w:val="both"/>
              <w:rPr>
                <w:rFonts w:cs="Times New Roman"/>
              </w:rPr>
            </w:pPr>
            <w:proofErr w:type="spellStart"/>
            <w:r>
              <w:rPr>
                <w:rFonts w:cs="Times New Roman"/>
              </w:rPr>
              <w:t>Gyedu</w:t>
            </w:r>
            <w:proofErr w:type="spellEnd"/>
            <w:r>
              <w:rPr>
                <w:rFonts w:cs="Times New Roman"/>
              </w:rPr>
              <w:t xml:space="preserve"> et al. (2024)</w:t>
            </w:r>
          </w:p>
        </w:tc>
        <w:tc>
          <w:tcPr>
            <w:tcW w:w="1560" w:type="dxa"/>
            <w:vAlign w:val="center"/>
          </w:tcPr>
          <w:p w14:paraId="62C85C64" w14:textId="77777777" w:rsidR="00CD50FA" w:rsidRDefault="0032653B">
            <w:pPr>
              <w:spacing w:line="240" w:lineRule="auto"/>
              <w:jc w:val="both"/>
              <w:rPr>
                <w:rFonts w:cs="Times New Roman"/>
              </w:rPr>
            </w:pPr>
            <w:r>
              <w:rPr>
                <w:rFonts w:cs="Times New Roman"/>
              </w:rPr>
              <w:t>Ghana</w:t>
            </w:r>
          </w:p>
        </w:tc>
        <w:tc>
          <w:tcPr>
            <w:tcW w:w="1560" w:type="dxa"/>
            <w:vAlign w:val="center"/>
          </w:tcPr>
          <w:p w14:paraId="62C85C65" w14:textId="521E2365" w:rsidR="00CD50FA" w:rsidRDefault="0032653B">
            <w:pPr>
              <w:spacing w:line="240" w:lineRule="auto"/>
              <w:jc w:val="both"/>
              <w:rPr>
                <w:rFonts w:cs="Times New Roman"/>
              </w:rPr>
            </w:pPr>
            <w:r>
              <w:rPr>
                <w:rFonts w:cs="Times New Roman"/>
              </w:rPr>
              <w:t xml:space="preserve">Stepped-wedge cluster </w:t>
            </w:r>
            <w:proofErr w:type="spellStart"/>
            <w:r>
              <w:rPr>
                <w:rFonts w:cs="Times New Roman"/>
              </w:rPr>
              <w:t>randomi</w:t>
            </w:r>
            <w:r w:rsidR="00753B02">
              <w:rPr>
                <w:rFonts w:cs="Times New Roman"/>
              </w:rPr>
              <w:t>s</w:t>
            </w:r>
            <w:r>
              <w:rPr>
                <w:rFonts w:cs="Times New Roman"/>
              </w:rPr>
              <w:t>ed</w:t>
            </w:r>
            <w:proofErr w:type="spellEnd"/>
            <w:r>
              <w:rPr>
                <w:rFonts w:cs="Times New Roman"/>
              </w:rPr>
              <w:t xml:space="preserve"> trial</w:t>
            </w:r>
          </w:p>
        </w:tc>
        <w:tc>
          <w:tcPr>
            <w:tcW w:w="1560" w:type="dxa"/>
            <w:vAlign w:val="center"/>
          </w:tcPr>
          <w:p w14:paraId="62C85C66" w14:textId="77777777" w:rsidR="00CD50FA" w:rsidRDefault="0032653B">
            <w:pPr>
              <w:spacing w:line="240" w:lineRule="auto"/>
              <w:jc w:val="both"/>
              <w:rPr>
                <w:rFonts w:cs="Times New Roman"/>
              </w:rPr>
            </w:pPr>
            <w:r>
              <w:rPr>
                <w:rFonts w:cs="Times New Roman"/>
              </w:rPr>
              <w:t>Non-tertiary hospitals</w:t>
            </w:r>
          </w:p>
        </w:tc>
        <w:tc>
          <w:tcPr>
            <w:tcW w:w="1560" w:type="dxa"/>
            <w:vAlign w:val="center"/>
          </w:tcPr>
          <w:p w14:paraId="62C85C67" w14:textId="77777777" w:rsidR="00CD50FA" w:rsidRDefault="0032653B">
            <w:pPr>
              <w:spacing w:line="240" w:lineRule="auto"/>
              <w:jc w:val="both"/>
              <w:rPr>
                <w:rFonts w:cs="Times New Roman"/>
              </w:rPr>
            </w:pPr>
            <w:r>
              <w:rPr>
                <w:rFonts w:cs="Times New Roman"/>
              </w:rPr>
              <w:t>Injury assessment and reassessment</w:t>
            </w:r>
          </w:p>
        </w:tc>
        <w:tc>
          <w:tcPr>
            <w:tcW w:w="1560" w:type="dxa"/>
            <w:vAlign w:val="center"/>
          </w:tcPr>
          <w:p w14:paraId="62C85C68" w14:textId="77777777" w:rsidR="00CD50FA" w:rsidRDefault="0032653B">
            <w:pPr>
              <w:spacing w:line="240" w:lineRule="auto"/>
              <w:jc w:val="both"/>
              <w:rPr>
                <w:rFonts w:cs="Times New Roman"/>
              </w:rPr>
            </w:pPr>
            <w:r>
              <w:rPr>
                <w:rFonts w:cs="Times New Roman"/>
              </w:rPr>
              <w:t xml:space="preserve">A </w:t>
            </w:r>
            <w:proofErr w:type="spellStart"/>
            <w:r>
              <w:rPr>
                <w:rFonts w:cs="Times New Roman"/>
              </w:rPr>
              <w:t>standardised</w:t>
            </w:r>
            <w:proofErr w:type="spellEnd"/>
            <w:r>
              <w:rPr>
                <w:rFonts w:cs="Times New Roman"/>
              </w:rPr>
              <w:t xml:space="preserve"> trauma intake form improved assessment and reassessment of injured patients.</w:t>
            </w:r>
          </w:p>
        </w:tc>
      </w:tr>
      <w:tr w:rsidR="00CD50FA" w14:paraId="62C85C70" w14:textId="77777777">
        <w:trPr>
          <w:jc w:val="center"/>
        </w:trPr>
        <w:tc>
          <w:tcPr>
            <w:tcW w:w="1560" w:type="dxa"/>
            <w:vAlign w:val="center"/>
          </w:tcPr>
          <w:p w14:paraId="62C85C6A" w14:textId="77777777" w:rsidR="00CD50FA" w:rsidRDefault="0032653B">
            <w:pPr>
              <w:spacing w:line="240" w:lineRule="auto"/>
              <w:jc w:val="both"/>
              <w:rPr>
                <w:rFonts w:cs="Times New Roman"/>
              </w:rPr>
            </w:pPr>
            <w:r>
              <w:rPr>
                <w:rFonts w:cs="Times New Roman"/>
              </w:rPr>
              <w:t>Afrifa-Yamoah et al. (2024)</w:t>
            </w:r>
          </w:p>
        </w:tc>
        <w:tc>
          <w:tcPr>
            <w:tcW w:w="1560" w:type="dxa"/>
            <w:vAlign w:val="center"/>
          </w:tcPr>
          <w:p w14:paraId="62C85C6B" w14:textId="77777777" w:rsidR="00CD50FA" w:rsidRDefault="0032653B">
            <w:pPr>
              <w:spacing w:line="240" w:lineRule="auto"/>
              <w:jc w:val="both"/>
              <w:rPr>
                <w:rFonts w:cs="Times New Roman"/>
              </w:rPr>
            </w:pPr>
            <w:r>
              <w:rPr>
                <w:rFonts w:cs="Times New Roman"/>
              </w:rPr>
              <w:t>Ghana</w:t>
            </w:r>
          </w:p>
        </w:tc>
        <w:tc>
          <w:tcPr>
            <w:tcW w:w="1560" w:type="dxa"/>
            <w:vAlign w:val="center"/>
          </w:tcPr>
          <w:p w14:paraId="62C85C6C" w14:textId="77777777" w:rsidR="00CD50FA" w:rsidRDefault="0032653B">
            <w:pPr>
              <w:spacing w:line="240" w:lineRule="auto"/>
              <w:jc w:val="both"/>
              <w:rPr>
                <w:rFonts w:cs="Times New Roman"/>
              </w:rPr>
            </w:pPr>
            <w:proofErr w:type="spellStart"/>
            <w:r>
              <w:rPr>
                <w:rFonts w:cs="Times New Roman"/>
              </w:rPr>
              <w:t>Multicentre</w:t>
            </w:r>
            <w:proofErr w:type="spellEnd"/>
            <w:r>
              <w:rPr>
                <w:rFonts w:cs="Times New Roman"/>
              </w:rPr>
              <w:t xml:space="preserve"> analytical study</w:t>
            </w:r>
          </w:p>
        </w:tc>
        <w:tc>
          <w:tcPr>
            <w:tcW w:w="1560" w:type="dxa"/>
            <w:vAlign w:val="center"/>
          </w:tcPr>
          <w:p w14:paraId="62C85C6D" w14:textId="77777777" w:rsidR="00CD50FA" w:rsidRDefault="0032653B">
            <w:pPr>
              <w:spacing w:line="240" w:lineRule="auto"/>
              <w:jc w:val="both"/>
              <w:rPr>
                <w:rFonts w:cs="Times New Roman"/>
              </w:rPr>
            </w:pPr>
            <w:r>
              <w:rPr>
                <w:rFonts w:cs="Times New Roman"/>
              </w:rPr>
              <w:t>Lower-tier providers</w:t>
            </w:r>
          </w:p>
        </w:tc>
        <w:tc>
          <w:tcPr>
            <w:tcW w:w="1560" w:type="dxa"/>
            <w:vAlign w:val="center"/>
          </w:tcPr>
          <w:p w14:paraId="62C85C6E" w14:textId="77777777" w:rsidR="00CD50FA" w:rsidRDefault="0032653B">
            <w:pPr>
              <w:spacing w:line="240" w:lineRule="auto"/>
              <w:jc w:val="both"/>
              <w:rPr>
                <w:rFonts w:cs="Times New Roman"/>
              </w:rPr>
            </w:pPr>
            <w:r>
              <w:rPr>
                <w:rFonts w:cs="Times New Roman"/>
              </w:rPr>
              <w:t>Emergency-care ecology</w:t>
            </w:r>
          </w:p>
        </w:tc>
        <w:tc>
          <w:tcPr>
            <w:tcW w:w="1560" w:type="dxa"/>
            <w:vAlign w:val="center"/>
          </w:tcPr>
          <w:p w14:paraId="62C85C6F" w14:textId="77777777" w:rsidR="00CD50FA" w:rsidRDefault="0032653B">
            <w:pPr>
              <w:spacing w:line="240" w:lineRule="auto"/>
              <w:jc w:val="both"/>
              <w:rPr>
                <w:rFonts w:cs="Times New Roman"/>
              </w:rPr>
            </w:pPr>
            <w:r>
              <w:rPr>
                <w:rFonts w:cs="Times New Roman"/>
              </w:rPr>
              <w:t>Showed the central role of lower-tier providers in first-contact emergency care and system interdependence.</w:t>
            </w:r>
          </w:p>
        </w:tc>
      </w:tr>
      <w:tr w:rsidR="00CD50FA" w14:paraId="62C85C77" w14:textId="77777777">
        <w:trPr>
          <w:jc w:val="center"/>
        </w:trPr>
        <w:tc>
          <w:tcPr>
            <w:tcW w:w="1560" w:type="dxa"/>
            <w:vAlign w:val="center"/>
          </w:tcPr>
          <w:p w14:paraId="62C85C71" w14:textId="77777777" w:rsidR="00CD50FA" w:rsidRDefault="0032653B">
            <w:pPr>
              <w:spacing w:line="240" w:lineRule="auto"/>
              <w:jc w:val="both"/>
              <w:rPr>
                <w:rFonts w:cs="Times New Roman"/>
              </w:rPr>
            </w:pPr>
            <w:r>
              <w:rPr>
                <w:rFonts w:cs="Times New Roman"/>
              </w:rPr>
              <w:t>Vlok et al. (2023)</w:t>
            </w:r>
          </w:p>
        </w:tc>
        <w:tc>
          <w:tcPr>
            <w:tcW w:w="1560" w:type="dxa"/>
            <w:vAlign w:val="center"/>
          </w:tcPr>
          <w:p w14:paraId="62C85C72" w14:textId="77777777" w:rsidR="00CD50FA" w:rsidRDefault="0032653B">
            <w:pPr>
              <w:spacing w:line="240" w:lineRule="auto"/>
              <w:jc w:val="both"/>
              <w:rPr>
                <w:rFonts w:cs="Times New Roman"/>
              </w:rPr>
            </w:pPr>
            <w:r>
              <w:rPr>
                <w:rFonts w:cs="Times New Roman"/>
              </w:rPr>
              <w:t>South Africa</w:t>
            </w:r>
          </w:p>
        </w:tc>
        <w:tc>
          <w:tcPr>
            <w:tcW w:w="1560" w:type="dxa"/>
            <w:vAlign w:val="center"/>
          </w:tcPr>
          <w:p w14:paraId="62C85C73" w14:textId="77777777" w:rsidR="00CD50FA" w:rsidRDefault="0032653B">
            <w:pPr>
              <w:spacing w:line="240" w:lineRule="auto"/>
              <w:jc w:val="both"/>
              <w:rPr>
                <w:rFonts w:cs="Times New Roman"/>
              </w:rPr>
            </w:pPr>
            <w:r>
              <w:rPr>
                <w:rFonts w:cs="Times New Roman"/>
              </w:rPr>
              <w:t>Retrospective descriptive study</w:t>
            </w:r>
          </w:p>
        </w:tc>
        <w:tc>
          <w:tcPr>
            <w:tcW w:w="1560" w:type="dxa"/>
            <w:vAlign w:val="center"/>
          </w:tcPr>
          <w:p w14:paraId="62C85C74" w14:textId="77777777" w:rsidR="00CD50FA" w:rsidRDefault="0032653B">
            <w:pPr>
              <w:spacing w:line="240" w:lineRule="auto"/>
              <w:jc w:val="both"/>
              <w:rPr>
                <w:rFonts w:cs="Times New Roman"/>
              </w:rPr>
            </w:pPr>
            <w:r>
              <w:rPr>
                <w:rFonts w:cs="Times New Roman"/>
              </w:rPr>
              <w:t>Single HEMS operator across 4 provinces</w:t>
            </w:r>
          </w:p>
        </w:tc>
        <w:tc>
          <w:tcPr>
            <w:tcW w:w="1560" w:type="dxa"/>
            <w:vAlign w:val="center"/>
          </w:tcPr>
          <w:p w14:paraId="62C85C75" w14:textId="77777777" w:rsidR="00CD50FA" w:rsidRDefault="0032653B">
            <w:pPr>
              <w:spacing w:line="240" w:lineRule="auto"/>
              <w:jc w:val="both"/>
              <w:rPr>
                <w:rFonts w:cs="Times New Roman"/>
              </w:rPr>
            </w:pPr>
            <w:r>
              <w:rPr>
                <w:rFonts w:cs="Times New Roman"/>
              </w:rPr>
              <w:t>Helicopter EMS</w:t>
            </w:r>
          </w:p>
        </w:tc>
        <w:tc>
          <w:tcPr>
            <w:tcW w:w="1560" w:type="dxa"/>
            <w:vAlign w:val="center"/>
          </w:tcPr>
          <w:p w14:paraId="62C85C76" w14:textId="77777777" w:rsidR="00CD50FA" w:rsidRDefault="0032653B">
            <w:pPr>
              <w:spacing w:line="240" w:lineRule="auto"/>
              <w:jc w:val="both"/>
              <w:rPr>
                <w:rFonts w:cs="Times New Roman"/>
              </w:rPr>
            </w:pPr>
            <w:r>
              <w:rPr>
                <w:rFonts w:cs="Times New Roman"/>
              </w:rPr>
              <w:t>Showed the case mix, use profile, and operational realities of HEMS in a middle-income African setting.</w:t>
            </w:r>
          </w:p>
        </w:tc>
      </w:tr>
      <w:tr w:rsidR="00CD50FA" w14:paraId="62C85C7E" w14:textId="77777777">
        <w:trPr>
          <w:jc w:val="center"/>
        </w:trPr>
        <w:tc>
          <w:tcPr>
            <w:tcW w:w="1560" w:type="dxa"/>
            <w:vAlign w:val="center"/>
          </w:tcPr>
          <w:p w14:paraId="62C85C78" w14:textId="77777777" w:rsidR="00CD50FA" w:rsidRDefault="0032653B">
            <w:pPr>
              <w:spacing w:line="240" w:lineRule="auto"/>
              <w:jc w:val="both"/>
              <w:rPr>
                <w:rFonts w:cs="Times New Roman"/>
              </w:rPr>
            </w:pPr>
            <w:r>
              <w:rPr>
                <w:rFonts w:cs="Times New Roman"/>
              </w:rPr>
              <w:t>Adewole et al. (2024)</w:t>
            </w:r>
          </w:p>
        </w:tc>
        <w:tc>
          <w:tcPr>
            <w:tcW w:w="1560" w:type="dxa"/>
            <w:vAlign w:val="center"/>
          </w:tcPr>
          <w:p w14:paraId="62C85C79" w14:textId="77777777" w:rsidR="00CD50FA" w:rsidRDefault="0032653B">
            <w:pPr>
              <w:spacing w:line="240" w:lineRule="auto"/>
              <w:jc w:val="both"/>
              <w:rPr>
                <w:rFonts w:cs="Times New Roman"/>
              </w:rPr>
            </w:pPr>
            <w:r>
              <w:rPr>
                <w:rFonts w:cs="Times New Roman"/>
              </w:rPr>
              <w:t>South Africa</w:t>
            </w:r>
          </w:p>
        </w:tc>
        <w:tc>
          <w:tcPr>
            <w:tcW w:w="1560" w:type="dxa"/>
            <w:vAlign w:val="center"/>
          </w:tcPr>
          <w:p w14:paraId="62C85C7A" w14:textId="77777777" w:rsidR="00CD50FA" w:rsidRDefault="0032653B">
            <w:pPr>
              <w:spacing w:line="240" w:lineRule="auto"/>
              <w:jc w:val="both"/>
              <w:rPr>
                <w:rFonts w:cs="Times New Roman"/>
              </w:rPr>
            </w:pPr>
            <w:r>
              <w:rPr>
                <w:rFonts w:cs="Times New Roman"/>
              </w:rPr>
              <w:t>Hospital-based observational study</w:t>
            </w:r>
          </w:p>
        </w:tc>
        <w:tc>
          <w:tcPr>
            <w:tcW w:w="1560" w:type="dxa"/>
            <w:vAlign w:val="center"/>
          </w:tcPr>
          <w:p w14:paraId="62C85C7B" w14:textId="77777777" w:rsidR="00CD50FA" w:rsidRDefault="0032653B">
            <w:pPr>
              <w:spacing w:line="240" w:lineRule="auto"/>
              <w:jc w:val="both"/>
              <w:rPr>
                <w:rFonts w:cs="Times New Roman"/>
              </w:rPr>
            </w:pPr>
            <w:r>
              <w:rPr>
                <w:rFonts w:cs="Times New Roman"/>
              </w:rPr>
              <w:t>Emergency-care visits at district hospital</w:t>
            </w:r>
          </w:p>
        </w:tc>
        <w:tc>
          <w:tcPr>
            <w:tcW w:w="1560" w:type="dxa"/>
            <w:vAlign w:val="center"/>
          </w:tcPr>
          <w:p w14:paraId="62C85C7C" w14:textId="77777777" w:rsidR="00CD50FA" w:rsidRDefault="0032653B">
            <w:pPr>
              <w:spacing w:line="240" w:lineRule="auto"/>
              <w:jc w:val="both"/>
              <w:rPr>
                <w:rFonts w:cs="Times New Roman"/>
              </w:rPr>
            </w:pPr>
            <w:r>
              <w:rPr>
                <w:rFonts w:cs="Times New Roman"/>
              </w:rPr>
              <w:t>Emergency care demand and service implications</w:t>
            </w:r>
          </w:p>
        </w:tc>
        <w:tc>
          <w:tcPr>
            <w:tcW w:w="1560" w:type="dxa"/>
            <w:vAlign w:val="center"/>
          </w:tcPr>
          <w:p w14:paraId="62C85C7D" w14:textId="77777777" w:rsidR="00CD50FA" w:rsidRDefault="0032653B">
            <w:pPr>
              <w:spacing w:line="240" w:lineRule="auto"/>
              <w:jc w:val="both"/>
              <w:rPr>
                <w:rFonts w:cs="Times New Roman"/>
              </w:rPr>
            </w:pPr>
            <w:r>
              <w:rPr>
                <w:rFonts w:cs="Times New Roman"/>
              </w:rPr>
              <w:t xml:space="preserve">Highlighted heavy emergency-care demand and planning implications for staffing and </w:t>
            </w:r>
            <w:r>
              <w:rPr>
                <w:rFonts w:cs="Times New Roman"/>
              </w:rPr>
              <w:lastRenderedPageBreak/>
              <w:t>policy.</w:t>
            </w:r>
          </w:p>
        </w:tc>
      </w:tr>
    </w:tbl>
    <w:p w14:paraId="62C85C7F"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lastRenderedPageBreak/>
        <w:t>3.3 Methodological quality of the evidence</w:t>
      </w:r>
    </w:p>
    <w:p w14:paraId="62C85C80" w14:textId="77777777" w:rsidR="00CD50FA" w:rsidRDefault="0032653B">
      <w:pPr>
        <w:jc w:val="both"/>
        <w:rPr>
          <w:rFonts w:cs="Times New Roman"/>
        </w:rPr>
      </w:pPr>
      <w:r>
        <w:rPr>
          <w:rFonts w:cs="Times New Roman"/>
        </w:rPr>
        <w:t>Overall methodological quality ranged from moderate to high across the better-conducted systematic reviews, meta-analyses, and multi-year cohort studies, but heterogeneity remained substantial. The strongest review-level studies reported explicit search strategies, duplicate screening, formal appraisal methods, and appropriately cautious synthesis. Kim et al. (2024), Leung et al. (2024), Maharaj et al. (2015), and De Jong et al. (2016) were particularly useful because they linked clearly defined interventions to clinically meaningful outcomes.</w:t>
      </w:r>
    </w:p>
    <w:p w14:paraId="62C85C81" w14:textId="77777777" w:rsidR="00CD50FA" w:rsidRDefault="0032653B">
      <w:pPr>
        <w:jc w:val="both"/>
        <w:rPr>
          <w:rFonts w:cs="Times New Roman"/>
        </w:rPr>
      </w:pPr>
      <w:r>
        <w:rPr>
          <w:rFonts w:cs="Times New Roman"/>
        </w:rPr>
        <w:t>The main weaknesses of the review-level literature were variation in the quality of included studies, inconsistent operational definitions of crowding or response intervals, and limited African representation in some otherwise influential syntheses. For example, crowding reviews were strong on mechanism and consistency of harm but often pooled highly heterogeneous measures of crowding exposure. Prehospital response-time reviews were valuable for identifying patterns but did not always demonstrate a straightforward causal relationship between faster times and better outcomes across all emergency categories.</w:t>
      </w:r>
    </w:p>
    <w:p w14:paraId="62C85C82" w14:textId="77777777" w:rsidR="00CD50FA" w:rsidRDefault="0032653B">
      <w:pPr>
        <w:jc w:val="both"/>
        <w:rPr>
          <w:rFonts w:cs="Times New Roman"/>
        </w:rPr>
      </w:pPr>
      <w:r>
        <w:rPr>
          <w:rFonts w:cs="Times New Roman"/>
        </w:rPr>
        <w:t>Among primary African studies, the main strengths were contextual specificity and practical relevance. Nigerian, Ugandan, Rwandan, Ghanaian, Malawian, Tanzanian, and Ethiopian studies illuminated operational bottlenecks that are often invisible in high-income literature. However, many were single-</w:t>
      </w:r>
      <w:proofErr w:type="spellStart"/>
      <w:r>
        <w:rPr>
          <w:rFonts w:cs="Times New Roman"/>
        </w:rPr>
        <w:t>centre</w:t>
      </w:r>
      <w:proofErr w:type="spellEnd"/>
      <w:r>
        <w:rPr>
          <w:rFonts w:cs="Times New Roman"/>
        </w:rPr>
        <w:t xml:space="preserve"> or observational, which limits causal inference. Service-evaluation studies also sometimes depended on routine records or modest sample sizes, which may have introduced measurement error or limited statistical power. These limitations were considered in the synthesis and are discussed again in Section 4.</w:t>
      </w:r>
    </w:p>
    <w:p w14:paraId="62C85C83" w14:textId="77777777" w:rsidR="00CD50FA" w:rsidRDefault="0032653B">
      <w:pPr>
        <w:pStyle w:val="Heading2"/>
        <w:jc w:val="both"/>
        <w:rPr>
          <w:rFonts w:ascii="Times New Roman" w:hAnsi="Times New Roman" w:cs="Times New Roman"/>
          <w:color w:val="auto"/>
        </w:rPr>
      </w:pPr>
      <w:r>
        <w:rPr>
          <w:rFonts w:ascii="Times New Roman" w:hAnsi="Times New Roman" w:cs="Times New Roman"/>
          <w:color w:val="auto"/>
        </w:rPr>
        <w:t>3.4 Narrative synthesis</w:t>
      </w:r>
    </w:p>
    <w:p w14:paraId="62C85C84" w14:textId="77777777" w:rsidR="00CD50FA" w:rsidRDefault="0032653B">
      <w:pPr>
        <w:pStyle w:val="Heading3"/>
        <w:jc w:val="both"/>
        <w:rPr>
          <w:rFonts w:ascii="Times New Roman" w:hAnsi="Times New Roman" w:cs="Times New Roman"/>
          <w:color w:val="auto"/>
        </w:rPr>
      </w:pPr>
      <w:r>
        <w:rPr>
          <w:rFonts w:ascii="Times New Roman" w:hAnsi="Times New Roman" w:cs="Times New Roman"/>
          <w:color w:val="auto"/>
        </w:rPr>
        <w:t>3.4.1 Prehospital response, access, and transport</w:t>
      </w:r>
    </w:p>
    <w:p w14:paraId="62C85C85" w14:textId="77777777" w:rsidR="00CD50FA" w:rsidRDefault="0032653B">
      <w:pPr>
        <w:jc w:val="both"/>
        <w:rPr>
          <w:rFonts w:cs="Times New Roman"/>
        </w:rPr>
      </w:pPr>
      <w:r>
        <w:rPr>
          <w:rFonts w:cs="Times New Roman"/>
        </w:rPr>
        <w:t xml:space="preserve">The first major pattern in the evidence is that prehospital timeliness matters, but its effect depends on context, case mix, and the reliability of downstream care. Review-level evidence showed that emergency response time remains a core indicator of EMS performance, especially </w:t>
      </w:r>
      <w:r>
        <w:rPr>
          <w:rFonts w:cs="Times New Roman"/>
        </w:rPr>
        <w:lastRenderedPageBreak/>
        <w:t xml:space="preserve">for time-critical conditions, yet response time on its own is an incomplete proxy for quality (Cabral et al., 2018). </w:t>
      </w:r>
      <w:proofErr w:type="spellStart"/>
      <w:r>
        <w:rPr>
          <w:rFonts w:cs="Times New Roman"/>
        </w:rPr>
        <w:t>Alruwaili</w:t>
      </w:r>
      <w:proofErr w:type="spellEnd"/>
      <w:r>
        <w:rPr>
          <w:rFonts w:cs="Times New Roman"/>
        </w:rPr>
        <w:t xml:space="preserve"> and </w:t>
      </w:r>
      <w:proofErr w:type="spellStart"/>
      <w:r>
        <w:rPr>
          <w:rFonts w:cs="Times New Roman"/>
        </w:rPr>
        <w:t>Alanazy</w:t>
      </w:r>
      <w:proofErr w:type="spellEnd"/>
      <w:r>
        <w:rPr>
          <w:rFonts w:cs="Times New Roman"/>
        </w:rPr>
        <w:t xml:space="preserve"> (2022) similarly demonstrated that prehospital intervals vary systematically between urban and rural settings, reinforcing the idea that geography, infrastructure, and dispatch logistics shape emergency exposure long before hospital treatment begins.</w:t>
      </w:r>
    </w:p>
    <w:p w14:paraId="62C85C86" w14:textId="77777777" w:rsidR="00CD50FA" w:rsidRDefault="0032653B">
      <w:pPr>
        <w:jc w:val="both"/>
        <w:rPr>
          <w:rFonts w:cs="Times New Roman"/>
        </w:rPr>
      </w:pPr>
      <w:r>
        <w:rPr>
          <w:rFonts w:cs="Times New Roman"/>
        </w:rPr>
        <w:t>Bhattarai et al. (2023) broadened this perspective in their LMIC-focused systematic review by demonstrating that prehospital emergency care in low- and middle-income countries often relies on hybrid systems, including ambulances, police, commercial vehicles, and informal transport. This is especially relevant in African settings, where a formal ambulance network may exist in principle but remain underused, geographically uneven, or poorly integrated with hospital triage and referral systems.</w:t>
      </w:r>
    </w:p>
    <w:p w14:paraId="62C85C87" w14:textId="74AF7D7F" w:rsidR="00CD50FA" w:rsidRDefault="0032653B">
      <w:pPr>
        <w:jc w:val="both"/>
        <w:rPr>
          <w:rFonts w:cs="Times New Roman"/>
        </w:rPr>
      </w:pPr>
      <w:r>
        <w:rPr>
          <w:rFonts w:cs="Times New Roman"/>
        </w:rPr>
        <w:t xml:space="preserve">Nigerian evidence illustrates this issue well. In Abuja, </w:t>
      </w:r>
      <w:proofErr w:type="spellStart"/>
      <w:r>
        <w:rPr>
          <w:rFonts w:cs="Times New Roman"/>
        </w:rPr>
        <w:t>Nto</w:t>
      </w:r>
      <w:proofErr w:type="spellEnd"/>
      <w:r>
        <w:rPr>
          <w:rFonts w:cs="Times New Roman"/>
        </w:rPr>
        <w:t xml:space="preserve"> et al. (2024) found that awareness of emergency medical services was higher than actual </w:t>
      </w:r>
      <w:proofErr w:type="spellStart"/>
      <w:r>
        <w:rPr>
          <w:rFonts w:cs="Times New Roman"/>
        </w:rPr>
        <w:t>utili</w:t>
      </w:r>
      <w:r w:rsidR="00753B02">
        <w:rPr>
          <w:rFonts w:cs="Times New Roman"/>
        </w:rPr>
        <w:t>s</w:t>
      </w:r>
      <w:r>
        <w:rPr>
          <w:rFonts w:cs="Times New Roman"/>
        </w:rPr>
        <w:t>ation</w:t>
      </w:r>
      <w:proofErr w:type="spellEnd"/>
      <w:r>
        <w:rPr>
          <w:rFonts w:cs="Times New Roman"/>
        </w:rPr>
        <w:t>. The implication is that service access cannot be inferred from the existence of a service. Public trust, ease of contacting dispatch, perceived cost, expected response quality, and knowledge of when to call all mediate whether a formal EMS system is actually used. Put differently, a technically available emergency number has limited value if people continue to rely on self-transport, relatives, or ad hoc commercial transport during emergencies.</w:t>
      </w:r>
    </w:p>
    <w:p w14:paraId="62C85C88" w14:textId="77777777" w:rsidR="00CD50FA" w:rsidRDefault="0032653B">
      <w:pPr>
        <w:jc w:val="both"/>
        <w:rPr>
          <w:rFonts w:cs="Times New Roman"/>
        </w:rPr>
      </w:pPr>
      <w:r>
        <w:rPr>
          <w:rFonts w:cs="Times New Roman"/>
        </w:rPr>
        <w:t>Transport mode also needs context-sensitive interpretation. Evidence from South Africa shows that helicopter emergency medical services are operational and clinically important for selected cases, but they are resource-intensive and not automatically superior simply by virtue of speed (Vlok et al., 2023). In middle-income and lower-resource settings, the value of helicopter transport depends on dispatch criteria, terrain, distance, skill mix, receiving-facility readiness, and opportunity cost. This finding supports a broader conclusion from the review: emergency transport should be judged by the appropriateness and reliability of the whole pathway, not by prestige or technology alone.</w:t>
      </w:r>
    </w:p>
    <w:p w14:paraId="62C85C89" w14:textId="77777777" w:rsidR="00CD50FA" w:rsidRDefault="0032653B">
      <w:pPr>
        <w:jc w:val="both"/>
        <w:rPr>
          <w:rFonts w:cs="Times New Roman"/>
        </w:rPr>
      </w:pPr>
      <w:r>
        <w:rPr>
          <w:rFonts w:cs="Times New Roman"/>
        </w:rPr>
        <w:t xml:space="preserve">African facility studies further show that prehospital access and time interact with other system bottlenecks. In Ethiopia, Abayneh et al. (2024) described persistent trauma mortality in a setting where relatively few injured patients arrived early, suggesting that transport delay remains consequential. In Tanzania, </w:t>
      </w:r>
      <w:proofErr w:type="spellStart"/>
      <w:r>
        <w:rPr>
          <w:rFonts w:cs="Times New Roman"/>
        </w:rPr>
        <w:t>Mjema</w:t>
      </w:r>
      <w:proofErr w:type="spellEnd"/>
      <w:r>
        <w:rPr>
          <w:rFonts w:cs="Times New Roman"/>
        </w:rPr>
        <w:t xml:space="preserve"> et al. (2020) found substantial in-hospital mortality among </w:t>
      </w:r>
      <w:r>
        <w:rPr>
          <w:rFonts w:cs="Times New Roman"/>
        </w:rPr>
        <w:lastRenderedPageBreak/>
        <w:t>adults presenting with abdominal pain; while the study focused on ED outcomes rather than dispatch metrics, it still illustrates how delayed or advanced presentations increase risk before treatment even begins.</w:t>
      </w:r>
    </w:p>
    <w:p w14:paraId="62C85C8A" w14:textId="3D5EA004" w:rsidR="00CD50FA" w:rsidRDefault="0032653B">
      <w:pPr>
        <w:jc w:val="both"/>
        <w:rPr>
          <w:rFonts w:cs="Times New Roman"/>
        </w:rPr>
      </w:pPr>
      <w:r>
        <w:rPr>
          <w:rFonts w:cs="Times New Roman"/>
        </w:rPr>
        <w:t xml:space="preserve">Taken together, the evidence indicates that prehospital quality should be </w:t>
      </w:r>
      <w:proofErr w:type="spellStart"/>
      <w:r>
        <w:rPr>
          <w:rFonts w:cs="Times New Roman"/>
        </w:rPr>
        <w:t>conceptuali</w:t>
      </w:r>
      <w:r w:rsidR="00753B02">
        <w:rPr>
          <w:rFonts w:cs="Times New Roman"/>
        </w:rPr>
        <w:t>s</w:t>
      </w:r>
      <w:r>
        <w:rPr>
          <w:rFonts w:cs="Times New Roman"/>
        </w:rPr>
        <w:t>ed</w:t>
      </w:r>
      <w:proofErr w:type="spellEnd"/>
      <w:r>
        <w:rPr>
          <w:rFonts w:cs="Times New Roman"/>
        </w:rPr>
        <w:t xml:space="preserve"> more broadly than just dispatch-to-scene time. A reliable emergency pathway in African and Nigerian contexts likely requires at least five elements: </w:t>
      </w:r>
      <w:proofErr w:type="spellStart"/>
      <w:r>
        <w:rPr>
          <w:rFonts w:cs="Times New Roman"/>
        </w:rPr>
        <w:t>recogni</w:t>
      </w:r>
      <w:r w:rsidR="00753B02">
        <w:rPr>
          <w:rFonts w:cs="Times New Roman"/>
        </w:rPr>
        <w:t>s</w:t>
      </w:r>
      <w:r>
        <w:rPr>
          <w:rFonts w:cs="Times New Roman"/>
        </w:rPr>
        <w:t>able</w:t>
      </w:r>
      <w:proofErr w:type="spellEnd"/>
      <w:r>
        <w:rPr>
          <w:rFonts w:cs="Times New Roman"/>
        </w:rPr>
        <w:t xml:space="preserve"> and trusted points of access; a usable dispatch system; safe and timely transport; receiving facilities that can triage and treat promptly; and referral pathways for escalation. A narrow focus on raw response minutes without these supporting elements may produce only modest gains.</w:t>
      </w:r>
    </w:p>
    <w:p w14:paraId="62C85C8B" w14:textId="77777777" w:rsidR="00CD50FA" w:rsidRDefault="0032653B">
      <w:pPr>
        <w:pStyle w:val="Heading3"/>
        <w:jc w:val="both"/>
        <w:rPr>
          <w:rFonts w:ascii="Times New Roman" w:hAnsi="Times New Roman" w:cs="Times New Roman"/>
          <w:color w:val="auto"/>
        </w:rPr>
      </w:pPr>
      <w:r>
        <w:rPr>
          <w:rFonts w:ascii="Times New Roman" w:hAnsi="Times New Roman" w:cs="Times New Roman"/>
          <w:color w:val="auto"/>
        </w:rPr>
        <w:t>3.4.2 Rapid response systems for deteriorating inpatients</w:t>
      </w:r>
    </w:p>
    <w:p w14:paraId="62C85C8C" w14:textId="596FD64E" w:rsidR="00CD50FA" w:rsidRDefault="0032653B">
      <w:pPr>
        <w:jc w:val="both"/>
        <w:rPr>
          <w:rFonts w:cs="Times New Roman"/>
        </w:rPr>
      </w:pPr>
      <w:r>
        <w:rPr>
          <w:rFonts w:cs="Times New Roman"/>
        </w:rPr>
        <w:t xml:space="preserve">The second major domain concerns rapid response systems for patients who deteriorate after hospital admission. This literature is one of the most consistent parts of the evidence base. Maharaj et al. (2015) and De Jong et al. (2016) both found that </w:t>
      </w:r>
      <w:proofErr w:type="spellStart"/>
      <w:r>
        <w:rPr>
          <w:rFonts w:cs="Times New Roman"/>
        </w:rPr>
        <w:t>organi</w:t>
      </w:r>
      <w:r w:rsidR="00753B02">
        <w:rPr>
          <w:rFonts w:cs="Times New Roman"/>
        </w:rPr>
        <w:t>s</w:t>
      </w:r>
      <w:r>
        <w:rPr>
          <w:rFonts w:cs="Times New Roman"/>
        </w:rPr>
        <w:t>ed</w:t>
      </w:r>
      <w:proofErr w:type="spellEnd"/>
      <w:r>
        <w:rPr>
          <w:rFonts w:cs="Times New Roman"/>
        </w:rPr>
        <w:t xml:space="preserve"> rapid response systems were associated with reductions in hospital mortality and cardiopulmonary arrest. Although the magnitude of benefit varied across populations and study designs, the direction of effect was broadly stable.</w:t>
      </w:r>
    </w:p>
    <w:p w14:paraId="62C85C8D" w14:textId="77777777" w:rsidR="00CD50FA" w:rsidRDefault="0032653B">
      <w:pPr>
        <w:jc w:val="both"/>
        <w:rPr>
          <w:rFonts w:cs="Times New Roman"/>
        </w:rPr>
      </w:pPr>
      <w:r>
        <w:rPr>
          <w:rFonts w:cs="Times New Roman"/>
        </w:rPr>
        <w:t>The mechanism is clinically plausible. Rapid response systems work by moving intervention earlier in the trajectory of deterioration. Instead of waiting for ward collapse or delayed ICU referral, they create a structured trigger for assessment, escalation, and treatment. This reduces the probability that early warning signs are ignored or that unstable patients remain on general wards without appropriate review.</w:t>
      </w:r>
    </w:p>
    <w:p w14:paraId="62C85C8E" w14:textId="77777777" w:rsidR="00CD50FA" w:rsidRDefault="0032653B">
      <w:pPr>
        <w:jc w:val="both"/>
        <w:rPr>
          <w:rFonts w:cs="Times New Roman"/>
        </w:rPr>
      </w:pPr>
      <w:r>
        <w:rPr>
          <w:rFonts w:cs="Times New Roman"/>
        </w:rPr>
        <w:t>These findings are highly relevant to hospitals in low-resource settings, including many African tertiary institutions. The benefit of rapid response systems does not necessarily require a highly resourced intensive care ecosystem from the outset. What matters first is the presence of explicit escalation criteria, trained responders, a culture that permits early activation, and pathways for critical care support where available. In other words, the principle of rapid response is adaptable even when the exact staffing model differs from high-income norms.</w:t>
      </w:r>
    </w:p>
    <w:p w14:paraId="62C85C8F" w14:textId="0D12A355" w:rsidR="00CD50FA" w:rsidRDefault="0032653B">
      <w:pPr>
        <w:jc w:val="both"/>
        <w:rPr>
          <w:rFonts w:cs="Times New Roman"/>
        </w:rPr>
      </w:pPr>
      <w:r>
        <w:rPr>
          <w:rFonts w:cs="Times New Roman"/>
        </w:rPr>
        <w:t xml:space="preserve">African primary studies complement this interpretation by </w:t>
      </w:r>
      <w:proofErr w:type="spellStart"/>
      <w:r>
        <w:rPr>
          <w:rFonts w:cs="Times New Roman"/>
        </w:rPr>
        <w:t>emphasi</w:t>
      </w:r>
      <w:r w:rsidR="00753B02">
        <w:rPr>
          <w:rFonts w:cs="Times New Roman"/>
        </w:rPr>
        <w:t>s</w:t>
      </w:r>
      <w:r>
        <w:rPr>
          <w:rFonts w:cs="Times New Roman"/>
        </w:rPr>
        <w:t>ing</w:t>
      </w:r>
      <w:proofErr w:type="spellEnd"/>
      <w:r>
        <w:rPr>
          <w:rFonts w:cs="Times New Roman"/>
        </w:rPr>
        <w:t xml:space="preserve"> the role of supervision and capability. Rice et al. (2022) demonstrated in Uganda that physician supervision was </w:t>
      </w:r>
      <w:r>
        <w:rPr>
          <w:rFonts w:cs="Times New Roman"/>
        </w:rPr>
        <w:lastRenderedPageBreak/>
        <w:t xml:space="preserve">associated with lower mortality for patients treated by non-physician clinicians in a rural emergency-care model. This is not identical to a classic ward-based rapid response team, but it reflects the same systems logic: timely access to higher clinical expertise alters outcomes for high-risk patients. </w:t>
      </w:r>
      <w:proofErr w:type="spellStart"/>
      <w:r>
        <w:rPr>
          <w:rFonts w:cs="Times New Roman"/>
        </w:rPr>
        <w:t>Kamunga</w:t>
      </w:r>
      <w:proofErr w:type="spellEnd"/>
      <w:r>
        <w:rPr>
          <w:rFonts w:cs="Times New Roman"/>
        </w:rPr>
        <w:t xml:space="preserve"> et al. (2024) similarly demonstrated the substantial burden and outcomes of critical illness in a Rwandan emergency department, reinforcing the need for early recognition and escalation of care for critically ill patients.</w:t>
      </w:r>
    </w:p>
    <w:p w14:paraId="62C85C90" w14:textId="394CF17A" w:rsidR="00CD50FA" w:rsidRDefault="0032653B">
      <w:pPr>
        <w:jc w:val="both"/>
        <w:rPr>
          <w:rFonts w:cs="Times New Roman"/>
        </w:rPr>
      </w:pPr>
      <w:r>
        <w:rPr>
          <w:rFonts w:cs="Times New Roman"/>
        </w:rPr>
        <w:t xml:space="preserve">From a systems perspective, the rapid response literature suggests that hospitals should treat inpatient deterioration as an </w:t>
      </w:r>
      <w:proofErr w:type="spellStart"/>
      <w:r>
        <w:rPr>
          <w:rFonts w:cs="Times New Roman"/>
        </w:rPr>
        <w:t>organi</w:t>
      </w:r>
      <w:r w:rsidR="00753B02">
        <w:rPr>
          <w:rFonts w:cs="Times New Roman"/>
        </w:rPr>
        <w:t>s</w:t>
      </w:r>
      <w:r>
        <w:rPr>
          <w:rFonts w:cs="Times New Roman"/>
        </w:rPr>
        <w:t>ational</w:t>
      </w:r>
      <w:proofErr w:type="spellEnd"/>
      <w:r>
        <w:rPr>
          <w:rFonts w:cs="Times New Roman"/>
        </w:rPr>
        <w:t xml:space="preserve"> problem rather than an individual failure. Mortality reductions appear to emerge when institutions improve the reliability of escalation. This makes rapid response systems particularly attractive in settings where emergency department crowding and late ward recognition interact to produce avoidable deterioration.</w:t>
      </w:r>
    </w:p>
    <w:p w14:paraId="62C85C91" w14:textId="77777777" w:rsidR="00CD50FA" w:rsidRDefault="0032653B">
      <w:pPr>
        <w:pStyle w:val="Heading3"/>
        <w:jc w:val="both"/>
        <w:rPr>
          <w:rFonts w:ascii="Times New Roman" w:hAnsi="Times New Roman" w:cs="Times New Roman"/>
          <w:color w:val="auto"/>
        </w:rPr>
      </w:pPr>
      <w:r>
        <w:rPr>
          <w:rFonts w:ascii="Times New Roman" w:hAnsi="Times New Roman" w:cs="Times New Roman"/>
          <w:color w:val="auto"/>
        </w:rPr>
        <w:t>3.4.3 Emergency department crowding and access block</w:t>
      </w:r>
    </w:p>
    <w:p w14:paraId="62C85C92" w14:textId="77777777" w:rsidR="00CD50FA" w:rsidRDefault="0032653B">
      <w:pPr>
        <w:jc w:val="both"/>
        <w:rPr>
          <w:rFonts w:cs="Times New Roman"/>
        </w:rPr>
      </w:pPr>
      <w:r>
        <w:rPr>
          <w:rFonts w:cs="Times New Roman"/>
        </w:rPr>
        <w:t xml:space="preserve">Emergency department crowding was the most consistently harmful systems condition identified in the review. The older foundational review by Hoot and </w:t>
      </w:r>
      <w:proofErr w:type="spellStart"/>
      <w:r>
        <w:rPr>
          <w:rFonts w:cs="Times New Roman"/>
        </w:rPr>
        <w:t>Aronsky</w:t>
      </w:r>
      <w:proofErr w:type="spellEnd"/>
      <w:r>
        <w:rPr>
          <w:rFonts w:cs="Times New Roman"/>
        </w:rPr>
        <w:t xml:space="preserve"> (2008) mapped causes, effects, and solutions, but more recent syntheses strengthen the causal and operational picture. Pearce et al. (2023) concluded that crowding is associated with multiple harms, including treatment delay, poorer quality, patient safety risks, and compromised throughput. Pearce et al. (2024) further showed that solutions to crowding are heterogeneous and that no single intervention resolves the problem in every setting. Ahmed et al. (2026) reinforced these conclusions, linking crowding with adverse operational and clinical effects across the reviewed literature.</w:t>
      </w:r>
    </w:p>
    <w:p w14:paraId="62C85C93" w14:textId="77777777" w:rsidR="00CD50FA" w:rsidRDefault="0032653B">
      <w:pPr>
        <w:jc w:val="both"/>
        <w:rPr>
          <w:rFonts w:cs="Times New Roman"/>
        </w:rPr>
      </w:pPr>
      <w:r>
        <w:rPr>
          <w:rFonts w:cs="Times New Roman"/>
        </w:rPr>
        <w:t>Primary observational evidence supports this pattern. Hsuan et al. (2023) found that higher emergency department census was associated with worse inpatient outcomes, including longer stays and downstream adverse effects. This is important because it demonstrates that crowding is not merely an inconvenience confined to the hospital's front door. It propagates through the inpatient system and can influence discharge timing, readmissions, and overall bed flow.</w:t>
      </w:r>
    </w:p>
    <w:p w14:paraId="62C85C94" w14:textId="77777777" w:rsidR="00CD50FA" w:rsidRDefault="0032653B">
      <w:pPr>
        <w:jc w:val="both"/>
        <w:rPr>
          <w:rFonts w:cs="Times New Roman"/>
        </w:rPr>
      </w:pPr>
      <w:r>
        <w:rPr>
          <w:rFonts w:cs="Times New Roman"/>
        </w:rPr>
        <w:t xml:space="preserve">Crowding harms emergency care through several pathways. It delays triage and clinician review, slows diagnostic processing, reduces privacy and monitoring quality, and increases the risk that seriously ill patients remain in inappropriate holding spaces. It may also reduce adherence to time-sensitive interventions such as sepsis bundle elements, analgesia, or specialist review. This </w:t>
      </w:r>
      <w:r>
        <w:rPr>
          <w:rFonts w:cs="Times New Roman"/>
        </w:rPr>
        <w:lastRenderedPageBreak/>
        <w:t>is particularly problematic in low-resource settings where emergency departments often function as overflow areas because ward beds, theatre access, or ICU spaces are unavailable.</w:t>
      </w:r>
    </w:p>
    <w:p w14:paraId="62C85C95" w14:textId="2D0CBD5B" w:rsidR="00CD50FA" w:rsidRDefault="0032653B">
      <w:pPr>
        <w:jc w:val="both"/>
        <w:rPr>
          <w:rFonts w:cs="Times New Roman"/>
        </w:rPr>
      </w:pPr>
      <w:r>
        <w:rPr>
          <w:rFonts w:cs="Times New Roman"/>
        </w:rPr>
        <w:t xml:space="preserve">The relevance of crowding to African settings cannot be overstated. Many African emergency departments must </w:t>
      </w:r>
      <w:proofErr w:type="spellStart"/>
      <w:r>
        <w:rPr>
          <w:rFonts w:cs="Times New Roman"/>
        </w:rPr>
        <w:t>stabili</w:t>
      </w:r>
      <w:r w:rsidR="00753B02">
        <w:rPr>
          <w:rFonts w:cs="Times New Roman"/>
        </w:rPr>
        <w:t>s</w:t>
      </w:r>
      <w:r>
        <w:rPr>
          <w:rFonts w:cs="Times New Roman"/>
        </w:rPr>
        <w:t>e</w:t>
      </w:r>
      <w:proofErr w:type="spellEnd"/>
      <w:r>
        <w:rPr>
          <w:rFonts w:cs="Times New Roman"/>
        </w:rPr>
        <w:t xml:space="preserve">, observe, and board patients for extended periods while also managing new arrivals. This means that crowding is not simply a function of patient volume; it is a symptom of wider hospital access block and limited surge capacity. </w:t>
      </w:r>
      <w:proofErr w:type="spellStart"/>
      <w:r>
        <w:rPr>
          <w:rFonts w:cs="Times New Roman"/>
        </w:rPr>
        <w:t>Kamunga</w:t>
      </w:r>
      <w:proofErr w:type="spellEnd"/>
      <w:r>
        <w:rPr>
          <w:rFonts w:cs="Times New Roman"/>
        </w:rPr>
        <w:t xml:space="preserve"> et al. (2024) reported on critically ill patients in a tertiary Rwandan emergency department and highlighted the burden of prolonged ED stays. Such findings align closely with the broader crowding literature and suggest that patient risk accumulates when emergency units become de facto inpatient critical care spaces without equivalent staffing or equipment.</w:t>
      </w:r>
    </w:p>
    <w:p w14:paraId="62C85C96" w14:textId="77777777" w:rsidR="00CD50FA" w:rsidRDefault="0032653B">
      <w:pPr>
        <w:jc w:val="both"/>
        <w:rPr>
          <w:rFonts w:cs="Times New Roman"/>
        </w:rPr>
      </w:pPr>
      <w:r>
        <w:rPr>
          <w:rFonts w:cs="Times New Roman"/>
        </w:rPr>
        <w:t xml:space="preserve">Nigerian studies in this review did not always measure crowding directly, but several findings imply its relevance. </w:t>
      </w:r>
      <w:proofErr w:type="spellStart"/>
      <w:r>
        <w:rPr>
          <w:rFonts w:cs="Times New Roman"/>
        </w:rPr>
        <w:t>Umoga</w:t>
      </w:r>
      <w:proofErr w:type="spellEnd"/>
      <w:r>
        <w:rPr>
          <w:rFonts w:cs="Times New Roman"/>
        </w:rPr>
        <w:t xml:space="preserve"> et al. (2026) found uneven availability of signal and function across tertiary hospitals, especially for respiratory emergencies. </w:t>
      </w:r>
      <w:proofErr w:type="spellStart"/>
      <w:r>
        <w:rPr>
          <w:rFonts w:cs="Times New Roman"/>
        </w:rPr>
        <w:t>Akase</w:t>
      </w:r>
      <w:proofErr w:type="spellEnd"/>
      <w:r>
        <w:rPr>
          <w:rFonts w:cs="Times New Roman"/>
        </w:rPr>
        <w:t xml:space="preserve"> et al. (2023) documented low adherence to some sepsis diagnostic steps in Lagos. </w:t>
      </w:r>
      <w:proofErr w:type="spellStart"/>
      <w:r>
        <w:rPr>
          <w:rFonts w:cs="Times New Roman"/>
        </w:rPr>
        <w:t>Nuradeen</w:t>
      </w:r>
      <w:proofErr w:type="spellEnd"/>
      <w:r>
        <w:rPr>
          <w:rFonts w:cs="Times New Roman"/>
        </w:rPr>
        <w:t xml:space="preserve"> et al. (2025) showed that waiting time mattered in trauma care. Together, these findings suggest that timeliness and quality problems in Nigerian emergency departments are likely to be exacerbated by crowding, access block, and resource mismatch, even when these variables are not explicitly labelled as crowding metrics.</w:t>
      </w:r>
    </w:p>
    <w:p w14:paraId="62C85C97" w14:textId="77777777" w:rsidR="00CD50FA" w:rsidRDefault="0032653B">
      <w:pPr>
        <w:jc w:val="both"/>
        <w:rPr>
          <w:rFonts w:cs="Times New Roman"/>
        </w:rPr>
      </w:pPr>
      <w:r>
        <w:rPr>
          <w:rFonts w:cs="Times New Roman"/>
        </w:rPr>
        <w:t>Overall, the review supports a strong conclusion: emergency department crowding should be treated as a patient-safety hazard requiring whole-of-hospital solutions. Measures that target only the emergency unit without improving inpatient flow, bed availability, escalation, or discharge coordination are unlikely to produce durable improvements.</w:t>
      </w:r>
    </w:p>
    <w:p w14:paraId="62C85C98" w14:textId="77777777" w:rsidR="00CD50FA" w:rsidRDefault="0032653B">
      <w:pPr>
        <w:pStyle w:val="Heading3"/>
        <w:jc w:val="both"/>
        <w:rPr>
          <w:rFonts w:ascii="Times New Roman" w:hAnsi="Times New Roman" w:cs="Times New Roman"/>
          <w:color w:val="auto"/>
        </w:rPr>
      </w:pPr>
      <w:r>
        <w:rPr>
          <w:rFonts w:ascii="Times New Roman" w:hAnsi="Times New Roman" w:cs="Times New Roman"/>
          <w:color w:val="auto"/>
        </w:rPr>
        <w:t>3.4.4 Sepsis pathways, diagnostic timeliness, and treatment windows</w:t>
      </w:r>
    </w:p>
    <w:p w14:paraId="62C85C99" w14:textId="286FC061" w:rsidR="00CD50FA" w:rsidRDefault="0032653B">
      <w:pPr>
        <w:jc w:val="both"/>
        <w:rPr>
          <w:rFonts w:cs="Times New Roman"/>
        </w:rPr>
      </w:pPr>
      <w:r>
        <w:rPr>
          <w:rFonts w:cs="Times New Roman"/>
        </w:rPr>
        <w:t xml:space="preserve">Sepsis-related evidence showed that timely recognition and early treatment remain central determinants of emergency outcomes. Kim et al. (2024) </w:t>
      </w:r>
      <w:proofErr w:type="spellStart"/>
      <w:r>
        <w:rPr>
          <w:rFonts w:cs="Times New Roman"/>
        </w:rPr>
        <w:t>synthesi</w:t>
      </w:r>
      <w:r w:rsidR="00753B02">
        <w:rPr>
          <w:rFonts w:cs="Times New Roman"/>
        </w:rPr>
        <w:t>s</w:t>
      </w:r>
      <w:r>
        <w:rPr>
          <w:rFonts w:cs="Times New Roman"/>
        </w:rPr>
        <w:t>ed</w:t>
      </w:r>
      <w:proofErr w:type="spellEnd"/>
      <w:r>
        <w:rPr>
          <w:rFonts w:cs="Times New Roman"/>
        </w:rPr>
        <w:t xml:space="preserve"> 22 studies involving 19,580 patients and found that sepsis alert systems were associated with lower mortality, shorter hospital stay, and improved adherence to several key sepsis-bundle elements, including faster lactate measurement, blood culture collection, fluid administration, and antibiotic initiation. This is an important finding because it shifts the focus from generic urgency to structured pathway design.</w:t>
      </w:r>
    </w:p>
    <w:p w14:paraId="62C85C9A" w14:textId="77777777" w:rsidR="00CD50FA" w:rsidRDefault="0032653B">
      <w:pPr>
        <w:jc w:val="both"/>
        <w:rPr>
          <w:rFonts w:cs="Times New Roman"/>
        </w:rPr>
      </w:pPr>
      <w:r>
        <w:rPr>
          <w:rFonts w:cs="Times New Roman"/>
        </w:rPr>
        <w:lastRenderedPageBreak/>
        <w:t>Leung et al. (2024) added an important nuance in timing. In their meta-analysis of 42 studies involving 190,896 patients, antibiotic administration within 1 hour was not clearly superior in any pooled comparison, but treatment within 3 hours, and especially within 6 hours, was associated with meaningful reductions in mortality. This suggests that sepsis timeliness should be interpreted pragmatically: extremely rapid treatment is desirable, but benefit depends on recognition accuracy, diagnostic support, and consistent implementation rather than an arbitrary single-minute threshold.</w:t>
      </w:r>
    </w:p>
    <w:p w14:paraId="62C85C9B" w14:textId="03583D48" w:rsidR="00CD50FA" w:rsidRDefault="0032653B">
      <w:pPr>
        <w:jc w:val="both"/>
        <w:rPr>
          <w:rFonts w:cs="Times New Roman"/>
        </w:rPr>
      </w:pPr>
      <w:r>
        <w:rPr>
          <w:rFonts w:cs="Times New Roman"/>
        </w:rPr>
        <w:t xml:space="preserve">The Nigerian evidence gives this theme immediate practical relevance. </w:t>
      </w:r>
      <w:proofErr w:type="spellStart"/>
      <w:r>
        <w:rPr>
          <w:rFonts w:cs="Times New Roman"/>
        </w:rPr>
        <w:t>Akase</w:t>
      </w:r>
      <w:proofErr w:type="spellEnd"/>
      <w:r>
        <w:rPr>
          <w:rFonts w:cs="Times New Roman"/>
        </w:rPr>
        <w:t xml:space="preserve"> et al. (2023) reported that sepsis mortality in an emergency department in Lagos was high and that adherence to early diagnostic components such as lactate testing and blood cultures was very low. That finding is especially important because it highlights a common challenge in low-resource emergency care: even when clinicians </w:t>
      </w:r>
      <w:proofErr w:type="spellStart"/>
      <w:r>
        <w:rPr>
          <w:rFonts w:cs="Times New Roman"/>
        </w:rPr>
        <w:t>recogni</w:t>
      </w:r>
      <w:r w:rsidR="00753B02">
        <w:rPr>
          <w:rFonts w:cs="Times New Roman"/>
        </w:rPr>
        <w:t>s</w:t>
      </w:r>
      <w:r>
        <w:rPr>
          <w:rFonts w:cs="Times New Roman"/>
        </w:rPr>
        <w:t>e</w:t>
      </w:r>
      <w:proofErr w:type="spellEnd"/>
      <w:r>
        <w:rPr>
          <w:rFonts w:cs="Times New Roman"/>
        </w:rPr>
        <w:t xml:space="preserve"> sepsis, the pathway to guideline-concordant care may be constrained by limited laboratory access, consumable shortages, or delayed test results. As a result, treatment timeliness becomes inseparable from system readiness.</w:t>
      </w:r>
    </w:p>
    <w:p w14:paraId="62C85C9C" w14:textId="77777777" w:rsidR="00CD50FA" w:rsidRDefault="0032653B">
      <w:pPr>
        <w:jc w:val="both"/>
        <w:rPr>
          <w:rFonts w:cs="Times New Roman"/>
        </w:rPr>
      </w:pPr>
      <w:r>
        <w:rPr>
          <w:rFonts w:cs="Times New Roman"/>
        </w:rPr>
        <w:t>Evidence of sepsis also strongly overlaps with crowding and escalation. Emergency departments experiencing prolonged boarding or heavy throughput are less likely to maintain fast and reliable sepsis pathways. Likewise, critically ill patients who are not escalated promptly may experience delayed antibiotics, delayed vasopressor initiation, or delayed transfer to higher-acuity areas. This interdependence reinforces the broader interpretation of the review: emergency outcomes in sepsis are determined by pathway reliability rather than a single isolated indicator.</w:t>
      </w:r>
    </w:p>
    <w:p w14:paraId="62C85C9D" w14:textId="35E5D989" w:rsidR="00CD50FA" w:rsidRDefault="0032653B">
      <w:pPr>
        <w:jc w:val="both"/>
        <w:rPr>
          <w:rFonts w:cs="Times New Roman"/>
        </w:rPr>
      </w:pPr>
      <w:r>
        <w:rPr>
          <w:rFonts w:cs="Times New Roman"/>
        </w:rPr>
        <w:t xml:space="preserve">For African health systems, the sepsis literature suggests that relatively modest process redesigns may yield meaningful gains by improving recognition and treatment reliability. These may include </w:t>
      </w:r>
      <w:proofErr w:type="spellStart"/>
      <w:r>
        <w:rPr>
          <w:rFonts w:cs="Times New Roman"/>
        </w:rPr>
        <w:t>standardi</w:t>
      </w:r>
      <w:r w:rsidR="00753B02">
        <w:rPr>
          <w:rFonts w:cs="Times New Roman"/>
        </w:rPr>
        <w:t>s</w:t>
      </w:r>
      <w:r>
        <w:rPr>
          <w:rFonts w:cs="Times New Roman"/>
        </w:rPr>
        <w:t>ed</w:t>
      </w:r>
      <w:proofErr w:type="spellEnd"/>
      <w:r>
        <w:rPr>
          <w:rFonts w:cs="Times New Roman"/>
        </w:rPr>
        <w:t xml:space="preserve"> triage prompts, checklists, sepsis alerts, point-of-care lactate where feasible, defined antibiotic pathways, and faster access to clinician review. Even in settings without fully resourced intensive care, earlier pathway activation is likely to improve outcomes.</w:t>
      </w:r>
    </w:p>
    <w:p w14:paraId="62C85C9E" w14:textId="77777777" w:rsidR="00CD50FA" w:rsidRDefault="0032653B">
      <w:pPr>
        <w:pStyle w:val="Heading3"/>
        <w:jc w:val="both"/>
        <w:rPr>
          <w:rFonts w:ascii="Times New Roman" w:hAnsi="Times New Roman" w:cs="Times New Roman"/>
          <w:color w:val="auto"/>
        </w:rPr>
      </w:pPr>
      <w:r>
        <w:rPr>
          <w:rFonts w:ascii="Times New Roman" w:hAnsi="Times New Roman" w:cs="Times New Roman"/>
          <w:color w:val="auto"/>
        </w:rPr>
        <w:t>3.4.5 African and Nigerian evidence in comparative perspective</w:t>
      </w:r>
    </w:p>
    <w:p w14:paraId="62C85C9F" w14:textId="77777777" w:rsidR="00CD50FA" w:rsidRDefault="0032653B">
      <w:pPr>
        <w:jc w:val="both"/>
        <w:rPr>
          <w:rFonts w:cs="Times New Roman"/>
        </w:rPr>
      </w:pPr>
      <w:r>
        <w:rPr>
          <w:rFonts w:cs="Times New Roman"/>
        </w:rPr>
        <w:t xml:space="preserve">The African evidence base in this corrected review adds depth in three important ways. First, it demonstrates that outcome-relevant emergency-care research is already emerging from multiple African countries. Second, it reveals that emergency outcomes in the region are strongly shaped by service readiness, supervision, and process reliability rather than by transport speed alone. </w:t>
      </w:r>
      <w:r>
        <w:rPr>
          <w:rFonts w:cs="Times New Roman"/>
        </w:rPr>
        <w:lastRenderedPageBreak/>
        <w:t>Third, it shows that Nigeria’s challenges are shared in part across the continent, but also have distinctive features linked to population scale, federal structure, and uneven emergency-system development.</w:t>
      </w:r>
    </w:p>
    <w:p w14:paraId="62C85CA0" w14:textId="77777777" w:rsidR="00CD50FA" w:rsidRDefault="0032653B">
      <w:pPr>
        <w:jc w:val="both"/>
        <w:rPr>
          <w:rFonts w:cs="Times New Roman"/>
        </w:rPr>
      </w:pPr>
      <w:r>
        <w:rPr>
          <w:rFonts w:cs="Times New Roman"/>
        </w:rPr>
        <w:t xml:space="preserve">Nigeria provided the clearest country-specific cluster of studies. </w:t>
      </w:r>
      <w:proofErr w:type="spellStart"/>
      <w:r>
        <w:rPr>
          <w:rFonts w:cs="Times New Roman"/>
        </w:rPr>
        <w:t>Umoga</w:t>
      </w:r>
      <w:proofErr w:type="spellEnd"/>
      <w:r>
        <w:rPr>
          <w:rFonts w:cs="Times New Roman"/>
        </w:rPr>
        <w:t xml:space="preserve"> et al. (2026) assessed seven tertiary hospitals and found an overall average emergency-care capacity score of 2.69 out of 3, with significant differences across sites and sentinel emergency conditions. Respiratory-failure capacity was the weakest domain. These findings are encouraging in that they establish a meaningful baseline for emergency care, yet they also reveal uneven capabilities and important clinical blind spots. From a policy perspective, this means that national averages may conceal regional vulnerability.</w:t>
      </w:r>
    </w:p>
    <w:p w14:paraId="62C85CA1" w14:textId="5314DED4" w:rsidR="00CD50FA" w:rsidRDefault="0032653B">
      <w:pPr>
        <w:jc w:val="both"/>
        <w:rPr>
          <w:rFonts w:cs="Times New Roman"/>
        </w:rPr>
      </w:pPr>
      <w:proofErr w:type="spellStart"/>
      <w:r>
        <w:rPr>
          <w:rFonts w:cs="Times New Roman"/>
        </w:rPr>
        <w:t>Nto</w:t>
      </w:r>
      <w:proofErr w:type="spellEnd"/>
      <w:r>
        <w:rPr>
          <w:rFonts w:cs="Times New Roman"/>
        </w:rPr>
        <w:t xml:space="preserve"> et al. (2024) illuminated the prehospital side of the Nigerian pathway by showing that awareness of EMS in the Federal Capital Territory exceeded actual </w:t>
      </w:r>
      <w:proofErr w:type="spellStart"/>
      <w:r>
        <w:rPr>
          <w:rFonts w:cs="Times New Roman"/>
        </w:rPr>
        <w:t>utili</w:t>
      </w:r>
      <w:r w:rsidR="00753B02">
        <w:rPr>
          <w:rFonts w:cs="Times New Roman"/>
        </w:rPr>
        <w:t>s</w:t>
      </w:r>
      <w:r>
        <w:rPr>
          <w:rFonts w:cs="Times New Roman"/>
        </w:rPr>
        <w:t>ation</w:t>
      </w:r>
      <w:proofErr w:type="spellEnd"/>
      <w:r>
        <w:rPr>
          <w:rFonts w:cs="Times New Roman"/>
        </w:rPr>
        <w:t>. This is a critical systems insight. It suggests that emergency outcomes may be constrained not only by the physical presence of ambulances but also by the system's social usability. Trust, recall of the emergency number, perceived cost, confidence in the quality of the response, and prior experience all influence whether EMS is called in the first place.</w:t>
      </w:r>
    </w:p>
    <w:p w14:paraId="62C85CA2" w14:textId="77777777" w:rsidR="00CD50FA" w:rsidRDefault="0032653B">
      <w:pPr>
        <w:jc w:val="both"/>
        <w:rPr>
          <w:rFonts w:cs="Times New Roman"/>
        </w:rPr>
      </w:pPr>
      <w:r>
        <w:rPr>
          <w:rFonts w:cs="Times New Roman"/>
        </w:rPr>
        <w:t xml:space="preserve">Facility-level studies in Nigeria show how these upstream issues interact with hospital processes. In Sokoto, </w:t>
      </w:r>
      <w:proofErr w:type="spellStart"/>
      <w:r>
        <w:rPr>
          <w:rFonts w:cs="Times New Roman"/>
        </w:rPr>
        <w:t>Nuradeen</w:t>
      </w:r>
      <w:proofErr w:type="spellEnd"/>
      <w:r>
        <w:rPr>
          <w:rFonts w:cs="Times New Roman"/>
        </w:rPr>
        <w:t xml:space="preserve"> et al. (2025) found that treatment waiting time was associated with trauma outcomes and that the average waiting time under a free-emergency-service model was approximately 10.5 minutes. This demonstrates that timeliness is measurable and clinically meaningful at the facility level. In Lagos, </w:t>
      </w:r>
      <w:proofErr w:type="spellStart"/>
      <w:r>
        <w:rPr>
          <w:rFonts w:cs="Times New Roman"/>
        </w:rPr>
        <w:t>Akase</w:t>
      </w:r>
      <w:proofErr w:type="spellEnd"/>
      <w:r>
        <w:rPr>
          <w:rFonts w:cs="Times New Roman"/>
        </w:rPr>
        <w:t xml:space="preserve"> et al. (2023) documented high mortality among emergency patients with sepsis and poor adherence to basic diagnostic steps, which points to a persistent gap between recognition and protocolized care.</w:t>
      </w:r>
    </w:p>
    <w:p w14:paraId="62C85CA3" w14:textId="77777777" w:rsidR="00CD50FA" w:rsidRDefault="0032653B">
      <w:pPr>
        <w:jc w:val="both"/>
        <w:rPr>
          <w:rFonts w:cs="Times New Roman"/>
        </w:rPr>
      </w:pPr>
      <w:r>
        <w:rPr>
          <w:rFonts w:cs="Times New Roman"/>
        </w:rPr>
        <w:t xml:space="preserve">Beyond Nigeria, the review identified several African studies that help explain why pathway reliability matters. Rice et al. (2022) showed in Uganda that mortality was lower when emergency medicine physicians directly or indirectly supervised non-physician clinicians. This supports the argument that workforce models in low-resource settings can succeed when escalation and oversight are built in. Karim et al. (2025) reported in Rwanda that tailored EMS training improved knowledge and increased oxygen administration, indicating that practical process gains are achievable with focused educational interventions. </w:t>
      </w:r>
      <w:proofErr w:type="spellStart"/>
      <w:r>
        <w:rPr>
          <w:rFonts w:cs="Times New Roman"/>
        </w:rPr>
        <w:t>Kamunga</w:t>
      </w:r>
      <w:proofErr w:type="spellEnd"/>
      <w:r>
        <w:rPr>
          <w:rFonts w:cs="Times New Roman"/>
        </w:rPr>
        <w:t xml:space="preserve"> et al. (2024) </w:t>
      </w:r>
      <w:r>
        <w:rPr>
          <w:rFonts w:cs="Times New Roman"/>
        </w:rPr>
        <w:lastRenderedPageBreak/>
        <w:t>documented the burden and outcomes of critically ill patients in a tertiary Rwandan emergency department, demonstrating how prolonged ED care intersects with critical illness management.</w:t>
      </w:r>
    </w:p>
    <w:p w14:paraId="62C85CA4" w14:textId="5F3C15F0" w:rsidR="00CD50FA" w:rsidRDefault="0032653B">
      <w:pPr>
        <w:jc w:val="both"/>
        <w:rPr>
          <w:rFonts w:cs="Times New Roman"/>
        </w:rPr>
      </w:pPr>
      <w:r>
        <w:rPr>
          <w:rFonts w:cs="Times New Roman"/>
        </w:rPr>
        <w:t xml:space="preserve">Malawi and Ghana contributed complementary system-level insights. </w:t>
      </w:r>
      <w:proofErr w:type="spellStart"/>
      <w:r>
        <w:rPr>
          <w:rFonts w:cs="Times New Roman"/>
        </w:rPr>
        <w:t>Sonenthal</w:t>
      </w:r>
      <w:proofErr w:type="spellEnd"/>
      <w:r>
        <w:rPr>
          <w:rFonts w:cs="Times New Roman"/>
        </w:rPr>
        <w:t xml:space="preserve"> et al. (2022) found substantial variation in emergency and critical care readiness across Malawian public hospitals, a reminder that emergency outcomes are constrained by basic service availability long before advanced interventions are considered. </w:t>
      </w:r>
      <w:proofErr w:type="spellStart"/>
      <w:r>
        <w:rPr>
          <w:rFonts w:cs="Times New Roman"/>
        </w:rPr>
        <w:t>Khongo</w:t>
      </w:r>
      <w:proofErr w:type="spellEnd"/>
      <w:r>
        <w:rPr>
          <w:rFonts w:cs="Times New Roman"/>
        </w:rPr>
        <w:t xml:space="preserve"> et al. (2023) showed that basic emergency care training and mentorship were feasible in a rural Malawian district and improved provider capability. In Ghana, </w:t>
      </w:r>
      <w:proofErr w:type="spellStart"/>
      <w:r>
        <w:rPr>
          <w:rFonts w:cs="Times New Roman"/>
        </w:rPr>
        <w:t>Gyedu</w:t>
      </w:r>
      <w:proofErr w:type="spellEnd"/>
      <w:r>
        <w:rPr>
          <w:rFonts w:cs="Times New Roman"/>
        </w:rPr>
        <w:t xml:space="preserve"> et al. (2024) demonstrated that a </w:t>
      </w:r>
      <w:proofErr w:type="spellStart"/>
      <w:r>
        <w:rPr>
          <w:rFonts w:cs="Times New Roman"/>
        </w:rPr>
        <w:t>standardi</w:t>
      </w:r>
      <w:r w:rsidR="00753B02">
        <w:rPr>
          <w:rFonts w:cs="Times New Roman"/>
        </w:rPr>
        <w:t>s</w:t>
      </w:r>
      <w:r>
        <w:rPr>
          <w:rFonts w:cs="Times New Roman"/>
        </w:rPr>
        <w:t>ed</w:t>
      </w:r>
      <w:proofErr w:type="spellEnd"/>
      <w:r>
        <w:rPr>
          <w:rFonts w:cs="Times New Roman"/>
        </w:rPr>
        <w:t xml:space="preserve"> trauma intake form improved assessment and reassessment of injured patients, while Afrifa-Yamoah et al. (2024) highlighted the centrality of lower-tier facilities in first-contact emergency care. Both studies reinforce the value of practical systems strengthening rather than imported high-technology models alone.</w:t>
      </w:r>
    </w:p>
    <w:p w14:paraId="62C85CA5" w14:textId="06FECDE9" w:rsidR="00CD50FA" w:rsidRDefault="0032653B">
      <w:pPr>
        <w:jc w:val="both"/>
        <w:rPr>
          <w:rFonts w:cs="Times New Roman"/>
        </w:rPr>
      </w:pPr>
      <w:r>
        <w:rPr>
          <w:rFonts w:cs="Times New Roman"/>
        </w:rPr>
        <w:t xml:space="preserve">The South African studies in the review highlight a different but equally important dimension: service differentiation and operational maturity. Vlok et al. (2023) described the workload and </w:t>
      </w:r>
      <w:proofErr w:type="spellStart"/>
      <w:r>
        <w:rPr>
          <w:rFonts w:cs="Times New Roman"/>
        </w:rPr>
        <w:t>utili</w:t>
      </w:r>
      <w:r w:rsidR="00753B02">
        <w:rPr>
          <w:rFonts w:cs="Times New Roman"/>
        </w:rPr>
        <w:t>s</w:t>
      </w:r>
      <w:r>
        <w:rPr>
          <w:rFonts w:cs="Times New Roman"/>
        </w:rPr>
        <w:t>ation</w:t>
      </w:r>
      <w:proofErr w:type="spellEnd"/>
      <w:r>
        <w:rPr>
          <w:rFonts w:cs="Times New Roman"/>
        </w:rPr>
        <w:t xml:space="preserve"> profile of helicopter emergency medical services across four provinces, illustrating how advanced prehospital resources operate within a middle-income African system. Adewole et al. (2024) showed that emergency care demand at a South African hospital has important implications for staffing and service planning. These findings suggest that even relatively more mature systems face persistent pressures around resource allocation, demand management, and equitable service design.</w:t>
      </w:r>
    </w:p>
    <w:p w14:paraId="62C85CA6" w14:textId="77777777" w:rsidR="00CD50FA" w:rsidRDefault="0032653B">
      <w:pPr>
        <w:jc w:val="both"/>
        <w:rPr>
          <w:rFonts w:cs="Times New Roman"/>
        </w:rPr>
      </w:pPr>
      <w:r>
        <w:rPr>
          <w:rFonts w:cs="Times New Roman"/>
        </w:rPr>
        <w:t>In a comparative perspective, the African evidence argues against simplistic performance benchmarks. It is not enough to ask whether a country meets a response-time target borrowed from high-income systems. A more meaningful question is whether emergency patients can reliably move through a chain that begins with recognition and access, continues through transport and triage, and ends with timely definitive treatment and escalation. On this broader measure, African studies show both progress and persistent vulnerability.</w:t>
      </w:r>
    </w:p>
    <w:p w14:paraId="62C85CA7" w14:textId="77777777" w:rsidR="00CD50FA" w:rsidRDefault="0032653B">
      <w:pPr>
        <w:pStyle w:val="Heading1"/>
        <w:jc w:val="both"/>
        <w:rPr>
          <w:rFonts w:ascii="Times New Roman" w:hAnsi="Times New Roman" w:cs="Times New Roman"/>
          <w:color w:val="auto"/>
        </w:rPr>
      </w:pPr>
      <w:r>
        <w:rPr>
          <w:rFonts w:ascii="Times New Roman" w:hAnsi="Times New Roman" w:cs="Times New Roman"/>
          <w:color w:val="auto"/>
        </w:rPr>
        <w:t>4. Discussion</w:t>
      </w:r>
    </w:p>
    <w:p w14:paraId="62C85CA8" w14:textId="199624D1" w:rsidR="00CD50FA" w:rsidRDefault="0032653B">
      <w:pPr>
        <w:jc w:val="both"/>
        <w:rPr>
          <w:rFonts w:cs="Times New Roman"/>
        </w:rPr>
      </w:pPr>
      <w:r>
        <w:rPr>
          <w:rFonts w:cs="Times New Roman"/>
        </w:rPr>
        <w:t xml:space="preserve">This corrected and expanded systematic review shows that responses to medical emergencies influence outcomes through pathway reliability rather than through any single metric alone. The </w:t>
      </w:r>
      <w:r>
        <w:rPr>
          <w:rFonts w:cs="Times New Roman"/>
        </w:rPr>
        <w:lastRenderedPageBreak/>
        <w:t xml:space="preserve">most consistent evidence in the literature supports four propositions. First, rapid response systems for deteriorating inpatients reduce hospital mortality and cardiopulmonary arrest when they are </w:t>
      </w:r>
      <w:proofErr w:type="spellStart"/>
      <w:r>
        <w:rPr>
          <w:rFonts w:cs="Times New Roman"/>
        </w:rPr>
        <w:t>organi</w:t>
      </w:r>
      <w:r w:rsidR="00753B02">
        <w:rPr>
          <w:rFonts w:cs="Times New Roman"/>
        </w:rPr>
        <w:t>s</w:t>
      </w:r>
      <w:r>
        <w:rPr>
          <w:rFonts w:cs="Times New Roman"/>
        </w:rPr>
        <w:t>ed</w:t>
      </w:r>
      <w:proofErr w:type="spellEnd"/>
      <w:r>
        <w:rPr>
          <w:rFonts w:cs="Times New Roman"/>
        </w:rPr>
        <w:t xml:space="preserve"> around early recognition and escalation (De Jong et al., 2016; Maharaj et al., 2015). Second, emergency department crowding reliably harms patients by delaying treatment, reducing adherence to standards, and propagating operational stress into inpatient care (Ahmed et al., 2026; Pearce et al., 2023; Pearce et al., 2024). Third, sepsis pathways benefit from structured alerts and reasonably early antibiotic delivery, particularly within three to six hours of recognition or arrival (Kim et al., 2024; Leung et al., 2024). Fourth, African emergency outcomes are shaped not just by raw time metrics but by system readiness, supervision, public access, training, and referral integration (</w:t>
      </w:r>
      <w:proofErr w:type="spellStart"/>
      <w:r>
        <w:rPr>
          <w:rFonts w:cs="Times New Roman"/>
        </w:rPr>
        <w:t>Akase</w:t>
      </w:r>
      <w:proofErr w:type="spellEnd"/>
      <w:r>
        <w:rPr>
          <w:rFonts w:cs="Times New Roman"/>
        </w:rPr>
        <w:t xml:space="preserve"> et al., 2023; </w:t>
      </w:r>
      <w:proofErr w:type="spellStart"/>
      <w:r>
        <w:rPr>
          <w:rFonts w:cs="Times New Roman"/>
        </w:rPr>
        <w:t>Nto</w:t>
      </w:r>
      <w:proofErr w:type="spellEnd"/>
      <w:r>
        <w:rPr>
          <w:rFonts w:cs="Times New Roman"/>
        </w:rPr>
        <w:t xml:space="preserve"> et al., 2024; Rice et al., 2022; </w:t>
      </w:r>
      <w:proofErr w:type="spellStart"/>
      <w:r>
        <w:rPr>
          <w:rFonts w:cs="Times New Roman"/>
        </w:rPr>
        <w:t>Umoga</w:t>
      </w:r>
      <w:proofErr w:type="spellEnd"/>
      <w:r>
        <w:rPr>
          <w:rFonts w:cs="Times New Roman"/>
        </w:rPr>
        <w:t xml:space="preserve"> et al., 2026).</w:t>
      </w:r>
    </w:p>
    <w:p w14:paraId="62C85CA9" w14:textId="522B299A" w:rsidR="00CD50FA" w:rsidRDefault="0032653B">
      <w:pPr>
        <w:jc w:val="both"/>
        <w:rPr>
          <w:rFonts w:cs="Times New Roman"/>
        </w:rPr>
      </w:pPr>
      <w:r>
        <w:rPr>
          <w:rFonts w:cs="Times New Roman"/>
        </w:rPr>
        <w:t xml:space="preserve">These findings are important because they challenge an overly narrow interpretation of the quality of emergency care. Many emergency systems continue to privilege easily measured indicators such as ambulance response time. While such metrics are useful, the review suggests they are insufficient on their own. A fast ambulance response cannot compensate for low public </w:t>
      </w:r>
      <w:proofErr w:type="spellStart"/>
      <w:r>
        <w:rPr>
          <w:rFonts w:cs="Times New Roman"/>
        </w:rPr>
        <w:t>utili</w:t>
      </w:r>
      <w:r w:rsidR="00753B02">
        <w:rPr>
          <w:rFonts w:cs="Times New Roman"/>
        </w:rPr>
        <w:t>s</w:t>
      </w:r>
      <w:r>
        <w:rPr>
          <w:rFonts w:cs="Times New Roman"/>
        </w:rPr>
        <w:t>ation</w:t>
      </w:r>
      <w:proofErr w:type="spellEnd"/>
      <w:r>
        <w:rPr>
          <w:rFonts w:cs="Times New Roman"/>
        </w:rPr>
        <w:t>, delayed triage, missing diagnostics, limited respiratory support, severe crowding, or absent escalation. In practice, therefore, emergency quality should be measured with balanced dashboards that include time metrics, treatment reliability, crowding indicators, mortality, and risk-adjusted process measures.</w:t>
      </w:r>
    </w:p>
    <w:p w14:paraId="62C85CAA" w14:textId="77777777" w:rsidR="00CD50FA" w:rsidRDefault="0032653B">
      <w:pPr>
        <w:jc w:val="both"/>
        <w:rPr>
          <w:rFonts w:cs="Times New Roman"/>
        </w:rPr>
      </w:pPr>
      <w:r>
        <w:rPr>
          <w:rFonts w:cs="Times New Roman"/>
        </w:rPr>
        <w:t>The review also highlights the value of integrating high-income and African evidence rather than treating them as separate literatures. High-income systematic reviews provide strong evidence on the broad direction of effect for crowding, rapid response systems, and sepsis pathways. African studies then clarify how those mechanisms operate in resource-constrained settings. For example, the Ugandan supervision study does not replicate a conventional rapid-response trial, but it demonstrates that mortality changes when timely access to higher-level clinical expertise improves (Rice et al., 2022). The Malawian readiness survey does not measure response time directly, but it shows why some facilities cannot deliver timely emergency care even if transport improves (</w:t>
      </w:r>
      <w:proofErr w:type="spellStart"/>
      <w:r>
        <w:rPr>
          <w:rFonts w:cs="Times New Roman"/>
        </w:rPr>
        <w:t>Sonenthal</w:t>
      </w:r>
      <w:proofErr w:type="spellEnd"/>
      <w:r>
        <w:rPr>
          <w:rFonts w:cs="Times New Roman"/>
        </w:rPr>
        <w:t xml:space="preserve"> et al., 2022). The Nigerian EMS-awareness study does not report mortality, yet it shows why formal ambulance capacity may remain </w:t>
      </w:r>
      <w:proofErr w:type="spellStart"/>
      <w:r>
        <w:rPr>
          <w:rFonts w:cs="Times New Roman"/>
        </w:rPr>
        <w:t>underutilised</w:t>
      </w:r>
      <w:proofErr w:type="spellEnd"/>
      <w:r>
        <w:rPr>
          <w:rFonts w:cs="Times New Roman"/>
        </w:rPr>
        <w:t xml:space="preserve"> (</w:t>
      </w:r>
      <w:proofErr w:type="spellStart"/>
      <w:r>
        <w:rPr>
          <w:rFonts w:cs="Times New Roman"/>
        </w:rPr>
        <w:t>Nto</w:t>
      </w:r>
      <w:proofErr w:type="spellEnd"/>
      <w:r>
        <w:rPr>
          <w:rFonts w:cs="Times New Roman"/>
        </w:rPr>
        <w:t xml:space="preserve"> et al., 2024).</w:t>
      </w:r>
    </w:p>
    <w:p w14:paraId="62C85CAB" w14:textId="77777777" w:rsidR="00CD50FA" w:rsidRDefault="0032653B">
      <w:pPr>
        <w:jc w:val="both"/>
        <w:rPr>
          <w:rFonts w:cs="Times New Roman"/>
        </w:rPr>
      </w:pPr>
      <w:r>
        <w:rPr>
          <w:rFonts w:cs="Times New Roman"/>
        </w:rPr>
        <w:lastRenderedPageBreak/>
        <w:t>For Nigeria, the policy implications are especially clear. The current evidence suggests that emergency outcomes are shaped by multiple interacting weaknesses rather than by a single dominant failure point. Strengthening Nigerian emergency care will likely require public-facing reforms, facility-level process redesign, and cross-hospital capability planning. On the public side, EMS numbers must be memorable, trusted, and genuinely usable. On the facility side, triage reliability, sepsis pathways, trauma-treatment timeliness, and crowding management require attention. At the system level, the uneven emergency-care capacity demonstrated across tertiary hospitals implies a need for targeted investment in weaker domains such as respiratory emergencies and diagnostic support (</w:t>
      </w:r>
      <w:proofErr w:type="spellStart"/>
      <w:r>
        <w:rPr>
          <w:rFonts w:cs="Times New Roman"/>
        </w:rPr>
        <w:t>Umoga</w:t>
      </w:r>
      <w:proofErr w:type="spellEnd"/>
      <w:r>
        <w:rPr>
          <w:rFonts w:cs="Times New Roman"/>
        </w:rPr>
        <w:t xml:space="preserve"> et al., 2026).</w:t>
      </w:r>
    </w:p>
    <w:p w14:paraId="62C85CAC" w14:textId="77777777" w:rsidR="00CD50FA" w:rsidRDefault="0032653B">
      <w:pPr>
        <w:jc w:val="both"/>
        <w:rPr>
          <w:rFonts w:cs="Times New Roman"/>
        </w:rPr>
      </w:pPr>
      <w:r>
        <w:rPr>
          <w:rFonts w:cs="Times New Roman"/>
        </w:rPr>
        <w:t xml:space="preserve">The African evidence also suggests that workforce design matters profoundly. In settings with constrained specialist availability, non-physician clinicians often provide a large proportion of emergency care. The Ugandan findings indicate that task sharing is not inherently unsafe; rather, outcomes improve when supervision and escalation are built into the model (Rice et al., 2022). Similarly, the Rwandan and Malawian training studies show that basic process improvements are achievable through targeted education and mentorship (Karim et al., 2025; </w:t>
      </w:r>
      <w:proofErr w:type="spellStart"/>
      <w:r>
        <w:rPr>
          <w:rFonts w:cs="Times New Roman"/>
        </w:rPr>
        <w:t>Khongo</w:t>
      </w:r>
      <w:proofErr w:type="spellEnd"/>
      <w:r>
        <w:rPr>
          <w:rFonts w:cs="Times New Roman"/>
        </w:rPr>
        <w:t xml:space="preserve"> et al., 2023). These results support a pragmatic policy stance in low-resource settings: the immediate goal need not be to replicate a fully specialist-staffed system, but to improve the reliability of recognition, initial management, and escalation within the workforce that exists.</w:t>
      </w:r>
    </w:p>
    <w:p w14:paraId="62C85CAD" w14:textId="5CE7D422" w:rsidR="00CD50FA" w:rsidRDefault="0032653B">
      <w:pPr>
        <w:jc w:val="both"/>
        <w:rPr>
          <w:rFonts w:cs="Times New Roman"/>
        </w:rPr>
      </w:pPr>
      <w:r>
        <w:rPr>
          <w:rFonts w:cs="Times New Roman"/>
        </w:rPr>
        <w:t xml:space="preserve">Another important implication concerns crowding. The review indicates that emergency department crowding should no longer be framed simply as an emergency-unit management problem. It is a whole-hospital access problem with direct patient-safety consequences. This matters in Nigeria and across Africa because emergency departments frequently absorb failures from elsewhere in the hospital, including unavailable beds, slow </w:t>
      </w:r>
      <w:proofErr w:type="spellStart"/>
      <w:r>
        <w:rPr>
          <w:rFonts w:cs="Times New Roman"/>
        </w:rPr>
        <w:t>special</w:t>
      </w:r>
      <w:r w:rsidR="00753B02">
        <w:rPr>
          <w:rFonts w:cs="Times New Roman"/>
        </w:rPr>
        <w:t>i</w:t>
      </w:r>
      <w:r>
        <w:rPr>
          <w:rFonts w:cs="Times New Roman"/>
        </w:rPr>
        <w:t>ty</w:t>
      </w:r>
      <w:proofErr w:type="spellEnd"/>
      <w:r>
        <w:rPr>
          <w:rFonts w:cs="Times New Roman"/>
        </w:rPr>
        <w:t xml:space="preserve"> review, delayed imaging, and limited theatre access. Policies that treat crowding as a front-door issue without addressing inpatient flow will likely underperform.</w:t>
      </w:r>
    </w:p>
    <w:p w14:paraId="62C85CAE" w14:textId="77777777" w:rsidR="00CD50FA" w:rsidRDefault="0032653B">
      <w:pPr>
        <w:jc w:val="both"/>
        <w:rPr>
          <w:rFonts w:cs="Times New Roman"/>
        </w:rPr>
      </w:pPr>
      <w:r>
        <w:rPr>
          <w:rFonts w:cs="Times New Roman"/>
        </w:rPr>
        <w:t xml:space="preserve">The review has several strengths. It corrects weaknesses in the uploaded draft by providing a clearer review question, explicit eligibility criteria, a PRISMA-aligned study-selection pathway, and a stronger distinction between background references and formally included studies. It also substantially expands the African evidence base, making the conclusions more relevant to Nigeria and similar settings. In addition, it </w:t>
      </w:r>
      <w:proofErr w:type="spellStart"/>
      <w:r>
        <w:rPr>
          <w:rFonts w:cs="Times New Roman"/>
        </w:rPr>
        <w:t>synthesises</w:t>
      </w:r>
      <w:proofErr w:type="spellEnd"/>
      <w:r>
        <w:rPr>
          <w:rFonts w:cs="Times New Roman"/>
        </w:rPr>
        <w:t xml:space="preserve"> different parts of the emergency pathway </w:t>
      </w:r>
      <w:r>
        <w:rPr>
          <w:rFonts w:cs="Times New Roman"/>
        </w:rPr>
        <w:lastRenderedPageBreak/>
        <w:t>rather than isolating individual topics, thereby reflecting how emergency care functions in practice.</w:t>
      </w:r>
    </w:p>
    <w:p w14:paraId="62C85CB1" w14:textId="77777777" w:rsidR="00CD50FA" w:rsidRDefault="0032653B">
      <w:pPr>
        <w:pStyle w:val="Heading1"/>
        <w:jc w:val="both"/>
        <w:rPr>
          <w:rFonts w:ascii="Times New Roman" w:hAnsi="Times New Roman" w:cs="Times New Roman"/>
          <w:color w:val="auto"/>
        </w:rPr>
      </w:pPr>
      <w:r>
        <w:rPr>
          <w:rFonts w:ascii="Times New Roman" w:hAnsi="Times New Roman" w:cs="Times New Roman"/>
          <w:color w:val="auto"/>
        </w:rPr>
        <w:t>5. Conclusion</w:t>
      </w:r>
    </w:p>
    <w:p w14:paraId="62C85CB2" w14:textId="77777777" w:rsidR="00CD50FA" w:rsidRDefault="0032653B">
      <w:pPr>
        <w:jc w:val="both"/>
        <w:rPr>
          <w:rFonts w:cs="Times New Roman"/>
        </w:rPr>
      </w:pPr>
      <w:r>
        <w:rPr>
          <w:rFonts w:cs="Times New Roman"/>
        </w:rPr>
        <w:t>This corrected systematic review shows that responses and outcomes in medical emergencies are shaped by the reliability of the entire emergency-care pathway. The strongest evidence supports rapid response systems for deteriorating inpatients, confirms the harms associated with emergency department crowding, and indicates that sepsis outcomes improve when recognition and treatment pathways are made more reliable. African and Nigerian studies show that emergency outcomes are also strongly influenced by emergency care readiness, workforce supervision, public use of EMS, waiting times, and access to core diagnostics and signal functions.</w:t>
      </w:r>
    </w:p>
    <w:p w14:paraId="62C85CB3" w14:textId="77777777" w:rsidR="00CD50FA" w:rsidRDefault="0032653B">
      <w:pPr>
        <w:jc w:val="both"/>
        <w:rPr>
          <w:rFonts w:cs="Times New Roman"/>
        </w:rPr>
      </w:pPr>
      <w:r>
        <w:rPr>
          <w:rFonts w:cs="Times New Roman"/>
        </w:rPr>
        <w:t>For Nigeria and comparable African settings, the central policy message is that emergency improvement requires coordinated system strengthening rather than isolated time targets. Ambulance response time matters, but it is only one component of a broader chain that includes public trust, dispatch usability, transport, triage, treatment, escalation, and inpatient flow. Health systems that strengthen this chain are more likely to achieve meaningful reductions in mortality and disability.</w:t>
      </w:r>
    </w:p>
    <w:p w14:paraId="1273C45C" w14:textId="77777777" w:rsidR="00271DE4" w:rsidRDefault="00271DE4">
      <w:pPr>
        <w:jc w:val="both"/>
        <w:rPr>
          <w:rFonts w:cs="Times New Roman"/>
        </w:rPr>
      </w:pPr>
    </w:p>
    <w:p w14:paraId="1330F4D5" w14:textId="77777777" w:rsidR="00271DE4" w:rsidRDefault="00271DE4">
      <w:pPr>
        <w:jc w:val="both"/>
        <w:rPr>
          <w:rFonts w:cs="Times New Roman"/>
        </w:rPr>
      </w:pPr>
    </w:p>
    <w:p w14:paraId="62C85CB4" w14:textId="77777777" w:rsidR="00CD50FA" w:rsidRDefault="0032653B">
      <w:pPr>
        <w:pStyle w:val="Heading1"/>
        <w:jc w:val="both"/>
        <w:rPr>
          <w:rFonts w:ascii="Times New Roman" w:hAnsi="Times New Roman" w:cs="Times New Roman"/>
          <w:color w:val="auto"/>
        </w:rPr>
      </w:pPr>
      <w:r>
        <w:rPr>
          <w:rFonts w:ascii="Times New Roman" w:hAnsi="Times New Roman" w:cs="Times New Roman"/>
          <w:color w:val="auto"/>
        </w:rPr>
        <w:t>6. Recommendations</w:t>
      </w:r>
    </w:p>
    <w:p w14:paraId="62C85CB5" w14:textId="77777777" w:rsidR="00CD50FA" w:rsidRDefault="0032653B">
      <w:pPr>
        <w:jc w:val="both"/>
        <w:rPr>
          <w:rFonts w:cs="Times New Roman"/>
        </w:rPr>
      </w:pPr>
      <w:r>
        <w:rPr>
          <w:rFonts w:cs="Times New Roman"/>
        </w:rPr>
        <w:t>1. Emergency-care performance should be monitored with balanced dashboards that include response times, treatment timeliness, crowding indicators, and outcome measures rather than a single time target.</w:t>
      </w:r>
    </w:p>
    <w:p w14:paraId="62C85CB6" w14:textId="77777777" w:rsidR="00CD50FA" w:rsidRDefault="0032653B">
      <w:pPr>
        <w:jc w:val="both"/>
        <w:rPr>
          <w:rFonts w:cs="Times New Roman"/>
        </w:rPr>
      </w:pPr>
      <w:r>
        <w:rPr>
          <w:rFonts w:cs="Times New Roman"/>
        </w:rPr>
        <w:t>2. Hospitals should implement or strengthen context-appropriate rapid response systems, especially where delayed recognition of deterioration remains common.</w:t>
      </w:r>
    </w:p>
    <w:p w14:paraId="62C85CB7" w14:textId="77777777" w:rsidR="00CD50FA" w:rsidRDefault="0032653B">
      <w:pPr>
        <w:jc w:val="both"/>
        <w:rPr>
          <w:rFonts w:cs="Times New Roman"/>
        </w:rPr>
      </w:pPr>
      <w:r>
        <w:rPr>
          <w:rFonts w:cs="Times New Roman"/>
        </w:rPr>
        <w:t>3. Emergency departments should manage crowding as a patient-safety threat and pursue whole-of-hospital solutions that address boarding, inpatient flow, and discharge bottlenecks.</w:t>
      </w:r>
    </w:p>
    <w:p w14:paraId="62C85CB8" w14:textId="77777777" w:rsidR="00CD50FA" w:rsidRDefault="0032653B">
      <w:pPr>
        <w:jc w:val="both"/>
        <w:rPr>
          <w:rFonts w:cs="Times New Roman"/>
        </w:rPr>
      </w:pPr>
      <w:r>
        <w:rPr>
          <w:rFonts w:cs="Times New Roman"/>
        </w:rPr>
        <w:lastRenderedPageBreak/>
        <w:t>4. Nigerian emergency services should invest in both public-facing and facility-facing reforms, including improved EMS awareness and usability, strengthened respiratory and sepsis care capacity, and reduction of treatment delays in trauma and medical emergencies.</w:t>
      </w:r>
    </w:p>
    <w:p w14:paraId="62C85CB9" w14:textId="6061E3B8" w:rsidR="00CD50FA" w:rsidRDefault="0032653B">
      <w:pPr>
        <w:jc w:val="both"/>
        <w:rPr>
          <w:rFonts w:cs="Times New Roman"/>
        </w:rPr>
      </w:pPr>
      <w:r>
        <w:rPr>
          <w:rFonts w:cs="Times New Roman"/>
        </w:rPr>
        <w:t xml:space="preserve">5. Low-resource systems should continue to invest in practical workforce development, supervision, mentorship, </w:t>
      </w:r>
      <w:proofErr w:type="spellStart"/>
      <w:r>
        <w:rPr>
          <w:rFonts w:cs="Times New Roman"/>
        </w:rPr>
        <w:t>standardi</w:t>
      </w:r>
      <w:r w:rsidR="00753B02">
        <w:rPr>
          <w:rFonts w:cs="Times New Roman"/>
        </w:rPr>
        <w:t>s</w:t>
      </w:r>
      <w:r>
        <w:rPr>
          <w:rFonts w:cs="Times New Roman"/>
        </w:rPr>
        <w:t>ed</w:t>
      </w:r>
      <w:proofErr w:type="spellEnd"/>
      <w:r>
        <w:rPr>
          <w:rFonts w:cs="Times New Roman"/>
        </w:rPr>
        <w:t xml:space="preserve"> forms, and scalable process redesign.</w:t>
      </w:r>
    </w:p>
    <w:p w14:paraId="62C85CBA" w14:textId="4C556870" w:rsidR="00CD50FA" w:rsidRDefault="0032653B">
      <w:pPr>
        <w:jc w:val="both"/>
        <w:rPr>
          <w:rFonts w:cs="Times New Roman"/>
        </w:rPr>
      </w:pPr>
      <w:r>
        <w:rPr>
          <w:rFonts w:cs="Times New Roman"/>
        </w:rPr>
        <w:t xml:space="preserve">6. Future African emergency-care research should </w:t>
      </w:r>
      <w:proofErr w:type="spellStart"/>
      <w:r>
        <w:rPr>
          <w:rFonts w:cs="Times New Roman"/>
        </w:rPr>
        <w:t>prioriti</w:t>
      </w:r>
      <w:r w:rsidR="00753B02">
        <w:rPr>
          <w:rFonts w:cs="Times New Roman"/>
        </w:rPr>
        <w:t>s</w:t>
      </w:r>
      <w:r>
        <w:rPr>
          <w:rFonts w:cs="Times New Roman"/>
        </w:rPr>
        <w:t>e</w:t>
      </w:r>
      <w:proofErr w:type="spellEnd"/>
      <w:r>
        <w:rPr>
          <w:rFonts w:cs="Times New Roman"/>
        </w:rPr>
        <w:t xml:space="preserve"> </w:t>
      </w:r>
      <w:proofErr w:type="spellStart"/>
      <w:r>
        <w:rPr>
          <w:rFonts w:cs="Times New Roman"/>
        </w:rPr>
        <w:t>multicentre</w:t>
      </w:r>
      <w:proofErr w:type="spellEnd"/>
      <w:r>
        <w:rPr>
          <w:rFonts w:cs="Times New Roman"/>
        </w:rPr>
        <w:t xml:space="preserve"> designs, common outcome definitions, and stronger links between process indicators and clinical outcomes.</w:t>
      </w:r>
    </w:p>
    <w:p w14:paraId="55501DA7" w14:textId="77777777" w:rsidR="00271DE4" w:rsidRDefault="00271DE4">
      <w:pPr>
        <w:jc w:val="both"/>
        <w:rPr>
          <w:rFonts w:cs="Times New Roman"/>
        </w:rPr>
      </w:pPr>
    </w:p>
    <w:p w14:paraId="3D38430B" w14:textId="359C04CB" w:rsidR="00271DE4" w:rsidRPr="0070171D" w:rsidRDefault="00271DE4" w:rsidP="00271DE4">
      <w:pPr>
        <w:jc w:val="both"/>
        <w:rPr>
          <w:rFonts w:cs="Times New Roman"/>
          <w:b/>
          <w:bCs/>
        </w:rPr>
      </w:pPr>
      <w:r>
        <w:rPr>
          <w:rFonts w:cs="Times New Roman"/>
          <w:b/>
          <w:bCs/>
        </w:rPr>
        <w:t>7.</w:t>
      </w:r>
      <w:r w:rsidRPr="0070171D">
        <w:rPr>
          <w:rFonts w:cs="Times New Roman"/>
          <w:b/>
          <w:bCs/>
        </w:rPr>
        <w:t xml:space="preserve"> Limitations </w:t>
      </w:r>
    </w:p>
    <w:p w14:paraId="3270C813" w14:textId="77777777" w:rsidR="00271DE4" w:rsidRDefault="00271DE4" w:rsidP="00271DE4">
      <w:pPr>
        <w:jc w:val="both"/>
        <w:rPr>
          <w:rFonts w:cs="Times New Roman"/>
        </w:rPr>
      </w:pPr>
      <w:r>
        <w:rPr>
          <w:rFonts w:cs="Times New Roman"/>
        </w:rPr>
        <w:t>The review also has limitations. The included studies were heterogeneous in design, populations, and outcome definitions, which made a global pooled meta-analysis inappropriate. Several African studies were single-</w:t>
      </w:r>
      <w:proofErr w:type="spellStart"/>
      <w:r>
        <w:rPr>
          <w:rFonts w:cs="Times New Roman"/>
        </w:rPr>
        <w:t>centre</w:t>
      </w:r>
      <w:proofErr w:type="spellEnd"/>
      <w:r>
        <w:rPr>
          <w:rFonts w:cs="Times New Roman"/>
        </w:rPr>
        <w:t xml:space="preserve"> and observational, limiting causal inference. Some service-readiness or training studies reported process gains more clearly than patient-level outcome gains. Publication bias is also possible because the review was limited to peer-reviewed English-language literature. Finally, although the review uses transparent methods, it was reconstructed from an uploaded draft rather than prospectively registered before initial searching. These limitations should caution against overgeneralization but do not undermine the consistency of the central findings.</w:t>
      </w:r>
    </w:p>
    <w:p w14:paraId="2BB85AE5" w14:textId="77777777" w:rsidR="00271DE4" w:rsidRDefault="00271DE4" w:rsidP="00271DE4">
      <w:pPr>
        <w:jc w:val="both"/>
        <w:rPr>
          <w:rFonts w:cs="Times New Roman"/>
        </w:rPr>
      </w:pPr>
      <w:r>
        <w:rPr>
          <w:rFonts w:cs="Times New Roman"/>
        </w:rPr>
        <w:t xml:space="preserve">Future research should move in three directions. First, more African </w:t>
      </w:r>
      <w:proofErr w:type="spellStart"/>
      <w:r>
        <w:rPr>
          <w:rFonts w:cs="Times New Roman"/>
        </w:rPr>
        <w:t>multicentre</w:t>
      </w:r>
      <w:proofErr w:type="spellEnd"/>
      <w:r>
        <w:rPr>
          <w:rFonts w:cs="Times New Roman"/>
        </w:rPr>
        <w:t xml:space="preserve"> studies should link emergency-system processes to patient outcomes using standardized definitions. Second, implementation studies should test bundled interventions, such as triage redesign plus sepsis alerts plus crowding reduction, rather than single isolated components. Third, emergency-care evaluation in low-resource settings should increasingly include public access and usability metrics, because the pathway begins before patients enter a hospital. Without this broader lens, emergency-care reform risks measuring only the visible part of the system.</w:t>
      </w:r>
    </w:p>
    <w:p w14:paraId="5F0488C5" w14:textId="77777777" w:rsidR="00271DE4" w:rsidRDefault="00271DE4">
      <w:pPr>
        <w:jc w:val="both"/>
        <w:rPr>
          <w:rFonts w:cs="Times New Roman"/>
        </w:rPr>
      </w:pPr>
    </w:p>
    <w:p w14:paraId="62C85CBB" w14:textId="77777777" w:rsidR="00CD50FA" w:rsidRDefault="00CD50FA">
      <w:pPr>
        <w:rPr>
          <w:rFonts w:ascii="Calibri" w:eastAsia="Calibri" w:hAnsi="Calibri" w:cs="Times New Roman"/>
          <w:kern w:val="2"/>
          <w:highlight w:val="yellow"/>
        </w:rPr>
      </w:pPr>
      <w:bookmarkStart w:id="0" w:name="_Hlk221270586"/>
      <w:bookmarkStart w:id="1" w:name="_Hlk219110679"/>
      <w:bookmarkStart w:id="2" w:name="_Hlk227151135"/>
    </w:p>
    <w:p w14:paraId="62C85CBC" w14:textId="77777777" w:rsidR="00CD50FA" w:rsidRDefault="0032653B">
      <w:pPr>
        <w:pStyle w:val="NoSpacing"/>
        <w:rPr>
          <w:rFonts w:ascii="Arial" w:hAnsi="Arial" w:cs="Arial"/>
          <w:highlight w:val="yellow"/>
        </w:rPr>
      </w:pPr>
      <w:bookmarkStart w:id="3" w:name="_Hlk198031404"/>
      <w:bookmarkEnd w:id="0"/>
      <w:bookmarkEnd w:id="1"/>
      <w:r>
        <w:rPr>
          <w:rFonts w:ascii="Arial" w:hAnsi="Arial" w:cs="Arial"/>
          <w:highlight w:val="yellow"/>
        </w:rPr>
        <w:t>Disclaimer (Artificial intelligence)</w:t>
      </w:r>
    </w:p>
    <w:p w14:paraId="62C85CBD" w14:textId="77777777" w:rsidR="00CD50FA" w:rsidRDefault="00CD50FA">
      <w:pPr>
        <w:pStyle w:val="NoSpacing"/>
        <w:rPr>
          <w:rFonts w:ascii="Arial" w:hAnsi="Arial" w:cs="Arial"/>
          <w:highlight w:val="yellow"/>
        </w:rPr>
      </w:pPr>
    </w:p>
    <w:p w14:paraId="62C85CBE" w14:textId="77777777" w:rsidR="00CD50FA" w:rsidRDefault="0032653B">
      <w:pPr>
        <w:pStyle w:val="NoSpacing"/>
        <w:rPr>
          <w:rFonts w:ascii="Arial" w:hAnsi="Arial" w:cs="Arial"/>
          <w:highlight w:val="yellow"/>
        </w:rPr>
      </w:pPr>
      <w:r>
        <w:rPr>
          <w:rFonts w:ascii="Arial" w:hAnsi="Arial" w:cs="Arial"/>
          <w:highlight w:val="yellow"/>
        </w:rPr>
        <w:lastRenderedPageBreak/>
        <w:t xml:space="preserve">Author(s) hereby </w:t>
      </w:r>
      <w:proofErr w:type="gramStart"/>
      <w:r>
        <w:rPr>
          <w:rFonts w:ascii="Arial" w:hAnsi="Arial" w:cs="Arial"/>
          <w:highlight w:val="yellow"/>
        </w:rPr>
        <w:t>declare</w:t>
      </w:r>
      <w:proofErr w:type="gramEnd"/>
      <w:r>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2"/>
    <w:bookmarkEnd w:id="3"/>
    <w:p w14:paraId="62C85CBF" w14:textId="77777777" w:rsidR="00CD50FA" w:rsidRDefault="0032653B">
      <w:pPr>
        <w:spacing w:after="0" w:line="240" w:lineRule="auto"/>
        <w:rPr>
          <w:rFonts w:cs="Times New Roman"/>
        </w:rPr>
      </w:pPr>
      <w:r>
        <w:rPr>
          <w:rFonts w:cs="Times New Roman"/>
        </w:rPr>
        <w:br w:type="page"/>
      </w:r>
    </w:p>
    <w:p w14:paraId="62C85CC0" w14:textId="77777777" w:rsidR="00CD50FA" w:rsidRDefault="0032653B">
      <w:pPr>
        <w:pStyle w:val="Heading1"/>
        <w:jc w:val="both"/>
        <w:rPr>
          <w:rFonts w:ascii="Times New Roman" w:hAnsi="Times New Roman" w:cs="Times New Roman"/>
          <w:color w:val="auto"/>
        </w:rPr>
      </w:pPr>
      <w:r>
        <w:rPr>
          <w:rFonts w:ascii="Times New Roman" w:hAnsi="Times New Roman" w:cs="Times New Roman"/>
          <w:color w:val="auto"/>
        </w:rPr>
        <w:lastRenderedPageBreak/>
        <w:t>References</w:t>
      </w:r>
    </w:p>
    <w:p w14:paraId="62C85CC1" w14:textId="77777777" w:rsidR="00CD50FA" w:rsidRDefault="0032653B">
      <w:pPr>
        <w:ind w:left="360" w:hanging="360"/>
        <w:jc w:val="both"/>
        <w:rPr>
          <w:rFonts w:cs="Times New Roman"/>
        </w:rPr>
      </w:pPr>
      <w:r>
        <w:rPr>
          <w:rFonts w:cs="Times New Roman"/>
        </w:rPr>
        <w:t>Abayneh, H. B., Danielsen, S. O., Halvorsen, K., &amp; Engebretsen, S. (2024). Injury characteristics and mortality in an emergency department in Ethiopia: A single-center observational study. BMC Emergency Medicine, 24(1), 97. https://doi.org/10.1186/s12873-024-01017-7</w:t>
      </w:r>
    </w:p>
    <w:p w14:paraId="62C85CC2" w14:textId="77777777" w:rsidR="00CD50FA" w:rsidRDefault="0032653B">
      <w:pPr>
        <w:ind w:left="360" w:hanging="360"/>
        <w:jc w:val="both"/>
        <w:rPr>
          <w:rFonts w:cs="Times New Roman"/>
        </w:rPr>
      </w:pPr>
      <w:r>
        <w:rPr>
          <w:rFonts w:cs="Times New Roman"/>
        </w:rPr>
        <w:t xml:space="preserve">Adewole, J. A., </w:t>
      </w:r>
      <w:proofErr w:type="spellStart"/>
      <w:r>
        <w:rPr>
          <w:rFonts w:cs="Times New Roman"/>
        </w:rPr>
        <w:t>Tumbo</w:t>
      </w:r>
      <w:proofErr w:type="spellEnd"/>
      <w:r>
        <w:rPr>
          <w:rFonts w:cs="Times New Roman"/>
        </w:rPr>
        <w:t xml:space="preserve">, J. M., &amp; </w:t>
      </w:r>
      <w:proofErr w:type="spellStart"/>
      <w:r>
        <w:rPr>
          <w:rFonts w:cs="Times New Roman"/>
        </w:rPr>
        <w:t>Okonta</w:t>
      </w:r>
      <w:proofErr w:type="spellEnd"/>
      <w:r>
        <w:rPr>
          <w:rFonts w:cs="Times New Roman"/>
        </w:rPr>
        <w:t>, H. I. (2024). Emergency care visits at a South African hospital: Implications for healthcare services and policy. South African Family Practice, 66(1), e1-e6. https://doi.org/10.4102/safp.v66i1.5816</w:t>
      </w:r>
    </w:p>
    <w:p w14:paraId="62C85CC3" w14:textId="77777777" w:rsidR="00CD50FA" w:rsidRDefault="0032653B">
      <w:pPr>
        <w:ind w:left="360" w:hanging="360"/>
        <w:jc w:val="both"/>
        <w:rPr>
          <w:rFonts w:cs="Times New Roman"/>
        </w:rPr>
      </w:pPr>
      <w:r>
        <w:rPr>
          <w:rFonts w:cs="Times New Roman"/>
        </w:rPr>
        <w:t xml:space="preserve">Afrifa-Yamoah, E., </w:t>
      </w:r>
      <w:proofErr w:type="spellStart"/>
      <w:r>
        <w:rPr>
          <w:rFonts w:cs="Times New Roman"/>
        </w:rPr>
        <w:t>Nunfam</w:t>
      </w:r>
      <w:proofErr w:type="spellEnd"/>
      <w:r>
        <w:rPr>
          <w:rFonts w:cs="Times New Roman"/>
        </w:rPr>
        <w:t xml:space="preserve">, V. F., </w:t>
      </w:r>
      <w:proofErr w:type="spellStart"/>
      <w:r>
        <w:rPr>
          <w:rFonts w:cs="Times New Roman"/>
        </w:rPr>
        <w:t>Kwanin</w:t>
      </w:r>
      <w:proofErr w:type="spellEnd"/>
      <w:r>
        <w:rPr>
          <w:rFonts w:cs="Times New Roman"/>
        </w:rPr>
        <w:t>, B. A., &amp; Frimpong, K. (2024). Ecology of emergency care in lower-tier healthcare providers in Ghana: An empirical data-driven Bayesian network analytical approach. Internal and Emergency Medicine, 19(8), 1-13. https://doi.org/10.1007/s11739-024-03607-6</w:t>
      </w:r>
    </w:p>
    <w:p w14:paraId="62C85CC4" w14:textId="77777777" w:rsidR="00CD50FA" w:rsidRDefault="0032653B">
      <w:pPr>
        <w:ind w:left="360" w:hanging="360"/>
        <w:jc w:val="both"/>
        <w:rPr>
          <w:rFonts w:cs="Times New Roman"/>
        </w:rPr>
      </w:pPr>
      <w:r>
        <w:rPr>
          <w:rFonts w:cs="Times New Roman"/>
        </w:rPr>
        <w:t xml:space="preserve">Ahmed, A. E., Aqeel, A. A., </w:t>
      </w:r>
      <w:proofErr w:type="spellStart"/>
      <w:r>
        <w:rPr>
          <w:rFonts w:cs="Times New Roman"/>
        </w:rPr>
        <w:t>Ghazwani</w:t>
      </w:r>
      <w:proofErr w:type="spellEnd"/>
      <w:r>
        <w:rPr>
          <w:rFonts w:cs="Times New Roman"/>
        </w:rPr>
        <w:t xml:space="preserve">, M. Y., Alenzi, A. N., </w:t>
      </w:r>
      <w:proofErr w:type="spellStart"/>
      <w:r>
        <w:rPr>
          <w:rFonts w:cs="Times New Roman"/>
        </w:rPr>
        <w:t>Alruwaili</w:t>
      </w:r>
      <w:proofErr w:type="spellEnd"/>
      <w:r>
        <w:rPr>
          <w:rFonts w:cs="Times New Roman"/>
        </w:rPr>
        <w:t xml:space="preserve">, F. M., </w:t>
      </w:r>
      <w:proofErr w:type="spellStart"/>
      <w:r>
        <w:rPr>
          <w:rFonts w:cs="Times New Roman"/>
        </w:rPr>
        <w:t>Alsharari</w:t>
      </w:r>
      <w:proofErr w:type="spellEnd"/>
      <w:r>
        <w:rPr>
          <w:rFonts w:cs="Times New Roman"/>
        </w:rPr>
        <w:t xml:space="preserve">, A. S., Alharbi, Y. H., </w:t>
      </w:r>
      <w:proofErr w:type="spellStart"/>
      <w:r>
        <w:rPr>
          <w:rFonts w:cs="Times New Roman"/>
        </w:rPr>
        <w:t>Aldahaas</w:t>
      </w:r>
      <w:proofErr w:type="spellEnd"/>
      <w:r>
        <w:rPr>
          <w:rFonts w:cs="Times New Roman"/>
        </w:rPr>
        <w:t xml:space="preserve">, A. A., </w:t>
      </w:r>
      <w:proofErr w:type="spellStart"/>
      <w:r>
        <w:rPr>
          <w:rFonts w:cs="Times New Roman"/>
        </w:rPr>
        <w:t>AlMajed</w:t>
      </w:r>
      <w:proofErr w:type="spellEnd"/>
      <w:r>
        <w:rPr>
          <w:rFonts w:cs="Times New Roman"/>
        </w:rPr>
        <w:t>, M. M., &amp; Alshahrani, F. A. (2026). Clinical and operational effects of emergency department crowding: A systematic review. Cureus, 18, e100560. https://doi.org/10.7759/cureus.100560</w:t>
      </w:r>
    </w:p>
    <w:p w14:paraId="62C85CC5" w14:textId="77777777" w:rsidR="00CD50FA" w:rsidRDefault="0032653B">
      <w:pPr>
        <w:ind w:left="360" w:hanging="360"/>
        <w:jc w:val="both"/>
        <w:rPr>
          <w:rFonts w:cs="Times New Roman"/>
        </w:rPr>
      </w:pPr>
      <w:proofErr w:type="spellStart"/>
      <w:r>
        <w:rPr>
          <w:rFonts w:cs="Times New Roman"/>
        </w:rPr>
        <w:t>Akase</w:t>
      </w:r>
      <w:proofErr w:type="spellEnd"/>
      <w:r>
        <w:rPr>
          <w:rFonts w:cs="Times New Roman"/>
        </w:rPr>
        <w:t xml:space="preserve">, I. E., </w:t>
      </w:r>
      <w:proofErr w:type="spellStart"/>
      <w:r>
        <w:rPr>
          <w:rFonts w:cs="Times New Roman"/>
        </w:rPr>
        <w:t>Akujobi</w:t>
      </w:r>
      <w:proofErr w:type="spellEnd"/>
      <w:r>
        <w:rPr>
          <w:rFonts w:cs="Times New Roman"/>
        </w:rPr>
        <w:t xml:space="preserve">, H. C., </w:t>
      </w:r>
      <w:proofErr w:type="spellStart"/>
      <w:r>
        <w:rPr>
          <w:rFonts w:cs="Times New Roman"/>
        </w:rPr>
        <w:t>Oghide</w:t>
      </w:r>
      <w:proofErr w:type="spellEnd"/>
      <w:r>
        <w:rPr>
          <w:rFonts w:cs="Times New Roman"/>
        </w:rPr>
        <w:t xml:space="preserve">, O., Olusegun-Joseph, A. D., </w:t>
      </w:r>
      <w:proofErr w:type="spellStart"/>
      <w:r>
        <w:rPr>
          <w:rFonts w:cs="Times New Roman"/>
        </w:rPr>
        <w:t>Agbarakwe</w:t>
      </w:r>
      <w:proofErr w:type="spellEnd"/>
      <w:r>
        <w:rPr>
          <w:rFonts w:cs="Times New Roman"/>
        </w:rPr>
        <w:t xml:space="preserve">, C. A., &amp; </w:t>
      </w:r>
      <w:proofErr w:type="spellStart"/>
      <w:r>
        <w:rPr>
          <w:rFonts w:cs="Times New Roman"/>
        </w:rPr>
        <w:t>Opawoye</w:t>
      </w:r>
      <w:proofErr w:type="spellEnd"/>
      <w:r>
        <w:rPr>
          <w:rFonts w:cs="Times New Roman"/>
        </w:rPr>
        <w:t>, A. (2023). Utility and impact of early diagnostic assessment of sepsis on mortality in an emergency department of a tertiary hospital in Lagos, Nigeria. Nigerian Postgraduate Medical Journal, 30(1), 70-74. https://doi.org/10.4103/npmj.npmj_190_22</w:t>
      </w:r>
    </w:p>
    <w:p w14:paraId="62C85CC6" w14:textId="77777777" w:rsidR="00CD50FA" w:rsidRDefault="0032653B">
      <w:pPr>
        <w:ind w:left="360" w:hanging="360"/>
        <w:jc w:val="both"/>
        <w:rPr>
          <w:rFonts w:cs="Times New Roman"/>
        </w:rPr>
      </w:pPr>
      <w:r>
        <w:rPr>
          <w:rFonts w:cs="Times New Roman"/>
        </w:rPr>
        <w:t>Ali, A., &amp; Awan, K. S. (2025). CLINICAL GUIDE TO MEDICAL EMERGENCIES: ISBN: 9798290065977. THE STETHO, 6(2), 71-192.</w:t>
      </w:r>
    </w:p>
    <w:p w14:paraId="62C85CC7" w14:textId="77777777" w:rsidR="00CD50FA" w:rsidRDefault="0032653B">
      <w:pPr>
        <w:ind w:left="360" w:hanging="360"/>
        <w:jc w:val="both"/>
        <w:rPr>
          <w:rFonts w:cs="Times New Roman"/>
        </w:rPr>
      </w:pPr>
      <w:proofErr w:type="spellStart"/>
      <w:r>
        <w:rPr>
          <w:rFonts w:cs="Times New Roman"/>
        </w:rPr>
        <w:t>Alruwaili</w:t>
      </w:r>
      <w:proofErr w:type="spellEnd"/>
      <w:r>
        <w:rPr>
          <w:rFonts w:cs="Times New Roman"/>
        </w:rPr>
        <w:t xml:space="preserve">, A., &amp; </w:t>
      </w:r>
      <w:proofErr w:type="spellStart"/>
      <w:r>
        <w:rPr>
          <w:rFonts w:cs="Times New Roman"/>
        </w:rPr>
        <w:t>Alanazy</w:t>
      </w:r>
      <w:proofErr w:type="spellEnd"/>
      <w:r>
        <w:rPr>
          <w:rFonts w:cs="Times New Roman"/>
        </w:rPr>
        <w:t>, A. R. M. (2022). Prehospital time interval for urban and rural emergency medical services: A systematic literature review. Healthcare, 10(12), 2391. https://doi.org/10.3390/healthcare10122391</w:t>
      </w:r>
    </w:p>
    <w:p w14:paraId="62C85CC8" w14:textId="77777777" w:rsidR="00CD50FA" w:rsidRDefault="0032653B">
      <w:pPr>
        <w:ind w:left="360" w:hanging="360"/>
        <w:jc w:val="both"/>
        <w:rPr>
          <w:rFonts w:cs="Times New Roman"/>
        </w:rPr>
      </w:pPr>
      <w:r>
        <w:rPr>
          <w:rFonts w:cs="Times New Roman"/>
        </w:rPr>
        <w:t>Bhattarai, H. K., Bhusal, S., Barone-</w:t>
      </w:r>
      <w:proofErr w:type="spellStart"/>
      <w:r>
        <w:rPr>
          <w:rFonts w:cs="Times New Roman"/>
        </w:rPr>
        <w:t>Adesi</w:t>
      </w:r>
      <w:proofErr w:type="spellEnd"/>
      <w:r>
        <w:rPr>
          <w:rFonts w:cs="Times New Roman"/>
        </w:rPr>
        <w:t>, F., &amp; Hubloue, I. (2023). Prehospital emergency care in low- and middle-income countries: A systematic review. Prehospital and Disaster Medicine, 38(4), 495-512. https://doi.org/10.1017/S1049023X23006088</w:t>
      </w:r>
    </w:p>
    <w:p w14:paraId="62C85CC9" w14:textId="77777777" w:rsidR="00CD50FA" w:rsidRDefault="0032653B">
      <w:pPr>
        <w:ind w:left="360" w:hanging="360"/>
        <w:jc w:val="both"/>
        <w:rPr>
          <w:rFonts w:cs="Times New Roman"/>
        </w:rPr>
      </w:pPr>
      <w:r>
        <w:rPr>
          <w:rFonts w:cs="Times New Roman"/>
        </w:rPr>
        <w:lastRenderedPageBreak/>
        <w:t>Bingham, G., Fossum, M., Hughes, L., Digby, R., &amp; Bucknall, T. (2020). The pre‐</w:t>
      </w:r>
      <w:proofErr w:type="gramStart"/>
      <w:r>
        <w:rPr>
          <w:rFonts w:cs="Times New Roman"/>
        </w:rPr>
        <w:t>Medical</w:t>
      </w:r>
      <w:proofErr w:type="gramEnd"/>
      <w:r>
        <w:rPr>
          <w:rFonts w:cs="Times New Roman"/>
        </w:rPr>
        <w:t xml:space="preserve"> emergency team response: nurses' decision‐making escalating deterioration to treating teams using urgent review criteria. Journal of Advanced Nursing, 76(8), 2171-2181.</w:t>
      </w:r>
    </w:p>
    <w:p w14:paraId="62C85CCA" w14:textId="77777777" w:rsidR="00CD50FA" w:rsidRDefault="0032653B">
      <w:pPr>
        <w:ind w:left="360" w:hanging="360"/>
        <w:jc w:val="both"/>
        <w:rPr>
          <w:rFonts w:cs="Times New Roman"/>
        </w:rPr>
      </w:pPr>
      <w:r>
        <w:rPr>
          <w:rFonts w:cs="Times New Roman"/>
        </w:rPr>
        <w:t xml:space="preserve">Cabral, E. L. D. S., Castro, W. R. S., Florentino, D. R. M., Viana, D. A., Costa Junior, J. F., Souza, R. P., Rêgo, A. C. M., Araújo-Filho, I., &amp; Medeiros, A. C. (2018). Response time in the emergency services: Systematic review. Acta </w:t>
      </w:r>
      <w:proofErr w:type="spellStart"/>
      <w:r>
        <w:rPr>
          <w:rFonts w:cs="Times New Roman"/>
        </w:rPr>
        <w:t>Cirúrgica</w:t>
      </w:r>
      <w:proofErr w:type="spellEnd"/>
      <w:r>
        <w:rPr>
          <w:rFonts w:cs="Times New Roman"/>
        </w:rPr>
        <w:t xml:space="preserve"> Brasileira, 33(12), 1110-1121. https://doi.org/10.1590/s0102-865020180120000009</w:t>
      </w:r>
    </w:p>
    <w:p w14:paraId="62C85CCB" w14:textId="77777777" w:rsidR="00CD50FA" w:rsidRDefault="0032653B">
      <w:pPr>
        <w:ind w:left="360" w:hanging="360"/>
        <w:jc w:val="both"/>
        <w:rPr>
          <w:rFonts w:cs="Times New Roman"/>
        </w:rPr>
      </w:pPr>
      <w:r>
        <w:rPr>
          <w:rFonts w:cs="Times New Roman"/>
        </w:rPr>
        <w:t xml:space="preserve">Chien, C. Y., Tsai, S. L., Tsai, L. H., Chen, C. B., Seak, C. J., Weng, Y. M., Lin, C. C., Ng, C. J., Chien, W. C., Huang, C. H., Lin, C. Y., </w:t>
      </w:r>
      <w:proofErr w:type="spellStart"/>
      <w:r>
        <w:rPr>
          <w:rFonts w:cs="Times New Roman"/>
        </w:rPr>
        <w:t>Chaou</w:t>
      </w:r>
      <w:proofErr w:type="spellEnd"/>
      <w:r>
        <w:rPr>
          <w:rFonts w:cs="Times New Roman"/>
        </w:rPr>
        <w:t xml:space="preserve">, C. H., Liu, P. H., Tseng, H. J., &amp; Fang, C. T. (2020). Impact of Transport Time and Cardiac Arrest Centers on the Neurological Outcome After Out-of-Hospital Cardiac Arrest: A Retrospective Cohort Study. Journal of the American Heart Association, 9(11), e015544. </w:t>
      </w:r>
      <w:hyperlink r:id="rId10" w:history="1">
        <w:r w:rsidR="00CD50FA">
          <w:rPr>
            <w:rFonts w:cs="Times New Roman"/>
          </w:rPr>
          <w:t>https://doi.org/10.1161/JAHA.119.015544</w:t>
        </w:r>
      </w:hyperlink>
    </w:p>
    <w:p w14:paraId="62C85CCC" w14:textId="77777777" w:rsidR="00CD50FA" w:rsidRDefault="0032653B">
      <w:pPr>
        <w:ind w:left="360" w:hanging="360"/>
        <w:jc w:val="both"/>
        <w:rPr>
          <w:rFonts w:cs="Times New Roman"/>
        </w:rPr>
      </w:pPr>
      <w:r>
        <w:rPr>
          <w:rFonts w:cs="Times New Roman"/>
        </w:rPr>
        <w:t xml:space="preserve">De Jong, A., Jung, B., </w:t>
      </w:r>
      <w:proofErr w:type="spellStart"/>
      <w:r>
        <w:rPr>
          <w:rFonts w:cs="Times New Roman"/>
        </w:rPr>
        <w:t>Daurat</w:t>
      </w:r>
      <w:proofErr w:type="spellEnd"/>
      <w:r>
        <w:rPr>
          <w:rFonts w:cs="Times New Roman"/>
        </w:rPr>
        <w:t xml:space="preserve">, A., </w:t>
      </w:r>
      <w:proofErr w:type="spellStart"/>
      <w:r>
        <w:rPr>
          <w:rFonts w:cs="Times New Roman"/>
        </w:rPr>
        <w:t>Chanques</w:t>
      </w:r>
      <w:proofErr w:type="spellEnd"/>
      <w:r>
        <w:rPr>
          <w:rFonts w:cs="Times New Roman"/>
        </w:rPr>
        <w:t>, G., Mahul, M., Monnin, M., Molinari, N., &amp; Jaber, S. (2016). Effect of rapid response systems on hospital mortality: A systematic review and meta-analysis. Intensive Care Medicine, 42(4), 615-617. https://doi.org/10.1007/s00134-016-4263-1</w:t>
      </w:r>
    </w:p>
    <w:p w14:paraId="62C85CCD" w14:textId="77777777" w:rsidR="00CD50FA" w:rsidRDefault="0032653B">
      <w:pPr>
        <w:ind w:left="360" w:hanging="360"/>
        <w:jc w:val="both"/>
        <w:rPr>
          <w:rFonts w:cs="Times New Roman"/>
        </w:rPr>
      </w:pPr>
      <w:r>
        <w:rPr>
          <w:rFonts w:cs="Times New Roman"/>
        </w:rPr>
        <w:t xml:space="preserve">Govender, S., Khaliq, O. P., Naidoo, R., &amp; Moodley, J. (2024). The current state of emergency medical services in South Africa: A review. South African Journal of Science, 120(7/8). </w:t>
      </w:r>
      <w:hyperlink r:id="rId11" w:history="1">
        <w:r w:rsidR="00CD50FA">
          <w:rPr>
            <w:rStyle w:val="Hyperlink"/>
            <w:rFonts w:cs="Times New Roman"/>
            <w:color w:val="auto"/>
          </w:rPr>
          <w:t>https://doi.org/10.17159/sajs.2024/16138</w:t>
        </w:r>
      </w:hyperlink>
    </w:p>
    <w:p w14:paraId="62C85CCE" w14:textId="16D28102" w:rsidR="00CD50FA" w:rsidRDefault="0032653B">
      <w:pPr>
        <w:ind w:left="360" w:hanging="360"/>
        <w:jc w:val="both"/>
        <w:rPr>
          <w:rFonts w:cs="Times New Roman"/>
        </w:rPr>
      </w:pPr>
      <w:proofErr w:type="spellStart"/>
      <w:r>
        <w:rPr>
          <w:rFonts w:cs="Times New Roman"/>
        </w:rPr>
        <w:t>Gyedu</w:t>
      </w:r>
      <w:proofErr w:type="spellEnd"/>
      <w:r>
        <w:rPr>
          <w:rFonts w:cs="Times New Roman"/>
        </w:rPr>
        <w:t xml:space="preserve">, A., Issaka, A., Donkor, P., &amp; Mock, C. (2024). Assessment and reassessment of injured patients at non-tertiary hospitals in Ghana: A stepped-wedge cluster randomized trial. African Journal of Emergency Medicine, 14(2), 122-127. </w:t>
      </w:r>
      <w:hyperlink r:id="rId12" w:history="1">
        <w:r w:rsidR="00E67A51" w:rsidRPr="00FB4623">
          <w:rPr>
            <w:rStyle w:val="Hyperlink"/>
            <w:rFonts w:cs="Times New Roman"/>
          </w:rPr>
          <w:t>https://doi.org/10.1016/j.afjem.2024.05.001</w:t>
        </w:r>
      </w:hyperlink>
    </w:p>
    <w:p w14:paraId="2303C294" w14:textId="19ECD2C2" w:rsidR="00E67A51" w:rsidRDefault="00E67A51" w:rsidP="00E67A51">
      <w:pPr>
        <w:ind w:left="360" w:hanging="360"/>
        <w:jc w:val="both"/>
        <w:rPr>
          <w:rFonts w:cs="Times New Roman"/>
        </w:rPr>
      </w:pPr>
      <w:r w:rsidRPr="00E67A51">
        <w:rPr>
          <w:rFonts w:cs="Times New Roman"/>
        </w:rPr>
        <w:t xml:space="preserve">Hardy, S., Fattah, S., Wisborg, T., </w:t>
      </w:r>
      <w:proofErr w:type="spellStart"/>
      <w:r w:rsidRPr="00E67A51">
        <w:rPr>
          <w:rFonts w:cs="Times New Roman"/>
        </w:rPr>
        <w:t>Raatiniemi</w:t>
      </w:r>
      <w:proofErr w:type="spellEnd"/>
      <w:r w:rsidRPr="00E67A51">
        <w:rPr>
          <w:rFonts w:cs="Times New Roman"/>
        </w:rPr>
        <w:t>, L., Staff, T., &amp; Rehn, M. (2018). Systematic reporting to improve the emergency medical response to major incidents: a pilot study. BMC emergency medicine, 18(1), 4.</w:t>
      </w:r>
    </w:p>
    <w:p w14:paraId="62C85CCF" w14:textId="77777777" w:rsidR="00CD50FA" w:rsidRDefault="0032653B">
      <w:pPr>
        <w:ind w:left="360" w:hanging="360"/>
        <w:jc w:val="both"/>
        <w:rPr>
          <w:rFonts w:cs="Times New Roman"/>
        </w:rPr>
      </w:pPr>
      <w:r>
        <w:rPr>
          <w:rFonts w:cs="Times New Roman"/>
        </w:rPr>
        <w:t xml:space="preserve">Hoot, N. R., &amp; </w:t>
      </w:r>
      <w:proofErr w:type="spellStart"/>
      <w:r>
        <w:rPr>
          <w:rFonts w:cs="Times New Roman"/>
        </w:rPr>
        <w:t>Aronsky</w:t>
      </w:r>
      <w:proofErr w:type="spellEnd"/>
      <w:r>
        <w:rPr>
          <w:rFonts w:cs="Times New Roman"/>
        </w:rPr>
        <w:t>, D. (2008). Systematic review of emergency department crowding: Causes, effects, and solutions. Annals of Emergency Medicine, 52(2), 126-136. https://doi.org/10.1016/j.annemergmed.2008.03.014</w:t>
      </w:r>
    </w:p>
    <w:p w14:paraId="62C85CD0" w14:textId="77777777" w:rsidR="00CD50FA" w:rsidRDefault="0032653B">
      <w:pPr>
        <w:ind w:left="360" w:hanging="360"/>
        <w:jc w:val="both"/>
        <w:rPr>
          <w:rFonts w:cs="Times New Roman"/>
        </w:rPr>
      </w:pPr>
      <w:r>
        <w:rPr>
          <w:rFonts w:cs="Times New Roman"/>
        </w:rPr>
        <w:lastRenderedPageBreak/>
        <w:t>Hsuan, C., Segel, J. E., Hsia, R. Y., Wang, Y., &amp; Rogowski, J. (2023). Association of emergency department crowding with inpatient outcomes. Health Services Research, 58(4), 828-843. https://doi.org/10.1111/1475-6773.14076</w:t>
      </w:r>
    </w:p>
    <w:p w14:paraId="62C85CD1" w14:textId="77777777" w:rsidR="00CD50FA" w:rsidRDefault="0032653B">
      <w:pPr>
        <w:ind w:left="360" w:hanging="360"/>
        <w:jc w:val="both"/>
        <w:rPr>
          <w:rFonts w:cs="Times New Roman"/>
        </w:rPr>
      </w:pPr>
      <w:r>
        <w:rPr>
          <w:rFonts w:cs="Times New Roman"/>
        </w:rPr>
        <w:t xml:space="preserve">Jin, Y., </w:t>
      </w:r>
      <w:proofErr w:type="spellStart"/>
      <w:r>
        <w:rPr>
          <w:rFonts w:cs="Times New Roman"/>
        </w:rPr>
        <w:t>Maimaitiming</w:t>
      </w:r>
      <w:proofErr w:type="spellEnd"/>
      <w:r>
        <w:rPr>
          <w:rFonts w:cs="Times New Roman"/>
        </w:rPr>
        <w:t xml:space="preserve">, M., Li, J., Hoving, D. J., &amp; Yuan, B. (2023). Coordination of care to improve outcomes of emergency medical services. The Cochrane Database of Systematic Reviews, 2023(3), CD015316. </w:t>
      </w:r>
      <w:hyperlink r:id="rId13" w:history="1">
        <w:r w:rsidR="00CD50FA">
          <w:rPr>
            <w:rFonts w:cs="Times New Roman"/>
          </w:rPr>
          <w:t>https://doi.org/10.1002/14651858.CD015316</w:t>
        </w:r>
      </w:hyperlink>
    </w:p>
    <w:p w14:paraId="62C85CD2" w14:textId="77777777" w:rsidR="00CD50FA" w:rsidRDefault="0032653B">
      <w:pPr>
        <w:ind w:left="360" w:hanging="360"/>
        <w:jc w:val="both"/>
        <w:rPr>
          <w:rFonts w:cs="Times New Roman"/>
        </w:rPr>
      </w:pPr>
      <w:proofErr w:type="spellStart"/>
      <w:r>
        <w:rPr>
          <w:rFonts w:cs="Times New Roman"/>
        </w:rPr>
        <w:t>Kamunga</w:t>
      </w:r>
      <w:proofErr w:type="spellEnd"/>
      <w:r>
        <w:rPr>
          <w:rFonts w:cs="Times New Roman"/>
        </w:rPr>
        <w:t xml:space="preserve">, L. G., </w:t>
      </w:r>
      <w:proofErr w:type="spellStart"/>
      <w:r>
        <w:rPr>
          <w:rFonts w:cs="Times New Roman"/>
        </w:rPr>
        <w:t>Bearnot</w:t>
      </w:r>
      <w:proofErr w:type="spellEnd"/>
      <w:r>
        <w:rPr>
          <w:rFonts w:cs="Times New Roman"/>
        </w:rPr>
        <w:t>, C. J., Martin, K. D., Uwamahoro, D. L., &amp; Cattermole, G. N. (2024). Epidemiology and outcomes of critically ill patients in the emergency department of a tertiary teaching hospital in Rwanda. International Journal of Emergency Medicine, 17(1), 170. https://doi.org/10.1186/s12245-024-00736-9</w:t>
      </w:r>
    </w:p>
    <w:p w14:paraId="62C85CD3" w14:textId="77777777" w:rsidR="00CD50FA" w:rsidRDefault="0032653B">
      <w:pPr>
        <w:ind w:left="360" w:hanging="360"/>
        <w:jc w:val="both"/>
        <w:rPr>
          <w:rFonts w:cs="Times New Roman"/>
        </w:rPr>
      </w:pPr>
      <w:r>
        <w:rPr>
          <w:rFonts w:cs="Times New Roman"/>
        </w:rPr>
        <w:t xml:space="preserve">Karim, N., </w:t>
      </w:r>
      <w:proofErr w:type="spellStart"/>
      <w:r>
        <w:rPr>
          <w:rFonts w:cs="Times New Roman"/>
        </w:rPr>
        <w:t>Nyinawankusi</w:t>
      </w:r>
      <w:proofErr w:type="spellEnd"/>
      <w:r>
        <w:rPr>
          <w:rFonts w:cs="Times New Roman"/>
        </w:rPr>
        <w:t xml:space="preserve">, J. D., Belsky, M. S., </w:t>
      </w:r>
      <w:proofErr w:type="spellStart"/>
      <w:r>
        <w:rPr>
          <w:rFonts w:cs="Times New Roman"/>
        </w:rPr>
        <w:t>Mugemangango</w:t>
      </w:r>
      <w:proofErr w:type="spellEnd"/>
      <w:r>
        <w:rPr>
          <w:rFonts w:cs="Times New Roman"/>
        </w:rPr>
        <w:t xml:space="preserve">, P., Mutabazi, Z., Marques, C. G., Zhang, A. Y., Baird, J., </w:t>
      </w:r>
      <w:proofErr w:type="spellStart"/>
      <w:r>
        <w:rPr>
          <w:rFonts w:cs="Times New Roman"/>
        </w:rPr>
        <w:t>Uwitonze</w:t>
      </w:r>
      <w:proofErr w:type="spellEnd"/>
      <w:r>
        <w:rPr>
          <w:rFonts w:cs="Times New Roman"/>
        </w:rPr>
        <w:t>, J. M., &amp; Levine, A. C. (2025). Needs assessment and tailored training pilot for emergency care clinicians in the prehospital setting in Rwanda. Western Journal of Emergency Medicine, 26(1), 103-110. https://doi.org/10.5811/westjem.18698</w:t>
      </w:r>
    </w:p>
    <w:p w14:paraId="62C85CD4" w14:textId="77777777" w:rsidR="00CD50FA" w:rsidRDefault="0032653B">
      <w:pPr>
        <w:ind w:left="360" w:hanging="360"/>
        <w:jc w:val="both"/>
        <w:rPr>
          <w:rFonts w:cs="Times New Roman"/>
        </w:rPr>
      </w:pPr>
      <w:proofErr w:type="spellStart"/>
      <w:r>
        <w:rPr>
          <w:rFonts w:cs="Times New Roman"/>
        </w:rPr>
        <w:t>Khongo</w:t>
      </w:r>
      <w:proofErr w:type="spellEnd"/>
      <w:r>
        <w:rPr>
          <w:rFonts w:cs="Times New Roman"/>
        </w:rPr>
        <w:t xml:space="preserve">, B. D., Schmiedeknecht, K., Aron, M. B., </w:t>
      </w:r>
      <w:proofErr w:type="spellStart"/>
      <w:r>
        <w:rPr>
          <w:rFonts w:cs="Times New Roman"/>
        </w:rPr>
        <w:t>Nyangulu</w:t>
      </w:r>
      <w:proofErr w:type="spellEnd"/>
      <w:r>
        <w:rPr>
          <w:rFonts w:cs="Times New Roman"/>
        </w:rPr>
        <w:t xml:space="preserve">, P. N., </w:t>
      </w:r>
      <w:proofErr w:type="spellStart"/>
      <w:r>
        <w:rPr>
          <w:rFonts w:cs="Times New Roman"/>
        </w:rPr>
        <w:t>Mazengera</w:t>
      </w:r>
      <w:proofErr w:type="spellEnd"/>
      <w:r>
        <w:rPr>
          <w:rFonts w:cs="Times New Roman"/>
        </w:rPr>
        <w:t xml:space="preserve">, W., </w:t>
      </w:r>
      <w:proofErr w:type="spellStart"/>
      <w:r>
        <w:rPr>
          <w:rFonts w:cs="Times New Roman"/>
        </w:rPr>
        <w:t>Ndarama</w:t>
      </w:r>
      <w:proofErr w:type="spellEnd"/>
      <w:r>
        <w:rPr>
          <w:rFonts w:cs="Times New Roman"/>
        </w:rPr>
        <w:t>, E., Tenner, A. G., Baltzell, K., &amp; Connolly, E. (2023). Basic emergency care course and longitudinal mentorship completed in a rural Neno District, Malawi: A feasibility, acceptability, and impact study. PLOS ONE, 18(2), e0280454. https://doi.org/10.1371/journal.pone.0280454</w:t>
      </w:r>
    </w:p>
    <w:p w14:paraId="62C85CD5" w14:textId="77777777" w:rsidR="00CD50FA" w:rsidRDefault="0032653B">
      <w:pPr>
        <w:ind w:left="360" w:hanging="360"/>
        <w:jc w:val="both"/>
        <w:rPr>
          <w:rFonts w:cs="Times New Roman"/>
        </w:rPr>
      </w:pPr>
      <w:r>
        <w:rPr>
          <w:rFonts w:cs="Times New Roman"/>
        </w:rPr>
        <w:t>Kim, H.-J., Ko, R.-E., Lim, S. Y., Park, S., Suh, G. Y., &amp; Lee, Y. J. (2024). Sepsis alert systems, mortality, and adherence in emergency departments: A systematic review and meta-analysis. JAMA Network Open, 7(7), e2422823. https://doi.org/10.1001/jamanetworkopen.2024.22823</w:t>
      </w:r>
    </w:p>
    <w:p w14:paraId="62C85CD6" w14:textId="77777777" w:rsidR="00CD50FA" w:rsidRDefault="0032653B">
      <w:pPr>
        <w:ind w:left="360" w:hanging="360"/>
        <w:jc w:val="both"/>
        <w:rPr>
          <w:rFonts w:cs="Times New Roman"/>
        </w:rPr>
      </w:pPr>
      <w:r>
        <w:rPr>
          <w:rFonts w:cs="Times New Roman"/>
        </w:rPr>
        <w:t>King J, Chenoweth CE, England PC, et al. (2023). Early Recognition and Initial Management of Sepsis in Adult Patients [Internet]. Ann Arbor (MI): Michigan Medicine University of Michigan. Available from: https://www.ncbi.nlm.nih.gov/books/NBK598311/</w:t>
      </w:r>
    </w:p>
    <w:p w14:paraId="62C85CD7" w14:textId="77777777" w:rsidR="00CD50FA" w:rsidRDefault="0032653B">
      <w:pPr>
        <w:ind w:left="360" w:hanging="360"/>
        <w:jc w:val="both"/>
        <w:rPr>
          <w:rFonts w:cs="Times New Roman"/>
        </w:rPr>
      </w:pPr>
      <w:r>
        <w:rPr>
          <w:rFonts w:cs="Times New Roman"/>
        </w:rPr>
        <w:t xml:space="preserve">Leung, L. Y., Huang, H.-L., Hung, K. K., Leung, C. Y., Lam, C. C., Lo, R. S., Yeung, C. Y., Tsoi, P. J., Lai, M., Brabrand, M., Walline, J. H., &amp; Graham, C. A. (2024). Door-to-antibiotic </w:t>
      </w:r>
      <w:r>
        <w:rPr>
          <w:rFonts w:cs="Times New Roman"/>
        </w:rPr>
        <w:lastRenderedPageBreak/>
        <w:t>time and mortality in patients with sepsis: Systematic review and meta-analysis. European Journal of Internal Medicine, 129, 48-61. https://doi.org/10.1016/j.ejim.2024.06.015</w:t>
      </w:r>
    </w:p>
    <w:p w14:paraId="62C85CD8" w14:textId="77777777" w:rsidR="00CD50FA" w:rsidRDefault="0032653B">
      <w:pPr>
        <w:ind w:left="360" w:hanging="360"/>
        <w:jc w:val="both"/>
        <w:rPr>
          <w:rFonts w:cs="Times New Roman"/>
        </w:rPr>
      </w:pPr>
      <w:r>
        <w:rPr>
          <w:rFonts w:cs="Times New Roman"/>
        </w:rPr>
        <w:t xml:space="preserve">Maharaj, R., Raffaele, I., &amp; </w:t>
      </w:r>
      <w:proofErr w:type="spellStart"/>
      <w:r>
        <w:rPr>
          <w:rFonts w:cs="Times New Roman"/>
        </w:rPr>
        <w:t>Wendon</w:t>
      </w:r>
      <w:proofErr w:type="spellEnd"/>
      <w:r>
        <w:rPr>
          <w:rFonts w:cs="Times New Roman"/>
        </w:rPr>
        <w:t xml:space="preserve">, J. (2015). Rapid response systems: A systematic review and meta-analysis. Critical Care, 19, 254. </w:t>
      </w:r>
      <w:hyperlink r:id="rId14" w:history="1">
        <w:r w:rsidR="00CD50FA">
          <w:rPr>
            <w:rStyle w:val="Hyperlink"/>
            <w:rFonts w:cs="Times New Roman"/>
          </w:rPr>
          <w:t>https://doi.org/10.1186/s13054-015-0973-y</w:t>
        </w:r>
      </w:hyperlink>
    </w:p>
    <w:p w14:paraId="62C85CD9" w14:textId="77777777" w:rsidR="00CD50FA" w:rsidRDefault="0032653B">
      <w:pPr>
        <w:ind w:left="360" w:hanging="360"/>
        <w:jc w:val="both"/>
        <w:rPr>
          <w:rFonts w:cs="Times New Roman"/>
        </w:rPr>
      </w:pPr>
      <w:r>
        <w:rPr>
          <w:rFonts w:cs="Times New Roman"/>
        </w:rPr>
        <w:t xml:space="preserve">Mehmood, A., </w:t>
      </w:r>
      <w:proofErr w:type="spellStart"/>
      <w:r>
        <w:rPr>
          <w:rFonts w:cs="Times New Roman"/>
        </w:rPr>
        <w:t>Rowther</w:t>
      </w:r>
      <w:proofErr w:type="spellEnd"/>
      <w:r>
        <w:rPr>
          <w:rFonts w:cs="Times New Roman"/>
        </w:rPr>
        <w:t>, A. A., Kobusingye, O., &amp; Hyder, A. A. (2018). Assessment of pre-hospital emergency medical services in low-income settings using a health systems approach. International journal of emergency medicine, 11(1), 53. https://doi.org/10.1186/s12245-018-0207-6</w:t>
      </w:r>
    </w:p>
    <w:p w14:paraId="62C85CDA" w14:textId="77777777" w:rsidR="00CD50FA" w:rsidRDefault="0032653B">
      <w:pPr>
        <w:ind w:left="360" w:hanging="360"/>
        <w:jc w:val="both"/>
        <w:rPr>
          <w:rFonts w:cs="Times New Roman"/>
        </w:rPr>
      </w:pPr>
      <w:proofErr w:type="spellStart"/>
      <w:r>
        <w:rPr>
          <w:rFonts w:cs="Times New Roman"/>
        </w:rPr>
        <w:t>Mjema</w:t>
      </w:r>
      <w:proofErr w:type="spellEnd"/>
      <w:r>
        <w:rPr>
          <w:rFonts w:cs="Times New Roman"/>
        </w:rPr>
        <w:t xml:space="preserve">, K. M., Sawe, H. R., </w:t>
      </w:r>
      <w:proofErr w:type="spellStart"/>
      <w:r>
        <w:rPr>
          <w:rFonts w:cs="Times New Roman"/>
        </w:rPr>
        <w:t>Kulola</w:t>
      </w:r>
      <w:proofErr w:type="spellEnd"/>
      <w:r>
        <w:rPr>
          <w:rFonts w:cs="Times New Roman"/>
        </w:rPr>
        <w:t xml:space="preserve">, I., Mohamed, A. S., Sylvanus, E., </w:t>
      </w:r>
      <w:proofErr w:type="spellStart"/>
      <w:r>
        <w:rPr>
          <w:rFonts w:cs="Times New Roman"/>
        </w:rPr>
        <w:t>Mfinanga</w:t>
      </w:r>
      <w:proofErr w:type="spellEnd"/>
      <w:r>
        <w:rPr>
          <w:rFonts w:cs="Times New Roman"/>
        </w:rPr>
        <w:t xml:space="preserve">, J. A., &amp; Weber, E. J. (2020). </w:t>
      </w:r>
      <w:proofErr w:type="spellStart"/>
      <w:r>
        <w:rPr>
          <w:rFonts w:cs="Times New Roman"/>
        </w:rPr>
        <w:t>Aetiologies</w:t>
      </w:r>
      <w:proofErr w:type="spellEnd"/>
      <w:r>
        <w:rPr>
          <w:rFonts w:cs="Times New Roman"/>
        </w:rPr>
        <w:t xml:space="preserve"> and outcomes of patients with abdominal pain presenting to an emergency department of a tertiary hospital in Tanzania: A prospective cohort study. BMC Gastroenterology, 20(1), 173. https://doi.org/10.1186/s12876-020-01313-z</w:t>
      </w:r>
    </w:p>
    <w:p w14:paraId="62C85CDB" w14:textId="77777777" w:rsidR="00CD50FA" w:rsidRDefault="0032653B">
      <w:pPr>
        <w:ind w:left="360" w:hanging="360"/>
        <w:jc w:val="both"/>
        <w:rPr>
          <w:rFonts w:cs="Times New Roman"/>
        </w:rPr>
      </w:pPr>
      <w:proofErr w:type="spellStart"/>
      <w:r>
        <w:rPr>
          <w:rFonts w:cs="Times New Roman"/>
        </w:rPr>
        <w:t>Nto</w:t>
      </w:r>
      <w:proofErr w:type="spellEnd"/>
      <w:r>
        <w:rPr>
          <w:rFonts w:cs="Times New Roman"/>
        </w:rPr>
        <w:t xml:space="preserve">, S. E., </w:t>
      </w:r>
      <w:proofErr w:type="spellStart"/>
      <w:r>
        <w:rPr>
          <w:rFonts w:cs="Times New Roman"/>
        </w:rPr>
        <w:t>Oluwatola</w:t>
      </w:r>
      <w:proofErr w:type="spellEnd"/>
      <w:r>
        <w:rPr>
          <w:rFonts w:cs="Times New Roman"/>
        </w:rPr>
        <w:t xml:space="preserve">, T., Samuel, O., </w:t>
      </w:r>
      <w:proofErr w:type="spellStart"/>
      <w:r>
        <w:rPr>
          <w:rFonts w:cs="Times New Roman"/>
        </w:rPr>
        <w:t>Okagbue</w:t>
      </w:r>
      <w:proofErr w:type="spellEnd"/>
      <w:r>
        <w:rPr>
          <w:rFonts w:cs="Times New Roman"/>
        </w:rPr>
        <w:t xml:space="preserve">, H., </w:t>
      </w:r>
      <w:proofErr w:type="spellStart"/>
      <w:r>
        <w:rPr>
          <w:rFonts w:cs="Times New Roman"/>
        </w:rPr>
        <w:t>Atobatele</w:t>
      </w:r>
      <w:proofErr w:type="spellEnd"/>
      <w:r>
        <w:rPr>
          <w:rFonts w:cs="Times New Roman"/>
        </w:rPr>
        <w:t xml:space="preserve">, S., Ibanga, A., Adegoke, A., </w:t>
      </w:r>
      <w:proofErr w:type="spellStart"/>
      <w:r>
        <w:rPr>
          <w:rFonts w:cs="Times New Roman"/>
        </w:rPr>
        <w:t>Emuren</w:t>
      </w:r>
      <w:proofErr w:type="spellEnd"/>
      <w:r>
        <w:rPr>
          <w:rFonts w:cs="Times New Roman"/>
        </w:rPr>
        <w:t xml:space="preserve">, D., </w:t>
      </w:r>
      <w:proofErr w:type="spellStart"/>
      <w:r>
        <w:rPr>
          <w:rFonts w:cs="Times New Roman"/>
        </w:rPr>
        <w:t>Dumbulwa</w:t>
      </w:r>
      <w:proofErr w:type="spellEnd"/>
      <w:r>
        <w:rPr>
          <w:rFonts w:cs="Times New Roman"/>
        </w:rPr>
        <w:t>, S. A., Sampson, S., Isiaka, S. D., &amp; Sadiq, S. (2024). Strengthening care for emergencies: What is the level of awareness and utilization of emergency medical services in FCT, Nigeria? BMC Emergency Medicine, 24(1), 73. https://doi.org/10.1186/s12873-024-00991-2</w:t>
      </w:r>
    </w:p>
    <w:p w14:paraId="62C85CDC" w14:textId="77777777" w:rsidR="00CD50FA" w:rsidRDefault="0032653B">
      <w:pPr>
        <w:ind w:left="360" w:hanging="360"/>
        <w:jc w:val="both"/>
        <w:rPr>
          <w:rFonts w:cs="Times New Roman"/>
        </w:rPr>
      </w:pPr>
      <w:proofErr w:type="spellStart"/>
      <w:r>
        <w:rPr>
          <w:rFonts w:cs="Times New Roman"/>
        </w:rPr>
        <w:t>Nuradeen</w:t>
      </w:r>
      <w:proofErr w:type="spellEnd"/>
      <w:r>
        <w:rPr>
          <w:rFonts w:cs="Times New Roman"/>
        </w:rPr>
        <w:t>, A. A., Ajiboye, L. O., Sabir, A. A., &amp; Bello, A. G. (2025). Descriptive study of free emergency trauma services and outcomes in a tertiary teaching hospital, North-Western Nigeria. Nigerian Medical Journal, 66(4), 1396-1405. https://doi.org/10.71480/nmj.v66i4.832</w:t>
      </w:r>
    </w:p>
    <w:p w14:paraId="62C85CDD" w14:textId="77777777" w:rsidR="00CD50FA" w:rsidRDefault="0032653B">
      <w:pPr>
        <w:ind w:left="360" w:hanging="360"/>
        <w:jc w:val="both"/>
        <w:rPr>
          <w:rFonts w:cs="Times New Roman"/>
        </w:rPr>
      </w:pPr>
      <w:proofErr w:type="spellStart"/>
      <w:r>
        <w:rPr>
          <w:rFonts w:cs="Times New Roman"/>
        </w:rPr>
        <w:t>Oyedokun</w:t>
      </w:r>
      <w:proofErr w:type="spellEnd"/>
      <w:r>
        <w:rPr>
          <w:rFonts w:cs="Times New Roman"/>
        </w:rPr>
        <w:t xml:space="preserve">, T. O., Islam, E. M., Eke, N. O., Oladipo, O., Akinola, O. O., &amp; Salami, O. (2023). Out of hospital emergency care in Nigeria: A narrative review. African Journal of Emergency Medicine, 13(3), 171-176. </w:t>
      </w:r>
      <w:hyperlink r:id="rId15" w:history="1">
        <w:r w:rsidR="00CD50FA">
          <w:rPr>
            <w:rStyle w:val="Hyperlink"/>
            <w:rFonts w:cs="Times New Roman"/>
            <w:color w:val="auto"/>
          </w:rPr>
          <w:t>https://doi.org/10.1016/j.afjem.2023.06.001</w:t>
        </w:r>
      </w:hyperlink>
    </w:p>
    <w:p w14:paraId="62C85CDE" w14:textId="77777777" w:rsidR="00CD50FA" w:rsidRDefault="0032653B">
      <w:pPr>
        <w:ind w:left="360" w:hanging="360"/>
        <w:jc w:val="both"/>
        <w:rPr>
          <w:rFonts w:cs="Times New Roman"/>
        </w:rPr>
      </w:pPr>
      <w:r>
        <w:rPr>
          <w:rFonts w:cs="Times New Roman"/>
        </w:rPr>
        <w:t xml:space="preserve">Page, M. J., McKenzie, J. E., Bossuyt, P. M., </w:t>
      </w:r>
      <w:proofErr w:type="spellStart"/>
      <w:r>
        <w:rPr>
          <w:rFonts w:cs="Times New Roman"/>
        </w:rPr>
        <w:t>Boutron</w:t>
      </w:r>
      <w:proofErr w:type="spellEnd"/>
      <w:r>
        <w:rPr>
          <w:rFonts w:cs="Times New Roman"/>
        </w:rPr>
        <w:t xml:space="preserve">, I., Hoffmann, T. C., Mulrow, C. D., </w:t>
      </w:r>
      <w:proofErr w:type="spellStart"/>
      <w:r>
        <w:rPr>
          <w:rFonts w:cs="Times New Roman"/>
        </w:rPr>
        <w:t>Shamseer</w:t>
      </w:r>
      <w:proofErr w:type="spellEnd"/>
      <w:r>
        <w:rPr>
          <w:rFonts w:cs="Times New Roman"/>
        </w:rPr>
        <w:t>, L., Tetzlaff, J. M., Akl, E. A., Brennan, S. E., Chou, R., Glanville, J., Grimshaw, J. M., Hróbjartsson, A., Lalu, M. M., Li, T., Loder, E. W., Mayo-Wilson, E., McDonald, S., ... Moher, D. (2021). The PRISMA 2020 statement: An updated guideline for reporting systematic reviews. BMJ, 372, n71. https://doi.org/10.1136/bmj.n71</w:t>
      </w:r>
    </w:p>
    <w:p w14:paraId="62C85CDF" w14:textId="77777777" w:rsidR="00CD50FA" w:rsidRDefault="0032653B">
      <w:pPr>
        <w:ind w:left="360" w:hanging="360"/>
        <w:jc w:val="both"/>
        <w:rPr>
          <w:rFonts w:cs="Times New Roman"/>
        </w:rPr>
      </w:pPr>
      <w:r>
        <w:rPr>
          <w:rFonts w:cs="Times New Roman"/>
        </w:rPr>
        <w:lastRenderedPageBreak/>
        <w:t>Pearce, S., Marchand, T., Shannon, T., Ganshorn, H., &amp; Lang, E. (2023). Emergency department crowding: An overview of reviews describing measures, causes, and harms. Internal and Emergency Medicine, 18(4), 1137-1158. https://doi.org/10.1007/s11739-023-03239-2</w:t>
      </w:r>
    </w:p>
    <w:p w14:paraId="62C85CE0" w14:textId="77777777" w:rsidR="00CD50FA" w:rsidRDefault="0032653B">
      <w:pPr>
        <w:ind w:left="360" w:hanging="360"/>
        <w:jc w:val="both"/>
        <w:rPr>
          <w:rFonts w:cs="Times New Roman"/>
        </w:rPr>
      </w:pPr>
      <w:r>
        <w:rPr>
          <w:rFonts w:cs="Times New Roman"/>
        </w:rPr>
        <w:t>Pearce, S., Marr, E., Shannon, T., Marchand, T., &amp; Lang, E. (2024). Overcrowding in emergency departments: An overview of reviews describing global solutions and their outcomes. Internal and Emergency Medicine, 19(2), 483-491. https://doi.org/10.1007/s11739-023-03477-4</w:t>
      </w:r>
    </w:p>
    <w:p w14:paraId="62C85CE1" w14:textId="77777777" w:rsidR="00CD50FA" w:rsidRDefault="0032653B">
      <w:pPr>
        <w:ind w:left="360" w:hanging="360"/>
        <w:jc w:val="both"/>
        <w:rPr>
          <w:rFonts w:cs="Times New Roman"/>
        </w:rPr>
      </w:pPr>
      <w:r>
        <w:rPr>
          <w:rFonts w:cs="Times New Roman"/>
        </w:rPr>
        <w:t xml:space="preserve">Rice, B., Pickering, A., Laurence, C., Kizito, P. M., Leff, R., </w:t>
      </w:r>
      <w:proofErr w:type="spellStart"/>
      <w:r>
        <w:rPr>
          <w:rFonts w:cs="Times New Roman"/>
        </w:rPr>
        <w:t>Kisingiri</w:t>
      </w:r>
      <w:proofErr w:type="spellEnd"/>
      <w:r>
        <w:rPr>
          <w:rFonts w:cs="Times New Roman"/>
        </w:rPr>
        <w:t xml:space="preserve">, S. J., </w:t>
      </w:r>
      <w:proofErr w:type="spellStart"/>
      <w:r>
        <w:rPr>
          <w:rFonts w:cs="Times New Roman"/>
        </w:rPr>
        <w:t>Ndyamwijuka</w:t>
      </w:r>
      <w:proofErr w:type="spellEnd"/>
      <w:r>
        <w:rPr>
          <w:rFonts w:cs="Times New Roman"/>
        </w:rPr>
        <w:t xml:space="preserve">, C., Nakato, S., Adriko, L. F., &amp; </w:t>
      </w:r>
      <w:proofErr w:type="spellStart"/>
      <w:r>
        <w:rPr>
          <w:rFonts w:cs="Times New Roman"/>
        </w:rPr>
        <w:t>Bisanzo</w:t>
      </w:r>
      <w:proofErr w:type="spellEnd"/>
      <w:r>
        <w:rPr>
          <w:rFonts w:cs="Times New Roman"/>
        </w:rPr>
        <w:t>, M. (2022). Emergency medicine physician supervision and mortality among patients receiving care from non-physician clinicians in a task-sharing model of emergency care in rural Uganda: A retrospective analysis of a single-</w:t>
      </w:r>
      <w:proofErr w:type="spellStart"/>
      <w:r>
        <w:rPr>
          <w:rFonts w:cs="Times New Roman"/>
        </w:rPr>
        <w:t>centre</w:t>
      </w:r>
      <w:proofErr w:type="spellEnd"/>
      <w:r>
        <w:rPr>
          <w:rFonts w:cs="Times New Roman"/>
        </w:rPr>
        <w:t xml:space="preserve"> training </w:t>
      </w:r>
      <w:proofErr w:type="spellStart"/>
      <w:r>
        <w:rPr>
          <w:rFonts w:cs="Times New Roman"/>
        </w:rPr>
        <w:t>programme</w:t>
      </w:r>
      <w:proofErr w:type="spellEnd"/>
      <w:r>
        <w:rPr>
          <w:rFonts w:cs="Times New Roman"/>
        </w:rPr>
        <w:t>. BMJ Open, 12(6), e059859. https://doi.org/10.1136/bmjopen-2021-059859</w:t>
      </w:r>
    </w:p>
    <w:p w14:paraId="62C85CE2" w14:textId="77777777" w:rsidR="00CD50FA" w:rsidRDefault="0032653B">
      <w:pPr>
        <w:ind w:left="360" w:hanging="360"/>
        <w:jc w:val="both"/>
        <w:rPr>
          <w:rFonts w:cs="Times New Roman"/>
        </w:rPr>
      </w:pPr>
      <w:proofErr w:type="spellStart"/>
      <w:r>
        <w:rPr>
          <w:rFonts w:cs="Times New Roman"/>
        </w:rPr>
        <w:t>Sonenthal</w:t>
      </w:r>
      <w:proofErr w:type="spellEnd"/>
      <w:r>
        <w:rPr>
          <w:rFonts w:cs="Times New Roman"/>
        </w:rPr>
        <w:t xml:space="preserve">, P. D., Nyirenda, M., </w:t>
      </w:r>
      <w:proofErr w:type="spellStart"/>
      <w:r>
        <w:rPr>
          <w:rFonts w:cs="Times New Roman"/>
        </w:rPr>
        <w:t>Kasomekera</w:t>
      </w:r>
      <w:proofErr w:type="spellEnd"/>
      <w:r>
        <w:rPr>
          <w:rFonts w:cs="Times New Roman"/>
        </w:rPr>
        <w:t xml:space="preserve">, N., Marsh, R. H., Wroe, E. B., Scott, K. W., Bukhman, A., Connolly, E., </w:t>
      </w:r>
      <w:proofErr w:type="spellStart"/>
      <w:r>
        <w:rPr>
          <w:rFonts w:cs="Times New Roman"/>
        </w:rPr>
        <w:t>Minyaliwa</w:t>
      </w:r>
      <w:proofErr w:type="spellEnd"/>
      <w:r>
        <w:rPr>
          <w:rFonts w:cs="Times New Roman"/>
        </w:rPr>
        <w:t xml:space="preserve">, T., Katete, M., Banda-Katha, G., Mukherjee, J. S., &amp; Rouhani, S. A. (2022). The Malawi emergency and critical care survey: A cross-sectional national facility assessment. </w:t>
      </w:r>
      <w:proofErr w:type="spellStart"/>
      <w:r>
        <w:rPr>
          <w:rFonts w:cs="Times New Roman"/>
        </w:rPr>
        <w:t>EClinicalMedicine</w:t>
      </w:r>
      <w:proofErr w:type="spellEnd"/>
      <w:r>
        <w:rPr>
          <w:rFonts w:cs="Times New Roman"/>
        </w:rPr>
        <w:t>, 44, 101245. https://doi.org/10.1016/j.eclinm.2021.101245</w:t>
      </w:r>
    </w:p>
    <w:p w14:paraId="62C85CE3" w14:textId="77777777" w:rsidR="00CD50FA" w:rsidRDefault="0032653B">
      <w:pPr>
        <w:ind w:left="360" w:hanging="360"/>
        <w:jc w:val="both"/>
        <w:rPr>
          <w:rFonts w:cs="Times New Roman"/>
        </w:rPr>
      </w:pPr>
      <w:proofErr w:type="spellStart"/>
      <w:r>
        <w:rPr>
          <w:rFonts w:cs="Times New Roman"/>
        </w:rPr>
        <w:t>Umoga</w:t>
      </w:r>
      <w:proofErr w:type="spellEnd"/>
      <w:r>
        <w:rPr>
          <w:rFonts w:cs="Times New Roman"/>
        </w:rPr>
        <w:t>, K., Muhammad, M., Meeker, M. A., Rayo, J., Ogunyemi, K. O., &amp; Ngaruiya, C. (2026). Assessment of emergency care services in Nigerian hospitals: A cross-sectional study. African Journal of Emergency Medicine, 16(1), 100939. https://doi.org/10.1016/j.afjem.2025.100939</w:t>
      </w:r>
    </w:p>
    <w:p w14:paraId="62C85CE4" w14:textId="77777777" w:rsidR="00CD50FA" w:rsidRDefault="0032653B">
      <w:pPr>
        <w:ind w:left="360" w:hanging="360"/>
        <w:jc w:val="both"/>
        <w:rPr>
          <w:rFonts w:cs="Times New Roman"/>
        </w:rPr>
      </w:pPr>
      <w:r>
        <w:rPr>
          <w:rFonts w:cs="Times New Roman"/>
        </w:rPr>
        <w:t xml:space="preserve">van Niekerk, J., </w:t>
      </w:r>
      <w:proofErr w:type="spellStart"/>
      <w:r>
        <w:rPr>
          <w:rFonts w:cs="Times New Roman"/>
        </w:rPr>
        <w:t>Fapohunda</w:t>
      </w:r>
      <w:proofErr w:type="spellEnd"/>
      <w:r>
        <w:rPr>
          <w:rFonts w:cs="Times New Roman"/>
        </w:rPr>
        <w:t>, T., Rohwer, A., &amp; McCaul, M. (2023). Quality of systematic reviews in African emergency medicine: A cross-sectional methodological study. African Journal of Emergency Medicine, 13(4), 331-338. https://doi.org/10.1016/j.afjem.2023.10.001</w:t>
      </w:r>
    </w:p>
    <w:p w14:paraId="62C85CE5" w14:textId="1B5BC438" w:rsidR="00CD50FA" w:rsidRDefault="0032653B">
      <w:pPr>
        <w:ind w:left="360" w:hanging="360"/>
        <w:jc w:val="both"/>
        <w:rPr>
          <w:rFonts w:cs="Times New Roman"/>
        </w:rPr>
      </w:pPr>
      <w:r>
        <w:rPr>
          <w:rFonts w:cs="Times New Roman"/>
        </w:rPr>
        <w:t xml:space="preserve">Vlok, N., Wylie, C., &amp; Stassen, W. (2023). A 12-month retrospective descriptive analysis of a single helicopter emergency medical service operator in four South African provinces. African Journal of Emergency Medicine, 13(3), 127-134. </w:t>
      </w:r>
      <w:hyperlink r:id="rId16" w:history="1">
        <w:r w:rsidR="00D0751E" w:rsidRPr="00FB4623">
          <w:rPr>
            <w:rStyle w:val="Hyperlink"/>
            <w:rFonts w:cs="Times New Roman"/>
          </w:rPr>
          <w:t>https://doi.org/10.1016/j.afjem.2023.05.007</w:t>
        </w:r>
      </w:hyperlink>
    </w:p>
    <w:p w14:paraId="18AF84FD" w14:textId="1D738079" w:rsidR="00D0751E" w:rsidRDefault="00D0751E" w:rsidP="00D0751E">
      <w:pPr>
        <w:ind w:left="360" w:hanging="360"/>
        <w:jc w:val="both"/>
        <w:rPr>
          <w:rFonts w:cs="Times New Roman"/>
        </w:rPr>
      </w:pPr>
      <w:r w:rsidRPr="00D0751E">
        <w:rPr>
          <w:rFonts w:cs="Times New Roman"/>
        </w:rPr>
        <w:lastRenderedPageBreak/>
        <w:t>Wang, H. E., Mann, N. C., Jacobson, K. E., MS, M. D., Mears, G., Smyrski, K., &amp; Yealy, D. M. (2013). National characteristics of emergency medical services responses in the United States. Prehospital emergency care, 17(1), 8-14.</w:t>
      </w:r>
    </w:p>
    <w:p w14:paraId="62C85CE6" w14:textId="77777777" w:rsidR="00CD50FA" w:rsidRDefault="0032653B">
      <w:pPr>
        <w:ind w:left="360" w:hanging="360"/>
        <w:jc w:val="both"/>
        <w:rPr>
          <w:rFonts w:cs="Times New Roman"/>
        </w:rPr>
      </w:pPr>
      <w:r>
        <w:rPr>
          <w:rFonts w:cs="Times New Roman"/>
        </w:rPr>
        <w:t xml:space="preserve">Wilde, E. T. (2013). Do emergency medical system response times matter for health </w:t>
      </w:r>
      <w:proofErr w:type="gramStart"/>
      <w:r>
        <w:rPr>
          <w:rFonts w:cs="Times New Roman"/>
        </w:rPr>
        <w:t>outcomes?.</w:t>
      </w:r>
      <w:proofErr w:type="gramEnd"/>
      <w:r>
        <w:rPr>
          <w:rFonts w:cs="Times New Roman"/>
        </w:rPr>
        <w:t> Health economics, 22(7), 790-806.</w:t>
      </w:r>
    </w:p>
    <w:p w14:paraId="62C85CE7" w14:textId="77777777" w:rsidR="00CD50FA" w:rsidRDefault="00CD50FA">
      <w:pPr>
        <w:ind w:left="360" w:hanging="360"/>
        <w:jc w:val="both"/>
        <w:rPr>
          <w:rFonts w:cs="Times New Roman"/>
        </w:rPr>
      </w:pPr>
    </w:p>
    <w:sectPr w:rsidR="00CD50F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76CF" w14:textId="77777777" w:rsidR="00A82F70" w:rsidRDefault="00A82F70">
      <w:pPr>
        <w:spacing w:line="240" w:lineRule="auto"/>
      </w:pPr>
      <w:r>
        <w:separator/>
      </w:r>
    </w:p>
  </w:endnote>
  <w:endnote w:type="continuationSeparator" w:id="0">
    <w:p w14:paraId="623B855B" w14:textId="77777777" w:rsidR="00A82F70" w:rsidRDefault="00A82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5CF0" w14:textId="77777777" w:rsidR="00CD50FA" w:rsidRDefault="00CD5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5CF1" w14:textId="77777777" w:rsidR="00CD50FA" w:rsidRDefault="00CD5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5CF3" w14:textId="77777777" w:rsidR="00CD50FA" w:rsidRDefault="00CD5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E437" w14:textId="77777777" w:rsidR="00A82F70" w:rsidRDefault="00A82F70">
      <w:pPr>
        <w:spacing w:after="0"/>
      </w:pPr>
      <w:r>
        <w:separator/>
      </w:r>
    </w:p>
  </w:footnote>
  <w:footnote w:type="continuationSeparator" w:id="0">
    <w:p w14:paraId="09151BEB" w14:textId="77777777" w:rsidR="00A82F70" w:rsidRDefault="00A82F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5CEE" w14:textId="77777777" w:rsidR="00CD50FA" w:rsidRDefault="00000000">
    <w:pPr>
      <w:pStyle w:val="Header"/>
    </w:pPr>
    <w:r>
      <w:pict w14:anchorId="62C85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63" o:spid="_x0000_s1026" type="#_x0000_t136" style="position:absolute;margin-left:0;margin-top:0;width:592.85pt;height:66.9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5CEF" w14:textId="77777777" w:rsidR="00CD50FA" w:rsidRDefault="00000000">
    <w:pPr>
      <w:pStyle w:val="Header"/>
    </w:pPr>
    <w:r>
      <w:pict w14:anchorId="62C85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64" o:spid="_x0000_s1027"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5CF2" w14:textId="77777777" w:rsidR="00CD50FA" w:rsidRDefault="00000000">
    <w:pPr>
      <w:pStyle w:val="Header"/>
    </w:pPr>
    <w:r>
      <w:pict w14:anchorId="62C85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62" o:spid="_x0000_s1025" type="#_x0000_t136" style="position:absolute;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67990493">
    <w:abstractNumId w:val="5"/>
  </w:num>
  <w:num w:numId="2" w16cid:durableId="939608238">
    <w:abstractNumId w:val="3"/>
  </w:num>
  <w:num w:numId="3" w16cid:durableId="439687362">
    <w:abstractNumId w:val="2"/>
  </w:num>
  <w:num w:numId="4" w16cid:durableId="720977567">
    <w:abstractNumId w:val="4"/>
  </w:num>
  <w:num w:numId="5" w16cid:durableId="1036468862">
    <w:abstractNumId w:val="1"/>
  </w:num>
  <w:num w:numId="6" w16cid:durableId="160487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0tzA1M7K0MDUxMjVR0lEKTi0uzszPAykwrAUAibyktiwAAAA="/>
  </w:docVars>
  <w:rsids>
    <w:rsidRoot w:val="00B47730"/>
    <w:rsid w:val="00001588"/>
    <w:rsid w:val="00015448"/>
    <w:rsid w:val="00023596"/>
    <w:rsid w:val="00034616"/>
    <w:rsid w:val="000455F1"/>
    <w:rsid w:val="0006063C"/>
    <w:rsid w:val="00062C87"/>
    <w:rsid w:val="000A5B3D"/>
    <w:rsid w:val="001140B9"/>
    <w:rsid w:val="0015074B"/>
    <w:rsid w:val="001A2CA8"/>
    <w:rsid w:val="001C1E87"/>
    <w:rsid w:val="001E0FDE"/>
    <w:rsid w:val="001E7452"/>
    <w:rsid w:val="002017EC"/>
    <w:rsid w:val="002022BA"/>
    <w:rsid w:val="00257846"/>
    <w:rsid w:val="00266CB0"/>
    <w:rsid w:val="00271DE4"/>
    <w:rsid w:val="0029639D"/>
    <w:rsid w:val="002B304C"/>
    <w:rsid w:val="002F0768"/>
    <w:rsid w:val="003022C1"/>
    <w:rsid w:val="00312B4D"/>
    <w:rsid w:val="0032653B"/>
    <w:rsid w:val="00326F90"/>
    <w:rsid w:val="0038266D"/>
    <w:rsid w:val="0039738D"/>
    <w:rsid w:val="003B549B"/>
    <w:rsid w:val="004020C6"/>
    <w:rsid w:val="004143AC"/>
    <w:rsid w:val="00441135"/>
    <w:rsid w:val="004548DD"/>
    <w:rsid w:val="004B0D44"/>
    <w:rsid w:val="004C2348"/>
    <w:rsid w:val="004D6087"/>
    <w:rsid w:val="00552E5F"/>
    <w:rsid w:val="0058105A"/>
    <w:rsid w:val="005E49DD"/>
    <w:rsid w:val="00626BB7"/>
    <w:rsid w:val="00654C97"/>
    <w:rsid w:val="0067302C"/>
    <w:rsid w:val="00687F97"/>
    <w:rsid w:val="006C0AB8"/>
    <w:rsid w:val="006E6DD3"/>
    <w:rsid w:val="006E7C55"/>
    <w:rsid w:val="00700419"/>
    <w:rsid w:val="0070171D"/>
    <w:rsid w:val="00715BC7"/>
    <w:rsid w:val="00727A86"/>
    <w:rsid w:val="00734309"/>
    <w:rsid w:val="00753B02"/>
    <w:rsid w:val="00786CEF"/>
    <w:rsid w:val="0081253C"/>
    <w:rsid w:val="00850CC8"/>
    <w:rsid w:val="00852C37"/>
    <w:rsid w:val="008572C1"/>
    <w:rsid w:val="008C2F3A"/>
    <w:rsid w:val="008D624C"/>
    <w:rsid w:val="0091022D"/>
    <w:rsid w:val="009118CD"/>
    <w:rsid w:val="00923D10"/>
    <w:rsid w:val="009278D9"/>
    <w:rsid w:val="009510DD"/>
    <w:rsid w:val="009D5902"/>
    <w:rsid w:val="009E2057"/>
    <w:rsid w:val="00A623A9"/>
    <w:rsid w:val="00A82F70"/>
    <w:rsid w:val="00AA1D8D"/>
    <w:rsid w:val="00AB149F"/>
    <w:rsid w:val="00AD4535"/>
    <w:rsid w:val="00B15E2F"/>
    <w:rsid w:val="00B47730"/>
    <w:rsid w:val="00B514DF"/>
    <w:rsid w:val="00B67A81"/>
    <w:rsid w:val="00B74ECE"/>
    <w:rsid w:val="00B81549"/>
    <w:rsid w:val="00B8589B"/>
    <w:rsid w:val="00BB4E01"/>
    <w:rsid w:val="00BC4E9C"/>
    <w:rsid w:val="00C30CE8"/>
    <w:rsid w:val="00C37A2C"/>
    <w:rsid w:val="00CB0108"/>
    <w:rsid w:val="00CB0664"/>
    <w:rsid w:val="00CC5840"/>
    <w:rsid w:val="00CD50FA"/>
    <w:rsid w:val="00D0751E"/>
    <w:rsid w:val="00D116FD"/>
    <w:rsid w:val="00D33198"/>
    <w:rsid w:val="00DC604B"/>
    <w:rsid w:val="00DC7844"/>
    <w:rsid w:val="00DF0984"/>
    <w:rsid w:val="00DF6567"/>
    <w:rsid w:val="00E67A51"/>
    <w:rsid w:val="00EA0F8F"/>
    <w:rsid w:val="00EC4BC4"/>
    <w:rsid w:val="00EC4D84"/>
    <w:rsid w:val="00EC4DE9"/>
    <w:rsid w:val="00F2674E"/>
    <w:rsid w:val="00F350C7"/>
    <w:rsid w:val="00F43851"/>
    <w:rsid w:val="00F6093B"/>
    <w:rsid w:val="00F77F6C"/>
    <w:rsid w:val="00F95554"/>
    <w:rsid w:val="00FB0AF1"/>
    <w:rsid w:val="00FC2BB7"/>
    <w:rsid w:val="00FC693F"/>
    <w:rsid w:val="00FD6829"/>
    <w:rsid w:val="094A20CE"/>
    <w:rsid w:val="1E3E1C74"/>
    <w:rsid w:val="23540A32"/>
    <w:rsid w:val="333F0CA1"/>
    <w:rsid w:val="33BB3E6D"/>
    <w:rsid w:val="4A630E2A"/>
    <w:rsid w:val="621D1385"/>
    <w:rsid w:val="65DE1DB1"/>
    <w:rsid w:val="70770E10"/>
    <w:rsid w:val="78780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C85B8E"/>
  <w14:defaultImageDpi w14:val="330"/>
  <w15:docId w15:val="{E0605D99-8553-4500-A84D-FB69DDDF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60" w:lineRule="auto"/>
    </w:pPr>
    <w:rPr>
      <w:rFonts w:ascii="Times New Roman" w:eastAsia="Times New Roman" w:hAnsi="Times New Roman"/>
      <w:sz w:val="24"/>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style>
  <w:style w:type="paragraph" w:styleId="BodyText2">
    <w:name w:val="Body Text 2"/>
    <w:basedOn w:val="Normal"/>
    <w:link w:val="BodyText2Char"/>
    <w:uiPriority w:val="99"/>
    <w:unhideWhenUsed/>
    <w:qFormat/>
    <w:pPr>
      <w:spacing w:line="480" w:lineRule="auto"/>
    </w:pPr>
  </w:style>
  <w:style w:type="paragraph" w:styleId="BodyText3">
    <w:name w:val="Body Text 3"/>
    <w:basedOn w:val="Normal"/>
    <w:link w:val="BodyText3Char"/>
    <w:uiPriority w:val="99"/>
    <w:unhideWhenUsed/>
    <w:qFormat/>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ind w:left="360"/>
      <w:contextualSpacing/>
    </w:pPr>
  </w:style>
  <w:style w:type="paragraph" w:styleId="ListContinue2">
    <w:name w:val="List Continue 2"/>
    <w:basedOn w:val="Normal"/>
    <w:uiPriority w:val="99"/>
    <w:unhideWhenUsed/>
    <w:qFormat/>
    <w:pPr>
      <w:ind w:left="720"/>
      <w:contextualSpacing/>
    </w:pPr>
  </w:style>
  <w:style w:type="paragraph" w:styleId="ListContinue3">
    <w:name w:val="List Continue 3"/>
    <w:basedOn w:val="Normal"/>
    <w:uiPriority w:val="99"/>
    <w:unhideWhenUsed/>
    <w:qFormat/>
    <w:pPr>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67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2/14651858.CD015316"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016/j.afjem.2024.05.00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016/j.afjem.2023.05.00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59/sajs.2024/1613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16/j.afjem.2023.06.001" TargetMode="External"/><Relationship Id="rId23" Type="http://schemas.openxmlformats.org/officeDocument/2006/relationships/fontTable" Target="fontTable.xml"/><Relationship Id="rId10" Type="http://schemas.openxmlformats.org/officeDocument/2006/relationships/hyperlink" Target="https://doi.org/10.1161/JAHA.119.015544"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86/s13054-015-0973-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3A80685-1202-4A7D-B51A-28A1A3ABC3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34</Pages>
  <Words>9671</Words>
  <Characters>55131</Characters>
  <Application>Microsoft Office Word</Application>
  <DocSecurity>0</DocSecurity>
  <Lines>459</Lines>
  <Paragraphs>129</Paragraphs>
  <ScaleCrop>false</ScaleCrop>
  <Company/>
  <LinksUpToDate>false</LinksUpToDate>
  <CharactersWithSpaces>64673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1020</cp:lastModifiedBy>
  <cp:revision>84</cp:revision>
  <dcterms:created xsi:type="dcterms:W3CDTF">2013-12-23T23:15:00Z</dcterms:created>
  <dcterms:modified xsi:type="dcterms:W3CDTF">2026-05-25T10:31:00Z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eyJoZGlkIjoiMTNlYzkxNjlkODkyYmYxZjMwMDU3NTZjNjBmYTdkOWIiLCJ1c2VySWQiOiIyNzQ4Nzc5OTk1MjUyIn0=</vt:lpwstr>
  </property>
  <property fmtid="{D5CDD505-2E9C-101B-9397-08002B2CF9AE}" pid="3" name="KSOProductBuildVer">
    <vt:lpwstr>1033-12.1.0.26372</vt:lpwstr>
  </property>
  <property fmtid="{D5CDD505-2E9C-101B-9397-08002B2CF9AE}" pid="4" name="ICV">
    <vt:lpwstr>5CDF8F69894F48318E204F7AB1448C61_13</vt:lpwstr>
  </property>
  <property fmtid="{D5CDD505-2E9C-101B-9397-08002B2CF9AE}" pid="5" name="GrammarlyDocumentId">
    <vt:lpwstr>628691b1-d090-4f90-9eec-092d4b811c69</vt:lpwstr>
  </property>
  <property fmtid="{D5CDD505-2E9C-101B-9397-08002B2CF9AE}" pid="6" name="MSIP_Label_defa4170-0d19-0005-0004-bc88714345d2_Enabled">
    <vt:lpwstr>true</vt:lpwstr>
  </property>
  <property fmtid="{D5CDD505-2E9C-101B-9397-08002B2CF9AE}" pid="7" name="MSIP_Label_defa4170-0d19-0005-0004-bc88714345d2_SetDate">
    <vt:lpwstr>2026-04-30T12:48:38Z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29af94ea-2f74-40c2-af93-0db3d9e7a5c4</vt:lpwstr>
  </property>
  <property fmtid="{D5CDD505-2E9C-101B-9397-08002B2CF9AE}" pid="11" name="MSIP_Label_defa4170-0d19-0005-0004-bc88714345d2_ActionId">
    <vt:lpwstr>f24c51a3-c637-4c01-af92-f7180b306e9e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