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43B98" w14:textId="110A65B8" w:rsidR="00A3107A" w:rsidRPr="00A3107A" w:rsidRDefault="00A3107A" w:rsidP="00A3107A">
      <w:pPr>
        <w:rPr>
          <w:rFonts w:ascii="Times New Roman" w:hAnsi="Times New Roman" w:cs="Times New Roman"/>
          <w:b/>
          <w:sz w:val="24"/>
          <w:szCs w:val="24"/>
          <w:u w:val="single"/>
        </w:rPr>
      </w:pPr>
      <w:r w:rsidRPr="00A3107A">
        <w:rPr>
          <w:rFonts w:ascii="Times New Roman" w:hAnsi="Times New Roman" w:cs="Times New Roman"/>
          <w:b/>
          <w:sz w:val="24"/>
          <w:szCs w:val="24"/>
          <w:u w:val="single"/>
        </w:rPr>
        <w:t>Original Research Article</w:t>
      </w:r>
    </w:p>
    <w:p w14:paraId="0EE0E7C5" w14:textId="3FC296E9" w:rsidR="00C747A2" w:rsidRPr="0063258A" w:rsidRDefault="00E84F12" w:rsidP="00C747A2">
      <w:pPr>
        <w:jc w:val="center"/>
        <w:rPr>
          <w:rFonts w:ascii="Times New Roman" w:hAnsi="Times New Roman" w:cs="Times New Roman"/>
          <w:b/>
          <w:sz w:val="24"/>
          <w:szCs w:val="24"/>
        </w:rPr>
      </w:pPr>
      <w:r w:rsidRPr="0063258A">
        <w:rPr>
          <w:rFonts w:ascii="Times New Roman" w:hAnsi="Times New Roman" w:cs="Times New Roman"/>
          <w:b/>
          <w:sz w:val="24"/>
          <w:szCs w:val="24"/>
        </w:rPr>
        <w:t xml:space="preserve">AMELIORATIVE EFFECTS OF </w:t>
      </w:r>
      <w:proofErr w:type="spellStart"/>
      <w:r w:rsidRPr="0063258A">
        <w:rPr>
          <w:rFonts w:ascii="Times New Roman" w:hAnsi="Times New Roman" w:cs="Times New Roman"/>
          <w:b/>
          <w:i/>
          <w:sz w:val="24"/>
          <w:szCs w:val="24"/>
        </w:rPr>
        <w:t>Tetracarpidium</w:t>
      </w:r>
      <w:proofErr w:type="spellEnd"/>
      <w:r w:rsidRPr="0063258A">
        <w:rPr>
          <w:rFonts w:ascii="Times New Roman" w:hAnsi="Times New Roman" w:cs="Times New Roman"/>
          <w:b/>
          <w:i/>
          <w:sz w:val="24"/>
          <w:szCs w:val="24"/>
        </w:rPr>
        <w:t xml:space="preserve"> </w:t>
      </w:r>
      <w:proofErr w:type="spellStart"/>
      <w:r w:rsidRPr="0063258A">
        <w:rPr>
          <w:rFonts w:ascii="Times New Roman" w:hAnsi="Times New Roman" w:cs="Times New Roman"/>
          <w:b/>
          <w:i/>
          <w:sz w:val="24"/>
          <w:szCs w:val="24"/>
        </w:rPr>
        <w:t>conophorum</w:t>
      </w:r>
      <w:proofErr w:type="spellEnd"/>
      <w:r w:rsidRPr="0063258A">
        <w:rPr>
          <w:rFonts w:ascii="Times New Roman" w:hAnsi="Times New Roman" w:cs="Times New Roman"/>
          <w:b/>
          <w:sz w:val="24"/>
          <w:szCs w:val="24"/>
        </w:rPr>
        <w:t xml:space="preserve"> (AFRICAN WALNUT) ON MERCURY-INDUCED PANCREATIC DYSFUNCTION: A TOXICOLOGICAL, MOLECULAR DOCKING, AND PHARMACOKINETIC STUDY</w:t>
      </w:r>
    </w:p>
    <w:p w14:paraId="18B1AAFA" w14:textId="3BAFDB09" w:rsidR="00C747A2" w:rsidRDefault="00C747A2" w:rsidP="00C747A2">
      <w:pPr>
        <w:jc w:val="both"/>
        <w:rPr>
          <w:rFonts w:ascii="Times New Roman" w:hAnsi="Times New Roman" w:cs="Times New Roman"/>
          <w:b/>
          <w:sz w:val="24"/>
          <w:szCs w:val="24"/>
        </w:rPr>
      </w:pPr>
    </w:p>
    <w:p w14:paraId="6472C0C2" w14:textId="77777777" w:rsidR="00885213" w:rsidRPr="0063258A" w:rsidRDefault="00885213" w:rsidP="00C747A2">
      <w:pPr>
        <w:jc w:val="both"/>
        <w:rPr>
          <w:rFonts w:ascii="Times New Roman" w:hAnsi="Times New Roman" w:cs="Times New Roman"/>
          <w:b/>
          <w:sz w:val="24"/>
          <w:szCs w:val="24"/>
        </w:rPr>
      </w:pPr>
    </w:p>
    <w:p w14:paraId="3BF20233" w14:textId="3BC251C9" w:rsidR="00D03047" w:rsidRPr="00D03047" w:rsidRDefault="00FD5663" w:rsidP="00D03047">
      <w:pPr>
        <w:pStyle w:val="NormalWeb"/>
      </w:pPr>
      <w:r w:rsidRPr="0063258A">
        <w:rPr>
          <w:b/>
          <w:bCs/>
        </w:rPr>
        <w:t>ABSTRACT</w:t>
      </w:r>
      <w:r w:rsidR="00CC6239" w:rsidRPr="00CC6239">
        <w:br/>
      </w:r>
      <w:r w:rsidR="00D03047" w:rsidRPr="00D03047">
        <w:t xml:space="preserve">Mercury-induced pancreatic dysfunction is primarily driven by oxidative stress, inflammatory signaling, and metabolic dysregulation, underscoring the need for multi-target therapeutic candidates from natural sources. This study evaluated the therapeutic potential of bioactive compounds from </w:t>
      </w:r>
      <w:proofErr w:type="spellStart"/>
      <w:r w:rsidR="00D03047" w:rsidRPr="00D03047">
        <w:rPr>
          <w:i/>
          <w:iCs/>
        </w:rPr>
        <w:t>Tetracarpidium</w:t>
      </w:r>
      <w:proofErr w:type="spellEnd"/>
      <w:r w:rsidR="00D03047" w:rsidRPr="00D03047">
        <w:rPr>
          <w:i/>
          <w:iCs/>
        </w:rPr>
        <w:t xml:space="preserve"> </w:t>
      </w:r>
      <w:proofErr w:type="spellStart"/>
      <w:r w:rsidR="00D03047" w:rsidRPr="00D03047">
        <w:rPr>
          <w:i/>
          <w:iCs/>
        </w:rPr>
        <w:t>conophorum</w:t>
      </w:r>
      <w:proofErr w:type="spellEnd"/>
      <w:r w:rsidR="00D03047" w:rsidRPr="00D03047">
        <w:t xml:space="preserve"> (African walnut) using a combined in silico workflow involving molecular docking, pharmacokinetic profiling, and toxicity </w:t>
      </w:r>
      <w:proofErr w:type="spellStart"/>
      <w:r w:rsidR="00D03047" w:rsidRPr="00D03047">
        <w:t>prediction.A</w:t>
      </w:r>
      <w:proofErr w:type="spellEnd"/>
      <w:r w:rsidR="00D03047" w:rsidRPr="00D03047">
        <w:t xml:space="preserve"> total of seven key protein targets associated with pancreatic function, oxidative stress, inflammation, apoptosis, insulin resistance, lipid metabolism, and glucose regulation were analyzed. The highest binding affinity for the pancreatic function target (PDB: 1V4S) was observed with [2-(2-benzoylphenyl)-4-(1-hydroxycyclohexyl)phenyl]-[4-(1-hydroxycyclohexyl)phenyl]methanone (–8.4 kcal/mol). For the oxidative stress target (PDB: 1DGB), 7-chloro-10-hydroxy-1-(2-pyrrolidin-1-ylethylimino)-3-[3-(trifluoromethyl)phenyl]-3,4-dihydro-2H-acridin-9-one exhibited the strongest binding affinity (–11.5 kcal/mol), indicating strong potential interaction with redox-regulatory proteins. Across the evaluated targets, several ligands demonstrated comparable or improved binding affinities relative to standard reference compounds, including metformin, sitagliptin, butylated hydroxytoluene, and ascorbic acid, suggesting broad-spectrum inhibitory potential against key pathological </w:t>
      </w:r>
      <w:proofErr w:type="spellStart"/>
      <w:r w:rsidR="00D03047" w:rsidRPr="00D03047">
        <w:t>pathways.ADME</w:t>
      </w:r>
      <w:proofErr w:type="spellEnd"/>
      <w:r w:rsidR="00D03047" w:rsidRPr="00D03047">
        <w:t xml:space="preserve"> profiling indicated generally favorable gastrointestinal absorption, moderate-to-high plasma protein binding (&gt;90%), and acceptable oral bioavailability for selected compounds, although variability in absorption and distribution parameters was observed across the dataset. Toxicity predictions suggested low risks of mutagenicity, carcinogenicity, and organ-specific toxicity for most lead compounds, supporting a favorable preliminary safety profile. Drug-likeness evaluation further indicated that several compounds complied with Lipinski, </w:t>
      </w:r>
      <w:proofErr w:type="spellStart"/>
      <w:r w:rsidR="00D03047" w:rsidRPr="00D03047">
        <w:t>Veber</w:t>
      </w:r>
      <w:proofErr w:type="spellEnd"/>
      <w:r w:rsidR="00D03047" w:rsidRPr="00D03047">
        <w:t xml:space="preserve">, and Egan rules, suggesting acceptable oral drug-like </w:t>
      </w:r>
      <w:proofErr w:type="spellStart"/>
      <w:r w:rsidR="00D03047" w:rsidRPr="00D03047">
        <w:t>properties.Overall</w:t>
      </w:r>
      <w:proofErr w:type="spellEnd"/>
      <w:r w:rsidR="00D03047" w:rsidRPr="00D03047">
        <w:t xml:space="preserve">, the results suggest that </w:t>
      </w:r>
      <w:r w:rsidR="00D03047" w:rsidRPr="00D03047">
        <w:rPr>
          <w:i/>
          <w:iCs/>
        </w:rPr>
        <w:t xml:space="preserve">T. </w:t>
      </w:r>
      <w:proofErr w:type="spellStart"/>
      <w:r w:rsidR="00D03047" w:rsidRPr="00D03047">
        <w:rPr>
          <w:i/>
          <w:iCs/>
        </w:rPr>
        <w:t>conophorum</w:t>
      </w:r>
      <w:proofErr w:type="spellEnd"/>
      <w:r w:rsidR="00D03047" w:rsidRPr="00D03047">
        <w:t xml:space="preserve"> phytoconstituents may exert multi-target modulatory effects on pathways implicated in mercury-induced pancreatic injury. However, these findings remain computational in nature and require further validation through molecular dynamics simulations and in vivo experimental studies to confirm pharmacological efficacy and safety prior to clinical translation.</w:t>
      </w:r>
    </w:p>
    <w:p w14:paraId="556250B1" w14:textId="25B7A288" w:rsidR="00C747A2" w:rsidRPr="00D03047" w:rsidRDefault="00230485" w:rsidP="00D03047">
      <w:pPr>
        <w:spacing w:before="100" w:beforeAutospacing="1" w:after="100" w:afterAutospacing="1" w:line="240" w:lineRule="auto"/>
        <w:jc w:val="both"/>
        <w:rPr>
          <w:rFonts w:ascii="Times New Roman" w:hAnsi="Times New Roman" w:cs="Times New Roman"/>
          <w:b/>
          <w:sz w:val="24"/>
          <w:szCs w:val="24"/>
        </w:rPr>
      </w:pPr>
      <w:r w:rsidRPr="00D03047">
        <w:rPr>
          <w:rFonts w:ascii="Times New Roman" w:hAnsi="Times New Roman" w:cs="Times New Roman"/>
          <w:b/>
          <w:sz w:val="24"/>
          <w:szCs w:val="24"/>
        </w:rPr>
        <w:t xml:space="preserve">Keywords:  </w:t>
      </w:r>
      <w:proofErr w:type="spellStart"/>
      <w:r w:rsidRPr="00D03047">
        <w:rPr>
          <w:rFonts w:ascii="Times New Roman" w:hAnsi="Times New Roman" w:cs="Times New Roman"/>
          <w:b/>
          <w:i/>
          <w:iCs/>
          <w:sz w:val="24"/>
          <w:szCs w:val="24"/>
        </w:rPr>
        <w:t>Tetracarpidium</w:t>
      </w:r>
      <w:proofErr w:type="spellEnd"/>
      <w:r w:rsidRPr="00D03047">
        <w:rPr>
          <w:rFonts w:ascii="Times New Roman" w:hAnsi="Times New Roman" w:cs="Times New Roman"/>
          <w:b/>
          <w:i/>
          <w:iCs/>
          <w:sz w:val="24"/>
          <w:szCs w:val="24"/>
        </w:rPr>
        <w:t xml:space="preserve"> </w:t>
      </w:r>
      <w:proofErr w:type="spellStart"/>
      <w:r w:rsidRPr="00D03047">
        <w:rPr>
          <w:rFonts w:ascii="Times New Roman" w:hAnsi="Times New Roman" w:cs="Times New Roman"/>
          <w:b/>
          <w:i/>
          <w:iCs/>
          <w:sz w:val="24"/>
          <w:szCs w:val="24"/>
        </w:rPr>
        <w:t>conophorum</w:t>
      </w:r>
      <w:proofErr w:type="spellEnd"/>
      <w:r w:rsidRPr="00D03047">
        <w:rPr>
          <w:rFonts w:ascii="Times New Roman" w:hAnsi="Times New Roman" w:cs="Times New Roman"/>
          <w:b/>
          <w:i/>
          <w:iCs/>
          <w:sz w:val="24"/>
          <w:szCs w:val="24"/>
        </w:rPr>
        <w:t xml:space="preserve">, </w:t>
      </w:r>
      <w:r w:rsidRPr="00D03047">
        <w:rPr>
          <w:rFonts w:ascii="Times New Roman" w:hAnsi="Times New Roman" w:cs="Times New Roman"/>
          <w:b/>
          <w:sz w:val="24"/>
          <w:szCs w:val="24"/>
        </w:rPr>
        <w:t>Molecular docking, Pancreatic dysfunction, Binding affinity and Merc</w:t>
      </w:r>
      <w:r w:rsidR="00120E20" w:rsidRPr="00D03047">
        <w:rPr>
          <w:rFonts w:ascii="Times New Roman" w:hAnsi="Times New Roman" w:cs="Times New Roman"/>
          <w:b/>
          <w:sz w:val="24"/>
          <w:szCs w:val="24"/>
        </w:rPr>
        <w:t>ury toxicity</w:t>
      </w:r>
    </w:p>
    <w:p w14:paraId="37BE6D25" w14:textId="77777777" w:rsidR="00C747A2" w:rsidRPr="0063258A" w:rsidRDefault="00C747A2" w:rsidP="00C747A2">
      <w:pPr>
        <w:jc w:val="both"/>
        <w:rPr>
          <w:rFonts w:ascii="Times New Roman" w:hAnsi="Times New Roman" w:cs="Times New Roman"/>
          <w:b/>
          <w:sz w:val="24"/>
          <w:szCs w:val="24"/>
        </w:rPr>
      </w:pPr>
    </w:p>
    <w:p w14:paraId="1F6DEBED" w14:textId="77777777" w:rsidR="00791F50" w:rsidRPr="0063258A" w:rsidRDefault="00791F50" w:rsidP="00C747A2">
      <w:pPr>
        <w:spacing w:before="240" w:line="360" w:lineRule="auto"/>
        <w:jc w:val="both"/>
        <w:rPr>
          <w:rFonts w:ascii="Times New Roman" w:hAnsi="Times New Roman" w:cs="Times New Roman"/>
          <w:b/>
          <w:sz w:val="24"/>
          <w:szCs w:val="24"/>
        </w:rPr>
      </w:pPr>
    </w:p>
    <w:p w14:paraId="5700A183" w14:textId="77777777" w:rsidR="00FD5663" w:rsidRPr="0063258A" w:rsidRDefault="0070782C" w:rsidP="00FD5663">
      <w:pPr>
        <w:spacing w:before="240" w:line="360" w:lineRule="auto"/>
        <w:jc w:val="both"/>
        <w:rPr>
          <w:rStyle w:val="Emphasis"/>
          <w:rFonts w:ascii="Times New Roman" w:hAnsi="Times New Roman" w:cs="Times New Roman"/>
          <w:b/>
          <w:i w:val="0"/>
          <w:iCs w:val="0"/>
          <w:sz w:val="24"/>
          <w:szCs w:val="24"/>
        </w:rPr>
      </w:pPr>
      <w:r>
        <w:rPr>
          <w:rFonts w:ascii="Times New Roman" w:hAnsi="Times New Roman" w:cs="Times New Roman"/>
          <w:b/>
          <w:sz w:val="24"/>
          <w:szCs w:val="24"/>
        </w:rPr>
        <w:t>BACKGROUND</w:t>
      </w:r>
    </w:p>
    <w:p w14:paraId="4E410431" w14:textId="77777777" w:rsidR="00791F50" w:rsidRPr="0063258A" w:rsidRDefault="00791F50" w:rsidP="00791F50">
      <w:pPr>
        <w:pStyle w:val="NormalWeb"/>
        <w:spacing w:after="0" w:afterAutospacing="0" w:line="360" w:lineRule="auto"/>
        <w:jc w:val="both"/>
      </w:pPr>
      <w:proofErr w:type="spellStart"/>
      <w:r w:rsidRPr="0063258A">
        <w:rPr>
          <w:rStyle w:val="Emphasis"/>
        </w:rPr>
        <w:lastRenderedPageBreak/>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(African walnut) is a climbing plant native to West Africa, widely valued in ethnomedicine for its nutritional and therapeutic benefits. Recent studies have demonstrated its antioxidant, anti-inflammatory, and antidiabetic properties, largely attributed to its rich composition of phenolic compounds, flavonoids, tannins, alkaloids, saponins, and essential vitamins (Anyanwu et al., 2020; </w:t>
      </w:r>
      <w:proofErr w:type="spellStart"/>
      <w:r w:rsidRPr="0063258A">
        <w:t>Odekunle</w:t>
      </w:r>
      <w:proofErr w:type="spellEnd"/>
      <w:r w:rsidRPr="0063258A">
        <w:t xml:space="preserve"> et al., 2024). These bioactive constituents are known to scavenge free radicals, protect cellular components from oxidative damage, and modulate metabolic processes.</w:t>
      </w:r>
    </w:p>
    <w:p w14:paraId="2F4AB154" w14:textId="01D23FF7" w:rsidR="00791F50" w:rsidRPr="0063258A" w:rsidRDefault="00791F50" w:rsidP="00791F50">
      <w:pPr>
        <w:pStyle w:val="NormalWeb"/>
        <w:spacing w:after="0" w:afterAutospacing="0" w:line="360" w:lineRule="auto"/>
        <w:jc w:val="both"/>
      </w:pPr>
      <w:r w:rsidRPr="0063258A">
        <w:t xml:space="preserve">Mercury exposure, especially in the form of mercuric chloride, remains a significant public health concern due to its potent cytotoxic and oxidative effects. </w:t>
      </w:r>
      <w:r w:rsidR="00DE1EE3">
        <w:t xml:space="preserve">Mercury can disrupt cellular redox balance, induce lipid peroxidation, impair enzymatic functions, and provoke inflammatory responses that contribute to dysfunction in vital organs, including the pancreas (Clarkson &amp; </w:t>
      </w:r>
      <w:proofErr w:type="spellStart"/>
      <w:r w:rsidR="00DE1EE3">
        <w:t>Magos</w:t>
      </w:r>
      <w:proofErr w:type="spellEnd"/>
      <w:r w:rsidR="00DE1EE3">
        <w:t>, 2006).</w:t>
      </w:r>
      <w:r w:rsidRPr="0063258A">
        <w:t>The pancreas, being essential for both endocrine and exocrine functions, is particularly susceptible to oxidative insults, which may result in impaired insulin secretion, disrupted glucose metabolism, and eventual pancreatic injury.</w:t>
      </w:r>
    </w:p>
    <w:p w14:paraId="5F81C213" w14:textId="42A92874" w:rsidR="00791F50" w:rsidRPr="0063258A" w:rsidRDefault="00791F50" w:rsidP="00791F50">
      <w:pPr>
        <w:pStyle w:val="NormalWeb"/>
        <w:spacing w:after="0" w:afterAutospacing="0" w:line="360" w:lineRule="auto"/>
        <w:jc w:val="both"/>
      </w:pPr>
      <w:r w:rsidRPr="0063258A">
        <w:t xml:space="preserve">While the ameliorative effects of </w:t>
      </w:r>
      <w:r w:rsidRPr="0063258A">
        <w:rPr>
          <w:rStyle w:val="Emphasis"/>
        </w:rPr>
        <w:t xml:space="preserve">T. </w:t>
      </w:r>
      <w:proofErr w:type="spellStart"/>
      <w:r w:rsidRPr="0063258A">
        <w:rPr>
          <w:rStyle w:val="Emphasis"/>
        </w:rPr>
        <w:t>conophorum</w:t>
      </w:r>
      <w:proofErr w:type="spellEnd"/>
      <w:r w:rsidRPr="0063258A">
        <w:t xml:space="preserve"> have been reported in models of hepatic, renal, and cardiovascular toxicity (Anyanwu et a</w:t>
      </w:r>
      <w:r w:rsidR="00B41A54">
        <w:t>l., 2020</w:t>
      </w:r>
      <w:r w:rsidRPr="0063258A">
        <w:t xml:space="preserve">), there is limited scientific evidence on its potential to mitigate mercury-induced pancreatic dysfunction. However, findings from antidiabetic models indicate that extracts from </w:t>
      </w:r>
      <w:r w:rsidRPr="0063258A">
        <w:rPr>
          <w:rStyle w:val="Emphasis"/>
        </w:rPr>
        <w:t xml:space="preserve">T. </w:t>
      </w:r>
      <w:proofErr w:type="spellStart"/>
      <w:r w:rsidRPr="0063258A">
        <w:rPr>
          <w:rStyle w:val="Emphasis"/>
        </w:rPr>
        <w:t>conophorum</w:t>
      </w:r>
      <w:proofErr w:type="spellEnd"/>
      <w:r w:rsidRPr="0063258A">
        <w:t xml:space="preserve"> can restore antioxidant enzyme levels, improve biochemical markers, and normalize glucose metabolism in Wistar rats, sometimes outperforming standard drugs like metformin (Kanu et al., 2020; </w:t>
      </w:r>
      <w:proofErr w:type="spellStart"/>
      <w:r w:rsidRPr="0063258A">
        <w:t>Odekunle</w:t>
      </w:r>
      <w:proofErr w:type="spellEnd"/>
      <w:r w:rsidRPr="0063258A">
        <w:t xml:space="preserve"> et al., 2024). These observations suggest a possible role for </w:t>
      </w:r>
      <w:r w:rsidRPr="0063258A">
        <w:rPr>
          <w:rStyle w:val="Emphasis"/>
        </w:rPr>
        <w:t xml:space="preserve">T. </w:t>
      </w:r>
      <w:proofErr w:type="spellStart"/>
      <w:r w:rsidRPr="0063258A">
        <w:rPr>
          <w:rStyle w:val="Emphasis"/>
        </w:rPr>
        <w:t>conophorum</w:t>
      </w:r>
      <w:proofErr w:type="spellEnd"/>
      <w:r w:rsidRPr="0063258A">
        <w:t xml:space="preserve"> in protecting pancreatic tissue from mercury toxicity.</w:t>
      </w:r>
    </w:p>
    <w:p w14:paraId="0FFF3596" w14:textId="77777777" w:rsidR="00791F50" w:rsidRPr="0063258A" w:rsidRDefault="00791F50" w:rsidP="00791F50">
      <w:pPr>
        <w:pStyle w:val="NormalWeb"/>
        <w:spacing w:after="0" w:afterAutospacing="0" w:line="360" w:lineRule="auto"/>
        <w:jc w:val="both"/>
      </w:pPr>
      <w:r w:rsidRPr="0063258A">
        <w:t>To comprehensively evaluate this potential, a multidisciplinary approach integrating toxicological assessment, molecular docking, and pharmacokinetic analysis is essential. In vivo toxicological studies in Wistar rats will assess the extract’s safety and efficacy, molecular docking will predict interactions between its bioactive compounds and molecular targets implicated in mercury-induced damage, and pharmacokinetic profiling will clarify its absorption, distribution, metabolism, and excretion patterns.</w:t>
      </w:r>
    </w:p>
    <w:p w14:paraId="4CB7776F" w14:textId="77777777" w:rsidR="008C21EC" w:rsidRPr="0063258A" w:rsidRDefault="00791F50" w:rsidP="00FD5663">
      <w:pPr>
        <w:pStyle w:val="NormalWeb"/>
        <w:spacing w:before="240" w:beforeAutospacing="0" w:after="0" w:afterAutospacing="0" w:line="360" w:lineRule="auto"/>
        <w:jc w:val="both"/>
      </w:pPr>
      <w:r w:rsidRPr="0063258A">
        <w:t xml:space="preserve">This study, therefore, aims to investigate the ameliorative effects of </w:t>
      </w:r>
      <w:r w:rsidRPr="0063258A">
        <w:rPr>
          <w:rStyle w:val="Emphasis"/>
        </w:rPr>
        <w:t xml:space="preserve">T. </w:t>
      </w:r>
      <w:proofErr w:type="spellStart"/>
      <w:r w:rsidRPr="0063258A">
        <w:rPr>
          <w:rStyle w:val="Emphasis"/>
        </w:rPr>
        <w:t>conophorum</w:t>
      </w:r>
      <w:proofErr w:type="spellEnd"/>
      <w:r w:rsidRPr="0063258A">
        <w:t xml:space="preserve"> on mercury-induced pancreatic dysfunction in adult Wistar rats through a combined toxicological, molecular </w:t>
      </w:r>
      <w:r w:rsidRPr="0063258A">
        <w:lastRenderedPageBreak/>
        <w:t>docking, and pharmacokinetic approach, thereby filling a critical gap in current research on plant-based interventions for heavy m</w:t>
      </w:r>
      <w:r w:rsidR="00FD5663" w:rsidRPr="0063258A">
        <w:t>etal-induced pancreatic injury.</w:t>
      </w:r>
    </w:p>
    <w:p w14:paraId="356DC327" w14:textId="23BABB7E" w:rsidR="00E30033" w:rsidRPr="00E30033" w:rsidRDefault="00E30033" w:rsidP="00E30033">
      <w:pPr>
        <w:rPr>
          <w:rFonts w:ascii="Times New Roman" w:hAnsi="Times New Roman" w:cs="Times New Roman"/>
          <w:b/>
          <w:sz w:val="24"/>
          <w:szCs w:val="24"/>
        </w:rPr>
      </w:pPr>
      <w:r w:rsidRPr="00E30033">
        <w:rPr>
          <w:rFonts w:ascii="Times New Roman" w:hAnsi="Times New Roman" w:cs="Times New Roman"/>
          <w:b/>
          <w:sz w:val="24"/>
          <w:szCs w:val="24"/>
        </w:rPr>
        <w:t>2 MATERIALS AND METHODS</w:t>
      </w:r>
    </w:p>
    <w:p w14:paraId="4EE4833D" w14:textId="77777777" w:rsidR="00687548" w:rsidRDefault="009A5C6D" w:rsidP="00687548">
      <w:pPr>
        <w:spacing w:line="240" w:lineRule="auto"/>
        <w:ind w:left="221"/>
        <w:jc w:val="both"/>
        <w:rPr>
          <w:rFonts w:ascii="Times New Roman" w:hAnsi="Times New Roman"/>
          <w:sz w:val="24"/>
          <w:szCs w:val="24"/>
        </w:rPr>
      </w:pPr>
      <w:r>
        <w:rPr>
          <w:rFonts w:ascii="Times New Roman" w:hAnsi="Times New Roman"/>
          <w:b/>
          <w:bCs/>
          <w:sz w:val="24"/>
          <w:szCs w:val="24"/>
        </w:rPr>
        <w:t xml:space="preserve">2.1 </w:t>
      </w:r>
      <w:r w:rsidR="00687548">
        <w:rPr>
          <w:rFonts w:ascii="Times New Roman" w:hAnsi="Times New Roman"/>
          <w:b/>
          <w:bCs/>
          <w:sz w:val="24"/>
          <w:szCs w:val="24"/>
        </w:rPr>
        <w:t>Materials</w:t>
      </w:r>
      <w:r w:rsidR="00687548">
        <w:rPr>
          <w:rFonts w:ascii="Times New Roman" w:hAnsi="Times New Roman"/>
          <w:sz w:val="24"/>
          <w:szCs w:val="24"/>
        </w:rPr>
        <w:t xml:space="preserve"> </w:t>
      </w:r>
    </w:p>
    <w:p w14:paraId="2F8B8D5C" w14:textId="77777777" w:rsidR="001A7FAC" w:rsidRDefault="00687548" w:rsidP="00687548">
      <w:pPr>
        <w:spacing w:before="240" w:after="240" w:line="240" w:lineRule="auto"/>
        <w:ind w:left="221"/>
        <w:rPr>
          <w:rFonts w:ascii="Times New Roman" w:hAnsi="Times New Roman" w:cs="Times New Roman"/>
          <w:sz w:val="24"/>
          <w:szCs w:val="24"/>
        </w:rPr>
      </w:pPr>
      <w:r>
        <w:rPr>
          <w:rFonts w:ascii="Times New Roman" w:hAnsi="Times New Roman"/>
          <w:sz w:val="24"/>
          <w:szCs w:val="24"/>
        </w:rPr>
        <w:t xml:space="preserve">1. </w:t>
      </w:r>
      <w:r w:rsidR="001A7FAC" w:rsidRPr="0063258A">
        <w:rPr>
          <w:rFonts w:ascii="Times New Roman" w:hAnsi="Times New Roman" w:cs="Times New Roman"/>
          <w:sz w:val="24"/>
          <w:szCs w:val="24"/>
        </w:rPr>
        <w:t>Twenty-five (25)</w:t>
      </w:r>
      <w:r w:rsidR="001A7FAC">
        <w:rPr>
          <w:rFonts w:ascii="Times New Roman" w:hAnsi="Times New Roman" w:cs="Times New Roman"/>
          <w:sz w:val="24"/>
          <w:szCs w:val="24"/>
        </w:rPr>
        <w:t xml:space="preserve"> male albino </w:t>
      </w:r>
      <w:proofErr w:type="spellStart"/>
      <w:r w:rsidR="001A7FAC">
        <w:rPr>
          <w:rFonts w:ascii="Times New Roman" w:hAnsi="Times New Roman" w:cs="Times New Roman"/>
          <w:sz w:val="24"/>
          <w:szCs w:val="24"/>
        </w:rPr>
        <w:t>w</w:t>
      </w:r>
      <w:r w:rsidR="001A7FAC" w:rsidRPr="0063258A">
        <w:rPr>
          <w:rFonts w:ascii="Times New Roman" w:hAnsi="Times New Roman" w:cs="Times New Roman"/>
          <w:sz w:val="24"/>
          <w:szCs w:val="24"/>
        </w:rPr>
        <w:t>istar</w:t>
      </w:r>
      <w:proofErr w:type="spellEnd"/>
      <w:r w:rsidR="001A7FAC" w:rsidRPr="0063258A">
        <w:rPr>
          <w:rFonts w:ascii="Times New Roman" w:hAnsi="Times New Roman" w:cs="Times New Roman"/>
          <w:sz w:val="24"/>
          <w:szCs w:val="24"/>
        </w:rPr>
        <w:t xml:space="preserve"> rats </w:t>
      </w:r>
    </w:p>
    <w:p w14:paraId="17BABFDE"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2. Latex medical hand gloves</w:t>
      </w:r>
    </w:p>
    <w:p w14:paraId="725F5906"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3. Standard cages</w:t>
      </w:r>
    </w:p>
    <w:p w14:paraId="4EE72FEB"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4. </w:t>
      </w:r>
      <w:r>
        <w:rPr>
          <w:rFonts w:ascii="Times New Roman" w:eastAsia="Times New Roman" w:hAnsi="Times New Roman"/>
          <w:color w:val="000000"/>
          <w:sz w:val="24"/>
          <w:szCs w:val="24"/>
        </w:rPr>
        <w:t xml:space="preserve">Vital feed rat chow </w:t>
      </w:r>
    </w:p>
    <w:p w14:paraId="16262437"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5. Animal weighing balance</w:t>
      </w:r>
    </w:p>
    <w:p w14:paraId="5047FD4A"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6. Measuring cylinder (Pyrex)</w:t>
      </w:r>
    </w:p>
    <w:p w14:paraId="74CCD945"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7. </w:t>
      </w:r>
      <w:r>
        <w:rPr>
          <w:rFonts w:ascii="Times New Roman" w:eastAsia="Times New Roman" w:hAnsi="Times New Roman"/>
          <w:color w:val="000000"/>
          <w:sz w:val="24"/>
          <w:szCs w:val="24"/>
        </w:rPr>
        <w:t>Paper tape and markers</w:t>
      </w:r>
    </w:p>
    <w:p w14:paraId="71B820A7"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8. </w:t>
      </w:r>
      <w:r>
        <w:rPr>
          <w:rFonts w:ascii="Times New Roman" w:eastAsia="Times New Roman" w:hAnsi="Times New Roman"/>
          <w:color w:val="000000"/>
          <w:sz w:val="24"/>
          <w:szCs w:val="24"/>
        </w:rPr>
        <w:t>Spectrophotometer (Shanghai Yoke Instrument Co., Ltd. China)</w:t>
      </w:r>
    </w:p>
    <w:p w14:paraId="3FC998C9"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9. Oral cannula</w:t>
      </w:r>
    </w:p>
    <w:p w14:paraId="33F72313"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10. Cotton wool</w:t>
      </w:r>
    </w:p>
    <w:p w14:paraId="2B095164"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11. Methylated spirit</w:t>
      </w:r>
    </w:p>
    <w:p w14:paraId="1F8439BA"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12. </w:t>
      </w:r>
      <w:r>
        <w:rPr>
          <w:rFonts w:ascii="Times New Roman" w:eastAsia="Times New Roman" w:hAnsi="Times New Roman"/>
          <w:color w:val="000000"/>
          <w:sz w:val="24"/>
          <w:szCs w:val="24"/>
        </w:rPr>
        <w:t>Needle and Syringes (2ml, 5ml)</w:t>
      </w:r>
    </w:p>
    <w:p w14:paraId="2EA76A97"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13. </w:t>
      </w:r>
      <w:r>
        <w:rPr>
          <w:rFonts w:ascii="Times New Roman" w:eastAsia="Times New Roman" w:hAnsi="Times New Roman"/>
          <w:color w:val="000000"/>
          <w:sz w:val="24"/>
          <w:szCs w:val="24"/>
        </w:rPr>
        <w:t>Spectrophotometer</w:t>
      </w:r>
      <w:r>
        <w:rPr>
          <w:rFonts w:ascii="Times New Roman" w:hAnsi="Times New Roman"/>
          <w:sz w:val="24"/>
          <w:szCs w:val="24"/>
        </w:rPr>
        <w:t xml:space="preserve"> </w:t>
      </w:r>
    </w:p>
    <w:p w14:paraId="67B0EA69"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14. Normal saline</w:t>
      </w:r>
    </w:p>
    <w:p w14:paraId="091DA9E5"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15. </w:t>
      </w:r>
      <w:proofErr w:type="spellStart"/>
      <w:r>
        <w:rPr>
          <w:rFonts w:ascii="Times New Roman" w:eastAsia="Times New Roman" w:hAnsi="Times New Roman"/>
          <w:color w:val="000000"/>
          <w:sz w:val="24"/>
          <w:szCs w:val="24"/>
        </w:rPr>
        <w:t>Penand</w:t>
      </w:r>
      <w:proofErr w:type="spellEnd"/>
      <w:r>
        <w:rPr>
          <w:rFonts w:ascii="Times New Roman" w:eastAsia="Times New Roman" w:hAnsi="Times New Roman"/>
          <w:color w:val="000000"/>
          <w:sz w:val="24"/>
          <w:szCs w:val="24"/>
        </w:rPr>
        <w:t xml:space="preserve"> Paper</w:t>
      </w:r>
      <w:r>
        <w:rPr>
          <w:rFonts w:ascii="Times New Roman" w:hAnsi="Times New Roman"/>
          <w:sz w:val="24"/>
          <w:szCs w:val="24"/>
        </w:rPr>
        <w:t xml:space="preserve"> </w:t>
      </w:r>
    </w:p>
    <w:p w14:paraId="520B714F"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16. </w:t>
      </w:r>
      <w:r w:rsidR="00097B8E" w:rsidRPr="0063258A">
        <w:rPr>
          <w:rFonts w:ascii="Times New Roman" w:hAnsi="Times New Roman" w:cs="Times New Roman"/>
          <w:color w:val="000000"/>
          <w:sz w:val="24"/>
          <w:szCs w:val="24"/>
          <w:shd w:val="clear" w:color="auto" w:fill="FFFFFF"/>
        </w:rPr>
        <w:t> </w:t>
      </w:r>
      <w:proofErr w:type="spellStart"/>
      <w:r w:rsidR="00097B8E" w:rsidRPr="0063258A">
        <w:rPr>
          <w:rStyle w:val="Emphasis"/>
          <w:rFonts w:ascii="Times New Roman" w:hAnsi="Times New Roman" w:cs="Times New Roman"/>
          <w:color w:val="000000"/>
          <w:sz w:val="24"/>
          <w:szCs w:val="24"/>
          <w:shd w:val="clear" w:color="auto" w:fill="FFFFFF"/>
        </w:rPr>
        <w:t>Tetracarpidium</w:t>
      </w:r>
      <w:proofErr w:type="spellEnd"/>
      <w:r w:rsidR="00097B8E" w:rsidRPr="0063258A">
        <w:rPr>
          <w:rStyle w:val="Emphasis"/>
          <w:rFonts w:ascii="Times New Roman" w:hAnsi="Times New Roman" w:cs="Times New Roman"/>
          <w:color w:val="000000"/>
          <w:sz w:val="24"/>
          <w:szCs w:val="24"/>
          <w:shd w:val="clear" w:color="auto" w:fill="FFFFFF"/>
        </w:rPr>
        <w:t xml:space="preserve"> </w:t>
      </w:r>
      <w:proofErr w:type="spellStart"/>
      <w:r w:rsidR="00097B8E" w:rsidRPr="0063258A">
        <w:rPr>
          <w:rStyle w:val="Emphasis"/>
          <w:rFonts w:ascii="Times New Roman" w:hAnsi="Times New Roman" w:cs="Times New Roman"/>
          <w:color w:val="000000"/>
          <w:sz w:val="24"/>
          <w:szCs w:val="24"/>
          <w:shd w:val="clear" w:color="auto" w:fill="FFFFFF"/>
        </w:rPr>
        <w:t>conophorum</w:t>
      </w:r>
      <w:proofErr w:type="spellEnd"/>
      <w:r w:rsidR="00097B8E" w:rsidRPr="0063258A">
        <w:rPr>
          <w:rStyle w:val="Emphasis"/>
          <w:rFonts w:ascii="Times New Roman" w:hAnsi="Times New Roman" w:cs="Times New Roman"/>
          <w:color w:val="000000"/>
          <w:sz w:val="24"/>
          <w:szCs w:val="24"/>
          <w:shd w:val="clear" w:color="auto" w:fill="FFFFFF"/>
        </w:rPr>
        <w:t xml:space="preserve"> </w:t>
      </w:r>
      <w:r w:rsidR="00097B8E">
        <w:rPr>
          <w:rFonts w:ascii="Times New Roman" w:eastAsia="Times New Roman" w:hAnsi="Times New Roman"/>
          <w:color w:val="000000"/>
          <w:sz w:val="24"/>
          <w:szCs w:val="24"/>
        </w:rPr>
        <w:t>Leaves</w:t>
      </w:r>
    </w:p>
    <w:p w14:paraId="1C06C99B"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17. </w:t>
      </w:r>
      <w:r>
        <w:rPr>
          <w:rFonts w:ascii="Times New Roman" w:eastAsia="Times New Roman" w:hAnsi="Times New Roman"/>
          <w:color w:val="000000"/>
          <w:sz w:val="24"/>
          <w:szCs w:val="24"/>
        </w:rPr>
        <w:t>Gavage and syringe</w:t>
      </w:r>
    </w:p>
    <w:p w14:paraId="4B70F3FC"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18. </w:t>
      </w:r>
      <w:r w:rsidR="002F7BA4">
        <w:rPr>
          <w:rFonts w:ascii="Times New Roman" w:eastAsia="Times New Roman" w:hAnsi="Times New Roman"/>
          <w:color w:val="000000"/>
          <w:sz w:val="24"/>
          <w:szCs w:val="24"/>
        </w:rPr>
        <w:t>EDTA</w:t>
      </w:r>
      <w:r>
        <w:rPr>
          <w:rFonts w:ascii="Times New Roman" w:eastAsia="Times New Roman" w:hAnsi="Times New Roman"/>
          <w:color w:val="000000"/>
          <w:sz w:val="24"/>
          <w:szCs w:val="24"/>
        </w:rPr>
        <w:t xml:space="preserve"> bottles</w:t>
      </w:r>
    </w:p>
    <w:p w14:paraId="474CD89F" w14:textId="77777777" w:rsidR="00687548" w:rsidRPr="00FD7B3B" w:rsidRDefault="00687548" w:rsidP="00FD7B3B">
      <w:pPr>
        <w:spacing w:before="240" w:after="240" w:line="240" w:lineRule="auto"/>
        <w:ind w:left="221"/>
        <w:rPr>
          <w:rFonts w:ascii="Times New Roman" w:hAnsi="Times New Roman"/>
          <w:sz w:val="24"/>
          <w:szCs w:val="24"/>
        </w:rPr>
      </w:pPr>
      <w:r>
        <w:rPr>
          <w:rFonts w:ascii="Times New Roman" w:hAnsi="Times New Roman"/>
          <w:sz w:val="24"/>
          <w:szCs w:val="24"/>
        </w:rPr>
        <w:t xml:space="preserve">19. </w:t>
      </w:r>
      <w:r w:rsidR="00097B8E">
        <w:rPr>
          <w:rFonts w:ascii="Times New Roman" w:eastAsia="Times New Roman" w:hAnsi="Times New Roman"/>
          <w:color w:val="000000"/>
          <w:sz w:val="24"/>
          <w:szCs w:val="24"/>
        </w:rPr>
        <w:t>Whatman no.1 filter paper</w:t>
      </w:r>
    </w:p>
    <w:p w14:paraId="6A1F2FF0" w14:textId="77777777" w:rsidR="00C747A2" w:rsidRPr="0063258A" w:rsidRDefault="009A5C6D" w:rsidP="00C747A2">
      <w:pPr>
        <w:autoSpaceDE w:val="0"/>
        <w:autoSpaceDN w:val="0"/>
        <w:adjustRightInd w:val="0"/>
        <w:spacing w:before="24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2.2 </w:t>
      </w:r>
      <w:r w:rsidR="00C747A2" w:rsidRPr="0063258A">
        <w:rPr>
          <w:rFonts w:ascii="Times New Roman" w:hAnsi="Times New Roman" w:cs="Times New Roman"/>
          <w:b/>
          <w:i/>
          <w:sz w:val="24"/>
          <w:szCs w:val="24"/>
        </w:rPr>
        <w:t>In-vivo studies</w:t>
      </w:r>
    </w:p>
    <w:p w14:paraId="497F04C5"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Sample collection and </w:t>
      </w:r>
      <w:r w:rsidR="00B17E38" w:rsidRPr="0063258A">
        <w:rPr>
          <w:rFonts w:ascii="Times New Roman" w:hAnsi="Times New Roman" w:cs="Times New Roman"/>
          <w:b/>
          <w:sz w:val="24"/>
          <w:szCs w:val="24"/>
        </w:rPr>
        <w:t>Extraction</w:t>
      </w:r>
      <w:r w:rsidRPr="0063258A">
        <w:rPr>
          <w:rFonts w:ascii="Times New Roman" w:hAnsi="Times New Roman" w:cs="Times New Roman"/>
          <w:b/>
          <w:sz w:val="24"/>
          <w:szCs w:val="24"/>
        </w:rPr>
        <w:t xml:space="preserve"> </w:t>
      </w:r>
    </w:p>
    <w:p w14:paraId="28E6D9B3" w14:textId="77777777" w:rsidR="00C747A2" w:rsidRPr="0063258A" w:rsidRDefault="00B17E38" w:rsidP="00C747A2">
      <w:pPr>
        <w:autoSpaceDE w:val="0"/>
        <w:autoSpaceDN w:val="0"/>
        <w:adjustRightInd w:val="0"/>
        <w:spacing w:before="240" w:line="360" w:lineRule="auto"/>
        <w:jc w:val="both"/>
        <w:rPr>
          <w:rFonts w:ascii="Times New Roman" w:hAnsi="Times New Roman" w:cs="Times New Roman"/>
          <w:sz w:val="24"/>
          <w:szCs w:val="24"/>
        </w:rPr>
      </w:pPr>
      <w:r w:rsidRPr="0063258A">
        <w:rPr>
          <w:rFonts w:ascii="Times New Roman" w:hAnsi="Times New Roman" w:cs="Times New Roman"/>
          <w:color w:val="000000"/>
          <w:sz w:val="24"/>
          <w:szCs w:val="24"/>
          <w:shd w:val="clear" w:color="auto" w:fill="FFFFFF"/>
        </w:rPr>
        <w:lastRenderedPageBreak/>
        <w:t>Fresh leaves of </w:t>
      </w:r>
      <w:proofErr w:type="spellStart"/>
      <w:r w:rsidRPr="0063258A">
        <w:rPr>
          <w:rStyle w:val="Emphasis"/>
          <w:rFonts w:ascii="Times New Roman" w:hAnsi="Times New Roman" w:cs="Times New Roman"/>
          <w:color w:val="000000"/>
          <w:sz w:val="24"/>
          <w:szCs w:val="24"/>
          <w:shd w:val="clear" w:color="auto" w:fill="FFFFFF"/>
        </w:rPr>
        <w:t>Tetracarpidium</w:t>
      </w:r>
      <w:proofErr w:type="spellEnd"/>
      <w:r w:rsidRPr="0063258A">
        <w:rPr>
          <w:rStyle w:val="Emphasis"/>
          <w:rFonts w:ascii="Times New Roman" w:hAnsi="Times New Roman" w:cs="Times New Roman"/>
          <w:color w:val="000000"/>
          <w:sz w:val="24"/>
          <w:szCs w:val="24"/>
          <w:shd w:val="clear" w:color="auto" w:fill="FFFFFF"/>
        </w:rPr>
        <w:t xml:space="preserve"> </w:t>
      </w:r>
      <w:proofErr w:type="spellStart"/>
      <w:r w:rsidRPr="0063258A">
        <w:rPr>
          <w:rStyle w:val="Emphasis"/>
          <w:rFonts w:ascii="Times New Roman" w:hAnsi="Times New Roman" w:cs="Times New Roman"/>
          <w:color w:val="000000"/>
          <w:sz w:val="24"/>
          <w:szCs w:val="24"/>
          <w:shd w:val="clear" w:color="auto" w:fill="FFFFFF"/>
        </w:rPr>
        <w:t>conophorum</w:t>
      </w:r>
      <w:proofErr w:type="spellEnd"/>
      <w:r w:rsidRPr="0063258A">
        <w:rPr>
          <w:rStyle w:val="Emphasis"/>
          <w:rFonts w:ascii="Times New Roman" w:hAnsi="Times New Roman" w:cs="Times New Roman"/>
          <w:color w:val="000000"/>
          <w:sz w:val="24"/>
          <w:szCs w:val="24"/>
          <w:shd w:val="clear" w:color="auto" w:fill="FFFFFF"/>
        </w:rPr>
        <w:t xml:space="preserve"> </w:t>
      </w:r>
      <w:r w:rsidRPr="0063258A">
        <w:rPr>
          <w:rFonts w:ascii="Times New Roman" w:hAnsi="Times New Roman" w:cs="Times New Roman"/>
          <w:color w:val="000000"/>
          <w:sz w:val="24"/>
          <w:szCs w:val="24"/>
          <w:shd w:val="clear" w:color="auto" w:fill="FFFFFF"/>
        </w:rPr>
        <w:t xml:space="preserve">were collected from the premises of Chukwuemeka </w:t>
      </w:r>
      <w:proofErr w:type="spellStart"/>
      <w:r w:rsidRPr="0063258A">
        <w:rPr>
          <w:rFonts w:ascii="Times New Roman" w:hAnsi="Times New Roman" w:cs="Times New Roman"/>
          <w:color w:val="000000"/>
          <w:sz w:val="24"/>
          <w:szCs w:val="24"/>
          <w:shd w:val="clear" w:color="auto" w:fill="FFFFFF"/>
        </w:rPr>
        <w:t>Odumegwu</w:t>
      </w:r>
      <w:proofErr w:type="spellEnd"/>
      <w:r w:rsidRPr="0063258A">
        <w:rPr>
          <w:rFonts w:ascii="Times New Roman" w:hAnsi="Times New Roman" w:cs="Times New Roman"/>
          <w:color w:val="000000"/>
          <w:sz w:val="24"/>
          <w:szCs w:val="24"/>
          <w:shd w:val="clear" w:color="auto" w:fill="FFFFFF"/>
        </w:rPr>
        <w:t xml:space="preserve"> Ojukwu University. </w:t>
      </w:r>
      <w:r w:rsidRPr="0063258A">
        <w:rPr>
          <w:rFonts w:ascii="Times New Roman" w:hAnsi="Times New Roman" w:cs="Times New Roman"/>
          <w:sz w:val="24"/>
          <w:szCs w:val="24"/>
        </w:rPr>
        <w:t>The leaves were plucked and shade dried, then ground to powder using mortar and pestle.</w:t>
      </w:r>
      <w:r w:rsidR="00C747A2" w:rsidRPr="0063258A">
        <w:rPr>
          <w:rFonts w:ascii="Times New Roman" w:hAnsi="Times New Roman" w:cs="Times New Roman"/>
          <w:sz w:val="24"/>
          <w:szCs w:val="24"/>
        </w:rPr>
        <w:t xml:space="preserve"> 250g of the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00C747A2" w:rsidRPr="0063258A">
        <w:rPr>
          <w:rFonts w:ascii="Times New Roman" w:hAnsi="Times New Roman" w:cs="Times New Roman"/>
          <w:sz w:val="24"/>
          <w:szCs w:val="24"/>
        </w:rPr>
        <w:t xml:space="preserve"> were macerated in 1000 </w:t>
      </w:r>
      <w:proofErr w:type="spellStart"/>
      <w:r w:rsidR="00C747A2" w:rsidRPr="0063258A">
        <w:rPr>
          <w:rFonts w:ascii="Times New Roman" w:hAnsi="Times New Roman" w:cs="Times New Roman"/>
          <w:sz w:val="24"/>
          <w:szCs w:val="24"/>
        </w:rPr>
        <w:t>mls</w:t>
      </w:r>
      <w:proofErr w:type="spellEnd"/>
      <w:r w:rsidR="00C747A2" w:rsidRPr="0063258A">
        <w:rPr>
          <w:rFonts w:ascii="Times New Roman" w:hAnsi="Times New Roman" w:cs="Times New Roman"/>
          <w:sz w:val="24"/>
          <w:szCs w:val="24"/>
        </w:rPr>
        <w:t xml:space="preserve"> of 95% ethanol for 48hours. It was then filtered using a porcelain cloth and further filtration using Whatman No 1 filter paper. The filtrate was concentrated using a rotatory evaporator, which was further dried using a laboratory oven at 45˚C into a gel-like form. The extract was preserved in a r</w:t>
      </w:r>
      <w:r w:rsidR="00FD5663" w:rsidRPr="0063258A">
        <w:rPr>
          <w:rFonts w:ascii="Times New Roman" w:hAnsi="Times New Roman" w:cs="Times New Roman"/>
          <w:sz w:val="24"/>
          <w:szCs w:val="24"/>
        </w:rPr>
        <w:t xml:space="preserve">efrigerator for further usage. </w:t>
      </w:r>
    </w:p>
    <w:p w14:paraId="3B3A8397"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Experimental Animal Care and Handling </w:t>
      </w:r>
    </w:p>
    <w:p w14:paraId="4ED71058" w14:textId="77777777" w:rsidR="00C747A2" w:rsidRPr="0063258A" w:rsidRDefault="00B17E38" w:rsidP="00C747A2">
      <w:pPr>
        <w:autoSpaceDE w:val="0"/>
        <w:autoSpaceDN w:val="0"/>
        <w:adjustRightInd w:val="0"/>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Twenty-five (25)</w:t>
      </w:r>
      <w:r w:rsidR="00C747A2" w:rsidRPr="0063258A">
        <w:rPr>
          <w:rFonts w:ascii="Times New Roman" w:hAnsi="Times New Roman" w:cs="Times New Roman"/>
          <w:sz w:val="24"/>
          <w:szCs w:val="24"/>
        </w:rPr>
        <w:t xml:space="preserve"> male albino Wistar rats (</w:t>
      </w:r>
      <w:r w:rsidR="00C747A2" w:rsidRPr="0063258A">
        <w:rPr>
          <w:rFonts w:ascii="Times New Roman" w:hAnsi="Times New Roman" w:cs="Times New Roman"/>
          <w:i/>
          <w:sz w:val="24"/>
          <w:szCs w:val="24"/>
        </w:rPr>
        <w:t>Rattus norvegicus</w:t>
      </w:r>
      <w:r w:rsidR="00C747A2" w:rsidRPr="0063258A">
        <w:rPr>
          <w:rFonts w:ascii="Times New Roman" w:hAnsi="Times New Roman" w:cs="Times New Roman"/>
          <w:sz w:val="24"/>
          <w:szCs w:val="24"/>
        </w:rPr>
        <w:t xml:space="preserve">) weighing between the ranges of 160-250g, were obtained from </w:t>
      </w:r>
      <w:proofErr w:type="spellStart"/>
      <w:r w:rsidR="00C747A2" w:rsidRPr="0063258A">
        <w:rPr>
          <w:rFonts w:ascii="Times New Roman" w:hAnsi="Times New Roman" w:cs="Times New Roman"/>
          <w:sz w:val="24"/>
          <w:szCs w:val="24"/>
        </w:rPr>
        <w:t>Iyke</w:t>
      </w:r>
      <w:proofErr w:type="spellEnd"/>
      <w:r w:rsidR="00C747A2" w:rsidRPr="0063258A">
        <w:rPr>
          <w:rFonts w:ascii="Times New Roman" w:hAnsi="Times New Roman" w:cs="Times New Roman"/>
          <w:sz w:val="24"/>
          <w:szCs w:val="24"/>
        </w:rPr>
        <w:t xml:space="preserve"> Animal farm, located at Nnewi Anambra state, and were bred in the experimental house of Basic Medical Sciences (BAMSSA), Chukwuemeka </w:t>
      </w:r>
      <w:proofErr w:type="spellStart"/>
      <w:r w:rsidR="00C747A2" w:rsidRPr="0063258A">
        <w:rPr>
          <w:rFonts w:ascii="Times New Roman" w:hAnsi="Times New Roman" w:cs="Times New Roman"/>
          <w:sz w:val="24"/>
          <w:szCs w:val="24"/>
        </w:rPr>
        <w:t>Odumegwu</w:t>
      </w:r>
      <w:proofErr w:type="spellEnd"/>
      <w:r w:rsidR="00C747A2" w:rsidRPr="0063258A">
        <w:rPr>
          <w:rFonts w:ascii="Times New Roman" w:hAnsi="Times New Roman" w:cs="Times New Roman"/>
          <w:sz w:val="24"/>
          <w:szCs w:val="24"/>
        </w:rPr>
        <w:t xml:space="preserve"> Ojukwu University, </w:t>
      </w:r>
      <w:proofErr w:type="spellStart"/>
      <w:r w:rsidR="00C747A2" w:rsidRPr="0063258A">
        <w:rPr>
          <w:rFonts w:ascii="Times New Roman" w:hAnsi="Times New Roman" w:cs="Times New Roman"/>
          <w:sz w:val="24"/>
          <w:szCs w:val="24"/>
        </w:rPr>
        <w:t>Uli</w:t>
      </w:r>
      <w:proofErr w:type="spellEnd"/>
      <w:r w:rsidR="00C747A2" w:rsidRPr="0063258A">
        <w:rPr>
          <w:rFonts w:ascii="Times New Roman" w:hAnsi="Times New Roman" w:cs="Times New Roman"/>
          <w:sz w:val="24"/>
          <w:szCs w:val="24"/>
        </w:rPr>
        <w:t xml:space="preserve"> Campus where the rats were acclimatize</w:t>
      </w:r>
      <w:r w:rsidRPr="0063258A">
        <w:rPr>
          <w:rFonts w:ascii="Times New Roman" w:hAnsi="Times New Roman" w:cs="Times New Roman"/>
          <w:sz w:val="24"/>
          <w:szCs w:val="24"/>
        </w:rPr>
        <w:t>d</w:t>
      </w:r>
      <w:r w:rsidR="00C747A2" w:rsidRPr="0063258A">
        <w:rPr>
          <w:rFonts w:ascii="Times New Roman" w:hAnsi="Times New Roman" w:cs="Times New Roman"/>
          <w:sz w:val="24"/>
          <w:szCs w:val="24"/>
        </w:rPr>
        <w:t xml:space="preserve"> for two weeks. Grower mesh (sander feeds) and tap water was provided throughout the experimental period. </w:t>
      </w:r>
    </w:p>
    <w:p w14:paraId="2B9AEDAA"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bCs/>
          <w:sz w:val="24"/>
          <w:szCs w:val="24"/>
        </w:rPr>
      </w:pPr>
      <w:r w:rsidRPr="0063258A">
        <w:rPr>
          <w:rFonts w:ascii="Times New Roman" w:hAnsi="Times New Roman" w:cs="Times New Roman"/>
          <w:b/>
          <w:bCs/>
          <w:sz w:val="24"/>
          <w:szCs w:val="24"/>
        </w:rPr>
        <w:t xml:space="preserve">Induction of </w:t>
      </w:r>
      <w:r w:rsidR="00A23421" w:rsidRPr="0063258A">
        <w:rPr>
          <w:rFonts w:ascii="Times New Roman" w:hAnsi="Times New Roman" w:cs="Times New Roman"/>
          <w:b/>
          <w:bCs/>
          <w:sz w:val="24"/>
          <w:szCs w:val="24"/>
        </w:rPr>
        <w:t>Mercury chloride</w:t>
      </w:r>
      <w:r w:rsidRPr="0063258A">
        <w:rPr>
          <w:rFonts w:ascii="Times New Roman" w:hAnsi="Times New Roman" w:cs="Times New Roman"/>
          <w:b/>
          <w:bCs/>
          <w:sz w:val="24"/>
          <w:szCs w:val="24"/>
        </w:rPr>
        <w:t xml:space="preserve"> and Administration of Plant extract</w:t>
      </w:r>
    </w:p>
    <w:p w14:paraId="719C6999" w14:textId="77777777" w:rsidR="001B4A50" w:rsidRPr="0063258A" w:rsidRDefault="00C747A2" w:rsidP="00C747A2">
      <w:pPr>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weights of the rats were measured prior to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and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 administration. They were divided into five groups (A, B, C, D, E) of 5 rats each. Based on their weight</w:t>
      </w:r>
      <w:r w:rsidR="00A23421" w:rsidRPr="0063258A">
        <w:rPr>
          <w:rFonts w:ascii="Times New Roman" w:hAnsi="Times New Roman" w:cs="Times New Roman"/>
          <w:sz w:val="24"/>
          <w:szCs w:val="24"/>
        </w:rPr>
        <w:t>s, group A (control) measures 12</w:t>
      </w:r>
      <w:r w:rsidRPr="0063258A">
        <w:rPr>
          <w:rFonts w:ascii="Times New Roman" w:hAnsi="Times New Roman" w:cs="Times New Roman"/>
          <w:sz w:val="24"/>
          <w:szCs w:val="24"/>
        </w:rPr>
        <w:t>0g, group B measures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only) </w:t>
      </w:r>
      <w:r w:rsidR="00A23421" w:rsidRPr="0063258A">
        <w:rPr>
          <w:rFonts w:ascii="Times New Roman" w:hAnsi="Times New Roman" w:cs="Times New Roman"/>
          <w:sz w:val="24"/>
          <w:szCs w:val="24"/>
        </w:rPr>
        <w:t>130</w:t>
      </w:r>
      <w:r w:rsidRPr="0063258A">
        <w:rPr>
          <w:rFonts w:ascii="Times New Roman" w:hAnsi="Times New Roman" w:cs="Times New Roman"/>
          <w:sz w:val="24"/>
          <w:szCs w:val="24"/>
        </w:rPr>
        <w:t xml:space="preserve">g, </w:t>
      </w:r>
      <w:r w:rsidR="00A23421" w:rsidRPr="0063258A">
        <w:rPr>
          <w:rFonts w:ascii="Times New Roman" w:hAnsi="Times New Roman" w:cs="Times New Roman"/>
          <w:sz w:val="24"/>
          <w:szCs w:val="24"/>
        </w:rPr>
        <w:t>group C (low dosage) measures 125</w:t>
      </w:r>
      <w:r w:rsidRPr="0063258A">
        <w:rPr>
          <w:rFonts w:ascii="Times New Roman" w:hAnsi="Times New Roman" w:cs="Times New Roman"/>
          <w:sz w:val="24"/>
          <w:szCs w:val="24"/>
        </w:rPr>
        <w:t>g, group D (mid dosage)</w:t>
      </w:r>
      <w:r w:rsidR="00A23421" w:rsidRPr="0063258A">
        <w:rPr>
          <w:rFonts w:ascii="Times New Roman" w:hAnsi="Times New Roman" w:cs="Times New Roman"/>
          <w:sz w:val="24"/>
          <w:szCs w:val="24"/>
        </w:rPr>
        <w:t xml:space="preserve"> measures 140</w:t>
      </w:r>
      <w:r w:rsidRPr="0063258A">
        <w:rPr>
          <w:rFonts w:ascii="Times New Roman" w:hAnsi="Times New Roman" w:cs="Times New Roman"/>
          <w:sz w:val="24"/>
          <w:szCs w:val="24"/>
        </w:rPr>
        <w:t>g, gr</w:t>
      </w:r>
      <w:r w:rsidR="00A23421" w:rsidRPr="0063258A">
        <w:rPr>
          <w:rFonts w:ascii="Times New Roman" w:hAnsi="Times New Roman" w:cs="Times New Roman"/>
          <w:sz w:val="24"/>
          <w:szCs w:val="24"/>
        </w:rPr>
        <w:t>oup E (high dosage) measures 150</w:t>
      </w:r>
      <w:r w:rsidRPr="0063258A">
        <w:rPr>
          <w:rFonts w:ascii="Times New Roman" w:hAnsi="Times New Roman" w:cs="Times New Roman"/>
          <w:sz w:val="24"/>
          <w:szCs w:val="24"/>
        </w:rPr>
        <w:t xml:space="preserve">g. Pancreas oxidative damage was induced into the rats at a dose relative to their body weight, (Theophile, 2006). The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was induced through intraperitoneal route and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 was administered for three weeks through oral route according to</w:t>
      </w:r>
      <w:r w:rsidR="00A23421" w:rsidRPr="0063258A">
        <w:rPr>
          <w:rFonts w:ascii="Times New Roman" w:hAnsi="Times New Roman" w:cs="Times New Roman"/>
          <w:sz w:val="24"/>
          <w:szCs w:val="24"/>
        </w:rPr>
        <w:t xml:space="preserve"> the experimental design below:</w:t>
      </w:r>
    </w:p>
    <w:p w14:paraId="188C006E"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Table 1:</w:t>
      </w:r>
      <w:r w:rsidRPr="0063258A">
        <w:rPr>
          <w:rFonts w:ascii="Times New Roman" w:hAnsi="Times New Roman" w:cs="Times New Roman"/>
          <w:sz w:val="24"/>
          <w:szCs w:val="24"/>
        </w:rPr>
        <w:t xml:space="preserve"> </w:t>
      </w:r>
      <w:r w:rsidRPr="0063258A">
        <w:rPr>
          <w:rFonts w:ascii="Times New Roman" w:hAnsi="Times New Roman" w:cs="Times New Roman"/>
          <w:b/>
          <w:sz w:val="24"/>
          <w:szCs w:val="24"/>
        </w:rPr>
        <w:t>Experimental Design</w:t>
      </w:r>
    </w:p>
    <w:tbl>
      <w:tblPr>
        <w:tblStyle w:val="TableGrid"/>
        <w:tblW w:w="9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990"/>
        <w:gridCol w:w="5760"/>
      </w:tblGrid>
      <w:tr w:rsidR="00C747A2" w:rsidRPr="0063258A" w14:paraId="4A8906DF" w14:textId="77777777" w:rsidTr="001B4A50">
        <w:trPr>
          <w:trHeight w:val="476"/>
        </w:trPr>
        <w:tc>
          <w:tcPr>
            <w:tcW w:w="2970" w:type="dxa"/>
            <w:tcBorders>
              <w:top w:val="single" w:sz="4" w:space="0" w:color="auto"/>
              <w:bottom w:val="single" w:sz="4" w:space="0" w:color="auto"/>
            </w:tcBorders>
          </w:tcPr>
          <w:p w14:paraId="4DF93A87" w14:textId="77777777" w:rsidR="00C747A2" w:rsidRPr="0063258A" w:rsidRDefault="00C747A2" w:rsidP="008C21EC">
            <w:pPr>
              <w:jc w:val="both"/>
              <w:rPr>
                <w:rFonts w:ascii="Times New Roman" w:hAnsi="Times New Roman" w:cs="Times New Roman"/>
                <w:b/>
                <w:sz w:val="24"/>
                <w:szCs w:val="24"/>
              </w:rPr>
            </w:pPr>
            <w:r w:rsidRPr="0063258A">
              <w:rPr>
                <w:rFonts w:ascii="Times New Roman" w:hAnsi="Times New Roman" w:cs="Times New Roman"/>
                <w:b/>
                <w:sz w:val="24"/>
                <w:szCs w:val="24"/>
              </w:rPr>
              <w:t>Groups</w:t>
            </w:r>
          </w:p>
        </w:tc>
        <w:tc>
          <w:tcPr>
            <w:tcW w:w="990" w:type="dxa"/>
            <w:tcBorders>
              <w:top w:val="single" w:sz="4" w:space="0" w:color="auto"/>
              <w:bottom w:val="single" w:sz="4" w:space="0" w:color="auto"/>
            </w:tcBorders>
          </w:tcPr>
          <w:p w14:paraId="6D471A37" w14:textId="77777777" w:rsidR="00C747A2" w:rsidRPr="0063258A" w:rsidRDefault="00C747A2" w:rsidP="008C21EC">
            <w:pPr>
              <w:jc w:val="both"/>
              <w:rPr>
                <w:rFonts w:ascii="Times New Roman" w:hAnsi="Times New Roman" w:cs="Times New Roman"/>
                <w:b/>
                <w:sz w:val="24"/>
                <w:szCs w:val="24"/>
              </w:rPr>
            </w:pPr>
            <w:r w:rsidRPr="0063258A">
              <w:rPr>
                <w:rFonts w:ascii="Times New Roman" w:hAnsi="Times New Roman" w:cs="Times New Roman"/>
                <w:b/>
                <w:sz w:val="24"/>
                <w:szCs w:val="24"/>
              </w:rPr>
              <w:t xml:space="preserve">No. of rats </w:t>
            </w:r>
          </w:p>
        </w:tc>
        <w:tc>
          <w:tcPr>
            <w:tcW w:w="5760" w:type="dxa"/>
            <w:tcBorders>
              <w:top w:val="single" w:sz="4" w:space="0" w:color="auto"/>
              <w:bottom w:val="single" w:sz="4" w:space="0" w:color="auto"/>
            </w:tcBorders>
          </w:tcPr>
          <w:p w14:paraId="5BC5B3A1" w14:textId="77777777" w:rsidR="00C747A2" w:rsidRPr="0063258A" w:rsidRDefault="00C747A2" w:rsidP="008C21EC">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Treatment dose </w:t>
            </w:r>
          </w:p>
        </w:tc>
      </w:tr>
      <w:tr w:rsidR="00C747A2" w:rsidRPr="0063258A" w14:paraId="38B57195" w14:textId="77777777" w:rsidTr="001B4A50">
        <w:trPr>
          <w:trHeight w:val="413"/>
        </w:trPr>
        <w:tc>
          <w:tcPr>
            <w:tcW w:w="2970" w:type="dxa"/>
            <w:tcBorders>
              <w:top w:val="single" w:sz="4" w:space="0" w:color="auto"/>
            </w:tcBorders>
          </w:tcPr>
          <w:p w14:paraId="05D97B9F"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Group A (control) </w:t>
            </w:r>
          </w:p>
        </w:tc>
        <w:tc>
          <w:tcPr>
            <w:tcW w:w="990" w:type="dxa"/>
            <w:tcBorders>
              <w:top w:val="single" w:sz="4" w:space="0" w:color="auto"/>
            </w:tcBorders>
          </w:tcPr>
          <w:p w14:paraId="036837BD"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Borders>
              <w:top w:val="single" w:sz="4" w:space="0" w:color="auto"/>
            </w:tcBorders>
          </w:tcPr>
          <w:p w14:paraId="502F113F"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Feed + water </w:t>
            </w:r>
          </w:p>
        </w:tc>
      </w:tr>
      <w:tr w:rsidR="00C747A2" w:rsidRPr="0063258A" w14:paraId="1461E772" w14:textId="77777777" w:rsidTr="001B4A50">
        <w:trPr>
          <w:trHeight w:val="279"/>
        </w:trPr>
        <w:tc>
          <w:tcPr>
            <w:tcW w:w="2970" w:type="dxa"/>
          </w:tcPr>
          <w:p w14:paraId="23D336D9"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B (Toxicity model)</w:t>
            </w:r>
          </w:p>
        </w:tc>
        <w:tc>
          <w:tcPr>
            <w:tcW w:w="990" w:type="dxa"/>
          </w:tcPr>
          <w:p w14:paraId="78EBF4E0"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0F1E319C"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p>
        </w:tc>
      </w:tr>
      <w:tr w:rsidR="00C747A2" w:rsidRPr="0063258A" w14:paraId="1A5A13B9" w14:textId="77777777" w:rsidTr="001B4A50">
        <w:trPr>
          <w:trHeight w:val="351"/>
        </w:trPr>
        <w:tc>
          <w:tcPr>
            <w:tcW w:w="2970" w:type="dxa"/>
          </w:tcPr>
          <w:p w14:paraId="0AF8B59E"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C (Treatment)</w:t>
            </w:r>
          </w:p>
        </w:tc>
        <w:tc>
          <w:tcPr>
            <w:tcW w:w="990" w:type="dxa"/>
          </w:tcPr>
          <w:p w14:paraId="025C2088"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2358A260"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+ 0.2 ml of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w:t>
            </w:r>
          </w:p>
        </w:tc>
      </w:tr>
      <w:tr w:rsidR="00C747A2" w:rsidRPr="0063258A" w14:paraId="28C70297" w14:textId="77777777" w:rsidTr="001B4A50">
        <w:trPr>
          <w:trHeight w:val="288"/>
        </w:trPr>
        <w:tc>
          <w:tcPr>
            <w:tcW w:w="2970" w:type="dxa"/>
          </w:tcPr>
          <w:p w14:paraId="0CB35855"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lastRenderedPageBreak/>
              <w:t>Group D (Treatment)</w:t>
            </w:r>
          </w:p>
        </w:tc>
        <w:tc>
          <w:tcPr>
            <w:tcW w:w="990" w:type="dxa"/>
          </w:tcPr>
          <w:p w14:paraId="57506A3A"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4308197F"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+ 0.4 ml of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w:t>
            </w:r>
          </w:p>
        </w:tc>
      </w:tr>
      <w:tr w:rsidR="00C747A2" w:rsidRPr="0063258A" w14:paraId="47C4ECFE" w14:textId="77777777" w:rsidTr="001B4A50">
        <w:trPr>
          <w:trHeight w:val="351"/>
        </w:trPr>
        <w:tc>
          <w:tcPr>
            <w:tcW w:w="2970" w:type="dxa"/>
          </w:tcPr>
          <w:p w14:paraId="75BB3272"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E (Treatment)</w:t>
            </w:r>
          </w:p>
        </w:tc>
        <w:tc>
          <w:tcPr>
            <w:tcW w:w="990" w:type="dxa"/>
          </w:tcPr>
          <w:p w14:paraId="298B2638"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5A45EDE9"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+ 0.6 ml of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w:t>
            </w:r>
          </w:p>
        </w:tc>
      </w:tr>
    </w:tbl>
    <w:p w14:paraId="68C4B4F2"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Collection of Blood samples and extraction of organs</w:t>
      </w:r>
    </w:p>
    <w:p w14:paraId="5D5E9E99" w14:textId="77777777" w:rsidR="00C747A2" w:rsidRDefault="00C747A2" w:rsidP="00C747A2">
      <w:pPr>
        <w:autoSpaceDE w:val="0"/>
        <w:autoSpaceDN w:val="0"/>
        <w:adjustRightInd w:val="0"/>
        <w:spacing w:before="240" w:line="360" w:lineRule="auto"/>
        <w:jc w:val="both"/>
        <w:rPr>
          <w:rFonts w:ascii="Times New Roman" w:hAnsi="Times New Roman" w:cs="Times New Roman"/>
          <w:bCs/>
          <w:sz w:val="24"/>
          <w:szCs w:val="24"/>
        </w:rPr>
      </w:pPr>
      <w:r w:rsidRPr="0063258A">
        <w:rPr>
          <w:rFonts w:ascii="Times New Roman" w:hAnsi="Times New Roman" w:cs="Times New Roman"/>
          <w:sz w:val="24"/>
          <w:szCs w:val="24"/>
        </w:rPr>
        <w:t xml:space="preserve">The weight of each rat was weighed using weighing scale and will be recorded according to group and labelled. On the last day of the experiment the animals were anesthetized using </w:t>
      </w:r>
      <w:r w:rsidRPr="0063258A">
        <w:rPr>
          <w:rFonts w:ascii="Times New Roman" w:hAnsi="Times New Roman" w:cs="Times New Roman"/>
          <w:bCs/>
          <w:sz w:val="24"/>
          <w:szCs w:val="24"/>
        </w:rPr>
        <w:t>40mg/kg</w:t>
      </w:r>
      <w:r w:rsidRPr="0063258A">
        <w:rPr>
          <w:rFonts w:ascii="Times New Roman" w:hAnsi="Times New Roman" w:cs="Times New Roman"/>
          <w:sz w:val="24"/>
          <w:szCs w:val="24"/>
        </w:rPr>
        <w:t xml:space="preserve"> of ketamine hydrochloride intraperitoneally. </w:t>
      </w:r>
      <w:r w:rsidR="00A23421" w:rsidRPr="0063258A">
        <w:rPr>
          <w:rFonts w:ascii="Times New Roman" w:hAnsi="Times New Roman" w:cs="Times New Roman"/>
          <w:bCs/>
          <w:sz w:val="24"/>
          <w:szCs w:val="24"/>
        </w:rPr>
        <w:t>Twenty-four</w:t>
      </w:r>
      <w:r w:rsidRPr="0063258A">
        <w:rPr>
          <w:rFonts w:ascii="Times New Roman" w:hAnsi="Times New Roman" w:cs="Times New Roman"/>
          <w:bCs/>
          <w:sz w:val="24"/>
          <w:szCs w:val="24"/>
        </w:rPr>
        <w:t xml:space="preserve"> (24) hours after the administration, the animals will be sacrificed under light ether anesthesia. The Pancreas were excised and fixed appropriately. </w:t>
      </w:r>
    </w:p>
    <w:p w14:paraId="11F748FF" w14:textId="77777777" w:rsidR="009A5C6D" w:rsidRPr="009A5C6D" w:rsidRDefault="00ED09D6" w:rsidP="009A5C6D">
      <w:pPr>
        <w:autoSpaceDE w:val="0"/>
        <w:autoSpaceDN w:val="0"/>
        <w:adjustRightInd w:val="0"/>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sidR="009A5C6D" w:rsidRPr="009A5C6D">
        <w:rPr>
          <w:rFonts w:ascii="Times New Roman" w:hAnsi="Times New Roman" w:cs="Times New Roman"/>
          <w:b/>
          <w:bCs/>
          <w:sz w:val="24"/>
          <w:szCs w:val="24"/>
        </w:rPr>
        <w:t xml:space="preserve"> Declaration of Interest</w:t>
      </w:r>
    </w:p>
    <w:p w14:paraId="56B82A50" w14:textId="77777777" w:rsidR="009A5C6D" w:rsidRPr="009A5C6D" w:rsidRDefault="009A5C6D" w:rsidP="009A5C6D">
      <w:pPr>
        <w:autoSpaceDE w:val="0"/>
        <w:autoSpaceDN w:val="0"/>
        <w:adjustRightInd w:val="0"/>
        <w:spacing w:before="240" w:line="360" w:lineRule="auto"/>
        <w:jc w:val="both"/>
        <w:rPr>
          <w:rFonts w:ascii="Times New Roman" w:hAnsi="Times New Roman" w:cs="Times New Roman"/>
          <w:bCs/>
          <w:sz w:val="24"/>
          <w:szCs w:val="24"/>
        </w:rPr>
      </w:pPr>
      <w:r w:rsidRPr="009A5C6D">
        <w:rPr>
          <w:rFonts w:ascii="Times New Roman" w:hAnsi="Times New Roman" w:cs="Times New Roman"/>
          <w:bCs/>
          <w:sz w:val="24"/>
          <w:szCs w:val="24"/>
        </w:rPr>
        <w:t>None</w:t>
      </w:r>
    </w:p>
    <w:p w14:paraId="723C2A6F" w14:textId="77777777" w:rsidR="009A5C6D" w:rsidRPr="009A5C6D" w:rsidRDefault="009A5C6D" w:rsidP="009A5C6D">
      <w:pPr>
        <w:autoSpaceDE w:val="0"/>
        <w:autoSpaceDN w:val="0"/>
        <w:adjustRightInd w:val="0"/>
        <w:spacing w:before="240" w:line="360" w:lineRule="auto"/>
        <w:jc w:val="both"/>
        <w:rPr>
          <w:rFonts w:ascii="Times New Roman" w:hAnsi="Times New Roman" w:cs="Times New Roman"/>
          <w:bCs/>
          <w:sz w:val="24"/>
          <w:szCs w:val="24"/>
        </w:rPr>
      </w:pPr>
    </w:p>
    <w:p w14:paraId="0934C955" w14:textId="77777777" w:rsidR="009A5C6D" w:rsidRPr="009A5C6D" w:rsidRDefault="00ED09D6" w:rsidP="009A5C6D">
      <w:pPr>
        <w:jc w:val="both"/>
        <w:rPr>
          <w:rFonts w:ascii="Times New Roman" w:hAnsi="Times New Roman" w:cs="Times New Roman"/>
          <w:b/>
          <w:bCs/>
          <w:sz w:val="24"/>
          <w:szCs w:val="24"/>
        </w:rPr>
      </w:pPr>
      <w:r>
        <w:rPr>
          <w:rFonts w:ascii="Times New Roman" w:hAnsi="Times New Roman" w:cs="Times New Roman"/>
          <w:b/>
          <w:bCs/>
          <w:sz w:val="24"/>
          <w:szCs w:val="24"/>
        </w:rPr>
        <w:t>2.4</w:t>
      </w:r>
      <w:r w:rsidR="009A5C6D" w:rsidRPr="009A5C6D">
        <w:rPr>
          <w:rFonts w:ascii="Times New Roman" w:hAnsi="Times New Roman" w:cs="Times New Roman"/>
          <w:b/>
          <w:bCs/>
          <w:sz w:val="24"/>
          <w:szCs w:val="24"/>
        </w:rPr>
        <w:t xml:space="preserve"> Funding Source</w:t>
      </w:r>
    </w:p>
    <w:p w14:paraId="491C6FA9" w14:textId="77777777" w:rsidR="009A5C6D" w:rsidRPr="009A5C6D" w:rsidRDefault="009A5C6D" w:rsidP="009A5C6D">
      <w:pPr>
        <w:spacing w:before="240" w:after="240"/>
        <w:rPr>
          <w:rFonts w:ascii="Times New Roman" w:hAnsi="Times New Roman" w:cs="Times New Roman"/>
          <w:sz w:val="24"/>
          <w:szCs w:val="24"/>
        </w:rPr>
      </w:pPr>
      <w:r w:rsidRPr="009A5C6D">
        <w:rPr>
          <w:rFonts w:ascii="Times New Roman" w:hAnsi="Times New Roman" w:cs="Times New Roman"/>
          <w:sz w:val="24"/>
          <w:szCs w:val="24"/>
        </w:rPr>
        <w:t>This research did not receive any specific grant from funding agencies in the public, commercial, or non-profit sectors.</w:t>
      </w:r>
    </w:p>
    <w:p w14:paraId="62F47F8F" w14:textId="77777777" w:rsidR="009A5C6D" w:rsidRPr="0063258A" w:rsidRDefault="009A5C6D" w:rsidP="00C747A2">
      <w:pPr>
        <w:autoSpaceDE w:val="0"/>
        <w:autoSpaceDN w:val="0"/>
        <w:adjustRightInd w:val="0"/>
        <w:spacing w:before="240" w:line="360" w:lineRule="auto"/>
        <w:jc w:val="both"/>
        <w:rPr>
          <w:rFonts w:ascii="Times New Roman" w:hAnsi="Times New Roman" w:cs="Times New Roman"/>
          <w:b/>
          <w:sz w:val="24"/>
          <w:szCs w:val="24"/>
        </w:rPr>
      </w:pPr>
    </w:p>
    <w:p w14:paraId="58CE70A2"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Biochemical Assay</w:t>
      </w:r>
    </w:p>
    <w:p w14:paraId="02C3CEF9"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Determination of body weight</w:t>
      </w:r>
    </w:p>
    <w:p w14:paraId="2CE7CAF3" w14:textId="77777777" w:rsidR="00C747A2" w:rsidRPr="0063258A" w:rsidRDefault="00C747A2" w:rsidP="00C747A2">
      <w:pPr>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The initial and final body weight of the albino rats were determined using a digital balance as recommended by the National Research Council (2011).</w:t>
      </w:r>
    </w:p>
    <w:p w14:paraId="5361915D"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Determination of Insulin level</w:t>
      </w:r>
    </w:p>
    <w:p w14:paraId="61127965" w14:textId="77777777" w:rsidR="00C747A2" w:rsidRPr="0063258A" w:rsidRDefault="00C747A2" w:rsidP="00C747A2">
      <w:pPr>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insulin levels in the blood sample was determined using Enzyme-Linked Immunosorbent Assay (ELISA) method as described by Engvall and </w:t>
      </w:r>
      <w:proofErr w:type="spellStart"/>
      <w:r w:rsidRPr="0063258A">
        <w:rPr>
          <w:rFonts w:ascii="Times New Roman" w:hAnsi="Times New Roman" w:cs="Times New Roman"/>
          <w:sz w:val="24"/>
          <w:szCs w:val="24"/>
        </w:rPr>
        <w:t>Perlmann</w:t>
      </w:r>
      <w:proofErr w:type="spellEnd"/>
      <w:r w:rsidRPr="0063258A">
        <w:rPr>
          <w:rFonts w:ascii="Times New Roman" w:hAnsi="Times New Roman" w:cs="Times New Roman"/>
          <w:sz w:val="24"/>
          <w:szCs w:val="24"/>
        </w:rPr>
        <w:t xml:space="preserve"> (1971) with slight modification.</w:t>
      </w:r>
    </w:p>
    <w:p w14:paraId="1CC80504" w14:textId="77777777" w:rsidR="00C747A2" w:rsidRPr="0063258A" w:rsidRDefault="00ED09D6" w:rsidP="00C747A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009A5C6D">
        <w:rPr>
          <w:rFonts w:ascii="Times New Roman" w:hAnsi="Times New Roman" w:cs="Times New Roman"/>
          <w:b/>
          <w:sz w:val="24"/>
          <w:szCs w:val="24"/>
        </w:rPr>
        <w:t xml:space="preserve"> </w:t>
      </w:r>
      <w:r w:rsidR="00C747A2" w:rsidRPr="0063258A">
        <w:rPr>
          <w:rFonts w:ascii="Times New Roman" w:hAnsi="Times New Roman" w:cs="Times New Roman"/>
          <w:b/>
          <w:sz w:val="24"/>
          <w:szCs w:val="24"/>
        </w:rPr>
        <w:t>Histological Studies</w:t>
      </w:r>
    </w:p>
    <w:p w14:paraId="40751E74"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sz w:val="24"/>
          <w:szCs w:val="24"/>
        </w:rPr>
      </w:pPr>
      <w:r w:rsidRPr="0063258A">
        <w:rPr>
          <w:rFonts w:ascii="Times New Roman" w:hAnsi="Times New Roman" w:cs="Times New Roman"/>
          <w:bCs/>
          <w:sz w:val="24"/>
          <w:szCs w:val="24"/>
        </w:rPr>
        <w:lastRenderedPageBreak/>
        <w:t xml:space="preserve">The Histological studies of the </w:t>
      </w:r>
      <w:proofErr w:type="spellStart"/>
      <w:r w:rsidRPr="0063258A">
        <w:rPr>
          <w:rFonts w:ascii="Times New Roman" w:hAnsi="Times New Roman" w:cs="Times New Roman"/>
          <w:bCs/>
          <w:sz w:val="24"/>
          <w:szCs w:val="24"/>
        </w:rPr>
        <w:t>pancrease</w:t>
      </w:r>
      <w:proofErr w:type="spellEnd"/>
      <w:r w:rsidRPr="0063258A">
        <w:rPr>
          <w:rFonts w:ascii="Times New Roman" w:hAnsi="Times New Roman" w:cs="Times New Roman"/>
          <w:bCs/>
          <w:sz w:val="24"/>
          <w:szCs w:val="24"/>
        </w:rPr>
        <w:t xml:space="preserve"> which involved fixation, paraffin embedding, </w:t>
      </w:r>
      <w:proofErr w:type="spellStart"/>
      <w:r w:rsidRPr="0063258A">
        <w:rPr>
          <w:rFonts w:ascii="Times New Roman" w:hAnsi="Times New Roman" w:cs="Times New Roman"/>
          <w:bCs/>
          <w:sz w:val="24"/>
          <w:szCs w:val="24"/>
        </w:rPr>
        <w:t>microtomyand</w:t>
      </w:r>
      <w:proofErr w:type="spellEnd"/>
      <w:r w:rsidRPr="0063258A">
        <w:rPr>
          <w:rFonts w:ascii="Times New Roman" w:hAnsi="Times New Roman" w:cs="Times New Roman"/>
          <w:bCs/>
          <w:sz w:val="24"/>
          <w:szCs w:val="24"/>
        </w:rPr>
        <w:t xml:space="preserve"> H &amp; E staining was carried out according to the method described by Kieman, J.A. (2008). Histological and histochemical</w:t>
      </w:r>
    </w:p>
    <w:p w14:paraId="681E243A" w14:textId="77777777" w:rsidR="00C747A2" w:rsidRPr="0063258A" w:rsidRDefault="00ED09D6" w:rsidP="00C747A2">
      <w:pPr>
        <w:autoSpaceDE w:val="0"/>
        <w:autoSpaceDN w:val="0"/>
        <w:adjustRightInd w:val="0"/>
        <w:spacing w:before="240" w:line="360" w:lineRule="auto"/>
        <w:jc w:val="both"/>
        <w:rPr>
          <w:rFonts w:ascii="Times New Roman" w:hAnsi="Times New Roman" w:cs="Times New Roman"/>
          <w:b/>
          <w:i/>
          <w:sz w:val="24"/>
          <w:szCs w:val="24"/>
        </w:rPr>
      </w:pPr>
      <w:r>
        <w:rPr>
          <w:rFonts w:ascii="Times New Roman" w:hAnsi="Times New Roman" w:cs="Times New Roman"/>
          <w:b/>
          <w:i/>
          <w:sz w:val="24"/>
          <w:szCs w:val="24"/>
        </w:rPr>
        <w:t>2.6</w:t>
      </w:r>
      <w:r w:rsidR="009A5C6D">
        <w:rPr>
          <w:rFonts w:ascii="Times New Roman" w:hAnsi="Times New Roman" w:cs="Times New Roman"/>
          <w:b/>
          <w:i/>
          <w:sz w:val="24"/>
          <w:szCs w:val="24"/>
        </w:rPr>
        <w:t xml:space="preserve"> </w:t>
      </w:r>
      <w:r w:rsidR="00C747A2" w:rsidRPr="0063258A">
        <w:rPr>
          <w:rFonts w:ascii="Times New Roman" w:hAnsi="Times New Roman" w:cs="Times New Roman"/>
          <w:b/>
          <w:i/>
          <w:sz w:val="24"/>
          <w:szCs w:val="24"/>
        </w:rPr>
        <w:t>In-silico studies</w:t>
      </w:r>
    </w:p>
    <w:p w14:paraId="6760A7F9"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Evaluation of </w:t>
      </w:r>
      <w:r w:rsidRPr="0063258A">
        <w:rPr>
          <w:rFonts w:ascii="Times New Roman" w:hAnsi="Times New Roman" w:cs="Times New Roman"/>
          <w:b/>
          <w:i/>
          <w:sz w:val="24"/>
          <w:szCs w:val="24"/>
        </w:rPr>
        <w:t xml:space="preserve">Brassica </w:t>
      </w:r>
      <w:proofErr w:type="spellStart"/>
      <w:r w:rsidRPr="0063258A">
        <w:rPr>
          <w:rFonts w:ascii="Times New Roman" w:hAnsi="Times New Roman" w:cs="Times New Roman"/>
          <w:b/>
          <w:i/>
          <w:sz w:val="24"/>
          <w:szCs w:val="24"/>
        </w:rPr>
        <w:t>olaracea</w:t>
      </w:r>
      <w:proofErr w:type="spellEnd"/>
      <w:r w:rsidRPr="0063258A">
        <w:rPr>
          <w:rFonts w:ascii="Times New Roman" w:hAnsi="Times New Roman" w:cs="Times New Roman"/>
          <w:b/>
          <w:sz w:val="24"/>
          <w:szCs w:val="24"/>
        </w:rPr>
        <w:t xml:space="preserve"> bioactive compounds </w:t>
      </w:r>
    </w:p>
    <w:p w14:paraId="0218F2AC" w14:textId="77777777" w:rsidR="00C747A2" w:rsidRPr="0063258A" w:rsidRDefault="00A23421" w:rsidP="00C747A2">
      <w:pPr>
        <w:autoSpaceDE w:val="0"/>
        <w:autoSpaceDN w:val="0"/>
        <w:adjustRightInd w:val="0"/>
        <w:spacing w:before="240" w:line="276" w:lineRule="auto"/>
        <w:jc w:val="both"/>
        <w:rPr>
          <w:rFonts w:ascii="Times New Roman" w:hAnsi="Times New Roman" w:cs="Times New Roman"/>
          <w:b/>
          <w:sz w:val="24"/>
          <w:szCs w:val="24"/>
        </w:rPr>
      </w:pPr>
      <w:proofErr w:type="spellStart"/>
      <w:r w:rsidRPr="0063258A">
        <w:rPr>
          <w:rFonts w:ascii="Times New Roman" w:hAnsi="Times New Roman" w:cs="Times New Roman"/>
          <w:i/>
          <w:sz w:val="24"/>
          <w:szCs w:val="24"/>
        </w:rPr>
        <w:t>Tetracarpidium</w:t>
      </w:r>
      <w:proofErr w:type="spellEnd"/>
      <w:r w:rsidRPr="0063258A">
        <w:rPr>
          <w:rFonts w:ascii="Times New Roman" w:hAnsi="Times New Roman" w:cs="Times New Roman"/>
          <w:i/>
          <w:sz w:val="24"/>
          <w:szCs w:val="24"/>
        </w:rPr>
        <w:t xml:space="preserve"> </w:t>
      </w:r>
      <w:proofErr w:type="spellStart"/>
      <w:r w:rsidRPr="0063258A">
        <w:rPr>
          <w:rFonts w:ascii="Times New Roman" w:hAnsi="Times New Roman" w:cs="Times New Roman"/>
          <w:i/>
          <w:sz w:val="24"/>
          <w:szCs w:val="24"/>
        </w:rPr>
        <w:t>conophorum</w:t>
      </w:r>
      <w:proofErr w:type="spellEnd"/>
      <w:r w:rsidR="00C747A2" w:rsidRPr="0063258A">
        <w:rPr>
          <w:rFonts w:ascii="Times New Roman" w:hAnsi="Times New Roman" w:cs="Times New Roman"/>
          <w:sz w:val="24"/>
          <w:szCs w:val="24"/>
        </w:rPr>
        <w:t xml:space="preserve"> bioactive compounds were obtained from published literature and scientific databases on phytochemicals. The databases were Indian Medicinal Plants (IMPPAT), Dr. Duke Ethnobotanical Database (https://phytochem.nal.usda.gov, accessed on </w:t>
      </w:r>
      <w:r w:rsidRPr="0063258A">
        <w:rPr>
          <w:rFonts w:ascii="Times New Roman" w:hAnsi="Times New Roman" w:cs="Times New Roman"/>
          <w:sz w:val="24"/>
          <w:szCs w:val="24"/>
        </w:rPr>
        <w:t>July 14</w:t>
      </w:r>
      <w:r w:rsidR="00C747A2" w:rsidRPr="0063258A">
        <w:rPr>
          <w:rFonts w:ascii="Times New Roman" w:hAnsi="Times New Roman" w:cs="Times New Roman"/>
          <w:sz w:val="24"/>
          <w:szCs w:val="24"/>
        </w:rPr>
        <w:t xml:space="preserve">, 2025) and Goggle Scholar, accessed on </w:t>
      </w:r>
      <w:r w:rsidRPr="0063258A">
        <w:rPr>
          <w:rFonts w:ascii="Times New Roman" w:hAnsi="Times New Roman" w:cs="Times New Roman"/>
          <w:sz w:val="24"/>
          <w:szCs w:val="24"/>
        </w:rPr>
        <w:t>July 14</w:t>
      </w:r>
      <w:r w:rsidR="00C747A2" w:rsidRPr="0063258A">
        <w:rPr>
          <w:rFonts w:ascii="Times New Roman" w:hAnsi="Times New Roman" w:cs="Times New Roman"/>
          <w:sz w:val="24"/>
          <w:szCs w:val="24"/>
        </w:rPr>
        <w:t xml:space="preserve">, 2025. A total of </w:t>
      </w:r>
      <w:r w:rsidR="00CB13A0" w:rsidRPr="0063258A">
        <w:rPr>
          <w:rFonts w:ascii="Times New Roman" w:hAnsi="Times New Roman" w:cs="Times New Roman"/>
          <w:sz w:val="24"/>
          <w:szCs w:val="24"/>
        </w:rPr>
        <w:t>200</w:t>
      </w:r>
      <w:r w:rsidR="00C747A2" w:rsidRPr="0063258A">
        <w:rPr>
          <w:rFonts w:ascii="Times New Roman" w:hAnsi="Times New Roman" w:cs="Times New Roman"/>
          <w:sz w:val="24"/>
          <w:szCs w:val="24"/>
        </w:rPr>
        <w:t xml:space="preserve"> bioactive compounds were identified.</w:t>
      </w:r>
    </w:p>
    <w:p w14:paraId="12226397"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Preparation of Ligands</w:t>
      </w:r>
    </w:p>
    <w:p w14:paraId="4C5346B0"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structural data files (SDF) of the bioactive compounds were obtained from PubChem web-platform (https://www.ncbi.nlm.nih.gov/pccompound) in 3D conformation (Kim </w:t>
      </w:r>
      <w:r w:rsidRPr="0063258A">
        <w:rPr>
          <w:rFonts w:ascii="Times New Roman" w:hAnsi="Times New Roman" w:cs="Times New Roman"/>
          <w:i/>
          <w:sz w:val="24"/>
          <w:szCs w:val="24"/>
        </w:rPr>
        <w:t>et al</w:t>
      </w:r>
      <w:r w:rsidRPr="0063258A">
        <w:rPr>
          <w:rFonts w:ascii="Times New Roman" w:hAnsi="Times New Roman" w:cs="Times New Roman"/>
          <w:sz w:val="24"/>
          <w:szCs w:val="24"/>
        </w:rPr>
        <w:t xml:space="preserve">., 2023). The compounds whose structural files were not found in the </w:t>
      </w:r>
      <w:proofErr w:type="spellStart"/>
      <w:r w:rsidRPr="0063258A">
        <w:rPr>
          <w:rFonts w:ascii="Times New Roman" w:hAnsi="Times New Roman" w:cs="Times New Roman"/>
          <w:sz w:val="24"/>
          <w:szCs w:val="24"/>
        </w:rPr>
        <w:t>chemoinformatics</w:t>
      </w:r>
      <w:proofErr w:type="spellEnd"/>
      <w:r w:rsidRPr="0063258A">
        <w:rPr>
          <w:rFonts w:ascii="Times New Roman" w:hAnsi="Times New Roman" w:cs="Times New Roman"/>
          <w:sz w:val="24"/>
          <w:szCs w:val="24"/>
        </w:rPr>
        <w:t xml:space="preserve"> databases were drawn using </w:t>
      </w:r>
      <w:proofErr w:type="spellStart"/>
      <w:r w:rsidRPr="0063258A">
        <w:rPr>
          <w:rFonts w:ascii="Times New Roman" w:hAnsi="Times New Roman" w:cs="Times New Roman"/>
          <w:sz w:val="24"/>
          <w:szCs w:val="24"/>
        </w:rPr>
        <w:t>ChemDraw</w:t>
      </w:r>
      <w:proofErr w:type="spellEnd"/>
      <w:r w:rsidRPr="0063258A">
        <w:rPr>
          <w:rFonts w:ascii="Times New Roman" w:hAnsi="Times New Roman" w:cs="Times New Roman"/>
          <w:sz w:val="24"/>
          <w:szCs w:val="24"/>
        </w:rPr>
        <w:t xml:space="preserve"> Ultra 12.0, saved in mole files and further converted into structural data files (SDF) by deploying </w:t>
      </w:r>
      <w:proofErr w:type="spellStart"/>
      <w:r w:rsidRPr="0063258A">
        <w:rPr>
          <w:rFonts w:ascii="Times New Roman" w:hAnsi="Times New Roman" w:cs="Times New Roman"/>
          <w:sz w:val="24"/>
          <w:szCs w:val="24"/>
        </w:rPr>
        <w:t>Openbabel</w:t>
      </w:r>
      <w:proofErr w:type="spellEnd"/>
      <w:r w:rsidRPr="0063258A">
        <w:rPr>
          <w:rFonts w:ascii="Times New Roman" w:hAnsi="Times New Roman" w:cs="Times New Roman"/>
          <w:sz w:val="24"/>
          <w:szCs w:val="24"/>
        </w:rPr>
        <w:t xml:space="preserve"> GUI software version 2.3.2. </w:t>
      </w:r>
    </w:p>
    <w:p w14:paraId="31CBAC93"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Protein targets selection and preparation </w:t>
      </w:r>
    </w:p>
    <w:p w14:paraId="6DA846AF" w14:textId="77777777" w:rsidR="00C747A2" w:rsidRPr="0063258A" w:rsidRDefault="00C747A2" w:rsidP="00C747A2">
      <w:pPr>
        <w:pStyle w:val="Heading4"/>
        <w:shd w:val="clear" w:color="auto" w:fill="FFFFFF"/>
        <w:spacing w:before="240" w:line="276" w:lineRule="auto"/>
        <w:jc w:val="both"/>
        <w:rPr>
          <w:rFonts w:ascii="Times New Roman" w:hAnsi="Times New Roman" w:cs="Times New Roman"/>
          <w:b/>
          <w:bCs/>
          <w:i w:val="0"/>
          <w:color w:val="auto"/>
        </w:rPr>
      </w:pPr>
      <w:r w:rsidRPr="0063258A">
        <w:rPr>
          <w:rFonts w:ascii="Times New Roman" w:hAnsi="Times New Roman" w:cs="Times New Roman"/>
          <w:i w:val="0"/>
          <w:color w:val="auto"/>
        </w:rPr>
        <w:t xml:space="preserve">The three-dimensional (3D) crystallographic structures of target proteins shown in table were retrieved from the Protein Database (PDB) (www.pdb.org/pdb), the proteins were prepared for molecular docking through the removal of the co-crystallized ligand, water molecules and Hetero atoms to produce a nascent receptor, polar hydrogen’s were added and the receptor sites were identified using </w:t>
      </w:r>
      <w:proofErr w:type="spellStart"/>
      <w:r w:rsidRPr="0063258A">
        <w:rPr>
          <w:rFonts w:ascii="Times New Roman" w:hAnsi="Times New Roman" w:cs="Times New Roman"/>
          <w:i w:val="0"/>
          <w:color w:val="auto"/>
        </w:rPr>
        <w:t>Biovia</w:t>
      </w:r>
      <w:proofErr w:type="spellEnd"/>
      <w:r w:rsidRPr="0063258A">
        <w:rPr>
          <w:rFonts w:ascii="Times New Roman" w:hAnsi="Times New Roman" w:cs="Times New Roman"/>
          <w:i w:val="0"/>
          <w:color w:val="auto"/>
        </w:rPr>
        <w:t xml:space="preserve"> discovery studio v.24.1.0.23298.</w:t>
      </w:r>
    </w:p>
    <w:p w14:paraId="6BACAC1F"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Molecular docking </w:t>
      </w:r>
    </w:p>
    <w:p w14:paraId="5A54078A" w14:textId="77777777" w:rsidR="00FB6F48" w:rsidRPr="0063258A" w:rsidRDefault="00C747A2" w:rsidP="00506830">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Virtual screening of the ligands </w:t>
      </w:r>
      <w:r w:rsidR="00340CCD" w:rsidRPr="0063258A">
        <w:rPr>
          <w:rFonts w:ascii="Times New Roman" w:hAnsi="Times New Roman" w:cs="Times New Roman"/>
          <w:sz w:val="24"/>
          <w:szCs w:val="24"/>
        </w:rPr>
        <w:t>was</w:t>
      </w:r>
      <w:r w:rsidRPr="0063258A">
        <w:rPr>
          <w:rFonts w:ascii="Times New Roman" w:hAnsi="Times New Roman" w:cs="Times New Roman"/>
          <w:sz w:val="24"/>
          <w:szCs w:val="24"/>
        </w:rPr>
        <w:t xml:space="preserve"> carried out using </w:t>
      </w:r>
      <w:proofErr w:type="spellStart"/>
      <w:r w:rsidRPr="0063258A">
        <w:rPr>
          <w:rFonts w:ascii="Times New Roman" w:hAnsi="Times New Roman" w:cs="Times New Roman"/>
          <w:sz w:val="24"/>
          <w:szCs w:val="24"/>
        </w:rPr>
        <w:t>PyRx</w:t>
      </w:r>
      <w:proofErr w:type="spellEnd"/>
      <w:r w:rsidRPr="0063258A">
        <w:rPr>
          <w:rFonts w:ascii="Times New Roman" w:hAnsi="Times New Roman" w:cs="Times New Roman"/>
          <w:sz w:val="24"/>
          <w:szCs w:val="24"/>
        </w:rPr>
        <w:t xml:space="preserve">-Python Prescription 0.8, a suite comprising of automated molecular docking tools (Auto dock tools, Auto Dock Vina and </w:t>
      </w:r>
      <w:proofErr w:type="spellStart"/>
      <w:r w:rsidRPr="0063258A">
        <w:rPr>
          <w:rFonts w:ascii="Times New Roman" w:hAnsi="Times New Roman" w:cs="Times New Roman"/>
          <w:sz w:val="24"/>
          <w:szCs w:val="24"/>
        </w:rPr>
        <w:t>Openbabel</w:t>
      </w:r>
      <w:proofErr w:type="spellEnd"/>
      <w:r w:rsidRPr="0063258A">
        <w:rPr>
          <w:rFonts w:ascii="Times New Roman" w:hAnsi="Times New Roman" w:cs="Times New Roman"/>
          <w:sz w:val="24"/>
          <w:szCs w:val="24"/>
        </w:rPr>
        <w:t>) (</w:t>
      </w:r>
      <w:proofErr w:type="spellStart"/>
      <w:r w:rsidRPr="0063258A">
        <w:rPr>
          <w:rFonts w:ascii="Times New Roman" w:hAnsi="Times New Roman" w:cs="Times New Roman"/>
          <w:sz w:val="24"/>
          <w:szCs w:val="24"/>
        </w:rPr>
        <w:t>Dallakyan</w:t>
      </w:r>
      <w:proofErr w:type="spellEnd"/>
      <w:r w:rsidRPr="0063258A">
        <w:rPr>
          <w:rFonts w:ascii="Times New Roman" w:hAnsi="Times New Roman" w:cs="Times New Roman"/>
          <w:sz w:val="24"/>
          <w:szCs w:val="24"/>
        </w:rPr>
        <w:t xml:space="preserve"> and Olson, 2015). The PDBQT file of the ligands and protein were generated through this software. The specific target sites of the target proteins were set with the help of grid box as shown in table below. The configurations for each protein-ligand complex were generated for all the ligands using the software; text files of scoring results (binding affinities of the ligands to the target protein) were also produced for the purpose of manual comparative analysis at the end of the experiment (</w:t>
      </w:r>
      <w:r w:rsidRPr="0063258A">
        <w:rPr>
          <w:rFonts w:ascii="Times New Roman" w:hAnsi="Times New Roman" w:cs="Times New Roman"/>
          <w:color w:val="000000"/>
          <w:sz w:val="24"/>
          <w:szCs w:val="24"/>
        </w:rPr>
        <w:t>Trott and Olson, 2010</w:t>
      </w:r>
      <w:r w:rsidR="00506830" w:rsidRPr="0063258A">
        <w:rPr>
          <w:rFonts w:ascii="Times New Roman" w:hAnsi="Times New Roman" w:cs="Times New Roman"/>
          <w:sz w:val="24"/>
          <w:szCs w:val="24"/>
        </w:rPr>
        <w:t xml:space="preserve">). </w:t>
      </w:r>
    </w:p>
    <w:p w14:paraId="64B210B9" w14:textId="77777777" w:rsidR="00C747A2" w:rsidRPr="0063258A" w:rsidRDefault="00C747A2" w:rsidP="00C747A2">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2: Grid box dimensions </w:t>
      </w:r>
      <w:r w:rsidR="00506830" w:rsidRPr="0063258A">
        <w:rPr>
          <w:rFonts w:ascii="Times New Roman" w:hAnsi="Times New Roman" w:cs="Times New Roman"/>
          <w:b/>
          <w:sz w:val="24"/>
          <w:szCs w:val="24"/>
        </w:rPr>
        <w:t>of the selected target proteins</w:t>
      </w:r>
    </w:p>
    <w:tbl>
      <w:tblPr>
        <w:tblW w:w="8190" w:type="dxa"/>
        <w:tblBorders>
          <w:top w:val="single" w:sz="4" w:space="0" w:color="auto"/>
          <w:bottom w:val="single" w:sz="4" w:space="0" w:color="auto"/>
        </w:tblBorders>
        <w:tblLook w:val="04A0" w:firstRow="1" w:lastRow="0" w:firstColumn="1" w:lastColumn="0" w:noHBand="0" w:noVBand="1"/>
      </w:tblPr>
      <w:tblGrid>
        <w:gridCol w:w="3240"/>
        <w:gridCol w:w="1260"/>
        <w:gridCol w:w="1170"/>
        <w:gridCol w:w="1260"/>
        <w:gridCol w:w="1260"/>
      </w:tblGrid>
      <w:tr w:rsidR="00C747A2" w:rsidRPr="0063258A" w14:paraId="681C81B5" w14:textId="77777777" w:rsidTr="008C21EC">
        <w:trPr>
          <w:trHeight w:val="300"/>
        </w:trPr>
        <w:tc>
          <w:tcPr>
            <w:tcW w:w="3240" w:type="dxa"/>
            <w:tcBorders>
              <w:top w:val="single" w:sz="4" w:space="0" w:color="auto"/>
              <w:bottom w:val="single" w:sz="4" w:space="0" w:color="auto"/>
            </w:tcBorders>
            <w:noWrap/>
            <w:vAlign w:val="center"/>
            <w:hideMark/>
          </w:tcPr>
          <w:p w14:paraId="1E387003"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lastRenderedPageBreak/>
              <w:t>Targets</w:t>
            </w:r>
          </w:p>
        </w:tc>
        <w:tc>
          <w:tcPr>
            <w:tcW w:w="1260" w:type="dxa"/>
            <w:tcBorders>
              <w:top w:val="single" w:sz="4" w:space="0" w:color="auto"/>
              <w:bottom w:val="single" w:sz="4" w:space="0" w:color="auto"/>
            </w:tcBorders>
            <w:noWrap/>
            <w:vAlign w:val="center"/>
            <w:hideMark/>
          </w:tcPr>
          <w:p w14:paraId="762DDEA8"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PDB ID</w:t>
            </w:r>
          </w:p>
        </w:tc>
        <w:tc>
          <w:tcPr>
            <w:tcW w:w="1170" w:type="dxa"/>
            <w:tcBorders>
              <w:top w:val="single" w:sz="4" w:space="0" w:color="auto"/>
              <w:bottom w:val="single" w:sz="4" w:space="0" w:color="auto"/>
            </w:tcBorders>
            <w:noWrap/>
            <w:vAlign w:val="center"/>
            <w:hideMark/>
          </w:tcPr>
          <w:p w14:paraId="58C3BC61"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X</w:t>
            </w:r>
          </w:p>
        </w:tc>
        <w:tc>
          <w:tcPr>
            <w:tcW w:w="1260" w:type="dxa"/>
            <w:tcBorders>
              <w:top w:val="single" w:sz="4" w:space="0" w:color="auto"/>
              <w:bottom w:val="single" w:sz="4" w:space="0" w:color="auto"/>
            </w:tcBorders>
          </w:tcPr>
          <w:p w14:paraId="681EBE10"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Y</w:t>
            </w:r>
          </w:p>
        </w:tc>
        <w:tc>
          <w:tcPr>
            <w:tcW w:w="1260" w:type="dxa"/>
            <w:tcBorders>
              <w:top w:val="single" w:sz="4" w:space="0" w:color="auto"/>
              <w:bottom w:val="single" w:sz="4" w:space="0" w:color="auto"/>
            </w:tcBorders>
          </w:tcPr>
          <w:p w14:paraId="7E6E4A12"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Z</w:t>
            </w:r>
          </w:p>
        </w:tc>
      </w:tr>
      <w:tr w:rsidR="00C747A2" w:rsidRPr="0063258A" w14:paraId="5643F45D" w14:textId="77777777" w:rsidTr="008C21EC">
        <w:trPr>
          <w:trHeight w:val="300"/>
        </w:trPr>
        <w:tc>
          <w:tcPr>
            <w:tcW w:w="3240" w:type="dxa"/>
            <w:tcBorders>
              <w:top w:val="single" w:sz="4" w:space="0" w:color="auto"/>
            </w:tcBorders>
            <w:noWrap/>
            <w:vAlign w:val="center"/>
            <w:hideMark/>
          </w:tcPr>
          <w:p w14:paraId="28A8EF9F"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Metallothioneins-1</w:t>
            </w:r>
          </w:p>
        </w:tc>
        <w:tc>
          <w:tcPr>
            <w:tcW w:w="1260" w:type="dxa"/>
            <w:tcBorders>
              <w:top w:val="single" w:sz="4" w:space="0" w:color="auto"/>
            </w:tcBorders>
            <w:noWrap/>
            <w:vAlign w:val="center"/>
            <w:hideMark/>
          </w:tcPr>
          <w:p w14:paraId="73FD6BB1"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1MHU</w:t>
            </w:r>
          </w:p>
        </w:tc>
        <w:tc>
          <w:tcPr>
            <w:tcW w:w="1170" w:type="dxa"/>
            <w:tcBorders>
              <w:top w:val="single" w:sz="4" w:space="0" w:color="auto"/>
            </w:tcBorders>
            <w:noWrap/>
            <w:vAlign w:val="center"/>
          </w:tcPr>
          <w:p w14:paraId="5C1969B3"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4.9530</w:t>
            </w:r>
          </w:p>
        </w:tc>
        <w:tc>
          <w:tcPr>
            <w:tcW w:w="1260" w:type="dxa"/>
            <w:tcBorders>
              <w:top w:val="single" w:sz="4" w:space="0" w:color="auto"/>
            </w:tcBorders>
          </w:tcPr>
          <w:p w14:paraId="55F8D05E"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5.3222</w:t>
            </w:r>
          </w:p>
        </w:tc>
        <w:tc>
          <w:tcPr>
            <w:tcW w:w="1260" w:type="dxa"/>
            <w:tcBorders>
              <w:top w:val="single" w:sz="4" w:space="0" w:color="auto"/>
            </w:tcBorders>
          </w:tcPr>
          <w:p w14:paraId="455E85E8"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10.3964</w:t>
            </w:r>
          </w:p>
        </w:tc>
      </w:tr>
      <w:tr w:rsidR="00C747A2" w:rsidRPr="0063258A" w14:paraId="61861D15" w14:textId="77777777" w:rsidTr="008C21EC">
        <w:trPr>
          <w:trHeight w:val="300"/>
        </w:trPr>
        <w:tc>
          <w:tcPr>
            <w:tcW w:w="3240" w:type="dxa"/>
            <w:noWrap/>
            <w:vAlign w:val="center"/>
            <w:hideMark/>
          </w:tcPr>
          <w:p w14:paraId="080280E2"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Metallothioneins-2</w:t>
            </w:r>
          </w:p>
        </w:tc>
        <w:tc>
          <w:tcPr>
            <w:tcW w:w="1260" w:type="dxa"/>
            <w:noWrap/>
            <w:vAlign w:val="center"/>
            <w:hideMark/>
          </w:tcPr>
          <w:p w14:paraId="6317238F"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2MHU</w:t>
            </w:r>
          </w:p>
        </w:tc>
        <w:tc>
          <w:tcPr>
            <w:tcW w:w="1170" w:type="dxa"/>
            <w:noWrap/>
            <w:vAlign w:val="center"/>
          </w:tcPr>
          <w:p w14:paraId="09BC0D67"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0.0306</w:t>
            </w:r>
          </w:p>
        </w:tc>
        <w:tc>
          <w:tcPr>
            <w:tcW w:w="1260" w:type="dxa"/>
          </w:tcPr>
          <w:p w14:paraId="0E5AE3D7"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-4.2033</w:t>
            </w:r>
          </w:p>
        </w:tc>
        <w:tc>
          <w:tcPr>
            <w:tcW w:w="1260" w:type="dxa"/>
          </w:tcPr>
          <w:p w14:paraId="4FE36427"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-6.5989</w:t>
            </w:r>
          </w:p>
        </w:tc>
      </w:tr>
      <w:tr w:rsidR="00C747A2" w:rsidRPr="0063258A" w14:paraId="6618BE37" w14:textId="77777777" w:rsidTr="008C21EC">
        <w:trPr>
          <w:trHeight w:val="300"/>
        </w:trPr>
        <w:tc>
          <w:tcPr>
            <w:tcW w:w="3240" w:type="dxa"/>
            <w:noWrap/>
            <w:vAlign w:val="center"/>
            <w:hideMark/>
          </w:tcPr>
          <w:p w14:paraId="7116A490"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Glutathione-S-transferase</w:t>
            </w:r>
          </w:p>
        </w:tc>
        <w:tc>
          <w:tcPr>
            <w:tcW w:w="1260" w:type="dxa"/>
            <w:noWrap/>
            <w:vAlign w:val="center"/>
            <w:hideMark/>
          </w:tcPr>
          <w:p w14:paraId="0CB424C6"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1GRE</w:t>
            </w:r>
          </w:p>
        </w:tc>
        <w:tc>
          <w:tcPr>
            <w:tcW w:w="1170" w:type="dxa"/>
            <w:noWrap/>
            <w:vAlign w:val="center"/>
          </w:tcPr>
          <w:p w14:paraId="75F3682A" w14:textId="77777777" w:rsidR="00C747A2" w:rsidRPr="0063258A" w:rsidRDefault="0012002D"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70.3965</w:t>
            </w:r>
          </w:p>
        </w:tc>
        <w:tc>
          <w:tcPr>
            <w:tcW w:w="1260" w:type="dxa"/>
          </w:tcPr>
          <w:p w14:paraId="15F001DB" w14:textId="77777777" w:rsidR="00C747A2" w:rsidRPr="0063258A" w:rsidRDefault="0012002D"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51.3434</w:t>
            </w:r>
          </w:p>
        </w:tc>
        <w:tc>
          <w:tcPr>
            <w:tcW w:w="1260" w:type="dxa"/>
          </w:tcPr>
          <w:p w14:paraId="3383E5EF" w14:textId="77777777" w:rsidR="00C747A2" w:rsidRPr="0063258A" w:rsidRDefault="0012002D"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18.7067</w:t>
            </w:r>
          </w:p>
        </w:tc>
      </w:tr>
      <w:tr w:rsidR="00C747A2" w:rsidRPr="0063258A" w14:paraId="7B319F24" w14:textId="77777777" w:rsidTr="008C21EC">
        <w:trPr>
          <w:trHeight w:val="300"/>
        </w:trPr>
        <w:tc>
          <w:tcPr>
            <w:tcW w:w="3240" w:type="dxa"/>
            <w:noWrap/>
            <w:vAlign w:val="center"/>
            <w:hideMark/>
          </w:tcPr>
          <w:p w14:paraId="5E462D41"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 xml:space="preserve">Apoptosis </w:t>
            </w:r>
          </w:p>
        </w:tc>
        <w:tc>
          <w:tcPr>
            <w:tcW w:w="1260" w:type="dxa"/>
            <w:noWrap/>
            <w:vAlign w:val="center"/>
            <w:hideMark/>
          </w:tcPr>
          <w:p w14:paraId="4542F852"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1F16</w:t>
            </w:r>
          </w:p>
        </w:tc>
        <w:tc>
          <w:tcPr>
            <w:tcW w:w="1170" w:type="dxa"/>
            <w:noWrap/>
            <w:vAlign w:val="center"/>
          </w:tcPr>
          <w:p w14:paraId="353D363C" w14:textId="77777777" w:rsidR="00C747A2" w:rsidRPr="0063258A" w:rsidRDefault="00E00F66"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-0.1099</w:t>
            </w:r>
          </w:p>
        </w:tc>
        <w:tc>
          <w:tcPr>
            <w:tcW w:w="1260" w:type="dxa"/>
          </w:tcPr>
          <w:p w14:paraId="08566A7A" w14:textId="77777777" w:rsidR="00C747A2" w:rsidRPr="0063258A" w:rsidRDefault="00E00F66"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0.1956</w:t>
            </w:r>
          </w:p>
        </w:tc>
        <w:tc>
          <w:tcPr>
            <w:tcW w:w="1260" w:type="dxa"/>
          </w:tcPr>
          <w:p w14:paraId="763F7327" w14:textId="77777777" w:rsidR="00C747A2" w:rsidRPr="0063258A" w:rsidRDefault="00E00F66"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0.9638</w:t>
            </w:r>
          </w:p>
        </w:tc>
      </w:tr>
      <w:tr w:rsidR="00C747A2" w:rsidRPr="0063258A" w14:paraId="1AE65F6E" w14:textId="77777777" w:rsidTr="008C21EC">
        <w:trPr>
          <w:trHeight w:val="300"/>
        </w:trPr>
        <w:tc>
          <w:tcPr>
            <w:tcW w:w="3240" w:type="dxa"/>
            <w:noWrap/>
            <w:vAlign w:val="center"/>
            <w:hideMark/>
          </w:tcPr>
          <w:p w14:paraId="39B33192"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Inflammatory mediators</w:t>
            </w:r>
          </w:p>
        </w:tc>
        <w:tc>
          <w:tcPr>
            <w:tcW w:w="1260" w:type="dxa"/>
            <w:noWrap/>
            <w:vAlign w:val="center"/>
            <w:hideMark/>
          </w:tcPr>
          <w:p w14:paraId="2A8193DE"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1IL6</w:t>
            </w:r>
          </w:p>
        </w:tc>
        <w:tc>
          <w:tcPr>
            <w:tcW w:w="1170" w:type="dxa"/>
            <w:noWrap/>
            <w:vAlign w:val="center"/>
          </w:tcPr>
          <w:p w14:paraId="48127FB8" w14:textId="77777777" w:rsidR="00C747A2" w:rsidRPr="0063258A" w:rsidRDefault="00EC430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-0.1737</w:t>
            </w:r>
          </w:p>
        </w:tc>
        <w:tc>
          <w:tcPr>
            <w:tcW w:w="1260" w:type="dxa"/>
          </w:tcPr>
          <w:p w14:paraId="08BA880B" w14:textId="77777777" w:rsidR="00C747A2" w:rsidRPr="0063258A" w:rsidRDefault="00EC430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0.3499</w:t>
            </w:r>
          </w:p>
        </w:tc>
        <w:tc>
          <w:tcPr>
            <w:tcW w:w="1260" w:type="dxa"/>
          </w:tcPr>
          <w:p w14:paraId="7701CB6F" w14:textId="77777777" w:rsidR="00C747A2" w:rsidRPr="0063258A" w:rsidRDefault="00EC430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0.2971</w:t>
            </w:r>
          </w:p>
        </w:tc>
      </w:tr>
      <w:tr w:rsidR="00C747A2" w:rsidRPr="0063258A" w14:paraId="0CD47D04" w14:textId="77777777" w:rsidTr="008C21EC">
        <w:trPr>
          <w:trHeight w:val="300"/>
        </w:trPr>
        <w:tc>
          <w:tcPr>
            <w:tcW w:w="3240" w:type="dxa"/>
            <w:noWrap/>
            <w:vAlign w:val="center"/>
            <w:hideMark/>
          </w:tcPr>
          <w:p w14:paraId="12E7CD6A"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Oxidative stress</w:t>
            </w:r>
          </w:p>
        </w:tc>
        <w:tc>
          <w:tcPr>
            <w:tcW w:w="1260" w:type="dxa"/>
            <w:noWrap/>
            <w:vAlign w:val="center"/>
            <w:hideMark/>
          </w:tcPr>
          <w:p w14:paraId="61C015CD"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1DGB</w:t>
            </w:r>
          </w:p>
        </w:tc>
        <w:tc>
          <w:tcPr>
            <w:tcW w:w="1170" w:type="dxa"/>
            <w:noWrap/>
            <w:vAlign w:val="center"/>
          </w:tcPr>
          <w:p w14:paraId="21113F74" w14:textId="77777777" w:rsidR="00C747A2" w:rsidRPr="0063258A" w:rsidRDefault="008C59C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20.9279</w:t>
            </w:r>
          </w:p>
        </w:tc>
        <w:tc>
          <w:tcPr>
            <w:tcW w:w="1260" w:type="dxa"/>
          </w:tcPr>
          <w:p w14:paraId="2DBC00C9" w14:textId="77777777" w:rsidR="00C747A2" w:rsidRPr="0063258A" w:rsidRDefault="008C59C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39.3607</w:t>
            </w:r>
          </w:p>
        </w:tc>
        <w:tc>
          <w:tcPr>
            <w:tcW w:w="1260" w:type="dxa"/>
          </w:tcPr>
          <w:p w14:paraId="2076E8FA" w14:textId="77777777" w:rsidR="00C747A2" w:rsidRPr="0063258A" w:rsidRDefault="008C59C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25.0000</w:t>
            </w:r>
          </w:p>
        </w:tc>
      </w:tr>
      <w:tr w:rsidR="00C747A2" w:rsidRPr="0063258A" w14:paraId="3B8347C1" w14:textId="77777777" w:rsidTr="008C21EC">
        <w:trPr>
          <w:trHeight w:val="300"/>
        </w:trPr>
        <w:tc>
          <w:tcPr>
            <w:tcW w:w="3240" w:type="dxa"/>
            <w:noWrap/>
            <w:vAlign w:val="center"/>
            <w:hideMark/>
          </w:tcPr>
          <w:p w14:paraId="4ECCACC9"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Pancreatic function</w:t>
            </w:r>
          </w:p>
        </w:tc>
        <w:tc>
          <w:tcPr>
            <w:tcW w:w="1260" w:type="dxa"/>
            <w:noWrap/>
            <w:vAlign w:val="center"/>
            <w:hideMark/>
          </w:tcPr>
          <w:p w14:paraId="1D0D8CEA"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1V4S</w:t>
            </w:r>
          </w:p>
        </w:tc>
        <w:tc>
          <w:tcPr>
            <w:tcW w:w="1170" w:type="dxa"/>
            <w:noWrap/>
            <w:vAlign w:val="center"/>
          </w:tcPr>
          <w:p w14:paraId="2BE3A415"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27.4392</w:t>
            </w:r>
          </w:p>
        </w:tc>
        <w:tc>
          <w:tcPr>
            <w:tcW w:w="1260" w:type="dxa"/>
          </w:tcPr>
          <w:p w14:paraId="571A8083"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1.4394</w:t>
            </w:r>
          </w:p>
        </w:tc>
        <w:tc>
          <w:tcPr>
            <w:tcW w:w="1260" w:type="dxa"/>
          </w:tcPr>
          <w:p w14:paraId="2EC0F4FD"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68.6687</w:t>
            </w:r>
          </w:p>
        </w:tc>
      </w:tr>
    </w:tbl>
    <w:p w14:paraId="366499A5"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Prediction of Pharmacokinetics (ADME), </w:t>
      </w:r>
      <w:proofErr w:type="spellStart"/>
      <w:r w:rsidRPr="0063258A">
        <w:rPr>
          <w:rFonts w:ascii="Times New Roman" w:hAnsi="Times New Roman" w:cs="Times New Roman"/>
          <w:b/>
          <w:sz w:val="24"/>
          <w:szCs w:val="24"/>
        </w:rPr>
        <w:t>Physico</w:t>
      </w:r>
      <w:proofErr w:type="spellEnd"/>
      <w:r w:rsidRPr="0063258A">
        <w:rPr>
          <w:rFonts w:ascii="Times New Roman" w:hAnsi="Times New Roman" w:cs="Times New Roman"/>
          <w:b/>
          <w:sz w:val="24"/>
          <w:szCs w:val="24"/>
        </w:rPr>
        <w:t xml:space="preserve">-chemical and Toxicity properties </w:t>
      </w:r>
    </w:p>
    <w:p w14:paraId="4C67234F"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ADMET properties such as Absorption, Distribution, Metabolism, Excretion, </w:t>
      </w:r>
      <w:proofErr w:type="spellStart"/>
      <w:r w:rsidRPr="0063258A">
        <w:rPr>
          <w:rFonts w:ascii="Times New Roman" w:hAnsi="Times New Roman" w:cs="Times New Roman"/>
          <w:sz w:val="24"/>
          <w:szCs w:val="24"/>
        </w:rPr>
        <w:t>Physico</w:t>
      </w:r>
      <w:proofErr w:type="spellEnd"/>
      <w:r w:rsidRPr="0063258A">
        <w:rPr>
          <w:rFonts w:ascii="Times New Roman" w:hAnsi="Times New Roman" w:cs="Times New Roman"/>
          <w:sz w:val="24"/>
          <w:szCs w:val="24"/>
        </w:rPr>
        <w:t>-chemical and Toxicity of the compounds were tested by using ADMETlab3.o server (</w:t>
      </w:r>
      <w:proofErr w:type="spellStart"/>
      <w:r w:rsidR="00CA5A54" w:rsidRPr="0063258A">
        <w:fldChar w:fldCharType="begin"/>
      </w:r>
      <w:r w:rsidR="00CA5A54" w:rsidRPr="0063258A">
        <w:rPr>
          <w:rFonts w:ascii="Times New Roman" w:hAnsi="Times New Roman" w:cs="Times New Roman"/>
          <w:sz w:val="24"/>
          <w:szCs w:val="24"/>
        </w:rPr>
        <w:instrText xml:space="preserve"> HYPERLINK "https://admetlab3.scbdd.com/" </w:instrText>
      </w:r>
      <w:r w:rsidR="00CA5A54" w:rsidRPr="0063258A">
        <w:fldChar w:fldCharType="separate"/>
      </w:r>
      <w:r w:rsidRPr="0063258A">
        <w:rPr>
          <w:rStyle w:val="Hyperlink"/>
          <w:rFonts w:ascii="Times New Roman" w:hAnsi="Times New Roman" w:cs="Times New Roman"/>
          <w:sz w:val="24"/>
          <w:szCs w:val="24"/>
        </w:rPr>
        <w:t>ADMETlab</w:t>
      </w:r>
      <w:proofErr w:type="spellEnd"/>
      <w:r w:rsidRPr="0063258A">
        <w:rPr>
          <w:rStyle w:val="Hyperlink"/>
          <w:rFonts w:ascii="Times New Roman" w:hAnsi="Times New Roman" w:cs="Times New Roman"/>
          <w:sz w:val="24"/>
          <w:szCs w:val="24"/>
        </w:rPr>
        <w:t xml:space="preserve"> 3.0 (scbdd.com)</w:t>
      </w:r>
      <w:r w:rsidR="00CA5A54" w:rsidRPr="0063258A">
        <w:rPr>
          <w:rStyle w:val="Hyperlink"/>
          <w:rFonts w:ascii="Times New Roman" w:hAnsi="Times New Roman" w:cs="Times New Roman"/>
          <w:sz w:val="24"/>
          <w:szCs w:val="24"/>
        </w:rPr>
        <w:fldChar w:fldCharType="end"/>
      </w:r>
      <w:r w:rsidRPr="0063258A">
        <w:rPr>
          <w:rFonts w:ascii="Times New Roman" w:hAnsi="Times New Roman" w:cs="Times New Roman"/>
          <w:sz w:val="24"/>
          <w:szCs w:val="24"/>
        </w:rPr>
        <w:t xml:space="preserve">, accessed on </w:t>
      </w:r>
      <w:r w:rsidR="00E84F12" w:rsidRPr="0063258A">
        <w:rPr>
          <w:rFonts w:ascii="Times New Roman" w:hAnsi="Times New Roman" w:cs="Times New Roman"/>
          <w:sz w:val="24"/>
          <w:szCs w:val="24"/>
        </w:rPr>
        <w:t>July 14</w:t>
      </w:r>
      <w:r w:rsidRPr="0063258A">
        <w:rPr>
          <w:rFonts w:ascii="Times New Roman" w:hAnsi="Times New Roman" w:cs="Times New Roman"/>
          <w:sz w:val="24"/>
          <w:szCs w:val="24"/>
        </w:rPr>
        <w:t xml:space="preserve">, 2025. A freely accessible tool that enables the database to be queried by canonical SMILES notation of the ligands. </w:t>
      </w:r>
    </w:p>
    <w:p w14:paraId="2BC27BC5"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Drug Likeness Screening </w:t>
      </w:r>
    </w:p>
    <w:p w14:paraId="5F1307E3"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Drug likeliness properties of the ligands were analyzed using </w:t>
      </w:r>
      <w:proofErr w:type="spellStart"/>
      <w:r w:rsidRPr="0063258A">
        <w:rPr>
          <w:rFonts w:ascii="Times New Roman" w:hAnsi="Times New Roman" w:cs="Times New Roman"/>
          <w:sz w:val="24"/>
          <w:szCs w:val="24"/>
        </w:rPr>
        <w:t>SwissADME</w:t>
      </w:r>
      <w:proofErr w:type="spellEnd"/>
      <w:r w:rsidRPr="0063258A">
        <w:rPr>
          <w:rFonts w:ascii="Times New Roman" w:hAnsi="Times New Roman" w:cs="Times New Roman"/>
          <w:sz w:val="24"/>
          <w:szCs w:val="24"/>
        </w:rPr>
        <w:t xml:space="preserve"> server (</w:t>
      </w:r>
      <w:hyperlink r:id="rId7" w:history="1">
        <w:r w:rsidRPr="0063258A">
          <w:rPr>
            <w:rStyle w:val="Hyperlink"/>
            <w:rFonts w:ascii="Times New Roman" w:hAnsi="Times New Roman" w:cs="Times New Roman"/>
            <w:sz w:val="24"/>
            <w:szCs w:val="24"/>
          </w:rPr>
          <w:t>www.swissadme.ch/index.php</w:t>
        </w:r>
      </w:hyperlink>
      <w:r w:rsidRPr="0063258A">
        <w:rPr>
          <w:rFonts w:ascii="Times New Roman" w:hAnsi="Times New Roman" w:cs="Times New Roman"/>
          <w:sz w:val="24"/>
          <w:szCs w:val="24"/>
        </w:rPr>
        <w:t xml:space="preserve">) accessed on </w:t>
      </w:r>
      <w:r w:rsidR="00E84F12" w:rsidRPr="0063258A">
        <w:rPr>
          <w:rFonts w:ascii="Times New Roman" w:hAnsi="Times New Roman" w:cs="Times New Roman"/>
          <w:sz w:val="24"/>
          <w:szCs w:val="24"/>
        </w:rPr>
        <w:t>July 14</w:t>
      </w:r>
      <w:r w:rsidRPr="0063258A">
        <w:rPr>
          <w:rFonts w:ascii="Times New Roman" w:hAnsi="Times New Roman" w:cs="Times New Roman"/>
          <w:sz w:val="24"/>
          <w:szCs w:val="24"/>
        </w:rPr>
        <w:t>, 2025. The following drug likeness models were examined; Lipinski, Ghose, Veber, Egan and Muegge.</w:t>
      </w:r>
    </w:p>
    <w:p w14:paraId="782268B4" w14:textId="77777777" w:rsidR="00834BCD" w:rsidRDefault="00A5769A" w:rsidP="00834BCD">
      <w:pPr>
        <w:spacing w:before="240" w:after="240" w:line="240" w:lineRule="auto"/>
        <w:ind w:left="221"/>
        <w:rPr>
          <w:rFonts w:ascii="Times New Roman" w:hAnsi="Times New Roman"/>
          <w:b/>
          <w:bCs/>
          <w:sz w:val="24"/>
          <w:szCs w:val="24"/>
        </w:rPr>
      </w:pPr>
      <w:r>
        <w:rPr>
          <w:rFonts w:ascii="Times New Roman" w:hAnsi="Times New Roman"/>
          <w:b/>
          <w:bCs/>
          <w:sz w:val="24"/>
          <w:szCs w:val="24"/>
        </w:rPr>
        <w:t xml:space="preserve">2.7 </w:t>
      </w:r>
      <w:r w:rsidR="00834BCD">
        <w:rPr>
          <w:rFonts w:ascii="Times New Roman" w:hAnsi="Times New Roman"/>
          <w:b/>
          <w:bCs/>
          <w:sz w:val="24"/>
          <w:szCs w:val="24"/>
        </w:rPr>
        <w:t>Statistical Analysis</w:t>
      </w:r>
    </w:p>
    <w:p w14:paraId="5B17A80B" w14:textId="77777777" w:rsidR="00834BCD" w:rsidRDefault="00834BCD" w:rsidP="00834BCD">
      <w:pPr>
        <w:spacing w:line="240" w:lineRule="auto"/>
        <w:ind w:left="221"/>
        <w:jc w:val="both"/>
        <w:rPr>
          <w:rFonts w:ascii="Times New Roman" w:eastAsia="Times New Roman" w:hAnsi="Times New Roman"/>
          <w:sz w:val="24"/>
          <w:szCs w:val="24"/>
        </w:rPr>
      </w:pPr>
      <w:r>
        <w:rPr>
          <w:rFonts w:ascii="Times New Roman" w:eastAsia="Times New Roman" w:hAnsi="Times New Roman"/>
          <w:color w:val="000000"/>
          <w:sz w:val="24"/>
          <w:szCs w:val="24"/>
        </w:rPr>
        <w:t>Research objectives and hypothesis of t</w:t>
      </w:r>
      <w:r w:rsidR="00A45A54">
        <w:rPr>
          <w:rFonts w:ascii="Times New Roman" w:eastAsia="Times New Roman" w:hAnsi="Times New Roman"/>
          <w:color w:val="000000"/>
          <w:sz w:val="24"/>
          <w:szCs w:val="24"/>
        </w:rPr>
        <w:t>he study were</w:t>
      </w:r>
      <w:r>
        <w:rPr>
          <w:rFonts w:ascii="Times New Roman" w:eastAsia="Times New Roman" w:hAnsi="Times New Roman"/>
          <w:color w:val="000000"/>
          <w:sz w:val="24"/>
          <w:szCs w:val="24"/>
        </w:rPr>
        <w:t xml:space="preserve"> considered before analyzing </w:t>
      </w:r>
      <w:r w:rsidR="00554D91">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 xml:space="preserve">data. The data generated in this study were expressed in mean </w:t>
      </w:r>
      <w:proofErr w:type="spellStart"/>
      <w:r>
        <w:rPr>
          <w:rFonts w:ascii="Times New Roman" w:eastAsia="Times New Roman" w:hAnsi="Times New Roman"/>
          <w:b/>
          <w:bCs/>
          <w:color w:val="000000"/>
          <w:sz w:val="24"/>
          <w:szCs w:val="24"/>
        </w:rPr>
        <w:t>Mean</w:t>
      </w:r>
      <w:r>
        <w:rPr>
          <w:rFonts w:ascii="Symbol" w:eastAsia="Times New Roman" w:hAnsi="Symbol"/>
          <w:b/>
          <w:bCs/>
          <w:color w:val="000000"/>
          <w:sz w:val="24"/>
          <w:szCs w:val="24"/>
        </w:rPr>
        <w:t></w:t>
      </w:r>
      <w:r>
        <w:rPr>
          <w:rFonts w:ascii="Times New Roman" w:eastAsia="Times New Roman" w:hAnsi="Times New Roman"/>
          <w:b/>
          <w:bCs/>
          <w:color w:val="000000"/>
          <w:sz w:val="24"/>
          <w:szCs w:val="24"/>
        </w:rPr>
        <w:t>SEM</w:t>
      </w:r>
      <w:proofErr w:type="spellEnd"/>
      <w:r>
        <w:rPr>
          <w:rFonts w:ascii="Times New Roman" w:eastAsia="Times New Roman" w:hAnsi="Times New Roman"/>
          <w:color w:val="000000"/>
          <w:sz w:val="24"/>
          <w:szCs w:val="24"/>
        </w:rPr>
        <w:t xml:space="preserve"> where applicable. The results were statistically analyzed using the SPSS version 25 software. Means and standard errors of mean will be calculated. Statistical differences between the experimental and control groups were determined using ANOVA and values will be considered significant at p ≤ 0.05.</w:t>
      </w:r>
    </w:p>
    <w:p w14:paraId="35968224" w14:textId="77777777" w:rsidR="00A70B3D" w:rsidRDefault="00A70B3D" w:rsidP="00C747A2">
      <w:pPr>
        <w:autoSpaceDE w:val="0"/>
        <w:autoSpaceDN w:val="0"/>
        <w:adjustRightInd w:val="0"/>
        <w:spacing w:before="240" w:line="276" w:lineRule="auto"/>
        <w:jc w:val="both"/>
        <w:rPr>
          <w:rFonts w:ascii="Times New Roman" w:hAnsi="Times New Roman" w:cs="Times New Roman"/>
          <w:b/>
          <w:sz w:val="24"/>
          <w:szCs w:val="24"/>
        </w:rPr>
      </w:pPr>
    </w:p>
    <w:p w14:paraId="6A0B783E" w14:textId="77777777" w:rsidR="006A4B44" w:rsidRPr="0063258A" w:rsidRDefault="006A4B44" w:rsidP="00C747A2">
      <w:pPr>
        <w:autoSpaceDE w:val="0"/>
        <w:autoSpaceDN w:val="0"/>
        <w:adjustRightInd w:val="0"/>
        <w:spacing w:before="240" w:line="276" w:lineRule="auto"/>
        <w:jc w:val="both"/>
        <w:rPr>
          <w:rFonts w:ascii="Times New Roman" w:hAnsi="Times New Roman" w:cs="Times New Roman"/>
          <w:b/>
          <w:sz w:val="24"/>
          <w:szCs w:val="24"/>
        </w:rPr>
      </w:pPr>
    </w:p>
    <w:p w14:paraId="5510C235" w14:textId="69ECC66E"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RESULTS</w:t>
      </w:r>
      <w:r w:rsidR="005D6718">
        <w:rPr>
          <w:rFonts w:ascii="Times New Roman" w:hAnsi="Times New Roman" w:cs="Times New Roman"/>
          <w:b/>
          <w:sz w:val="24"/>
          <w:szCs w:val="24"/>
        </w:rPr>
        <w:t xml:space="preserve"> &amp;</w:t>
      </w:r>
      <w:r w:rsidR="005D6718" w:rsidRPr="005D6718">
        <w:t xml:space="preserve"> </w:t>
      </w:r>
      <w:r w:rsidR="005D6718" w:rsidRPr="005D6718">
        <w:rPr>
          <w:rFonts w:ascii="Times New Roman" w:hAnsi="Times New Roman" w:cs="Times New Roman"/>
          <w:b/>
          <w:sz w:val="24"/>
          <w:szCs w:val="24"/>
        </w:rPr>
        <w:t>DISCUSSION</w:t>
      </w:r>
    </w:p>
    <w:p w14:paraId="7EF7435E" w14:textId="77777777" w:rsidR="00A70B3D" w:rsidRPr="0063258A" w:rsidRDefault="00A70B3D"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In-vivo Results</w:t>
      </w:r>
    </w:p>
    <w:p w14:paraId="6EE05E5D" w14:textId="77777777" w:rsidR="00A70B3D" w:rsidRPr="0063258A" w:rsidRDefault="00A70B3D" w:rsidP="00A70B3D">
      <w:pPr>
        <w:spacing w:line="360" w:lineRule="auto"/>
        <w:jc w:val="both"/>
        <w:rPr>
          <w:rFonts w:ascii="Times New Roman" w:hAnsi="Times New Roman" w:cs="Times New Roman"/>
          <w:sz w:val="24"/>
          <w:szCs w:val="24"/>
        </w:rPr>
      </w:pPr>
      <w:r w:rsidRPr="0063258A">
        <w:rPr>
          <w:rFonts w:ascii="Times New Roman" w:hAnsi="Times New Roman" w:cs="Times New Roman"/>
          <w:noProof/>
          <w:sz w:val="24"/>
          <w:szCs w:val="24"/>
        </w:rPr>
        <w:lastRenderedPageBreak/>
        <w:drawing>
          <wp:inline distT="0" distB="0" distL="0" distR="0" wp14:anchorId="567014F2" wp14:editId="24E06547">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91014F"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Fig 1. Graphical description of body weights of animals</w:t>
      </w:r>
    </w:p>
    <w:p w14:paraId="45EC005A" w14:textId="77777777" w:rsidR="00A70B3D" w:rsidRPr="0063258A" w:rsidRDefault="00A70B3D" w:rsidP="00A70B3D">
      <w:pPr>
        <w:spacing w:line="360" w:lineRule="auto"/>
        <w:jc w:val="both"/>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5A4F7B6E" wp14:editId="363F1A61">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D64F92"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Fig 2. Insulin levels</w:t>
      </w:r>
    </w:p>
    <w:p w14:paraId="7DB74377"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A</w:t>
      </w:r>
      <w:r w:rsidRPr="0063258A">
        <w:rPr>
          <w:rFonts w:ascii="Times New Roman" w:hAnsi="Times New Roman" w:cs="Times New Roman"/>
          <w:noProof/>
          <w:sz w:val="24"/>
          <w:szCs w:val="24"/>
        </w:rPr>
        <w:drawing>
          <wp:inline distT="0" distB="0" distL="0" distR="0" wp14:anchorId="13DF9658" wp14:editId="03975CF4">
            <wp:extent cx="2594344" cy="1948833"/>
            <wp:effectExtent l="0" t="0" r="0" b="0"/>
            <wp:docPr id="1023988699" name="Picture 102398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13864" cy="1963496"/>
                    </a:xfrm>
                    <a:prstGeom prst="rect">
                      <a:avLst/>
                    </a:prstGeom>
                    <a:noFill/>
                    <a:ln w="9525">
                      <a:noFill/>
                      <a:miter lim="800000"/>
                      <a:headEnd/>
                      <a:tailEnd/>
                    </a:ln>
                  </pic:spPr>
                </pic:pic>
              </a:graphicData>
            </a:graphic>
          </wp:inline>
        </w:drawing>
      </w:r>
      <w:r w:rsidRPr="0063258A">
        <w:rPr>
          <w:rFonts w:ascii="Times New Roman" w:hAnsi="Times New Roman" w:cs="Times New Roman"/>
          <w:b/>
          <w:noProof/>
          <w:sz w:val="24"/>
          <w:szCs w:val="24"/>
        </w:rPr>
        <w:t>B</w:t>
      </w:r>
      <w:r w:rsidRPr="0063258A">
        <w:rPr>
          <w:rFonts w:ascii="Times New Roman" w:hAnsi="Times New Roman" w:cs="Times New Roman"/>
          <w:noProof/>
          <w:sz w:val="24"/>
          <w:szCs w:val="24"/>
        </w:rPr>
        <w:t xml:space="preserve"> </w:t>
      </w:r>
      <w:r w:rsidRPr="0063258A">
        <w:rPr>
          <w:rFonts w:ascii="Times New Roman" w:hAnsi="Times New Roman" w:cs="Times New Roman"/>
          <w:noProof/>
          <w:sz w:val="24"/>
          <w:szCs w:val="24"/>
        </w:rPr>
        <w:drawing>
          <wp:inline distT="0" distB="0" distL="0" distR="0" wp14:anchorId="7424BAD5" wp14:editId="402064EE">
            <wp:extent cx="3051544" cy="183941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061514" cy="1845423"/>
                    </a:xfrm>
                    <a:prstGeom prst="rect">
                      <a:avLst/>
                    </a:prstGeom>
                    <a:noFill/>
                    <a:ln w="9525">
                      <a:noFill/>
                      <a:miter lim="800000"/>
                      <a:headEnd/>
                      <a:tailEnd/>
                    </a:ln>
                  </pic:spPr>
                </pic:pic>
              </a:graphicData>
            </a:graphic>
          </wp:inline>
        </w:drawing>
      </w:r>
    </w:p>
    <w:p w14:paraId="7AA42B9B" w14:textId="77777777" w:rsidR="00A70B3D" w:rsidRPr="0063258A" w:rsidRDefault="00A70B3D" w:rsidP="00A70B3D">
      <w:pPr>
        <w:spacing w:line="360" w:lineRule="auto"/>
        <w:jc w:val="both"/>
        <w:rPr>
          <w:rFonts w:ascii="Times New Roman" w:hAnsi="Times New Roman" w:cs="Times New Roman"/>
          <w:noProof/>
          <w:sz w:val="24"/>
          <w:szCs w:val="24"/>
        </w:rPr>
      </w:pPr>
      <w:r w:rsidRPr="0063258A">
        <w:rPr>
          <w:rFonts w:ascii="Times New Roman" w:hAnsi="Times New Roman" w:cs="Times New Roman"/>
          <w:b/>
          <w:noProof/>
          <w:sz w:val="24"/>
          <w:szCs w:val="24"/>
        </w:rPr>
        <w:t>C</w:t>
      </w:r>
      <w:r w:rsidRPr="0063258A">
        <w:rPr>
          <w:rFonts w:ascii="Times New Roman" w:hAnsi="Times New Roman" w:cs="Times New Roman"/>
          <w:noProof/>
          <w:sz w:val="24"/>
          <w:szCs w:val="24"/>
        </w:rPr>
        <w:t xml:space="preserve"> </w:t>
      </w:r>
      <w:r w:rsidRPr="0063258A">
        <w:rPr>
          <w:rFonts w:ascii="Times New Roman" w:hAnsi="Times New Roman" w:cs="Times New Roman"/>
          <w:noProof/>
          <w:sz w:val="24"/>
          <w:szCs w:val="24"/>
        </w:rPr>
        <w:drawing>
          <wp:inline distT="0" distB="0" distL="0" distR="0" wp14:anchorId="1634D896" wp14:editId="0465A05A">
            <wp:extent cx="2551814" cy="1903206"/>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555905" cy="1906257"/>
                    </a:xfrm>
                    <a:prstGeom prst="rect">
                      <a:avLst/>
                    </a:prstGeom>
                    <a:noFill/>
                    <a:ln w="9525">
                      <a:noFill/>
                      <a:miter lim="800000"/>
                      <a:headEnd/>
                      <a:tailEnd/>
                    </a:ln>
                  </pic:spPr>
                </pic:pic>
              </a:graphicData>
            </a:graphic>
          </wp:inline>
        </w:drawing>
      </w:r>
      <w:r w:rsidRPr="0063258A">
        <w:rPr>
          <w:rFonts w:ascii="Times New Roman" w:hAnsi="Times New Roman" w:cs="Times New Roman"/>
          <w:b/>
          <w:noProof/>
          <w:sz w:val="24"/>
          <w:szCs w:val="24"/>
        </w:rPr>
        <w:t>D</w:t>
      </w:r>
      <w:r w:rsidRPr="0063258A">
        <w:rPr>
          <w:rFonts w:ascii="Times New Roman" w:hAnsi="Times New Roman" w:cs="Times New Roman"/>
          <w:noProof/>
          <w:sz w:val="24"/>
          <w:szCs w:val="24"/>
        </w:rPr>
        <w:t xml:space="preserve"> </w:t>
      </w:r>
      <w:r w:rsidRPr="0063258A">
        <w:rPr>
          <w:rFonts w:ascii="Times New Roman" w:hAnsi="Times New Roman" w:cs="Times New Roman"/>
          <w:noProof/>
          <w:sz w:val="24"/>
          <w:szCs w:val="24"/>
        </w:rPr>
        <w:drawing>
          <wp:inline distT="0" distB="0" distL="0" distR="0" wp14:anchorId="49DFBA3C" wp14:editId="26F87D7E">
            <wp:extent cx="2841578" cy="19032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855173" cy="1912334"/>
                    </a:xfrm>
                    <a:prstGeom prst="rect">
                      <a:avLst/>
                    </a:prstGeom>
                    <a:noFill/>
                    <a:ln w="9525">
                      <a:noFill/>
                      <a:miter lim="800000"/>
                      <a:headEnd/>
                      <a:tailEnd/>
                    </a:ln>
                  </pic:spPr>
                </pic:pic>
              </a:graphicData>
            </a:graphic>
          </wp:inline>
        </w:drawing>
      </w:r>
    </w:p>
    <w:p w14:paraId="0729D16C"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noProof/>
          <w:sz w:val="24"/>
          <w:szCs w:val="24"/>
        </w:rPr>
        <w:drawing>
          <wp:anchor distT="0" distB="0" distL="114300" distR="114300" simplePos="0" relativeHeight="251661312" behindDoc="0" locked="0" layoutInCell="1" allowOverlap="1" wp14:anchorId="126D7971" wp14:editId="0CD8A3E5">
            <wp:simplePos x="0" y="0"/>
            <wp:positionH relativeFrom="margin">
              <wp:align>left</wp:align>
            </wp:positionH>
            <wp:positionV relativeFrom="paragraph">
              <wp:posOffset>10160</wp:posOffset>
            </wp:positionV>
            <wp:extent cx="2828925" cy="2143125"/>
            <wp:effectExtent l="0" t="0" r="9525" b="9525"/>
            <wp:wrapThrough wrapText="bothSides">
              <wp:wrapPolygon edited="0">
                <wp:start x="0" y="0"/>
                <wp:lineTo x="0" y="21504"/>
                <wp:lineTo x="21527" y="21504"/>
                <wp:lineTo x="215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2143125"/>
                    </a:xfrm>
                    <a:prstGeom prst="rect">
                      <a:avLst/>
                    </a:prstGeom>
                  </pic:spPr>
                </pic:pic>
              </a:graphicData>
            </a:graphic>
          </wp:anchor>
        </w:drawing>
      </w:r>
      <w:r w:rsidRPr="0063258A">
        <w:rPr>
          <w:rFonts w:ascii="Times New Roman" w:hAnsi="Times New Roman" w:cs="Times New Roman"/>
          <w:b/>
          <w:noProof/>
          <w:sz w:val="24"/>
          <w:szCs w:val="24"/>
        </w:rPr>
        <w:t xml:space="preserve">E  </w:t>
      </w:r>
    </w:p>
    <w:p w14:paraId="6A53D64D" w14:textId="77777777" w:rsidR="00A70B3D" w:rsidRPr="0063258A" w:rsidRDefault="00A70B3D" w:rsidP="00A70B3D">
      <w:pPr>
        <w:spacing w:line="360" w:lineRule="auto"/>
        <w:jc w:val="both"/>
        <w:rPr>
          <w:rFonts w:ascii="Times New Roman" w:hAnsi="Times New Roman" w:cs="Times New Roman"/>
          <w:b/>
          <w:sz w:val="24"/>
          <w:szCs w:val="24"/>
        </w:rPr>
      </w:pPr>
    </w:p>
    <w:p w14:paraId="2D513F69" w14:textId="77777777" w:rsidR="00A70B3D" w:rsidRPr="0063258A" w:rsidRDefault="00A70B3D" w:rsidP="00A70B3D">
      <w:pPr>
        <w:spacing w:line="360" w:lineRule="auto"/>
        <w:jc w:val="both"/>
        <w:rPr>
          <w:rFonts w:ascii="Times New Roman" w:hAnsi="Times New Roman" w:cs="Times New Roman"/>
          <w:b/>
          <w:sz w:val="24"/>
          <w:szCs w:val="24"/>
        </w:rPr>
      </w:pPr>
    </w:p>
    <w:p w14:paraId="20FA6727" w14:textId="77777777" w:rsidR="00A70B3D" w:rsidRPr="0063258A" w:rsidRDefault="00A70B3D" w:rsidP="00A70B3D">
      <w:pPr>
        <w:spacing w:line="360" w:lineRule="auto"/>
        <w:jc w:val="both"/>
        <w:rPr>
          <w:rFonts w:ascii="Times New Roman" w:hAnsi="Times New Roman" w:cs="Times New Roman"/>
          <w:b/>
          <w:sz w:val="24"/>
          <w:szCs w:val="24"/>
        </w:rPr>
      </w:pPr>
    </w:p>
    <w:p w14:paraId="41540C00" w14:textId="77777777" w:rsidR="00A70B3D" w:rsidRPr="0063258A" w:rsidRDefault="00A70B3D" w:rsidP="00A70B3D">
      <w:pPr>
        <w:spacing w:line="360" w:lineRule="auto"/>
        <w:jc w:val="both"/>
        <w:rPr>
          <w:rFonts w:ascii="Times New Roman" w:hAnsi="Times New Roman" w:cs="Times New Roman"/>
          <w:b/>
          <w:sz w:val="24"/>
          <w:szCs w:val="24"/>
        </w:rPr>
      </w:pPr>
    </w:p>
    <w:p w14:paraId="505D24C1" w14:textId="77777777" w:rsidR="00A70B3D" w:rsidRPr="0063258A" w:rsidRDefault="00A70B3D" w:rsidP="00A70B3D">
      <w:pPr>
        <w:spacing w:line="360" w:lineRule="auto"/>
        <w:jc w:val="both"/>
        <w:rPr>
          <w:rFonts w:ascii="Times New Roman" w:hAnsi="Times New Roman" w:cs="Times New Roman"/>
          <w:b/>
          <w:sz w:val="24"/>
          <w:szCs w:val="24"/>
        </w:rPr>
      </w:pPr>
    </w:p>
    <w:p w14:paraId="2057E844" w14:textId="77777777" w:rsidR="00A70B3D" w:rsidRPr="0063258A" w:rsidRDefault="00A70B3D" w:rsidP="00A70B3D">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Fig. 3</w:t>
      </w:r>
      <w:r w:rsidR="00320F53" w:rsidRPr="0063258A">
        <w:rPr>
          <w:rFonts w:ascii="Times New Roman" w:hAnsi="Times New Roman" w:cs="Times New Roman"/>
          <w:b/>
          <w:sz w:val="24"/>
          <w:szCs w:val="24"/>
        </w:rPr>
        <w:t xml:space="preserve">: (Group A) pancreatic tissue with normal architecture of the islets of Langerhans (IL) and pancreatic acini (Group B) necrotic islet of pancreas (N), fewer acinar cells (F) with swollen pancreatic acini (black arrow) (Group C) normal morphology of the pancreatic acini (black arrow) with well-preserved cells islet of Langerhans (Group D) Atrophic change of the acinar cells was less severe and the border between exocrine and endocrine portions became more distinct (black arrows) with nearly normal structure of Islets of Langerhans (F) (Group E). normal pancreatic islets of Langerhans, with well-preserved exocrine </w:t>
      </w:r>
      <w:proofErr w:type="spellStart"/>
      <w:r w:rsidR="00320F53" w:rsidRPr="0063258A">
        <w:rPr>
          <w:rFonts w:ascii="Times New Roman" w:hAnsi="Times New Roman" w:cs="Times New Roman"/>
          <w:b/>
          <w:sz w:val="24"/>
          <w:szCs w:val="24"/>
        </w:rPr>
        <w:t>aciniar</w:t>
      </w:r>
      <w:proofErr w:type="spellEnd"/>
      <w:r w:rsidR="00320F53" w:rsidRPr="0063258A">
        <w:rPr>
          <w:rFonts w:ascii="Times New Roman" w:hAnsi="Times New Roman" w:cs="Times New Roman"/>
          <w:b/>
          <w:sz w:val="24"/>
          <w:szCs w:val="24"/>
        </w:rPr>
        <w:t>.</w:t>
      </w:r>
    </w:p>
    <w:p w14:paraId="67763E9C" w14:textId="77777777" w:rsidR="00FE3A65" w:rsidRPr="0063258A" w:rsidRDefault="00FE3A65" w:rsidP="00E84F12">
      <w:pPr>
        <w:jc w:val="both"/>
        <w:rPr>
          <w:rFonts w:ascii="Times New Roman" w:hAnsi="Times New Roman" w:cs="Times New Roman"/>
          <w:b/>
          <w:sz w:val="24"/>
          <w:szCs w:val="24"/>
        </w:rPr>
      </w:pPr>
      <w:r w:rsidRPr="0063258A">
        <w:rPr>
          <w:rFonts w:ascii="Times New Roman" w:hAnsi="Times New Roman" w:cs="Times New Roman"/>
          <w:b/>
          <w:sz w:val="24"/>
          <w:szCs w:val="24"/>
        </w:rPr>
        <w:t>In-silico Results</w:t>
      </w:r>
    </w:p>
    <w:p w14:paraId="3E4CD292" w14:textId="77777777" w:rsidR="00BE7112" w:rsidRPr="0063258A" w:rsidRDefault="00E84F12" w:rsidP="00E84F12">
      <w:pPr>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 xml:space="preserve">Table 3: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Metallothioneins-1</w:t>
      </w:r>
      <w:r w:rsidRPr="0063258A">
        <w:rPr>
          <w:rFonts w:ascii="Times New Roman" w:hAnsi="Times New Roman" w:cs="Times New Roman"/>
          <w:b/>
          <w:sz w:val="24"/>
          <w:szCs w:val="24"/>
        </w:rPr>
        <w:t xml:space="preserve"> target (PDB: 1MHU)</w:t>
      </w:r>
    </w:p>
    <w:tbl>
      <w:tblPr>
        <w:tblW w:w="9180" w:type="dxa"/>
        <w:tblBorders>
          <w:top w:val="single" w:sz="4" w:space="0" w:color="auto"/>
          <w:bottom w:val="single" w:sz="4" w:space="0" w:color="auto"/>
        </w:tblBorders>
        <w:tblLook w:val="04A0" w:firstRow="1" w:lastRow="0" w:firstColumn="1" w:lastColumn="0" w:noHBand="0" w:noVBand="1"/>
      </w:tblPr>
      <w:tblGrid>
        <w:gridCol w:w="5850"/>
        <w:gridCol w:w="1260"/>
        <w:gridCol w:w="2070"/>
      </w:tblGrid>
      <w:tr w:rsidR="00FB6F48" w:rsidRPr="0063258A" w14:paraId="35BCEEA7" w14:textId="77777777" w:rsidTr="00E84F12">
        <w:trPr>
          <w:trHeight w:val="300"/>
        </w:trPr>
        <w:tc>
          <w:tcPr>
            <w:tcW w:w="5850" w:type="dxa"/>
            <w:tcBorders>
              <w:top w:val="single" w:sz="4" w:space="0" w:color="auto"/>
              <w:bottom w:val="single" w:sz="4" w:space="0" w:color="auto"/>
            </w:tcBorders>
            <w:vAlign w:val="center"/>
          </w:tcPr>
          <w:p w14:paraId="2436F419" w14:textId="77777777" w:rsidR="00FB6F48" w:rsidRPr="0063258A" w:rsidRDefault="00E84F12" w:rsidP="008C21E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Ligands</w:t>
            </w:r>
          </w:p>
        </w:tc>
        <w:tc>
          <w:tcPr>
            <w:tcW w:w="1260" w:type="dxa"/>
            <w:tcBorders>
              <w:top w:val="single" w:sz="4" w:space="0" w:color="auto"/>
              <w:bottom w:val="single" w:sz="4" w:space="0" w:color="auto"/>
            </w:tcBorders>
            <w:noWrap/>
            <w:vAlign w:val="center"/>
            <w:hideMark/>
          </w:tcPr>
          <w:p w14:paraId="6B3F1A60" w14:textId="77777777" w:rsidR="00FB6F48" w:rsidRPr="0063258A" w:rsidRDefault="00E84F12" w:rsidP="008C21E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2070" w:type="dxa"/>
            <w:tcBorders>
              <w:top w:val="single" w:sz="4" w:space="0" w:color="auto"/>
              <w:bottom w:val="single" w:sz="4" w:space="0" w:color="auto"/>
            </w:tcBorders>
            <w:noWrap/>
            <w:vAlign w:val="center"/>
            <w:hideMark/>
          </w:tcPr>
          <w:p w14:paraId="6EE3D706" w14:textId="77777777" w:rsidR="00FB6F48" w:rsidRPr="0063258A" w:rsidRDefault="00FB6F48" w:rsidP="008C21E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w:t>
            </w:r>
            <w:r w:rsidR="00E84F12" w:rsidRPr="0063258A">
              <w:rPr>
                <w:rFonts w:ascii="Times New Roman" w:eastAsia="Times New Roman" w:hAnsi="Times New Roman" w:cs="Times New Roman"/>
                <w:b/>
                <w:color w:val="000000"/>
                <w:sz w:val="24"/>
                <w:szCs w:val="24"/>
              </w:rPr>
              <w:t xml:space="preserve"> (Kcal/mol)</w:t>
            </w:r>
          </w:p>
        </w:tc>
      </w:tr>
      <w:tr w:rsidR="00FB6F48" w:rsidRPr="0063258A" w14:paraId="22AADBA9" w14:textId="77777777" w:rsidTr="00E84F12">
        <w:trPr>
          <w:trHeight w:val="300"/>
        </w:trPr>
        <w:tc>
          <w:tcPr>
            <w:tcW w:w="5850" w:type="dxa"/>
            <w:tcBorders>
              <w:top w:val="single" w:sz="4" w:space="0" w:color="auto"/>
            </w:tcBorders>
            <w:vAlign w:val="center"/>
          </w:tcPr>
          <w:p w14:paraId="2C1C3EAE"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Deferasirox (Control)</w:t>
            </w:r>
          </w:p>
        </w:tc>
        <w:tc>
          <w:tcPr>
            <w:tcW w:w="1260" w:type="dxa"/>
            <w:tcBorders>
              <w:top w:val="single" w:sz="4" w:space="0" w:color="auto"/>
            </w:tcBorders>
            <w:noWrap/>
            <w:vAlign w:val="center"/>
          </w:tcPr>
          <w:p w14:paraId="529D7406"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214348</w:t>
            </w:r>
          </w:p>
        </w:tc>
        <w:tc>
          <w:tcPr>
            <w:tcW w:w="2070" w:type="dxa"/>
            <w:tcBorders>
              <w:top w:val="single" w:sz="4" w:space="0" w:color="auto"/>
            </w:tcBorders>
            <w:noWrap/>
            <w:vAlign w:val="center"/>
          </w:tcPr>
          <w:p w14:paraId="7D78E9B6" w14:textId="77777777" w:rsidR="00FB6F48" w:rsidRPr="0063258A" w:rsidRDefault="00FB6F48"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-5.9</w:t>
            </w:r>
          </w:p>
        </w:tc>
      </w:tr>
      <w:tr w:rsidR="00FB6F48" w:rsidRPr="0063258A" w14:paraId="131536EE" w14:textId="77777777" w:rsidTr="00E84F12">
        <w:trPr>
          <w:trHeight w:val="300"/>
        </w:trPr>
        <w:tc>
          <w:tcPr>
            <w:tcW w:w="5850" w:type="dxa"/>
            <w:vAlign w:val="center"/>
          </w:tcPr>
          <w:p w14:paraId="0FB9B5A5"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Dicyclohexyl</w:t>
            </w:r>
            <w:proofErr w:type="spellEnd"/>
            <w:r w:rsidRPr="0063258A">
              <w:rPr>
                <w:rFonts w:ascii="Times New Roman" w:hAnsi="Times New Roman" w:cs="Times New Roman"/>
                <w:color w:val="212121"/>
                <w:sz w:val="24"/>
                <w:szCs w:val="24"/>
                <w:shd w:val="clear" w:color="auto" w:fill="FFFFFF"/>
              </w:rPr>
              <w:t xml:space="preserve"> benzene-1,2-dicarboxylate</w:t>
            </w:r>
          </w:p>
        </w:tc>
        <w:tc>
          <w:tcPr>
            <w:tcW w:w="1260" w:type="dxa"/>
            <w:noWrap/>
            <w:vAlign w:val="center"/>
            <w:hideMark/>
          </w:tcPr>
          <w:p w14:paraId="627A26D9"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6777</w:t>
            </w:r>
          </w:p>
        </w:tc>
        <w:tc>
          <w:tcPr>
            <w:tcW w:w="2070" w:type="dxa"/>
            <w:noWrap/>
            <w:vAlign w:val="center"/>
            <w:hideMark/>
          </w:tcPr>
          <w:p w14:paraId="03313D9C"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-4.4</w:t>
            </w:r>
          </w:p>
        </w:tc>
      </w:tr>
      <w:tr w:rsidR="00FB6F48" w:rsidRPr="0063258A" w14:paraId="2050AD88" w14:textId="77777777" w:rsidTr="00E84F12">
        <w:trPr>
          <w:trHeight w:val="300"/>
        </w:trPr>
        <w:tc>
          <w:tcPr>
            <w:tcW w:w="5850" w:type="dxa"/>
            <w:vAlign w:val="center"/>
          </w:tcPr>
          <w:p w14:paraId="2FE91737"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Methyl 3-(3,5-ditert-butyl-4-hydroxyphenyl)propanoate</w:t>
            </w:r>
          </w:p>
        </w:tc>
        <w:tc>
          <w:tcPr>
            <w:tcW w:w="1260" w:type="dxa"/>
            <w:noWrap/>
            <w:vAlign w:val="center"/>
            <w:hideMark/>
          </w:tcPr>
          <w:p w14:paraId="1C2C5FCA"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62603</w:t>
            </w:r>
          </w:p>
        </w:tc>
        <w:tc>
          <w:tcPr>
            <w:tcW w:w="2070" w:type="dxa"/>
            <w:noWrap/>
            <w:vAlign w:val="center"/>
            <w:hideMark/>
          </w:tcPr>
          <w:p w14:paraId="6D6394CF"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w:t>
            </w:r>
          </w:p>
        </w:tc>
      </w:tr>
      <w:tr w:rsidR="00FB6F48" w:rsidRPr="0063258A" w14:paraId="6D4487B9" w14:textId="77777777" w:rsidTr="00E84F12">
        <w:trPr>
          <w:trHeight w:val="300"/>
        </w:trPr>
        <w:tc>
          <w:tcPr>
            <w:tcW w:w="5850" w:type="dxa"/>
            <w:vAlign w:val="center"/>
          </w:tcPr>
          <w:p w14:paraId="521DF646"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(2R)-2,8-dimethyl-2-[(4R,8R)-4,8,12-trimethyltridecyl]-3,4-dihydrochromen-6-ol</w:t>
            </w:r>
            <w:r w:rsidRPr="0063258A">
              <w:rPr>
                <w:rFonts w:ascii="Times New Roman" w:hAnsi="Times New Roman" w:cs="Times New Roman"/>
                <w:color w:val="212121"/>
                <w:sz w:val="24"/>
                <w:szCs w:val="24"/>
                <w:shd w:val="clear" w:color="auto" w:fill="FFFFFF"/>
              </w:rPr>
              <w:t> </w:t>
            </w:r>
          </w:p>
        </w:tc>
        <w:tc>
          <w:tcPr>
            <w:tcW w:w="1260" w:type="dxa"/>
            <w:noWrap/>
            <w:vAlign w:val="center"/>
            <w:hideMark/>
          </w:tcPr>
          <w:p w14:paraId="627DBA4A"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92094</w:t>
            </w:r>
          </w:p>
        </w:tc>
        <w:tc>
          <w:tcPr>
            <w:tcW w:w="2070" w:type="dxa"/>
            <w:noWrap/>
            <w:vAlign w:val="center"/>
            <w:hideMark/>
          </w:tcPr>
          <w:p w14:paraId="0C60811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w:t>
            </w:r>
          </w:p>
        </w:tc>
      </w:tr>
      <w:tr w:rsidR="00FB6F48" w:rsidRPr="0063258A" w14:paraId="3AF26018" w14:textId="77777777" w:rsidTr="00E84F12">
        <w:trPr>
          <w:trHeight w:val="300"/>
        </w:trPr>
        <w:tc>
          <w:tcPr>
            <w:tcW w:w="5850" w:type="dxa"/>
            <w:vAlign w:val="center"/>
          </w:tcPr>
          <w:p w14:paraId="7917AB88"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Deferoxamine (Control)</w:t>
            </w:r>
          </w:p>
        </w:tc>
        <w:tc>
          <w:tcPr>
            <w:tcW w:w="1260" w:type="dxa"/>
            <w:noWrap/>
            <w:vAlign w:val="center"/>
          </w:tcPr>
          <w:p w14:paraId="1C1C6CD4"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2973</w:t>
            </w:r>
          </w:p>
        </w:tc>
        <w:tc>
          <w:tcPr>
            <w:tcW w:w="2070" w:type="dxa"/>
            <w:noWrap/>
            <w:vAlign w:val="center"/>
          </w:tcPr>
          <w:p w14:paraId="0987D490" w14:textId="77777777" w:rsidR="00FB6F48" w:rsidRPr="0063258A" w:rsidRDefault="00FB6F48"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-3.9</w:t>
            </w:r>
          </w:p>
        </w:tc>
      </w:tr>
      <w:tr w:rsidR="00FB6F48" w:rsidRPr="0063258A" w14:paraId="0F26719D" w14:textId="77777777" w:rsidTr="00E84F12">
        <w:trPr>
          <w:trHeight w:val="300"/>
        </w:trPr>
        <w:tc>
          <w:tcPr>
            <w:tcW w:w="5850" w:type="dxa"/>
            <w:vAlign w:val="center"/>
          </w:tcPr>
          <w:p w14:paraId="7F5D5301"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4,4,7-trimethyl-2,3-dihydro-1H-naphthalene</w:t>
            </w:r>
          </w:p>
        </w:tc>
        <w:tc>
          <w:tcPr>
            <w:tcW w:w="1260" w:type="dxa"/>
            <w:noWrap/>
            <w:vAlign w:val="center"/>
            <w:hideMark/>
          </w:tcPr>
          <w:p w14:paraId="3A4648D9"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68057</w:t>
            </w:r>
          </w:p>
        </w:tc>
        <w:tc>
          <w:tcPr>
            <w:tcW w:w="2070" w:type="dxa"/>
            <w:noWrap/>
            <w:vAlign w:val="center"/>
            <w:hideMark/>
          </w:tcPr>
          <w:p w14:paraId="35656D7F"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-3.8</w:t>
            </w:r>
          </w:p>
        </w:tc>
      </w:tr>
      <w:tr w:rsidR="00FB6F48" w:rsidRPr="0063258A" w14:paraId="09F021C1" w14:textId="77777777" w:rsidTr="00E84F12">
        <w:trPr>
          <w:trHeight w:val="300"/>
        </w:trPr>
        <w:tc>
          <w:tcPr>
            <w:tcW w:w="5850" w:type="dxa"/>
            <w:vAlign w:val="center"/>
          </w:tcPr>
          <w:p w14:paraId="50E14AA8"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Diethyl benzene-1,2-dicarboxylate</w:t>
            </w:r>
          </w:p>
        </w:tc>
        <w:tc>
          <w:tcPr>
            <w:tcW w:w="1260" w:type="dxa"/>
            <w:noWrap/>
            <w:vAlign w:val="center"/>
            <w:hideMark/>
          </w:tcPr>
          <w:p w14:paraId="6DF9F8D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6781</w:t>
            </w:r>
          </w:p>
        </w:tc>
        <w:tc>
          <w:tcPr>
            <w:tcW w:w="2070" w:type="dxa"/>
            <w:noWrap/>
            <w:vAlign w:val="center"/>
            <w:hideMark/>
          </w:tcPr>
          <w:p w14:paraId="29CBC92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-3.6</w:t>
            </w:r>
          </w:p>
        </w:tc>
      </w:tr>
      <w:tr w:rsidR="00FB6F48" w:rsidRPr="0063258A" w14:paraId="152FAE4B" w14:textId="77777777" w:rsidTr="00E84F12">
        <w:trPr>
          <w:trHeight w:val="300"/>
        </w:trPr>
        <w:tc>
          <w:tcPr>
            <w:tcW w:w="5850" w:type="dxa"/>
            <w:vAlign w:val="center"/>
          </w:tcPr>
          <w:p w14:paraId="5C4B9B0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2-(2-ethylhexoxycarbonyl)benzoic acid</w:t>
            </w:r>
            <w:r w:rsidRPr="0063258A">
              <w:rPr>
                <w:rFonts w:ascii="Times New Roman" w:hAnsi="Times New Roman" w:cs="Times New Roman"/>
                <w:color w:val="212121"/>
                <w:sz w:val="24"/>
                <w:szCs w:val="24"/>
                <w:shd w:val="clear" w:color="auto" w:fill="FFFFFF"/>
              </w:rPr>
              <w:t> </w:t>
            </w:r>
          </w:p>
        </w:tc>
        <w:tc>
          <w:tcPr>
            <w:tcW w:w="1260" w:type="dxa"/>
            <w:noWrap/>
            <w:vAlign w:val="center"/>
            <w:hideMark/>
          </w:tcPr>
          <w:p w14:paraId="5B86C13E"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20393</w:t>
            </w:r>
          </w:p>
        </w:tc>
        <w:tc>
          <w:tcPr>
            <w:tcW w:w="2070" w:type="dxa"/>
            <w:noWrap/>
            <w:vAlign w:val="center"/>
            <w:hideMark/>
          </w:tcPr>
          <w:p w14:paraId="5BB04ABA"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-3.5</w:t>
            </w:r>
          </w:p>
        </w:tc>
      </w:tr>
      <w:tr w:rsidR="00FB6F48" w:rsidRPr="0063258A" w14:paraId="13AD6F69" w14:textId="77777777" w:rsidTr="00E84F12">
        <w:trPr>
          <w:trHeight w:val="300"/>
        </w:trPr>
        <w:tc>
          <w:tcPr>
            <w:tcW w:w="5850" w:type="dxa"/>
            <w:vAlign w:val="center"/>
          </w:tcPr>
          <w:p w14:paraId="613E3C39"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1,3-benzodioxole-5-carbaldehyde</w:t>
            </w:r>
            <w:r w:rsidRPr="0063258A">
              <w:rPr>
                <w:rFonts w:ascii="Times New Roman" w:hAnsi="Times New Roman" w:cs="Times New Roman"/>
                <w:color w:val="212121"/>
                <w:sz w:val="24"/>
                <w:szCs w:val="24"/>
                <w:shd w:val="clear" w:color="auto" w:fill="FFFFFF"/>
              </w:rPr>
              <w:t> </w:t>
            </w:r>
          </w:p>
        </w:tc>
        <w:tc>
          <w:tcPr>
            <w:tcW w:w="1260" w:type="dxa"/>
            <w:noWrap/>
            <w:vAlign w:val="center"/>
            <w:hideMark/>
          </w:tcPr>
          <w:p w14:paraId="2B9953C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8438</w:t>
            </w:r>
          </w:p>
        </w:tc>
        <w:tc>
          <w:tcPr>
            <w:tcW w:w="2070" w:type="dxa"/>
            <w:noWrap/>
            <w:vAlign w:val="center"/>
            <w:hideMark/>
          </w:tcPr>
          <w:p w14:paraId="342F3FC0"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-3.5</w:t>
            </w:r>
          </w:p>
        </w:tc>
      </w:tr>
    </w:tbl>
    <w:p w14:paraId="7F97CDA2" w14:textId="77777777" w:rsidR="00BE7112" w:rsidRPr="0063258A" w:rsidRDefault="00BE7112" w:rsidP="00BE7112">
      <w:pPr>
        <w:rPr>
          <w:rFonts w:ascii="Times New Roman" w:hAnsi="Times New Roman" w:cs="Times New Roman"/>
          <w:sz w:val="24"/>
          <w:szCs w:val="24"/>
        </w:rPr>
      </w:pPr>
    </w:p>
    <w:p w14:paraId="7DB8AC6B" w14:textId="77777777" w:rsidR="00BE7112" w:rsidRPr="0063258A" w:rsidRDefault="00BE7112" w:rsidP="00BE7112">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2CCD9E78" wp14:editId="67451B96">
            <wp:extent cx="2743200" cy="2591170"/>
            <wp:effectExtent l="0" t="0" r="0" b="0"/>
            <wp:docPr id="13" name="Picture 13" descr="C:\Users\SIR HENRY\Documents\Documents\DR STANLEY COOU\Walnut panacrease results\WALL NUT WITH 1mhu\2D INTERACTION OF 6777 with 1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R HENRY\Documents\Documents\DR STANLEY COOU\Walnut panacrease results\WALL NUT WITH 1mhu\2D INTERACTION OF 6777 with 1mhu.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092"/>
                    <a:stretch/>
                  </pic:blipFill>
                  <pic:spPr bwMode="auto">
                    <a:xfrm>
                      <a:off x="0" y="0"/>
                      <a:ext cx="2768281" cy="2614861"/>
                    </a:xfrm>
                    <a:prstGeom prst="rect">
                      <a:avLst/>
                    </a:prstGeom>
                    <a:noFill/>
                    <a:ln>
                      <a:noFill/>
                    </a:ln>
                    <a:extLst>
                      <a:ext uri="{53640926-AAD7-44D8-BBD7-CCE9431645EC}">
                        <a14:shadowObscured xmlns:a14="http://schemas.microsoft.com/office/drawing/2010/main"/>
                      </a:ext>
                    </a:extLst>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614039F5" wp14:editId="77FC5E7E">
            <wp:extent cx="3145790" cy="2338079"/>
            <wp:effectExtent l="0" t="0" r="0" b="5080"/>
            <wp:docPr id="14" name="Picture 14" descr="C:\Users\SIR HENRY\Documents\Documents\DR STANLEY COOU\Walnut panacrease results\WALL NUT WITH 1mhu\3D INTERACTION OF 6777 with 1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R HENRY\Documents\Documents\DR STANLEY COOU\Walnut panacrease results\WALL NUT WITH 1mhu\3D INTERACTION OF 6777 with 1mhu.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704" t="21052" r="4491" b="21428"/>
                    <a:stretch/>
                  </pic:blipFill>
                  <pic:spPr bwMode="auto">
                    <a:xfrm>
                      <a:off x="0" y="0"/>
                      <a:ext cx="3168368" cy="2354860"/>
                    </a:xfrm>
                    <a:prstGeom prst="rect">
                      <a:avLst/>
                    </a:prstGeom>
                    <a:noFill/>
                    <a:ln>
                      <a:noFill/>
                    </a:ln>
                    <a:extLst>
                      <a:ext uri="{53640926-AAD7-44D8-BBD7-CCE9431645EC}">
                        <a14:shadowObscured xmlns:a14="http://schemas.microsoft.com/office/drawing/2010/main"/>
                      </a:ext>
                    </a:extLst>
                  </pic:spPr>
                </pic:pic>
              </a:graphicData>
            </a:graphic>
          </wp:inline>
        </w:drawing>
      </w:r>
    </w:p>
    <w:p w14:paraId="30BB8CB8" w14:textId="77777777" w:rsidR="00FE3A65" w:rsidRPr="0063258A" w:rsidRDefault="00FE3A65" w:rsidP="00FE3A65">
      <w:pPr>
        <w:rPr>
          <w:rFonts w:ascii="Times New Roman" w:hAnsi="Times New Roman" w:cs="Times New Roman"/>
          <w:b/>
          <w:sz w:val="24"/>
          <w:szCs w:val="24"/>
        </w:rPr>
      </w:pPr>
      <w:r w:rsidRPr="0063258A">
        <w:rPr>
          <w:rFonts w:ascii="Times New Roman" w:hAnsi="Times New Roman" w:cs="Times New Roman"/>
          <w:b/>
          <w:sz w:val="24"/>
          <w:szCs w:val="24"/>
        </w:rPr>
        <w:t xml:space="preserve">Fig 4: 2D and 3D binding interactions of </w:t>
      </w: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Metallothioneins-1 target</w:t>
      </w:r>
      <w:r w:rsidRPr="0063258A">
        <w:rPr>
          <w:rFonts w:ascii="Times New Roman" w:hAnsi="Times New Roman" w:cs="Times New Roman"/>
          <w:b/>
          <w:sz w:val="24"/>
          <w:szCs w:val="24"/>
        </w:rPr>
        <w:t xml:space="preserve"> (PDB: 1MHU)</w:t>
      </w:r>
    </w:p>
    <w:p w14:paraId="26122E76" w14:textId="77777777" w:rsidR="00BE7112" w:rsidRPr="0063258A" w:rsidRDefault="00BE7112" w:rsidP="00BE7112">
      <w:pPr>
        <w:rPr>
          <w:rFonts w:ascii="Times New Roman" w:hAnsi="Times New Roman" w:cs="Times New Roman"/>
          <w:sz w:val="24"/>
          <w:szCs w:val="24"/>
        </w:rPr>
      </w:pPr>
    </w:p>
    <w:p w14:paraId="228D2083" w14:textId="77777777" w:rsidR="00BE7112" w:rsidRPr="0063258A" w:rsidRDefault="00BE7112" w:rsidP="00BE7112">
      <w:pPr>
        <w:rPr>
          <w:rFonts w:ascii="Times New Roman" w:hAnsi="Times New Roman" w:cs="Times New Roman"/>
          <w:sz w:val="24"/>
          <w:szCs w:val="24"/>
        </w:rPr>
      </w:pPr>
    </w:p>
    <w:p w14:paraId="1B250B8C" w14:textId="77777777" w:rsidR="00BE7112" w:rsidRPr="0063258A" w:rsidRDefault="00BE7112" w:rsidP="00BE7112">
      <w:pPr>
        <w:rPr>
          <w:rFonts w:ascii="Times New Roman" w:hAnsi="Times New Roman" w:cs="Times New Roman"/>
          <w:sz w:val="24"/>
          <w:szCs w:val="24"/>
        </w:rPr>
      </w:pPr>
    </w:p>
    <w:p w14:paraId="7738B80C" w14:textId="77777777" w:rsidR="00FE3A65" w:rsidRPr="0063258A" w:rsidRDefault="00FE3A65" w:rsidP="00BE7112">
      <w:pPr>
        <w:rPr>
          <w:rFonts w:ascii="Times New Roman" w:hAnsi="Times New Roman" w:cs="Times New Roman"/>
          <w:sz w:val="24"/>
          <w:szCs w:val="24"/>
        </w:rPr>
      </w:pPr>
    </w:p>
    <w:p w14:paraId="55F99B6B" w14:textId="77777777" w:rsidR="00FE3A65" w:rsidRPr="0063258A" w:rsidRDefault="00FE3A65" w:rsidP="00BE7112">
      <w:pPr>
        <w:rPr>
          <w:rFonts w:ascii="Times New Roman" w:hAnsi="Times New Roman" w:cs="Times New Roman"/>
          <w:sz w:val="24"/>
          <w:szCs w:val="24"/>
        </w:rPr>
      </w:pPr>
    </w:p>
    <w:p w14:paraId="63CC49D6" w14:textId="77777777" w:rsidR="00D07E7E" w:rsidRPr="0063258A" w:rsidRDefault="00D07E7E" w:rsidP="00D07E7E">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4: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Metallothioneins-2</w:t>
      </w:r>
      <w:r w:rsidRPr="0063258A">
        <w:rPr>
          <w:rFonts w:ascii="Times New Roman" w:hAnsi="Times New Roman" w:cs="Times New Roman"/>
          <w:b/>
          <w:sz w:val="24"/>
          <w:szCs w:val="24"/>
        </w:rPr>
        <w:t xml:space="preserve"> target (PDB: 2MHU)</w:t>
      </w:r>
    </w:p>
    <w:tbl>
      <w:tblPr>
        <w:tblW w:w="9450" w:type="dxa"/>
        <w:tblBorders>
          <w:top w:val="single" w:sz="4" w:space="0" w:color="auto"/>
          <w:bottom w:val="single" w:sz="4" w:space="0" w:color="auto"/>
        </w:tblBorders>
        <w:tblLook w:val="04A0" w:firstRow="1" w:lastRow="0" w:firstColumn="1" w:lastColumn="0" w:noHBand="0" w:noVBand="1"/>
      </w:tblPr>
      <w:tblGrid>
        <w:gridCol w:w="5670"/>
        <w:gridCol w:w="1800"/>
        <w:gridCol w:w="1980"/>
      </w:tblGrid>
      <w:tr w:rsidR="00E84F12" w:rsidRPr="0063258A" w14:paraId="3A18031A" w14:textId="77777777" w:rsidTr="00E84F12">
        <w:trPr>
          <w:trHeight w:val="300"/>
        </w:trPr>
        <w:tc>
          <w:tcPr>
            <w:tcW w:w="5670" w:type="dxa"/>
            <w:tcBorders>
              <w:top w:val="single" w:sz="4" w:space="0" w:color="auto"/>
              <w:bottom w:val="single" w:sz="4" w:space="0" w:color="auto"/>
            </w:tcBorders>
            <w:vAlign w:val="center"/>
          </w:tcPr>
          <w:p w14:paraId="2F397B26"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800" w:type="dxa"/>
            <w:tcBorders>
              <w:top w:val="single" w:sz="4" w:space="0" w:color="auto"/>
              <w:bottom w:val="single" w:sz="4" w:space="0" w:color="auto"/>
            </w:tcBorders>
            <w:noWrap/>
            <w:vAlign w:val="center"/>
            <w:hideMark/>
          </w:tcPr>
          <w:p w14:paraId="4B362391"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980" w:type="dxa"/>
            <w:tcBorders>
              <w:top w:val="single" w:sz="4" w:space="0" w:color="auto"/>
              <w:bottom w:val="single" w:sz="4" w:space="0" w:color="auto"/>
            </w:tcBorders>
            <w:noWrap/>
            <w:vAlign w:val="center"/>
            <w:hideMark/>
          </w:tcPr>
          <w:p w14:paraId="76FF4571"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E706B1" w:rsidRPr="0063258A" w14:paraId="75D2F310" w14:textId="77777777" w:rsidTr="00E84F12">
        <w:trPr>
          <w:trHeight w:val="300"/>
        </w:trPr>
        <w:tc>
          <w:tcPr>
            <w:tcW w:w="5670" w:type="dxa"/>
            <w:tcBorders>
              <w:top w:val="single" w:sz="4" w:space="0" w:color="auto"/>
            </w:tcBorders>
            <w:vAlign w:val="center"/>
          </w:tcPr>
          <w:p w14:paraId="463BCA72"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[2-(2-benzoylphenyl)-4-(1-hydroxycyclohexyl)phenyl]-[4-(1-hydroxycyclohexyl)phenyl]methanone</w:t>
            </w:r>
          </w:p>
        </w:tc>
        <w:tc>
          <w:tcPr>
            <w:tcW w:w="1800" w:type="dxa"/>
            <w:tcBorders>
              <w:top w:val="single" w:sz="4" w:space="0" w:color="auto"/>
            </w:tcBorders>
            <w:noWrap/>
            <w:vAlign w:val="center"/>
            <w:hideMark/>
          </w:tcPr>
          <w:p w14:paraId="7ED2549F"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980" w:type="dxa"/>
            <w:tcBorders>
              <w:top w:val="single" w:sz="4" w:space="0" w:color="auto"/>
            </w:tcBorders>
            <w:noWrap/>
            <w:vAlign w:val="center"/>
            <w:hideMark/>
          </w:tcPr>
          <w:p w14:paraId="66055677"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-6.1</w:t>
            </w:r>
          </w:p>
        </w:tc>
      </w:tr>
      <w:tr w:rsidR="00E706B1" w:rsidRPr="0063258A" w14:paraId="78FA39B1" w14:textId="77777777" w:rsidTr="00E84F12">
        <w:trPr>
          <w:trHeight w:val="300"/>
        </w:trPr>
        <w:tc>
          <w:tcPr>
            <w:tcW w:w="5670" w:type="dxa"/>
            <w:vAlign w:val="center"/>
          </w:tcPr>
          <w:p w14:paraId="38C392DE"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(3S,8S,9S,10R,13R,14S,17R)-17-[(E,2R,5S)-5-ethyl-6-methylhept-3-en-2-yl]-10,13-dimethyl-2,3,4,7,8,9,11,12,14,15,16,17-dodecahydro-1H-cyclopenta[a]phenanthren-3-ol</w:t>
            </w:r>
          </w:p>
        </w:tc>
        <w:tc>
          <w:tcPr>
            <w:tcW w:w="1800" w:type="dxa"/>
            <w:noWrap/>
            <w:vAlign w:val="center"/>
            <w:hideMark/>
          </w:tcPr>
          <w:p w14:paraId="41E61169"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5280794</w:t>
            </w:r>
          </w:p>
        </w:tc>
        <w:tc>
          <w:tcPr>
            <w:tcW w:w="1980" w:type="dxa"/>
            <w:noWrap/>
            <w:vAlign w:val="center"/>
            <w:hideMark/>
          </w:tcPr>
          <w:p w14:paraId="3236BCEA"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-5.7</w:t>
            </w:r>
          </w:p>
        </w:tc>
      </w:tr>
      <w:tr w:rsidR="00E706B1" w:rsidRPr="0063258A" w14:paraId="2C2C5CE2" w14:textId="77777777" w:rsidTr="00E84F12">
        <w:trPr>
          <w:trHeight w:val="300"/>
        </w:trPr>
        <w:tc>
          <w:tcPr>
            <w:tcW w:w="5670" w:type="dxa"/>
            <w:vAlign w:val="center"/>
          </w:tcPr>
          <w:p w14:paraId="32842F97"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(3S,8S,9S,10R,13R,14S,17R)-17-[(E,2R,5S)-5-ethyl-6-methylhept-3-en-2-yl]-10,13-dimethyl-2,3,4,7,8,9,11,12,14,15,16,17-dodecahydro-1H-cyclopenta[a]phenanthren-3-ol</w:t>
            </w:r>
          </w:p>
        </w:tc>
        <w:tc>
          <w:tcPr>
            <w:tcW w:w="1800" w:type="dxa"/>
            <w:noWrap/>
            <w:vAlign w:val="center"/>
            <w:hideMark/>
          </w:tcPr>
          <w:p w14:paraId="14228A1A"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602765</w:t>
            </w:r>
          </w:p>
        </w:tc>
        <w:tc>
          <w:tcPr>
            <w:tcW w:w="1980" w:type="dxa"/>
            <w:noWrap/>
            <w:vAlign w:val="center"/>
            <w:hideMark/>
          </w:tcPr>
          <w:p w14:paraId="0C18BD8C"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-5.7</w:t>
            </w:r>
          </w:p>
        </w:tc>
      </w:tr>
      <w:tr w:rsidR="00E706B1" w:rsidRPr="0063258A" w14:paraId="17E9775E" w14:textId="77777777" w:rsidTr="00E84F12">
        <w:trPr>
          <w:trHeight w:val="300"/>
        </w:trPr>
        <w:tc>
          <w:tcPr>
            <w:tcW w:w="5670" w:type="dxa"/>
            <w:vAlign w:val="center"/>
          </w:tcPr>
          <w:p w14:paraId="3CF40658"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[2-(2,2,3,3,3-pentafluoropropanoyloxy)phenyl] furan-2-carboxylate</w:t>
            </w:r>
          </w:p>
        </w:tc>
        <w:tc>
          <w:tcPr>
            <w:tcW w:w="1800" w:type="dxa"/>
            <w:noWrap/>
            <w:vAlign w:val="center"/>
            <w:hideMark/>
          </w:tcPr>
          <w:p w14:paraId="78A4394E"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1980" w:type="dxa"/>
            <w:noWrap/>
            <w:vAlign w:val="center"/>
            <w:hideMark/>
          </w:tcPr>
          <w:p w14:paraId="4F374F49"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w:t>
            </w:r>
          </w:p>
        </w:tc>
      </w:tr>
      <w:tr w:rsidR="00E706B1" w:rsidRPr="0063258A" w14:paraId="7EA33D28" w14:textId="77777777" w:rsidTr="00E84F12">
        <w:trPr>
          <w:trHeight w:val="300"/>
        </w:trPr>
        <w:tc>
          <w:tcPr>
            <w:tcW w:w="5670" w:type="dxa"/>
            <w:vAlign w:val="center"/>
          </w:tcPr>
          <w:p w14:paraId="72950E70"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N-(1-phenylethyl)benzotriazol-1-amine</w:t>
            </w:r>
          </w:p>
        </w:tc>
        <w:tc>
          <w:tcPr>
            <w:tcW w:w="1800" w:type="dxa"/>
            <w:noWrap/>
            <w:vAlign w:val="center"/>
            <w:hideMark/>
          </w:tcPr>
          <w:p w14:paraId="5B57CEDB"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119340</w:t>
            </w:r>
          </w:p>
        </w:tc>
        <w:tc>
          <w:tcPr>
            <w:tcW w:w="1980" w:type="dxa"/>
            <w:noWrap/>
            <w:vAlign w:val="center"/>
            <w:hideMark/>
          </w:tcPr>
          <w:p w14:paraId="52A77E40"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-5.4</w:t>
            </w:r>
          </w:p>
        </w:tc>
      </w:tr>
      <w:tr w:rsidR="00E706B1" w:rsidRPr="0063258A" w14:paraId="4C491841" w14:textId="77777777" w:rsidTr="00E84F12">
        <w:trPr>
          <w:trHeight w:val="300"/>
        </w:trPr>
        <w:tc>
          <w:tcPr>
            <w:tcW w:w="5670" w:type="dxa"/>
            <w:vAlign w:val="center"/>
          </w:tcPr>
          <w:p w14:paraId="576E148D" w14:textId="77777777" w:rsidR="00E706B1" w:rsidRPr="0063258A" w:rsidRDefault="00E706B1" w:rsidP="008C21EC">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Dimercaptosuccinic</w:t>
            </w:r>
            <w:proofErr w:type="spellEnd"/>
            <w:r w:rsidRPr="0063258A">
              <w:rPr>
                <w:rFonts w:ascii="Times New Roman" w:hAnsi="Times New Roman" w:cs="Times New Roman"/>
                <w:sz w:val="24"/>
                <w:szCs w:val="24"/>
              </w:rPr>
              <w:t xml:space="preserve"> acid (Control)</w:t>
            </w:r>
          </w:p>
        </w:tc>
        <w:tc>
          <w:tcPr>
            <w:tcW w:w="1800" w:type="dxa"/>
            <w:noWrap/>
            <w:vAlign w:val="center"/>
          </w:tcPr>
          <w:p w14:paraId="35174A27" w14:textId="77777777" w:rsidR="00E706B1" w:rsidRPr="0063258A" w:rsidRDefault="00E706B1"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9354</w:t>
            </w:r>
          </w:p>
        </w:tc>
        <w:tc>
          <w:tcPr>
            <w:tcW w:w="1980" w:type="dxa"/>
            <w:noWrap/>
            <w:vAlign w:val="center"/>
          </w:tcPr>
          <w:p w14:paraId="59848758" w14:textId="77777777" w:rsidR="00E706B1" w:rsidRPr="0063258A" w:rsidRDefault="00E706B1"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-3.8</w:t>
            </w:r>
          </w:p>
        </w:tc>
      </w:tr>
      <w:tr w:rsidR="00E706B1" w:rsidRPr="0063258A" w14:paraId="69A447AA" w14:textId="77777777" w:rsidTr="00E84F12">
        <w:trPr>
          <w:trHeight w:val="300"/>
        </w:trPr>
        <w:tc>
          <w:tcPr>
            <w:tcW w:w="5670" w:type="dxa"/>
            <w:vAlign w:val="center"/>
          </w:tcPr>
          <w:p w14:paraId="2B3454EC" w14:textId="77777777" w:rsidR="00E706B1" w:rsidRPr="0063258A" w:rsidRDefault="00E706B1"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Dimercaprol (Control)</w:t>
            </w:r>
          </w:p>
        </w:tc>
        <w:tc>
          <w:tcPr>
            <w:tcW w:w="1800" w:type="dxa"/>
            <w:noWrap/>
            <w:vAlign w:val="center"/>
          </w:tcPr>
          <w:p w14:paraId="11AABD60" w14:textId="77777777" w:rsidR="00E706B1" w:rsidRPr="0063258A" w:rsidRDefault="00E706B1"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3080</w:t>
            </w:r>
          </w:p>
        </w:tc>
        <w:tc>
          <w:tcPr>
            <w:tcW w:w="1980" w:type="dxa"/>
            <w:noWrap/>
            <w:vAlign w:val="center"/>
          </w:tcPr>
          <w:p w14:paraId="5E2FC4F8" w14:textId="77777777" w:rsidR="00E706B1" w:rsidRPr="0063258A" w:rsidRDefault="00E706B1"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-2.7</w:t>
            </w:r>
          </w:p>
        </w:tc>
      </w:tr>
    </w:tbl>
    <w:p w14:paraId="5E5E4256" w14:textId="77777777" w:rsidR="00BE7112" w:rsidRPr="0063258A" w:rsidRDefault="00BE7112" w:rsidP="00BE7112">
      <w:pPr>
        <w:rPr>
          <w:rFonts w:ascii="Times New Roman" w:hAnsi="Times New Roman" w:cs="Times New Roman"/>
          <w:sz w:val="24"/>
          <w:szCs w:val="24"/>
        </w:rPr>
      </w:pPr>
    </w:p>
    <w:p w14:paraId="6123C790" w14:textId="77777777" w:rsidR="00BE7112" w:rsidRPr="0063258A" w:rsidRDefault="00BE7112" w:rsidP="00BE7112">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27C1F698" wp14:editId="571DF192">
            <wp:extent cx="2775098" cy="2385483"/>
            <wp:effectExtent l="0" t="0" r="6350" b="0"/>
            <wp:docPr id="15" name="Picture 15" descr="C:\Users\SIR HENRY\Documents\Documents\DR STANLEY COOU\Walnut panacrease results\WALL NUT WITH 2mhu\2D INTERACTION OF 141134022 with 2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R HENRY\Documents\Documents\DR STANLEY COOU\Walnut panacrease results\WALL NUT WITH 2mhu\2D INTERACTION OF 141134022 with 2mhu.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910"/>
                    <a:stretch/>
                  </pic:blipFill>
                  <pic:spPr bwMode="auto">
                    <a:xfrm>
                      <a:off x="0" y="0"/>
                      <a:ext cx="2788694" cy="2397170"/>
                    </a:xfrm>
                    <a:prstGeom prst="rect">
                      <a:avLst/>
                    </a:prstGeom>
                    <a:noFill/>
                    <a:ln>
                      <a:noFill/>
                    </a:ln>
                    <a:extLst>
                      <a:ext uri="{53640926-AAD7-44D8-BBD7-CCE9431645EC}">
                        <a14:shadowObscured xmlns:a14="http://schemas.microsoft.com/office/drawing/2010/main"/>
                      </a:ext>
                    </a:extLst>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32C94B67" wp14:editId="6F5E6E54">
            <wp:extent cx="3115075" cy="2254102"/>
            <wp:effectExtent l="0" t="0" r="0" b="0"/>
            <wp:docPr id="16" name="Picture 16" descr="C:\Users\SIR HENRY\Documents\Documents\DR STANLEY COOU\Walnut panacrease results\WALL NUT WITH 2mhu\3D INTERACTION OF 141134022 with 2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R HENRY\Documents\Documents\DR STANLEY COOU\Walnut panacrease results\WALL NUT WITH 2mhu\3D INTERACTION OF 141134022 with 2mhu.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977" t="2544" r="13416" b="15565"/>
                    <a:stretch/>
                  </pic:blipFill>
                  <pic:spPr bwMode="auto">
                    <a:xfrm>
                      <a:off x="0" y="0"/>
                      <a:ext cx="3121208" cy="2258540"/>
                    </a:xfrm>
                    <a:prstGeom prst="rect">
                      <a:avLst/>
                    </a:prstGeom>
                    <a:noFill/>
                    <a:ln>
                      <a:noFill/>
                    </a:ln>
                    <a:extLst>
                      <a:ext uri="{53640926-AAD7-44D8-BBD7-CCE9431645EC}">
                        <a14:shadowObscured xmlns:a14="http://schemas.microsoft.com/office/drawing/2010/main"/>
                      </a:ext>
                    </a:extLst>
                  </pic:spPr>
                </pic:pic>
              </a:graphicData>
            </a:graphic>
          </wp:inline>
        </w:drawing>
      </w:r>
    </w:p>
    <w:p w14:paraId="34ABD5DA" w14:textId="77777777" w:rsidR="00FE3A65" w:rsidRPr="0063258A" w:rsidRDefault="00FE3A65" w:rsidP="00FE3A6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5: 2D and 3D binding interactions of </w:t>
      </w:r>
      <w:r w:rsidRPr="0063258A">
        <w:rPr>
          <w:rFonts w:ascii="Times New Roman" w:hAnsi="Times New Roman" w:cs="Times New Roman"/>
          <w:b/>
          <w:color w:val="212121"/>
          <w:sz w:val="24"/>
          <w:szCs w:val="24"/>
          <w:shd w:val="clear" w:color="auto" w:fill="FFFFFF"/>
        </w:rPr>
        <w:t>[2-(2-benzoylphenyl)-4-(1-hydroxycyclohexyl)phenyl]-[4-(1-hydroxycyclohexyl)phenyl]methanone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Metallothioneins-2 target</w:t>
      </w:r>
      <w:r w:rsidRPr="0063258A">
        <w:rPr>
          <w:rFonts w:ascii="Times New Roman" w:hAnsi="Times New Roman" w:cs="Times New Roman"/>
          <w:b/>
          <w:sz w:val="24"/>
          <w:szCs w:val="24"/>
        </w:rPr>
        <w:t xml:space="preserve"> (PDB: 2MHU)</w:t>
      </w:r>
    </w:p>
    <w:p w14:paraId="3F37CD4F" w14:textId="77777777" w:rsidR="00C747A2" w:rsidRPr="0063258A" w:rsidRDefault="00C747A2" w:rsidP="00C747A2">
      <w:pPr>
        <w:jc w:val="both"/>
        <w:rPr>
          <w:rFonts w:ascii="Times New Roman" w:hAnsi="Times New Roman" w:cs="Times New Roman"/>
          <w:sz w:val="24"/>
          <w:szCs w:val="24"/>
        </w:rPr>
      </w:pPr>
    </w:p>
    <w:p w14:paraId="5ACC239E" w14:textId="77777777" w:rsidR="00A10BF5" w:rsidRPr="0063258A" w:rsidRDefault="00A10BF5">
      <w:pPr>
        <w:rPr>
          <w:rFonts w:ascii="Times New Roman" w:hAnsi="Times New Roman" w:cs="Times New Roman"/>
          <w:sz w:val="24"/>
          <w:szCs w:val="24"/>
        </w:rPr>
      </w:pPr>
    </w:p>
    <w:p w14:paraId="647F4F05" w14:textId="77777777" w:rsidR="00B95515" w:rsidRPr="0063258A" w:rsidRDefault="00B95515">
      <w:pPr>
        <w:rPr>
          <w:rFonts w:ascii="Times New Roman" w:hAnsi="Times New Roman" w:cs="Times New Roman"/>
          <w:sz w:val="24"/>
          <w:szCs w:val="24"/>
        </w:rPr>
      </w:pPr>
    </w:p>
    <w:p w14:paraId="03075EDE" w14:textId="77777777" w:rsidR="00684263"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5: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Apoptosis</w:t>
      </w:r>
      <w:r w:rsidRPr="0063258A">
        <w:rPr>
          <w:rFonts w:ascii="Times New Roman" w:hAnsi="Times New Roman" w:cs="Times New Roman"/>
          <w:b/>
          <w:sz w:val="24"/>
          <w:szCs w:val="24"/>
        </w:rPr>
        <w:t xml:space="preserve"> target (PDB: 1F16)</w:t>
      </w:r>
    </w:p>
    <w:tbl>
      <w:tblPr>
        <w:tblW w:w="9180" w:type="dxa"/>
        <w:tblBorders>
          <w:top w:val="single" w:sz="4" w:space="0" w:color="auto"/>
          <w:bottom w:val="single" w:sz="4" w:space="0" w:color="auto"/>
        </w:tblBorders>
        <w:tblLook w:val="04A0" w:firstRow="1" w:lastRow="0" w:firstColumn="1" w:lastColumn="0" w:noHBand="0" w:noVBand="1"/>
      </w:tblPr>
      <w:tblGrid>
        <w:gridCol w:w="5760"/>
        <w:gridCol w:w="1383"/>
        <w:gridCol w:w="2037"/>
      </w:tblGrid>
      <w:tr w:rsidR="00E84F12" w:rsidRPr="0063258A" w14:paraId="004062D2" w14:textId="77777777" w:rsidTr="00E84F12">
        <w:trPr>
          <w:trHeight w:val="292"/>
        </w:trPr>
        <w:tc>
          <w:tcPr>
            <w:tcW w:w="5760" w:type="dxa"/>
            <w:tcBorders>
              <w:top w:val="single" w:sz="4" w:space="0" w:color="auto"/>
              <w:bottom w:val="single" w:sz="4" w:space="0" w:color="auto"/>
            </w:tcBorders>
            <w:vAlign w:val="center"/>
          </w:tcPr>
          <w:p w14:paraId="4CCF1B47"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383" w:type="dxa"/>
            <w:tcBorders>
              <w:top w:val="single" w:sz="4" w:space="0" w:color="auto"/>
              <w:bottom w:val="single" w:sz="4" w:space="0" w:color="auto"/>
            </w:tcBorders>
            <w:noWrap/>
            <w:vAlign w:val="center"/>
            <w:hideMark/>
          </w:tcPr>
          <w:p w14:paraId="40564837"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2037" w:type="dxa"/>
            <w:tcBorders>
              <w:top w:val="single" w:sz="4" w:space="0" w:color="auto"/>
              <w:bottom w:val="single" w:sz="4" w:space="0" w:color="auto"/>
            </w:tcBorders>
            <w:noWrap/>
            <w:vAlign w:val="center"/>
            <w:hideMark/>
          </w:tcPr>
          <w:p w14:paraId="491D3328"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391361" w:rsidRPr="0063258A" w14:paraId="71AFFE66" w14:textId="77777777" w:rsidTr="00E84F12">
        <w:trPr>
          <w:trHeight w:val="292"/>
        </w:trPr>
        <w:tc>
          <w:tcPr>
            <w:tcW w:w="5760" w:type="dxa"/>
            <w:tcBorders>
              <w:top w:val="single" w:sz="4" w:space="0" w:color="auto"/>
            </w:tcBorders>
            <w:vAlign w:val="center"/>
          </w:tcPr>
          <w:p w14:paraId="411BCB3C" w14:textId="77777777" w:rsidR="00391361" w:rsidRPr="0063258A" w:rsidRDefault="00391361" w:rsidP="00AE1C25">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1,2-dimethyl-1-propan-2-ylcyclopentane;1,3-dimethyl-1-propan-2-ylcyclopentane</w:t>
            </w:r>
          </w:p>
        </w:tc>
        <w:tc>
          <w:tcPr>
            <w:tcW w:w="1383" w:type="dxa"/>
            <w:tcBorders>
              <w:top w:val="single" w:sz="4" w:space="0" w:color="auto"/>
            </w:tcBorders>
            <w:noWrap/>
            <w:vAlign w:val="center"/>
            <w:hideMark/>
          </w:tcPr>
          <w:p w14:paraId="6250986F"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160282515</w:t>
            </w:r>
          </w:p>
        </w:tc>
        <w:tc>
          <w:tcPr>
            <w:tcW w:w="2037" w:type="dxa"/>
            <w:tcBorders>
              <w:top w:val="single" w:sz="4" w:space="0" w:color="auto"/>
            </w:tcBorders>
            <w:noWrap/>
            <w:vAlign w:val="center"/>
            <w:hideMark/>
          </w:tcPr>
          <w:p w14:paraId="48F4C82B"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-7.7</w:t>
            </w:r>
          </w:p>
        </w:tc>
      </w:tr>
      <w:tr w:rsidR="00391361" w:rsidRPr="0063258A" w14:paraId="3D695FE8" w14:textId="77777777" w:rsidTr="00E84F12">
        <w:trPr>
          <w:trHeight w:val="292"/>
        </w:trPr>
        <w:tc>
          <w:tcPr>
            <w:tcW w:w="5760" w:type="dxa"/>
            <w:vAlign w:val="center"/>
          </w:tcPr>
          <w:p w14:paraId="07BF74A9" w14:textId="77777777" w:rsidR="00391361" w:rsidRPr="0063258A" w:rsidRDefault="00391361" w:rsidP="00347458">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(1R)-1-deuterio-1,2-dimethyl</w:t>
            </w:r>
            <w:r w:rsidR="00347458" w:rsidRPr="0063258A">
              <w:rPr>
                <w:rStyle w:val="breakword"/>
                <w:rFonts w:ascii="Times New Roman" w:hAnsi="Times New Roman" w:cs="Times New Roman"/>
                <w:color w:val="212121"/>
                <w:sz w:val="24"/>
                <w:szCs w:val="24"/>
                <w:shd w:val="clear" w:color="auto" w:fill="FFFFFF"/>
              </w:rPr>
              <w:t>-6-(trifluoromethyl)cyclohexane</w:t>
            </w:r>
          </w:p>
        </w:tc>
        <w:tc>
          <w:tcPr>
            <w:tcW w:w="1383" w:type="dxa"/>
            <w:noWrap/>
            <w:vAlign w:val="center"/>
            <w:hideMark/>
          </w:tcPr>
          <w:p w14:paraId="56EB368F"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158989727</w:t>
            </w:r>
          </w:p>
        </w:tc>
        <w:tc>
          <w:tcPr>
            <w:tcW w:w="2037" w:type="dxa"/>
            <w:noWrap/>
            <w:vAlign w:val="center"/>
            <w:hideMark/>
          </w:tcPr>
          <w:p w14:paraId="1898EA83"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391361" w:rsidRPr="0063258A" w14:paraId="361F8045" w14:textId="77777777" w:rsidTr="00E84F12">
        <w:trPr>
          <w:trHeight w:val="292"/>
        </w:trPr>
        <w:tc>
          <w:tcPr>
            <w:tcW w:w="5760" w:type="dxa"/>
            <w:vAlign w:val="center"/>
          </w:tcPr>
          <w:p w14:paraId="0E912997"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Methyl (6E,9E,12E)-octadeca-6,9,12-trienoate</w:t>
            </w:r>
            <w:r w:rsidRPr="0063258A">
              <w:rPr>
                <w:rFonts w:ascii="Times New Roman" w:hAnsi="Times New Roman" w:cs="Times New Roman"/>
                <w:color w:val="212121"/>
                <w:sz w:val="24"/>
                <w:szCs w:val="24"/>
                <w:shd w:val="clear" w:color="auto" w:fill="FFFFFF"/>
              </w:rPr>
              <w:t> </w:t>
            </w:r>
          </w:p>
        </w:tc>
        <w:tc>
          <w:tcPr>
            <w:tcW w:w="1383" w:type="dxa"/>
            <w:noWrap/>
            <w:vAlign w:val="center"/>
            <w:hideMark/>
          </w:tcPr>
          <w:p w14:paraId="71F54551"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5362805</w:t>
            </w:r>
          </w:p>
        </w:tc>
        <w:tc>
          <w:tcPr>
            <w:tcW w:w="2037" w:type="dxa"/>
            <w:noWrap/>
            <w:vAlign w:val="center"/>
            <w:hideMark/>
          </w:tcPr>
          <w:p w14:paraId="69712EDB"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391361" w:rsidRPr="0063258A" w14:paraId="0AC058DF" w14:textId="77777777" w:rsidTr="00E84F12">
        <w:trPr>
          <w:trHeight w:val="292"/>
        </w:trPr>
        <w:tc>
          <w:tcPr>
            <w:tcW w:w="5760" w:type="dxa"/>
            <w:vAlign w:val="center"/>
          </w:tcPr>
          <w:p w14:paraId="7188A271"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(9Z,12Z)-octadeca-9,12-dienoic acid</w:t>
            </w:r>
          </w:p>
        </w:tc>
        <w:tc>
          <w:tcPr>
            <w:tcW w:w="1383" w:type="dxa"/>
            <w:noWrap/>
            <w:vAlign w:val="center"/>
            <w:hideMark/>
          </w:tcPr>
          <w:p w14:paraId="21CCBEEA"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5280450</w:t>
            </w:r>
          </w:p>
        </w:tc>
        <w:tc>
          <w:tcPr>
            <w:tcW w:w="2037" w:type="dxa"/>
            <w:noWrap/>
            <w:vAlign w:val="center"/>
            <w:hideMark/>
          </w:tcPr>
          <w:p w14:paraId="46C4E635"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391361" w:rsidRPr="0063258A" w14:paraId="26532D43" w14:textId="77777777" w:rsidTr="00E84F12">
        <w:trPr>
          <w:trHeight w:val="292"/>
        </w:trPr>
        <w:tc>
          <w:tcPr>
            <w:tcW w:w="5760" w:type="dxa"/>
            <w:vAlign w:val="center"/>
          </w:tcPr>
          <w:p w14:paraId="101E1FC8"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Hexadeca-7,11-dienal</w:t>
            </w:r>
          </w:p>
        </w:tc>
        <w:tc>
          <w:tcPr>
            <w:tcW w:w="1383" w:type="dxa"/>
            <w:noWrap/>
            <w:vAlign w:val="center"/>
            <w:hideMark/>
          </w:tcPr>
          <w:p w14:paraId="6EB5FB0B"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543335</w:t>
            </w:r>
          </w:p>
        </w:tc>
        <w:tc>
          <w:tcPr>
            <w:tcW w:w="2037" w:type="dxa"/>
            <w:noWrap/>
            <w:vAlign w:val="center"/>
            <w:hideMark/>
          </w:tcPr>
          <w:p w14:paraId="566CC876"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391361" w:rsidRPr="0063258A" w14:paraId="1B11327F" w14:textId="77777777" w:rsidTr="00E84F12">
        <w:trPr>
          <w:trHeight w:val="292"/>
        </w:trPr>
        <w:tc>
          <w:tcPr>
            <w:tcW w:w="5760" w:type="dxa"/>
            <w:vAlign w:val="center"/>
          </w:tcPr>
          <w:p w14:paraId="5FFC2760" w14:textId="77777777" w:rsidR="00391361" w:rsidRPr="0063258A" w:rsidRDefault="00391361" w:rsidP="00ED37DF">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Vorinostat</w:t>
            </w:r>
            <w:proofErr w:type="spellEnd"/>
            <w:r w:rsidRPr="0063258A">
              <w:rPr>
                <w:rFonts w:ascii="Times New Roman" w:hAnsi="Times New Roman" w:cs="Times New Roman"/>
                <w:sz w:val="24"/>
                <w:szCs w:val="24"/>
              </w:rPr>
              <w:t xml:space="preserve"> (Control)</w:t>
            </w:r>
          </w:p>
        </w:tc>
        <w:tc>
          <w:tcPr>
            <w:tcW w:w="1383" w:type="dxa"/>
            <w:noWrap/>
            <w:vAlign w:val="center"/>
          </w:tcPr>
          <w:p w14:paraId="677F6504" w14:textId="77777777" w:rsidR="00391361" w:rsidRPr="0063258A" w:rsidRDefault="00391361" w:rsidP="00ED37DF">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5311</w:t>
            </w:r>
          </w:p>
        </w:tc>
        <w:tc>
          <w:tcPr>
            <w:tcW w:w="2037" w:type="dxa"/>
            <w:noWrap/>
            <w:vAlign w:val="center"/>
          </w:tcPr>
          <w:p w14:paraId="1D532DCF" w14:textId="77777777" w:rsidR="00391361" w:rsidRPr="0063258A" w:rsidRDefault="00391361" w:rsidP="00ED37DF">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-6.5</w:t>
            </w:r>
          </w:p>
        </w:tc>
      </w:tr>
      <w:tr w:rsidR="00391361" w:rsidRPr="0063258A" w14:paraId="32B3B381" w14:textId="77777777" w:rsidTr="00E84F12">
        <w:trPr>
          <w:trHeight w:val="292"/>
        </w:trPr>
        <w:tc>
          <w:tcPr>
            <w:tcW w:w="5760" w:type="dxa"/>
            <w:vAlign w:val="center"/>
          </w:tcPr>
          <w:p w14:paraId="7DCAF2DF" w14:textId="77777777" w:rsidR="00391361" w:rsidRPr="0063258A" w:rsidRDefault="00391361" w:rsidP="00ED37DF">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Romidepsin</w:t>
            </w:r>
            <w:proofErr w:type="spellEnd"/>
            <w:r w:rsidRPr="0063258A">
              <w:rPr>
                <w:rFonts w:ascii="Times New Roman" w:hAnsi="Times New Roman" w:cs="Times New Roman"/>
                <w:sz w:val="24"/>
                <w:szCs w:val="24"/>
              </w:rPr>
              <w:t xml:space="preserve"> (Control)</w:t>
            </w:r>
          </w:p>
        </w:tc>
        <w:tc>
          <w:tcPr>
            <w:tcW w:w="1383" w:type="dxa"/>
            <w:noWrap/>
            <w:vAlign w:val="center"/>
          </w:tcPr>
          <w:p w14:paraId="6DD452D0" w14:textId="77777777" w:rsidR="00391361" w:rsidRPr="0063258A" w:rsidRDefault="00391361" w:rsidP="00ED37DF">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5352062</w:t>
            </w:r>
          </w:p>
        </w:tc>
        <w:tc>
          <w:tcPr>
            <w:tcW w:w="2037" w:type="dxa"/>
            <w:noWrap/>
            <w:vAlign w:val="center"/>
          </w:tcPr>
          <w:p w14:paraId="0579F4DF" w14:textId="77777777" w:rsidR="00391361" w:rsidRPr="0063258A" w:rsidRDefault="00391361" w:rsidP="00ED37DF">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50.7</w:t>
            </w:r>
          </w:p>
        </w:tc>
      </w:tr>
    </w:tbl>
    <w:p w14:paraId="32FA20F3" w14:textId="77777777" w:rsidR="009315F0" w:rsidRPr="0063258A" w:rsidRDefault="009315F0">
      <w:pPr>
        <w:rPr>
          <w:rFonts w:ascii="Times New Roman" w:hAnsi="Times New Roman" w:cs="Times New Roman"/>
          <w:sz w:val="24"/>
          <w:szCs w:val="24"/>
        </w:rPr>
      </w:pPr>
      <w:r w:rsidRPr="0063258A">
        <w:rPr>
          <w:rFonts w:ascii="Times New Roman" w:hAnsi="Times New Roman" w:cs="Times New Roman"/>
          <w:noProof/>
          <w:sz w:val="24"/>
          <w:szCs w:val="24"/>
        </w:rPr>
        <w:drawing>
          <wp:anchor distT="0" distB="0" distL="114300" distR="114300" simplePos="0" relativeHeight="251659264" behindDoc="0" locked="0" layoutInCell="1" allowOverlap="1" wp14:anchorId="77EFCD71" wp14:editId="45A96DF3">
            <wp:simplePos x="0" y="0"/>
            <wp:positionH relativeFrom="margin">
              <wp:align>left</wp:align>
            </wp:positionH>
            <wp:positionV relativeFrom="paragraph">
              <wp:posOffset>180340</wp:posOffset>
            </wp:positionV>
            <wp:extent cx="2809240" cy="2732405"/>
            <wp:effectExtent l="0" t="0" r="0" b="0"/>
            <wp:wrapSquare wrapText="bothSides"/>
            <wp:docPr id="4" name="Picture 4" descr="C:\Users\SIR HENRY\Documents\Documents\DR STANLEY COOU\Walnut panacrease results\WALL NUT WITH 1f16\2D INTERACTION OF 160282515 with 1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R HENRY\Documents\Documents\DR STANLEY COOU\Walnut panacrease results\WALL NUT WITH 1f16\2D INTERACTION OF 160282515 with 1f1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002" r="6131"/>
                    <a:stretch/>
                  </pic:blipFill>
                  <pic:spPr bwMode="auto">
                    <a:xfrm>
                      <a:off x="0" y="0"/>
                      <a:ext cx="2809240" cy="273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CFE3" w14:textId="77777777" w:rsidR="009315F0" w:rsidRPr="0063258A" w:rsidRDefault="009315F0">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4736FCD5" wp14:editId="238E5F28">
            <wp:extent cx="2977117" cy="2367542"/>
            <wp:effectExtent l="0" t="0" r="0" b="0"/>
            <wp:docPr id="5" name="Picture 5" descr="C:\Users\SIR HENRY\Documents\Documents\DR STANLEY COOU\Walnut panacrease results\WALL NUT WITH 1f16\3D INTERACTION OF 160282515 with 1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R HENRY\Documents\Documents\DR STANLEY COOU\Walnut panacrease results\WALL NUT WITH 1f16\3D INTERACTION OF 160282515 with 1f1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57" t="14241" r="13586"/>
                    <a:stretch/>
                  </pic:blipFill>
                  <pic:spPr bwMode="auto">
                    <a:xfrm>
                      <a:off x="0" y="0"/>
                      <a:ext cx="2990702" cy="2378345"/>
                    </a:xfrm>
                    <a:prstGeom prst="rect">
                      <a:avLst/>
                    </a:prstGeom>
                    <a:noFill/>
                    <a:ln>
                      <a:noFill/>
                    </a:ln>
                    <a:extLst>
                      <a:ext uri="{53640926-AAD7-44D8-BBD7-CCE9431645EC}">
                        <a14:shadowObscured xmlns:a14="http://schemas.microsoft.com/office/drawing/2010/main"/>
                      </a:ext>
                    </a:extLst>
                  </pic:spPr>
                </pic:pic>
              </a:graphicData>
            </a:graphic>
          </wp:inline>
        </w:drawing>
      </w:r>
    </w:p>
    <w:p w14:paraId="590A077D" w14:textId="77777777" w:rsidR="009315F0" w:rsidRPr="0063258A" w:rsidRDefault="009315F0" w:rsidP="009315F0">
      <w:pPr>
        <w:tabs>
          <w:tab w:val="left" w:pos="1273"/>
        </w:tabs>
        <w:rPr>
          <w:rFonts w:ascii="Times New Roman" w:hAnsi="Times New Roman" w:cs="Times New Roman"/>
          <w:sz w:val="24"/>
          <w:szCs w:val="24"/>
        </w:rPr>
      </w:pPr>
      <w:r w:rsidRPr="0063258A">
        <w:rPr>
          <w:rFonts w:ascii="Times New Roman" w:hAnsi="Times New Roman" w:cs="Times New Roman"/>
          <w:sz w:val="24"/>
          <w:szCs w:val="24"/>
        </w:rPr>
        <w:tab/>
      </w:r>
    </w:p>
    <w:p w14:paraId="70CE1FF2" w14:textId="77777777" w:rsidR="002F09A8" w:rsidRPr="0063258A" w:rsidRDefault="002F09A8" w:rsidP="002F09A8">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6: 2D and 3D binding interactions of </w:t>
      </w: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Apoptosis</w:t>
      </w:r>
      <w:r w:rsidRPr="0063258A">
        <w:rPr>
          <w:rFonts w:ascii="Times New Roman" w:hAnsi="Times New Roman" w:cs="Times New Roman"/>
          <w:b/>
          <w:sz w:val="24"/>
          <w:szCs w:val="24"/>
        </w:rPr>
        <w:t xml:space="preserve"> target (PDB: 1F16)</w:t>
      </w:r>
    </w:p>
    <w:p w14:paraId="2EAC8971" w14:textId="77777777" w:rsidR="009315F0" w:rsidRPr="0063258A" w:rsidRDefault="009315F0">
      <w:pPr>
        <w:rPr>
          <w:rFonts w:ascii="Times New Roman" w:hAnsi="Times New Roman" w:cs="Times New Roman"/>
          <w:sz w:val="24"/>
          <w:szCs w:val="24"/>
        </w:rPr>
      </w:pPr>
    </w:p>
    <w:p w14:paraId="2C2177B6" w14:textId="77777777" w:rsidR="009315F0" w:rsidRPr="0063258A" w:rsidRDefault="009315F0">
      <w:pPr>
        <w:rPr>
          <w:rFonts w:ascii="Times New Roman" w:hAnsi="Times New Roman" w:cs="Times New Roman"/>
          <w:sz w:val="24"/>
          <w:szCs w:val="24"/>
        </w:rPr>
      </w:pPr>
    </w:p>
    <w:p w14:paraId="1AFA5BC8" w14:textId="77777777" w:rsidR="002F09A8" w:rsidRPr="0063258A" w:rsidRDefault="002F09A8">
      <w:pPr>
        <w:rPr>
          <w:rFonts w:ascii="Times New Roman" w:hAnsi="Times New Roman" w:cs="Times New Roman"/>
          <w:sz w:val="24"/>
          <w:szCs w:val="24"/>
        </w:rPr>
      </w:pPr>
    </w:p>
    <w:p w14:paraId="119FD942" w14:textId="77777777" w:rsidR="002F09A8" w:rsidRPr="0063258A" w:rsidRDefault="002F09A8">
      <w:pPr>
        <w:rPr>
          <w:rFonts w:ascii="Times New Roman" w:hAnsi="Times New Roman" w:cs="Times New Roman"/>
          <w:sz w:val="24"/>
          <w:szCs w:val="24"/>
        </w:rPr>
      </w:pPr>
    </w:p>
    <w:p w14:paraId="3C5E6509" w14:textId="77777777" w:rsidR="002F09A8" w:rsidRPr="0063258A" w:rsidRDefault="002F09A8">
      <w:pPr>
        <w:rPr>
          <w:rFonts w:ascii="Times New Roman" w:hAnsi="Times New Roman" w:cs="Times New Roman"/>
          <w:sz w:val="24"/>
          <w:szCs w:val="24"/>
        </w:rPr>
      </w:pPr>
    </w:p>
    <w:p w14:paraId="0C56DC9F" w14:textId="77777777" w:rsidR="002F09A8" w:rsidRPr="0063258A" w:rsidRDefault="002F09A8">
      <w:pPr>
        <w:rPr>
          <w:rFonts w:ascii="Times New Roman" w:hAnsi="Times New Roman" w:cs="Times New Roman"/>
          <w:sz w:val="24"/>
          <w:szCs w:val="24"/>
        </w:rPr>
      </w:pPr>
    </w:p>
    <w:p w14:paraId="7B5A64C6" w14:textId="77777777" w:rsidR="00684263"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6: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Glutathione-S-transferase</w:t>
      </w:r>
      <w:r w:rsidRPr="0063258A">
        <w:rPr>
          <w:rFonts w:ascii="Times New Roman" w:hAnsi="Times New Roman" w:cs="Times New Roman"/>
          <w:b/>
          <w:sz w:val="24"/>
          <w:szCs w:val="24"/>
        </w:rPr>
        <w:t xml:space="preserve"> target (PDB: 1GRE)</w:t>
      </w:r>
    </w:p>
    <w:tbl>
      <w:tblPr>
        <w:tblW w:w="9270" w:type="dxa"/>
        <w:tblBorders>
          <w:top w:val="single" w:sz="4" w:space="0" w:color="auto"/>
          <w:bottom w:val="single" w:sz="4" w:space="0" w:color="auto"/>
        </w:tblBorders>
        <w:tblLook w:val="04A0" w:firstRow="1" w:lastRow="0" w:firstColumn="1" w:lastColumn="0" w:noHBand="0" w:noVBand="1"/>
      </w:tblPr>
      <w:tblGrid>
        <w:gridCol w:w="5760"/>
        <w:gridCol w:w="1620"/>
        <w:gridCol w:w="1890"/>
      </w:tblGrid>
      <w:tr w:rsidR="002D42CC" w:rsidRPr="0063258A" w14:paraId="66ADFA2C" w14:textId="77777777" w:rsidTr="002D42CC">
        <w:trPr>
          <w:trHeight w:val="265"/>
        </w:trPr>
        <w:tc>
          <w:tcPr>
            <w:tcW w:w="5760" w:type="dxa"/>
            <w:tcBorders>
              <w:top w:val="single" w:sz="4" w:space="0" w:color="auto"/>
              <w:bottom w:val="single" w:sz="4" w:space="0" w:color="auto"/>
            </w:tcBorders>
            <w:vAlign w:val="center"/>
          </w:tcPr>
          <w:p w14:paraId="55D8F5CA"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620" w:type="dxa"/>
            <w:tcBorders>
              <w:top w:val="single" w:sz="4" w:space="0" w:color="auto"/>
              <w:bottom w:val="single" w:sz="4" w:space="0" w:color="auto"/>
            </w:tcBorders>
            <w:noWrap/>
            <w:vAlign w:val="center"/>
            <w:hideMark/>
          </w:tcPr>
          <w:p w14:paraId="7F5A3BF1"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890" w:type="dxa"/>
            <w:tcBorders>
              <w:top w:val="single" w:sz="4" w:space="0" w:color="auto"/>
              <w:bottom w:val="single" w:sz="4" w:space="0" w:color="auto"/>
            </w:tcBorders>
            <w:noWrap/>
            <w:vAlign w:val="center"/>
            <w:hideMark/>
          </w:tcPr>
          <w:p w14:paraId="43BA8C87"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31061F" w:rsidRPr="0063258A" w14:paraId="636936F6" w14:textId="77777777" w:rsidTr="002D42CC">
        <w:trPr>
          <w:trHeight w:val="265"/>
        </w:trPr>
        <w:tc>
          <w:tcPr>
            <w:tcW w:w="5760" w:type="dxa"/>
            <w:tcBorders>
              <w:top w:val="single" w:sz="4" w:space="0" w:color="auto"/>
            </w:tcBorders>
            <w:vAlign w:val="center"/>
          </w:tcPr>
          <w:p w14:paraId="3B634FBD"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7-chloro-10-hydroxy-1-(2-pyrrolidin-1-ylethylimino)-3-[3-(trifluoromethyl)phenyl]-3,4-dihydro-2H-acridin-9-one</w:t>
            </w:r>
          </w:p>
        </w:tc>
        <w:tc>
          <w:tcPr>
            <w:tcW w:w="1620" w:type="dxa"/>
            <w:tcBorders>
              <w:top w:val="single" w:sz="4" w:space="0" w:color="auto"/>
            </w:tcBorders>
            <w:noWrap/>
            <w:vAlign w:val="center"/>
            <w:hideMark/>
          </w:tcPr>
          <w:p w14:paraId="6BF6D2C2"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558427</w:t>
            </w:r>
          </w:p>
        </w:tc>
        <w:tc>
          <w:tcPr>
            <w:tcW w:w="1890" w:type="dxa"/>
            <w:tcBorders>
              <w:top w:val="single" w:sz="4" w:space="0" w:color="auto"/>
            </w:tcBorders>
            <w:noWrap/>
            <w:vAlign w:val="center"/>
            <w:hideMark/>
          </w:tcPr>
          <w:p w14:paraId="77005927"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-9.4</w:t>
            </w:r>
          </w:p>
        </w:tc>
      </w:tr>
      <w:tr w:rsidR="0031061F" w:rsidRPr="0063258A" w14:paraId="318B91B1" w14:textId="77777777" w:rsidTr="002D42CC">
        <w:trPr>
          <w:trHeight w:val="265"/>
        </w:trPr>
        <w:tc>
          <w:tcPr>
            <w:tcW w:w="5760" w:type="dxa"/>
            <w:vAlign w:val="center"/>
          </w:tcPr>
          <w:p w14:paraId="566E56B4"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[2-(2-benzoylphenyl)-4-(1-hydroxycyclohexyl)phenyl]-[4-(1-hydroxycyclohexyl)phenyl]methanone</w:t>
            </w:r>
          </w:p>
        </w:tc>
        <w:tc>
          <w:tcPr>
            <w:tcW w:w="1620" w:type="dxa"/>
            <w:noWrap/>
            <w:vAlign w:val="center"/>
            <w:hideMark/>
          </w:tcPr>
          <w:p w14:paraId="62012156"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890" w:type="dxa"/>
            <w:noWrap/>
            <w:vAlign w:val="center"/>
            <w:hideMark/>
          </w:tcPr>
          <w:p w14:paraId="6068DA4C"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w:t>
            </w:r>
          </w:p>
        </w:tc>
      </w:tr>
      <w:tr w:rsidR="0031061F" w:rsidRPr="0063258A" w14:paraId="7202084A" w14:textId="77777777" w:rsidTr="002D42CC">
        <w:trPr>
          <w:trHeight w:val="265"/>
        </w:trPr>
        <w:tc>
          <w:tcPr>
            <w:tcW w:w="5760" w:type="dxa"/>
            <w:vAlign w:val="center"/>
          </w:tcPr>
          <w:p w14:paraId="52610559"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(3S,8S,9S,10R,13R,14S,17R)-17-[(E,2R,5S)-5-ethyl-6-methylhept-3-en-2-yl]-10,13-dimethyl-2,3,4,7,8,9,11,12,14,15,16,17-dodecahydro-1H-cyclopenta[a]phenanthren-3-ol</w:t>
            </w:r>
            <w:r w:rsidRPr="0063258A">
              <w:rPr>
                <w:rFonts w:ascii="Times New Roman" w:hAnsi="Times New Roman" w:cs="Times New Roman"/>
                <w:color w:val="212121"/>
                <w:sz w:val="24"/>
                <w:szCs w:val="24"/>
                <w:shd w:val="clear" w:color="auto" w:fill="FFFFFF"/>
              </w:rPr>
              <w:t> </w:t>
            </w:r>
          </w:p>
        </w:tc>
        <w:tc>
          <w:tcPr>
            <w:tcW w:w="1620" w:type="dxa"/>
            <w:noWrap/>
            <w:vAlign w:val="center"/>
            <w:hideMark/>
          </w:tcPr>
          <w:p w14:paraId="6F16FD33"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5280794</w:t>
            </w:r>
          </w:p>
        </w:tc>
        <w:tc>
          <w:tcPr>
            <w:tcW w:w="1890" w:type="dxa"/>
            <w:noWrap/>
            <w:vAlign w:val="center"/>
            <w:hideMark/>
          </w:tcPr>
          <w:p w14:paraId="5FFC6D82"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-8.4</w:t>
            </w:r>
          </w:p>
        </w:tc>
      </w:tr>
      <w:tr w:rsidR="0031061F" w:rsidRPr="0063258A" w14:paraId="6D36F4DF" w14:textId="77777777" w:rsidTr="002D42CC">
        <w:trPr>
          <w:trHeight w:val="265"/>
        </w:trPr>
        <w:tc>
          <w:tcPr>
            <w:tcW w:w="5760" w:type="dxa"/>
            <w:vAlign w:val="center"/>
          </w:tcPr>
          <w:p w14:paraId="5304E695"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Dicyclohexyl</w:t>
            </w:r>
            <w:proofErr w:type="spellEnd"/>
            <w:r w:rsidRPr="0063258A">
              <w:rPr>
                <w:rFonts w:ascii="Times New Roman" w:hAnsi="Times New Roman" w:cs="Times New Roman"/>
                <w:color w:val="212121"/>
                <w:sz w:val="24"/>
                <w:szCs w:val="24"/>
                <w:shd w:val="clear" w:color="auto" w:fill="FFFFFF"/>
              </w:rPr>
              <w:t xml:space="preserve"> benzene-1,2-dicarboxylate</w:t>
            </w:r>
          </w:p>
        </w:tc>
        <w:tc>
          <w:tcPr>
            <w:tcW w:w="1620" w:type="dxa"/>
            <w:noWrap/>
            <w:vAlign w:val="center"/>
            <w:hideMark/>
          </w:tcPr>
          <w:p w14:paraId="7E0ECAF3"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6777</w:t>
            </w:r>
          </w:p>
        </w:tc>
        <w:tc>
          <w:tcPr>
            <w:tcW w:w="1890" w:type="dxa"/>
            <w:noWrap/>
            <w:vAlign w:val="center"/>
            <w:hideMark/>
          </w:tcPr>
          <w:p w14:paraId="188CD0E7"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-8.2</w:t>
            </w:r>
          </w:p>
        </w:tc>
      </w:tr>
      <w:tr w:rsidR="0031061F" w:rsidRPr="0063258A" w14:paraId="4DDC64BF" w14:textId="77777777" w:rsidTr="002D42CC">
        <w:trPr>
          <w:trHeight w:val="265"/>
        </w:trPr>
        <w:tc>
          <w:tcPr>
            <w:tcW w:w="5760" w:type="dxa"/>
            <w:vAlign w:val="center"/>
          </w:tcPr>
          <w:p w14:paraId="705D0FBC"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Cycloicosane</w:t>
            </w:r>
            <w:proofErr w:type="spellEnd"/>
          </w:p>
        </w:tc>
        <w:tc>
          <w:tcPr>
            <w:tcW w:w="1620" w:type="dxa"/>
            <w:noWrap/>
            <w:vAlign w:val="center"/>
            <w:hideMark/>
          </w:tcPr>
          <w:p w14:paraId="3D31A1E6"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520444</w:t>
            </w:r>
          </w:p>
        </w:tc>
        <w:tc>
          <w:tcPr>
            <w:tcW w:w="1890" w:type="dxa"/>
            <w:noWrap/>
            <w:vAlign w:val="center"/>
            <w:hideMark/>
          </w:tcPr>
          <w:p w14:paraId="341CBF1C"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-7.6</w:t>
            </w:r>
          </w:p>
        </w:tc>
      </w:tr>
      <w:tr w:rsidR="0031061F" w:rsidRPr="0063258A" w14:paraId="7FC1E397" w14:textId="77777777" w:rsidTr="002D42CC">
        <w:trPr>
          <w:trHeight w:val="265"/>
        </w:trPr>
        <w:tc>
          <w:tcPr>
            <w:tcW w:w="5760" w:type="dxa"/>
            <w:vAlign w:val="center"/>
          </w:tcPr>
          <w:p w14:paraId="1B11C97B"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[2-(2,2,3,3,3-pentafluoropropanoyloxy)phenyl] furan-2-carboxylate</w:t>
            </w:r>
          </w:p>
        </w:tc>
        <w:tc>
          <w:tcPr>
            <w:tcW w:w="1620" w:type="dxa"/>
            <w:noWrap/>
            <w:vAlign w:val="center"/>
            <w:hideMark/>
          </w:tcPr>
          <w:p w14:paraId="146B4236"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1890" w:type="dxa"/>
            <w:noWrap/>
            <w:vAlign w:val="center"/>
            <w:hideMark/>
          </w:tcPr>
          <w:p w14:paraId="71D7D2E1"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-7.6</w:t>
            </w:r>
          </w:p>
        </w:tc>
      </w:tr>
      <w:tr w:rsidR="0031061F" w:rsidRPr="0063258A" w14:paraId="438A2D4E" w14:textId="77777777" w:rsidTr="002D42CC">
        <w:trPr>
          <w:trHeight w:val="265"/>
        </w:trPr>
        <w:tc>
          <w:tcPr>
            <w:tcW w:w="5760" w:type="dxa"/>
            <w:vAlign w:val="center"/>
          </w:tcPr>
          <w:p w14:paraId="4C4520C0"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Glutathione (Control)</w:t>
            </w:r>
          </w:p>
        </w:tc>
        <w:tc>
          <w:tcPr>
            <w:tcW w:w="1620" w:type="dxa"/>
            <w:noWrap/>
            <w:vAlign w:val="center"/>
          </w:tcPr>
          <w:p w14:paraId="13063A32"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124886</w:t>
            </w:r>
          </w:p>
        </w:tc>
        <w:tc>
          <w:tcPr>
            <w:tcW w:w="1890" w:type="dxa"/>
            <w:noWrap/>
            <w:vAlign w:val="center"/>
          </w:tcPr>
          <w:p w14:paraId="70F35ED6" w14:textId="77777777" w:rsidR="0031061F" w:rsidRPr="0063258A" w:rsidRDefault="0031061F" w:rsidP="00837A5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w:t>
            </w:r>
          </w:p>
        </w:tc>
      </w:tr>
      <w:tr w:rsidR="0031061F" w:rsidRPr="0063258A" w14:paraId="5E033312" w14:textId="77777777" w:rsidTr="002D42CC">
        <w:trPr>
          <w:trHeight w:val="265"/>
        </w:trPr>
        <w:tc>
          <w:tcPr>
            <w:tcW w:w="5760" w:type="dxa"/>
            <w:vAlign w:val="center"/>
          </w:tcPr>
          <w:p w14:paraId="26F8E307"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N-acetylcysteine (Control)</w:t>
            </w:r>
          </w:p>
        </w:tc>
        <w:tc>
          <w:tcPr>
            <w:tcW w:w="1620" w:type="dxa"/>
            <w:noWrap/>
            <w:vAlign w:val="center"/>
          </w:tcPr>
          <w:p w14:paraId="352A4747"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12035</w:t>
            </w:r>
          </w:p>
        </w:tc>
        <w:tc>
          <w:tcPr>
            <w:tcW w:w="1890" w:type="dxa"/>
            <w:noWrap/>
            <w:vAlign w:val="center"/>
          </w:tcPr>
          <w:p w14:paraId="31FD506D" w14:textId="77777777" w:rsidR="0031061F" w:rsidRPr="0063258A" w:rsidRDefault="0031061F" w:rsidP="00837A5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w:t>
            </w:r>
          </w:p>
        </w:tc>
      </w:tr>
    </w:tbl>
    <w:p w14:paraId="3BCB32B3" w14:textId="77777777" w:rsidR="00684263" w:rsidRPr="0063258A" w:rsidRDefault="00684263">
      <w:pPr>
        <w:rPr>
          <w:rFonts w:ascii="Times New Roman" w:hAnsi="Times New Roman" w:cs="Times New Roman"/>
          <w:sz w:val="24"/>
          <w:szCs w:val="24"/>
        </w:rPr>
      </w:pPr>
    </w:p>
    <w:p w14:paraId="7D64CBD9" w14:textId="77777777" w:rsidR="009315F0" w:rsidRPr="0063258A" w:rsidRDefault="009315F0">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09725779" wp14:editId="02926ECA">
            <wp:extent cx="2602220" cy="2828260"/>
            <wp:effectExtent l="0" t="0" r="8255" b="0"/>
            <wp:docPr id="6" name="Picture 6" descr="C:\Users\SIR HENRY\Documents\Documents\DR STANLEY COOU\Walnut panacrease results\Wall nut with 1gre\2D INTERACTION OF 558427 with 1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R HENRY\Documents\Documents\DR STANLEY COOU\Walnut panacrease results\Wall nut with 1gre\2D INTERACTION OF 558427 with 1g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2494" cy="2839427"/>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4EFF10B2" wp14:editId="2A305169">
            <wp:extent cx="3194062" cy="2349795"/>
            <wp:effectExtent l="0" t="0" r="6350" b="0"/>
            <wp:docPr id="8" name="Picture 8" descr="C:\Users\SIR HENRY\Documents\Documents\DR STANLEY COOU\Walnut panacrease results\Wall nut with 1gre\3D INTERACTION OF 558427 with 1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R HENRY\Documents\Documents\DR STANLEY COOU\Walnut panacrease results\Wall nut with 1gre\3D INTERACTION OF 558427 with 1gr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56" t="15513" r="15017" b="10203"/>
                    <a:stretch/>
                  </pic:blipFill>
                  <pic:spPr bwMode="auto">
                    <a:xfrm>
                      <a:off x="0" y="0"/>
                      <a:ext cx="3197281" cy="2352163"/>
                    </a:xfrm>
                    <a:prstGeom prst="rect">
                      <a:avLst/>
                    </a:prstGeom>
                    <a:noFill/>
                    <a:ln>
                      <a:noFill/>
                    </a:ln>
                    <a:extLst>
                      <a:ext uri="{53640926-AAD7-44D8-BBD7-CCE9431645EC}">
                        <a14:shadowObscured xmlns:a14="http://schemas.microsoft.com/office/drawing/2010/main"/>
                      </a:ext>
                    </a:extLst>
                  </pic:spPr>
                </pic:pic>
              </a:graphicData>
            </a:graphic>
          </wp:inline>
        </w:drawing>
      </w:r>
    </w:p>
    <w:p w14:paraId="1EED4755" w14:textId="77777777" w:rsidR="002F09A8" w:rsidRPr="0063258A" w:rsidRDefault="002F09A8" w:rsidP="002F09A8">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7: 2D and 3D binding interactions of </w:t>
      </w: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Glutathione-S-transferase</w:t>
      </w:r>
      <w:r w:rsidRPr="0063258A">
        <w:rPr>
          <w:rFonts w:ascii="Times New Roman" w:hAnsi="Times New Roman" w:cs="Times New Roman"/>
          <w:b/>
          <w:sz w:val="24"/>
          <w:szCs w:val="24"/>
        </w:rPr>
        <w:t xml:space="preserve"> target (PDB: 1GRE)</w:t>
      </w:r>
    </w:p>
    <w:p w14:paraId="0FD65954" w14:textId="77777777" w:rsidR="009315F0" w:rsidRPr="0063258A" w:rsidRDefault="009315F0">
      <w:pPr>
        <w:rPr>
          <w:rFonts w:ascii="Times New Roman" w:hAnsi="Times New Roman" w:cs="Times New Roman"/>
          <w:sz w:val="24"/>
          <w:szCs w:val="24"/>
        </w:rPr>
      </w:pPr>
    </w:p>
    <w:p w14:paraId="2D2DB000" w14:textId="77777777" w:rsidR="00E74ED1"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7: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Inflammatory mediator</w:t>
      </w:r>
      <w:r w:rsidRPr="0063258A">
        <w:rPr>
          <w:rFonts w:ascii="Times New Roman" w:hAnsi="Times New Roman" w:cs="Times New Roman"/>
          <w:b/>
          <w:sz w:val="24"/>
          <w:szCs w:val="24"/>
        </w:rPr>
        <w:t xml:space="preserve"> target (PDB: 1IL6)</w:t>
      </w:r>
    </w:p>
    <w:tbl>
      <w:tblPr>
        <w:tblpPr w:leftFromText="180" w:rightFromText="180" w:vertAnchor="text" w:tblpY="1"/>
        <w:tblOverlap w:val="never"/>
        <w:tblW w:w="9270" w:type="dxa"/>
        <w:tblBorders>
          <w:top w:val="single" w:sz="4" w:space="0" w:color="auto"/>
          <w:bottom w:val="single" w:sz="4" w:space="0" w:color="auto"/>
        </w:tblBorders>
        <w:tblLook w:val="04A0" w:firstRow="1" w:lastRow="0" w:firstColumn="1" w:lastColumn="0" w:noHBand="0" w:noVBand="1"/>
      </w:tblPr>
      <w:tblGrid>
        <w:gridCol w:w="5618"/>
        <w:gridCol w:w="1582"/>
        <w:gridCol w:w="2070"/>
      </w:tblGrid>
      <w:tr w:rsidR="002D42CC" w:rsidRPr="0063258A" w14:paraId="6CEA46D3" w14:textId="77777777" w:rsidTr="002D42CC">
        <w:trPr>
          <w:trHeight w:val="243"/>
        </w:trPr>
        <w:tc>
          <w:tcPr>
            <w:tcW w:w="5618" w:type="dxa"/>
            <w:tcBorders>
              <w:top w:val="single" w:sz="4" w:space="0" w:color="auto"/>
              <w:bottom w:val="single" w:sz="4" w:space="0" w:color="auto"/>
            </w:tcBorders>
            <w:vAlign w:val="center"/>
          </w:tcPr>
          <w:p w14:paraId="4CC5CA96"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582" w:type="dxa"/>
            <w:tcBorders>
              <w:top w:val="single" w:sz="4" w:space="0" w:color="auto"/>
              <w:bottom w:val="single" w:sz="4" w:space="0" w:color="auto"/>
            </w:tcBorders>
            <w:noWrap/>
            <w:vAlign w:val="center"/>
            <w:hideMark/>
          </w:tcPr>
          <w:p w14:paraId="5AF9CD7C"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2070" w:type="dxa"/>
            <w:tcBorders>
              <w:top w:val="single" w:sz="4" w:space="0" w:color="auto"/>
              <w:bottom w:val="single" w:sz="4" w:space="0" w:color="auto"/>
            </w:tcBorders>
            <w:noWrap/>
            <w:vAlign w:val="center"/>
            <w:hideMark/>
          </w:tcPr>
          <w:p w14:paraId="3C4CE497"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D97EE1" w:rsidRPr="0063258A" w14:paraId="66D92008" w14:textId="77777777" w:rsidTr="002D42CC">
        <w:trPr>
          <w:trHeight w:val="243"/>
        </w:trPr>
        <w:tc>
          <w:tcPr>
            <w:tcW w:w="5618" w:type="dxa"/>
            <w:tcBorders>
              <w:top w:val="single" w:sz="4" w:space="0" w:color="auto"/>
            </w:tcBorders>
            <w:vAlign w:val="center"/>
          </w:tcPr>
          <w:p w14:paraId="72AC01EA"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[2-(2,2,3,3,3-pentafluoropropanoyloxy)phenyl] furan-2-carboxylate</w:t>
            </w:r>
          </w:p>
        </w:tc>
        <w:tc>
          <w:tcPr>
            <w:tcW w:w="1582" w:type="dxa"/>
            <w:tcBorders>
              <w:top w:val="single" w:sz="4" w:space="0" w:color="auto"/>
            </w:tcBorders>
            <w:noWrap/>
            <w:vAlign w:val="center"/>
            <w:hideMark/>
          </w:tcPr>
          <w:p w14:paraId="4BD25230"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2070" w:type="dxa"/>
            <w:tcBorders>
              <w:top w:val="single" w:sz="4" w:space="0" w:color="auto"/>
            </w:tcBorders>
            <w:noWrap/>
            <w:vAlign w:val="center"/>
            <w:hideMark/>
          </w:tcPr>
          <w:p w14:paraId="5EA7CFBB"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-7.3</w:t>
            </w:r>
          </w:p>
        </w:tc>
      </w:tr>
      <w:tr w:rsidR="00D97EE1" w:rsidRPr="0063258A" w14:paraId="4F0F34BC" w14:textId="77777777" w:rsidTr="002D42CC">
        <w:trPr>
          <w:trHeight w:val="243"/>
        </w:trPr>
        <w:tc>
          <w:tcPr>
            <w:tcW w:w="5618" w:type="dxa"/>
            <w:vAlign w:val="center"/>
          </w:tcPr>
          <w:p w14:paraId="32AED0B6"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N-(1-phenylethyl)benzotriazol-1-amine</w:t>
            </w:r>
          </w:p>
        </w:tc>
        <w:tc>
          <w:tcPr>
            <w:tcW w:w="1582" w:type="dxa"/>
            <w:noWrap/>
            <w:vAlign w:val="center"/>
            <w:hideMark/>
          </w:tcPr>
          <w:p w14:paraId="7789AEFB"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119340</w:t>
            </w:r>
          </w:p>
        </w:tc>
        <w:tc>
          <w:tcPr>
            <w:tcW w:w="2070" w:type="dxa"/>
            <w:noWrap/>
            <w:vAlign w:val="center"/>
            <w:hideMark/>
          </w:tcPr>
          <w:p w14:paraId="780ABD5B"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-7.1</w:t>
            </w:r>
          </w:p>
        </w:tc>
      </w:tr>
      <w:tr w:rsidR="00D97EE1" w:rsidRPr="0063258A" w14:paraId="2764ACBD" w14:textId="77777777" w:rsidTr="002D42CC">
        <w:trPr>
          <w:trHeight w:val="243"/>
        </w:trPr>
        <w:tc>
          <w:tcPr>
            <w:tcW w:w="5618" w:type="dxa"/>
            <w:vAlign w:val="center"/>
          </w:tcPr>
          <w:p w14:paraId="1566E0B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Dicyclohexyl</w:t>
            </w:r>
            <w:proofErr w:type="spellEnd"/>
            <w:r w:rsidRPr="0063258A">
              <w:rPr>
                <w:rFonts w:ascii="Times New Roman" w:hAnsi="Times New Roman" w:cs="Times New Roman"/>
                <w:color w:val="212121"/>
                <w:sz w:val="24"/>
                <w:szCs w:val="24"/>
                <w:shd w:val="clear" w:color="auto" w:fill="FFFFFF"/>
              </w:rPr>
              <w:t xml:space="preserve"> benzene-1,2-dicarboxylate</w:t>
            </w:r>
          </w:p>
        </w:tc>
        <w:tc>
          <w:tcPr>
            <w:tcW w:w="1582" w:type="dxa"/>
            <w:noWrap/>
            <w:vAlign w:val="center"/>
            <w:hideMark/>
          </w:tcPr>
          <w:p w14:paraId="26C6E2AF"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6777</w:t>
            </w:r>
          </w:p>
        </w:tc>
        <w:tc>
          <w:tcPr>
            <w:tcW w:w="2070" w:type="dxa"/>
            <w:noWrap/>
            <w:vAlign w:val="center"/>
            <w:hideMark/>
          </w:tcPr>
          <w:p w14:paraId="36F31B22"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w:t>
            </w:r>
          </w:p>
        </w:tc>
      </w:tr>
      <w:tr w:rsidR="00D97EE1" w:rsidRPr="0063258A" w14:paraId="186B12F8" w14:textId="77777777" w:rsidTr="002D42CC">
        <w:trPr>
          <w:trHeight w:val="243"/>
        </w:trPr>
        <w:tc>
          <w:tcPr>
            <w:tcW w:w="5618" w:type="dxa"/>
            <w:vAlign w:val="center"/>
          </w:tcPr>
          <w:p w14:paraId="5C4389C7"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N-hydroxy-N'-[2-(trifluoromethyl)phenyl]pyridine-3-carboximidamide</w:t>
            </w:r>
          </w:p>
        </w:tc>
        <w:tc>
          <w:tcPr>
            <w:tcW w:w="1582" w:type="dxa"/>
            <w:noWrap/>
            <w:vAlign w:val="center"/>
            <w:hideMark/>
          </w:tcPr>
          <w:p w14:paraId="26097D3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550559</w:t>
            </w:r>
          </w:p>
        </w:tc>
        <w:tc>
          <w:tcPr>
            <w:tcW w:w="2070" w:type="dxa"/>
            <w:noWrap/>
            <w:vAlign w:val="center"/>
            <w:hideMark/>
          </w:tcPr>
          <w:p w14:paraId="5514C23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-6.8</w:t>
            </w:r>
          </w:p>
        </w:tc>
      </w:tr>
      <w:tr w:rsidR="00D97EE1" w:rsidRPr="0063258A" w14:paraId="55618D6F" w14:textId="77777777" w:rsidTr="002D42CC">
        <w:trPr>
          <w:trHeight w:val="243"/>
        </w:trPr>
        <w:tc>
          <w:tcPr>
            <w:tcW w:w="5618" w:type="dxa"/>
            <w:vAlign w:val="center"/>
          </w:tcPr>
          <w:p w14:paraId="5EC371E8"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4-N-[(3,5-dimethylpyridin-2-yl)methyl]-4-N-[(3-propan-2-ylpyridin-2-yl)methyl]cyclohexane-1,4-diamine</w:t>
            </w:r>
          </w:p>
        </w:tc>
        <w:tc>
          <w:tcPr>
            <w:tcW w:w="1582" w:type="dxa"/>
            <w:noWrap/>
            <w:vAlign w:val="center"/>
            <w:hideMark/>
          </w:tcPr>
          <w:p w14:paraId="0AF5CBDE"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58997203</w:t>
            </w:r>
          </w:p>
        </w:tc>
        <w:tc>
          <w:tcPr>
            <w:tcW w:w="2070" w:type="dxa"/>
            <w:noWrap/>
            <w:vAlign w:val="center"/>
            <w:hideMark/>
          </w:tcPr>
          <w:p w14:paraId="129ABD6C"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D97EE1" w:rsidRPr="0063258A" w14:paraId="0E60F1C6" w14:textId="77777777" w:rsidTr="002D42CC">
        <w:trPr>
          <w:trHeight w:val="243"/>
        </w:trPr>
        <w:tc>
          <w:tcPr>
            <w:tcW w:w="5618" w:type="dxa"/>
            <w:vAlign w:val="center"/>
          </w:tcPr>
          <w:p w14:paraId="1A7BB3D1"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N,N-dimethyl-8-[2-(trifluoromethyl)phenothiazin-10-yl]</w:t>
            </w:r>
            <w:proofErr w:type="spellStart"/>
            <w:r w:rsidRPr="0063258A">
              <w:rPr>
                <w:rFonts w:ascii="Times New Roman" w:hAnsi="Times New Roman" w:cs="Times New Roman"/>
                <w:color w:val="212121"/>
                <w:sz w:val="24"/>
                <w:szCs w:val="24"/>
                <w:shd w:val="clear" w:color="auto" w:fill="FFFFFF"/>
              </w:rPr>
              <w:t>octanamide</w:t>
            </w:r>
            <w:proofErr w:type="spellEnd"/>
          </w:p>
        </w:tc>
        <w:tc>
          <w:tcPr>
            <w:tcW w:w="1582" w:type="dxa"/>
            <w:noWrap/>
            <w:vAlign w:val="center"/>
            <w:hideMark/>
          </w:tcPr>
          <w:p w14:paraId="16AE204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45139045</w:t>
            </w:r>
          </w:p>
        </w:tc>
        <w:tc>
          <w:tcPr>
            <w:tcW w:w="2070" w:type="dxa"/>
            <w:noWrap/>
            <w:vAlign w:val="center"/>
            <w:hideMark/>
          </w:tcPr>
          <w:p w14:paraId="31185AD2"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-6.6</w:t>
            </w:r>
          </w:p>
        </w:tc>
      </w:tr>
      <w:tr w:rsidR="00D97EE1" w:rsidRPr="0063258A" w14:paraId="3AE3D750" w14:textId="77777777" w:rsidTr="002D42CC">
        <w:trPr>
          <w:trHeight w:val="243"/>
        </w:trPr>
        <w:tc>
          <w:tcPr>
            <w:tcW w:w="5618" w:type="dxa"/>
            <w:vAlign w:val="center"/>
          </w:tcPr>
          <w:p w14:paraId="3827F759" w14:textId="77777777" w:rsidR="00D97EE1" w:rsidRPr="0063258A" w:rsidRDefault="00D97EE1" w:rsidP="008070DD">
            <w:pPr>
              <w:spacing w:after="0" w:line="240" w:lineRule="auto"/>
              <w:rPr>
                <w:rFonts w:ascii="Times New Roman" w:hAnsi="Times New Roman" w:cs="Times New Roman"/>
                <w:color w:val="212121"/>
                <w:sz w:val="24"/>
                <w:szCs w:val="24"/>
                <w:shd w:val="clear" w:color="auto" w:fill="FFFFFF"/>
              </w:rPr>
            </w:pPr>
            <w:r w:rsidRPr="0063258A">
              <w:rPr>
                <w:rFonts w:ascii="Times New Roman" w:hAnsi="Times New Roman" w:cs="Times New Roman"/>
                <w:sz w:val="24"/>
                <w:szCs w:val="24"/>
              </w:rPr>
              <w:t>Celecoxib (Control)</w:t>
            </w:r>
          </w:p>
        </w:tc>
        <w:tc>
          <w:tcPr>
            <w:tcW w:w="1582" w:type="dxa"/>
            <w:noWrap/>
            <w:vAlign w:val="center"/>
          </w:tcPr>
          <w:p w14:paraId="7048D092" w14:textId="77777777" w:rsidR="00D97EE1" w:rsidRPr="0063258A" w:rsidRDefault="00D97EE1" w:rsidP="008070DD">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2662</w:t>
            </w:r>
          </w:p>
        </w:tc>
        <w:tc>
          <w:tcPr>
            <w:tcW w:w="2070" w:type="dxa"/>
            <w:noWrap/>
            <w:vAlign w:val="center"/>
          </w:tcPr>
          <w:p w14:paraId="34765691"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-6.6</w:t>
            </w:r>
          </w:p>
        </w:tc>
      </w:tr>
      <w:tr w:rsidR="00D97EE1" w:rsidRPr="0063258A" w14:paraId="78BC2013" w14:textId="77777777" w:rsidTr="002D42CC">
        <w:trPr>
          <w:trHeight w:val="243"/>
        </w:trPr>
        <w:tc>
          <w:tcPr>
            <w:tcW w:w="5618" w:type="dxa"/>
            <w:vAlign w:val="center"/>
          </w:tcPr>
          <w:p w14:paraId="51C7DB59"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14-hydroxy-16-methoxy-4-methyl-3-oxabicyclo[10.4.0]hexadeca-1(12),13,15-trien-2-one</w:t>
            </w:r>
          </w:p>
        </w:tc>
        <w:tc>
          <w:tcPr>
            <w:tcW w:w="1582" w:type="dxa"/>
            <w:noWrap/>
            <w:vAlign w:val="center"/>
            <w:hideMark/>
          </w:tcPr>
          <w:p w14:paraId="7B36C38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602765</w:t>
            </w:r>
          </w:p>
        </w:tc>
        <w:tc>
          <w:tcPr>
            <w:tcW w:w="2070" w:type="dxa"/>
            <w:noWrap/>
            <w:vAlign w:val="center"/>
            <w:hideMark/>
          </w:tcPr>
          <w:p w14:paraId="7EF78527"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-6.5</w:t>
            </w:r>
          </w:p>
        </w:tc>
      </w:tr>
      <w:tr w:rsidR="00D97EE1" w:rsidRPr="0063258A" w14:paraId="65A1B698" w14:textId="77777777" w:rsidTr="002D42CC">
        <w:trPr>
          <w:trHeight w:val="243"/>
        </w:trPr>
        <w:tc>
          <w:tcPr>
            <w:tcW w:w="5618" w:type="dxa"/>
            <w:vAlign w:val="center"/>
          </w:tcPr>
          <w:p w14:paraId="6427834B" w14:textId="77777777" w:rsidR="00D97EE1" w:rsidRPr="0063258A" w:rsidRDefault="00D97EE1" w:rsidP="008070DD">
            <w:pPr>
              <w:spacing w:after="0" w:line="240" w:lineRule="auto"/>
              <w:rPr>
                <w:rFonts w:ascii="Times New Roman" w:hAnsi="Times New Roman" w:cs="Times New Roman"/>
                <w:color w:val="212121"/>
                <w:sz w:val="24"/>
                <w:szCs w:val="24"/>
                <w:shd w:val="clear" w:color="auto" w:fill="FFFFFF"/>
              </w:rPr>
            </w:pPr>
            <w:r w:rsidRPr="0063258A">
              <w:rPr>
                <w:rFonts w:ascii="Times New Roman" w:hAnsi="Times New Roman" w:cs="Times New Roman"/>
                <w:sz w:val="24"/>
                <w:szCs w:val="24"/>
              </w:rPr>
              <w:t>Aspirin (Control)</w:t>
            </w:r>
          </w:p>
        </w:tc>
        <w:tc>
          <w:tcPr>
            <w:tcW w:w="1582" w:type="dxa"/>
            <w:noWrap/>
            <w:vAlign w:val="center"/>
          </w:tcPr>
          <w:p w14:paraId="5AE4C0F7" w14:textId="77777777" w:rsidR="00D97EE1" w:rsidRPr="0063258A" w:rsidRDefault="00D97EE1" w:rsidP="008070DD">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2244</w:t>
            </w:r>
          </w:p>
        </w:tc>
        <w:tc>
          <w:tcPr>
            <w:tcW w:w="2070" w:type="dxa"/>
            <w:noWrap/>
            <w:vAlign w:val="center"/>
          </w:tcPr>
          <w:p w14:paraId="14CBB314"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-5.3</w:t>
            </w:r>
          </w:p>
        </w:tc>
      </w:tr>
    </w:tbl>
    <w:p w14:paraId="07E6C521" w14:textId="77777777" w:rsidR="00AF6A2F" w:rsidRPr="0063258A" w:rsidRDefault="00AF6A2F">
      <w:pPr>
        <w:rPr>
          <w:rFonts w:ascii="Times New Roman" w:hAnsi="Times New Roman" w:cs="Times New Roman"/>
          <w:sz w:val="24"/>
          <w:szCs w:val="24"/>
        </w:rPr>
      </w:pPr>
    </w:p>
    <w:p w14:paraId="3B2549A5" w14:textId="77777777" w:rsidR="00AF6A2F" w:rsidRPr="0063258A" w:rsidRDefault="00AF6A2F">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46B0E6D7" wp14:editId="0B94AD70">
            <wp:extent cx="2658140" cy="2889038"/>
            <wp:effectExtent l="0" t="0" r="8890" b="6985"/>
            <wp:docPr id="9" name="Picture 9" descr="C:\Users\SIR HENRY\Documents\Documents\DR STANLEY COOU\Walnut panacrease results\WALL NUT WITH 1il6\2D INTERACTION OF 91700578 with 1i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R HENRY\Documents\Documents\DR STANLEY COOU\Walnut panacrease results\WALL NUT WITH 1il6\2D INTERACTION OF 91700578 with 1il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1029" cy="2903047"/>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61CE584F" wp14:editId="441EB87F">
            <wp:extent cx="3032980" cy="2658140"/>
            <wp:effectExtent l="0" t="0" r="0" b="8890"/>
            <wp:docPr id="10" name="Picture 10" descr="C:\Users\SIR HENRY\Documents\Documents\DR STANLEY COOU\Walnut panacrease results\WALL NUT WITH 1il6\3D INTERACTION OF 91700578 with 1i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R HENRY\Documents\Documents\DR STANLEY COOU\Walnut panacrease results\WALL NUT WITH 1il6\3D INTERACTION OF 91700578 with 1il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4493" t="11953" r="14839"/>
                    <a:stretch/>
                  </pic:blipFill>
                  <pic:spPr bwMode="auto">
                    <a:xfrm>
                      <a:off x="0" y="0"/>
                      <a:ext cx="3040318" cy="2664571"/>
                    </a:xfrm>
                    <a:prstGeom prst="rect">
                      <a:avLst/>
                    </a:prstGeom>
                    <a:noFill/>
                    <a:ln>
                      <a:noFill/>
                    </a:ln>
                    <a:extLst>
                      <a:ext uri="{53640926-AAD7-44D8-BBD7-CCE9431645EC}">
                        <a14:shadowObscured xmlns:a14="http://schemas.microsoft.com/office/drawing/2010/main"/>
                      </a:ext>
                    </a:extLst>
                  </pic:spPr>
                </pic:pic>
              </a:graphicData>
            </a:graphic>
          </wp:inline>
        </w:drawing>
      </w:r>
    </w:p>
    <w:p w14:paraId="208723CC" w14:textId="77777777" w:rsidR="002F09A8" w:rsidRPr="0063258A" w:rsidRDefault="002F09A8" w:rsidP="002F09A8">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8: 2D and 3D binding interactions of </w:t>
      </w:r>
      <w:r w:rsidRPr="0063258A">
        <w:rPr>
          <w:rFonts w:ascii="Times New Roman" w:hAnsi="Times New Roman" w:cs="Times New Roman"/>
          <w:b/>
          <w:color w:val="212121"/>
          <w:sz w:val="24"/>
          <w:szCs w:val="24"/>
          <w:shd w:val="clear" w:color="auto" w:fill="FFFFFF"/>
        </w:rPr>
        <w:t>[2-(2,2,3,3,3-pentafluoropropanoyloxy)phenyl] furan-2-carboxylate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Inflammatory mediator</w:t>
      </w:r>
      <w:r w:rsidRPr="0063258A">
        <w:rPr>
          <w:rFonts w:ascii="Times New Roman" w:hAnsi="Times New Roman" w:cs="Times New Roman"/>
          <w:b/>
          <w:sz w:val="24"/>
          <w:szCs w:val="24"/>
        </w:rPr>
        <w:t xml:space="preserve"> target (PDB: 1IL6)</w:t>
      </w:r>
    </w:p>
    <w:p w14:paraId="7B750F50" w14:textId="77777777" w:rsidR="00AF6A2F" w:rsidRPr="0063258A" w:rsidRDefault="00AF6A2F">
      <w:pPr>
        <w:rPr>
          <w:rFonts w:ascii="Times New Roman" w:hAnsi="Times New Roman" w:cs="Times New Roman"/>
          <w:sz w:val="24"/>
          <w:szCs w:val="24"/>
        </w:rPr>
      </w:pPr>
    </w:p>
    <w:p w14:paraId="54D977D5" w14:textId="77777777" w:rsidR="00B95515" w:rsidRPr="0063258A" w:rsidRDefault="00B95515">
      <w:pPr>
        <w:rPr>
          <w:rFonts w:ascii="Times New Roman" w:hAnsi="Times New Roman" w:cs="Times New Roman"/>
          <w:sz w:val="24"/>
          <w:szCs w:val="24"/>
        </w:rPr>
      </w:pPr>
    </w:p>
    <w:p w14:paraId="35D70550" w14:textId="77777777" w:rsidR="00E74ED1"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8: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Pancreatic function</w:t>
      </w:r>
      <w:r w:rsidRPr="0063258A">
        <w:rPr>
          <w:rFonts w:ascii="Times New Roman" w:hAnsi="Times New Roman" w:cs="Times New Roman"/>
          <w:b/>
          <w:sz w:val="24"/>
          <w:szCs w:val="24"/>
        </w:rPr>
        <w:t xml:space="preserve"> target (PDB: 1V4S)</w:t>
      </w:r>
    </w:p>
    <w:tbl>
      <w:tblPr>
        <w:tblW w:w="9180" w:type="dxa"/>
        <w:tblBorders>
          <w:top w:val="single" w:sz="4" w:space="0" w:color="auto"/>
          <w:bottom w:val="single" w:sz="4" w:space="0" w:color="auto"/>
        </w:tblBorders>
        <w:tblLook w:val="04A0" w:firstRow="1" w:lastRow="0" w:firstColumn="1" w:lastColumn="0" w:noHBand="0" w:noVBand="1"/>
      </w:tblPr>
      <w:tblGrid>
        <w:gridCol w:w="5760"/>
        <w:gridCol w:w="1530"/>
        <w:gridCol w:w="1890"/>
      </w:tblGrid>
      <w:tr w:rsidR="002D42CC" w:rsidRPr="0063258A" w14:paraId="3BAB3982" w14:textId="77777777" w:rsidTr="002D42CC">
        <w:trPr>
          <w:trHeight w:val="264"/>
        </w:trPr>
        <w:tc>
          <w:tcPr>
            <w:tcW w:w="5760" w:type="dxa"/>
            <w:tcBorders>
              <w:top w:val="single" w:sz="4" w:space="0" w:color="auto"/>
              <w:bottom w:val="single" w:sz="4" w:space="0" w:color="auto"/>
            </w:tcBorders>
            <w:vAlign w:val="center"/>
          </w:tcPr>
          <w:p w14:paraId="14F3AD39"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530" w:type="dxa"/>
            <w:tcBorders>
              <w:top w:val="single" w:sz="4" w:space="0" w:color="auto"/>
              <w:bottom w:val="single" w:sz="4" w:space="0" w:color="auto"/>
            </w:tcBorders>
            <w:noWrap/>
            <w:vAlign w:val="center"/>
            <w:hideMark/>
          </w:tcPr>
          <w:p w14:paraId="63493168"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890" w:type="dxa"/>
            <w:tcBorders>
              <w:top w:val="single" w:sz="4" w:space="0" w:color="auto"/>
              <w:bottom w:val="single" w:sz="4" w:space="0" w:color="auto"/>
            </w:tcBorders>
            <w:noWrap/>
            <w:vAlign w:val="center"/>
            <w:hideMark/>
          </w:tcPr>
          <w:p w14:paraId="09F94A7C"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C23730" w:rsidRPr="0063258A" w14:paraId="069631E6" w14:textId="77777777" w:rsidTr="002D42CC">
        <w:trPr>
          <w:trHeight w:val="264"/>
        </w:trPr>
        <w:tc>
          <w:tcPr>
            <w:tcW w:w="5760" w:type="dxa"/>
            <w:tcBorders>
              <w:top w:val="single" w:sz="4" w:space="0" w:color="auto"/>
            </w:tcBorders>
            <w:vAlign w:val="center"/>
          </w:tcPr>
          <w:p w14:paraId="32CA0E7D"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[2-(2-benzoylphenyl)-4-(1-hydroxycyclohexyl)phenyl]-[4-(1-hydroxycyclohexyl)phenyl]methanone</w:t>
            </w:r>
          </w:p>
        </w:tc>
        <w:tc>
          <w:tcPr>
            <w:tcW w:w="1530" w:type="dxa"/>
            <w:tcBorders>
              <w:top w:val="single" w:sz="4" w:space="0" w:color="auto"/>
            </w:tcBorders>
            <w:noWrap/>
            <w:vAlign w:val="center"/>
            <w:hideMark/>
          </w:tcPr>
          <w:p w14:paraId="0C9A9839"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890" w:type="dxa"/>
            <w:tcBorders>
              <w:top w:val="single" w:sz="4" w:space="0" w:color="auto"/>
            </w:tcBorders>
            <w:noWrap/>
            <w:vAlign w:val="center"/>
            <w:hideMark/>
          </w:tcPr>
          <w:p w14:paraId="21CE68C6"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-8.4</w:t>
            </w:r>
          </w:p>
        </w:tc>
      </w:tr>
      <w:tr w:rsidR="00C23730" w:rsidRPr="0063258A" w14:paraId="6BBB1A43" w14:textId="77777777" w:rsidTr="002D42CC">
        <w:trPr>
          <w:trHeight w:val="264"/>
        </w:trPr>
        <w:tc>
          <w:tcPr>
            <w:tcW w:w="5760" w:type="dxa"/>
            <w:vAlign w:val="center"/>
          </w:tcPr>
          <w:p w14:paraId="4B050059"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Sitagliptin (Control)</w:t>
            </w:r>
          </w:p>
        </w:tc>
        <w:tc>
          <w:tcPr>
            <w:tcW w:w="1530" w:type="dxa"/>
            <w:noWrap/>
            <w:vAlign w:val="center"/>
          </w:tcPr>
          <w:p w14:paraId="19EB2E3A"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4369359</w:t>
            </w:r>
          </w:p>
        </w:tc>
        <w:tc>
          <w:tcPr>
            <w:tcW w:w="1890" w:type="dxa"/>
            <w:noWrap/>
            <w:vAlign w:val="center"/>
          </w:tcPr>
          <w:p w14:paraId="6E591D04" w14:textId="77777777" w:rsidR="00C23730" w:rsidRPr="0063258A" w:rsidRDefault="00C23730" w:rsidP="00C83CC2">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-7.7</w:t>
            </w:r>
          </w:p>
        </w:tc>
      </w:tr>
      <w:tr w:rsidR="00C23730" w:rsidRPr="0063258A" w14:paraId="5341B2C5" w14:textId="77777777" w:rsidTr="002D42CC">
        <w:trPr>
          <w:trHeight w:val="264"/>
        </w:trPr>
        <w:tc>
          <w:tcPr>
            <w:tcW w:w="5760" w:type="dxa"/>
            <w:vAlign w:val="center"/>
          </w:tcPr>
          <w:p w14:paraId="03EB6744"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7-chloro-10-hydroxy-1-(2-pyrrolidin-1-ylethylimino)-3-[3-(trifluoromethyl)phenyl]-3,4-dihydro-2H-acridin-9-one</w:t>
            </w:r>
          </w:p>
        </w:tc>
        <w:tc>
          <w:tcPr>
            <w:tcW w:w="1530" w:type="dxa"/>
            <w:noWrap/>
            <w:vAlign w:val="center"/>
            <w:hideMark/>
          </w:tcPr>
          <w:p w14:paraId="78E556F8"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558427</w:t>
            </w:r>
          </w:p>
        </w:tc>
        <w:tc>
          <w:tcPr>
            <w:tcW w:w="1890" w:type="dxa"/>
            <w:noWrap/>
            <w:vAlign w:val="center"/>
            <w:hideMark/>
          </w:tcPr>
          <w:p w14:paraId="11465BF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-7.5</w:t>
            </w:r>
          </w:p>
        </w:tc>
      </w:tr>
      <w:tr w:rsidR="00C23730" w:rsidRPr="0063258A" w14:paraId="2322E28B" w14:textId="77777777" w:rsidTr="002D42CC">
        <w:trPr>
          <w:trHeight w:val="264"/>
        </w:trPr>
        <w:tc>
          <w:tcPr>
            <w:tcW w:w="5760" w:type="dxa"/>
            <w:vAlign w:val="center"/>
          </w:tcPr>
          <w:p w14:paraId="1A740C55"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(3,4-dimethoxybenzoyl) 3,4-dimethoxybenzoate</w:t>
            </w:r>
          </w:p>
        </w:tc>
        <w:tc>
          <w:tcPr>
            <w:tcW w:w="1530" w:type="dxa"/>
            <w:noWrap/>
            <w:vAlign w:val="center"/>
            <w:hideMark/>
          </w:tcPr>
          <w:p w14:paraId="7109C768"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13925286</w:t>
            </w:r>
          </w:p>
        </w:tc>
        <w:tc>
          <w:tcPr>
            <w:tcW w:w="1890" w:type="dxa"/>
            <w:noWrap/>
            <w:vAlign w:val="center"/>
            <w:hideMark/>
          </w:tcPr>
          <w:p w14:paraId="1F33D945"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-7.1</w:t>
            </w:r>
          </w:p>
        </w:tc>
      </w:tr>
      <w:tr w:rsidR="00C23730" w:rsidRPr="0063258A" w14:paraId="1FBF62F1" w14:textId="77777777" w:rsidTr="002D42CC">
        <w:trPr>
          <w:trHeight w:val="264"/>
        </w:trPr>
        <w:tc>
          <w:tcPr>
            <w:tcW w:w="5760" w:type="dxa"/>
            <w:vAlign w:val="center"/>
          </w:tcPr>
          <w:p w14:paraId="0C59A40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14-hydroxy-16-methoxy-4-methyl-3-oxabicyclo[10.4.0]hexadeca-1(12),13,15-trien-2-one</w:t>
            </w:r>
          </w:p>
        </w:tc>
        <w:tc>
          <w:tcPr>
            <w:tcW w:w="1530" w:type="dxa"/>
            <w:noWrap/>
            <w:vAlign w:val="center"/>
            <w:hideMark/>
          </w:tcPr>
          <w:p w14:paraId="65F53BA3"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602765</w:t>
            </w:r>
          </w:p>
        </w:tc>
        <w:tc>
          <w:tcPr>
            <w:tcW w:w="1890" w:type="dxa"/>
            <w:noWrap/>
            <w:vAlign w:val="center"/>
            <w:hideMark/>
          </w:tcPr>
          <w:p w14:paraId="0BFDB96E"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C23730" w:rsidRPr="0063258A" w14:paraId="4E6D8AC1" w14:textId="77777777" w:rsidTr="002D42CC">
        <w:trPr>
          <w:trHeight w:val="264"/>
        </w:trPr>
        <w:tc>
          <w:tcPr>
            <w:tcW w:w="5760" w:type="dxa"/>
            <w:vAlign w:val="center"/>
          </w:tcPr>
          <w:p w14:paraId="0C4370F3" w14:textId="77777777" w:rsidR="00C23730" w:rsidRPr="0063258A" w:rsidRDefault="00C23730" w:rsidP="00876433">
            <w:pPr>
              <w:shd w:val="clear" w:color="auto" w:fill="FFFFFF"/>
              <w:spacing w:after="0" w:line="240" w:lineRule="auto"/>
              <w:rPr>
                <w:rFonts w:ascii="Times New Roman" w:eastAsia="Times New Roman" w:hAnsi="Times New Roman" w:cs="Times New Roman"/>
                <w:color w:val="212121"/>
                <w:sz w:val="24"/>
                <w:szCs w:val="24"/>
              </w:rPr>
            </w:pPr>
            <w:r w:rsidRPr="0063258A">
              <w:rPr>
                <w:rFonts w:ascii="Times New Roman" w:eastAsia="Times New Roman" w:hAnsi="Times New Roman" w:cs="Times New Roman"/>
                <w:color w:val="212121"/>
                <w:sz w:val="24"/>
                <w:szCs w:val="24"/>
              </w:rPr>
              <w:t>[2-(2,2,3,3,3-pentafluoropropanoyloxy)phenyl] furan-2-carboxylate  </w:t>
            </w:r>
          </w:p>
        </w:tc>
        <w:tc>
          <w:tcPr>
            <w:tcW w:w="1530" w:type="dxa"/>
            <w:noWrap/>
            <w:vAlign w:val="center"/>
            <w:hideMark/>
          </w:tcPr>
          <w:p w14:paraId="1250D30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1890" w:type="dxa"/>
            <w:noWrap/>
            <w:vAlign w:val="center"/>
            <w:hideMark/>
          </w:tcPr>
          <w:p w14:paraId="41BB6DBC"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C23730" w:rsidRPr="0063258A" w14:paraId="75D57AE7" w14:textId="77777777" w:rsidTr="002D42CC">
        <w:trPr>
          <w:trHeight w:val="264"/>
        </w:trPr>
        <w:tc>
          <w:tcPr>
            <w:tcW w:w="5760" w:type="dxa"/>
            <w:vAlign w:val="center"/>
          </w:tcPr>
          <w:p w14:paraId="5B70F69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Bis(2-formylphenyl) 2,2-dimethylpropanedioate</w:t>
            </w:r>
            <w:r w:rsidRPr="0063258A">
              <w:rPr>
                <w:rFonts w:ascii="Times New Roman" w:hAnsi="Times New Roman" w:cs="Times New Roman"/>
                <w:color w:val="212121"/>
                <w:sz w:val="24"/>
                <w:szCs w:val="24"/>
                <w:shd w:val="clear" w:color="auto" w:fill="FFFFFF"/>
              </w:rPr>
              <w:t> </w:t>
            </w:r>
          </w:p>
        </w:tc>
        <w:tc>
          <w:tcPr>
            <w:tcW w:w="1530" w:type="dxa"/>
            <w:noWrap/>
            <w:vAlign w:val="center"/>
            <w:hideMark/>
          </w:tcPr>
          <w:p w14:paraId="17AFD419"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91695290</w:t>
            </w:r>
          </w:p>
        </w:tc>
        <w:tc>
          <w:tcPr>
            <w:tcW w:w="1890" w:type="dxa"/>
            <w:noWrap/>
            <w:vAlign w:val="center"/>
            <w:hideMark/>
          </w:tcPr>
          <w:p w14:paraId="4F687821"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C23730" w:rsidRPr="0063258A" w14:paraId="49450C35" w14:textId="77777777" w:rsidTr="002D42CC">
        <w:trPr>
          <w:trHeight w:val="264"/>
        </w:trPr>
        <w:tc>
          <w:tcPr>
            <w:tcW w:w="5760" w:type="dxa"/>
            <w:vAlign w:val="center"/>
          </w:tcPr>
          <w:p w14:paraId="19D8E5DC"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N,N-dimethyl-8-[2-(trifluoromethyl)phenothiazin-10-yl]</w:t>
            </w:r>
            <w:proofErr w:type="spellStart"/>
            <w:r w:rsidRPr="0063258A">
              <w:rPr>
                <w:rFonts w:ascii="Times New Roman" w:hAnsi="Times New Roman" w:cs="Times New Roman"/>
                <w:color w:val="212121"/>
                <w:sz w:val="24"/>
                <w:szCs w:val="24"/>
                <w:shd w:val="clear" w:color="auto" w:fill="FFFFFF"/>
              </w:rPr>
              <w:t>octanamide</w:t>
            </w:r>
            <w:proofErr w:type="spellEnd"/>
          </w:p>
        </w:tc>
        <w:tc>
          <w:tcPr>
            <w:tcW w:w="1530" w:type="dxa"/>
            <w:noWrap/>
            <w:vAlign w:val="center"/>
            <w:hideMark/>
          </w:tcPr>
          <w:p w14:paraId="30F6D8CD"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45139045</w:t>
            </w:r>
          </w:p>
        </w:tc>
        <w:tc>
          <w:tcPr>
            <w:tcW w:w="1890" w:type="dxa"/>
            <w:noWrap/>
            <w:vAlign w:val="center"/>
            <w:hideMark/>
          </w:tcPr>
          <w:p w14:paraId="08E80CF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-6.8</w:t>
            </w:r>
          </w:p>
        </w:tc>
      </w:tr>
      <w:tr w:rsidR="00C23730" w:rsidRPr="0063258A" w14:paraId="3C1E46BD" w14:textId="77777777" w:rsidTr="002D42CC">
        <w:trPr>
          <w:trHeight w:val="264"/>
        </w:trPr>
        <w:tc>
          <w:tcPr>
            <w:tcW w:w="5760" w:type="dxa"/>
            <w:vAlign w:val="center"/>
          </w:tcPr>
          <w:p w14:paraId="78F22FDB"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Metformin (Control)</w:t>
            </w:r>
          </w:p>
        </w:tc>
        <w:tc>
          <w:tcPr>
            <w:tcW w:w="1530" w:type="dxa"/>
            <w:noWrap/>
            <w:vAlign w:val="center"/>
          </w:tcPr>
          <w:p w14:paraId="7E22E642"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4091</w:t>
            </w:r>
          </w:p>
        </w:tc>
        <w:tc>
          <w:tcPr>
            <w:tcW w:w="1890" w:type="dxa"/>
            <w:noWrap/>
            <w:vAlign w:val="center"/>
          </w:tcPr>
          <w:p w14:paraId="1BE85C01" w14:textId="77777777" w:rsidR="00C23730" w:rsidRPr="0063258A" w:rsidRDefault="00C23730" w:rsidP="00C83CC2">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w:t>
            </w:r>
          </w:p>
        </w:tc>
      </w:tr>
    </w:tbl>
    <w:p w14:paraId="708C9939" w14:textId="77777777" w:rsidR="00336EC6" w:rsidRPr="0063258A" w:rsidRDefault="00576C97">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6998CC42" wp14:editId="25E0DDF0">
            <wp:extent cx="2523958" cy="2743200"/>
            <wp:effectExtent l="0" t="0" r="0" b="0"/>
            <wp:docPr id="11" name="Picture 11" descr="C:\Users\SIR HENRY\Documents\Documents\DR STANLEY COOU\Walnut panacrease results\WALL NUT WITH 1v4s\2D INTERACTION OF 141134022 with 1v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R HENRY\Documents\Documents\DR STANLEY COOU\Walnut panacrease results\WALL NUT WITH 1v4s\2D INTERACTION OF 141134022 with 1v4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436" cy="2746980"/>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3EAF117C" wp14:editId="5D3E9EF5">
            <wp:extent cx="2594344" cy="2283310"/>
            <wp:effectExtent l="0" t="0" r="0" b="3175"/>
            <wp:docPr id="12" name="Picture 12" descr="C:\Users\SIR HENRY\Documents\Documents\DR STANLEY COOU\Walnut panacrease results\WALL NUT WITH 1v4s\3D INTERACTION OF 141134022 with 1v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R HENRY\Documents\Documents\DR STANLEY COOU\Walnut panacrease results\WALL NUT WITH 1v4s\3D INTERACTION OF 141134022 with 1v4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967" r="9481" b="10474"/>
                    <a:stretch/>
                  </pic:blipFill>
                  <pic:spPr bwMode="auto">
                    <a:xfrm>
                      <a:off x="0" y="0"/>
                      <a:ext cx="2603389" cy="2291271"/>
                    </a:xfrm>
                    <a:prstGeom prst="rect">
                      <a:avLst/>
                    </a:prstGeom>
                    <a:noFill/>
                    <a:ln>
                      <a:noFill/>
                    </a:ln>
                    <a:extLst>
                      <a:ext uri="{53640926-AAD7-44D8-BBD7-CCE9431645EC}">
                        <a14:shadowObscured xmlns:a14="http://schemas.microsoft.com/office/drawing/2010/main"/>
                      </a:ext>
                    </a:extLst>
                  </pic:spPr>
                </pic:pic>
              </a:graphicData>
            </a:graphic>
          </wp:inline>
        </w:drawing>
      </w:r>
    </w:p>
    <w:p w14:paraId="5CDF145E" w14:textId="77777777" w:rsidR="004A3E03" w:rsidRPr="0063258A" w:rsidRDefault="004A3E03" w:rsidP="004A3E03">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9: 2D and 3D binding interactions of </w:t>
      </w:r>
      <w:r w:rsidRPr="0063258A">
        <w:rPr>
          <w:rFonts w:ascii="Times New Roman" w:hAnsi="Times New Roman" w:cs="Times New Roman"/>
          <w:b/>
          <w:color w:val="212121"/>
          <w:sz w:val="24"/>
          <w:szCs w:val="24"/>
          <w:shd w:val="clear" w:color="auto" w:fill="FFFFFF"/>
        </w:rPr>
        <w:t>[2-(2-benzoylphenyl)-4-(1-hydroxycyclohexyl)phenyl]-[4-(1-hydroxycyclohexyl)phenyl]methanone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Pancreatic function</w:t>
      </w:r>
      <w:r w:rsidRPr="0063258A">
        <w:rPr>
          <w:rFonts w:ascii="Times New Roman" w:hAnsi="Times New Roman" w:cs="Times New Roman"/>
          <w:b/>
          <w:sz w:val="24"/>
          <w:szCs w:val="24"/>
        </w:rPr>
        <w:t xml:space="preserve"> target (PDB: 1V4S)</w:t>
      </w:r>
    </w:p>
    <w:p w14:paraId="751D534E" w14:textId="77777777" w:rsidR="00FD3687" w:rsidRPr="0063258A" w:rsidRDefault="00FD3687">
      <w:pPr>
        <w:rPr>
          <w:rFonts w:ascii="Times New Roman" w:hAnsi="Times New Roman" w:cs="Times New Roman"/>
          <w:sz w:val="24"/>
          <w:szCs w:val="24"/>
        </w:rPr>
      </w:pPr>
    </w:p>
    <w:p w14:paraId="0111CC87" w14:textId="77777777" w:rsidR="00FD3687" w:rsidRPr="0063258A" w:rsidRDefault="00FD3687">
      <w:pPr>
        <w:rPr>
          <w:rFonts w:ascii="Times New Roman" w:hAnsi="Times New Roman" w:cs="Times New Roman"/>
          <w:sz w:val="24"/>
          <w:szCs w:val="24"/>
        </w:rPr>
      </w:pPr>
    </w:p>
    <w:p w14:paraId="22E00DD1" w14:textId="77777777" w:rsidR="00B95515" w:rsidRPr="0063258A" w:rsidRDefault="00B95515" w:rsidP="00BE7112">
      <w:pPr>
        <w:rPr>
          <w:rFonts w:ascii="Times New Roman" w:hAnsi="Times New Roman" w:cs="Times New Roman"/>
          <w:sz w:val="24"/>
          <w:szCs w:val="24"/>
        </w:rPr>
      </w:pPr>
    </w:p>
    <w:p w14:paraId="087EDC4E" w14:textId="77777777" w:rsidR="00BE7112"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9: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Oxidative stress</w:t>
      </w:r>
      <w:r w:rsidRPr="0063258A">
        <w:rPr>
          <w:rFonts w:ascii="Times New Roman" w:hAnsi="Times New Roman" w:cs="Times New Roman"/>
          <w:b/>
          <w:sz w:val="24"/>
          <w:szCs w:val="24"/>
        </w:rPr>
        <w:t xml:space="preserve"> target (PDB: 1DGB)</w:t>
      </w:r>
    </w:p>
    <w:tbl>
      <w:tblPr>
        <w:tblW w:w="9180" w:type="dxa"/>
        <w:tblBorders>
          <w:top w:val="single" w:sz="4" w:space="0" w:color="auto"/>
          <w:bottom w:val="single" w:sz="4" w:space="0" w:color="auto"/>
        </w:tblBorders>
        <w:tblLook w:val="04A0" w:firstRow="1" w:lastRow="0" w:firstColumn="1" w:lastColumn="0" w:noHBand="0" w:noVBand="1"/>
      </w:tblPr>
      <w:tblGrid>
        <w:gridCol w:w="5850"/>
        <w:gridCol w:w="1440"/>
        <w:gridCol w:w="1890"/>
      </w:tblGrid>
      <w:tr w:rsidR="002D42CC" w:rsidRPr="0063258A" w14:paraId="45BAF524" w14:textId="77777777" w:rsidTr="002D42CC">
        <w:trPr>
          <w:trHeight w:val="297"/>
        </w:trPr>
        <w:tc>
          <w:tcPr>
            <w:tcW w:w="5850" w:type="dxa"/>
            <w:tcBorders>
              <w:top w:val="single" w:sz="4" w:space="0" w:color="auto"/>
              <w:bottom w:val="single" w:sz="4" w:space="0" w:color="auto"/>
            </w:tcBorders>
            <w:vAlign w:val="center"/>
          </w:tcPr>
          <w:p w14:paraId="05D63EFF"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440" w:type="dxa"/>
            <w:tcBorders>
              <w:top w:val="single" w:sz="4" w:space="0" w:color="auto"/>
              <w:bottom w:val="single" w:sz="4" w:space="0" w:color="auto"/>
            </w:tcBorders>
            <w:noWrap/>
            <w:vAlign w:val="center"/>
            <w:hideMark/>
          </w:tcPr>
          <w:p w14:paraId="073B5D46"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890" w:type="dxa"/>
            <w:tcBorders>
              <w:top w:val="single" w:sz="4" w:space="0" w:color="auto"/>
              <w:bottom w:val="single" w:sz="4" w:space="0" w:color="auto"/>
            </w:tcBorders>
            <w:noWrap/>
            <w:vAlign w:val="center"/>
            <w:hideMark/>
          </w:tcPr>
          <w:p w14:paraId="0B75EABC"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C23730" w:rsidRPr="0063258A" w14:paraId="5309F92D" w14:textId="77777777" w:rsidTr="002D42CC">
        <w:trPr>
          <w:trHeight w:val="297"/>
        </w:trPr>
        <w:tc>
          <w:tcPr>
            <w:tcW w:w="5850" w:type="dxa"/>
            <w:tcBorders>
              <w:top w:val="single" w:sz="4" w:space="0" w:color="auto"/>
            </w:tcBorders>
          </w:tcPr>
          <w:p w14:paraId="305B492C"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7-chloro-10-hydroxy-1-(2-pyrrolidin-1-ylethylimino)-3-[3-(trifluoromethyl)phenyl]-3,4-dihydro-2H-acridin-9-one</w:t>
            </w:r>
          </w:p>
        </w:tc>
        <w:tc>
          <w:tcPr>
            <w:tcW w:w="1440" w:type="dxa"/>
            <w:tcBorders>
              <w:top w:val="single" w:sz="4" w:space="0" w:color="auto"/>
            </w:tcBorders>
            <w:noWrap/>
            <w:hideMark/>
          </w:tcPr>
          <w:p w14:paraId="3912EC1C"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558427</w:t>
            </w:r>
          </w:p>
        </w:tc>
        <w:tc>
          <w:tcPr>
            <w:tcW w:w="1890" w:type="dxa"/>
            <w:tcBorders>
              <w:top w:val="single" w:sz="4" w:space="0" w:color="auto"/>
            </w:tcBorders>
            <w:noWrap/>
            <w:hideMark/>
          </w:tcPr>
          <w:p w14:paraId="25F8C0D2" w14:textId="77777777" w:rsidR="00C23730" w:rsidRPr="0063258A" w:rsidRDefault="00C23730" w:rsidP="008C21EC">
            <w:pPr>
              <w:spacing w:after="0" w:line="240" w:lineRule="auto"/>
              <w:rPr>
                <w:rFonts w:ascii="Times New Roman" w:eastAsia="Times New Roman" w:hAnsi="Times New Roman" w:cs="Times New Roman"/>
                <w:sz w:val="24"/>
                <w:szCs w:val="24"/>
              </w:rPr>
            </w:pPr>
            <w:r w:rsidRPr="0063258A">
              <w:rPr>
                <w:rFonts w:ascii="Times New Roman" w:eastAsia="Times New Roman" w:hAnsi="Times New Roman" w:cs="Times New Roman"/>
                <w:sz w:val="24"/>
                <w:szCs w:val="24"/>
              </w:rPr>
              <w:t>-11.5</w:t>
            </w:r>
          </w:p>
        </w:tc>
      </w:tr>
      <w:tr w:rsidR="00C23730" w:rsidRPr="0063258A" w14:paraId="46403CC3" w14:textId="77777777" w:rsidTr="002D42CC">
        <w:trPr>
          <w:trHeight w:val="297"/>
        </w:trPr>
        <w:tc>
          <w:tcPr>
            <w:tcW w:w="5850" w:type="dxa"/>
          </w:tcPr>
          <w:p w14:paraId="40A918BA"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[2-(2-benzoylphenyl)-4-(1-hydroxycyclohexyl)phenyl]-[4-(1-hydroxycyclohexyl)phenyl]methanone</w:t>
            </w:r>
            <w:r w:rsidRPr="0063258A">
              <w:rPr>
                <w:rFonts w:ascii="Times New Roman" w:hAnsi="Times New Roman" w:cs="Times New Roman"/>
                <w:color w:val="212121"/>
                <w:sz w:val="24"/>
                <w:szCs w:val="24"/>
                <w:shd w:val="clear" w:color="auto" w:fill="FFFFFF"/>
              </w:rPr>
              <w:t> </w:t>
            </w:r>
          </w:p>
        </w:tc>
        <w:tc>
          <w:tcPr>
            <w:tcW w:w="1440" w:type="dxa"/>
            <w:noWrap/>
            <w:hideMark/>
          </w:tcPr>
          <w:p w14:paraId="32266832"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890" w:type="dxa"/>
            <w:noWrap/>
            <w:hideMark/>
          </w:tcPr>
          <w:p w14:paraId="06780ABA" w14:textId="77777777" w:rsidR="00C23730" w:rsidRPr="0063258A" w:rsidRDefault="00C23730" w:rsidP="008C21EC">
            <w:pPr>
              <w:spacing w:after="0" w:line="240" w:lineRule="auto"/>
              <w:rPr>
                <w:rFonts w:ascii="Times New Roman" w:eastAsia="Times New Roman" w:hAnsi="Times New Roman" w:cs="Times New Roman"/>
                <w:sz w:val="24"/>
                <w:szCs w:val="24"/>
              </w:rPr>
            </w:pPr>
            <w:r w:rsidRPr="0063258A">
              <w:rPr>
                <w:rFonts w:ascii="Times New Roman" w:eastAsia="Times New Roman" w:hAnsi="Times New Roman" w:cs="Times New Roman"/>
                <w:sz w:val="24"/>
                <w:szCs w:val="24"/>
              </w:rPr>
              <w:t>-10.6</w:t>
            </w:r>
          </w:p>
        </w:tc>
      </w:tr>
      <w:tr w:rsidR="00C23730" w:rsidRPr="0063258A" w14:paraId="424E1880" w14:textId="77777777" w:rsidTr="002D42CC">
        <w:trPr>
          <w:trHeight w:val="297"/>
        </w:trPr>
        <w:tc>
          <w:tcPr>
            <w:tcW w:w="5850" w:type="dxa"/>
          </w:tcPr>
          <w:p w14:paraId="2967F1B6"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(2R)-2,5,7,8-tetramethyl-2-[(4R,8R)-4,8,12-trimethyltridecyl]-3,4-dihydrochromen-6-ol</w:t>
            </w:r>
            <w:r w:rsidRPr="0063258A">
              <w:rPr>
                <w:rFonts w:ascii="Times New Roman" w:hAnsi="Times New Roman" w:cs="Times New Roman"/>
                <w:color w:val="212121"/>
                <w:sz w:val="24"/>
                <w:szCs w:val="24"/>
                <w:shd w:val="clear" w:color="auto" w:fill="FFFFFF"/>
              </w:rPr>
              <w:t> </w:t>
            </w:r>
          </w:p>
        </w:tc>
        <w:tc>
          <w:tcPr>
            <w:tcW w:w="1440" w:type="dxa"/>
            <w:noWrap/>
            <w:hideMark/>
          </w:tcPr>
          <w:p w14:paraId="13B0AA09"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14985</w:t>
            </w:r>
          </w:p>
        </w:tc>
        <w:tc>
          <w:tcPr>
            <w:tcW w:w="1890" w:type="dxa"/>
            <w:noWrap/>
            <w:hideMark/>
          </w:tcPr>
          <w:p w14:paraId="7B77E9B7" w14:textId="77777777" w:rsidR="00C23730" w:rsidRPr="0063258A" w:rsidRDefault="00C23730" w:rsidP="008C21EC">
            <w:pPr>
              <w:spacing w:after="0" w:line="240" w:lineRule="auto"/>
              <w:rPr>
                <w:rFonts w:ascii="Times New Roman" w:eastAsia="Times New Roman" w:hAnsi="Times New Roman" w:cs="Times New Roman"/>
                <w:sz w:val="24"/>
                <w:szCs w:val="24"/>
              </w:rPr>
            </w:pPr>
            <w:r w:rsidRPr="0063258A">
              <w:rPr>
                <w:rFonts w:ascii="Times New Roman" w:eastAsia="Times New Roman" w:hAnsi="Times New Roman" w:cs="Times New Roman"/>
                <w:sz w:val="24"/>
                <w:szCs w:val="24"/>
              </w:rPr>
              <w:t>-10.1</w:t>
            </w:r>
          </w:p>
        </w:tc>
      </w:tr>
      <w:tr w:rsidR="00C23730" w:rsidRPr="0063258A" w14:paraId="0253568F" w14:textId="77777777" w:rsidTr="002D42CC">
        <w:trPr>
          <w:trHeight w:val="297"/>
        </w:trPr>
        <w:tc>
          <w:tcPr>
            <w:tcW w:w="5850" w:type="dxa"/>
          </w:tcPr>
          <w:p w14:paraId="490ECCA1"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Bis(2-formylphenyl) 2,2-dimethylpropanedioate</w:t>
            </w:r>
          </w:p>
        </w:tc>
        <w:tc>
          <w:tcPr>
            <w:tcW w:w="1440" w:type="dxa"/>
            <w:noWrap/>
            <w:hideMark/>
          </w:tcPr>
          <w:p w14:paraId="57CD0611"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91695290</w:t>
            </w:r>
          </w:p>
        </w:tc>
        <w:tc>
          <w:tcPr>
            <w:tcW w:w="1890" w:type="dxa"/>
            <w:noWrap/>
            <w:hideMark/>
          </w:tcPr>
          <w:p w14:paraId="6F6EA240"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-9.8</w:t>
            </w:r>
          </w:p>
        </w:tc>
      </w:tr>
      <w:tr w:rsidR="00C23730" w:rsidRPr="0063258A" w14:paraId="197E0D3B" w14:textId="77777777" w:rsidTr="002D42CC">
        <w:trPr>
          <w:trHeight w:val="297"/>
        </w:trPr>
        <w:tc>
          <w:tcPr>
            <w:tcW w:w="5850" w:type="dxa"/>
          </w:tcPr>
          <w:p w14:paraId="522C4F3D"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N,N-dimethyl-8-[2-(trifluoromethyl)phenothiazin-10-yl]octanamide</w:t>
            </w:r>
          </w:p>
        </w:tc>
        <w:tc>
          <w:tcPr>
            <w:tcW w:w="1440" w:type="dxa"/>
            <w:noWrap/>
            <w:hideMark/>
          </w:tcPr>
          <w:p w14:paraId="08E8C636"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45139045</w:t>
            </w:r>
          </w:p>
        </w:tc>
        <w:tc>
          <w:tcPr>
            <w:tcW w:w="1890" w:type="dxa"/>
            <w:noWrap/>
            <w:hideMark/>
          </w:tcPr>
          <w:p w14:paraId="6508B113"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-9.7</w:t>
            </w:r>
          </w:p>
        </w:tc>
      </w:tr>
      <w:tr w:rsidR="00C23730" w:rsidRPr="0063258A" w14:paraId="71EEF93B" w14:textId="77777777" w:rsidTr="002D42CC">
        <w:trPr>
          <w:trHeight w:val="297"/>
        </w:trPr>
        <w:tc>
          <w:tcPr>
            <w:tcW w:w="5850" w:type="dxa"/>
          </w:tcPr>
          <w:p w14:paraId="13CE566B"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(2R)-2,8-dimethyl-2-[(4R,8R)-4,8,12-trimethyltridecyl]-3,4-dihydrochromen-6-ol</w:t>
            </w:r>
          </w:p>
        </w:tc>
        <w:tc>
          <w:tcPr>
            <w:tcW w:w="1440" w:type="dxa"/>
            <w:noWrap/>
            <w:hideMark/>
          </w:tcPr>
          <w:p w14:paraId="6DD6135F"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92094</w:t>
            </w:r>
          </w:p>
        </w:tc>
        <w:tc>
          <w:tcPr>
            <w:tcW w:w="1890" w:type="dxa"/>
            <w:noWrap/>
            <w:hideMark/>
          </w:tcPr>
          <w:p w14:paraId="48B20ECF"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-9.5</w:t>
            </w:r>
          </w:p>
        </w:tc>
      </w:tr>
      <w:tr w:rsidR="00C23730" w:rsidRPr="0063258A" w14:paraId="2F00322E" w14:textId="77777777" w:rsidTr="002D42CC">
        <w:trPr>
          <w:trHeight w:val="297"/>
        </w:trPr>
        <w:tc>
          <w:tcPr>
            <w:tcW w:w="5850" w:type="dxa"/>
            <w:vAlign w:val="center"/>
          </w:tcPr>
          <w:p w14:paraId="77DC4B0F" w14:textId="77777777" w:rsidR="00C23730" w:rsidRPr="0063258A" w:rsidRDefault="00C23730"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Butylated hydroxytoluene (Control)</w:t>
            </w:r>
          </w:p>
        </w:tc>
        <w:tc>
          <w:tcPr>
            <w:tcW w:w="1440" w:type="dxa"/>
            <w:noWrap/>
            <w:vAlign w:val="center"/>
          </w:tcPr>
          <w:p w14:paraId="59387DC0" w14:textId="77777777" w:rsidR="00C23730" w:rsidRPr="0063258A" w:rsidRDefault="00C23730"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31404</w:t>
            </w:r>
          </w:p>
        </w:tc>
        <w:tc>
          <w:tcPr>
            <w:tcW w:w="1890" w:type="dxa"/>
            <w:noWrap/>
          </w:tcPr>
          <w:p w14:paraId="673D1FF7"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-7.2</w:t>
            </w:r>
          </w:p>
        </w:tc>
      </w:tr>
      <w:tr w:rsidR="00C23730" w:rsidRPr="0063258A" w14:paraId="2D6F579C" w14:textId="77777777" w:rsidTr="002D42CC">
        <w:trPr>
          <w:trHeight w:val="297"/>
        </w:trPr>
        <w:tc>
          <w:tcPr>
            <w:tcW w:w="5850" w:type="dxa"/>
            <w:vAlign w:val="center"/>
          </w:tcPr>
          <w:p w14:paraId="3591D452" w14:textId="77777777" w:rsidR="00C23730" w:rsidRPr="0063258A" w:rsidRDefault="00C23730" w:rsidP="008C21EC">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Ascrobic</w:t>
            </w:r>
            <w:proofErr w:type="spellEnd"/>
            <w:r w:rsidRPr="0063258A">
              <w:rPr>
                <w:rFonts w:ascii="Times New Roman" w:hAnsi="Times New Roman" w:cs="Times New Roman"/>
                <w:sz w:val="24"/>
                <w:szCs w:val="24"/>
              </w:rPr>
              <w:t xml:space="preserve"> acid (Control)</w:t>
            </w:r>
          </w:p>
        </w:tc>
        <w:tc>
          <w:tcPr>
            <w:tcW w:w="1440" w:type="dxa"/>
            <w:noWrap/>
            <w:vAlign w:val="center"/>
          </w:tcPr>
          <w:p w14:paraId="368B1DD0" w14:textId="77777777" w:rsidR="00C23730" w:rsidRPr="0063258A" w:rsidRDefault="00C23730"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54670067</w:t>
            </w:r>
          </w:p>
        </w:tc>
        <w:tc>
          <w:tcPr>
            <w:tcW w:w="1890" w:type="dxa"/>
            <w:noWrap/>
          </w:tcPr>
          <w:p w14:paraId="12038E1B"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bl>
    <w:p w14:paraId="2380BF2F" w14:textId="77777777" w:rsidR="00BE7112" w:rsidRPr="0063258A" w:rsidRDefault="00BE7112" w:rsidP="00BE7112">
      <w:pPr>
        <w:rPr>
          <w:rFonts w:ascii="Times New Roman" w:hAnsi="Times New Roman" w:cs="Times New Roman"/>
          <w:sz w:val="24"/>
          <w:szCs w:val="24"/>
        </w:rPr>
      </w:pPr>
    </w:p>
    <w:p w14:paraId="1D333ACE" w14:textId="77777777" w:rsidR="00BE7112" w:rsidRPr="0063258A" w:rsidRDefault="00BE7112" w:rsidP="00BE7112">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651FB20A" wp14:editId="0BFE18AE">
            <wp:extent cx="2573079" cy="2793445"/>
            <wp:effectExtent l="0" t="0" r="0" b="6985"/>
            <wp:docPr id="1" name="Picture 1" descr="C:\Users\SIR HENRY\Documents\Documents\DR STANLEY COOU\Walnut panacrease results\WALL NUT WITH 1dgb\2D INTERACTION OF 558427 with 1d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 HENRY\Documents\Documents\DR STANLEY COOU\Walnut panacrease results\WALL NUT WITH 1dgb\2D INTERACTION OF 558427 with 1dg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295" cy="2818650"/>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2E058608" wp14:editId="24F3AAF0">
            <wp:extent cx="2895635" cy="3211032"/>
            <wp:effectExtent l="0" t="0" r="0" b="8890"/>
            <wp:docPr id="3" name="Picture 3" descr="C:\Users\SIR HENRY\Documents\Documents\DR STANLEY COOU\Walnut panacrease results\WALL NUT WITH 1dgb\3D INTERACTION OF 558427 with 1d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R HENRY\Documents\Documents\DR STANLEY COOU\Walnut panacrease results\WALL NUT WITH 1dgb\3D INTERACTION OF 558427 with 1dgb.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84" r="10898"/>
                    <a:stretch/>
                  </pic:blipFill>
                  <pic:spPr bwMode="auto">
                    <a:xfrm>
                      <a:off x="0" y="0"/>
                      <a:ext cx="2899172" cy="3214955"/>
                    </a:xfrm>
                    <a:prstGeom prst="rect">
                      <a:avLst/>
                    </a:prstGeom>
                    <a:noFill/>
                    <a:ln>
                      <a:noFill/>
                    </a:ln>
                    <a:extLst>
                      <a:ext uri="{53640926-AAD7-44D8-BBD7-CCE9431645EC}">
                        <a14:shadowObscured xmlns:a14="http://schemas.microsoft.com/office/drawing/2010/main"/>
                      </a:ext>
                    </a:extLst>
                  </pic:spPr>
                </pic:pic>
              </a:graphicData>
            </a:graphic>
          </wp:inline>
        </w:drawing>
      </w:r>
    </w:p>
    <w:p w14:paraId="5163A450" w14:textId="77777777" w:rsidR="004A3E03" w:rsidRPr="0063258A" w:rsidRDefault="004A3E03" w:rsidP="004A3E03">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10: 2D and 3D binding interactions of </w:t>
      </w: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Oxidative stress</w:t>
      </w:r>
      <w:r w:rsidRPr="0063258A">
        <w:rPr>
          <w:rFonts w:ascii="Times New Roman" w:hAnsi="Times New Roman" w:cs="Times New Roman"/>
          <w:b/>
          <w:sz w:val="24"/>
          <w:szCs w:val="24"/>
        </w:rPr>
        <w:t xml:space="preserve"> target (PDB: 1DGB)</w:t>
      </w:r>
    </w:p>
    <w:p w14:paraId="76A362BB" w14:textId="77777777" w:rsidR="00BE7112" w:rsidRPr="0063258A" w:rsidRDefault="00BE7112" w:rsidP="00BE7112">
      <w:pPr>
        <w:rPr>
          <w:rFonts w:ascii="Times New Roman" w:hAnsi="Times New Roman" w:cs="Times New Roman"/>
          <w:sz w:val="24"/>
          <w:szCs w:val="24"/>
        </w:rPr>
      </w:pPr>
    </w:p>
    <w:p w14:paraId="750F9FAF" w14:textId="77777777" w:rsidR="003F41DD" w:rsidRPr="0063258A" w:rsidRDefault="003F41DD" w:rsidP="008C21EC">
      <w:pPr>
        <w:spacing w:before="240"/>
        <w:rPr>
          <w:rFonts w:ascii="Times New Roman" w:hAnsi="Times New Roman" w:cs="Times New Roman"/>
          <w:b/>
          <w:sz w:val="24"/>
          <w:szCs w:val="24"/>
        </w:rPr>
      </w:pPr>
    </w:p>
    <w:p w14:paraId="736DF13C" w14:textId="77777777" w:rsidR="003F41DD" w:rsidRPr="0063258A" w:rsidRDefault="003F41DD" w:rsidP="008C21EC">
      <w:pPr>
        <w:spacing w:before="240"/>
        <w:rPr>
          <w:rFonts w:ascii="Times New Roman" w:hAnsi="Times New Roman" w:cs="Times New Roman"/>
          <w:b/>
          <w:sz w:val="24"/>
          <w:szCs w:val="24"/>
        </w:rPr>
      </w:pPr>
    </w:p>
    <w:p w14:paraId="5BCC83F4" w14:textId="77777777" w:rsidR="008C21EC" w:rsidRPr="0063258A" w:rsidRDefault="008C21EC" w:rsidP="003F41DD">
      <w:pPr>
        <w:spacing w:before="240"/>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 xml:space="preserve">Table 10: </w:t>
      </w:r>
      <w:r w:rsidRPr="0063258A">
        <w:rPr>
          <w:rFonts w:ascii="Times New Roman" w:hAnsi="Times New Roman" w:cs="Times New Roman"/>
          <w:b/>
          <w:sz w:val="24"/>
          <w:szCs w:val="24"/>
        </w:rPr>
        <w:tab/>
        <w:t xml:space="preserve">Amino acid interactions of the selected target proteins with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p>
    <w:tbl>
      <w:tblPr>
        <w:tblStyle w:val="TableGrid"/>
        <w:tblW w:w="10881" w:type="dxa"/>
        <w:tblInd w:w="-7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1409"/>
        <w:gridCol w:w="1440"/>
        <w:gridCol w:w="1341"/>
        <w:gridCol w:w="1341"/>
        <w:gridCol w:w="1359"/>
        <w:gridCol w:w="1260"/>
        <w:gridCol w:w="1260"/>
      </w:tblGrid>
      <w:tr w:rsidR="008C21EC" w:rsidRPr="0063258A" w14:paraId="1A2E04F0" w14:textId="77777777" w:rsidTr="008C21EC">
        <w:trPr>
          <w:trHeight w:val="511"/>
        </w:trPr>
        <w:tc>
          <w:tcPr>
            <w:tcW w:w="1471" w:type="dxa"/>
            <w:tcBorders>
              <w:top w:val="single" w:sz="4" w:space="0" w:color="auto"/>
              <w:bottom w:val="single" w:sz="4" w:space="0" w:color="auto"/>
            </w:tcBorders>
          </w:tcPr>
          <w:p w14:paraId="4FEF1CE7"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Binding interactions</w:t>
            </w:r>
          </w:p>
        </w:tc>
        <w:tc>
          <w:tcPr>
            <w:tcW w:w="1409" w:type="dxa"/>
            <w:tcBorders>
              <w:top w:val="single" w:sz="4" w:space="0" w:color="auto"/>
              <w:bottom w:val="single" w:sz="4" w:space="0" w:color="auto"/>
            </w:tcBorders>
          </w:tcPr>
          <w:p w14:paraId="2334AE06"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1MHU-</w:t>
            </w:r>
            <w:r w:rsidRPr="0063258A">
              <w:rPr>
                <w:rFonts w:ascii="Times New Roman" w:hAnsi="Times New Roman" w:cs="Times New Roman"/>
                <w:b/>
                <w:color w:val="212121"/>
                <w:sz w:val="24"/>
                <w:szCs w:val="24"/>
                <w:shd w:val="clear" w:color="auto" w:fill="FFFFFF"/>
              </w:rPr>
              <w:t xml:space="preserve"> </w:t>
            </w: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440" w:type="dxa"/>
            <w:tcBorders>
              <w:top w:val="single" w:sz="4" w:space="0" w:color="auto"/>
              <w:bottom w:val="single" w:sz="4" w:space="0" w:color="auto"/>
            </w:tcBorders>
          </w:tcPr>
          <w:p w14:paraId="3704E96E"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2MHU-</w:t>
            </w:r>
            <w:r w:rsidRPr="0063258A">
              <w:rPr>
                <w:rFonts w:ascii="Times New Roman" w:hAnsi="Times New Roman" w:cs="Times New Roman"/>
                <w:color w:val="212121"/>
                <w:sz w:val="24"/>
                <w:szCs w:val="24"/>
                <w:shd w:val="clear" w:color="auto" w:fill="FFFFFF"/>
              </w:rPr>
              <w:t>[2-</w:t>
            </w:r>
            <w:r w:rsidRPr="0063258A">
              <w:rPr>
                <w:rFonts w:ascii="Times New Roman" w:hAnsi="Times New Roman" w:cs="Times New Roman"/>
                <w:b/>
                <w:color w:val="212121"/>
                <w:sz w:val="24"/>
                <w:szCs w:val="24"/>
                <w:shd w:val="clear" w:color="auto" w:fill="FFFFFF"/>
              </w:rPr>
              <w:t>(2-benzoylphenyl)-4-(1-hydroxycyclohexyl)phenyl]-[4-(1-hydroxycyclohexyl)phenyl]methanone</w:t>
            </w:r>
          </w:p>
        </w:tc>
        <w:tc>
          <w:tcPr>
            <w:tcW w:w="1341" w:type="dxa"/>
            <w:tcBorders>
              <w:top w:val="single" w:sz="4" w:space="0" w:color="auto"/>
              <w:bottom w:val="single" w:sz="4" w:space="0" w:color="auto"/>
            </w:tcBorders>
          </w:tcPr>
          <w:p w14:paraId="527C0537"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1F16-</w:t>
            </w: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341" w:type="dxa"/>
            <w:tcBorders>
              <w:top w:val="single" w:sz="4" w:space="0" w:color="auto"/>
              <w:bottom w:val="single" w:sz="4" w:space="0" w:color="auto"/>
            </w:tcBorders>
          </w:tcPr>
          <w:p w14:paraId="7AE0EA2A"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1GRE-</w:t>
            </w: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p>
        </w:tc>
        <w:tc>
          <w:tcPr>
            <w:tcW w:w="1359" w:type="dxa"/>
            <w:tcBorders>
              <w:top w:val="single" w:sz="4" w:space="0" w:color="auto"/>
              <w:bottom w:val="single" w:sz="4" w:space="0" w:color="auto"/>
            </w:tcBorders>
          </w:tcPr>
          <w:p w14:paraId="21844FA3"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1IL6-</w:t>
            </w:r>
            <w:r w:rsidRPr="0063258A">
              <w:rPr>
                <w:rFonts w:ascii="Times New Roman" w:hAnsi="Times New Roman" w:cs="Times New Roman"/>
                <w:b/>
                <w:color w:val="212121"/>
                <w:sz w:val="24"/>
                <w:szCs w:val="24"/>
                <w:shd w:val="clear" w:color="auto" w:fill="FFFFFF"/>
              </w:rPr>
              <w:t>[2-(2,2,3,3,3-pentafluoropropanoyloxy)phenyl] furan-2-carboxylate</w:t>
            </w:r>
          </w:p>
        </w:tc>
        <w:tc>
          <w:tcPr>
            <w:tcW w:w="1260" w:type="dxa"/>
            <w:tcBorders>
              <w:top w:val="single" w:sz="4" w:space="0" w:color="auto"/>
              <w:bottom w:val="single" w:sz="4" w:space="0" w:color="auto"/>
            </w:tcBorders>
          </w:tcPr>
          <w:p w14:paraId="6BEFD5C9"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1V4S-</w:t>
            </w:r>
            <w:r w:rsidRPr="0063258A">
              <w:rPr>
                <w:rFonts w:ascii="Times New Roman" w:hAnsi="Times New Roman" w:cs="Times New Roman"/>
                <w:b/>
                <w:color w:val="212121"/>
                <w:sz w:val="24"/>
                <w:szCs w:val="24"/>
                <w:shd w:val="clear" w:color="auto" w:fill="FFFFFF"/>
              </w:rPr>
              <w:t>[2-(2-benzoylphenyl)-4-(1-hydroxycyclohexyl)phenyl]-[4-(1-hydroxycyclohexyl)phenyl]methanone</w:t>
            </w:r>
          </w:p>
        </w:tc>
        <w:tc>
          <w:tcPr>
            <w:tcW w:w="1260" w:type="dxa"/>
            <w:tcBorders>
              <w:top w:val="single" w:sz="4" w:space="0" w:color="auto"/>
              <w:bottom w:val="single" w:sz="4" w:space="0" w:color="auto"/>
            </w:tcBorders>
          </w:tcPr>
          <w:p w14:paraId="6AE97B59"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1DGB-</w:t>
            </w: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p>
        </w:tc>
      </w:tr>
      <w:tr w:rsidR="008C21EC" w:rsidRPr="0063258A" w14:paraId="1E2B62E0" w14:textId="77777777" w:rsidTr="008C21EC">
        <w:trPr>
          <w:trHeight w:val="962"/>
        </w:trPr>
        <w:tc>
          <w:tcPr>
            <w:tcW w:w="1471" w:type="dxa"/>
            <w:tcBorders>
              <w:top w:val="single" w:sz="4" w:space="0" w:color="auto"/>
            </w:tcBorders>
          </w:tcPr>
          <w:p w14:paraId="72802B8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Conventional Hydrogen bond</w:t>
            </w:r>
          </w:p>
        </w:tc>
        <w:tc>
          <w:tcPr>
            <w:tcW w:w="1409" w:type="dxa"/>
            <w:tcBorders>
              <w:top w:val="single" w:sz="4" w:space="0" w:color="auto"/>
            </w:tcBorders>
          </w:tcPr>
          <w:p w14:paraId="3A139B3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1(CYS37)</w:t>
            </w:r>
          </w:p>
        </w:tc>
        <w:tc>
          <w:tcPr>
            <w:tcW w:w="1440" w:type="dxa"/>
            <w:tcBorders>
              <w:top w:val="single" w:sz="4" w:space="0" w:color="auto"/>
            </w:tcBorders>
          </w:tcPr>
          <w:p w14:paraId="1D3547B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2(GLU23, CYS7)</w:t>
            </w:r>
          </w:p>
        </w:tc>
        <w:tc>
          <w:tcPr>
            <w:tcW w:w="1341" w:type="dxa"/>
            <w:tcBorders>
              <w:top w:val="single" w:sz="4" w:space="0" w:color="auto"/>
            </w:tcBorders>
          </w:tcPr>
          <w:p w14:paraId="200C478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Borders>
              <w:top w:val="single" w:sz="4" w:space="0" w:color="auto"/>
            </w:tcBorders>
          </w:tcPr>
          <w:p w14:paraId="122144B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1(LYS66)</w:t>
            </w:r>
          </w:p>
        </w:tc>
        <w:tc>
          <w:tcPr>
            <w:tcW w:w="1359" w:type="dxa"/>
            <w:tcBorders>
              <w:top w:val="single" w:sz="4" w:space="0" w:color="auto"/>
            </w:tcBorders>
          </w:tcPr>
          <w:p w14:paraId="2156C4B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2(LYS67, ARG169)</w:t>
            </w:r>
          </w:p>
        </w:tc>
        <w:tc>
          <w:tcPr>
            <w:tcW w:w="1260" w:type="dxa"/>
            <w:tcBorders>
              <w:top w:val="single" w:sz="4" w:space="0" w:color="auto"/>
            </w:tcBorders>
          </w:tcPr>
          <w:p w14:paraId="18C4F02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3(GLY81, THR82, SER411)</w:t>
            </w:r>
          </w:p>
        </w:tc>
        <w:tc>
          <w:tcPr>
            <w:tcW w:w="1260" w:type="dxa"/>
            <w:tcBorders>
              <w:top w:val="single" w:sz="4" w:space="0" w:color="auto"/>
            </w:tcBorders>
          </w:tcPr>
          <w:p w14:paraId="563DDBF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0C65AE07" w14:textId="77777777" w:rsidTr="008C21EC">
        <w:trPr>
          <w:trHeight w:val="900"/>
        </w:trPr>
        <w:tc>
          <w:tcPr>
            <w:tcW w:w="1471" w:type="dxa"/>
          </w:tcPr>
          <w:p w14:paraId="017CF94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Carbon Hydrogen bond</w:t>
            </w:r>
          </w:p>
        </w:tc>
        <w:tc>
          <w:tcPr>
            <w:tcW w:w="1409" w:type="dxa"/>
          </w:tcPr>
          <w:p w14:paraId="3274D53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1(PRO38)</w:t>
            </w:r>
          </w:p>
        </w:tc>
        <w:tc>
          <w:tcPr>
            <w:tcW w:w="1440" w:type="dxa"/>
          </w:tcPr>
          <w:p w14:paraId="47247B7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5DA088E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2B22A1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1(CYS63)</w:t>
            </w:r>
          </w:p>
        </w:tc>
        <w:tc>
          <w:tcPr>
            <w:tcW w:w="1359" w:type="dxa"/>
          </w:tcPr>
          <w:p w14:paraId="38068CF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2(PRO66, SER170)</w:t>
            </w:r>
          </w:p>
        </w:tc>
        <w:tc>
          <w:tcPr>
            <w:tcW w:w="1260" w:type="dxa"/>
          </w:tcPr>
          <w:p w14:paraId="6E5A2E3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1(GLY227)</w:t>
            </w:r>
          </w:p>
        </w:tc>
        <w:tc>
          <w:tcPr>
            <w:tcW w:w="1260" w:type="dxa"/>
          </w:tcPr>
          <w:p w14:paraId="14AB584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2(HIS75, ARG112)</w:t>
            </w:r>
          </w:p>
        </w:tc>
      </w:tr>
      <w:tr w:rsidR="008C21EC" w:rsidRPr="0063258A" w14:paraId="442C2249" w14:textId="77777777" w:rsidTr="008C21EC">
        <w:trPr>
          <w:trHeight w:val="630"/>
        </w:trPr>
        <w:tc>
          <w:tcPr>
            <w:tcW w:w="1471" w:type="dxa"/>
          </w:tcPr>
          <w:p w14:paraId="33D1F20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 xml:space="preserve">Van </w:t>
            </w:r>
            <w:proofErr w:type="spellStart"/>
            <w:r w:rsidRPr="0063258A">
              <w:rPr>
                <w:rFonts w:ascii="Times New Roman" w:hAnsi="Times New Roman" w:cs="Times New Roman"/>
                <w:sz w:val="24"/>
                <w:szCs w:val="24"/>
              </w:rPr>
              <w:t>dar</w:t>
            </w:r>
            <w:proofErr w:type="spellEnd"/>
            <w:r w:rsidRPr="0063258A">
              <w:rPr>
                <w:rFonts w:ascii="Times New Roman" w:hAnsi="Times New Roman" w:cs="Times New Roman"/>
                <w:sz w:val="24"/>
                <w:szCs w:val="24"/>
              </w:rPr>
              <w:t xml:space="preserve"> Waals</w:t>
            </w:r>
          </w:p>
        </w:tc>
        <w:tc>
          <w:tcPr>
            <w:tcW w:w="1409" w:type="dxa"/>
          </w:tcPr>
          <w:p w14:paraId="183F965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5A777B9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3(ASP2, CYS26, ASN4)</w:t>
            </w:r>
          </w:p>
        </w:tc>
        <w:tc>
          <w:tcPr>
            <w:tcW w:w="1341" w:type="dxa"/>
          </w:tcPr>
          <w:p w14:paraId="34CD56F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3(ILE66, PHE165, CYS62)</w:t>
            </w:r>
          </w:p>
        </w:tc>
        <w:tc>
          <w:tcPr>
            <w:tcW w:w="1341" w:type="dxa"/>
          </w:tcPr>
          <w:p w14:paraId="448D953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11(PHE372, GLN445, ASP441, PRO368, PRO340, THR369, LEU338, THR339, LEU337, ILE196, THR57)</w:t>
            </w:r>
          </w:p>
        </w:tc>
        <w:tc>
          <w:tcPr>
            <w:tcW w:w="1359" w:type="dxa"/>
          </w:tcPr>
          <w:p w14:paraId="06A2899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3(ASN62, PHE174, LEU63)</w:t>
            </w:r>
          </w:p>
        </w:tc>
        <w:tc>
          <w:tcPr>
            <w:tcW w:w="1260" w:type="dxa"/>
          </w:tcPr>
          <w:p w14:paraId="2485568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15(GLY410, ILE225, ASP205, ASP78, ASP209, LYS414, SER441, GLU442, GLY444, GLY443, LYS102, MET107, ASN83, THR228)</w:t>
            </w:r>
          </w:p>
        </w:tc>
        <w:tc>
          <w:tcPr>
            <w:tcW w:w="1260" w:type="dxa"/>
          </w:tcPr>
          <w:p w14:paraId="2A5619E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12(VAL74, ASN148, ARG354, LEU299, PRO162, PRO158, VAL73, THR361, HIS362, ARG365, ALA333, ILE335)</w:t>
            </w:r>
          </w:p>
        </w:tc>
      </w:tr>
      <w:tr w:rsidR="008C21EC" w:rsidRPr="0063258A" w14:paraId="78A082C0" w14:textId="77777777" w:rsidTr="008C21EC">
        <w:trPr>
          <w:trHeight w:val="254"/>
        </w:trPr>
        <w:tc>
          <w:tcPr>
            <w:tcW w:w="1471" w:type="dxa"/>
          </w:tcPr>
          <w:p w14:paraId="6C2C17E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Amide-Pi stacked</w:t>
            </w:r>
          </w:p>
        </w:tc>
        <w:tc>
          <w:tcPr>
            <w:tcW w:w="1409" w:type="dxa"/>
          </w:tcPr>
          <w:p w14:paraId="729E848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1(CYS41)</w:t>
            </w:r>
          </w:p>
        </w:tc>
        <w:tc>
          <w:tcPr>
            <w:tcW w:w="1440" w:type="dxa"/>
          </w:tcPr>
          <w:p w14:paraId="46505B4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3C9CFD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40363A6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7B6C3598" w14:textId="77777777" w:rsidR="008C21EC" w:rsidRPr="0063258A" w:rsidRDefault="008C21EC" w:rsidP="008C21EC">
            <w:pPr>
              <w:rPr>
                <w:rFonts w:ascii="Times New Roman" w:hAnsi="Times New Roman" w:cs="Times New Roman"/>
                <w:sz w:val="24"/>
                <w:szCs w:val="24"/>
              </w:rPr>
            </w:pPr>
          </w:p>
        </w:tc>
        <w:tc>
          <w:tcPr>
            <w:tcW w:w="1260" w:type="dxa"/>
          </w:tcPr>
          <w:p w14:paraId="01510BC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1D3E431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25A02797" w14:textId="77777777" w:rsidTr="008C21EC">
        <w:trPr>
          <w:trHeight w:val="351"/>
        </w:trPr>
        <w:tc>
          <w:tcPr>
            <w:tcW w:w="1471" w:type="dxa"/>
          </w:tcPr>
          <w:p w14:paraId="40C4EA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Pi-alkyl</w:t>
            </w:r>
          </w:p>
        </w:tc>
        <w:tc>
          <w:tcPr>
            <w:tcW w:w="1409" w:type="dxa"/>
          </w:tcPr>
          <w:p w14:paraId="5D5EBAB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2(CYS57)</w:t>
            </w:r>
          </w:p>
        </w:tc>
        <w:tc>
          <w:tcPr>
            <w:tcW w:w="1440" w:type="dxa"/>
          </w:tcPr>
          <w:p w14:paraId="162EA1C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3(LYS25, ALA8, PRO3)</w:t>
            </w:r>
          </w:p>
        </w:tc>
        <w:tc>
          <w:tcPr>
            <w:tcW w:w="1341" w:type="dxa"/>
          </w:tcPr>
          <w:p w14:paraId="160217B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2(PHE114, LEU26)</w:t>
            </w:r>
          </w:p>
        </w:tc>
        <w:tc>
          <w:tcPr>
            <w:tcW w:w="1341" w:type="dxa"/>
          </w:tcPr>
          <w:p w14:paraId="6954333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1(LEU444)</w:t>
            </w:r>
          </w:p>
        </w:tc>
        <w:tc>
          <w:tcPr>
            <w:tcW w:w="1359" w:type="dxa"/>
          </w:tcPr>
          <w:p w14:paraId="5E3EF67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1(LEU65)</w:t>
            </w:r>
          </w:p>
        </w:tc>
        <w:tc>
          <w:tcPr>
            <w:tcW w:w="1260" w:type="dxa"/>
          </w:tcPr>
          <w:p w14:paraId="30811EE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648A38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1(ALA357)</w:t>
            </w:r>
          </w:p>
        </w:tc>
      </w:tr>
      <w:tr w:rsidR="008C21EC" w:rsidRPr="0063258A" w14:paraId="1786615C" w14:textId="77777777" w:rsidTr="008C21EC">
        <w:trPr>
          <w:trHeight w:val="524"/>
        </w:trPr>
        <w:tc>
          <w:tcPr>
            <w:tcW w:w="1471" w:type="dxa"/>
          </w:tcPr>
          <w:p w14:paraId="0C1B985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lastRenderedPageBreak/>
              <w:t>Pi-Sulfur</w:t>
            </w:r>
          </w:p>
        </w:tc>
        <w:tc>
          <w:tcPr>
            <w:tcW w:w="1409" w:type="dxa"/>
          </w:tcPr>
          <w:p w14:paraId="19B0C65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2DB66F1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1(CYS5)</w:t>
            </w:r>
          </w:p>
        </w:tc>
        <w:tc>
          <w:tcPr>
            <w:tcW w:w="1341" w:type="dxa"/>
          </w:tcPr>
          <w:p w14:paraId="4AD0C3FC" w14:textId="77777777" w:rsidR="008C21EC" w:rsidRPr="0063258A" w:rsidRDefault="008C21EC" w:rsidP="008C21EC">
            <w:pPr>
              <w:rPr>
                <w:rFonts w:ascii="Times New Roman" w:hAnsi="Times New Roman" w:cs="Times New Roman"/>
                <w:sz w:val="24"/>
                <w:szCs w:val="24"/>
              </w:rPr>
            </w:pPr>
          </w:p>
        </w:tc>
        <w:tc>
          <w:tcPr>
            <w:tcW w:w="1341" w:type="dxa"/>
          </w:tcPr>
          <w:p w14:paraId="45FB73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5A848D7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2A333B2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0A7076B3" w14:textId="77777777" w:rsidR="008C21EC" w:rsidRPr="0063258A" w:rsidRDefault="008C21EC" w:rsidP="008C21EC">
            <w:pPr>
              <w:rPr>
                <w:rFonts w:ascii="Times New Roman" w:hAnsi="Times New Roman" w:cs="Times New Roman"/>
                <w:sz w:val="24"/>
                <w:szCs w:val="24"/>
              </w:rPr>
            </w:pPr>
          </w:p>
        </w:tc>
      </w:tr>
      <w:tr w:rsidR="008C21EC" w:rsidRPr="0063258A" w14:paraId="1071F983" w14:textId="77777777" w:rsidTr="008C21EC">
        <w:trPr>
          <w:trHeight w:val="524"/>
        </w:trPr>
        <w:tc>
          <w:tcPr>
            <w:tcW w:w="1471" w:type="dxa"/>
          </w:tcPr>
          <w:p w14:paraId="1951BFF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Unfavorable donor-donor</w:t>
            </w:r>
          </w:p>
        </w:tc>
        <w:tc>
          <w:tcPr>
            <w:tcW w:w="1409" w:type="dxa"/>
          </w:tcPr>
          <w:p w14:paraId="703E53C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221FD19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39B8EDA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0682821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1(VAL370)</w:t>
            </w:r>
          </w:p>
        </w:tc>
        <w:tc>
          <w:tcPr>
            <w:tcW w:w="1359" w:type="dxa"/>
          </w:tcPr>
          <w:p w14:paraId="57C5F62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60807C9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3C39CCC8" w14:textId="77777777" w:rsidR="008C21EC" w:rsidRPr="0063258A" w:rsidRDefault="008C21EC" w:rsidP="008C21EC">
            <w:pPr>
              <w:rPr>
                <w:rFonts w:ascii="Times New Roman" w:hAnsi="Times New Roman" w:cs="Times New Roman"/>
                <w:sz w:val="24"/>
                <w:szCs w:val="24"/>
              </w:rPr>
            </w:pPr>
          </w:p>
        </w:tc>
      </w:tr>
      <w:tr w:rsidR="008C21EC" w:rsidRPr="0063258A" w14:paraId="58469A92" w14:textId="77777777" w:rsidTr="008C21EC">
        <w:trPr>
          <w:trHeight w:val="524"/>
        </w:trPr>
        <w:tc>
          <w:tcPr>
            <w:tcW w:w="1471" w:type="dxa"/>
          </w:tcPr>
          <w:p w14:paraId="7F7DDCC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Pi-Sigma</w:t>
            </w:r>
          </w:p>
        </w:tc>
        <w:tc>
          <w:tcPr>
            <w:tcW w:w="1409" w:type="dxa"/>
          </w:tcPr>
          <w:p w14:paraId="1A8C5F8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163929E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A08C8A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E056FD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219FD95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0C623A8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2F6BDE94" w14:textId="77777777" w:rsidR="008C21EC" w:rsidRPr="0063258A" w:rsidRDefault="008C21EC" w:rsidP="008C21EC">
            <w:pPr>
              <w:rPr>
                <w:rFonts w:ascii="Times New Roman" w:hAnsi="Times New Roman" w:cs="Times New Roman"/>
                <w:sz w:val="24"/>
                <w:szCs w:val="24"/>
              </w:rPr>
            </w:pPr>
          </w:p>
        </w:tc>
      </w:tr>
      <w:tr w:rsidR="008C21EC" w:rsidRPr="0063258A" w14:paraId="6CC83EB6" w14:textId="77777777" w:rsidTr="008C21EC">
        <w:trPr>
          <w:trHeight w:val="524"/>
        </w:trPr>
        <w:tc>
          <w:tcPr>
            <w:tcW w:w="1471" w:type="dxa"/>
          </w:tcPr>
          <w:p w14:paraId="27A4C5D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Alkyl</w:t>
            </w:r>
          </w:p>
        </w:tc>
        <w:tc>
          <w:tcPr>
            <w:tcW w:w="1409" w:type="dxa"/>
          </w:tcPr>
          <w:p w14:paraId="77463A5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1(LYS56)</w:t>
            </w:r>
          </w:p>
        </w:tc>
        <w:tc>
          <w:tcPr>
            <w:tcW w:w="1440" w:type="dxa"/>
          </w:tcPr>
          <w:p w14:paraId="5C39242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72BB7A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4(VAL111, LEU63, LEU161, LEU59)</w:t>
            </w:r>
          </w:p>
        </w:tc>
        <w:tc>
          <w:tcPr>
            <w:tcW w:w="1341" w:type="dxa"/>
          </w:tcPr>
          <w:p w14:paraId="0331DF0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2(VAL64, LYS67)</w:t>
            </w:r>
          </w:p>
        </w:tc>
        <w:tc>
          <w:tcPr>
            <w:tcW w:w="1359" w:type="dxa"/>
          </w:tcPr>
          <w:p w14:paraId="2B4518E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1(MET68)</w:t>
            </w:r>
          </w:p>
        </w:tc>
        <w:tc>
          <w:tcPr>
            <w:tcW w:w="1260" w:type="dxa"/>
          </w:tcPr>
          <w:p w14:paraId="14DA4E1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15F1800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3(MET350, PHE153, ARG72, PHE334)</w:t>
            </w:r>
          </w:p>
        </w:tc>
      </w:tr>
      <w:tr w:rsidR="008C21EC" w:rsidRPr="0063258A" w14:paraId="31F7CDD6" w14:textId="77777777" w:rsidTr="008C21EC">
        <w:trPr>
          <w:trHeight w:val="524"/>
        </w:trPr>
        <w:tc>
          <w:tcPr>
            <w:tcW w:w="1471" w:type="dxa"/>
          </w:tcPr>
          <w:p w14:paraId="591ACD9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Pi-Pi T shaped</w:t>
            </w:r>
          </w:p>
        </w:tc>
        <w:tc>
          <w:tcPr>
            <w:tcW w:w="1409" w:type="dxa"/>
          </w:tcPr>
          <w:p w14:paraId="744E154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72928B6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AFA9CC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B5E28B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1(TYR197)</w:t>
            </w:r>
          </w:p>
        </w:tc>
        <w:tc>
          <w:tcPr>
            <w:tcW w:w="1359" w:type="dxa"/>
          </w:tcPr>
          <w:p w14:paraId="664D7A0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4550491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3412028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20255A73" w14:textId="77777777" w:rsidTr="008C21EC">
        <w:trPr>
          <w:trHeight w:val="524"/>
        </w:trPr>
        <w:tc>
          <w:tcPr>
            <w:tcW w:w="1471" w:type="dxa"/>
          </w:tcPr>
          <w:p w14:paraId="0AA0479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Halogen</w:t>
            </w:r>
          </w:p>
        </w:tc>
        <w:tc>
          <w:tcPr>
            <w:tcW w:w="1409" w:type="dxa"/>
          </w:tcPr>
          <w:p w14:paraId="41E70BD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57BE732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40555C0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5B8CB8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1(GLY62)</w:t>
            </w:r>
          </w:p>
        </w:tc>
        <w:tc>
          <w:tcPr>
            <w:tcW w:w="1359" w:type="dxa"/>
          </w:tcPr>
          <w:p w14:paraId="3D655A2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1(GLU173)</w:t>
            </w:r>
          </w:p>
        </w:tc>
        <w:tc>
          <w:tcPr>
            <w:tcW w:w="1260" w:type="dxa"/>
          </w:tcPr>
          <w:p w14:paraId="74406F0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66EFFF6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1(GLY353)</w:t>
            </w:r>
          </w:p>
        </w:tc>
      </w:tr>
      <w:tr w:rsidR="008C21EC" w:rsidRPr="0063258A" w14:paraId="48B5F5A5" w14:textId="77777777" w:rsidTr="008C21EC">
        <w:trPr>
          <w:trHeight w:val="524"/>
        </w:trPr>
        <w:tc>
          <w:tcPr>
            <w:tcW w:w="1471" w:type="dxa"/>
          </w:tcPr>
          <w:p w14:paraId="540BAD5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Pi-sigma</w:t>
            </w:r>
          </w:p>
        </w:tc>
        <w:tc>
          <w:tcPr>
            <w:tcW w:w="1409" w:type="dxa"/>
          </w:tcPr>
          <w:p w14:paraId="5F04D77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57CABE4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7F39A8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77B8E2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5A0A0E1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1(LEU166)</w:t>
            </w:r>
          </w:p>
        </w:tc>
        <w:tc>
          <w:tcPr>
            <w:tcW w:w="1260" w:type="dxa"/>
          </w:tcPr>
          <w:p w14:paraId="4ECC708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1406173B" w14:textId="77777777" w:rsidR="008C21EC" w:rsidRPr="0063258A" w:rsidRDefault="008C21EC" w:rsidP="008C21EC">
            <w:pPr>
              <w:rPr>
                <w:rFonts w:ascii="Times New Roman" w:hAnsi="Times New Roman" w:cs="Times New Roman"/>
                <w:sz w:val="24"/>
                <w:szCs w:val="24"/>
              </w:rPr>
            </w:pPr>
          </w:p>
        </w:tc>
      </w:tr>
      <w:tr w:rsidR="008C21EC" w:rsidRPr="0063258A" w14:paraId="512382A6" w14:textId="77777777" w:rsidTr="008C21EC">
        <w:trPr>
          <w:trHeight w:val="524"/>
        </w:trPr>
        <w:tc>
          <w:tcPr>
            <w:tcW w:w="1471" w:type="dxa"/>
          </w:tcPr>
          <w:p w14:paraId="079D922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Pi-Cation</w:t>
            </w:r>
          </w:p>
        </w:tc>
        <w:tc>
          <w:tcPr>
            <w:tcW w:w="1409" w:type="dxa"/>
          </w:tcPr>
          <w:p w14:paraId="42FCF2D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7CFD8BB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5E66C6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3D9CC2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25794C4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3971344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1(ARG85)</w:t>
            </w:r>
          </w:p>
        </w:tc>
        <w:tc>
          <w:tcPr>
            <w:tcW w:w="1260" w:type="dxa"/>
          </w:tcPr>
          <w:p w14:paraId="46EEC5B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5D151C50" w14:textId="77777777" w:rsidTr="008C21EC">
        <w:trPr>
          <w:trHeight w:val="524"/>
        </w:trPr>
        <w:tc>
          <w:tcPr>
            <w:tcW w:w="1471" w:type="dxa"/>
          </w:tcPr>
          <w:p w14:paraId="5A58089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Pi-Pi Stacked</w:t>
            </w:r>
          </w:p>
        </w:tc>
        <w:tc>
          <w:tcPr>
            <w:tcW w:w="1409" w:type="dxa"/>
          </w:tcPr>
          <w:p w14:paraId="7E4EBDC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2DD47B1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4B826FD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6608EF6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7FD4547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0FBA7A6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7FF7B62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2(TYR358, PHE161)</w:t>
            </w:r>
          </w:p>
        </w:tc>
      </w:tr>
    </w:tbl>
    <w:p w14:paraId="0DEC10FE" w14:textId="77777777" w:rsidR="008C21EC" w:rsidRPr="0063258A" w:rsidRDefault="008C21EC" w:rsidP="008C21EC">
      <w:pPr>
        <w:spacing w:before="240"/>
        <w:rPr>
          <w:rFonts w:ascii="Times New Roman" w:hAnsi="Times New Roman" w:cs="Times New Roman"/>
          <w:b/>
          <w:sz w:val="24"/>
          <w:szCs w:val="24"/>
        </w:rPr>
      </w:pPr>
    </w:p>
    <w:p w14:paraId="34549147" w14:textId="77777777" w:rsidR="008C21EC" w:rsidRPr="0063258A" w:rsidRDefault="008C21EC" w:rsidP="008C21EC">
      <w:pPr>
        <w:spacing w:before="240"/>
        <w:rPr>
          <w:rFonts w:ascii="Times New Roman" w:hAnsi="Times New Roman" w:cs="Times New Roman"/>
          <w:b/>
          <w:sz w:val="24"/>
          <w:szCs w:val="24"/>
        </w:rPr>
      </w:pPr>
    </w:p>
    <w:p w14:paraId="2B5622B1" w14:textId="77777777" w:rsidR="003F41DD" w:rsidRPr="0063258A" w:rsidRDefault="003F41DD" w:rsidP="008C21EC">
      <w:pPr>
        <w:spacing w:before="240"/>
        <w:rPr>
          <w:rFonts w:ascii="Times New Roman" w:hAnsi="Times New Roman" w:cs="Times New Roman"/>
          <w:b/>
          <w:sz w:val="24"/>
          <w:szCs w:val="24"/>
        </w:rPr>
      </w:pPr>
    </w:p>
    <w:p w14:paraId="227DA83C" w14:textId="77777777" w:rsidR="003F41DD" w:rsidRPr="0063258A" w:rsidRDefault="003F41DD" w:rsidP="008C21EC">
      <w:pPr>
        <w:spacing w:before="240"/>
        <w:rPr>
          <w:rFonts w:ascii="Times New Roman" w:hAnsi="Times New Roman" w:cs="Times New Roman"/>
          <w:b/>
          <w:sz w:val="24"/>
          <w:szCs w:val="24"/>
        </w:rPr>
      </w:pPr>
    </w:p>
    <w:p w14:paraId="49ABC7A9" w14:textId="77777777" w:rsidR="003F41DD" w:rsidRPr="0063258A" w:rsidRDefault="003F41DD" w:rsidP="008C21EC">
      <w:pPr>
        <w:spacing w:before="240"/>
        <w:rPr>
          <w:rFonts w:ascii="Times New Roman" w:hAnsi="Times New Roman" w:cs="Times New Roman"/>
          <w:b/>
          <w:sz w:val="24"/>
          <w:szCs w:val="24"/>
        </w:rPr>
      </w:pPr>
    </w:p>
    <w:p w14:paraId="5E176B45" w14:textId="77777777" w:rsidR="003F41DD" w:rsidRPr="0063258A" w:rsidRDefault="003F41DD" w:rsidP="008C21EC">
      <w:pPr>
        <w:spacing w:before="240"/>
        <w:rPr>
          <w:rFonts w:ascii="Times New Roman" w:hAnsi="Times New Roman" w:cs="Times New Roman"/>
          <w:b/>
          <w:sz w:val="24"/>
          <w:szCs w:val="24"/>
        </w:rPr>
      </w:pPr>
    </w:p>
    <w:p w14:paraId="437B1DD8" w14:textId="77777777" w:rsidR="003F41DD" w:rsidRPr="0063258A" w:rsidRDefault="003F41DD" w:rsidP="008C21EC">
      <w:pPr>
        <w:spacing w:before="240"/>
        <w:rPr>
          <w:rFonts w:ascii="Times New Roman" w:hAnsi="Times New Roman" w:cs="Times New Roman"/>
          <w:b/>
          <w:sz w:val="24"/>
          <w:szCs w:val="24"/>
        </w:rPr>
      </w:pPr>
    </w:p>
    <w:p w14:paraId="6534B0E6" w14:textId="77777777" w:rsidR="003F41DD" w:rsidRPr="0063258A" w:rsidRDefault="003F41DD" w:rsidP="008C21EC">
      <w:pPr>
        <w:spacing w:before="240"/>
        <w:rPr>
          <w:rFonts w:ascii="Times New Roman" w:hAnsi="Times New Roman" w:cs="Times New Roman"/>
          <w:b/>
          <w:sz w:val="24"/>
          <w:szCs w:val="24"/>
        </w:rPr>
      </w:pPr>
    </w:p>
    <w:p w14:paraId="317341B2" w14:textId="77777777" w:rsidR="003F41DD" w:rsidRPr="0063258A" w:rsidRDefault="003F41DD" w:rsidP="008C21EC">
      <w:pPr>
        <w:spacing w:before="240"/>
        <w:rPr>
          <w:rFonts w:ascii="Times New Roman" w:hAnsi="Times New Roman" w:cs="Times New Roman"/>
          <w:b/>
          <w:sz w:val="24"/>
          <w:szCs w:val="24"/>
        </w:rPr>
      </w:pPr>
    </w:p>
    <w:p w14:paraId="2DAC10D9" w14:textId="77777777" w:rsidR="003F41DD" w:rsidRPr="0063258A" w:rsidRDefault="003F41DD" w:rsidP="008C21EC">
      <w:pPr>
        <w:spacing w:before="240"/>
        <w:rPr>
          <w:rFonts w:ascii="Times New Roman" w:hAnsi="Times New Roman" w:cs="Times New Roman"/>
          <w:b/>
          <w:sz w:val="24"/>
          <w:szCs w:val="24"/>
        </w:rPr>
      </w:pPr>
    </w:p>
    <w:p w14:paraId="3D0F1DBD" w14:textId="77777777" w:rsidR="003F41DD" w:rsidRPr="0063258A" w:rsidRDefault="003F41DD" w:rsidP="008C21EC">
      <w:pPr>
        <w:spacing w:before="240"/>
        <w:rPr>
          <w:rFonts w:ascii="Times New Roman" w:hAnsi="Times New Roman" w:cs="Times New Roman"/>
          <w:b/>
          <w:sz w:val="24"/>
          <w:szCs w:val="24"/>
        </w:rPr>
      </w:pPr>
    </w:p>
    <w:p w14:paraId="07F4AB63" w14:textId="77777777" w:rsidR="003F41DD" w:rsidRPr="0063258A" w:rsidRDefault="003F41DD" w:rsidP="008C21EC">
      <w:pPr>
        <w:spacing w:before="240"/>
        <w:rPr>
          <w:rFonts w:ascii="Times New Roman" w:hAnsi="Times New Roman" w:cs="Times New Roman"/>
          <w:b/>
          <w:sz w:val="24"/>
          <w:szCs w:val="24"/>
        </w:rPr>
      </w:pPr>
    </w:p>
    <w:p w14:paraId="505FB2A1" w14:textId="77777777" w:rsidR="008C21EC" w:rsidRPr="0063258A" w:rsidRDefault="008C21EC" w:rsidP="003F41DD">
      <w:pPr>
        <w:spacing w:before="240"/>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Table 11:</w:t>
      </w:r>
      <w:r w:rsidRPr="0063258A">
        <w:rPr>
          <w:rFonts w:ascii="Times New Roman" w:hAnsi="Times New Roman" w:cs="Times New Roman"/>
          <w:b/>
          <w:sz w:val="24"/>
          <w:szCs w:val="24"/>
        </w:rPr>
        <w:tab/>
        <w:t xml:space="preserve">Pharmacokinetics (ADME) Properties of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r w:rsidRPr="0063258A">
        <w:rPr>
          <w:rFonts w:ascii="Times New Roman" w:hAnsi="Times New Roman" w:cs="Times New Roman"/>
          <w:b/>
          <w:sz w:val="24"/>
          <w:szCs w:val="24"/>
        </w:rPr>
        <w:t xml:space="preserve"> </w:t>
      </w:r>
    </w:p>
    <w:tbl>
      <w:tblPr>
        <w:tblStyle w:val="TableGrid"/>
        <w:tblW w:w="9900" w:type="dxa"/>
        <w:tblLayout w:type="fixed"/>
        <w:tblLook w:val="04A0" w:firstRow="1" w:lastRow="0" w:firstColumn="1" w:lastColumn="0" w:noHBand="0" w:noVBand="1"/>
      </w:tblPr>
      <w:tblGrid>
        <w:gridCol w:w="1262"/>
        <w:gridCol w:w="1708"/>
        <w:gridCol w:w="1080"/>
        <w:gridCol w:w="1350"/>
        <w:gridCol w:w="1350"/>
        <w:gridCol w:w="1620"/>
        <w:gridCol w:w="1530"/>
      </w:tblGrid>
      <w:tr w:rsidR="008C21EC" w:rsidRPr="0063258A" w14:paraId="7FCD1897" w14:textId="77777777" w:rsidTr="008C21EC">
        <w:trPr>
          <w:cantSplit/>
          <w:trHeight w:val="541"/>
        </w:trPr>
        <w:tc>
          <w:tcPr>
            <w:tcW w:w="1262" w:type="dxa"/>
            <w:tcBorders>
              <w:top w:val="single" w:sz="4" w:space="0" w:color="auto"/>
              <w:left w:val="nil"/>
              <w:bottom w:val="single" w:sz="4" w:space="0" w:color="auto"/>
              <w:right w:val="nil"/>
            </w:tcBorders>
          </w:tcPr>
          <w:p w14:paraId="0254B723"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ADME</w:t>
            </w:r>
          </w:p>
        </w:tc>
        <w:tc>
          <w:tcPr>
            <w:tcW w:w="1708" w:type="dxa"/>
            <w:tcBorders>
              <w:top w:val="single" w:sz="4" w:space="0" w:color="auto"/>
              <w:left w:val="nil"/>
              <w:bottom w:val="single" w:sz="4" w:space="0" w:color="auto"/>
              <w:right w:val="nil"/>
            </w:tcBorders>
          </w:tcPr>
          <w:p w14:paraId="07027BBB"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Properties</w:t>
            </w:r>
          </w:p>
        </w:tc>
        <w:tc>
          <w:tcPr>
            <w:tcW w:w="1080" w:type="dxa"/>
            <w:tcBorders>
              <w:top w:val="single" w:sz="4" w:space="0" w:color="auto"/>
              <w:left w:val="nil"/>
              <w:bottom w:val="single" w:sz="4" w:space="0" w:color="auto"/>
              <w:right w:val="nil"/>
            </w:tcBorders>
          </w:tcPr>
          <w:p w14:paraId="05516964"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350" w:type="dxa"/>
            <w:tcBorders>
              <w:top w:val="single" w:sz="4" w:space="0" w:color="auto"/>
              <w:left w:val="nil"/>
              <w:bottom w:val="single" w:sz="4" w:space="0" w:color="auto"/>
              <w:right w:val="nil"/>
            </w:tcBorders>
          </w:tcPr>
          <w:p w14:paraId="1F44CB22"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[2-(2-benzoylphenyl)-4-(1-hydroxycyclohexyl)phenyl]-[4-(1-hydroxycyclohexyl)phenyl]methanone</w:t>
            </w:r>
          </w:p>
        </w:tc>
        <w:tc>
          <w:tcPr>
            <w:tcW w:w="1350" w:type="dxa"/>
            <w:tcBorders>
              <w:top w:val="single" w:sz="4" w:space="0" w:color="auto"/>
              <w:left w:val="nil"/>
              <w:bottom w:val="single" w:sz="4" w:space="0" w:color="auto"/>
              <w:right w:val="nil"/>
            </w:tcBorders>
          </w:tcPr>
          <w:p w14:paraId="2D318935"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620" w:type="dxa"/>
            <w:tcBorders>
              <w:top w:val="single" w:sz="4" w:space="0" w:color="auto"/>
              <w:left w:val="nil"/>
              <w:bottom w:val="single" w:sz="4" w:space="0" w:color="auto"/>
              <w:right w:val="nil"/>
            </w:tcBorders>
          </w:tcPr>
          <w:p w14:paraId="60698F7E"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p>
        </w:tc>
        <w:tc>
          <w:tcPr>
            <w:tcW w:w="1530" w:type="dxa"/>
            <w:tcBorders>
              <w:top w:val="single" w:sz="4" w:space="0" w:color="auto"/>
              <w:left w:val="nil"/>
              <w:bottom w:val="single" w:sz="4" w:space="0" w:color="auto"/>
              <w:right w:val="nil"/>
            </w:tcBorders>
          </w:tcPr>
          <w:p w14:paraId="4CB2BB6D"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[2-(2,2,3,3,3-pentafluoropropanoyloxy)phenyl] furan-2-carboxylate</w:t>
            </w:r>
          </w:p>
        </w:tc>
      </w:tr>
      <w:tr w:rsidR="008C21EC" w:rsidRPr="0063258A" w14:paraId="4F08116D" w14:textId="77777777" w:rsidTr="008C21EC">
        <w:trPr>
          <w:trHeight w:val="263"/>
        </w:trPr>
        <w:tc>
          <w:tcPr>
            <w:tcW w:w="1262" w:type="dxa"/>
            <w:vMerge w:val="restart"/>
            <w:tcBorders>
              <w:top w:val="single" w:sz="4" w:space="0" w:color="auto"/>
              <w:left w:val="nil"/>
              <w:bottom w:val="single" w:sz="4" w:space="0" w:color="auto"/>
              <w:right w:val="nil"/>
            </w:tcBorders>
            <w:textDirection w:val="btLr"/>
          </w:tcPr>
          <w:p w14:paraId="7A354A72"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Absorption</w:t>
            </w:r>
          </w:p>
        </w:tc>
        <w:tc>
          <w:tcPr>
            <w:tcW w:w="1708" w:type="dxa"/>
            <w:tcBorders>
              <w:top w:val="single" w:sz="4" w:space="0" w:color="auto"/>
              <w:left w:val="nil"/>
              <w:bottom w:val="nil"/>
              <w:right w:val="nil"/>
            </w:tcBorders>
          </w:tcPr>
          <w:p w14:paraId="6975DF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Caco-2</w:t>
            </w:r>
          </w:p>
        </w:tc>
        <w:tc>
          <w:tcPr>
            <w:tcW w:w="1080" w:type="dxa"/>
            <w:tcBorders>
              <w:top w:val="single" w:sz="4" w:space="0" w:color="auto"/>
              <w:left w:val="nil"/>
              <w:bottom w:val="nil"/>
              <w:right w:val="nil"/>
            </w:tcBorders>
            <w:vAlign w:val="bottom"/>
          </w:tcPr>
          <w:p w14:paraId="6A05E40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-4.684</w:t>
            </w:r>
          </w:p>
        </w:tc>
        <w:tc>
          <w:tcPr>
            <w:tcW w:w="1350" w:type="dxa"/>
            <w:tcBorders>
              <w:top w:val="single" w:sz="4" w:space="0" w:color="auto"/>
              <w:left w:val="nil"/>
              <w:bottom w:val="nil"/>
              <w:right w:val="nil"/>
            </w:tcBorders>
            <w:vAlign w:val="bottom"/>
          </w:tcPr>
          <w:p w14:paraId="7F0A79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-4.851</w:t>
            </w:r>
          </w:p>
        </w:tc>
        <w:tc>
          <w:tcPr>
            <w:tcW w:w="1350" w:type="dxa"/>
            <w:tcBorders>
              <w:top w:val="single" w:sz="4" w:space="0" w:color="auto"/>
              <w:left w:val="nil"/>
              <w:bottom w:val="nil"/>
              <w:right w:val="nil"/>
            </w:tcBorders>
            <w:vAlign w:val="bottom"/>
          </w:tcPr>
          <w:p w14:paraId="4FD969E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-4.863</w:t>
            </w:r>
          </w:p>
        </w:tc>
        <w:tc>
          <w:tcPr>
            <w:tcW w:w="1620" w:type="dxa"/>
            <w:tcBorders>
              <w:top w:val="single" w:sz="4" w:space="0" w:color="auto"/>
              <w:left w:val="nil"/>
              <w:bottom w:val="nil"/>
              <w:right w:val="nil"/>
            </w:tcBorders>
            <w:vAlign w:val="bottom"/>
          </w:tcPr>
          <w:p w14:paraId="62BFC56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-5.271</w:t>
            </w:r>
          </w:p>
        </w:tc>
        <w:tc>
          <w:tcPr>
            <w:tcW w:w="1530" w:type="dxa"/>
            <w:tcBorders>
              <w:top w:val="single" w:sz="4" w:space="0" w:color="auto"/>
              <w:left w:val="nil"/>
              <w:bottom w:val="nil"/>
              <w:right w:val="nil"/>
            </w:tcBorders>
            <w:vAlign w:val="bottom"/>
          </w:tcPr>
          <w:p w14:paraId="720543D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-4.624</w:t>
            </w:r>
          </w:p>
        </w:tc>
      </w:tr>
      <w:tr w:rsidR="008C21EC" w:rsidRPr="0063258A" w14:paraId="2EDB050D"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039174B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7E375C7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color w:val="212529"/>
                <w:sz w:val="24"/>
                <w:szCs w:val="24"/>
                <w:shd w:val="clear" w:color="auto" w:fill="FFFFFF"/>
              </w:rPr>
              <w:t>P-</w:t>
            </w:r>
            <w:proofErr w:type="spellStart"/>
            <w:r w:rsidRPr="0063258A">
              <w:rPr>
                <w:rFonts w:ascii="Times New Roman" w:hAnsi="Times New Roman" w:cs="Times New Roman"/>
                <w:color w:val="212529"/>
                <w:sz w:val="24"/>
                <w:szCs w:val="24"/>
                <w:shd w:val="clear" w:color="auto" w:fill="FFFFFF"/>
              </w:rPr>
              <w:t>gp</w:t>
            </w:r>
            <w:proofErr w:type="spellEnd"/>
            <w:r w:rsidRPr="0063258A">
              <w:rPr>
                <w:rFonts w:ascii="Times New Roman" w:hAnsi="Times New Roman" w:cs="Times New Roman"/>
                <w:color w:val="212529"/>
                <w:sz w:val="24"/>
                <w:szCs w:val="24"/>
                <w:shd w:val="clear" w:color="auto" w:fill="FFFFFF"/>
              </w:rPr>
              <w:t xml:space="preserve"> inhibitor</w:t>
            </w:r>
          </w:p>
        </w:tc>
        <w:tc>
          <w:tcPr>
            <w:tcW w:w="1080" w:type="dxa"/>
            <w:tcBorders>
              <w:top w:val="nil"/>
              <w:left w:val="nil"/>
              <w:bottom w:val="nil"/>
              <w:right w:val="nil"/>
            </w:tcBorders>
            <w:vAlign w:val="bottom"/>
          </w:tcPr>
          <w:p w14:paraId="2CE2D56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0.993</w:t>
            </w:r>
          </w:p>
        </w:tc>
        <w:tc>
          <w:tcPr>
            <w:tcW w:w="1350" w:type="dxa"/>
            <w:tcBorders>
              <w:top w:val="nil"/>
              <w:left w:val="nil"/>
              <w:bottom w:val="nil"/>
              <w:right w:val="nil"/>
            </w:tcBorders>
            <w:vAlign w:val="bottom"/>
          </w:tcPr>
          <w:p w14:paraId="15210B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350" w:type="dxa"/>
            <w:tcBorders>
              <w:top w:val="nil"/>
              <w:left w:val="nil"/>
              <w:bottom w:val="nil"/>
              <w:right w:val="nil"/>
            </w:tcBorders>
            <w:vAlign w:val="bottom"/>
          </w:tcPr>
          <w:p w14:paraId="2FC549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0.991</w:t>
            </w:r>
          </w:p>
        </w:tc>
        <w:tc>
          <w:tcPr>
            <w:tcW w:w="1620" w:type="dxa"/>
            <w:tcBorders>
              <w:top w:val="nil"/>
              <w:left w:val="nil"/>
              <w:bottom w:val="nil"/>
              <w:right w:val="nil"/>
            </w:tcBorders>
            <w:vAlign w:val="bottom"/>
          </w:tcPr>
          <w:p w14:paraId="3EA3E04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530" w:type="dxa"/>
            <w:tcBorders>
              <w:top w:val="nil"/>
              <w:left w:val="nil"/>
              <w:bottom w:val="nil"/>
              <w:right w:val="nil"/>
            </w:tcBorders>
            <w:vAlign w:val="bottom"/>
          </w:tcPr>
          <w:p w14:paraId="2FDF916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0.943</w:t>
            </w:r>
          </w:p>
        </w:tc>
      </w:tr>
      <w:tr w:rsidR="008C21EC" w:rsidRPr="0063258A" w14:paraId="574C6D6F"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235D8044"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550E818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color w:val="212529"/>
                <w:sz w:val="24"/>
                <w:szCs w:val="24"/>
                <w:shd w:val="clear" w:color="auto" w:fill="FFFFFF"/>
              </w:rPr>
              <w:t>P-</w:t>
            </w:r>
            <w:proofErr w:type="spellStart"/>
            <w:r w:rsidRPr="0063258A">
              <w:rPr>
                <w:rFonts w:ascii="Times New Roman" w:hAnsi="Times New Roman" w:cs="Times New Roman"/>
                <w:color w:val="212529"/>
                <w:sz w:val="24"/>
                <w:szCs w:val="24"/>
                <w:shd w:val="clear" w:color="auto" w:fill="FFFFFF"/>
              </w:rPr>
              <w:t>gp</w:t>
            </w:r>
            <w:proofErr w:type="spellEnd"/>
            <w:r w:rsidRPr="0063258A">
              <w:rPr>
                <w:rFonts w:ascii="Times New Roman" w:hAnsi="Times New Roman" w:cs="Times New Roman"/>
                <w:color w:val="212529"/>
                <w:sz w:val="24"/>
                <w:szCs w:val="24"/>
                <w:shd w:val="clear" w:color="auto" w:fill="FFFFFF"/>
              </w:rPr>
              <w:t xml:space="preserve"> substrate</w:t>
            </w:r>
          </w:p>
        </w:tc>
        <w:tc>
          <w:tcPr>
            <w:tcW w:w="1080" w:type="dxa"/>
            <w:tcBorders>
              <w:top w:val="nil"/>
              <w:left w:val="nil"/>
              <w:bottom w:val="nil"/>
              <w:right w:val="nil"/>
            </w:tcBorders>
            <w:vAlign w:val="bottom"/>
          </w:tcPr>
          <w:p w14:paraId="288CD7B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0.004</w:t>
            </w:r>
          </w:p>
        </w:tc>
        <w:tc>
          <w:tcPr>
            <w:tcW w:w="1350" w:type="dxa"/>
            <w:tcBorders>
              <w:top w:val="nil"/>
              <w:left w:val="nil"/>
              <w:bottom w:val="nil"/>
              <w:right w:val="nil"/>
            </w:tcBorders>
            <w:vAlign w:val="bottom"/>
          </w:tcPr>
          <w:p w14:paraId="3E3B502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0.006</w:t>
            </w:r>
          </w:p>
        </w:tc>
        <w:tc>
          <w:tcPr>
            <w:tcW w:w="1350" w:type="dxa"/>
            <w:tcBorders>
              <w:top w:val="nil"/>
              <w:left w:val="nil"/>
              <w:bottom w:val="nil"/>
              <w:right w:val="nil"/>
            </w:tcBorders>
            <w:vAlign w:val="bottom"/>
          </w:tcPr>
          <w:p w14:paraId="047DEFF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0.009</w:t>
            </w:r>
          </w:p>
        </w:tc>
        <w:tc>
          <w:tcPr>
            <w:tcW w:w="1620" w:type="dxa"/>
            <w:tcBorders>
              <w:top w:val="nil"/>
              <w:left w:val="nil"/>
              <w:bottom w:val="nil"/>
              <w:right w:val="nil"/>
            </w:tcBorders>
            <w:vAlign w:val="bottom"/>
          </w:tcPr>
          <w:p w14:paraId="6E6C62E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0.212</w:t>
            </w:r>
          </w:p>
        </w:tc>
        <w:tc>
          <w:tcPr>
            <w:tcW w:w="1530" w:type="dxa"/>
            <w:tcBorders>
              <w:top w:val="nil"/>
              <w:left w:val="nil"/>
              <w:bottom w:val="nil"/>
              <w:right w:val="nil"/>
            </w:tcBorders>
            <w:vAlign w:val="bottom"/>
          </w:tcPr>
          <w:p w14:paraId="4F1AEEE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0.004</w:t>
            </w:r>
          </w:p>
        </w:tc>
      </w:tr>
      <w:tr w:rsidR="008C21EC" w:rsidRPr="0063258A" w14:paraId="363292EF"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2A0F20C7" w14:textId="77777777" w:rsidR="008C21EC" w:rsidRPr="0063258A" w:rsidRDefault="008C21EC" w:rsidP="008C21EC">
            <w:pPr>
              <w:ind w:left="113" w:right="113"/>
              <w:rPr>
                <w:rFonts w:ascii="Times New Roman" w:hAnsi="Times New Roman" w:cs="Times New Roman"/>
                <w:b/>
                <w:color w:val="212529"/>
                <w:sz w:val="24"/>
                <w:szCs w:val="24"/>
                <w:shd w:val="clear" w:color="auto" w:fill="FFFFFF"/>
              </w:rPr>
            </w:pPr>
          </w:p>
        </w:tc>
        <w:tc>
          <w:tcPr>
            <w:tcW w:w="1708" w:type="dxa"/>
            <w:tcBorders>
              <w:top w:val="nil"/>
              <w:left w:val="nil"/>
              <w:bottom w:val="nil"/>
              <w:right w:val="nil"/>
            </w:tcBorders>
          </w:tcPr>
          <w:p w14:paraId="216949E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color w:val="212529"/>
                <w:sz w:val="24"/>
                <w:szCs w:val="24"/>
                <w:shd w:val="clear" w:color="auto" w:fill="FFFFFF"/>
              </w:rPr>
              <w:t>HIA</w:t>
            </w:r>
          </w:p>
        </w:tc>
        <w:tc>
          <w:tcPr>
            <w:tcW w:w="1080" w:type="dxa"/>
            <w:tcBorders>
              <w:top w:val="nil"/>
              <w:left w:val="nil"/>
              <w:bottom w:val="nil"/>
              <w:right w:val="nil"/>
            </w:tcBorders>
            <w:vAlign w:val="bottom"/>
          </w:tcPr>
          <w:p w14:paraId="5F4449E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0.003</w:t>
            </w:r>
          </w:p>
        </w:tc>
        <w:tc>
          <w:tcPr>
            <w:tcW w:w="1350" w:type="dxa"/>
            <w:tcBorders>
              <w:top w:val="nil"/>
              <w:left w:val="nil"/>
              <w:bottom w:val="nil"/>
              <w:right w:val="nil"/>
            </w:tcBorders>
            <w:vAlign w:val="bottom"/>
          </w:tcPr>
          <w:p w14:paraId="59D404D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35CAE22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tcBorders>
              <w:top w:val="nil"/>
              <w:left w:val="nil"/>
              <w:bottom w:val="nil"/>
              <w:right w:val="nil"/>
            </w:tcBorders>
            <w:vAlign w:val="bottom"/>
          </w:tcPr>
          <w:p w14:paraId="4353E76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04E0914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0.015</w:t>
            </w:r>
          </w:p>
        </w:tc>
      </w:tr>
      <w:tr w:rsidR="008C21EC" w:rsidRPr="0063258A" w14:paraId="1D909EAB"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4D3BA680" w14:textId="77777777" w:rsidR="008C21EC" w:rsidRPr="0063258A" w:rsidRDefault="008C21EC" w:rsidP="008C21EC">
            <w:pPr>
              <w:ind w:left="113" w:right="113"/>
              <w:rPr>
                <w:rFonts w:ascii="Times New Roman" w:hAnsi="Times New Roman" w:cs="Times New Roman"/>
                <w:b/>
                <w:color w:val="212529"/>
                <w:sz w:val="24"/>
                <w:szCs w:val="24"/>
                <w:shd w:val="clear" w:color="auto" w:fill="FFFFFF"/>
              </w:rPr>
            </w:pPr>
          </w:p>
        </w:tc>
        <w:tc>
          <w:tcPr>
            <w:tcW w:w="1708" w:type="dxa"/>
            <w:tcBorders>
              <w:top w:val="nil"/>
              <w:left w:val="nil"/>
              <w:bottom w:val="single" w:sz="4" w:space="0" w:color="auto"/>
              <w:right w:val="nil"/>
            </w:tcBorders>
          </w:tcPr>
          <w:p w14:paraId="046F67E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 xml:space="preserve">Bioavailability </w:t>
            </w:r>
          </w:p>
        </w:tc>
        <w:tc>
          <w:tcPr>
            <w:tcW w:w="1080" w:type="dxa"/>
            <w:tcBorders>
              <w:top w:val="nil"/>
              <w:left w:val="nil"/>
              <w:bottom w:val="single" w:sz="4" w:space="0" w:color="auto"/>
              <w:right w:val="nil"/>
            </w:tcBorders>
            <w:vAlign w:val="bottom"/>
          </w:tcPr>
          <w:p w14:paraId="40F0BB0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0.726</w:t>
            </w:r>
          </w:p>
        </w:tc>
        <w:tc>
          <w:tcPr>
            <w:tcW w:w="1350" w:type="dxa"/>
            <w:tcBorders>
              <w:top w:val="nil"/>
              <w:left w:val="nil"/>
              <w:bottom w:val="single" w:sz="4" w:space="0" w:color="auto"/>
              <w:right w:val="nil"/>
            </w:tcBorders>
            <w:vAlign w:val="bottom"/>
          </w:tcPr>
          <w:p w14:paraId="6E435C9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0.137</w:t>
            </w:r>
          </w:p>
        </w:tc>
        <w:tc>
          <w:tcPr>
            <w:tcW w:w="1350" w:type="dxa"/>
            <w:tcBorders>
              <w:top w:val="nil"/>
              <w:left w:val="nil"/>
              <w:bottom w:val="single" w:sz="4" w:space="0" w:color="auto"/>
              <w:right w:val="nil"/>
            </w:tcBorders>
            <w:vAlign w:val="bottom"/>
          </w:tcPr>
          <w:p w14:paraId="294432C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0.882</w:t>
            </w:r>
          </w:p>
        </w:tc>
        <w:tc>
          <w:tcPr>
            <w:tcW w:w="1620" w:type="dxa"/>
            <w:tcBorders>
              <w:top w:val="nil"/>
              <w:left w:val="nil"/>
              <w:bottom w:val="single" w:sz="4" w:space="0" w:color="auto"/>
              <w:right w:val="nil"/>
            </w:tcBorders>
            <w:vAlign w:val="bottom"/>
          </w:tcPr>
          <w:p w14:paraId="385BA9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0.003</w:t>
            </w:r>
          </w:p>
        </w:tc>
        <w:tc>
          <w:tcPr>
            <w:tcW w:w="1530" w:type="dxa"/>
            <w:tcBorders>
              <w:top w:val="nil"/>
              <w:left w:val="nil"/>
              <w:bottom w:val="single" w:sz="4" w:space="0" w:color="auto"/>
              <w:right w:val="nil"/>
            </w:tcBorders>
            <w:vAlign w:val="bottom"/>
          </w:tcPr>
          <w:p w14:paraId="2F77AF6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0.162</w:t>
            </w:r>
          </w:p>
        </w:tc>
      </w:tr>
      <w:tr w:rsidR="008C21EC" w:rsidRPr="0063258A" w14:paraId="16A51C1F" w14:textId="77777777" w:rsidTr="008C21EC">
        <w:trPr>
          <w:trHeight w:val="263"/>
        </w:trPr>
        <w:tc>
          <w:tcPr>
            <w:tcW w:w="1262" w:type="dxa"/>
            <w:vMerge w:val="restart"/>
            <w:tcBorders>
              <w:top w:val="single" w:sz="4" w:space="0" w:color="auto"/>
              <w:left w:val="nil"/>
              <w:bottom w:val="nil"/>
              <w:right w:val="nil"/>
            </w:tcBorders>
            <w:textDirection w:val="btLr"/>
          </w:tcPr>
          <w:p w14:paraId="5023CBF4"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Distribution</w:t>
            </w:r>
          </w:p>
        </w:tc>
        <w:tc>
          <w:tcPr>
            <w:tcW w:w="1708" w:type="dxa"/>
            <w:tcBorders>
              <w:top w:val="single" w:sz="4" w:space="0" w:color="auto"/>
              <w:left w:val="nil"/>
              <w:bottom w:val="nil"/>
              <w:right w:val="nil"/>
            </w:tcBorders>
          </w:tcPr>
          <w:p w14:paraId="0854349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OATP1B1</w:t>
            </w:r>
          </w:p>
        </w:tc>
        <w:tc>
          <w:tcPr>
            <w:tcW w:w="1080" w:type="dxa"/>
            <w:tcBorders>
              <w:top w:val="single" w:sz="4" w:space="0" w:color="auto"/>
              <w:left w:val="nil"/>
              <w:bottom w:val="nil"/>
              <w:right w:val="nil"/>
            </w:tcBorders>
            <w:vAlign w:val="bottom"/>
          </w:tcPr>
          <w:p w14:paraId="2171923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0.912</w:t>
            </w:r>
          </w:p>
        </w:tc>
        <w:tc>
          <w:tcPr>
            <w:tcW w:w="1350" w:type="dxa"/>
            <w:tcBorders>
              <w:top w:val="single" w:sz="4" w:space="0" w:color="auto"/>
              <w:left w:val="nil"/>
              <w:bottom w:val="nil"/>
              <w:right w:val="nil"/>
            </w:tcBorders>
            <w:vAlign w:val="bottom"/>
          </w:tcPr>
          <w:p w14:paraId="1D03254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0.841</w:t>
            </w:r>
          </w:p>
        </w:tc>
        <w:tc>
          <w:tcPr>
            <w:tcW w:w="1350" w:type="dxa"/>
            <w:tcBorders>
              <w:top w:val="single" w:sz="4" w:space="0" w:color="auto"/>
              <w:left w:val="nil"/>
              <w:bottom w:val="nil"/>
              <w:right w:val="nil"/>
            </w:tcBorders>
            <w:vAlign w:val="bottom"/>
          </w:tcPr>
          <w:p w14:paraId="1CB9810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0.979</w:t>
            </w:r>
          </w:p>
        </w:tc>
        <w:tc>
          <w:tcPr>
            <w:tcW w:w="1620" w:type="dxa"/>
            <w:tcBorders>
              <w:top w:val="single" w:sz="4" w:space="0" w:color="auto"/>
              <w:left w:val="nil"/>
              <w:bottom w:val="nil"/>
              <w:right w:val="nil"/>
            </w:tcBorders>
            <w:vAlign w:val="bottom"/>
          </w:tcPr>
          <w:p w14:paraId="13972BB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0.150</w:t>
            </w:r>
          </w:p>
        </w:tc>
        <w:tc>
          <w:tcPr>
            <w:tcW w:w="1530" w:type="dxa"/>
            <w:tcBorders>
              <w:top w:val="single" w:sz="4" w:space="0" w:color="auto"/>
              <w:left w:val="nil"/>
              <w:bottom w:val="nil"/>
              <w:right w:val="nil"/>
            </w:tcBorders>
            <w:vAlign w:val="bottom"/>
          </w:tcPr>
          <w:p w14:paraId="29755E0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0.348</w:t>
            </w:r>
          </w:p>
        </w:tc>
      </w:tr>
      <w:tr w:rsidR="008C21EC" w:rsidRPr="0063258A" w14:paraId="1690BFC1" w14:textId="77777777" w:rsidTr="008C21EC">
        <w:trPr>
          <w:trHeight w:val="263"/>
        </w:trPr>
        <w:tc>
          <w:tcPr>
            <w:tcW w:w="1262" w:type="dxa"/>
            <w:vMerge/>
            <w:tcBorders>
              <w:top w:val="nil"/>
              <w:left w:val="nil"/>
              <w:bottom w:val="nil"/>
              <w:right w:val="nil"/>
            </w:tcBorders>
            <w:textDirection w:val="btLr"/>
          </w:tcPr>
          <w:p w14:paraId="5734821D" w14:textId="77777777" w:rsidR="008C21EC" w:rsidRPr="0063258A" w:rsidRDefault="008C21EC" w:rsidP="008C21EC">
            <w:pPr>
              <w:ind w:left="113" w:right="113"/>
              <w:rPr>
                <w:rFonts w:ascii="Times New Roman" w:hAnsi="Times New Roman" w:cs="Times New Roman"/>
                <w:b/>
                <w:i/>
                <w:sz w:val="24"/>
                <w:szCs w:val="24"/>
              </w:rPr>
            </w:pPr>
          </w:p>
        </w:tc>
        <w:tc>
          <w:tcPr>
            <w:tcW w:w="1708" w:type="dxa"/>
            <w:tcBorders>
              <w:top w:val="nil"/>
              <w:left w:val="nil"/>
              <w:bottom w:val="nil"/>
              <w:right w:val="nil"/>
            </w:tcBorders>
          </w:tcPr>
          <w:p w14:paraId="14707CD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OATP1B3</w:t>
            </w:r>
          </w:p>
        </w:tc>
        <w:tc>
          <w:tcPr>
            <w:tcW w:w="1080" w:type="dxa"/>
            <w:tcBorders>
              <w:top w:val="nil"/>
              <w:left w:val="nil"/>
              <w:bottom w:val="nil"/>
              <w:right w:val="nil"/>
            </w:tcBorders>
            <w:vAlign w:val="bottom"/>
          </w:tcPr>
          <w:p w14:paraId="3A72D41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0.838</w:t>
            </w:r>
          </w:p>
        </w:tc>
        <w:tc>
          <w:tcPr>
            <w:tcW w:w="1350" w:type="dxa"/>
            <w:tcBorders>
              <w:top w:val="nil"/>
              <w:left w:val="nil"/>
              <w:bottom w:val="nil"/>
              <w:right w:val="nil"/>
            </w:tcBorders>
            <w:vAlign w:val="bottom"/>
          </w:tcPr>
          <w:p w14:paraId="623F843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0.749</w:t>
            </w:r>
          </w:p>
        </w:tc>
        <w:tc>
          <w:tcPr>
            <w:tcW w:w="1350" w:type="dxa"/>
            <w:tcBorders>
              <w:top w:val="nil"/>
              <w:left w:val="nil"/>
              <w:bottom w:val="nil"/>
              <w:right w:val="nil"/>
            </w:tcBorders>
            <w:vAlign w:val="bottom"/>
          </w:tcPr>
          <w:p w14:paraId="39BF461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0.927</w:t>
            </w:r>
          </w:p>
        </w:tc>
        <w:tc>
          <w:tcPr>
            <w:tcW w:w="1620" w:type="dxa"/>
            <w:tcBorders>
              <w:top w:val="nil"/>
              <w:left w:val="nil"/>
              <w:bottom w:val="nil"/>
              <w:right w:val="nil"/>
            </w:tcBorders>
            <w:vAlign w:val="bottom"/>
          </w:tcPr>
          <w:p w14:paraId="79F07E4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0.241</w:t>
            </w:r>
          </w:p>
        </w:tc>
        <w:tc>
          <w:tcPr>
            <w:tcW w:w="1530" w:type="dxa"/>
            <w:tcBorders>
              <w:top w:val="nil"/>
              <w:left w:val="nil"/>
              <w:bottom w:val="nil"/>
              <w:right w:val="nil"/>
            </w:tcBorders>
            <w:vAlign w:val="bottom"/>
          </w:tcPr>
          <w:p w14:paraId="1A28494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0.940</w:t>
            </w:r>
          </w:p>
        </w:tc>
      </w:tr>
      <w:tr w:rsidR="008C21EC" w:rsidRPr="0063258A" w14:paraId="5D10C606" w14:textId="77777777" w:rsidTr="008C21EC">
        <w:trPr>
          <w:trHeight w:val="263"/>
        </w:trPr>
        <w:tc>
          <w:tcPr>
            <w:tcW w:w="1262" w:type="dxa"/>
            <w:vMerge/>
            <w:tcBorders>
              <w:top w:val="nil"/>
              <w:left w:val="nil"/>
              <w:bottom w:val="nil"/>
              <w:right w:val="nil"/>
            </w:tcBorders>
            <w:textDirection w:val="btLr"/>
          </w:tcPr>
          <w:p w14:paraId="4A190C1B"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3DF23C1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BCRP</w:t>
            </w:r>
          </w:p>
        </w:tc>
        <w:tc>
          <w:tcPr>
            <w:tcW w:w="1080" w:type="dxa"/>
            <w:tcBorders>
              <w:top w:val="nil"/>
              <w:left w:val="nil"/>
              <w:bottom w:val="nil"/>
              <w:right w:val="nil"/>
            </w:tcBorders>
            <w:vAlign w:val="bottom"/>
          </w:tcPr>
          <w:p w14:paraId="10F8988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0.407</w:t>
            </w:r>
          </w:p>
        </w:tc>
        <w:tc>
          <w:tcPr>
            <w:tcW w:w="1350" w:type="dxa"/>
            <w:tcBorders>
              <w:top w:val="nil"/>
              <w:left w:val="nil"/>
              <w:bottom w:val="nil"/>
              <w:right w:val="nil"/>
            </w:tcBorders>
            <w:vAlign w:val="bottom"/>
          </w:tcPr>
          <w:p w14:paraId="2C010A4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0.433</w:t>
            </w:r>
          </w:p>
        </w:tc>
        <w:tc>
          <w:tcPr>
            <w:tcW w:w="1350" w:type="dxa"/>
            <w:tcBorders>
              <w:top w:val="nil"/>
              <w:left w:val="nil"/>
              <w:bottom w:val="nil"/>
              <w:right w:val="nil"/>
            </w:tcBorders>
            <w:vAlign w:val="bottom"/>
          </w:tcPr>
          <w:p w14:paraId="3EF504D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0.181</w:t>
            </w:r>
          </w:p>
        </w:tc>
        <w:tc>
          <w:tcPr>
            <w:tcW w:w="1620" w:type="dxa"/>
            <w:tcBorders>
              <w:top w:val="nil"/>
              <w:left w:val="nil"/>
              <w:bottom w:val="nil"/>
              <w:right w:val="nil"/>
            </w:tcBorders>
            <w:vAlign w:val="bottom"/>
          </w:tcPr>
          <w:p w14:paraId="58C76FE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761D4C9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0.220</w:t>
            </w:r>
          </w:p>
        </w:tc>
      </w:tr>
      <w:tr w:rsidR="008C21EC" w:rsidRPr="0063258A" w14:paraId="76656635" w14:textId="77777777" w:rsidTr="008C21EC">
        <w:trPr>
          <w:trHeight w:val="263"/>
        </w:trPr>
        <w:tc>
          <w:tcPr>
            <w:tcW w:w="1262" w:type="dxa"/>
            <w:vMerge/>
            <w:tcBorders>
              <w:top w:val="nil"/>
              <w:left w:val="nil"/>
              <w:bottom w:val="nil"/>
              <w:right w:val="nil"/>
            </w:tcBorders>
            <w:textDirection w:val="btLr"/>
          </w:tcPr>
          <w:p w14:paraId="6789CDC9"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2CA890A8"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BSEP</w:t>
            </w:r>
          </w:p>
        </w:tc>
        <w:tc>
          <w:tcPr>
            <w:tcW w:w="1080" w:type="dxa"/>
            <w:tcBorders>
              <w:top w:val="nil"/>
              <w:left w:val="nil"/>
              <w:bottom w:val="nil"/>
              <w:right w:val="nil"/>
            </w:tcBorders>
            <w:vAlign w:val="bottom"/>
          </w:tcPr>
          <w:p w14:paraId="59C2417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0.997</w:t>
            </w:r>
          </w:p>
        </w:tc>
        <w:tc>
          <w:tcPr>
            <w:tcW w:w="1350" w:type="dxa"/>
            <w:tcBorders>
              <w:top w:val="nil"/>
              <w:left w:val="nil"/>
              <w:bottom w:val="nil"/>
              <w:right w:val="nil"/>
            </w:tcBorders>
            <w:vAlign w:val="bottom"/>
          </w:tcPr>
          <w:p w14:paraId="0C555FA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350" w:type="dxa"/>
            <w:tcBorders>
              <w:top w:val="nil"/>
              <w:left w:val="nil"/>
              <w:bottom w:val="nil"/>
              <w:right w:val="nil"/>
            </w:tcBorders>
            <w:vAlign w:val="bottom"/>
          </w:tcPr>
          <w:p w14:paraId="4244183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620" w:type="dxa"/>
            <w:tcBorders>
              <w:top w:val="nil"/>
              <w:left w:val="nil"/>
              <w:bottom w:val="nil"/>
              <w:right w:val="nil"/>
            </w:tcBorders>
            <w:vAlign w:val="bottom"/>
          </w:tcPr>
          <w:p w14:paraId="49628BF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530" w:type="dxa"/>
            <w:tcBorders>
              <w:top w:val="nil"/>
              <w:left w:val="nil"/>
              <w:bottom w:val="nil"/>
              <w:right w:val="nil"/>
            </w:tcBorders>
            <w:vAlign w:val="bottom"/>
          </w:tcPr>
          <w:p w14:paraId="64A058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0.979</w:t>
            </w:r>
          </w:p>
        </w:tc>
      </w:tr>
      <w:tr w:rsidR="008C21EC" w:rsidRPr="0063258A" w14:paraId="59B25348" w14:textId="77777777" w:rsidTr="008C21EC">
        <w:trPr>
          <w:trHeight w:val="263"/>
        </w:trPr>
        <w:tc>
          <w:tcPr>
            <w:tcW w:w="1262" w:type="dxa"/>
            <w:vMerge/>
            <w:tcBorders>
              <w:top w:val="nil"/>
              <w:left w:val="nil"/>
              <w:bottom w:val="nil"/>
              <w:right w:val="nil"/>
            </w:tcBorders>
            <w:textDirection w:val="btLr"/>
          </w:tcPr>
          <w:p w14:paraId="2B0F07D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7AACEEC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BBB</w:t>
            </w:r>
          </w:p>
        </w:tc>
        <w:tc>
          <w:tcPr>
            <w:tcW w:w="1080" w:type="dxa"/>
            <w:tcBorders>
              <w:top w:val="nil"/>
              <w:left w:val="nil"/>
              <w:bottom w:val="nil"/>
              <w:right w:val="nil"/>
            </w:tcBorders>
            <w:vAlign w:val="bottom"/>
          </w:tcPr>
          <w:p w14:paraId="5750B45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0.530</w:t>
            </w:r>
          </w:p>
        </w:tc>
        <w:tc>
          <w:tcPr>
            <w:tcW w:w="1350" w:type="dxa"/>
            <w:tcBorders>
              <w:top w:val="nil"/>
              <w:left w:val="nil"/>
              <w:bottom w:val="nil"/>
              <w:right w:val="nil"/>
            </w:tcBorders>
            <w:vAlign w:val="bottom"/>
          </w:tcPr>
          <w:p w14:paraId="4E2421A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0.165</w:t>
            </w:r>
          </w:p>
        </w:tc>
        <w:tc>
          <w:tcPr>
            <w:tcW w:w="1350" w:type="dxa"/>
            <w:tcBorders>
              <w:top w:val="nil"/>
              <w:left w:val="nil"/>
              <w:bottom w:val="nil"/>
              <w:right w:val="nil"/>
            </w:tcBorders>
            <w:vAlign w:val="bottom"/>
          </w:tcPr>
          <w:p w14:paraId="5B2B397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0.889</w:t>
            </w:r>
          </w:p>
        </w:tc>
        <w:tc>
          <w:tcPr>
            <w:tcW w:w="1620" w:type="dxa"/>
            <w:tcBorders>
              <w:top w:val="nil"/>
              <w:left w:val="nil"/>
              <w:bottom w:val="nil"/>
              <w:right w:val="nil"/>
            </w:tcBorders>
            <w:vAlign w:val="bottom"/>
          </w:tcPr>
          <w:p w14:paraId="244950F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0.963</w:t>
            </w:r>
          </w:p>
        </w:tc>
        <w:tc>
          <w:tcPr>
            <w:tcW w:w="1530" w:type="dxa"/>
            <w:tcBorders>
              <w:top w:val="nil"/>
              <w:left w:val="nil"/>
              <w:bottom w:val="nil"/>
              <w:right w:val="nil"/>
            </w:tcBorders>
            <w:vAlign w:val="bottom"/>
          </w:tcPr>
          <w:p w14:paraId="2BB4FF4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0.912</w:t>
            </w:r>
          </w:p>
        </w:tc>
      </w:tr>
      <w:tr w:rsidR="008C21EC" w:rsidRPr="0063258A" w14:paraId="718719D7" w14:textId="77777777" w:rsidTr="008C21EC">
        <w:trPr>
          <w:trHeight w:val="263"/>
        </w:trPr>
        <w:tc>
          <w:tcPr>
            <w:tcW w:w="1262" w:type="dxa"/>
            <w:vMerge/>
            <w:tcBorders>
              <w:top w:val="nil"/>
              <w:left w:val="nil"/>
              <w:bottom w:val="nil"/>
              <w:right w:val="nil"/>
            </w:tcBorders>
            <w:textDirection w:val="btLr"/>
          </w:tcPr>
          <w:p w14:paraId="2931E11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7995642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MRP1</w:t>
            </w:r>
          </w:p>
        </w:tc>
        <w:tc>
          <w:tcPr>
            <w:tcW w:w="1080" w:type="dxa"/>
            <w:tcBorders>
              <w:top w:val="nil"/>
              <w:left w:val="nil"/>
              <w:bottom w:val="nil"/>
              <w:right w:val="nil"/>
            </w:tcBorders>
            <w:vAlign w:val="bottom"/>
          </w:tcPr>
          <w:p w14:paraId="733037D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0.929</w:t>
            </w:r>
          </w:p>
        </w:tc>
        <w:tc>
          <w:tcPr>
            <w:tcW w:w="1350" w:type="dxa"/>
            <w:tcBorders>
              <w:top w:val="nil"/>
              <w:left w:val="nil"/>
              <w:bottom w:val="nil"/>
              <w:right w:val="nil"/>
            </w:tcBorders>
            <w:vAlign w:val="bottom"/>
          </w:tcPr>
          <w:p w14:paraId="1BDAD66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0.132</w:t>
            </w:r>
          </w:p>
        </w:tc>
        <w:tc>
          <w:tcPr>
            <w:tcW w:w="1350" w:type="dxa"/>
            <w:tcBorders>
              <w:top w:val="nil"/>
              <w:left w:val="nil"/>
              <w:bottom w:val="nil"/>
              <w:right w:val="nil"/>
            </w:tcBorders>
            <w:vAlign w:val="bottom"/>
          </w:tcPr>
          <w:p w14:paraId="355FCFD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620" w:type="dxa"/>
            <w:tcBorders>
              <w:top w:val="nil"/>
              <w:left w:val="nil"/>
              <w:bottom w:val="nil"/>
              <w:right w:val="nil"/>
            </w:tcBorders>
            <w:vAlign w:val="bottom"/>
          </w:tcPr>
          <w:p w14:paraId="37B4205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0.935</w:t>
            </w:r>
          </w:p>
        </w:tc>
        <w:tc>
          <w:tcPr>
            <w:tcW w:w="1530" w:type="dxa"/>
            <w:tcBorders>
              <w:top w:val="nil"/>
              <w:left w:val="nil"/>
              <w:bottom w:val="nil"/>
              <w:right w:val="nil"/>
            </w:tcBorders>
            <w:vAlign w:val="bottom"/>
          </w:tcPr>
          <w:p w14:paraId="1449E29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0.883</w:t>
            </w:r>
          </w:p>
        </w:tc>
      </w:tr>
      <w:tr w:rsidR="008C21EC" w:rsidRPr="0063258A" w14:paraId="3C3EA778" w14:textId="77777777" w:rsidTr="008C21EC">
        <w:trPr>
          <w:trHeight w:val="263"/>
        </w:trPr>
        <w:tc>
          <w:tcPr>
            <w:tcW w:w="1262" w:type="dxa"/>
            <w:vMerge/>
            <w:tcBorders>
              <w:top w:val="nil"/>
              <w:left w:val="nil"/>
              <w:bottom w:val="single" w:sz="4" w:space="0" w:color="auto"/>
              <w:right w:val="nil"/>
            </w:tcBorders>
            <w:textDirection w:val="btLr"/>
          </w:tcPr>
          <w:p w14:paraId="66F73C86"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single" w:sz="4" w:space="0" w:color="auto"/>
              <w:right w:val="nil"/>
            </w:tcBorders>
          </w:tcPr>
          <w:p w14:paraId="35D9BE6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PPB</w:t>
            </w:r>
          </w:p>
        </w:tc>
        <w:tc>
          <w:tcPr>
            <w:tcW w:w="1080" w:type="dxa"/>
            <w:tcBorders>
              <w:top w:val="nil"/>
              <w:left w:val="nil"/>
              <w:bottom w:val="single" w:sz="4" w:space="0" w:color="auto"/>
              <w:right w:val="nil"/>
            </w:tcBorders>
            <w:vAlign w:val="bottom"/>
          </w:tcPr>
          <w:p w14:paraId="7D6ACB4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90.389</w:t>
            </w:r>
          </w:p>
        </w:tc>
        <w:tc>
          <w:tcPr>
            <w:tcW w:w="1350" w:type="dxa"/>
            <w:tcBorders>
              <w:top w:val="nil"/>
              <w:left w:val="nil"/>
              <w:bottom w:val="single" w:sz="4" w:space="0" w:color="auto"/>
              <w:right w:val="nil"/>
            </w:tcBorders>
            <w:vAlign w:val="bottom"/>
          </w:tcPr>
          <w:p w14:paraId="0504B29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96.463</w:t>
            </w:r>
          </w:p>
        </w:tc>
        <w:tc>
          <w:tcPr>
            <w:tcW w:w="1350" w:type="dxa"/>
            <w:tcBorders>
              <w:top w:val="nil"/>
              <w:left w:val="nil"/>
              <w:bottom w:val="single" w:sz="4" w:space="0" w:color="auto"/>
              <w:right w:val="nil"/>
            </w:tcBorders>
            <w:vAlign w:val="bottom"/>
          </w:tcPr>
          <w:p w14:paraId="204512D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97.812</w:t>
            </w:r>
          </w:p>
        </w:tc>
        <w:tc>
          <w:tcPr>
            <w:tcW w:w="1620" w:type="dxa"/>
            <w:tcBorders>
              <w:top w:val="nil"/>
              <w:left w:val="nil"/>
              <w:bottom w:val="single" w:sz="4" w:space="0" w:color="auto"/>
              <w:right w:val="nil"/>
            </w:tcBorders>
            <w:vAlign w:val="bottom"/>
          </w:tcPr>
          <w:p w14:paraId="14EFB75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98.312</w:t>
            </w:r>
          </w:p>
        </w:tc>
        <w:tc>
          <w:tcPr>
            <w:tcW w:w="1530" w:type="dxa"/>
            <w:tcBorders>
              <w:top w:val="nil"/>
              <w:left w:val="nil"/>
              <w:bottom w:val="single" w:sz="4" w:space="0" w:color="auto"/>
              <w:right w:val="nil"/>
            </w:tcBorders>
            <w:vAlign w:val="bottom"/>
          </w:tcPr>
          <w:p w14:paraId="4B594F2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97.811</w:t>
            </w:r>
          </w:p>
        </w:tc>
      </w:tr>
      <w:tr w:rsidR="008C21EC" w:rsidRPr="0063258A" w14:paraId="3C14315B" w14:textId="77777777" w:rsidTr="008C21EC">
        <w:trPr>
          <w:trHeight w:val="263"/>
        </w:trPr>
        <w:tc>
          <w:tcPr>
            <w:tcW w:w="1262" w:type="dxa"/>
            <w:vMerge w:val="restart"/>
            <w:tcBorders>
              <w:top w:val="single" w:sz="4" w:space="0" w:color="auto"/>
              <w:left w:val="nil"/>
              <w:bottom w:val="nil"/>
              <w:right w:val="nil"/>
            </w:tcBorders>
            <w:textDirection w:val="btLr"/>
          </w:tcPr>
          <w:p w14:paraId="4AAB7CB0"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Metabolism</w:t>
            </w:r>
          </w:p>
        </w:tc>
        <w:tc>
          <w:tcPr>
            <w:tcW w:w="1708" w:type="dxa"/>
            <w:tcBorders>
              <w:top w:val="single" w:sz="4" w:space="0" w:color="auto"/>
              <w:left w:val="nil"/>
              <w:bottom w:val="nil"/>
              <w:right w:val="nil"/>
            </w:tcBorders>
          </w:tcPr>
          <w:p w14:paraId="2FDB3A7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CYP1A2-inh</w:t>
            </w:r>
          </w:p>
        </w:tc>
        <w:tc>
          <w:tcPr>
            <w:tcW w:w="1080" w:type="dxa"/>
            <w:tcBorders>
              <w:top w:val="single" w:sz="4" w:space="0" w:color="auto"/>
              <w:left w:val="nil"/>
              <w:bottom w:val="nil"/>
              <w:right w:val="nil"/>
            </w:tcBorders>
            <w:vAlign w:val="bottom"/>
          </w:tcPr>
          <w:p w14:paraId="085EA87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0.613</w:t>
            </w:r>
          </w:p>
        </w:tc>
        <w:tc>
          <w:tcPr>
            <w:tcW w:w="1350" w:type="dxa"/>
            <w:tcBorders>
              <w:top w:val="single" w:sz="4" w:space="0" w:color="auto"/>
              <w:left w:val="nil"/>
              <w:bottom w:val="nil"/>
              <w:right w:val="nil"/>
            </w:tcBorders>
            <w:vAlign w:val="bottom"/>
          </w:tcPr>
          <w:p w14:paraId="3272CBA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0.132</w:t>
            </w:r>
          </w:p>
        </w:tc>
        <w:tc>
          <w:tcPr>
            <w:tcW w:w="1350" w:type="dxa"/>
            <w:tcBorders>
              <w:top w:val="single" w:sz="4" w:space="0" w:color="auto"/>
              <w:left w:val="nil"/>
              <w:bottom w:val="nil"/>
              <w:right w:val="nil"/>
            </w:tcBorders>
            <w:vAlign w:val="bottom"/>
          </w:tcPr>
          <w:p w14:paraId="78FAC1D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0.009</w:t>
            </w:r>
          </w:p>
        </w:tc>
        <w:tc>
          <w:tcPr>
            <w:tcW w:w="1620" w:type="dxa"/>
            <w:tcBorders>
              <w:top w:val="single" w:sz="4" w:space="0" w:color="auto"/>
              <w:left w:val="nil"/>
              <w:bottom w:val="nil"/>
              <w:right w:val="nil"/>
            </w:tcBorders>
            <w:vAlign w:val="bottom"/>
          </w:tcPr>
          <w:p w14:paraId="46EC4E7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0.865</w:t>
            </w:r>
          </w:p>
        </w:tc>
        <w:tc>
          <w:tcPr>
            <w:tcW w:w="1530" w:type="dxa"/>
            <w:tcBorders>
              <w:top w:val="single" w:sz="4" w:space="0" w:color="auto"/>
              <w:left w:val="nil"/>
              <w:bottom w:val="nil"/>
              <w:right w:val="nil"/>
            </w:tcBorders>
            <w:vAlign w:val="bottom"/>
          </w:tcPr>
          <w:p w14:paraId="728A3B5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r>
      <w:tr w:rsidR="008C21EC" w:rsidRPr="0063258A" w14:paraId="41E22E52" w14:textId="77777777" w:rsidTr="008C21EC">
        <w:trPr>
          <w:trHeight w:val="263"/>
        </w:trPr>
        <w:tc>
          <w:tcPr>
            <w:tcW w:w="1262" w:type="dxa"/>
            <w:vMerge/>
            <w:tcBorders>
              <w:top w:val="nil"/>
              <w:left w:val="nil"/>
              <w:bottom w:val="nil"/>
              <w:right w:val="nil"/>
            </w:tcBorders>
            <w:textDirection w:val="btLr"/>
          </w:tcPr>
          <w:p w14:paraId="6DB6507D"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63AC2D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CYP1A2-sub</w:t>
            </w:r>
          </w:p>
        </w:tc>
        <w:tc>
          <w:tcPr>
            <w:tcW w:w="1080" w:type="dxa"/>
            <w:tcBorders>
              <w:top w:val="nil"/>
              <w:left w:val="nil"/>
              <w:bottom w:val="nil"/>
              <w:right w:val="nil"/>
            </w:tcBorders>
            <w:vAlign w:val="bottom"/>
          </w:tcPr>
          <w:p w14:paraId="1751C6F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0.006</w:t>
            </w:r>
          </w:p>
        </w:tc>
        <w:tc>
          <w:tcPr>
            <w:tcW w:w="1350" w:type="dxa"/>
            <w:tcBorders>
              <w:top w:val="nil"/>
              <w:left w:val="nil"/>
              <w:bottom w:val="nil"/>
              <w:right w:val="nil"/>
            </w:tcBorders>
            <w:vAlign w:val="bottom"/>
          </w:tcPr>
          <w:p w14:paraId="374BAE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0.802</w:t>
            </w:r>
          </w:p>
        </w:tc>
        <w:tc>
          <w:tcPr>
            <w:tcW w:w="1350" w:type="dxa"/>
            <w:tcBorders>
              <w:top w:val="nil"/>
              <w:left w:val="nil"/>
              <w:bottom w:val="nil"/>
              <w:right w:val="nil"/>
            </w:tcBorders>
            <w:vAlign w:val="bottom"/>
          </w:tcPr>
          <w:p w14:paraId="6D7909B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0.069</w:t>
            </w:r>
          </w:p>
        </w:tc>
        <w:tc>
          <w:tcPr>
            <w:tcW w:w="1620" w:type="dxa"/>
            <w:tcBorders>
              <w:top w:val="nil"/>
              <w:left w:val="nil"/>
              <w:bottom w:val="nil"/>
              <w:right w:val="nil"/>
            </w:tcBorders>
            <w:vAlign w:val="bottom"/>
          </w:tcPr>
          <w:p w14:paraId="5776E71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0.992</w:t>
            </w:r>
          </w:p>
        </w:tc>
        <w:tc>
          <w:tcPr>
            <w:tcW w:w="1530" w:type="dxa"/>
            <w:tcBorders>
              <w:top w:val="nil"/>
              <w:left w:val="nil"/>
              <w:bottom w:val="nil"/>
              <w:right w:val="nil"/>
            </w:tcBorders>
            <w:vAlign w:val="bottom"/>
          </w:tcPr>
          <w:p w14:paraId="078CDC0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0.019</w:t>
            </w:r>
          </w:p>
        </w:tc>
      </w:tr>
      <w:tr w:rsidR="008C21EC" w:rsidRPr="0063258A" w14:paraId="2DE62DFF" w14:textId="77777777" w:rsidTr="008C21EC">
        <w:trPr>
          <w:trHeight w:val="263"/>
        </w:trPr>
        <w:tc>
          <w:tcPr>
            <w:tcW w:w="1262" w:type="dxa"/>
            <w:vMerge/>
            <w:tcBorders>
              <w:top w:val="nil"/>
              <w:left w:val="nil"/>
              <w:bottom w:val="nil"/>
              <w:right w:val="nil"/>
            </w:tcBorders>
            <w:textDirection w:val="btLr"/>
          </w:tcPr>
          <w:p w14:paraId="1D17CC9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35109DA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CYP2C19-inh</w:t>
            </w:r>
          </w:p>
        </w:tc>
        <w:tc>
          <w:tcPr>
            <w:tcW w:w="1080" w:type="dxa"/>
            <w:tcBorders>
              <w:top w:val="nil"/>
              <w:left w:val="nil"/>
              <w:bottom w:val="nil"/>
              <w:right w:val="nil"/>
            </w:tcBorders>
            <w:vAlign w:val="bottom"/>
          </w:tcPr>
          <w:p w14:paraId="597D504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0.884</w:t>
            </w:r>
          </w:p>
        </w:tc>
        <w:tc>
          <w:tcPr>
            <w:tcW w:w="1350" w:type="dxa"/>
            <w:tcBorders>
              <w:top w:val="nil"/>
              <w:left w:val="nil"/>
              <w:bottom w:val="nil"/>
              <w:right w:val="nil"/>
            </w:tcBorders>
            <w:vAlign w:val="bottom"/>
          </w:tcPr>
          <w:p w14:paraId="377EC07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0.995</w:t>
            </w:r>
          </w:p>
        </w:tc>
        <w:tc>
          <w:tcPr>
            <w:tcW w:w="1350" w:type="dxa"/>
            <w:tcBorders>
              <w:top w:val="nil"/>
              <w:left w:val="nil"/>
              <w:bottom w:val="nil"/>
              <w:right w:val="nil"/>
            </w:tcBorders>
            <w:vAlign w:val="bottom"/>
          </w:tcPr>
          <w:p w14:paraId="14AA5FF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0.861</w:t>
            </w:r>
          </w:p>
        </w:tc>
        <w:tc>
          <w:tcPr>
            <w:tcW w:w="1620" w:type="dxa"/>
            <w:tcBorders>
              <w:top w:val="nil"/>
              <w:left w:val="nil"/>
              <w:bottom w:val="nil"/>
              <w:right w:val="nil"/>
            </w:tcBorders>
            <w:vAlign w:val="bottom"/>
          </w:tcPr>
          <w:p w14:paraId="672F315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0.002</w:t>
            </w:r>
          </w:p>
        </w:tc>
        <w:tc>
          <w:tcPr>
            <w:tcW w:w="1530" w:type="dxa"/>
            <w:tcBorders>
              <w:top w:val="nil"/>
              <w:left w:val="nil"/>
              <w:bottom w:val="nil"/>
              <w:right w:val="nil"/>
            </w:tcBorders>
            <w:vAlign w:val="bottom"/>
          </w:tcPr>
          <w:p w14:paraId="18847E1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r>
      <w:tr w:rsidR="008C21EC" w:rsidRPr="0063258A" w14:paraId="1B196CDE" w14:textId="77777777" w:rsidTr="008C21EC">
        <w:trPr>
          <w:trHeight w:val="263"/>
        </w:trPr>
        <w:tc>
          <w:tcPr>
            <w:tcW w:w="1262" w:type="dxa"/>
            <w:vMerge/>
            <w:tcBorders>
              <w:top w:val="nil"/>
              <w:left w:val="nil"/>
              <w:bottom w:val="nil"/>
              <w:right w:val="nil"/>
            </w:tcBorders>
            <w:textDirection w:val="btLr"/>
          </w:tcPr>
          <w:p w14:paraId="727F49D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1841359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CYP2C19-sub</w:t>
            </w:r>
          </w:p>
        </w:tc>
        <w:tc>
          <w:tcPr>
            <w:tcW w:w="1080" w:type="dxa"/>
            <w:tcBorders>
              <w:top w:val="nil"/>
              <w:left w:val="nil"/>
              <w:bottom w:val="nil"/>
              <w:right w:val="nil"/>
            </w:tcBorders>
            <w:vAlign w:val="bottom"/>
          </w:tcPr>
          <w:p w14:paraId="18B0E1C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4D3656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4CE67B9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0.993</w:t>
            </w:r>
          </w:p>
        </w:tc>
        <w:tc>
          <w:tcPr>
            <w:tcW w:w="1620" w:type="dxa"/>
            <w:tcBorders>
              <w:top w:val="nil"/>
              <w:left w:val="nil"/>
              <w:bottom w:val="nil"/>
              <w:right w:val="nil"/>
            </w:tcBorders>
            <w:vAlign w:val="bottom"/>
          </w:tcPr>
          <w:p w14:paraId="411FE86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0.992</w:t>
            </w:r>
          </w:p>
        </w:tc>
        <w:tc>
          <w:tcPr>
            <w:tcW w:w="1530" w:type="dxa"/>
            <w:tcBorders>
              <w:top w:val="nil"/>
              <w:left w:val="nil"/>
              <w:bottom w:val="nil"/>
              <w:right w:val="nil"/>
            </w:tcBorders>
            <w:vAlign w:val="bottom"/>
          </w:tcPr>
          <w:p w14:paraId="0024B3F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13E1CBBA" w14:textId="77777777" w:rsidTr="008C21EC">
        <w:trPr>
          <w:trHeight w:val="263"/>
        </w:trPr>
        <w:tc>
          <w:tcPr>
            <w:tcW w:w="1262" w:type="dxa"/>
            <w:vMerge/>
            <w:tcBorders>
              <w:top w:val="nil"/>
              <w:left w:val="nil"/>
              <w:bottom w:val="nil"/>
              <w:right w:val="nil"/>
            </w:tcBorders>
            <w:textDirection w:val="btLr"/>
          </w:tcPr>
          <w:p w14:paraId="39723B7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6E60430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CYP2C9-inh</w:t>
            </w:r>
          </w:p>
        </w:tc>
        <w:tc>
          <w:tcPr>
            <w:tcW w:w="1080" w:type="dxa"/>
            <w:tcBorders>
              <w:top w:val="nil"/>
              <w:left w:val="nil"/>
              <w:bottom w:val="nil"/>
              <w:right w:val="nil"/>
            </w:tcBorders>
            <w:vAlign w:val="bottom"/>
          </w:tcPr>
          <w:p w14:paraId="7DF78A7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0.281</w:t>
            </w:r>
          </w:p>
        </w:tc>
        <w:tc>
          <w:tcPr>
            <w:tcW w:w="1350" w:type="dxa"/>
            <w:tcBorders>
              <w:top w:val="nil"/>
              <w:left w:val="nil"/>
              <w:bottom w:val="nil"/>
              <w:right w:val="nil"/>
            </w:tcBorders>
            <w:vAlign w:val="bottom"/>
          </w:tcPr>
          <w:p w14:paraId="1C875F2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0.001</w:t>
            </w:r>
          </w:p>
        </w:tc>
        <w:tc>
          <w:tcPr>
            <w:tcW w:w="1350" w:type="dxa"/>
            <w:tcBorders>
              <w:top w:val="nil"/>
              <w:left w:val="nil"/>
              <w:bottom w:val="nil"/>
              <w:right w:val="nil"/>
            </w:tcBorders>
            <w:vAlign w:val="bottom"/>
          </w:tcPr>
          <w:p w14:paraId="105B35D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0.823</w:t>
            </w:r>
          </w:p>
        </w:tc>
        <w:tc>
          <w:tcPr>
            <w:tcW w:w="1620" w:type="dxa"/>
            <w:tcBorders>
              <w:top w:val="nil"/>
              <w:left w:val="nil"/>
              <w:bottom w:val="nil"/>
              <w:right w:val="nil"/>
            </w:tcBorders>
            <w:vAlign w:val="bottom"/>
          </w:tcPr>
          <w:p w14:paraId="162E241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032A96A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0.378</w:t>
            </w:r>
          </w:p>
        </w:tc>
      </w:tr>
      <w:tr w:rsidR="008C21EC" w:rsidRPr="0063258A" w14:paraId="3357D5A8" w14:textId="77777777" w:rsidTr="008C21EC">
        <w:trPr>
          <w:trHeight w:val="263"/>
        </w:trPr>
        <w:tc>
          <w:tcPr>
            <w:tcW w:w="1262" w:type="dxa"/>
            <w:vMerge/>
            <w:tcBorders>
              <w:top w:val="nil"/>
              <w:left w:val="nil"/>
              <w:bottom w:val="nil"/>
              <w:right w:val="nil"/>
            </w:tcBorders>
            <w:textDirection w:val="btLr"/>
          </w:tcPr>
          <w:p w14:paraId="58515040"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4280822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CYP2C9-sub</w:t>
            </w:r>
          </w:p>
        </w:tc>
        <w:tc>
          <w:tcPr>
            <w:tcW w:w="1080" w:type="dxa"/>
            <w:tcBorders>
              <w:top w:val="nil"/>
              <w:left w:val="nil"/>
              <w:bottom w:val="nil"/>
              <w:right w:val="nil"/>
            </w:tcBorders>
            <w:vAlign w:val="bottom"/>
          </w:tcPr>
          <w:p w14:paraId="570D5F3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0.013</w:t>
            </w:r>
          </w:p>
        </w:tc>
        <w:tc>
          <w:tcPr>
            <w:tcW w:w="1350" w:type="dxa"/>
            <w:tcBorders>
              <w:top w:val="nil"/>
              <w:left w:val="nil"/>
              <w:bottom w:val="nil"/>
              <w:right w:val="nil"/>
            </w:tcBorders>
            <w:vAlign w:val="bottom"/>
          </w:tcPr>
          <w:p w14:paraId="370AAD6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2FAB1BE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0.270</w:t>
            </w:r>
          </w:p>
        </w:tc>
        <w:tc>
          <w:tcPr>
            <w:tcW w:w="1620" w:type="dxa"/>
            <w:tcBorders>
              <w:top w:val="nil"/>
              <w:left w:val="nil"/>
              <w:bottom w:val="nil"/>
              <w:right w:val="nil"/>
            </w:tcBorders>
            <w:vAlign w:val="bottom"/>
          </w:tcPr>
          <w:p w14:paraId="5259BAA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0.001</w:t>
            </w:r>
          </w:p>
        </w:tc>
        <w:tc>
          <w:tcPr>
            <w:tcW w:w="1530" w:type="dxa"/>
            <w:tcBorders>
              <w:top w:val="nil"/>
              <w:left w:val="nil"/>
              <w:bottom w:val="nil"/>
              <w:right w:val="nil"/>
            </w:tcBorders>
            <w:vAlign w:val="bottom"/>
          </w:tcPr>
          <w:p w14:paraId="575A03F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0.761</w:t>
            </w:r>
          </w:p>
        </w:tc>
      </w:tr>
      <w:tr w:rsidR="008C21EC" w:rsidRPr="0063258A" w14:paraId="2CF04CEC" w14:textId="77777777" w:rsidTr="008C21EC">
        <w:trPr>
          <w:trHeight w:val="263"/>
        </w:trPr>
        <w:tc>
          <w:tcPr>
            <w:tcW w:w="1262" w:type="dxa"/>
            <w:vMerge/>
            <w:tcBorders>
              <w:top w:val="nil"/>
              <w:left w:val="nil"/>
              <w:bottom w:val="nil"/>
              <w:right w:val="nil"/>
            </w:tcBorders>
            <w:textDirection w:val="btLr"/>
          </w:tcPr>
          <w:p w14:paraId="4BAC5237"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2CDAED0F"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CYP2D6-inh</w:t>
            </w:r>
          </w:p>
        </w:tc>
        <w:tc>
          <w:tcPr>
            <w:tcW w:w="1080" w:type="dxa"/>
            <w:tcBorders>
              <w:top w:val="nil"/>
              <w:left w:val="nil"/>
              <w:bottom w:val="nil"/>
              <w:right w:val="nil"/>
            </w:tcBorders>
            <w:vAlign w:val="bottom"/>
          </w:tcPr>
          <w:p w14:paraId="65C5338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957F05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1DACB31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0.473</w:t>
            </w:r>
          </w:p>
        </w:tc>
        <w:tc>
          <w:tcPr>
            <w:tcW w:w="1620" w:type="dxa"/>
            <w:tcBorders>
              <w:top w:val="nil"/>
              <w:left w:val="nil"/>
              <w:bottom w:val="nil"/>
              <w:right w:val="nil"/>
            </w:tcBorders>
            <w:vAlign w:val="bottom"/>
          </w:tcPr>
          <w:p w14:paraId="05605A7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0.995</w:t>
            </w:r>
          </w:p>
        </w:tc>
        <w:tc>
          <w:tcPr>
            <w:tcW w:w="1530" w:type="dxa"/>
            <w:tcBorders>
              <w:top w:val="nil"/>
              <w:left w:val="nil"/>
              <w:bottom w:val="nil"/>
              <w:right w:val="nil"/>
            </w:tcBorders>
            <w:vAlign w:val="bottom"/>
          </w:tcPr>
          <w:p w14:paraId="5C7C706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47389FED" w14:textId="77777777" w:rsidTr="008C21EC">
        <w:trPr>
          <w:trHeight w:val="263"/>
        </w:trPr>
        <w:tc>
          <w:tcPr>
            <w:tcW w:w="1262" w:type="dxa"/>
            <w:vMerge/>
            <w:tcBorders>
              <w:top w:val="nil"/>
              <w:left w:val="nil"/>
              <w:bottom w:val="nil"/>
              <w:right w:val="nil"/>
            </w:tcBorders>
            <w:textDirection w:val="btLr"/>
          </w:tcPr>
          <w:p w14:paraId="19C3D41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8AC9F2C"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CYP2D6-sub</w:t>
            </w:r>
          </w:p>
        </w:tc>
        <w:tc>
          <w:tcPr>
            <w:tcW w:w="1080" w:type="dxa"/>
            <w:tcBorders>
              <w:top w:val="nil"/>
              <w:left w:val="nil"/>
              <w:bottom w:val="nil"/>
              <w:right w:val="nil"/>
            </w:tcBorders>
            <w:vAlign w:val="bottom"/>
          </w:tcPr>
          <w:p w14:paraId="6163178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318A66E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259A124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0.520</w:t>
            </w:r>
          </w:p>
        </w:tc>
        <w:tc>
          <w:tcPr>
            <w:tcW w:w="1620" w:type="dxa"/>
            <w:tcBorders>
              <w:top w:val="nil"/>
              <w:left w:val="nil"/>
              <w:bottom w:val="nil"/>
              <w:right w:val="nil"/>
            </w:tcBorders>
            <w:vAlign w:val="bottom"/>
          </w:tcPr>
          <w:p w14:paraId="22BC9C7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0.249</w:t>
            </w:r>
          </w:p>
        </w:tc>
        <w:tc>
          <w:tcPr>
            <w:tcW w:w="1530" w:type="dxa"/>
            <w:tcBorders>
              <w:top w:val="nil"/>
              <w:left w:val="nil"/>
              <w:bottom w:val="nil"/>
              <w:right w:val="nil"/>
            </w:tcBorders>
            <w:vAlign w:val="bottom"/>
          </w:tcPr>
          <w:p w14:paraId="38CA62A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0.006</w:t>
            </w:r>
          </w:p>
        </w:tc>
      </w:tr>
      <w:tr w:rsidR="008C21EC" w:rsidRPr="0063258A" w14:paraId="0989B07C" w14:textId="77777777" w:rsidTr="008C21EC">
        <w:trPr>
          <w:trHeight w:val="263"/>
        </w:trPr>
        <w:tc>
          <w:tcPr>
            <w:tcW w:w="1262" w:type="dxa"/>
            <w:vMerge/>
            <w:tcBorders>
              <w:top w:val="nil"/>
              <w:left w:val="nil"/>
              <w:bottom w:val="nil"/>
              <w:right w:val="nil"/>
            </w:tcBorders>
            <w:textDirection w:val="btLr"/>
          </w:tcPr>
          <w:p w14:paraId="625C2475"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3EF82C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CYP3A4-inh</w:t>
            </w:r>
          </w:p>
        </w:tc>
        <w:tc>
          <w:tcPr>
            <w:tcW w:w="1080" w:type="dxa"/>
            <w:tcBorders>
              <w:top w:val="nil"/>
              <w:left w:val="nil"/>
              <w:bottom w:val="nil"/>
              <w:right w:val="nil"/>
            </w:tcBorders>
            <w:vAlign w:val="bottom"/>
          </w:tcPr>
          <w:p w14:paraId="16790A2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0.997</w:t>
            </w:r>
          </w:p>
        </w:tc>
        <w:tc>
          <w:tcPr>
            <w:tcW w:w="1350" w:type="dxa"/>
            <w:tcBorders>
              <w:top w:val="nil"/>
              <w:left w:val="nil"/>
              <w:bottom w:val="nil"/>
              <w:right w:val="nil"/>
            </w:tcBorders>
            <w:vAlign w:val="bottom"/>
          </w:tcPr>
          <w:p w14:paraId="3C8819D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0.018</w:t>
            </w:r>
          </w:p>
        </w:tc>
        <w:tc>
          <w:tcPr>
            <w:tcW w:w="1350" w:type="dxa"/>
            <w:tcBorders>
              <w:top w:val="nil"/>
              <w:left w:val="nil"/>
              <w:bottom w:val="nil"/>
              <w:right w:val="nil"/>
            </w:tcBorders>
            <w:vAlign w:val="bottom"/>
          </w:tcPr>
          <w:p w14:paraId="4C534CF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0.015</w:t>
            </w:r>
          </w:p>
        </w:tc>
        <w:tc>
          <w:tcPr>
            <w:tcW w:w="1620" w:type="dxa"/>
            <w:tcBorders>
              <w:top w:val="nil"/>
              <w:left w:val="nil"/>
              <w:bottom w:val="nil"/>
              <w:right w:val="nil"/>
            </w:tcBorders>
            <w:vAlign w:val="bottom"/>
          </w:tcPr>
          <w:p w14:paraId="32BCFBC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0.018</w:t>
            </w:r>
          </w:p>
        </w:tc>
        <w:tc>
          <w:tcPr>
            <w:tcW w:w="1530" w:type="dxa"/>
            <w:tcBorders>
              <w:top w:val="nil"/>
              <w:left w:val="nil"/>
              <w:bottom w:val="nil"/>
              <w:right w:val="nil"/>
            </w:tcBorders>
            <w:vAlign w:val="bottom"/>
          </w:tcPr>
          <w:p w14:paraId="171486F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A10EFD3" w14:textId="77777777" w:rsidTr="008C21EC">
        <w:trPr>
          <w:trHeight w:val="263"/>
        </w:trPr>
        <w:tc>
          <w:tcPr>
            <w:tcW w:w="1262" w:type="dxa"/>
            <w:vMerge/>
            <w:tcBorders>
              <w:top w:val="nil"/>
              <w:left w:val="nil"/>
              <w:bottom w:val="nil"/>
              <w:right w:val="nil"/>
            </w:tcBorders>
            <w:textDirection w:val="btLr"/>
          </w:tcPr>
          <w:p w14:paraId="02442BDD"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C537436"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CYP3A4-sub</w:t>
            </w:r>
          </w:p>
        </w:tc>
        <w:tc>
          <w:tcPr>
            <w:tcW w:w="1080" w:type="dxa"/>
            <w:tcBorders>
              <w:top w:val="nil"/>
              <w:left w:val="nil"/>
              <w:bottom w:val="nil"/>
              <w:right w:val="nil"/>
            </w:tcBorders>
            <w:vAlign w:val="bottom"/>
          </w:tcPr>
          <w:p w14:paraId="789DF4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EBC2AF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73C84D2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0.726</w:t>
            </w:r>
          </w:p>
        </w:tc>
        <w:tc>
          <w:tcPr>
            <w:tcW w:w="1620" w:type="dxa"/>
            <w:tcBorders>
              <w:top w:val="nil"/>
              <w:left w:val="nil"/>
              <w:bottom w:val="nil"/>
              <w:right w:val="nil"/>
            </w:tcBorders>
            <w:vAlign w:val="bottom"/>
          </w:tcPr>
          <w:p w14:paraId="664560D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530" w:type="dxa"/>
            <w:tcBorders>
              <w:top w:val="nil"/>
              <w:left w:val="nil"/>
              <w:bottom w:val="nil"/>
              <w:right w:val="nil"/>
            </w:tcBorders>
            <w:vAlign w:val="bottom"/>
          </w:tcPr>
          <w:p w14:paraId="0EA1A3A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5FD4BF96" w14:textId="77777777" w:rsidTr="008C21EC">
        <w:trPr>
          <w:trHeight w:val="263"/>
        </w:trPr>
        <w:tc>
          <w:tcPr>
            <w:tcW w:w="1262" w:type="dxa"/>
            <w:vMerge/>
            <w:tcBorders>
              <w:top w:val="nil"/>
              <w:left w:val="nil"/>
              <w:bottom w:val="nil"/>
              <w:right w:val="nil"/>
            </w:tcBorders>
            <w:textDirection w:val="btLr"/>
          </w:tcPr>
          <w:p w14:paraId="26CD5289"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2DE4264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CYP2B6-inh</w:t>
            </w:r>
          </w:p>
        </w:tc>
        <w:tc>
          <w:tcPr>
            <w:tcW w:w="1080" w:type="dxa"/>
            <w:tcBorders>
              <w:top w:val="nil"/>
              <w:left w:val="nil"/>
              <w:bottom w:val="nil"/>
              <w:right w:val="nil"/>
            </w:tcBorders>
            <w:vAlign w:val="bottom"/>
          </w:tcPr>
          <w:p w14:paraId="249DBA8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0.939</w:t>
            </w:r>
          </w:p>
        </w:tc>
        <w:tc>
          <w:tcPr>
            <w:tcW w:w="1350" w:type="dxa"/>
            <w:tcBorders>
              <w:top w:val="nil"/>
              <w:left w:val="nil"/>
              <w:bottom w:val="nil"/>
              <w:right w:val="nil"/>
            </w:tcBorders>
            <w:vAlign w:val="bottom"/>
          </w:tcPr>
          <w:p w14:paraId="5209981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51DB74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0.656</w:t>
            </w:r>
          </w:p>
        </w:tc>
        <w:tc>
          <w:tcPr>
            <w:tcW w:w="1620" w:type="dxa"/>
            <w:tcBorders>
              <w:top w:val="nil"/>
              <w:left w:val="nil"/>
              <w:bottom w:val="nil"/>
              <w:right w:val="nil"/>
            </w:tcBorders>
            <w:vAlign w:val="bottom"/>
          </w:tcPr>
          <w:p w14:paraId="700BF1D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0.802</w:t>
            </w:r>
          </w:p>
        </w:tc>
        <w:tc>
          <w:tcPr>
            <w:tcW w:w="1530" w:type="dxa"/>
            <w:tcBorders>
              <w:top w:val="nil"/>
              <w:left w:val="nil"/>
              <w:bottom w:val="nil"/>
              <w:right w:val="nil"/>
            </w:tcBorders>
            <w:vAlign w:val="bottom"/>
          </w:tcPr>
          <w:p w14:paraId="154A561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C7DE372" w14:textId="77777777" w:rsidTr="008C21EC">
        <w:trPr>
          <w:trHeight w:val="263"/>
        </w:trPr>
        <w:tc>
          <w:tcPr>
            <w:tcW w:w="1262" w:type="dxa"/>
            <w:vMerge/>
            <w:tcBorders>
              <w:top w:val="nil"/>
              <w:left w:val="nil"/>
              <w:bottom w:val="nil"/>
              <w:right w:val="nil"/>
            </w:tcBorders>
            <w:textDirection w:val="btLr"/>
          </w:tcPr>
          <w:p w14:paraId="7FC6CF8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9147FC8"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CYP2B6-sub</w:t>
            </w:r>
          </w:p>
        </w:tc>
        <w:tc>
          <w:tcPr>
            <w:tcW w:w="1080" w:type="dxa"/>
            <w:tcBorders>
              <w:top w:val="nil"/>
              <w:left w:val="nil"/>
              <w:bottom w:val="nil"/>
              <w:right w:val="nil"/>
            </w:tcBorders>
            <w:vAlign w:val="bottom"/>
          </w:tcPr>
          <w:p w14:paraId="7276DA5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4A449A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3DA9542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0.996</w:t>
            </w:r>
          </w:p>
        </w:tc>
        <w:tc>
          <w:tcPr>
            <w:tcW w:w="1620" w:type="dxa"/>
            <w:tcBorders>
              <w:top w:val="nil"/>
              <w:left w:val="nil"/>
              <w:bottom w:val="nil"/>
              <w:right w:val="nil"/>
            </w:tcBorders>
            <w:vAlign w:val="bottom"/>
          </w:tcPr>
          <w:p w14:paraId="240ED5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682848C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E6E000C" w14:textId="77777777" w:rsidTr="008C21EC">
        <w:trPr>
          <w:trHeight w:val="263"/>
        </w:trPr>
        <w:tc>
          <w:tcPr>
            <w:tcW w:w="1262" w:type="dxa"/>
            <w:vMerge/>
            <w:tcBorders>
              <w:top w:val="nil"/>
              <w:left w:val="nil"/>
              <w:bottom w:val="single" w:sz="4" w:space="0" w:color="auto"/>
              <w:right w:val="nil"/>
            </w:tcBorders>
            <w:textDirection w:val="btLr"/>
          </w:tcPr>
          <w:p w14:paraId="348B79BC"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single" w:sz="4" w:space="0" w:color="auto"/>
              <w:right w:val="nil"/>
            </w:tcBorders>
          </w:tcPr>
          <w:p w14:paraId="65C9FBBC"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CYP2C8-inh</w:t>
            </w:r>
          </w:p>
        </w:tc>
        <w:tc>
          <w:tcPr>
            <w:tcW w:w="1080" w:type="dxa"/>
            <w:tcBorders>
              <w:top w:val="nil"/>
              <w:left w:val="nil"/>
              <w:bottom w:val="single" w:sz="4" w:space="0" w:color="auto"/>
              <w:right w:val="nil"/>
            </w:tcBorders>
            <w:vAlign w:val="bottom"/>
          </w:tcPr>
          <w:p w14:paraId="10CB3E5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350" w:type="dxa"/>
            <w:tcBorders>
              <w:top w:val="nil"/>
              <w:left w:val="nil"/>
              <w:bottom w:val="single" w:sz="4" w:space="0" w:color="auto"/>
              <w:right w:val="nil"/>
            </w:tcBorders>
            <w:vAlign w:val="bottom"/>
          </w:tcPr>
          <w:p w14:paraId="6023E17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350" w:type="dxa"/>
            <w:tcBorders>
              <w:top w:val="nil"/>
              <w:left w:val="nil"/>
              <w:bottom w:val="single" w:sz="4" w:space="0" w:color="auto"/>
              <w:right w:val="nil"/>
            </w:tcBorders>
            <w:vAlign w:val="bottom"/>
          </w:tcPr>
          <w:p w14:paraId="5B8DFCE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0.745</w:t>
            </w:r>
          </w:p>
        </w:tc>
        <w:tc>
          <w:tcPr>
            <w:tcW w:w="1620" w:type="dxa"/>
            <w:tcBorders>
              <w:top w:val="nil"/>
              <w:left w:val="nil"/>
              <w:bottom w:val="single" w:sz="4" w:space="0" w:color="auto"/>
              <w:right w:val="nil"/>
            </w:tcBorders>
            <w:vAlign w:val="bottom"/>
          </w:tcPr>
          <w:p w14:paraId="712C26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0.554</w:t>
            </w:r>
          </w:p>
        </w:tc>
        <w:tc>
          <w:tcPr>
            <w:tcW w:w="1530" w:type="dxa"/>
            <w:tcBorders>
              <w:top w:val="nil"/>
              <w:left w:val="nil"/>
              <w:bottom w:val="single" w:sz="4" w:space="0" w:color="auto"/>
              <w:right w:val="nil"/>
            </w:tcBorders>
            <w:vAlign w:val="bottom"/>
          </w:tcPr>
          <w:p w14:paraId="45C33FA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r>
      <w:tr w:rsidR="008C21EC" w:rsidRPr="0063258A" w14:paraId="0F993624" w14:textId="77777777" w:rsidTr="008C21EC">
        <w:trPr>
          <w:trHeight w:val="263"/>
        </w:trPr>
        <w:tc>
          <w:tcPr>
            <w:tcW w:w="1262" w:type="dxa"/>
            <w:vMerge w:val="restart"/>
            <w:tcBorders>
              <w:top w:val="single" w:sz="4" w:space="0" w:color="auto"/>
              <w:left w:val="nil"/>
              <w:bottom w:val="single" w:sz="4" w:space="0" w:color="auto"/>
              <w:right w:val="nil"/>
            </w:tcBorders>
            <w:textDirection w:val="btLr"/>
          </w:tcPr>
          <w:p w14:paraId="0D04BB68"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Excretion</w:t>
            </w:r>
          </w:p>
        </w:tc>
        <w:tc>
          <w:tcPr>
            <w:tcW w:w="1708" w:type="dxa"/>
            <w:tcBorders>
              <w:top w:val="single" w:sz="4" w:space="0" w:color="auto"/>
              <w:left w:val="nil"/>
              <w:bottom w:val="nil"/>
              <w:right w:val="nil"/>
            </w:tcBorders>
          </w:tcPr>
          <w:p w14:paraId="09963FC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cl-plasma</w:t>
            </w:r>
          </w:p>
        </w:tc>
        <w:tc>
          <w:tcPr>
            <w:tcW w:w="1080" w:type="dxa"/>
            <w:tcBorders>
              <w:top w:val="single" w:sz="4" w:space="0" w:color="auto"/>
              <w:left w:val="nil"/>
              <w:bottom w:val="nil"/>
              <w:right w:val="nil"/>
            </w:tcBorders>
          </w:tcPr>
          <w:p w14:paraId="641880B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3.631</w:t>
            </w:r>
          </w:p>
        </w:tc>
        <w:tc>
          <w:tcPr>
            <w:tcW w:w="1350" w:type="dxa"/>
            <w:tcBorders>
              <w:top w:val="single" w:sz="4" w:space="0" w:color="auto"/>
              <w:left w:val="nil"/>
              <w:bottom w:val="nil"/>
              <w:right w:val="nil"/>
            </w:tcBorders>
          </w:tcPr>
          <w:p w14:paraId="1B0ECFC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7.553</w:t>
            </w:r>
          </w:p>
        </w:tc>
        <w:tc>
          <w:tcPr>
            <w:tcW w:w="1350" w:type="dxa"/>
            <w:tcBorders>
              <w:top w:val="single" w:sz="4" w:space="0" w:color="auto"/>
              <w:left w:val="nil"/>
              <w:bottom w:val="nil"/>
              <w:right w:val="nil"/>
            </w:tcBorders>
          </w:tcPr>
          <w:p w14:paraId="2245392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9.515</w:t>
            </w:r>
          </w:p>
        </w:tc>
        <w:tc>
          <w:tcPr>
            <w:tcW w:w="1620" w:type="dxa"/>
            <w:tcBorders>
              <w:top w:val="single" w:sz="4" w:space="0" w:color="auto"/>
              <w:left w:val="nil"/>
              <w:bottom w:val="nil"/>
              <w:right w:val="nil"/>
            </w:tcBorders>
          </w:tcPr>
          <w:p w14:paraId="54AEEB7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7.536</w:t>
            </w:r>
          </w:p>
        </w:tc>
        <w:tc>
          <w:tcPr>
            <w:tcW w:w="1530" w:type="dxa"/>
            <w:tcBorders>
              <w:top w:val="single" w:sz="4" w:space="0" w:color="auto"/>
              <w:left w:val="nil"/>
              <w:bottom w:val="nil"/>
              <w:right w:val="nil"/>
            </w:tcBorders>
          </w:tcPr>
          <w:p w14:paraId="558CA4C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4.800</w:t>
            </w:r>
          </w:p>
        </w:tc>
      </w:tr>
      <w:tr w:rsidR="008C21EC" w:rsidRPr="0063258A" w14:paraId="75C12383" w14:textId="77777777" w:rsidTr="008C21EC">
        <w:trPr>
          <w:trHeight w:val="1001"/>
        </w:trPr>
        <w:tc>
          <w:tcPr>
            <w:tcW w:w="1262" w:type="dxa"/>
            <w:vMerge/>
            <w:tcBorders>
              <w:top w:val="nil"/>
              <w:left w:val="nil"/>
              <w:bottom w:val="single" w:sz="4" w:space="0" w:color="auto"/>
              <w:right w:val="nil"/>
            </w:tcBorders>
          </w:tcPr>
          <w:p w14:paraId="03BEB522" w14:textId="77777777" w:rsidR="008C21EC" w:rsidRPr="0063258A" w:rsidRDefault="008C21EC" w:rsidP="008C21EC">
            <w:pPr>
              <w:rPr>
                <w:rFonts w:ascii="Times New Roman" w:hAnsi="Times New Roman" w:cs="Times New Roman"/>
                <w:sz w:val="24"/>
                <w:szCs w:val="24"/>
              </w:rPr>
            </w:pPr>
          </w:p>
        </w:tc>
        <w:tc>
          <w:tcPr>
            <w:tcW w:w="1708" w:type="dxa"/>
            <w:tcBorders>
              <w:top w:val="nil"/>
              <w:left w:val="nil"/>
              <w:bottom w:val="single" w:sz="4" w:space="0" w:color="auto"/>
              <w:right w:val="nil"/>
            </w:tcBorders>
          </w:tcPr>
          <w:p w14:paraId="463799B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t0.5</w:t>
            </w:r>
          </w:p>
        </w:tc>
        <w:tc>
          <w:tcPr>
            <w:tcW w:w="1080" w:type="dxa"/>
            <w:tcBorders>
              <w:top w:val="nil"/>
              <w:left w:val="nil"/>
              <w:bottom w:val="single" w:sz="4" w:space="0" w:color="auto"/>
              <w:right w:val="nil"/>
            </w:tcBorders>
          </w:tcPr>
          <w:p w14:paraId="5E10DC7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0.410</w:t>
            </w:r>
          </w:p>
        </w:tc>
        <w:tc>
          <w:tcPr>
            <w:tcW w:w="1350" w:type="dxa"/>
            <w:tcBorders>
              <w:top w:val="nil"/>
              <w:left w:val="nil"/>
              <w:bottom w:val="single" w:sz="4" w:space="0" w:color="auto"/>
              <w:right w:val="nil"/>
            </w:tcBorders>
          </w:tcPr>
          <w:p w14:paraId="47E5C885"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1.481</w:t>
            </w:r>
          </w:p>
        </w:tc>
        <w:tc>
          <w:tcPr>
            <w:tcW w:w="1350" w:type="dxa"/>
            <w:tcBorders>
              <w:top w:val="nil"/>
              <w:left w:val="nil"/>
              <w:bottom w:val="single" w:sz="4" w:space="0" w:color="auto"/>
              <w:right w:val="nil"/>
            </w:tcBorders>
          </w:tcPr>
          <w:p w14:paraId="554A7E9E"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0.267</w:t>
            </w:r>
          </w:p>
        </w:tc>
        <w:tc>
          <w:tcPr>
            <w:tcW w:w="1620" w:type="dxa"/>
            <w:tcBorders>
              <w:top w:val="nil"/>
              <w:left w:val="nil"/>
              <w:bottom w:val="single" w:sz="4" w:space="0" w:color="auto"/>
              <w:right w:val="nil"/>
            </w:tcBorders>
          </w:tcPr>
          <w:p w14:paraId="25E8473F"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0.874</w:t>
            </w:r>
          </w:p>
        </w:tc>
        <w:tc>
          <w:tcPr>
            <w:tcW w:w="1530" w:type="dxa"/>
            <w:tcBorders>
              <w:top w:val="nil"/>
              <w:left w:val="nil"/>
              <w:bottom w:val="single" w:sz="4" w:space="0" w:color="auto"/>
              <w:right w:val="nil"/>
            </w:tcBorders>
          </w:tcPr>
          <w:p w14:paraId="5B01F92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0.779</w:t>
            </w:r>
          </w:p>
        </w:tc>
      </w:tr>
    </w:tbl>
    <w:p w14:paraId="0D7C5593" w14:textId="77777777" w:rsidR="008C21EC" w:rsidRPr="0063258A" w:rsidRDefault="008C21EC" w:rsidP="008C21EC">
      <w:pPr>
        <w:spacing w:before="240"/>
        <w:rPr>
          <w:rFonts w:ascii="Times New Roman" w:hAnsi="Times New Roman" w:cs="Times New Roman"/>
          <w:b/>
          <w:sz w:val="24"/>
          <w:szCs w:val="24"/>
        </w:rPr>
      </w:pPr>
    </w:p>
    <w:p w14:paraId="75EB9AFA" w14:textId="77777777" w:rsidR="008C21EC" w:rsidRPr="0063258A" w:rsidRDefault="008C21EC" w:rsidP="003F41DD">
      <w:pPr>
        <w:spacing w:before="240"/>
        <w:jc w:val="both"/>
        <w:rPr>
          <w:rFonts w:ascii="Times New Roman" w:hAnsi="Times New Roman" w:cs="Times New Roman"/>
          <w:b/>
          <w:i/>
          <w:sz w:val="24"/>
          <w:szCs w:val="24"/>
        </w:rPr>
      </w:pPr>
      <w:r w:rsidRPr="0063258A">
        <w:rPr>
          <w:rFonts w:ascii="Times New Roman" w:hAnsi="Times New Roman" w:cs="Times New Roman"/>
          <w:b/>
          <w:sz w:val="24"/>
          <w:szCs w:val="24"/>
        </w:rPr>
        <w:lastRenderedPageBreak/>
        <w:t>Table 12:</w:t>
      </w:r>
      <w:r w:rsidRPr="0063258A">
        <w:rPr>
          <w:rFonts w:ascii="Times New Roman" w:hAnsi="Times New Roman" w:cs="Times New Roman"/>
          <w:b/>
          <w:sz w:val="24"/>
          <w:szCs w:val="24"/>
        </w:rPr>
        <w:tab/>
        <w:t xml:space="preserve">Physicochemical Properties of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p>
    <w:tbl>
      <w:tblPr>
        <w:tblStyle w:val="TableGrid"/>
        <w:tblW w:w="10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710"/>
        <w:gridCol w:w="1620"/>
        <w:gridCol w:w="1530"/>
        <w:gridCol w:w="1620"/>
        <w:gridCol w:w="1710"/>
      </w:tblGrid>
      <w:tr w:rsidR="008C21EC" w:rsidRPr="0063258A" w14:paraId="40EED099" w14:textId="77777777" w:rsidTr="008C21EC">
        <w:trPr>
          <w:trHeight w:val="280"/>
        </w:trPr>
        <w:tc>
          <w:tcPr>
            <w:tcW w:w="1980" w:type="dxa"/>
            <w:tcBorders>
              <w:top w:val="single" w:sz="4" w:space="0" w:color="auto"/>
              <w:bottom w:val="single" w:sz="4" w:space="0" w:color="auto"/>
            </w:tcBorders>
          </w:tcPr>
          <w:p w14:paraId="6AA559F6"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Properties</w:t>
            </w:r>
          </w:p>
        </w:tc>
        <w:tc>
          <w:tcPr>
            <w:tcW w:w="1710" w:type="dxa"/>
            <w:tcBorders>
              <w:top w:val="single" w:sz="4" w:space="0" w:color="auto"/>
              <w:bottom w:val="single" w:sz="4" w:space="0" w:color="auto"/>
            </w:tcBorders>
          </w:tcPr>
          <w:p w14:paraId="647916FE"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620" w:type="dxa"/>
            <w:tcBorders>
              <w:top w:val="single" w:sz="4" w:space="0" w:color="auto"/>
              <w:bottom w:val="single" w:sz="4" w:space="0" w:color="auto"/>
            </w:tcBorders>
          </w:tcPr>
          <w:p w14:paraId="14740C4E"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[2-(2-benzoylphenyl)-4-(1-hydroxycyclohexyl)phenyl]-[4-(1-hydroxycyclohexyl)phenyl]methanone</w:t>
            </w:r>
          </w:p>
        </w:tc>
        <w:tc>
          <w:tcPr>
            <w:tcW w:w="1530" w:type="dxa"/>
            <w:tcBorders>
              <w:top w:val="single" w:sz="4" w:space="0" w:color="auto"/>
              <w:bottom w:val="single" w:sz="4" w:space="0" w:color="auto"/>
            </w:tcBorders>
          </w:tcPr>
          <w:p w14:paraId="4308D3BE"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620" w:type="dxa"/>
            <w:tcBorders>
              <w:top w:val="single" w:sz="4" w:space="0" w:color="auto"/>
              <w:bottom w:val="single" w:sz="4" w:space="0" w:color="auto"/>
            </w:tcBorders>
          </w:tcPr>
          <w:p w14:paraId="44AFFDD5"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p>
        </w:tc>
        <w:tc>
          <w:tcPr>
            <w:tcW w:w="1710" w:type="dxa"/>
            <w:tcBorders>
              <w:top w:val="single" w:sz="4" w:space="0" w:color="auto"/>
              <w:bottom w:val="single" w:sz="4" w:space="0" w:color="auto"/>
            </w:tcBorders>
          </w:tcPr>
          <w:p w14:paraId="2EA9BE1B"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[2-(2,2,3,3,3-pentafluoropropanoyloxy)phenyl] furan-2-carboxylate</w:t>
            </w:r>
          </w:p>
        </w:tc>
      </w:tr>
      <w:tr w:rsidR="008C21EC" w:rsidRPr="0063258A" w14:paraId="7826E2C8" w14:textId="77777777" w:rsidTr="008C21EC">
        <w:trPr>
          <w:trHeight w:val="280"/>
        </w:trPr>
        <w:tc>
          <w:tcPr>
            <w:tcW w:w="1980" w:type="dxa"/>
            <w:tcBorders>
              <w:top w:val="single" w:sz="4" w:space="0" w:color="auto"/>
            </w:tcBorders>
          </w:tcPr>
          <w:p w14:paraId="24C55FA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Molar weight</w:t>
            </w:r>
          </w:p>
        </w:tc>
        <w:tc>
          <w:tcPr>
            <w:tcW w:w="1710" w:type="dxa"/>
            <w:tcBorders>
              <w:top w:val="single" w:sz="4" w:space="0" w:color="auto"/>
            </w:tcBorders>
            <w:vAlign w:val="bottom"/>
          </w:tcPr>
          <w:p w14:paraId="42F3CD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330.180</w:t>
            </w:r>
          </w:p>
        </w:tc>
        <w:tc>
          <w:tcPr>
            <w:tcW w:w="1620" w:type="dxa"/>
            <w:tcBorders>
              <w:top w:val="single" w:sz="4" w:space="0" w:color="auto"/>
            </w:tcBorders>
            <w:vAlign w:val="bottom"/>
          </w:tcPr>
          <w:p w14:paraId="1E266CA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558.280</w:t>
            </w:r>
          </w:p>
        </w:tc>
        <w:tc>
          <w:tcPr>
            <w:tcW w:w="1530" w:type="dxa"/>
            <w:tcBorders>
              <w:top w:val="single" w:sz="4" w:space="0" w:color="auto"/>
            </w:tcBorders>
            <w:vAlign w:val="bottom"/>
          </w:tcPr>
          <w:p w14:paraId="4322C70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210.230</w:t>
            </w:r>
          </w:p>
        </w:tc>
        <w:tc>
          <w:tcPr>
            <w:tcW w:w="1620" w:type="dxa"/>
            <w:tcBorders>
              <w:top w:val="single" w:sz="4" w:space="0" w:color="auto"/>
            </w:tcBorders>
            <w:vAlign w:val="bottom"/>
          </w:tcPr>
          <w:p w14:paraId="2839AC7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503.160</w:t>
            </w:r>
          </w:p>
        </w:tc>
        <w:tc>
          <w:tcPr>
            <w:tcW w:w="1710" w:type="dxa"/>
            <w:tcBorders>
              <w:top w:val="single" w:sz="4" w:space="0" w:color="auto"/>
            </w:tcBorders>
            <w:vAlign w:val="bottom"/>
          </w:tcPr>
          <w:p w14:paraId="4799F3B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350.020</w:t>
            </w:r>
          </w:p>
        </w:tc>
      </w:tr>
      <w:tr w:rsidR="008C21EC" w:rsidRPr="0063258A" w14:paraId="07780485" w14:textId="77777777" w:rsidTr="008C21EC">
        <w:trPr>
          <w:trHeight w:val="280"/>
        </w:trPr>
        <w:tc>
          <w:tcPr>
            <w:tcW w:w="1980" w:type="dxa"/>
          </w:tcPr>
          <w:p w14:paraId="06D6FACF"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 HB Acceptor</w:t>
            </w:r>
          </w:p>
        </w:tc>
        <w:tc>
          <w:tcPr>
            <w:tcW w:w="1710" w:type="dxa"/>
            <w:vAlign w:val="bottom"/>
          </w:tcPr>
          <w:p w14:paraId="00609D4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4.000</w:t>
            </w:r>
          </w:p>
        </w:tc>
        <w:tc>
          <w:tcPr>
            <w:tcW w:w="1620" w:type="dxa"/>
            <w:vAlign w:val="bottom"/>
          </w:tcPr>
          <w:p w14:paraId="157DC07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4.000</w:t>
            </w:r>
          </w:p>
        </w:tc>
        <w:tc>
          <w:tcPr>
            <w:tcW w:w="1530" w:type="dxa"/>
            <w:vAlign w:val="bottom"/>
          </w:tcPr>
          <w:p w14:paraId="144CBC9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5EEBD9A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5.000</w:t>
            </w:r>
          </w:p>
        </w:tc>
        <w:tc>
          <w:tcPr>
            <w:tcW w:w="1710" w:type="dxa"/>
            <w:vAlign w:val="bottom"/>
          </w:tcPr>
          <w:p w14:paraId="1908F3A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5.000</w:t>
            </w:r>
          </w:p>
        </w:tc>
      </w:tr>
      <w:tr w:rsidR="008C21EC" w:rsidRPr="0063258A" w14:paraId="306415FB" w14:textId="77777777" w:rsidTr="008C21EC">
        <w:trPr>
          <w:trHeight w:val="280"/>
        </w:trPr>
        <w:tc>
          <w:tcPr>
            <w:tcW w:w="1980" w:type="dxa"/>
          </w:tcPr>
          <w:p w14:paraId="2252144C"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 HB Donor</w:t>
            </w:r>
          </w:p>
        </w:tc>
        <w:tc>
          <w:tcPr>
            <w:tcW w:w="1710" w:type="dxa"/>
            <w:vAlign w:val="bottom"/>
          </w:tcPr>
          <w:p w14:paraId="41E1610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7E53427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2.000</w:t>
            </w:r>
          </w:p>
        </w:tc>
        <w:tc>
          <w:tcPr>
            <w:tcW w:w="1530" w:type="dxa"/>
            <w:vAlign w:val="bottom"/>
          </w:tcPr>
          <w:p w14:paraId="5B28FC8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4E6BF30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710" w:type="dxa"/>
            <w:vAlign w:val="bottom"/>
          </w:tcPr>
          <w:p w14:paraId="1E57FBD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5F80413" w14:textId="77777777" w:rsidTr="008C21EC">
        <w:trPr>
          <w:trHeight w:val="280"/>
        </w:trPr>
        <w:tc>
          <w:tcPr>
            <w:tcW w:w="1980" w:type="dxa"/>
          </w:tcPr>
          <w:p w14:paraId="0AAC199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TPSA</w:t>
            </w:r>
          </w:p>
        </w:tc>
        <w:tc>
          <w:tcPr>
            <w:tcW w:w="1710" w:type="dxa"/>
            <w:vAlign w:val="bottom"/>
          </w:tcPr>
          <w:p w14:paraId="075ECD2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52.600</w:t>
            </w:r>
          </w:p>
        </w:tc>
        <w:tc>
          <w:tcPr>
            <w:tcW w:w="1620" w:type="dxa"/>
            <w:vAlign w:val="bottom"/>
          </w:tcPr>
          <w:p w14:paraId="5AF0874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74.600</w:t>
            </w:r>
          </w:p>
        </w:tc>
        <w:tc>
          <w:tcPr>
            <w:tcW w:w="1530" w:type="dxa"/>
            <w:vAlign w:val="bottom"/>
          </w:tcPr>
          <w:p w14:paraId="5882F7F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3370005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57.830</w:t>
            </w:r>
          </w:p>
        </w:tc>
        <w:tc>
          <w:tcPr>
            <w:tcW w:w="1710" w:type="dxa"/>
            <w:vAlign w:val="bottom"/>
          </w:tcPr>
          <w:p w14:paraId="6ACA179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65.740</w:t>
            </w:r>
          </w:p>
        </w:tc>
      </w:tr>
      <w:tr w:rsidR="008C21EC" w:rsidRPr="0063258A" w14:paraId="12D541A9" w14:textId="77777777" w:rsidTr="008C21EC">
        <w:trPr>
          <w:trHeight w:val="280"/>
        </w:trPr>
        <w:tc>
          <w:tcPr>
            <w:tcW w:w="1980" w:type="dxa"/>
          </w:tcPr>
          <w:p w14:paraId="76C12F6E" w14:textId="77777777" w:rsidR="008C21EC" w:rsidRPr="0063258A" w:rsidRDefault="008C21EC" w:rsidP="008C21EC">
            <w:pPr>
              <w:rPr>
                <w:rFonts w:ascii="Times New Roman" w:hAnsi="Times New Roman" w:cs="Times New Roman"/>
                <w:color w:val="000000"/>
                <w:sz w:val="24"/>
                <w:szCs w:val="24"/>
              </w:rPr>
            </w:pPr>
            <w:proofErr w:type="spellStart"/>
            <w:r w:rsidRPr="0063258A">
              <w:rPr>
                <w:rFonts w:ascii="Times New Roman" w:hAnsi="Times New Roman" w:cs="Times New Roman"/>
                <w:color w:val="000000"/>
                <w:sz w:val="24"/>
                <w:szCs w:val="24"/>
              </w:rPr>
              <w:t>LogP</w:t>
            </w:r>
            <w:proofErr w:type="spellEnd"/>
          </w:p>
        </w:tc>
        <w:tc>
          <w:tcPr>
            <w:tcW w:w="1710" w:type="dxa"/>
            <w:vAlign w:val="bottom"/>
          </w:tcPr>
          <w:p w14:paraId="6C4589B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4.880</w:t>
            </w:r>
          </w:p>
        </w:tc>
        <w:tc>
          <w:tcPr>
            <w:tcW w:w="1620" w:type="dxa"/>
            <w:vAlign w:val="bottom"/>
          </w:tcPr>
          <w:p w14:paraId="42C0398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5.427</w:t>
            </w:r>
          </w:p>
        </w:tc>
        <w:tc>
          <w:tcPr>
            <w:tcW w:w="1530" w:type="dxa"/>
            <w:vAlign w:val="bottom"/>
          </w:tcPr>
          <w:p w14:paraId="636B84A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6.020</w:t>
            </w:r>
          </w:p>
        </w:tc>
        <w:tc>
          <w:tcPr>
            <w:tcW w:w="1620" w:type="dxa"/>
            <w:vAlign w:val="bottom"/>
          </w:tcPr>
          <w:p w14:paraId="2ECCAC4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4.155</w:t>
            </w:r>
          </w:p>
        </w:tc>
        <w:tc>
          <w:tcPr>
            <w:tcW w:w="1710" w:type="dxa"/>
            <w:vAlign w:val="bottom"/>
          </w:tcPr>
          <w:p w14:paraId="7CF9B65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3.310</w:t>
            </w:r>
          </w:p>
        </w:tc>
      </w:tr>
      <w:tr w:rsidR="008C21EC" w:rsidRPr="0063258A" w14:paraId="63583CBA" w14:textId="77777777" w:rsidTr="008C21EC">
        <w:trPr>
          <w:trHeight w:val="73"/>
        </w:trPr>
        <w:tc>
          <w:tcPr>
            <w:tcW w:w="1980" w:type="dxa"/>
            <w:tcBorders>
              <w:bottom w:val="nil"/>
            </w:tcBorders>
          </w:tcPr>
          <w:p w14:paraId="1A44B54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Flexibility</w:t>
            </w:r>
          </w:p>
        </w:tc>
        <w:tc>
          <w:tcPr>
            <w:tcW w:w="1710" w:type="dxa"/>
            <w:tcBorders>
              <w:bottom w:val="nil"/>
            </w:tcBorders>
            <w:vAlign w:val="bottom"/>
          </w:tcPr>
          <w:p w14:paraId="58EA55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0.300</w:t>
            </w:r>
          </w:p>
        </w:tc>
        <w:tc>
          <w:tcPr>
            <w:tcW w:w="1620" w:type="dxa"/>
            <w:tcBorders>
              <w:bottom w:val="nil"/>
            </w:tcBorders>
            <w:vAlign w:val="bottom"/>
          </w:tcPr>
          <w:p w14:paraId="30E5D09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0.184</w:t>
            </w:r>
          </w:p>
        </w:tc>
        <w:tc>
          <w:tcPr>
            <w:tcW w:w="1530" w:type="dxa"/>
            <w:tcBorders>
              <w:bottom w:val="nil"/>
            </w:tcBorders>
            <w:vAlign w:val="bottom"/>
          </w:tcPr>
          <w:p w14:paraId="7B8055F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0.500</w:t>
            </w:r>
          </w:p>
        </w:tc>
        <w:tc>
          <w:tcPr>
            <w:tcW w:w="1620" w:type="dxa"/>
            <w:tcBorders>
              <w:bottom w:val="nil"/>
            </w:tcBorders>
            <w:vAlign w:val="bottom"/>
          </w:tcPr>
          <w:p w14:paraId="056FFE5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0.172</w:t>
            </w:r>
          </w:p>
        </w:tc>
        <w:tc>
          <w:tcPr>
            <w:tcW w:w="1710" w:type="dxa"/>
            <w:tcBorders>
              <w:bottom w:val="nil"/>
            </w:tcBorders>
            <w:vAlign w:val="bottom"/>
          </w:tcPr>
          <w:p w14:paraId="347E10D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0.538</w:t>
            </w:r>
          </w:p>
        </w:tc>
      </w:tr>
      <w:tr w:rsidR="008C21EC" w:rsidRPr="0063258A" w14:paraId="263C4505" w14:textId="77777777" w:rsidTr="008C21EC">
        <w:trPr>
          <w:trHeight w:val="280"/>
        </w:trPr>
        <w:tc>
          <w:tcPr>
            <w:tcW w:w="1980" w:type="dxa"/>
            <w:tcBorders>
              <w:top w:val="nil"/>
              <w:bottom w:val="single" w:sz="4" w:space="0" w:color="auto"/>
            </w:tcBorders>
          </w:tcPr>
          <w:p w14:paraId="4B1E8FC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No. Rotatable H.</w:t>
            </w:r>
          </w:p>
        </w:tc>
        <w:tc>
          <w:tcPr>
            <w:tcW w:w="1710" w:type="dxa"/>
            <w:tcBorders>
              <w:top w:val="nil"/>
              <w:bottom w:val="single" w:sz="4" w:space="0" w:color="auto"/>
            </w:tcBorders>
            <w:vAlign w:val="bottom"/>
          </w:tcPr>
          <w:p w14:paraId="6E7D8CF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6.000</w:t>
            </w:r>
          </w:p>
        </w:tc>
        <w:tc>
          <w:tcPr>
            <w:tcW w:w="1620" w:type="dxa"/>
            <w:tcBorders>
              <w:top w:val="nil"/>
              <w:bottom w:val="single" w:sz="4" w:space="0" w:color="auto"/>
            </w:tcBorders>
            <w:vAlign w:val="bottom"/>
          </w:tcPr>
          <w:p w14:paraId="6195E63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7.000</w:t>
            </w:r>
          </w:p>
        </w:tc>
        <w:tc>
          <w:tcPr>
            <w:tcW w:w="1530" w:type="dxa"/>
            <w:tcBorders>
              <w:top w:val="nil"/>
              <w:bottom w:val="single" w:sz="4" w:space="0" w:color="auto"/>
            </w:tcBorders>
            <w:vAlign w:val="bottom"/>
          </w:tcPr>
          <w:p w14:paraId="4EAE1AB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3.000</w:t>
            </w:r>
          </w:p>
        </w:tc>
        <w:tc>
          <w:tcPr>
            <w:tcW w:w="1620" w:type="dxa"/>
            <w:tcBorders>
              <w:top w:val="nil"/>
              <w:bottom w:val="single" w:sz="4" w:space="0" w:color="auto"/>
            </w:tcBorders>
            <w:vAlign w:val="bottom"/>
          </w:tcPr>
          <w:p w14:paraId="0843713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5.000</w:t>
            </w:r>
          </w:p>
        </w:tc>
        <w:tc>
          <w:tcPr>
            <w:tcW w:w="1710" w:type="dxa"/>
            <w:tcBorders>
              <w:top w:val="nil"/>
              <w:bottom w:val="single" w:sz="4" w:space="0" w:color="auto"/>
            </w:tcBorders>
            <w:vAlign w:val="bottom"/>
          </w:tcPr>
          <w:p w14:paraId="1E5B0E3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7.000</w:t>
            </w:r>
          </w:p>
        </w:tc>
      </w:tr>
    </w:tbl>
    <w:p w14:paraId="713094C6" w14:textId="77777777" w:rsidR="00532230" w:rsidRPr="0063258A" w:rsidRDefault="00532230" w:rsidP="008C21EC">
      <w:pPr>
        <w:spacing w:before="240"/>
        <w:rPr>
          <w:rFonts w:ascii="Times New Roman" w:hAnsi="Times New Roman" w:cs="Times New Roman"/>
          <w:b/>
          <w:sz w:val="24"/>
          <w:szCs w:val="24"/>
        </w:rPr>
      </w:pPr>
    </w:p>
    <w:p w14:paraId="6FC86677" w14:textId="77777777" w:rsidR="008C21EC" w:rsidRPr="0063258A" w:rsidRDefault="008C21EC" w:rsidP="00532230">
      <w:pPr>
        <w:spacing w:before="240"/>
        <w:jc w:val="both"/>
        <w:rPr>
          <w:rFonts w:ascii="Times New Roman" w:hAnsi="Times New Roman" w:cs="Times New Roman"/>
          <w:b/>
          <w:sz w:val="24"/>
          <w:szCs w:val="24"/>
        </w:rPr>
      </w:pPr>
      <w:r w:rsidRPr="0063258A">
        <w:rPr>
          <w:rFonts w:ascii="Times New Roman" w:hAnsi="Times New Roman" w:cs="Times New Roman"/>
          <w:b/>
          <w:sz w:val="24"/>
          <w:szCs w:val="24"/>
        </w:rPr>
        <w:t>Table 13:</w:t>
      </w:r>
      <w:r w:rsidRPr="0063258A">
        <w:rPr>
          <w:rFonts w:ascii="Times New Roman" w:hAnsi="Times New Roman" w:cs="Times New Roman"/>
          <w:b/>
          <w:sz w:val="24"/>
          <w:szCs w:val="24"/>
        </w:rPr>
        <w:tab/>
        <w:t xml:space="preserve">Toxicity Properties of the Hit compounds of </w:t>
      </w:r>
      <w:proofErr w:type="spellStart"/>
      <w:r w:rsidR="00532230" w:rsidRPr="0063258A">
        <w:rPr>
          <w:rStyle w:val="Emphasis"/>
          <w:rFonts w:ascii="Times New Roman" w:hAnsi="Times New Roman" w:cs="Times New Roman"/>
          <w:b/>
          <w:sz w:val="24"/>
          <w:szCs w:val="24"/>
        </w:rPr>
        <w:t>Tetracarpidium</w:t>
      </w:r>
      <w:proofErr w:type="spellEnd"/>
      <w:r w:rsidR="00532230" w:rsidRPr="0063258A">
        <w:rPr>
          <w:rStyle w:val="Emphasis"/>
          <w:rFonts w:ascii="Times New Roman" w:hAnsi="Times New Roman" w:cs="Times New Roman"/>
          <w:b/>
          <w:sz w:val="24"/>
          <w:szCs w:val="24"/>
        </w:rPr>
        <w:t xml:space="preserve"> </w:t>
      </w:r>
      <w:proofErr w:type="spellStart"/>
      <w:r w:rsidR="00532230" w:rsidRPr="0063258A">
        <w:rPr>
          <w:rStyle w:val="Emphasis"/>
          <w:rFonts w:ascii="Times New Roman" w:hAnsi="Times New Roman" w:cs="Times New Roman"/>
          <w:b/>
          <w:sz w:val="24"/>
          <w:szCs w:val="24"/>
        </w:rPr>
        <w:t>conophorum</w:t>
      </w:r>
      <w:proofErr w:type="spellEnd"/>
      <w:r w:rsidR="00532230" w:rsidRPr="0063258A">
        <w:rPr>
          <w:rFonts w:ascii="Times New Roman" w:hAnsi="Times New Roman" w:cs="Times New Roman"/>
          <w:b/>
          <w:sz w:val="24"/>
          <w:szCs w:val="24"/>
        </w:rPr>
        <w:t xml:space="preserve"> (African walnut)</w:t>
      </w:r>
    </w:p>
    <w:tbl>
      <w:tblPr>
        <w:tblStyle w:val="TableGrid"/>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1260"/>
        <w:gridCol w:w="1260"/>
        <w:gridCol w:w="1440"/>
        <w:gridCol w:w="1440"/>
        <w:gridCol w:w="1440"/>
      </w:tblGrid>
      <w:tr w:rsidR="008C21EC" w:rsidRPr="0063258A" w14:paraId="55493592" w14:textId="77777777" w:rsidTr="008C21EC">
        <w:trPr>
          <w:trHeight w:val="372"/>
        </w:trPr>
        <w:tc>
          <w:tcPr>
            <w:tcW w:w="2700" w:type="dxa"/>
            <w:tcBorders>
              <w:top w:val="single" w:sz="4" w:space="0" w:color="auto"/>
              <w:bottom w:val="single" w:sz="4" w:space="0" w:color="auto"/>
            </w:tcBorders>
          </w:tcPr>
          <w:p w14:paraId="760FCADA"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Properties</w:t>
            </w:r>
          </w:p>
        </w:tc>
        <w:tc>
          <w:tcPr>
            <w:tcW w:w="1260" w:type="dxa"/>
            <w:tcBorders>
              <w:top w:val="single" w:sz="4" w:space="0" w:color="auto"/>
              <w:bottom w:val="single" w:sz="4" w:space="0" w:color="auto"/>
            </w:tcBorders>
          </w:tcPr>
          <w:p w14:paraId="56E6157D"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260" w:type="dxa"/>
            <w:tcBorders>
              <w:top w:val="single" w:sz="4" w:space="0" w:color="auto"/>
              <w:bottom w:val="single" w:sz="4" w:space="0" w:color="auto"/>
            </w:tcBorders>
          </w:tcPr>
          <w:p w14:paraId="53D345D5"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[2-(2-benzoylphenyl)-4-(1-hydroxycyclohexyl)phenyl]-[4-(1-hydroxycyclohexyl)phenyl]methanone</w:t>
            </w:r>
          </w:p>
        </w:tc>
        <w:tc>
          <w:tcPr>
            <w:tcW w:w="1440" w:type="dxa"/>
            <w:tcBorders>
              <w:top w:val="single" w:sz="4" w:space="0" w:color="auto"/>
              <w:bottom w:val="single" w:sz="4" w:space="0" w:color="auto"/>
            </w:tcBorders>
          </w:tcPr>
          <w:p w14:paraId="6B2AEC05"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440" w:type="dxa"/>
            <w:tcBorders>
              <w:top w:val="single" w:sz="4" w:space="0" w:color="auto"/>
              <w:bottom w:val="single" w:sz="4" w:space="0" w:color="auto"/>
            </w:tcBorders>
          </w:tcPr>
          <w:p w14:paraId="68AD6E61"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p>
        </w:tc>
        <w:tc>
          <w:tcPr>
            <w:tcW w:w="1440" w:type="dxa"/>
            <w:tcBorders>
              <w:top w:val="single" w:sz="4" w:space="0" w:color="auto"/>
              <w:bottom w:val="single" w:sz="4" w:space="0" w:color="auto"/>
            </w:tcBorders>
          </w:tcPr>
          <w:p w14:paraId="60707519"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[2-(2,2,3,3,3-pentafluoropropanoyloxy)phenyl] furan-2-carboxylate</w:t>
            </w:r>
          </w:p>
        </w:tc>
      </w:tr>
      <w:tr w:rsidR="008C21EC" w:rsidRPr="0063258A" w14:paraId="68C91120" w14:textId="77777777" w:rsidTr="008C21EC">
        <w:trPr>
          <w:trHeight w:val="278"/>
        </w:trPr>
        <w:tc>
          <w:tcPr>
            <w:tcW w:w="2700" w:type="dxa"/>
            <w:tcBorders>
              <w:top w:val="single" w:sz="4" w:space="0" w:color="auto"/>
            </w:tcBorders>
          </w:tcPr>
          <w:p w14:paraId="7498F4AF"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Skin Sensitization</w:t>
            </w:r>
          </w:p>
        </w:tc>
        <w:tc>
          <w:tcPr>
            <w:tcW w:w="1260" w:type="dxa"/>
            <w:tcBorders>
              <w:top w:val="single" w:sz="4" w:space="0" w:color="auto"/>
            </w:tcBorders>
            <w:vAlign w:val="bottom"/>
          </w:tcPr>
          <w:p w14:paraId="2AEFC4D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0.270</w:t>
            </w:r>
          </w:p>
        </w:tc>
        <w:tc>
          <w:tcPr>
            <w:tcW w:w="1260" w:type="dxa"/>
            <w:tcBorders>
              <w:top w:val="single" w:sz="4" w:space="0" w:color="auto"/>
            </w:tcBorders>
            <w:vAlign w:val="bottom"/>
          </w:tcPr>
          <w:p w14:paraId="4B5EB82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0.052</w:t>
            </w:r>
          </w:p>
        </w:tc>
        <w:tc>
          <w:tcPr>
            <w:tcW w:w="1440" w:type="dxa"/>
            <w:tcBorders>
              <w:top w:val="single" w:sz="4" w:space="0" w:color="auto"/>
            </w:tcBorders>
            <w:vAlign w:val="bottom"/>
          </w:tcPr>
          <w:p w14:paraId="0BCC9B4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0.292</w:t>
            </w:r>
          </w:p>
        </w:tc>
        <w:tc>
          <w:tcPr>
            <w:tcW w:w="1440" w:type="dxa"/>
            <w:tcBorders>
              <w:top w:val="single" w:sz="4" w:space="0" w:color="auto"/>
            </w:tcBorders>
            <w:vAlign w:val="bottom"/>
          </w:tcPr>
          <w:p w14:paraId="436D88B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0.379</w:t>
            </w:r>
          </w:p>
        </w:tc>
        <w:tc>
          <w:tcPr>
            <w:tcW w:w="1440" w:type="dxa"/>
            <w:tcBorders>
              <w:top w:val="single" w:sz="4" w:space="0" w:color="auto"/>
            </w:tcBorders>
            <w:vAlign w:val="bottom"/>
          </w:tcPr>
          <w:p w14:paraId="5C23E9B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0.980</w:t>
            </w:r>
          </w:p>
        </w:tc>
      </w:tr>
      <w:tr w:rsidR="008C21EC" w:rsidRPr="0063258A" w14:paraId="3ACFC90E" w14:textId="77777777" w:rsidTr="008C21EC">
        <w:trPr>
          <w:trHeight w:val="278"/>
        </w:trPr>
        <w:tc>
          <w:tcPr>
            <w:tcW w:w="2700" w:type="dxa"/>
          </w:tcPr>
          <w:p w14:paraId="04A2F310"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Carcinogenicity</w:t>
            </w:r>
          </w:p>
        </w:tc>
        <w:tc>
          <w:tcPr>
            <w:tcW w:w="1260" w:type="dxa"/>
            <w:vAlign w:val="bottom"/>
          </w:tcPr>
          <w:p w14:paraId="7A5358A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0.143</w:t>
            </w:r>
          </w:p>
        </w:tc>
        <w:tc>
          <w:tcPr>
            <w:tcW w:w="1260" w:type="dxa"/>
            <w:vAlign w:val="bottom"/>
          </w:tcPr>
          <w:p w14:paraId="6A7C95B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0.256</w:t>
            </w:r>
          </w:p>
        </w:tc>
        <w:tc>
          <w:tcPr>
            <w:tcW w:w="1440" w:type="dxa"/>
            <w:vAlign w:val="bottom"/>
          </w:tcPr>
          <w:p w14:paraId="4889982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0.445</w:t>
            </w:r>
          </w:p>
        </w:tc>
        <w:tc>
          <w:tcPr>
            <w:tcW w:w="1440" w:type="dxa"/>
            <w:vAlign w:val="bottom"/>
          </w:tcPr>
          <w:p w14:paraId="619DF85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0.179</w:t>
            </w:r>
          </w:p>
        </w:tc>
        <w:tc>
          <w:tcPr>
            <w:tcW w:w="1440" w:type="dxa"/>
            <w:vAlign w:val="bottom"/>
          </w:tcPr>
          <w:p w14:paraId="044DE17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0.815</w:t>
            </w:r>
          </w:p>
        </w:tc>
      </w:tr>
      <w:tr w:rsidR="008C21EC" w:rsidRPr="0063258A" w14:paraId="794DBE52" w14:textId="77777777" w:rsidTr="008C21EC">
        <w:trPr>
          <w:trHeight w:val="278"/>
        </w:trPr>
        <w:tc>
          <w:tcPr>
            <w:tcW w:w="2700" w:type="dxa"/>
          </w:tcPr>
          <w:p w14:paraId="5060FFB8"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Eye corrosion</w:t>
            </w:r>
          </w:p>
        </w:tc>
        <w:tc>
          <w:tcPr>
            <w:tcW w:w="1260" w:type="dxa"/>
            <w:vAlign w:val="bottom"/>
          </w:tcPr>
          <w:p w14:paraId="343F035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0.012</w:t>
            </w:r>
          </w:p>
        </w:tc>
        <w:tc>
          <w:tcPr>
            <w:tcW w:w="1260" w:type="dxa"/>
            <w:vAlign w:val="bottom"/>
          </w:tcPr>
          <w:p w14:paraId="706F339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440" w:type="dxa"/>
            <w:vAlign w:val="bottom"/>
          </w:tcPr>
          <w:p w14:paraId="751AD05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0.861</w:t>
            </w:r>
          </w:p>
        </w:tc>
        <w:tc>
          <w:tcPr>
            <w:tcW w:w="1440" w:type="dxa"/>
            <w:vAlign w:val="bottom"/>
          </w:tcPr>
          <w:p w14:paraId="20B690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440" w:type="dxa"/>
            <w:vAlign w:val="bottom"/>
          </w:tcPr>
          <w:p w14:paraId="16D4B5C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r>
      <w:tr w:rsidR="008C21EC" w:rsidRPr="0063258A" w14:paraId="2CDE6665" w14:textId="77777777" w:rsidTr="008C21EC">
        <w:trPr>
          <w:trHeight w:val="278"/>
        </w:trPr>
        <w:tc>
          <w:tcPr>
            <w:tcW w:w="2700" w:type="dxa"/>
          </w:tcPr>
          <w:p w14:paraId="368B50BE"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Eye irritation</w:t>
            </w:r>
          </w:p>
        </w:tc>
        <w:tc>
          <w:tcPr>
            <w:tcW w:w="1260" w:type="dxa"/>
            <w:vAlign w:val="bottom"/>
          </w:tcPr>
          <w:p w14:paraId="19A553B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0.939</w:t>
            </w:r>
          </w:p>
        </w:tc>
        <w:tc>
          <w:tcPr>
            <w:tcW w:w="1260" w:type="dxa"/>
            <w:vAlign w:val="bottom"/>
          </w:tcPr>
          <w:p w14:paraId="7689E41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0.009</w:t>
            </w:r>
          </w:p>
        </w:tc>
        <w:tc>
          <w:tcPr>
            <w:tcW w:w="1440" w:type="dxa"/>
            <w:vAlign w:val="bottom"/>
          </w:tcPr>
          <w:p w14:paraId="22FFC77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0.932</w:t>
            </w:r>
          </w:p>
        </w:tc>
        <w:tc>
          <w:tcPr>
            <w:tcW w:w="1440" w:type="dxa"/>
            <w:vAlign w:val="bottom"/>
          </w:tcPr>
          <w:p w14:paraId="4994890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440" w:type="dxa"/>
            <w:vAlign w:val="bottom"/>
          </w:tcPr>
          <w:p w14:paraId="6259DF7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0.996</w:t>
            </w:r>
          </w:p>
        </w:tc>
      </w:tr>
      <w:tr w:rsidR="008C21EC" w:rsidRPr="0063258A" w14:paraId="0EF0F1EC" w14:textId="77777777" w:rsidTr="008C21EC">
        <w:trPr>
          <w:trHeight w:val="278"/>
        </w:trPr>
        <w:tc>
          <w:tcPr>
            <w:tcW w:w="2700" w:type="dxa"/>
          </w:tcPr>
          <w:p w14:paraId="6B0AF0D4"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Respiratory</w:t>
            </w:r>
          </w:p>
        </w:tc>
        <w:tc>
          <w:tcPr>
            <w:tcW w:w="1260" w:type="dxa"/>
            <w:vAlign w:val="bottom"/>
          </w:tcPr>
          <w:p w14:paraId="1DC5E17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0.031</w:t>
            </w:r>
          </w:p>
        </w:tc>
        <w:tc>
          <w:tcPr>
            <w:tcW w:w="1260" w:type="dxa"/>
            <w:vAlign w:val="bottom"/>
          </w:tcPr>
          <w:p w14:paraId="4B66593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0.657</w:t>
            </w:r>
          </w:p>
        </w:tc>
        <w:tc>
          <w:tcPr>
            <w:tcW w:w="1440" w:type="dxa"/>
            <w:vAlign w:val="bottom"/>
          </w:tcPr>
          <w:p w14:paraId="307A1A9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0.667</w:t>
            </w:r>
          </w:p>
        </w:tc>
        <w:tc>
          <w:tcPr>
            <w:tcW w:w="1440" w:type="dxa"/>
            <w:vAlign w:val="bottom"/>
          </w:tcPr>
          <w:p w14:paraId="575A7A0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0.975</w:t>
            </w:r>
          </w:p>
        </w:tc>
        <w:tc>
          <w:tcPr>
            <w:tcW w:w="1440" w:type="dxa"/>
            <w:vAlign w:val="bottom"/>
          </w:tcPr>
          <w:p w14:paraId="4509403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0.949</w:t>
            </w:r>
          </w:p>
        </w:tc>
      </w:tr>
      <w:tr w:rsidR="008C21EC" w:rsidRPr="0063258A" w14:paraId="558F8836" w14:textId="77777777" w:rsidTr="008C21EC">
        <w:trPr>
          <w:trHeight w:val="278"/>
        </w:trPr>
        <w:tc>
          <w:tcPr>
            <w:tcW w:w="2700" w:type="dxa"/>
          </w:tcPr>
          <w:p w14:paraId="4C7D94D8" w14:textId="77777777" w:rsidR="008C21EC" w:rsidRPr="0063258A" w:rsidRDefault="008C21EC" w:rsidP="008C21EC">
            <w:pPr>
              <w:rPr>
                <w:rFonts w:ascii="Times New Roman" w:hAnsi="Times New Roman" w:cs="Times New Roman"/>
                <w:bCs/>
                <w:color w:val="000000"/>
                <w:sz w:val="24"/>
                <w:szCs w:val="24"/>
              </w:rPr>
            </w:pPr>
            <w:proofErr w:type="spellStart"/>
            <w:r w:rsidRPr="0063258A">
              <w:rPr>
                <w:rFonts w:ascii="Times New Roman" w:hAnsi="Times New Roman" w:cs="Times New Roman"/>
                <w:bCs/>
                <w:color w:val="000000"/>
                <w:sz w:val="24"/>
                <w:szCs w:val="24"/>
              </w:rPr>
              <w:t>Hapatotoxicity</w:t>
            </w:r>
            <w:proofErr w:type="spellEnd"/>
          </w:p>
        </w:tc>
        <w:tc>
          <w:tcPr>
            <w:tcW w:w="1260" w:type="dxa"/>
            <w:vAlign w:val="bottom"/>
          </w:tcPr>
          <w:p w14:paraId="08C3FF7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0.078</w:t>
            </w:r>
          </w:p>
        </w:tc>
        <w:tc>
          <w:tcPr>
            <w:tcW w:w="1260" w:type="dxa"/>
            <w:vAlign w:val="bottom"/>
          </w:tcPr>
          <w:p w14:paraId="622BEEF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0.745</w:t>
            </w:r>
          </w:p>
        </w:tc>
        <w:tc>
          <w:tcPr>
            <w:tcW w:w="1440" w:type="dxa"/>
            <w:vAlign w:val="bottom"/>
          </w:tcPr>
          <w:p w14:paraId="4A7A594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0.568</w:t>
            </w:r>
          </w:p>
        </w:tc>
        <w:tc>
          <w:tcPr>
            <w:tcW w:w="1440" w:type="dxa"/>
            <w:vAlign w:val="bottom"/>
          </w:tcPr>
          <w:p w14:paraId="52C109A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0.925</w:t>
            </w:r>
          </w:p>
        </w:tc>
        <w:tc>
          <w:tcPr>
            <w:tcW w:w="1440" w:type="dxa"/>
            <w:vAlign w:val="bottom"/>
          </w:tcPr>
          <w:p w14:paraId="529C69B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0.291</w:t>
            </w:r>
          </w:p>
        </w:tc>
      </w:tr>
      <w:tr w:rsidR="008C21EC" w:rsidRPr="0063258A" w14:paraId="119095F3" w14:textId="77777777" w:rsidTr="008C21EC">
        <w:trPr>
          <w:trHeight w:val="278"/>
        </w:trPr>
        <w:tc>
          <w:tcPr>
            <w:tcW w:w="2700" w:type="dxa"/>
          </w:tcPr>
          <w:p w14:paraId="7E696272"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lastRenderedPageBreak/>
              <w:t>Neurotoxicity</w:t>
            </w:r>
          </w:p>
        </w:tc>
        <w:tc>
          <w:tcPr>
            <w:tcW w:w="1260" w:type="dxa"/>
            <w:vAlign w:val="bottom"/>
          </w:tcPr>
          <w:p w14:paraId="2BF29FA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0.389</w:t>
            </w:r>
          </w:p>
        </w:tc>
        <w:tc>
          <w:tcPr>
            <w:tcW w:w="1260" w:type="dxa"/>
            <w:vAlign w:val="bottom"/>
          </w:tcPr>
          <w:p w14:paraId="15E3CDC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0.582</w:t>
            </w:r>
          </w:p>
        </w:tc>
        <w:tc>
          <w:tcPr>
            <w:tcW w:w="1440" w:type="dxa"/>
            <w:vAlign w:val="bottom"/>
          </w:tcPr>
          <w:p w14:paraId="5F59BAF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0.525</w:t>
            </w:r>
          </w:p>
        </w:tc>
        <w:tc>
          <w:tcPr>
            <w:tcW w:w="1440" w:type="dxa"/>
            <w:vAlign w:val="bottom"/>
          </w:tcPr>
          <w:p w14:paraId="1066324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0.919</w:t>
            </w:r>
          </w:p>
        </w:tc>
        <w:tc>
          <w:tcPr>
            <w:tcW w:w="1440" w:type="dxa"/>
            <w:vAlign w:val="bottom"/>
          </w:tcPr>
          <w:p w14:paraId="3BA3AF8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0.043</w:t>
            </w:r>
          </w:p>
        </w:tc>
      </w:tr>
      <w:tr w:rsidR="008C21EC" w:rsidRPr="0063258A" w14:paraId="72C149A6" w14:textId="77777777" w:rsidTr="008C21EC">
        <w:trPr>
          <w:trHeight w:val="278"/>
        </w:trPr>
        <w:tc>
          <w:tcPr>
            <w:tcW w:w="2700" w:type="dxa"/>
          </w:tcPr>
          <w:p w14:paraId="72D53396"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Ototoxicity</w:t>
            </w:r>
          </w:p>
        </w:tc>
        <w:tc>
          <w:tcPr>
            <w:tcW w:w="1260" w:type="dxa"/>
            <w:vAlign w:val="bottom"/>
          </w:tcPr>
          <w:p w14:paraId="7828F70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0.179</w:t>
            </w:r>
          </w:p>
        </w:tc>
        <w:tc>
          <w:tcPr>
            <w:tcW w:w="1260" w:type="dxa"/>
            <w:vAlign w:val="bottom"/>
          </w:tcPr>
          <w:p w14:paraId="569AADC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0.846</w:t>
            </w:r>
          </w:p>
        </w:tc>
        <w:tc>
          <w:tcPr>
            <w:tcW w:w="1440" w:type="dxa"/>
            <w:vAlign w:val="bottom"/>
          </w:tcPr>
          <w:p w14:paraId="07096F1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0.539</w:t>
            </w:r>
          </w:p>
        </w:tc>
        <w:tc>
          <w:tcPr>
            <w:tcW w:w="1440" w:type="dxa"/>
            <w:vAlign w:val="bottom"/>
          </w:tcPr>
          <w:p w14:paraId="0FF8210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0.987</w:t>
            </w:r>
          </w:p>
        </w:tc>
        <w:tc>
          <w:tcPr>
            <w:tcW w:w="1440" w:type="dxa"/>
            <w:vAlign w:val="bottom"/>
          </w:tcPr>
          <w:p w14:paraId="3D1892B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0.270</w:t>
            </w:r>
          </w:p>
        </w:tc>
      </w:tr>
      <w:tr w:rsidR="008C21EC" w:rsidRPr="0063258A" w14:paraId="6EE24A5C" w14:textId="77777777" w:rsidTr="008C21EC">
        <w:trPr>
          <w:trHeight w:val="278"/>
        </w:trPr>
        <w:tc>
          <w:tcPr>
            <w:tcW w:w="2700" w:type="dxa"/>
          </w:tcPr>
          <w:p w14:paraId="7C3356F8" w14:textId="77777777" w:rsidR="008C21EC" w:rsidRPr="0063258A" w:rsidRDefault="008C21EC" w:rsidP="008C21EC">
            <w:pPr>
              <w:rPr>
                <w:rFonts w:ascii="Times New Roman" w:hAnsi="Times New Roman" w:cs="Times New Roman"/>
                <w:bCs/>
                <w:color w:val="000000"/>
                <w:sz w:val="24"/>
                <w:szCs w:val="24"/>
              </w:rPr>
            </w:pPr>
            <w:proofErr w:type="spellStart"/>
            <w:r w:rsidRPr="0063258A">
              <w:rPr>
                <w:rFonts w:ascii="Times New Roman" w:hAnsi="Times New Roman" w:cs="Times New Roman"/>
                <w:bCs/>
                <w:color w:val="000000"/>
                <w:sz w:val="24"/>
                <w:szCs w:val="24"/>
              </w:rPr>
              <w:t>Hematotoxicity</w:t>
            </w:r>
            <w:proofErr w:type="spellEnd"/>
          </w:p>
        </w:tc>
        <w:tc>
          <w:tcPr>
            <w:tcW w:w="1260" w:type="dxa"/>
            <w:vAlign w:val="bottom"/>
          </w:tcPr>
          <w:p w14:paraId="589C571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0.003</w:t>
            </w:r>
          </w:p>
        </w:tc>
        <w:tc>
          <w:tcPr>
            <w:tcW w:w="1260" w:type="dxa"/>
            <w:vAlign w:val="bottom"/>
          </w:tcPr>
          <w:p w14:paraId="00C4DB1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0.390</w:t>
            </w:r>
          </w:p>
        </w:tc>
        <w:tc>
          <w:tcPr>
            <w:tcW w:w="1440" w:type="dxa"/>
            <w:vAlign w:val="bottom"/>
          </w:tcPr>
          <w:p w14:paraId="1B16499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0.351</w:t>
            </w:r>
          </w:p>
        </w:tc>
        <w:tc>
          <w:tcPr>
            <w:tcW w:w="1440" w:type="dxa"/>
            <w:vAlign w:val="bottom"/>
          </w:tcPr>
          <w:p w14:paraId="4111005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0.503</w:t>
            </w:r>
          </w:p>
        </w:tc>
        <w:tc>
          <w:tcPr>
            <w:tcW w:w="1440" w:type="dxa"/>
            <w:vAlign w:val="bottom"/>
          </w:tcPr>
          <w:p w14:paraId="4446E59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0.062</w:t>
            </w:r>
          </w:p>
        </w:tc>
      </w:tr>
      <w:tr w:rsidR="008C21EC" w:rsidRPr="0063258A" w14:paraId="2F00D82C" w14:textId="77777777" w:rsidTr="008C21EC">
        <w:trPr>
          <w:trHeight w:val="278"/>
        </w:trPr>
        <w:tc>
          <w:tcPr>
            <w:tcW w:w="2700" w:type="dxa"/>
          </w:tcPr>
          <w:p w14:paraId="7A4BA554"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Nephrotoxicity</w:t>
            </w:r>
          </w:p>
        </w:tc>
        <w:tc>
          <w:tcPr>
            <w:tcW w:w="1260" w:type="dxa"/>
            <w:vAlign w:val="bottom"/>
          </w:tcPr>
          <w:p w14:paraId="431275B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0.055</w:t>
            </w:r>
          </w:p>
        </w:tc>
        <w:tc>
          <w:tcPr>
            <w:tcW w:w="1260" w:type="dxa"/>
            <w:vAlign w:val="bottom"/>
          </w:tcPr>
          <w:p w14:paraId="363B8EA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0.937</w:t>
            </w:r>
          </w:p>
        </w:tc>
        <w:tc>
          <w:tcPr>
            <w:tcW w:w="1440" w:type="dxa"/>
            <w:vAlign w:val="bottom"/>
          </w:tcPr>
          <w:p w14:paraId="25DB8E7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0.151</w:t>
            </w:r>
          </w:p>
        </w:tc>
        <w:tc>
          <w:tcPr>
            <w:tcW w:w="1440" w:type="dxa"/>
            <w:vAlign w:val="bottom"/>
          </w:tcPr>
          <w:p w14:paraId="72F4DB6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0.924</w:t>
            </w:r>
          </w:p>
        </w:tc>
        <w:tc>
          <w:tcPr>
            <w:tcW w:w="1440" w:type="dxa"/>
            <w:vAlign w:val="bottom"/>
          </w:tcPr>
          <w:p w14:paraId="36928B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0.076</w:t>
            </w:r>
          </w:p>
        </w:tc>
      </w:tr>
      <w:tr w:rsidR="008C21EC" w:rsidRPr="0063258A" w14:paraId="76016483" w14:textId="77777777" w:rsidTr="008C21EC">
        <w:trPr>
          <w:trHeight w:val="278"/>
        </w:trPr>
        <w:tc>
          <w:tcPr>
            <w:tcW w:w="2700" w:type="dxa"/>
          </w:tcPr>
          <w:p w14:paraId="4E71E70D"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Genotoxicity</w:t>
            </w:r>
          </w:p>
        </w:tc>
        <w:tc>
          <w:tcPr>
            <w:tcW w:w="1260" w:type="dxa"/>
            <w:vAlign w:val="bottom"/>
          </w:tcPr>
          <w:p w14:paraId="02B9BA1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260" w:type="dxa"/>
            <w:vAlign w:val="bottom"/>
          </w:tcPr>
          <w:p w14:paraId="2A259C9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0.132</w:t>
            </w:r>
          </w:p>
        </w:tc>
        <w:tc>
          <w:tcPr>
            <w:tcW w:w="1440" w:type="dxa"/>
            <w:vAlign w:val="bottom"/>
          </w:tcPr>
          <w:p w14:paraId="7FF50D3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0.001</w:t>
            </w:r>
          </w:p>
        </w:tc>
        <w:tc>
          <w:tcPr>
            <w:tcW w:w="1440" w:type="dxa"/>
            <w:vAlign w:val="bottom"/>
          </w:tcPr>
          <w:p w14:paraId="77090F4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440" w:type="dxa"/>
            <w:vAlign w:val="bottom"/>
          </w:tcPr>
          <w:p w14:paraId="319D2E2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0.979</w:t>
            </w:r>
          </w:p>
        </w:tc>
      </w:tr>
      <w:tr w:rsidR="008C21EC" w:rsidRPr="0063258A" w14:paraId="176BB26E" w14:textId="77777777" w:rsidTr="008C21EC">
        <w:trPr>
          <w:trHeight w:val="278"/>
        </w:trPr>
        <w:tc>
          <w:tcPr>
            <w:tcW w:w="2700" w:type="dxa"/>
          </w:tcPr>
          <w:p w14:paraId="2E79F292" w14:textId="77777777" w:rsidR="008C21EC" w:rsidRPr="0063258A" w:rsidRDefault="008C21EC" w:rsidP="008C21EC">
            <w:pPr>
              <w:rPr>
                <w:rFonts w:ascii="Times New Roman" w:hAnsi="Times New Roman" w:cs="Times New Roman"/>
                <w:bCs/>
                <w:color w:val="000000"/>
                <w:sz w:val="24"/>
                <w:szCs w:val="24"/>
              </w:rPr>
            </w:pPr>
            <w:proofErr w:type="spellStart"/>
            <w:r w:rsidRPr="0063258A">
              <w:rPr>
                <w:rFonts w:ascii="Times New Roman" w:hAnsi="Times New Roman" w:cs="Times New Roman"/>
                <w:bCs/>
                <w:color w:val="000000"/>
                <w:sz w:val="24"/>
                <w:szCs w:val="24"/>
              </w:rPr>
              <w:t>Immunitoxicty</w:t>
            </w:r>
            <w:proofErr w:type="spellEnd"/>
          </w:p>
        </w:tc>
        <w:tc>
          <w:tcPr>
            <w:tcW w:w="1260" w:type="dxa"/>
            <w:vAlign w:val="bottom"/>
          </w:tcPr>
          <w:p w14:paraId="175BA3F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0.042</w:t>
            </w:r>
          </w:p>
        </w:tc>
        <w:tc>
          <w:tcPr>
            <w:tcW w:w="1260" w:type="dxa"/>
            <w:vAlign w:val="bottom"/>
          </w:tcPr>
          <w:p w14:paraId="31AE9EF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0.218</w:t>
            </w:r>
          </w:p>
        </w:tc>
        <w:tc>
          <w:tcPr>
            <w:tcW w:w="1440" w:type="dxa"/>
            <w:vAlign w:val="bottom"/>
          </w:tcPr>
          <w:p w14:paraId="131527D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0.071</w:t>
            </w:r>
          </w:p>
        </w:tc>
        <w:tc>
          <w:tcPr>
            <w:tcW w:w="1440" w:type="dxa"/>
            <w:vAlign w:val="bottom"/>
          </w:tcPr>
          <w:p w14:paraId="2DA679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0.122</w:t>
            </w:r>
          </w:p>
        </w:tc>
        <w:tc>
          <w:tcPr>
            <w:tcW w:w="1440" w:type="dxa"/>
            <w:vAlign w:val="bottom"/>
          </w:tcPr>
          <w:p w14:paraId="669258F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0.035</w:t>
            </w:r>
          </w:p>
        </w:tc>
      </w:tr>
      <w:tr w:rsidR="008C21EC" w:rsidRPr="0063258A" w14:paraId="1C0E3CB9" w14:textId="77777777" w:rsidTr="008C21EC">
        <w:trPr>
          <w:trHeight w:val="278"/>
        </w:trPr>
        <w:tc>
          <w:tcPr>
            <w:tcW w:w="2700" w:type="dxa"/>
          </w:tcPr>
          <w:p w14:paraId="19A8F05E"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A549 Cytotoxicity</w:t>
            </w:r>
          </w:p>
        </w:tc>
        <w:tc>
          <w:tcPr>
            <w:tcW w:w="1260" w:type="dxa"/>
            <w:vAlign w:val="bottom"/>
          </w:tcPr>
          <w:p w14:paraId="011A07C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0.068</w:t>
            </w:r>
          </w:p>
        </w:tc>
        <w:tc>
          <w:tcPr>
            <w:tcW w:w="1260" w:type="dxa"/>
            <w:vAlign w:val="bottom"/>
          </w:tcPr>
          <w:p w14:paraId="5EA9885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0.911</w:t>
            </w:r>
          </w:p>
        </w:tc>
        <w:tc>
          <w:tcPr>
            <w:tcW w:w="1440" w:type="dxa"/>
            <w:vAlign w:val="bottom"/>
          </w:tcPr>
          <w:p w14:paraId="28E0D8D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0.202</w:t>
            </w:r>
          </w:p>
        </w:tc>
        <w:tc>
          <w:tcPr>
            <w:tcW w:w="1440" w:type="dxa"/>
            <w:vAlign w:val="bottom"/>
          </w:tcPr>
          <w:p w14:paraId="54EB5D8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0.759</w:t>
            </w:r>
          </w:p>
        </w:tc>
        <w:tc>
          <w:tcPr>
            <w:tcW w:w="1440" w:type="dxa"/>
            <w:vAlign w:val="bottom"/>
          </w:tcPr>
          <w:p w14:paraId="646F474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0.058</w:t>
            </w:r>
          </w:p>
        </w:tc>
      </w:tr>
      <w:tr w:rsidR="008C21EC" w:rsidRPr="0063258A" w14:paraId="33C9B9EC" w14:textId="77777777" w:rsidTr="008C21EC">
        <w:trPr>
          <w:trHeight w:val="278"/>
        </w:trPr>
        <w:tc>
          <w:tcPr>
            <w:tcW w:w="2700" w:type="dxa"/>
          </w:tcPr>
          <w:p w14:paraId="693C3516"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HEK293 Cytotoxicity</w:t>
            </w:r>
          </w:p>
        </w:tc>
        <w:tc>
          <w:tcPr>
            <w:tcW w:w="1260" w:type="dxa"/>
            <w:vAlign w:val="bottom"/>
          </w:tcPr>
          <w:p w14:paraId="45CD697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0.497</w:t>
            </w:r>
          </w:p>
        </w:tc>
        <w:tc>
          <w:tcPr>
            <w:tcW w:w="1260" w:type="dxa"/>
            <w:vAlign w:val="bottom"/>
          </w:tcPr>
          <w:p w14:paraId="7453668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0.913</w:t>
            </w:r>
          </w:p>
        </w:tc>
        <w:tc>
          <w:tcPr>
            <w:tcW w:w="1440" w:type="dxa"/>
            <w:vAlign w:val="bottom"/>
          </w:tcPr>
          <w:p w14:paraId="3E91054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0.275</w:t>
            </w:r>
          </w:p>
        </w:tc>
        <w:tc>
          <w:tcPr>
            <w:tcW w:w="1440" w:type="dxa"/>
            <w:vAlign w:val="bottom"/>
          </w:tcPr>
          <w:p w14:paraId="5C849CD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0.973</w:t>
            </w:r>
          </w:p>
        </w:tc>
        <w:tc>
          <w:tcPr>
            <w:tcW w:w="1440" w:type="dxa"/>
            <w:vAlign w:val="bottom"/>
          </w:tcPr>
          <w:p w14:paraId="6682678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0.074</w:t>
            </w:r>
          </w:p>
        </w:tc>
      </w:tr>
    </w:tbl>
    <w:p w14:paraId="5CEE6873" w14:textId="77777777" w:rsidR="00532230" w:rsidRPr="0063258A" w:rsidRDefault="00532230" w:rsidP="003F41DD">
      <w:pPr>
        <w:spacing w:before="240"/>
        <w:jc w:val="both"/>
        <w:rPr>
          <w:rFonts w:ascii="Times New Roman" w:hAnsi="Times New Roman" w:cs="Times New Roman"/>
          <w:b/>
          <w:sz w:val="24"/>
          <w:szCs w:val="24"/>
        </w:rPr>
      </w:pPr>
    </w:p>
    <w:p w14:paraId="4129FC30" w14:textId="77777777" w:rsidR="008C21EC" w:rsidRPr="0063258A" w:rsidRDefault="008C21EC" w:rsidP="003F41DD">
      <w:pPr>
        <w:spacing w:before="240"/>
        <w:jc w:val="both"/>
        <w:rPr>
          <w:rFonts w:ascii="Times New Roman" w:hAnsi="Times New Roman" w:cs="Times New Roman"/>
          <w:b/>
          <w:i/>
          <w:sz w:val="24"/>
          <w:szCs w:val="24"/>
        </w:rPr>
      </w:pPr>
      <w:r w:rsidRPr="0063258A">
        <w:rPr>
          <w:rFonts w:ascii="Times New Roman" w:hAnsi="Times New Roman" w:cs="Times New Roman"/>
          <w:b/>
          <w:sz w:val="24"/>
          <w:szCs w:val="24"/>
        </w:rPr>
        <w:t>Table 14:</w:t>
      </w:r>
      <w:r w:rsidRPr="0063258A">
        <w:rPr>
          <w:rFonts w:ascii="Times New Roman" w:hAnsi="Times New Roman" w:cs="Times New Roman"/>
          <w:b/>
          <w:sz w:val="24"/>
          <w:szCs w:val="24"/>
        </w:rPr>
        <w:tab/>
        <w:t xml:space="preserve">Drug likeness properties of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p>
    <w:tbl>
      <w:tblPr>
        <w:tblW w:w="9882" w:type="dxa"/>
        <w:tblInd w:w="-255" w:type="dxa"/>
        <w:tblBorders>
          <w:top w:val="single" w:sz="4" w:space="0" w:color="auto"/>
          <w:bottom w:val="single" w:sz="4" w:space="0" w:color="auto"/>
        </w:tblBorders>
        <w:tblLayout w:type="fixed"/>
        <w:tblLook w:val="04A0" w:firstRow="1" w:lastRow="0" w:firstColumn="1" w:lastColumn="0" w:noHBand="0" w:noVBand="1"/>
      </w:tblPr>
      <w:tblGrid>
        <w:gridCol w:w="1782"/>
        <w:gridCol w:w="1620"/>
        <w:gridCol w:w="1620"/>
        <w:gridCol w:w="1530"/>
        <w:gridCol w:w="1620"/>
        <w:gridCol w:w="1710"/>
      </w:tblGrid>
      <w:tr w:rsidR="008C21EC" w:rsidRPr="0063258A" w14:paraId="5042E43E" w14:textId="77777777" w:rsidTr="008C21EC">
        <w:trPr>
          <w:trHeight w:val="353"/>
        </w:trPr>
        <w:tc>
          <w:tcPr>
            <w:tcW w:w="1782" w:type="dxa"/>
            <w:tcBorders>
              <w:top w:val="single" w:sz="4" w:space="0" w:color="auto"/>
              <w:bottom w:val="single" w:sz="4" w:space="0" w:color="auto"/>
            </w:tcBorders>
            <w:hideMark/>
          </w:tcPr>
          <w:p w14:paraId="02BC934F"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bCs/>
                <w:color w:val="000000"/>
                <w:sz w:val="24"/>
                <w:szCs w:val="24"/>
              </w:rPr>
              <w:t>Drug Likeness Models</w:t>
            </w:r>
          </w:p>
        </w:tc>
        <w:tc>
          <w:tcPr>
            <w:tcW w:w="1620" w:type="dxa"/>
            <w:tcBorders>
              <w:top w:val="single" w:sz="4" w:space="0" w:color="auto"/>
              <w:bottom w:val="single" w:sz="4" w:space="0" w:color="auto"/>
            </w:tcBorders>
            <w:hideMark/>
          </w:tcPr>
          <w:p w14:paraId="176BF752"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620" w:type="dxa"/>
            <w:tcBorders>
              <w:top w:val="single" w:sz="4" w:space="0" w:color="auto"/>
              <w:bottom w:val="single" w:sz="4" w:space="0" w:color="auto"/>
            </w:tcBorders>
            <w:hideMark/>
          </w:tcPr>
          <w:p w14:paraId="23FBD26B"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[2-(2-benzoylphenyl)-4-(1-hydroxycyclohexyl)phenyl]-[4-(1-hydroxycyclohexyl)phenyl]methanone</w:t>
            </w:r>
          </w:p>
        </w:tc>
        <w:tc>
          <w:tcPr>
            <w:tcW w:w="1530" w:type="dxa"/>
            <w:tcBorders>
              <w:top w:val="single" w:sz="4" w:space="0" w:color="auto"/>
              <w:bottom w:val="single" w:sz="4" w:space="0" w:color="auto"/>
            </w:tcBorders>
          </w:tcPr>
          <w:p w14:paraId="0EC4243F"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620" w:type="dxa"/>
            <w:tcBorders>
              <w:top w:val="single" w:sz="4" w:space="0" w:color="auto"/>
              <w:bottom w:val="single" w:sz="4" w:space="0" w:color="auto"/>
            </w:tcBorders>
          </w:tcPr>
          <w:p w14:paraId="15AF4268"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7-chloro-10-hydroxy-1-(2-pyrrolidin-1-ylethylimino)-3-[3-(trifluoromethyl)phenyl]-3,4-dihydro-2H-acridin-9-one</w:t>
            </w:r>
          </w:p>
        </w:tc>
        <w:tc>
          <w:tcPr>
            <w:tcW w:w="1710" w:type="dxa"/>
            <w:tcBorders>
              <w:top w:val="single" w:sz="4" w:space="0" w:color="auto"/>
              <w:bottom w:val="single" w:sz="4" w:space="0" w:color="auto"/>
            </w:tcBorders>
          </w:tcPr>
          <w:p w14:paraId="7F934820"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[2-(2,2,3,3,3-pentafluoropropanoyloxy)phenyl] furan-2-carboxylate</w:t>
            </w:r>
          </w:p>
        </w:tc>
      </w:tr>
      <w:tr w:rsidR="008C21EC" w:rsidRPr="0063258A" w14:paraId="7507B9D0" w14:textId="77777777" w:rsidTr="008C21EC">
        <w:trPr>
          <w:trHeight w:val="353"/>
        </w:trPr>
        <w:tc>
          <w:tcPr>
            <w:tcW w:w="1782" w:type="dxa"/>
            <w:tcBorders>
              <w:top w:val="single" w:sz="4" w:space="0" w:color="auto"/>
            </w:tcBorders>
            <w:hideMark/>
          </w:tcPr>
          <w:p w14:paraId="313AF8AA"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Lipinski</w:t>
            </w:r>
          </w:p>
        </w:tc>
        <w:tc>
          <w:tcPr>
            <w:tcW w:w="1620" w:type="dxa"/>
            <w:tcBorders>
              <w:top w:val="single" w:sz="4" w:space="0" w:color="auto"/>
            </w:tcBorders>
          </w:tcPr>
          <w:p w14:paraId="3E6258F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Borders>
              <w:top w:val="single" w:sz="4" w:space="0" w:color="auto"/>
            </w:tcBorders>
          </w:tcPr>
          <w:p w14:paraId="5DFADE74"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Borders>
              <w:top w:val="single" w:sz="4" w:space="0" w:color="auto"/>
            </w:tcBorders>
          </w:tcPr>
          <w:p w14:paraId="7C34FE3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Borders>
              <w:top w:val="single" w:sz="4" w:space="0" w:color="auto"/>
            </w:tcBorders>
          </w:tcPr>
          <w:p w14:paraId="1809DB1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710" w:type="dxa"/>
            <w:tcBorders>
              <w:top w:val="single" w:sz="4" w:space="0" w:color="auto"/>
            </w:tcBorders>
          </w:tcPr>
          <w:p w14:paraId="4D273AC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r w:rsidR="008C21EC" w:rsidRPr="0063258A" w14:paraId="2484E1D9" w14:textId="77777777" w:rsidTr="008C21EC">
        <w:trPr>
          <w:trHeight w:val="353"/>
        </w:trPr>
        <w:tc>
          <w:tcPr>
            <w:tcW w:w="1782" w:type="dxa"/>
            <w:hideMark/>
          </w:tcPr>
          <w:p w14:paraId="44705D9E"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Ghose</w:t>
            </w:r>
          </w:p>
        </w:tc>
        <w:tc>
          <w:tcPr>
            <w:tcW w:w="1620" w:type="dxa"/>
          </w:tcPr>
          <w:p w14:paraId="25C4566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Pr>
          <w:p w14:paraId="7832BB3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Pr>
          <w:p w14:paraId="4D4580C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7E6B257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710" w:type="dxa"/>
          </w:tcPr>
          <w:p w14:paraId="6F8A37A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r>
      <w:tr w:rsidR="008C21EC" w:rsidRPr="0063258A" w14:paraId="3DB93951" w14:textId="77777777" w:rsidTr="008C21EC">
        <w:trPr>
          <w:trHeight w:val="353"/>
        </w:trPr>
        <w:tc>
          <w:tcPr>
            <w:tcW w:w="1782" w:type="dxa"/>
            <w:hideMark/>
          </w:tcPr>
          <w:p w14:paraId="18D90AE4"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Veber</w:t>
            </w:r>
          </w:p>
        </w:tc>
        <w:tc>
          <w:tcPr>
            <w:tcW w:w="1620" w:type="dxa"/>
          </w:tcPr>
          <w:p w14:paraId="5983842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Pr>
          <w:p w14:paraId="25709B6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530" w:type="dxa"/>
          </w:tcPr>
          <w:p w14:paraId="6C06F88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6279A77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710" w:type="dxa"/>
          </w:tcPr>
          <w:p w14:paraId="701A5845"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r w:rsidR="008C21EC" w:rsidRPr="0063258A" w14:paraId="56528EE8" w14:textId="77777777" w:rsidTr="008C21EC">
        <w:trPr>
          <w:trHeight w:val="353"/>
        </w:trPr>
        <w:tc>
          <w:tcPr>
            <w:tcW w:w="1782" w:type="dxa"/>
            <w:hideMark/>
          </w:tcPr>
          <w:p w14:paraId="05D8A1C9"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Egan</w:t>
            </w:r>
          </w:p>
        </w:tc>
        <w:tc>
          <w:tcPr>
            <w:tcW w:w="1620" w:type="dxa"/>
          </w:tcPr>
          <w:p w14:paraId="62C348D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Pr>
          <w:p w14:paraId="78CDB85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Pr>
          <w:p w14:paraId="0724EA5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2E3E1F0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710" w:type="dxa"/>
          </w:tcPr>
          <w:p w14:paraId="20396E8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r w:rsidR="008C21EC" w:rsidRPr="0063258A" w14:paraId="04EB0275" w14:textId="77777777" w:rsidTr="008C21EC">
        <w:trPr>
          <w:trHeight w:val="353"/>
        </w:trPr>
        <w:tc>
          <w:tcPr>
            <w:tcW w:w="1782" w:type="dxa"/>
          </w:tcPr>
          <w:p w14:paraId="38412DE7"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Muegge</w:t>
            </w:r>
          </w:p>
        </w:tc>
        <w:tc>
          <w:tcPr>
            <w:tcW w:w="1620" w:type="dxa"/>
          </w:tcPr>
          <w:p w14:paraId="378AC5A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61CE074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Pr>
          <w:p w14:paraId="37FA776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1EC2816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710" w:type="dxa"/>
          </w:tcPr>
          <w:p w14:paraId="26EA487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bl>
    <w:p w14:paraId="46C9F455" w14:textId="77777777" w:rsidR="008C21EC" w:rsidRPr="0063258A" w:rsidRDefault="008C21EC" w:rsidP="008C21EC">
      <w:pPr>
        <w:rPr>
          <w:rFonts w:ascii="Times New Roman" w:hAnsi="Times New Roman" w:cs="Times New Roman"/>
          <w:sz w:val="24"/>
          <w:szCs w:val="24"/>
        </w:rPr>
      </w:pPr>
    </w:p>
    <w:p w14:paraId="4CAF32B3" w14:textId="77777777" w:rsidR="008C21EC" w:rsidRPr="0063258A" w:rsidRDefault="008C21EC" w:rsidP="008C21EC">
      <w:pPr>
        <w:rPr>
          <w:rFonts w:ascii="Times New Roman" w:hAnsi="Times New Roman" w:cs="Times New Roman"/>
          <w:sz w:val="24"/>
          <w:szCs w:val="24"/>
        </w:rPr>
      </w:pPr>
    </w:p>
    <w:p w14:paraId="7838E45A" w14:textId="77777777" w:rsidR="008C21EC" w:rsidRPr="0063258A" w:rsidRDefault="008C21EC" w:rsidP="008C21EC">
      <w:pPr>
        <w:autoSpaceDE w:val="0"/>
        <w:autoSpaceDN w:val="0"/>
        <w:adjustRightInd w:val="0"/>
        <w:spacing w:before="240"/>
        <w:rPr>
          <w:rFonts w:ascii="Times New Roman" w:hAnsi="Times New Roman" w:cs="Times New Roman"/>
          <w:b/>
          <w:sz w:val="24"/>
          <w:szCs w:val="24"/>
        </w:rPr>
      </w:pPr>
    </w:p>
    <w:p w14:paraId="399D3D0B" w14:textId="77777777" w:rsidR="008C21EC" w:rsidRPr="0063258A" w:rsidRDefault="008C21EC" w:rsidP="008C21EC">
      <w:pPr>
        <w:autoSpaceDE w:val="0"/>
        <w:autoSpaceDN w:val="0"/>
        <w:adjustRightInd w:val="0"/>
        <w:spacing w:before="240"/>
        <w:rPr>
          <w:rFonts w:ascii="Times New Roman" w:hAnsi="Times New Roman" w:cs="Times New Roman"/>
          <w:b/>
          <w:sz w:val="24"/>
          <w:szCs w:val="24"/>
        </w:rPr>
      </w:pPr>
    </w:p>
    <w:p w14:paraId="603B9BA5" w14:textId="77777777" w:rsidR="00CA5A54" w:rsidRPr="0063258A" w:rsidRDefault="00CA5A54" w:rsidP="008C21EC">
      <w:pPr>
        <w:autoSpaceDE w:val="0"/>
        <w:autoSpaceDN w:val="0"/>
        <w:adjustRightInd w:val="0"/>
        <w:spacing w:before="240"/>
        <w:rPr>
          <w:rFonts w:ascii="Times New Roman" w:hAnsi="Times New Roman" w:cs="Times New Roman"/>
          <w:b/>
          <w:sz w:val="24"/>
          <w:szCs w:val="24"/>
        </w:rPr>
      </w:pPr>
    </w:p>
    <w:p w14:paraId="69CF022C" w14:textId="77777777" w:rsidR="003A1A33" w:rsidRPr="0063258A" w:rsidRDefault="003A1A33" w:rsidP="003A1A33">
      <w:pPr>
        <w:autoSpaceDE w:val="0"/>
        <w:autoSpaceDN w:val="0"/>
        <w:adjustRightInd w:val="0"/>
        <w:spacing w:after="0" w:line="480" w:lineRule="auto"/>
        <w:jc w:val="both"/>
        <w:rPr>
          <w:rFonts w:ascii="Times New Roman" w:hAnsi="Times New Roman" w:cs="Times New Roman"/>
          <w:b/>
          <w:sz w:val="24"/>
          <w:szCs w:val="24"/>
        </w:rPr>
      </w:pPr>
    </w:p>
    <w:p w14:paraId="3F299418" w14:textId="77777777" w:rsidR="003A1A33" w:rsidRPr="0063258A" w:rsidRDefault="003A1A33" w:rsidP="003A1A33">
      <w:pPr>
        <w:pStyle w:val="NormalWeb"/>
        <w:spacing w:before="240" w:beforeAutospacing="0" w:after="0" w:afterAutospacing="0" w:line="360" w:lineRule="auto"/>
        <w:jc w:val="both"/>
      </w:pPr>
      <w:r w:rsidRPr="0063258A">
        <w:lastRenderedPageBreak/>
        <w:t>The body weights of the animals were assessed both at the beginning and the end of the experiment, with initial weights showing no significant differences across all groups. However, substantial differences in weight were observed at the end of the study. Group A (control) exhibited the most consistent weight increase from an initial mean of 216.0 g to a final mean of 244.0 g. Groups treated with Tetracapidium extract (Groups C, D, and E) showed weight increases, though not to the extent of the control group. In particular, Group E (0.6 ml Tetracapidium) reached a mean final weight of 249.0 g, which is slightly higher than the control.</w:t>
      </w:r>
    </w:p>
    <w:p w14:paraId="39232E77" w14:textId="31D25E7E"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 weight loss observed in Group B (mercury chloride-only group), which dropped from an initial mean weight of 191.0 g to a final mean of 147.0 g, reinforces the detrimental impact of mercury chloride on overall health. The weight gain in the Tetracapidium-treated groups compared to Group B suggests a reversal of mercury chloride-induced toxicity, likely due to the antioxidative and possibly anti-inflammatory properties of Tetracapidium. These properties may have helped in alleviating mercury chloride’s oxidative damage, thereby preserving the animals' metabolic and physical integrity.</w:t>
      </w:r>
    </w:p>
    <w:p w14:paraId="15BA6B97"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 descriptive analysis of insulin levels showed marked differences between the experimental groups, with Group A (control) recording the highest mean insulin level (6.48 ± 1.02), followed by Group E (4.40 ± 0.43), Group C (3.99 ± 1.52), Group D (2.43 ± 0.89), and Group B (1.71 ± 1.35). This gradient reveals the direct impact of mercury chloride on insulin levels in the pancreas, showing a decrease in insulin in the groups exposed to mercury chloride compared to the control. These findings are consistent with literature suggesting that mercury chloride induces oxidative stress and disrupts pancreatic β-cells, which are critical for insulin production (</w:t>
      </w:r>
      <w:proofErr w:type="spellStart"/>
      <w:r w:rsidR="0063258A" w:rsidRPr="0063258A">
        <w:rPr>
          <w:rFonts w:ascii="Times New Roman" w:hAnsi="Times New Roman" w:cs="Times New Roman"/>
          <w:sz w:val="24"/>
          <w:szCs w:val="24"/>
        </w:rPr>
        <w:t>Odekunle</w:t>
      </w:r>
      <w:proofErr w:type="spellEnd"/>
      <w:r w:rsidR="0063258A" w:rsidRPr="0063258A">
        <w:rPr>
          <w:rFonts w:ascii="Times New Roman" w:hAnsi="Times New Roman" w:cs="Times New Roman"/>
          <w:sz w:val="24"/>
          <w:szCs w:val="24"/>
        </w:rPr>
        <w:t xml:space="preserve"> et al., 2024</w:t>
      </w:r>
      <w:r w:rsidRPr="0063258A">
        <w:rPr>
          <w:rFonts w:ascii="Times New Roman" w:hAnsi="Times New Roman" w:cs="Times New Roman"/>
          <w:sz w:val="24"/>
          <w:szCs w:val="24"/>
        </w:rPr>
        <w:t>).</w:t>
      </w:r>
    </w:p>
    <w:p w14:paraId="2BBE49F6"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treatment groups receiving Tetracapidium extract (Groups C, D, and E) demonstrated increased insulin levels compared to the mercury chloride-only group (Group B). The administration of 0.2 ml, 0.4 ml, and 0.6 ml of Tetracapidium extract appears to counteract the effects of mercury chloride to a certain extent, with a dose-dependent increase in insulin observed in these groups. The potential mechanism behind this protective effect could be linked to the antioxidant properties of Tetracapidium extract. Antioxidants can scavenge reactive oxygen species (ROS) generated by mercury chloride, thus preventing or mitigating oxidative damage to </w:t>
      </w:r>
      <w:r w:rsidRPr="0063258A">
        <w:rPr>
          <w:rFonts w:ascii="Times New Roman" w:hAnsi="Times New Roman" w:cs="Times New Roman"/>
          <w:sz w:val="24"/>
          <w:szCs w:val="24"/>
        </w:rPr>
        <w:lastRenderedPageBreak/>
        <w:t>β-cells (</w:t>
      </w:r>
      <w:r w:rsidR="0063258A" w:rsidRPr="0063258A">
        <w:rPr>
          <w:rFonts w:ascii="Times New Roman" w:hAnsi="Times New Roman" w:cs="Times New Roman"/>
          <w:sz w:val="24"/>
          <w:szCs w:val="24"/>
        </w:rPr>
        <w:t>Kanu et al., 2020</w:t>
      </w:r>
      <w:r w:rsidRPr="0063258A">
        <w:rPr>
          <w:rFonts w:ascii="Times New Roman" w:hAnsi="Times New Roman" w:cs="Times New Roman"/>
          <w:sz w:val="24"/>
          <w:szCs w:val="24"/>
        </w:rPr>
        <w:t>). Tetracapidium, known for its bioactive components, likely contributed to the restoration of insulin levels by shielding pancreatic tissue from oxidative stress and cellular damage.</w:t>
      </w:r>
    </w:p>
    <w:p w14:paraId="3E282E7F" w14:textId="7AC732B1"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histological examination of pancreatic tissue provided insights into the cellular-level impact of mercury chloride and the potential restorative effects of Tetracapidium extract. The pancreatic tissue in </w:t>
      </w:r>
      <w:r w:rsidR="00C7351E">
        <w:rPr>
          <w:rFonts w:ascii="Times New Roman" w:hAnsi="Times New Roman" w:cs="Times New Roman"/>
          <w:sz w:val="24"/>
          <w:szCs w:val="24"/>
        </w:rPr>
        <w:t>the control group displayed a norm</w:t>
      </w:r>
      <w:r w:rsidRPr="0063258A">
        <w:rPr>
          <w:rFonts w:ascii="Times New Roman" w:hAnsi="Times New Roman" w:cs="Times New Roman"/>
          <w:sz w:val="24"/>
          <w:szCs w:val="24"/>
        </w:rPr>
        <w:t>al histological structure, characterized by well-organized islets of Langerhans and panc</w:t>
      </w:r>
      <w:r w:rsidR="00481930">
        <w:rPr>
          <w:rFonts w:ascii="Times New Roman" w:hAnsi="Times New Roman" w:cs="Times New Roman"/>
          <w:sz w:val="24"/>
          <w:szCs w:val="24"/>
        </w:rPr>
        <w:t>reatic acini, as seen in Group A</w:t>
      </w:r>
      <w:r w:rsidRPr="0063258A">
        <w:rPr>
          <w:rFonts w:ascii="Times New Roman" w:hAnsi="Times New Roman" w:cs="Times New Roman"/>
          <w:sz w:val="24"/>
          <w:szCs w:val="24"/>
        </w:rPr>
        <w:t>. The normal cellular architecture indicates a healthy pancreas without any structural disruptions.</w:t>
      </w:r>
    </w:p>
    <w:p w14:paraId="268C8698" w14:textId="25341231" w:rsidR="003A1A33" w:rsidRPr="0063258A" w:rsidRDefault="00481930" w:rsidP="003A1A3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Group B</w:t>
      </w:r>
      <w:r w:rsidR="003A1A33" w:rsidRPr="0063258A">
        <w:rPr>
          <w:rFonts w:ascii="Times New Roman" w:hAnsi="Times New Roman" w:cs="Times New Roman"/>
          <w:sz w:val="24"/>
          <w:szCs w:val="24"/>
        </w:rPr>
        <w:t xml:space="preserve"> shows the pancreatic tissue exposed to mercury chloride, with notable necrosis in the islets, reduced acinar cells, and swelling of pancreatic acini. These findings align with the documented cytotoxic effects of mercury chloride on pancreatic tissue. Studies suggest that mercury compounds disrupt cellular processes by inducing oxidative stress, leading to cell death, necrosis, and morphological alterations (</w:t>
      </w:r>
      <w:proofErr w:type="spellStart"/>
      <w:r w:rsidR="0063258A" w:rsidRPr="0063258A">
        <w:rPr>
          <w:rFonts w:ascii="Times New Roman" w:hAnsi="Times New Roman" w:cs="Times New Roman"/>
          <w:sz w:val="24"/>
          <w:szCs w:val="24"/>
        </w:rPr>
        <w:t>Odekunle</w:t>
      </w:r>
      <w:proofErr w:type="spellEnd"/>
      <w:r w:rsidR="0063258A" w:rsidRPr="0063258A">
        <w:rPr>
          <w:rFonts w:ascii="Times New Roman" w:hAnsi="Times New Roman" w:cs="Times New Roman"/>
          <w:sz w:val="24"/>
          <w:szCs w:val="24"/>
        </w:rPr>
        <w:t xml:space="preserve"> et al., 2024</w:t>
      </w:r>
      <w:r w:rsidR="003A1A33" w:rsidRPr="0063258A">
        <w:rPr>
          <w:rFonts w:ascii="Times New Roman" w:hAnsi="Times New Roman" w:cs="Times New Roman"/>
          <w:sz w:val="24"/>
          <w:szCs w:val="24"/>
        </w:rPr>
        <w:t>). The reduction in acinar cells likely reflects a decline in the pancreas's exocrine function, as these cells are essential for enzyme secretion, while the necrotic changes in the islets compromise insulin production.</w:t>
      </w:r>
    </w:p>
    <w:p w14:paraId="7814417E" w14:textId="14277552"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histological sections from the </w:t>
      </w:r>
      <w:proofErr w:type="spellStart"/>
      <w:r w:rsidRPr="0063258A">
        <w:rPr>
          <w:rFonts w:ascii="Times New Roman" w:hAnsi="Times New Roman" w:cs="Times New Roman"/>
          <w:sz w:val="24"/>
          <w:szCs w:val="24"/>
        </w:rPr>
        <w:t>Tetrac</w:t>
      </w:r>
      <w:r w:rsidR="00481930">
        <w:rPr>
          <w:rFonts w:ascii="Times New Roman" w:hAnsi="Times New Roman" w:cs="Times New Roman"/>
          <w:sz w:val="24"/>
          <w:szCs w:val="24"/>
        </w:rPr>
        <w:t>apidium</w:t>
      </w:r>
      <w:proofErr w:type="spellEnd"/>
      <w:r w:rsidR="00481930">
        <w:rPr>
          <w:rFonts w:ascii="Times New Roman" w:hAnsi="Times New Roman" w:cs="Times New Roman"/>
          <w:sz w:val="24"/>
          <w:szCs w:val="24"/>
        </w:rPr>
        <w:t>-treated groups (Groups C to E</w:t>
      </w:r>
      <w:r w:rsidRPr="0063258A">
        <w:rPr>
          <w:rFonts w:ascii="Times New Roman" w:hAnsi="Times New Roman" w:cs="Times New Roman"/>
          <w:sz w:val="24"/>
          <w:szCs w:val="24"/>
        </w:rPr>
        <w:t>) demonstrated dose-dependent restorative changes in pancreatic tissue. In Group C (0.2 ml Tetracapidium), the morphology of pancreatic acini appeared more normalized, with relatively well-preserved islet cells, although some residual damage was present. In Group D (0.4 ml Tetracapidium), the severity of acinar atrophy was reduced further, and the demarcation between endocrine and exocrine regions became more distinct. Group E (0.6 ml Tetracapidium) displayed a near-normal structure of the pancreatic islets and acini, indicating substantial recovery. The observed improvements in histology correspond with the insulin data, as insulin levels were higher in the treated groups, particularly with the higher doses of Tetracapidium.</w:t>
      </w:r>
    </w:p>
    <w:p w14:paraId="3C217B88"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These histological findings underscore Tetracapidium extract's potential in mitigating mercury chloride-induced pancreatic damage, likely due to its antioxidant properties, which help preserve cell structure and function by counteracting oxidative damage. This is supported by studies on other plant-based antioxidants, which show similar protective effects against chemical-induced tissue damage (</w:t>
      </w:r>
      <w:r w:rsidR="0063258A" w:rsidRPr="0063258A">
        <w:rPr>
          <w:rFonts w:ascii="Times New Roman" w:hAnsi="Times New Roman" w:cs="Times New Roman"/>
          <w:sz w:val="24"/>
          <w:szCs w:val="24"/>
        </w:rPr>
        <w:t>Kanu et al., 2020</w:t>
      </w:r>
      <w:r w:rsidRPr="0063258A">
        <w:rPr>
          <w:rFonts w:ascii="Times New Roman" w:hAnsi="Times New Roman" w:cs="Times New Roman"/>
          <w:sz w:val="24"/>
          <w:szCs w:val="24"/>
        </w:rPr>
        <w:t>).</w:t>
      </w:r>
    </w:p>
    <w:p w14:paraId="6B8CD484" w14:textId="017D19B7" w:rsidR="00CA5A54" w:rsidRPr="0063258A" w:rsidRDefault="00CA5A54" w:rsidP="003A1A33">
      <w:pPr>
        <w:pStyle w:val="NormalWeb"/>
        <w:spacing w:before="240" w:beforeAutospacing="0" w:after="0" w:afterAutospacing="0" w:line="360" w:lineRule="auto"/>
        <w:jc w:val="both"/>
      </w:pPr>
      <w:r w:rsidRPr="0063258A">
        <w:lastRenderedPageBreak/>
        <w:t>Deferasirox, a standard oral iron chelator, exhibited the highest binding affinity to Metallothionein-1 (MT-1) with a docking score of –5.9 kcal·mol⁻¹, which aligns with earlier findings that highlight its strong interaction with metal-binding proteins due to its tridentate ligand structure (</w:t>
      </w:r>
      <w:proofErr w:type="spellStart"/>
      <w:r w:rsidRPr="0063258A">
        <w:t>Krężel</w:t>
      </w:r>
      <w:proofErr w:type="spellEnd"/>
      <w:r w:rsidRPr="0063258A">
        <w:t xml:space="preserve"> &amp; </w:t>
      </w:r>
      <w:proofErr w:type="spellStart"/>
      <w:r w:rsidRPr="0063258A">
        <w:t>Mare</w:t>
      </w:r>
      <w:r w:rsidR="007F38C8">
        <w:t>t</w:t>
      </w:r>
      <w:proofErr w:type="spellEnd"/>
      <w:r w:rsidR="007F38C8">
        <w:t>, 2021; Cappellini et al., 2018</w:t>
      </w:r>
      <w:r w:rsidRPr="0063258A">
        <w:t xml:space="preserve">). </w:t>
      </w:r>
      <w:r w:rsidR="00074035">
        <w:t xml:space="preserve">Among the </w:t>
      </w:r>
      <w:proofErr w:type="spellStart"/>
      <w:r w:rsidR="00074035">
        <w:rPr>
          <w:rStyle w:val="Emphasis"/>
        </w:rPr>
        <w:t>Tetracarpidium</w:t>
      </w:r>
      <w:proofErr w:type="spellEnd"/>
      <w:r w:rsidR="00074035">
        <w:rPr>
          <w:rStyle w:val="Emphasis"/>
        </w:rPr>
        <w:t xml:space="preserve"> </w:t>
      </w:r>
      <w:proofErr w:type="spellStart"/>
      <w:r w:rsidR="00074035">
        <w:rPr>
          <w:rStyle w:val="Emphasis"/>
        </w:rPr>
        <w:t>conophorum</w:t>
      </w:r>
      <w:proofErr w:type="spellEnd"/>
      <w:r w:rsidR="00074035">
        <w:t xml:space="preserve"> bioactive compounds, </w:t>
      </w:r>
      <w:proofErr w:type="spellStart"/>
      <w:r w:rsidR="00074035">
        <w:t>dicyclohexyl</w:t>
      </w:r>
      <w:proofErr w:type="spellEnd"/>
      <w:r w:rsidR="00074035">
        <w:t xml:space="preserve"> benzene-1,2-dicarboxylate showed the highest binding affinity (–4.4 kcal•mol⁻¹), consistent with established findings that plant polyphenols and related bioactive compounds can engage in stable interactions with protein targets through hydrogen bonding, hydrophobic interactions, and π-related forces (</w:t>
      </w:r>
      <w:proofErr w:type="spellStart"/>
      <w:r w:rsidR="00074035">
        <w:t>Scalbert</w:t>
      </w:r>
      <w:proofErr w:type="spellEnd"/>
      <w:r w:rsidR="00074035">
        <w:t xml:space="preserve"> et al., 2005; </w:t>
      </w:r>
      <w:proofErr w:type="spellStart"/>
      <w:r w:rsidR="00074035">
        <w:t>Bissantz</w:t>
      </w:r>
      <w:proofErr w:type="spellEnd"/>
      <w:r w:rsidR="00074035">
        <w:t xml:space="preserve"> et al., 2010).</w:t>
      </w:r>
      <w:r w:rsidRPr="0063258A">
        <w:t>Methyl 3-(3,5-ditert-butyl-4-hydroxyphenyl)propanoate and (2R)-2,8-dimethyl-2-[(4R,8R)-4,8,12-trimethyltridecyl]-3,4-dihydrochromen-6-ol both recorded modera</w:t>
      </w:r>
      <w:r w:rsidR="007B0B5C">
        <w:t>te affinities (–4.0 kcal·mol⁻¹).</w:t>
      </w:r>
      <w:r w:rsidRPr="0063258A">
        <w:t xml:space="preserve"> Interestingly, deferoxamine, another standard chelator, showed a slightly lower affinity (–3.9 kcal·mol⁻¹) compared to some </w:t>
      </w:r>
      <w:r w:rsidRPr="0063258A">
        <w:rPr>
          <w:rStyle w:val="Emphasis"/>
        </w:rPr>
        <w:t xml:space="preserve">T. </w:t>
      </w:r>
      <w:proofErr w:type="spellStart"/>
      <w:r w:rsidRPr="0063258A">
        <w:rPr>
          <w:rStyle w:val="Emphasis"/>
        </w:rPr>
        <w:t>conophorum</w:t>
      </w:r>
      <w:proofErr w:type="spellEnd"/>
      <w:r w:rsidR="00295D2C">
        <w:t xml:space="preserve"> ligands</w:t>
      </w:r>
      <w:r w:rsidRPr="0063258A">
        <w:t xml:space="preserve"> Other plant-derived ligands such as 4,4,7-trimethyl-2,3-dihydro-1H-naphthalene (–3.8 kcal·mol⁻¹) and small aromatic esters (–3.6 to –3.5 kcal·mol⁻¹) exhibited weaker</w:t>
      </w:r>
      <w:r w:rsidR="00622C7E">
        <w:t xml:space="preserve"> binding</w:t>
      </w:r>
    </w:p>
    <w:p w14:paraId="14C1AA11" w14:textId="25C4F7B3" w:rsidR="00CA5A54" w:rsidRPr="0063258A" w:rsidRDefault="00CA5A54" w:rsidP="003A1A33">
      <w:pPr>
        <w:pStyle w:val="NormalWeb"/>
        <w:spacing w:before="240" w:beforeAutospacing="0" w:after="0" w:afterAutospacing="0" w:line="360" w:lineRule="auto"/>
        <w:jc w:val="both"/>
      </w:pPr>
      <w:r w:rsidRPr="0063258A">
        <w:t>MT-1 is well recognized for its role in maintaining metal ion homeostasis and detoxifying toxic metals, particularly mercury, through high-affinity thiolate clusters (</w:t>
      </w:r>
      <w:proofErr w:type="spellStart"/>
      <w:r w:rsidRPr="0063258A">
        <w:t>Krężel</w:t>
      </w:r>
      <w:proofErr w:type="spellEnd"/>
      <w:r w:rsidRPr="0063258A">
        <w:t xml:space="preserve"> &amp; </w:t>
      </w:r>
      <w:proofErr w:type="spellStart"/>
      <w:r w:rsidRPr="0063258A">
        <w:t>Mar</w:t>
      </w:r>
      <w:r w:rsidR="00CE386F">
        <w:t>et</w:t>
      </w:r>
      <w:proofErr w:type="spellEnd"/>
      <w:r w:rsidR="00CE386F">
        <w:t>, 2021</w:t>
      </w:r>
      <w:r w:rsidRPr="0063258A">
        <w:t xml:space="preserve">). GC–MS profiling of </w:t>
      </w:r>
      <w:r w:rsidRPr="0063258A">
        <w:rPr>
          <w:rStyle w:val="Emphasis"/>
        </w:rPr>
        <w:t xml:space="preserve">T. </w:t>
      </w:r>
      <w:proofErr w:type="spellStart"/>
      <w:r w:rsidRPr="0063258A">
        <w:rPr>
          <w:rStyle w:val="Emphasis"/>
        </w:rPr>
        <w:t>conophorum</w:t>
      </w:r>
      <w:proofErr w:type="spellEnd"/>
      <w:r w:rsidRPr="0063258A">
        <w:t xml:space="preserve"> confirms the presence of such functional groups, including phenolic esters and substituted </w:t>
      </w:r>
      <w:proofErr w:type="spellStart"/>
      <w:r w:rsidRPr="0063258A">
        <w:t>chromenes</w:t>
      </w:r>
      <w:proofErr w:type="spellEnd"/>
      <w:r w:rsidR="0013748E">
        <w:t xml:space="preserve">. </w:t>
      </w:r>
    </w:p>
    <w:p w14:paraId="64A6070B" w14:textId="105F5A28" w:rsidR="00CA5A54" w:rsidRPr="0063258A" w:rsidRDefault="00CA5A54" w:rsidP="003A1A33">
      <w:pPr>
        <w:pStyle w:val="NormalWeb"/>
        <w:spacing w:before="240" w:beforeAutospacing="0" w:after="0" w:afterAutospacing="0" w:line="360" w:lineRule="auto"/>
        <w:jc w:val="both"/>
      </w:pPr>
      <w:r w:rsidRPr="0063258A">
        <w:t xml:space="preserve">The highest binding affinity to Metallothionein-2 (MT-2) was observed for [2-(2-benzoylphenyl)-4-(1-hydroxycyclohexyl)phenyl]-[4-(1-hydroxycyclohexyl)phenyl]methanone, with a docking score of –6.1 kcal·mol⁻¹. </w:t>
      </w:r>
      <w:r w:rsidR="00EB09D5">
        <w:t xml:space="preserve">Two structurally identical steroidal compounds—(3S,8S,9S,10R,13R,14S,17R)-17-[(E,2R,5S)-5-ethyl-6-methylhept-3-en-2-yl]-10,13-dimethyl-2,3,4,7,8,9,11,12,14,15,16,17-dodecahydro-1H-cyclopenta[a]phenanthren-3-ol—each recorded an affinity of –5.7 kcal•mol⁻¹. This binding behavior is consistent with established findings that steroidal compounds interact predominantly through hydrophobic and van der Waals forces within protein binding cavities (Kitchen et </w:t>
      </w:r>
      <w:r w:rsidR="00FC4338">
        <w:t>al., 2004</w:t>
      </w:r>
      <w:r w:rsidR="00EB09D5">
        <w:t>).</w:t>
      </w:r>
      <w:r w:rsidR="00EB09D5" w:rsidRPr="0063258A">
        <w:t xml:space="preserve"> </w:t>
      </w:r>
      <w:r w:rsidRPr="0063258A">
        <w:t>[2-(2,2,3,3,3-pentafluoropropanoyloxy)phenyl] furan-2-carboxylate displayed</w:t>
      </w:r>
      <w:r w:rsidR="00CE386F">
        <w:t xml:space="preserve"> an affinity of –5.5 kcal·mol⁻¹.</w:t>
      </w:r>
      <w:r w:rsidRPr="0063258A">
        <w:t xml:space="preserve"> </w:t>
      </w:r>
    </w:p>
    <w:p w14:paraId="50692C07" w14:textId="1782C79E" w:rsidR="00CA5A54" w:rsidRPr="00622C7E" w:rsidRDefault="00622C7E" w:rsidP="00622C7E">
      <w:pPr>
        <w:spacing w:beforeAutospacing="1" w:after="100" w:afterAutospacing="1" w:line="360" w:lineRule="auto"/>
        <w:rPr>
          <w:rFonts w:ascii="Times New Roman" w:eastAsia="Times New Roman" w:hAnsi="Times New Roman" w:cs="Times New Roman"/>
          <w:sz w:val="24"/>
          <w:szCs w:val="24"/>
        </w:rPr>
      </w:pPr>
      <w:r w:rsidRPr="00622C7E">
        <w:rPr>
          <w:rFonts w:ascii="Times New Roman" w:eastAsia="Times New Roman" w:hAnsi="Times New Roman" w:cs="Times New Roman"/>
          <w:sz w:val="24"/>
          <w:szCs w:val="24"/>
        </w:rPr>
        <w:t xml:space="preserve">N-(1-phenylethyl)benzotriazol-1-amine followed closely with a docking score of –5.4 kcal•mol⁻¹, consistent with established principles that nitrogen-containing heterocycles </w:t>
      </w:r>
      <w:r w:rsidRPr="00622C7E">
        <w:rPr>
          <w:rFonts w:ascii="Times New Roman" w:eastAsia="Times New Roman" w:hAnsi="Times New Roman" w:cs="Times New Roman"/>
          <w:sz w:val="24"/>
          <w:szCs w:val="24"/>
        </w:rPr>
        <w:lastRenderedPageBreak/>
        <w:t>commonly engage in favorable ligand–protein interactions through hydrogen bonding, π–π stacking, and hydrophobic contacts within binding pockets (</w:t>
      </w:r>
      <w:proofErr w:type="spellStart"/>
      <w:r w:rsidRPr="00622C7E">
        <w:rPr>
          <w:rFonts w:ascii="Times New Roman" w:eastAsia="Times New Roman" w:hAnsi="Times New Roman" w:cs="Times New Roman"/>
          <w:sz w:val="24"/>
          <w:szCs w:val="24"/>
        </w:rPr>
        <w:t>Bissantz</w:t>
      </w:r>
      <w:proofErr w:type="spellEnd"/>
      <w:r w:rsidRPr="00622C7E">
        <w:rPr>
          <w:rFonts w:ascii="Times New Roman" w:eastAsia="Times New Roman" w:hAnsi="Times New Roman" w:cs="Times New Roman"/>
          <w:sz w:val="24"/>
          <w:szCs w:val="24"/>
        </w:rPr>
        <w:t xml:space="preserve"> et al., 2010).</w:t>
      </w:r>
      <w:r w:rsidR="00CA5A54" w:rsidRPr="00622C7E">
        <w:rPr>
          <w:rFonts w:ascii="Times New Roman" w:hAnsi="Times New Roman" w:cs="Times New Roman"/>
          <w:sz w:val="24"/>
          <w:szCs w:val="24"/>
        </w:rPr>
        <w:t xml:space="preserve">In contrast, the standard chelators </w:t>
      </w:r>
      <w:proofErr w:type="spellStart"/>
      <w:r w:rsidR="00CA5A54" w:rsidRPr="00622C7E">
        <w:rPr>
          <w:rFonts w:ascii="Times New Roman" w:hAnsi="Times New Roman" w:cs="Times New Roman"/>
          <w:sz w:val="24"/>
          <w:szCs w:val="24"/>
        </w:rPr>
        <w:t>dimercaptosuccinic</w:t>
      </w:r>
      <w:proofErr w:type="spellEnd"/>
      <w:r w:rsidR="00CA5A54" w:rsidRPr="00622C7E">
        <w:rPr>
          <w:rFonts w:ascii="Times New Roman" w:hAnsi="Times New Roman" w:cs="Times New Roman"/>
          <w:sz w:val="24"/>
          <w:szCs w:val="24"/>
        </w:rPr>
        <w:t xml:space="preserve"> acid (–3.8 kcal·mol⁻¹) and dimercaprol (–2.7 kcal·mol⁻¹) exhibited markedly lower affinities, a finding consistent with previous molecular docking studies indicating that their small size and high polarity can limit stable hydrophobic contacts within MT-2’s core </w:t>
      </w:r>
      <w:r w:rsidR="002A7214">
        <w:rPr>
          <w:rFonts w:ascii="Times New Roman" w:hAnsi="Times New Roman" w:cs="Times New Roman"/>
          <w:sz w:val="24"/>
          <w:szCs w:val="24"/>
        </w:rPr>
        <w:t>binding region (</w:t>
      </w:r>
      <w:r w:rsidR="00CA5A54" w:rsidRPr="00622C7E">
        <w:rPr>
          <w:rFonts w:ascii="Times New Roman" w:hAnsi="Times New Roman" w:cs="Times New Roman"/>
          <w:sz w:val="24"/>
          <w:szCs w:val="24"/>
        </w:rPr>
        <w:t xml:space="preserve"> </w:t>
      </w:r>
      <w:proofErr w:type="spellStart"/>
      <w:r w:rsidR="00CA5A54" w:rsidRPr="00622C7E">
        <w:rPr>
          <w:rFonts w:ascii="Times New Roman" w:hAnsi="Times New Roman" w:cs="Times New Roman"/>
          <w:sz w:val="24"/>
          <w:szCs w:val="24"/>
        </w:rPr>
        <w:t>Krężel</w:t>
      </w:r>
      <w:proofErr w:type="spellEnd"/>
      <w:r w:rsidR="00CA5A54" w:rsidRPr="00622C7E">
        <w:rPr>
          <w:rFonts w:ascii="Times New Roman" w:hAnsi="Times New Roman" w:cs="Times New Roman"/>
          <w:sz w:val="24"/>
          <w:szCs w:val="24"/>
        </w:rPr>
        <w:t xml:space="preserve"> &amp; </w:t>
      </w:r>
      <w:proofErr w:type="spellStart"/>
      <w:r w:rsidR="00CA5A54" w:rsidRPr="00622C7E">
        <w:rPr>
          <w:rFonts w:ascii="Times New Roman" w:hAnsi="Times New Roman" w:cs="Times New Roman"/>
          <w:sz w:val="24"/>
          <w:szCs w:val="24"/>
        </w:rPr>
        <w:t>Maret</w:t>
      </w:r>
      <w:proofErr w:type="spellEnd"/>
      <w:r w:rsidR="00CA5A54" w:rsidRPr="00622C7E">
        <w:rPr>
          <w:rFonts w:ascii="Times New Roman" w:hAnsi="Times New Roman" w:cs="Times New Roman"/>
          <w:sz w:val="24"/>
          <w:szCs w:val="24"/>
        </w:rPr>
        <w:t xml:space="preserve">, 2021). </w:t>
      </w:r>
    </w:p>
    <w:p w14:paraId="1AB57917" w14:textId="102BEF58" w:rsidR="006F7F7D" w:rsidRPr="006F7F7D" w:rsidRDefault="00C50B61" w:rsidP="006F7F7D">
      <w:pPr>
        <w:pStyle w:val="NormalWeb"/>
        <w:spacing w:line="360" w:lineRule="auto"/>
      </w:pPr>
      <w:r>
        <w:t>The strongest binding affinity to the apoptosis-related protein target (PDB: 1F16) was recorded for 1,2-dimethyl-1-propan-2-ylcyclopentane;1,3-dimethyl-1-propan-2-ylcyclopentane with a docking score of –7.7 kcal•mol⁻¹, indicating a favorable interaction profile compared to previously reported natural compounds targeting apoptotic pathways (Ranjan et al., 2019; Elmore, 2007).</w:t>
      </w:r>
      <w:r w:rsidR="00CC37AB" w:rsidRPr="00CC37AB">
        <w:t xml:space="preserve"> </w:t>
      </w:r>
      <w:r w:rsidR="00CC37AB">
        <w:t>This high affinity suggests favorable hydrophobic interactions and shape complementarity within the binding pocket, consistent with established docking principles indicating that cyclic hydrophobic scaffolds, including terpenoid-like structures, can achieve stable binding conformations in protein active sites through van der Waals and non-polar interactions (</w:t>
      </w:r>
      <w:proofErr w:type="spellStart"/>
      <w:r w:rsidR="00CC37AB">
        <w:t>Bissantz</w:t>
      </w:r>
      <w:proofErr w:type="spellEnd"/>
      <w:r w:rsidR="00CC37AB">
        <w:t xml:space="preserve"> et al., 2010; Kitchen et al., 2004).</w:t>
      </w:r>
      <w:r w:rsidR="006F7F7D" w:rsidRPr="006F7F7D">
        <w:t>The next highest score, –6.9 kcal•mol⁻¹, was observed for (1R)-1-deuterio-1,2-dimethyl-6-(trifluoromethyl)cyclohexane, aligning with established findings that fluorine substitution can enhance ligand binding stability through its strong electron-withdrawing effects and modulation of molecular interactions (Purser et al., 2008; Müller et al., 2007).</w:t>
      </w:r>
    </w:p>
    <w:p w14:paraId="4893EDA8" w14:textId="15DCC9CF" w:rsidR="00283635" w:rsidRPr="00283635" w:rsidRDefault="003A1A33" w:rsidP="00283635">
      <w:pPr>
        <w:pStyle w:val="NormalWeb"/>
        <w:spacing w:line="360" w:lineRule="auto"/>
      </w:pPr>
      <w:r w:rsidRPr="0063258A">
        <w:t xml:space="preserve">Three compounds </w:t>
      </w:r>
      <w:r w:rsidR="00F82C3B" w:rsidRPr="0063258A">
        <w:t xml:space="preserve">methyl (6E,9E,12E)-octadeca-6,9,12-trienoate, (9Z,12Z)-octadeca-9,12-dienoic acid, and hexadeca-7,11-dienal—each recorded docking scores of –6.7 kcal·mol⁻¹. </w:t>
      </w:r>
      <w:r w:rsidR="00283635" w:rsidRPr="00283635">
        <w:t>These results are comparable to prior studies indicating that polyunsaturated fatty acids and long-chain lipid derivatives can influence apoptosis-related signaling pathways, primarily through modulation of membrane-associated domains and lipid-mediated signaling processes that regulate cellular survival m</w:t>
      </w:r>
      <w:r w:rsidR="00283635">
        <w:t>echanisms (</w:t>
      </w:r>
      <w:r w:rsidR="00283635" w:rsidRPr="00283635">
        <w:t>van Meer et al., 2008).</w:t>
      </w:r>
    </w:p>
    <w:p w14:paraId="27B11EF4" w14:textId="3AD99773" w:rsidR="0021796F" w:rsidRDefault="00F82C3B" w:rsidP="003A1A33">
      <w:pPr>
        <w:pStyle w:val="NormalWeb"/>
        <w:spacing w:before="240" w:beforeAutospacing="0" w:after="0" w:afterAutospacing="0" w:line="360" w:lineRule="auto"/>
        <w:jc w:val="both"/>
      </w:pPr>
      <w:r w:rsidRPr="0063258A">
        <w:t xml:space="preserve">Notably, the docking score of these </w:t>
      </w:r>
      <w:r w:rsidRPr="0063258A">
        <w:rPr>
          <w:rStyle w:val="Emphasis"/>
        </w:rPr>
        <w:t xml:space="preserve">T. </w:t>
      </w:r>
      <w:proofErr w:type="spellStart"/>
      <w:r w:rsidRPr="0063258A">
        <w:rPr>
          <w:rStyle w:val="Emphasis"/>
        </w:rPr>
        <w:t>conophorum</w:t>
      </w:r>
      <w:proofErr w:type="spellEnd"/>
      <w:r w:rsidRPr="0063258A">
        <w:t xml:space="preserve"> compounds slightly exceeded that of </w:t>
      </w:r>
      <w:proofErr w:type="spellStart"/>
      <w:r w:rsidRPr="0063258A">
        <w:t>vorinostat</w:t>
      </w:r>
      <w:proofErr w:type="spellEnd"/>
      <w:r w:rsidRPr="0063258A">
        <w:t>, a clinically approved histone deacetylase (HDAC) inhibitor used in apoptos</w:t>
      </w:r>
      <w:r w:rsidR="0022741B">
        <w:t>is modulation (–6.5 kcal·mol⁻¹).</w:t>
      </w:r>
      <w:r w:rsidRPr="0063258A">
        <w:t xml:space="preserve"> </w:t>
      </w:r>
      <w:proofErr w:type="spellStart"/>
      <w:r w:rsidR="0021796F">
        <w:t>Romidepsin’s</w:t>
      </w:r>
      <w:proofErr w:type="spellEnd"/>
      <w:r w:rsidR="0021796F">
        <w:t xml:space="preserve"> docking value in this table appears anomalous at 50.7 kcal•mol⁻¹, as histone deacetylase (HDAC) inhibitors are generally characterized by stable </w:t>
      </w:r>
      <w:r w:rsidR="0021796F">
        <w:lastRenderedPageBreak/>
        <w:t xml:space="preserve">negative binding energies in molecular docking studies, and extreme positive values are typically indicative of scoring or computational artifacts rather than true binding affinity (Falkenberg &amp; Johnstone, 2014; </w:t>
      </w:r>
      <w:proofErr w:type="spellStart"/>
      <w:r w:rsidR="0021796F">
        <w:t>Pagadala</w:t>
      </w:r>
      <w:proofErr w:type="spellEnd"/>
      <w:r w:rsidR="0021796F">
        <w:t xml:space="preserve"> et al., 2017).</w:t>
      </w:r>
    </w:p>
    <w:p w14:paraId="24226B9B" w14:textId="50FD5127" w:rsidR="00F82C3B" w:rsidRPr="0063258A" w:rsidRDefault="00F82C3B" w:rsidP="003A1A33">
      <w:pPr>
        <w:pStyle w:val="NormalWeb"/>
        <w:spacing w:before="240" w:beforeAutospacing="0" w:after="0" w:afterAutospacing="0" w:line="360" w:lineRule="auto"/>
        <w:jc w:val="both"/>
      </w:pPr>
      <w:r w:rsidRPr="0063258A">
        <w:t xml:space="preserve">The compound 7-chloro-10-hydroxy-1-(2-pyrrolidin-1-ylethylimino)-3-[3-(trifluoromethyl)phenyl]-3,4-dihydro-2H-acridin-9-one exhibited the highest binding affinity to the Glutathione-S-transferase (GST) target (PDB: 1GRE) with a score of –9.4 kcal·mol⁻¹, significantly outperforming the endogenous antioxidant glutathione (–5.5 kcal·mol⁻¹). </w:t>
      </w:r>
      <w:r w:rsidR="00286784">
        <w:t>This aligns with previous observations that ligand structural features, including aromatic and halogen substitutions, can promote stable π–π stacking and hydrogen bond interactions within the glutathione S-transferase (GST) active site, thereby enhancing binding affinity (</w:t>
      </w:r>
      <w:proofErr w:type="spellStart"/>
      <w:r w:rsidR="00286784">
        <w:t>Allocati</w:t>
      </w:r>
      <w:proofErr w:type="spellEnd"/>
      <w:r w:rsidR="00286784">
        <w:t xml:space="preserve"> et al., 2018).</w:t>
      </w:r>
      <w:r w:rsidRPr="0063258A">
        <w:t xml:space="preserve"> The next highest affinity was observed for [2-(2-benzoylphenyl)-4-(1-hydroxycyclohexyl)phenyl]-[4-(1-hydroxycyclohexyl)phenyl]methanone (–9.</w:t>
      </w:r>
      <w:r w:rsidR="00B96EA1">
        <w:t>1 kcal·mol⁻¹).</w:t>
      </w:r>
    </w:p>
    <w:p w14:paraId="5786F1DF" w14:textId="6AA2D40E" w:rsidR="00F82C3B" w:rsidRPr="0063258A" w:rsidRDefault="009A52E6" w:rsidP="003A1A33">
      <w:pPr>
        <w:pStyle w:val="NormalWeb"/>
        <w:spacing w:before="240" w:beforeAutospacing="0" w:after="0" w:afterAutospacing="0" w:line="360" w:lineRule="auto"/>
        <w:jc w:val="both"/>
      </w:pPr>
      <w:proofErr w:type="spellStart"/>
      <w:r>
        <w:t>teroidal</w:t>
      </w:r>
      <w:proofErr w:type="spellEnd"/>
      <w:r>
        <w:t xml:space="preserve"> alcohol (3S,8S,9S,10R,13R,14S,17R)-17-[(E,2R,5S)-5-ethyl-6-methylhept-3-en-2-yl]-10,13-dimethyl-2,3,4,7,8,9,11,12,14,15,16,17-dodecahydro-1H-cyclopenta[a]phenanthren-3-ol bound with –8.4 kcal•mol⁻¹. Similarly, </w:t>
      </w:r>
      <w:proofErr w:type="spellStart"/>
      <w:r>
        <w:t>dicyclohexyl</w:t>
      </w:r>
      <w:proofErr w:type="spellEnd"/>
      <w:r>
        <w:t xml:space="preserve"> benzene-1,2-dicarboxylate (–8.2 kcal•mol⁻¹) showed strong affinity, consistent with established roles of glutathione transferases in xenobiotic metabolism and their ability to accommodate diverse hydrophobic ligands within their binding sites (Hayes et al., 2005; </w:t>
      </w:r>
      <w:proofErr w:type="spellStart"/>
      <w:r>
        <w:t>Allocati</w:t>
      </w:r>
      <w:proofErr w:type="spellEnd"/>
      <w:r>
        <w:t xml:space="preserve"> et al., 2018). </w:t>
      </w:r>
      <w:proofErr w:type="spellStart"/>
      <w:r w:rsidR="00D966CB">
        <w:t>Cycloicosane</w:t>
      </w:r>
      <w:proofErr w:type="spellEnd"/>
      <w:r w:rsidR="00D966CB">
        <w:t xml:space="preserve"> and [2-(2,2,3,3,3-pentafluoropropanoyloxy)phenyl] furan-2-carboxylate both recorded docking scores of –7.6 kcal•mol⁻¹, consistent with established principles that hydrophobic and fluorinated ligands can stabilize interactions within glutathione S-transferase binding sites through van der Waals and hydrophobic contacts (</w:t>
      </w:r>
      <w:proofErr w:type="spellStart"/>
      <w:r w:rsidR="00D966CB">
        <w:t>Allocati</w:t>
      </w:r>
      <w:proofErr w:type="spellEnd"/>
      <w:r w:rsidR="00D966CB">
        <w:t xml:space="preserve"> et al., 2018; </w:t>
      </w:r>
      <w:proofErr w:type="spellStart"/>
      <w:r w:rsidR="00D966CB">
        <w:t>Bissantz</w:t>
      </w:r>
      <w:proofErr w:type="spellEnd"/>
      <w:r w:rsidR="00D966CB">
        <w:t xml:space="preserve"> et al., 2010).</w:t>
      </w:r>
      <w:r w:rsidR="00F82C3B" w:rsidRPr="0063258A">
        <w:t xml:space="preserve">. Interestingly, the binding energies of these </w:t>
      </w:r>
      <w:r w:rsidR="00F82C3B" w:rsidRPr="0063258A">
        <w:rPr>
          <w:rStyle w:val="Emphasis"/>
        </w:rPr>
        <w:t xml:space="preserve">T. </w:t>
      </w:r>
      <w:proofErr w:type="spellStart"/>
      <w:r w:rsidR="00F82C3B" w:rsidRPr="0063258A">
        <w:rPr>
          <w:rStyle w:val="Emphasis"/>
        </w:rPr>
        <w:t>conophorum</w:t>
      </w:r>
      <w:proofErr w:type="spellEnd"/>
      <w:r w:rsidR="00F82C3B" w:rsidRPr="0063258A">
        <w:t xml:space="preserve"> compounds were markedly stronger than N-acetylcysteine (–5.2 </w:t>
      </w:r>
      <w:r w:rsidR="00F80C28">
        <w:t>kcal·mol⁻¹).</w:t>
      </w:r>
      <w:r w:rsidR="00F82C3B" w:rsidRPr="0063258A">
        <w:t xml:space="preserve"> </w:t>
      </w:r>
    </w:p>
    <w:p w14:paraId="5B28AA06" w14:textId="371FD985" w:rsidR="000E43E7" w:rsidRDefault="000E43E7" w:rsidP="003A1A33">
      <w:pPr>
        <w:pStyle w:val="NormalWeb"/>
        <w:spacing w:before="240" w:beforeAutospacing="0" w:after="0" w:afterAutospacing="0" w:line="360" w:lineRule="auto"/>
        <w:jc w:val="both"/>
      </w:pPr>
      <w:r>
        <w:t xml:space="preserve">The ligand [2-(2,2,3,3,3-pentafluoropropanoyloxy)phenyl] furan-2-carboxylate exhibited the strongest binding affinity toward the inflammatory mediator target (PDB: 1IL6) with a docking score of –7.3 kcal•mol⁻¹, while N-(1-phenylethyl)benzotriazol-1-amine (–7.1 kcal•mol⁻¹) also showed favorable binding. These findings are consistent with established evidence that IL-6 plays </w:t>
      </w:r>
      <w:r>
        <w:lastRenderedPageBreak/>
        <w:t>a central role in inflammatory signaling pathways and is a key therapeutic target for modulation by small molecules (Hunter &amp; Jones, 2015).</w:t>
      </w:r>
    </w:p>
    <w:p w14:paraId="04F97B93" w14:textId="420FA05D" w:rsidR="00F82C3B" w:rsidRPr="0063258A" w:rsidRDefault="00BE3140" w:rsidP="003A1A33">
      <w:pPr>
        <w:pStyle w:val="NormalWeb"/>
        <w:spacing w:before="240" w:beforeAutospacing="0" w:after="0" w:afterAutospacing="0" w:line="360" w:lineRule="auto"/>
        <w:jc w:val="both"/>
      </w:pPr>
      <w:proofErr w:type="spellStart"/>
      <w:r>
        <w:t>Dicyclohexyl</w:t>
      </w:r>
      <w:proofErr w:type="spellEnd"/>
      <w:r>
        <w:t xml:space="preserve"> benzene-1,2-dicarboxylate (–7.0 kcal•mol⁻¹) recorded affinity values consistent with previous studies indicating that bulky, hydrophobic ligands can induce steric hindrance within enzyme binding pockets, thereby modulating access to catalytic sites and attenuating pro-inflammatory mediator activation (Copeland, 2016). </w:t>
      </w:r>
      <w:r w:rsidR="003808B2">
        <w:t xml:space="preserve">N-hydroxy-N′-[2-(trifluoromethyl)phenyl]pyridine-3-carboximidamide (–6.8 kcal•mol⁻¹) showed comparable binding affinity, consistent with studies indicating that small-molecule inhibitors can modulate IL-6 signaling through stabilizing interactions such as hydrogen bonding within key receptor binding sites (Heinrich et al., 2003). </w:t>
      </w:r>
      <w:r w:rsidR="00F82C3B" w:rsidRPr="0063258A">
        <w:t>Additionally, N,N-dimethyl-8-[2-(trifluoromethyl)phenothiazin-10-yl]</w:t>
      </w:r>
      <w:proofErr w:type="spellStart"/>
      <w:r w:rsidR="00F82C3B" w:rsidRPr="0063258A">
        <w:t>octanamide</w:t>
      </w:r>
      <w:proofErr w:type="spellEnd"/>
      <w:r w:rsidR="00F82C3B" w:rsidRPr="0063258A">
        <w:t xml:space="preserve"> (–6.6 kcal·mol⁻¹) ma</w:t>
      </w:r>
      <w:r w:rsidR="0040404F">
        <w:t>tched the affinity of celecoxib.</w:t>
      </w:r>
      <w:r w:rsidR="00F82C3B" w:rsidRPr="0063258A">
        <w:t xml:space="preserve"> Notably, all top-binding </w:t>
      </w:r>
      <w:r w:rsidR="00F82C3B" w:rsidRPr="0063258A">
        <w:rPr>
          <w:rStyle w:val="Emphasis"/>
        </w:rPr>
        <w:t xml:space="preserve">T. </w:t>
      </w:r>
      <w:proofErr w:type="spellStart"/>
      <w:r w:rsidR="00F82C3B" w:rsidRPr="0063258A">
        <w:rPr>
          <w:rStyle w:val="Emphasis"/>
        </w:rPr>
        <w:t>conophorum</w:t>
      </w:r>
      <w:proofErr w:type="spellEnd"/>
      <w:r w:rsidR="00F82C3B" w:rsidRPr="0063258A">
        <w:t xml:space="preserve"> ligands outperformed aspirin, which is consistent with literature suggesting that complex plant-derived molecules often exhibit stronger protein–ligand interactions with cytokine targets than simp</w:t>
      </w:r>
      <w:r w:rsidR="00E26F63">
        <w:t>ler NSAIDs (Pan et al., 2010</w:t>
      </w:r>
      <w:r w:rsidR="00F82C3B" w:rsidRPr="0063258A">
        <w:t>).</w:t>
      </w:r>
    </w:p>
    <w:p w14:paraId="71A77144" w14:textId="18D630EC" w:rsidR="005D4F84" w:rsidRDefault="00F82C3B" w:rsidP="003A1A33">
      <w:pPr>
        <w:pStyle w:val="NormalWeb"/>
        <w:spacing w:before="240" w:beforeAutospacing="0" w:after="0" w:afterAutospacing="0" w:line="360" w:lineRule="auto"/>
        <w:jc w:val="both"/>
      </w:pPr>
      <w:r w:rsidRPr="0063258A">
        <w:t xml:space="preserve">The docking analysis for the pancreatic function target (PDB: 1V4S) revealed that [2-(2-benzoylphenyl)-4-(1-hydroxycyclohexyl)phenyl]-[4-(1-hydroxycyclohexyl)phenyl]methanone exhibited the strongest binding affinity (–8.4 kcal·mol⁻¹), surpassing the standard DPP-4 inhibitor sitagliptin (–7.7 kcal·mol⁻¹). </w:t>
      </w:r>
      <w:r w:rsidR="005D4F84">
        <w:t>Similarly, 7-chloro-10-hydroxy-1-(2-pyrrolidin-1-ylethylimino)-3-[3-(trifluoromethyl)phenyl]-3,4-dihydro-2H-acridin-9-one (–7.5 kcal•mol⁻¹) showed competitive binding close to sitagliptin, consistent with findings that structural modifications such as halogenation can enhance ligand–enzyme interactions and hydrogen bonding stability, thereby improving inhibitory activity against metabolic enzyme targets (</w:t>
      </w:r>
      <w:proofErr w:type="spellStart"/>
      <w:r w:rsidR="005D4F84">
        <w:t>Baig</w:t>
      </w:r>
      <w:proofErr w:type="spellEnd"/>
      <w:r w:rsidR="005D4F84">
        <w:t xml:space="preserve"> et al., 2016).</w:t>
      </w:r>
    </w:p>
    <w:p w14:paraId="7866CD72" w14:textId="1BBB405D" w:rsidR="00F82C3B" w:rsidRPr="0063258A" w:rsidRDefault="00E56412" w:rsidP="003A1A33">
      <w:pPr>
        <w:pStyle w:val="NormalWeb"/>
        <w:spacing w:before="240" w:beforeAutospacing="0" w:after="0" w:afterAutospacing="0" w:line="360" w:lineRule="auto"/>
        <w:jc w:val="both"/>
      </w:pPr>
      <w:r>
        <w:t>The compound (3,4-dimethoxybenzoyl) 3,4-dimethoxybenzoate (–7.1 kcal•mol⁻¹) demonstrated strong binding, which is consistent with previous studies showing that methoxy-substituted aromatic compounds can modulate carbohydrate-metabolizing enzymes through π–π stacking and hydrogen bonding interactions with key amino acid residues (</w:t>
      </w:r>
      <w:proofErr w:type="spellStart"/>
      <w:r>
        <w:t>Tadera</w:t>
      </w:r>
      <w:proofErr w:type="spellEnd"/>
      <w:r>
        <w:t xml:space="preserve"> et al., 2006; </w:t>
      </w:r>
      <w:proofErr w:type="spellStart"/>
      <w:r>
        <w:t>Proença</w:t>
      </w:r>
      <w:proofErr w:type="spellEnd"/>
      <w:r>
        <w:t xml:space="preserve"> et al., 2017). </w:t>
      </w:r>
      <w:r w:rsidR="00F82C3B" w:rsidRPr="0063258A">
        <w:t>Both 14-hydroxy-16-methoxy-4-methyl-3-oxabicyclo[10.4.0]hexadeca-1(12),13,15-trien-2-one and [2-(2,2,3,3,3-pentafluoropropanoyloxy)phenyl] furan-2-carboxylate (–6.9 kcal·mol⁻¹ each) showed higher affinity than metformin (–5.0 kcal·mol⁻¹). Bis(2-formylphenyl) 2,2-</w:t>
      </w:r>
      <w:r w:rsidR="00F82C3B" w:rsidRPr="0063258A">
        <w:lastRenderedPageBreak/>
        <w:t>dimethylpropanedioate and N,N-dimethyl-8-[2-(trifluoromethyl)phenothiazin-10-yl]</w:t>
      </w:r>
      <w:proofErr w:type="spellStart"/>
      <w:r w:rsidR="00F82C3B" w:rsidRPr="0063258A">
        <w:t>octanamide</w:t>
      </w:r>
      <w:proofErr w:type="spellEnd"/>
      <w:r w:rsidR="00F82C3B" w:rsidRPr="0063258A">
        <w:t xml:space="preserve"> also maintained higher</w:t>
      </w:r>
      <w:r w:rsidR="008C35B6">
        <w:t xml:space="preserve"> affinity scores than metformin.</w:t>
      </w:r>
      <w:r w:rsidR="00F82C3B" w:rsidRPr="0063258A">
        <w:t xml:space="preserve"> Overall, several bioactive compounds from </w:t>
      </w:r>
      <w:r w:rsidR="00F82C3B" w:rsidRPr="0063258A">
        <w:rPr>
          <w:rStyle w:val="Emphasis"/>
        </w:rPr>
        <w:t xml:space="preserve">T. </w:t>
      </w:r>
      <w:proofErr w:type="spellStart"/>
      <w:r w:rsidR="00F82C3B" w:rsidRPr="0063258A">
        <w:rPr>
          <w:rStyle w:val="Emphasis"/>
        </w:rPr>
        <w:t>conophorum</w:t>
      </w:r>
      <w:proofErr w:type="spellEnd"/>
      <w:r w:rsidR="00F82C3B" w:rsidRPr="0063258A">
        <w:t xml:space="preserve"> demonstrated greater predicted binding to the pancreatic function target compared to widely used antidiabetic drugs, suggesting strong molecular compatibility.</w:t>
      </w:r>
    </w:p>
    <w:p w14:paraId="1AE485ED" w14:textId="46AA7406" w:rsidR="00B70E39" w:rsidRPr="0063258A" w:rsidRDefault="00B70E39" w:rsidP="003A1A33">
      <w:pPr>
        <w:pStyle w:val="NormalWeb"/>
        <w:spacing w:before="240" w:beforeAutospacing="0" w:after="0" w:afterAutospacing="0" w:line="360" w:lineRule="auto"/>
        <w:jc w:val="both"/>
      </w:pPr>
      <w:r w:rsidRPr="0063258A">
        <w:t>Docking results for the oxidative stress target (PDB: 1DGB) indicated that 7-chloro-10-hydroxy-1-(2-pyrrolidin-1-ylethylimino)-3-[3-(trifluoromethyl)phenyl]-3,4-dihydro-2H-acridin-9-one exhibited the highest binding affinity (–11.5 kcal·mol⁻¹), surpassing the standard antioxidants butylated hydroxytoluene (–7.2 kcal·mol⁻¹) and ascorbic acid (–6.7 kcal·mol⁻¹). The benzophenone derivative [2-(2-benzoylphenyl)-4-(1-hydroxycyclohexyl)phenyl]-[4-(1-hydroxycyclohexyl)phenyl]methanone r</w:t>
      </w:r>
      <w:r w:rsidR="00365254">
        <w:t>anked second (–10.6 kcal·mol⁻¹).</w:t>
      </w:r>
      <w:r w:rsidRPr="0063258A">
        <w:t xml:space="preserve"> </w:t>
      </w:r>
    </w:p>
    <w:p w14:paraId="4BF2A426" w14:textId="21CFA6AC" w:rsidR="00B70E39" w:rsidRPr="0063258A" w:rsidRDefault="00B70E39" w:rsidP="003A1A33">
      <w:pPr>
        <w:pStyle w:val="NormalWeb"/>
        <w:spacing w:before="240" w:beforeAutospacing="0" w:after="0" w:afterAutospacing="0" w:line="360" w:lineRule="auto"/>
        <w:jc w:val="both"/>
      </w:pPr>
      <w:r w:rsidRPr="0063258A">
        <w:t xml:space="preserve">Similarly, the tocopherol analog (2R)-2,5,7,8-tetramethyl-2-[(4R,8R)-4,8,12-trimethyltridecyl]-3,4-dihydrochromen-6-ol (–10.1 kcal·mol⁻¹) and its structural variant (2R)-2,8-dimethyl-2-[(4R,8R)-4,8,12-trimethyltridecyl]-3,4-dihydrochromen-6-ol (–9.5 kcal·mol⁻¹) showed strong binding, </w:t>
      </w:r>
      <w:r w:rsidR="009B23F6">
        <w:t>consistent with established evidence that vitamin E and its analogs exert antioxidant effects primarily through lipid-phase radical scavenging and membrane stabilization mechanisms (Traber &amp; Atkinson, 2007).</w:t>
      </w:r>
      <w:r w:rsidRPr="0063258A">
        <w:t>Bis(2-formylphenyl) 2,2-dimethylpropanedioate (–9.8 kcal·mol⁻¹) demonstrated hig</w:t>
      </w:r>
      <w:r w:rsidR="005F0C20">
        <w:t>her affinity than both controls.</w:t>
      </w:r>
      <w:r w:rsidRPr="0063258A">
        <w:t xml:space="preserve">N,N-dimethyl-8-[2-(trifluoromethyl)phenothiazin-10-yl]octanamide (–9.7 kcal·mol⁻¹) </w:t>
      </w:r>
      <w:r w:rsidR="00706E7B">
        <w:t>also exhibited notable activity.</w:t>
      </w:r>
      <w:r w:rsidRPr="0063258A">
        <w:t xml:space="preserve"> Overall, several compounds from </w:t>
      </w:r>
      <w:r w:rsidRPr="0063258A">
        <w:rPr>
          <w:rStyle w:val="Emphasis"/>
        </w:rPr>
        <w:t xml:space="preserve">T. </w:t>
      </w:r>
      <w:proofErr w:type="spellStart"/>
      <w:r w:rsidRPr="0063258A">
        <w:rPr>
          <w:rStyle w:val="Emphasis"/>
        </w:rPr>
        <w:t>conophorum</w:t>
      </w:r>
      <w:proofErr w:type="spellEnd"/>
      <w:r w:rsidRPr="0063258A">
        <w:t xml:space="preserve"> displayed stronger predicted interactions than standard antioxidants, indicating potential therapeutic relevance in oxidative stress management.</w:t>
      </w:r>
    </w:p>
    <w:p w14:paraId="3690117C" w14:textId="3EE345CA" w:rsidR="00B70E39" w:rsidRPr="0063258A" w:rsidRDefault="00B70E39" w:rsidP="003A1A33">
      <w:pPr>
        <w:pStyle w:val="NormalWeb"/>
        <w:spacing w:before="240" w:beforeAutospacing="0" w:after="0" w:afterAutospacing="0" w:line="360" w:lineRule="auto"/>
        <w:jc w:val="both"/>
      </w:pPr>
      <w:r w:rsidRPr="0063258A">
        <w:t xml:space="preserve">Analysis of the amino acid interaction profiles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distinct binding modes across the evaluated protein targets. The 1MHU–</w:t>
      </w:r>
      <w:proofErr w:type="spellStart"/>
      <w:r w:rsidRPr="0063258A">
        <w:t>dicyclohexyl</w:t>
      </w:r>
      <w:proofErr w:type="spellEnd"/>
      <w:r w:rsidRPr="0063258A">
        <w:t xml:space="preserve"> benzene-1,2-dicarboxylate complex exhibited both conventional hydrogen bonding (CYS37) and carbon hydrogen bonding (PRO38), supported by amide–π stacking (CYS41), π–alkyl (CYS57), and alkyl (LYS56) interactions, which collectively stabilize ligand orientation within the hydrophobic binding pocket</w:t>
      </w:r>
      <w:r w:rsidR="00737193">
        <w:t>.</w:t>
      </w:r>
    </w:p>
    <w:p w14:paraId="7F790916" w14:textId="7B4AB112" w:rsidR="00B70E39" w:rsidRPr="0063258A" w:rsidRDefault="00841EA7" w:rsidP="003A1A33">
      <w:pPr>
        <w:pStyle w:val="NormalWeb"/>
        <w:spacing w:before="240" w:beforeAutospacing="0" w:after="0" w:afterAutospacing="0" w:line="360" w:lineRule="auto"/>
        <w:jc w:val="both"/>
      </w:pPr>
      <w:r>
        <w:t xml:space="preserve">For 2MHU–[2-(2-benzoylphenyl)-4-(1-hydroxycyclohexyl)phenyl]-[4-(1-hydroxycyclohexyl)phenyl]methanone, multiple conventional hydrogen bonds (GLU23, CYS7), extensive van der Waals contacts (ASP2, CYS26, ASN4), and π–alkyl interactions (LYS25, </w:t>
      </w:r>
      <w:r>
        <w:lastRenderedPageBreak/>
        <w:t>ALA8, PRO3) were detected, consistent with established findings that aromatic and benzophenone-like scaffolds predominantly stabilize ligand–protein complexes through a combination of hydrogen bonding, hydrophobic interactions, and dispersive forces (</w:t>
      </w:r>
      <w:proofErr w:type="spellStart"/>
      <w:r>
        <w:t>Bissantz</w:t>
      </w:r>
      <w:proofErr w:type="spellEnd"/>
      <w:r>
        <w:t xml:space="preserve"> et al., 2010; Kitchen et al., 2004). </w:t>
      </w:r>
      <w:r w:rsidR="00B70E39" w:rsidRPr="0063258A">
        <w:t>The apoptosis target complex (1F16) with 1,2-dimethyl-1-propan-2-ylcyclopentane showed only van der Waals interactions (ILE66, PHE165, CYS62) and alkyl contacts (VAL111, LEU63, LEU161, LEU59), suggesting that its activity is primarily</w:t>
      </w:r>
      <w:r w:rsidR="00277C16">
        <w:t xml:space="preserve"> driven by hydrophobic packing.</w:t>
      </w:r>
    </w:p>
    <w:p w14:paraId="615E8B80" w14:textId="4BBA762D" w:rsidR="00B70E39" w:rsidRPr="0063258A" w:rsidRDefault="00B70E39" w:rsidP="003A1A33">
      <w:pPr>
        <w:pStyle w:val="NormalWeb"/>
        <w:spacing w:before="240" w:beforeAutospacing="0" w:after="0" w:afterAutospacing="0" w:line="360" w:lineRule="auto"/>
        <w:jc w:val="both"/>
      </w:pPr>
      <w:r w:rsidRPr="0063258A">
        <w:t xml:space="preserve">The oxidative stress protein (1GRE) bound to 7-chloro-10-hydroxy-1-(2-pyrrolidin-1-ylethylimino)-3-[3-(trifluoromethyl)phenyl]-3,4-dihydro-2H-acridin-9-one formed diverse interactions, including conventional hydrogen bonding (LYS66), carbon hydrogen bonding (CYS63), π–alkyl (LEU444), halogen bonding (GLY62), and π–π T-shaped (TYR197) interactions. </w:t>
      </w:r>
    </w:p>
    <w:p w14:paraId="031A86BE" w14:textId="10FD4A1A" w:rsidR="00B70E39" w:rsidRPr="0063258A" w:rsidRDefault="00B70E39" w:rsidP="003A1A33">
      <w:pPr>
        <w:pStyle w:val="NormalWeb"/>
        <w:spacing w:before="240" w:beforeAutospacing="0" w:after="0" w:afterAutospacing="0" w:line="360" w:lineRule="auto"/>
        <w:jc w:val="both"/>
      </w:pPr>
      <w:r w:rsidRPr="0063258A">
        <w:t>For the inflammatory mediator complex (1IL6) with [2-(2,2,3,3,3-pentafluoropropanoyloxy)phenyl] furan-2-carboxylate, conventional hydrogen bonds (LYS67, ARG169), carbon hydrogen bonds (PRO66, SER170), van der Waals contacts (ASN62, PHE174, LEU63), and halogen</w:t>
      </w:r>
      <w:r w:rsidR="003808B2">
        <w:t xml:space="preserve"> bonding (GLU173) were observed.</w:t>
      </w:r>
      <w:r w:rsidRPr="0063258A">
        <w:t xml:space="preserve"> </w:t>
      </w:r>
    </w:p>
    <w:p w14:paraId="2BAFE750" w14:textId="133FEEA6" w:rsidR="00B70E39" w:rsidRPr="0063258A" w:rsidRDefault="00B70E39" w:rsidP="003A1A33">
      <w:pPr>
        <w:pStyle w:val="NormalWeb"/>
        <w:spacing w:before="240" w:beforeAutospacing="0" w:after="0" w:afterAutospacing="0" w:line="360" w:lineRule="auto"/>
        <w:jc w:val="both"/>
      </w:pPr>
      <w:r w:rsidRPr="0063258A">
        <w:t xml:space="preserve">The pancreatic function complex (1V4S) with the benzophenone derivative displayed the highest interaction diversity, including multiple hydrogen bonds (GLY81, THR82, SER411), π–cation (ARG85), and widespread van der </w:t>
      </w:r>
      <w:r w:rsidR="00823217">
        <w:t>Waals contacts with 15 residues</w:t>
      </w:r>
    </w:p>
    <w:p w14:paraId="781F41FC" w14:textId="77777777" w:rsidR="002708FC" w:rsidRDefault="002708FC" w:rsidP="003A1A33">
      <w:pPr>
        <w:pStyle w:val="NormalWeb"/>
        <w:spacing w:before="240" w:beforeAutospacing="0" w:after="0" w:afterAutospacing="0" w:line="360" w:lineRule="auto"/>
        <w:jc w:val="both"/>
      </w:pPr>
      <w:r>
        <w:t>Finally, the oxidative stress target (1DGB) bound to the acridone derivative revealed strong π–π stacking (TYR358, PHE161), π–alkyl (ALA357), halogen bonding (GLY353), and extensive van der Waals interactions (VAL74, ASN148, ARG354, LEU299, PRO162, PRO158, VAL73, THR361, HIS362, ARG365, ALA333, ILE335). This interaction pattern is consistent with established findings that π-rich and halogenated compounds can achieve enhanced binding stability through a cooperative network of dispersive and directional non-covalent interactions (</w:t>
      </w:r>
      <w:proofErr w:type="spellStart"/>
      <w:r>
        <w:t>Bissantz</w:t>
      </w:r>
      <w:proofErr w:type="spellEnd"/>
      <w:r>
        <w:t xml:space="preserve"> et al., 2010; </w:t>
      </w:r>
      <w:proofErr w:type="spellStart"/>
      <w:r>
        <w:t>Wilcken</w:t>
      </w:r>
      <w:proofErr w:type="spellEnd"/>
      <w:r>
        <w:t xml:space="preserve"> et al., 2013).</w:t>
      </w:r>
    </w:p>
    <w:p w14:paraId="1BD119E6" w14:textId="623349F8" w:rsidR="00103082" w:rsidRDefault="00532230" w:rsidP="003A1A33">
      <w:pPr>
        <w:pStyle w:val="NormalWeb"/>
        <w:spacing w:before="240" w:beforeAutospacing="0" w:after="0" w:afterAutospacing="0" w:line="360" w:lineRule="auto"/>
        <w:jc w:val="both"/>
      </w:pPr>
      <w:r w:rsidRPr="0063258A">
        <w:t xml:space="preserve">The ADME profiling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notable variations in absorption, distribution, metabolism, and excretion patterns. In terms of absorption, </w:t>
      </w:r>
      <w:r w:rsidRPr="0063258A">
        <w:lastRenderedPageBreak/>
        <w:t>all compounds demonstrated negative Caco-2 permeability values, indicative of moderate to low passive intestinal absorption, with the 7-chloro-10-hydroxy-acridinone derivative showing the lowest value (−5.271). High P-glycoprotein (P-</w:t>
      </w:r>
      <w:proofErr w:type="spellStart"/>
      <w:r w:rsidRPr="0063258A">
        <w:t>gp</w:t>
      </w:r>
      <w:proofErr w:type="spellEnd"/>
      <w:r w:rsidRPr="0063258A">
        <w:t>) inhibition scores (&gt;0.94) across all ligands suggest a strong p</w:t>
      </w:r>
      <w:r w:rsidR="00365675">
        <w:t>otential to inhibit drug efflux</w:t>
      </w:r>
      <w:r w:rsidRPr="0063258A">
        <w:t xml:space="preserve">. </w:t>
      </w:r>
      <w:r w:rsidR="00CE386F">
        <w:t xml:space="preserve">However, human intestinal absorption (HIA) probabilities were generally low (&lt;0.02), except for </w:t>
      </w:r>
      <w:proofErr w:type="spellStart"/>
      <w:r w:rsidR="00CE386F">
        <w:t>dicyclohexyl</w:t>
      </w:r>
      <w:proofErr w:type="spellEnd"/>
      <w:r w:rsidR="00CE386F">
        <w:t xml:space="preserve"> benzene-1,2-dicarboxylate (0.003) and the </w:t>
      </w:r>
      <w:proofErr w:type="spellStart"/>
      <w:r w:rsidR="00CE386F">
        <w:t>pentafluoropropanoyloxy</w:t>
      </w:r>
      <w:proofErr w:type="spellEnd"/>
      <w:r w:rsidR="00CE386F">
        <w:t xml:space="preserve"> furan ester (0.015), which is consistent with reports that increased molecular bulk and structural complexity can limit intestinal permeability despite favorable lipophilicity (Varma et al., 2010; Hou et al., 2004). </w:t>
      </w:r>
      <w:r w:rsidR="00103082">
        <w:t xml:space="preserve">Bioavailability predictions varied widely, with the 1,2-dimethylcyclopentane derivative achieving the highest value (0.882) and the </w:t>
      </w:r>
      <w:proofErr w:type="spellStart"/>
      <w:r w:rsidR="00103082">
        <w:t>acridinone</w:t>
      </w:r>
      <w:proofErr w:type="spellEnd"/>
      <w:r w:rsidR="00103082">
        <w:t xml:space="preserve"> derivative exhibiting minimal bioavailability (0.003), likely due to increased molecular weight and polar surface area constraints, which are known to limit oral absorption and permeability (</w:t>
      </w:r>
      <w:proofErr w:type="spellStart"/>
      <w:r w:rsidR="00103082">
        <w:t>Veber</w:t>
      </w:r>
      <w:proofErr w:type="spellEnd"/>
      <w:r w:rsidR="00103082">
        <w:t xml:space="preserve"> et al., 2002; </w:t>
      </w:r>
      <w:proofErr w:type="spellStart"/>
      <w:r w:rsidR="00103082">
        <w:t>Daina</w:t>
      </w:r>
      <w:proofErr w:type="spellEnd"/>
      <w:r w:rsidR="00103082">
        <w:t xml:space="preserve"> et al., 2017).</w:t>
      </w:r>
    </w:p>
    <w:p w14:paraId="623C8B12" w14:textId="3FDB41E7" w:rsidR="00532230" w:rsidRPr="0063258A" w:rsidRDefault="00532230" w:rsidP="003A1A33">
      <w:pPr>
        <w:pStyle w:val="NormalWeb"/>
        <w:spacing w:before="240" w:beforeAutospacing="0" w:after="0" w:afterAutospacing="0" w:line="360" w:lineRule="auto"/>
        <w:jc w:val="both"/>
      </w:pPr>
      <w:r w:rsidRPr="0063258A">
        <w:t xml:space="preserve">Distribution analysis indicated that most compounds showed high binding affinity to OATP1B1 and OATP1B3 transporters (&gt;0.74), except for </w:t>
      </w:r>
      <w:proofErr w:type="spellStart"/>
      <w:r w:rsidRPr="0063258A">
        <w:t>acridinone</w:t>
      </w:r>
      <w:proofErr w:type="spellEnd"/>
      <w:r w:rsidRPr="0063258A">
        <w:t xml:space="preserve"> derivatives, suggesting effective hepatic uptake pathways in most cases. Blood–brain barrier (BBB) permeability predictions indicated strong CNS penetration potential for the cyclopentane (0.889), </w:t>
      </w:r>
      <w:proofErr w:type="spellStart"/>
      <w:r w:rsidRPr="0063258A">
        <w:t>acridinone</w:t>
      </w:r>
      <w:proofErr w:type="spellEnd"/>
      <w:r w:rsidRPr="0063258A">
        <w:t xml:space="preserve"> (0.963), and </w:t>
      </w:r>
      <w:proofErr w:type="spellStart"/>
      <w:r w:rsidRPr="0063258A">
        <w:t>pentafluoropropanoyloxy</w:t>
      </w:r>
      <w:proofErr w:type="spellEnd"/>
      <w:r w:rsidRPr="0063258A">
        <w:t xml:space="preserve"> derivatives (0.912), correlating with structural features such as lipophilic surface area and reduced polar surface fraction, as described by Lima et al. (2020). All compounds displayed high plasma protein binding (PPB &gt; 90%), which could prolong half-life but also limit free drug concentration in plasma.</w:t>
      </w:r>
    </w:p>
    <w:p w14:paraId="47B009BB" w14:textId="67FCEBEC" w:rsidR="00532230" w:rsidRPr="0063258A" w:rsidRDefault="00532230" w:rsidP="003A1A33">
      <w:pPr>
        <w:pStyle w:val="NormalWeb"/>
        <w:spacing w:before="240" w:beforeAutospacing="0" w:after="0" w:afterAutospacing="0" w:line="360" w:lineRule="auto"/>
        <w:jc w:val="both"/>
      </w:pPr>
      <w:r w:rsidRPr="0063258A">
        <w:t xml:space="preserve">Metabolically, significant diversity in cytochrome P450 (CYP) enzyme inhibition and substrate likelihood was observed. </w:t>
      </w:r>
      <w:r w:rsidR="00C74817">
        <w:t xml:space="preserve">Notably, the </w:t>
      </w:r>
      <w:proofErr w:type="spellStart"/>
      <w:r w:rsidR="00C74817">
        <w:t>pentafluoropropanoyloxy</w:t>
      </w:r>
      <w:proofErr w:type="spellEnd"/>
      <w:r w:rsidR="00C74817">
        <w:t xml:space="preserve"> ester showed predicted inhibition of CYP1A2, CYP2C19, and CYP2C8 while exhibiting reduced interaction with CYP3A4, a profile consistent with established pharmacokinetic principles indicating that fluorinated drug-like molecules often display enhanced metabolic stability due to steric and electronic effects that reduce oxidative metabolism ( Purser et al., 2008).</w:t>
      </w:r>
      <w:r w:rsidRPr="0063258A">
        <w:t xml:space="preserve"> In contrast, the cyclopentane derivative showed broad CYP substrate activity (notably CYP2C19, CYP3A4, and CYP2B6), suggesting susceptibility to rapid metabolism. Excretion predictions revealed moderate to high plasma clearance rates, with cyclopentane derivatives exhibiting the highest clearance (9.515 mL/min/kg) and shortest half-life (0.267 h), while the benzophenone derivatives displa</w:t>
      </w:r>
      <w:r w:rsidR="00727334">
        <w:t>yed longer half-lives (1.481 h).</w:t>
      </w:r>
      <w:r w:rsidRPr="0063258A">
        <w:t xml:space="preserve"> </w:t>
      </w:r>
    </w:p>
    <w:p w14:paraId="47721CC1" w14:textId="510BB4D8" w:rsidR="00532230" w:rsidRPr="0063258A" w:rsidRDefault="00532230" w:rsidP="003A1A33">
      <w:pPr>
        <w:pStyle w:val="NormalWeb"/>
        <w:spacing w:before="240" w:beforeAutospacing="0" w:after="0" w:afterAutospacing="0" w:line="360" w:lineRule="auto"/>
        <w:jc w:val="both"/>
      </w:pPr>
      <w:r w:rsidRPr="0063258A">
        <w:lastRenderedPageBreak/>
        <w:t xml:space="preserve">The physicochemical profiling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diverse structural and functional characteristics influencing their potential pharmacological performance. Molecular weights ranged from 210.23 g/mol for the cyclopentane derivatives to 558.28 g/mol for the bis-</w:t>
      </w:r>
      <w:proofErr w:type="spellStart"/>
      <w:r w:rsidRPr="0063258A">
        <w:t>hydroxycyclohexyl</w:t>
      </w:r>
      <w:proofErr w:type="spellEnd"/>
      <w:r w:rsidRPr="0063258A">
        <w:t xml:space="preserve"> benzophenone derivative. The latter exceeds the 500 g/mol limit suggested by Lipinski’s Rule of Five, which may affect oral bioavailability (Lipinski et al., 2012; Veber et al., 2021). All compounds except the cyclopentane derivative possessed multiple hydrogen bond acceptors (4–5), while hydrogen bond</w:t>
      </w:r>
      <w:r w:rsidR="00D9367B">
        <w:t xml:space="preserve"> donors varied from none to two.</w:t>
      </w:r>
      <w:r w:rsidRPr="0063258A">
        <w:t xml:space="preserve"> a distribution consistent with general trends for moderate aqueous solubility and ta</w:t>
      </w:r>
      <w:r w:rsidR="00C90927">
        <w:t>rget binding (Ghose et al., 1998</w:t>
      </w:r>
      <w:r w:rsidRPr="0063258A">
        <w:t>).</w:t>
      </w:r>
    </w:p>
    <w:p w14:paraId="7FC5FF70" w14:textId="77777777" w:rsidR="00532230" w:rsidRPr="0063258A" w:rsidRDefault="00532230" w:rsidP="003A1A33">
      <w:pPr>
        <w:pStyle w:val="NormalWeb"/>
        <w:spacing w:before="240" w:beforeAutospacing="0" w:after="0" w:afterAutospacing="0" w:line="360" w:lineRule="auto"/>
        <w:jc w:val="both"/>
      </w:pPr>
      <w:r w:rsidRPr="0063258A">
        <w:t xml:space="preserve">Topological polar surface area (TPSA) values were within the optimal range (&lt;140 Å²) for oral drugs, with the cyclopentane derivative notably lacking polar functional groups (TPSA = 0.000 Å²), suggesting extreme lipophilicity and potential for blood–brain barrier (BBB) penetration, as supported by ADME predictions (Table 11). </w:t>
      </w:r>
      <w:proofErr w:type="spellStart"/>
      <w:r w:rsidRPr="0063258A">
        <w:t>LogP</w:t>
      </w:r>
      <w:proofErr w:type="spellEnd"/>
      <w:r w:rsidRPr="0063258A">
        <w:t xml:space="preserve"> values indicated that all compounds were lipophilic (3.31–6.02), with the cyclopentane derivative being the most hydrophobic. Compounds with </w:t>
      </w:r>
      <w:proofErr w:type="spellStart"/>
      <w:r w:rsidRPr="0063258A">
        <w:t>LogP</w:t>
      </w:r>
      <w:proofErr w:type="spellEnd"/>
      <w:r w:rsidRPr="0063258A">
        <w:t xml:space="preserve"> &gt; 5, such as the cyclopentane and benzophenone derivatives, may face solubility challenges despite improved membrane permeability (Lombardo et al., 2020).</w:t>
      </w:r>
    </w:p>
    <w:p w14:paraId="69E55808" w14:textId="77777777" w:rsidR="00532230" w:rsidRPr="0063258A" w:rsidRDefault="00532230" w:rsidP="003A1A33">
      <w:pPr>
        <w:pStyle w:val="NormalWeb"/>
        <w:spacing w:before="240" w:beforeAutospacing="0" w:after="0" w:afterAutospacing="0" w:line="360" w:lineRule="auto"/>
        <w:jc w:val="both"/>
      </w:pPr>
      <w:r w:rsidRPr="0063258A">
        <w:t xml:space="preserve">Flexibility indices ranged from 0.172 for the </w:t>
      </w:r>
      <w:proofErr w:type="spellStart"/>
      <w:r w:rsidRPr="0063258A">
        <w:t>acridinone</w:t>
      </w:r>
      <w:proofErr w:type="spellEnd"/>
      <w:r w:rsidRPr="0063258A">
        <w:t xml:space="preserve"> derivative to 0.538 for the </w:t>
      </w:r>
      <w:proofErr w:type="spellStart"/>
      <w:r w:rsidRPr="0063258A">
        <w:t>pentafluoropropanoyloxy</w:t>
      </w:r>
      <w:proofErr w:type="spellEnd"/>
      <w:r w:rsidRPr="0063258A">
        <w:t xml:space="preserve"> ester, reflecting differences in conformational adaptability during protein binding. Rotatable bond counts (3–7) were within the acceptable limit for oral drugs (&lt;10), but higher flexibility and rotatable bond numbers, as observed for the </w:t>
      </w:r>
      <w:proofErr w:type="spellStart"/>
      <w:r w:rsidRPr="0063258A">
        <w:t>pentafluoropropanoyloxy</w:t>
      </w:r>
      <w:proofErr w:type="spellEnd"/>
      <w:r w:rsidRPr="0063258A">
        <w:t xml:space="preserve"> ester, may increase entropic penalties upon binding (Veber et al., 2021). These physicochemical traits align closely with the docking and ADME findings, where compounds with balanced lipophilicity and moderate flexibility generally exhibited better predicted bioavailability and target interactions.</w:t>
      </w:r>
    </w:p>
    <w:p w14:paraId="1E6F1DEC" w14:textId="7E908154" w:rsidR="00532230" w:rsidRPr="0063258A" w:rsidRDefault="00532230" w:rsidP="003A1A33">
      <w:pPr>
        <w:pStyle w:val="NormalWeb"/>
        <w:spacing w:before="240" w:beforeAutospacing="0" w:after="0" w:afterAutospacing="0" w:line="360" w:lineRule="auto"/>
        <w:jc w:val="both"/>
      </w:pPr>
      <w:r w:rsidRPr="0063258A">
        <w:t xml:space="preserve">The predicted toxicity profiles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distinct differences in their potential safety risks. Skin sensitization probabilities were lowest for the bis-</w:t>
      </w:r>
      <w:proofErr w:type="spellStart"/>
      <w:r w:rsidRPr="0063258A">
        <w:t>hydroxycyclohexyl</w:t>
      </w:r>
      <w:proofErr w:type="spellEnd"/>
      <w:r w:rsidRPr="0063258A">
        <w:t xml:space="preserve"> benzophenone derivative (0.052) and highest for the </w:t>
      </w:r>
      <w:proofErr w:type="spellStart"/>
      <w:r w:rsidRPr="0063258A">
        <w:t>pentafluoropropanoyloxy</w:t>
      </w:r>
      <w:proofErr w:type="spellEnd"/>
      <w:r w:rsidRPr="0063258A">
        <w:t xml:space="preserve"> ester (0.980), suggesting that fluorinated esters may</w:t>
      </w:r>
      <w:r w:rsidR="00551C16">
        <w:t xml:space="preserve"> present higher allergenic risk.</w:t>
      </w:r>
      <w:r w:rsidRPr="0063258A">
        <w:t xml:space="preserve"> Carcinogenicity predictions showed relatively low values for most compounds (&lt;0.3), except the cyclopentane </w:t>
      </w:r>
      <w:r w:rsidRPr="0063258A">
        <w:lastRenderedPageBreak/>
        <w:t xml:space="preserve">derivative (0.445) and </w:t>
      </w:r>
      <w:proofErr w:type="spellStart"/>
      <w:r w:rsidRPr="0063258A">
        <w:t>pentafluoropropanoyloxy</w:t>
      </w:r>
      <w:proofErr w:type="spellEnd"/>
      <w:r w:rsidRPr="0063258A">
        <w:t xml:space="preserve"> ester (0.815), aligning with previous findings that hydrophobic hydrocarbons and perfluorinated groups can activate genotoxic pathways (Benigni &amp; Bossa, 2011).</w:t>
      </w:r>
    </w:p>
    <w:p w14:paraId="27DBB99B" w14:textId="54D198BB" w:rsidR="00532230" w:rsidRPr="0063258A" w:rsidRDefault="00532230" w:rsidP="003A1A33">
      <w:pPr>
        <w:pStyle w:val="NormalWeb"/>
        <w:spacing w:before="240" w:beforeAutospacing="0" w:after="0" w:afterAutospacing="0" w:line="360" w:lineRule="auto"/>
        <w:jc w:val="both"/>
      </w:pPr>
      <w:r w:rsidRPr="0063258A">
        <w:t xml:space="preserve">Ocular toxicity varied substantially, with the cyclopentane derivative showing high corrosion (0.861) and irritation (0.932) potential, whereas the benzophenone and </w:t>
      </w:r>
      <w:proofErr w:type="spellStart"/>
      <w:r w:rsidRPr="0063258A">
        <w:t>acridinone</w:t>
      </w:r>
      <w:proofErr w:type="spellEnd"/>
      <w:r w:rsidRPr="0063258A">
        <w:t xml:space="preserve"> derivatives had negligible eye hazard predictions. Respiratory toxicity was highest for the </w:t>
      </w:r>
      <w:proofErr w:type="spellStart"/>
      <w:r w:rsidRPr="0063258A">
        <w:t>acridinone</w:t>
      </w:r>
      <w:proofErr w:type="spellEnd"/>
      <w:r w:rsidRPr="0063258A">
        <w:t xml:space="preserve"> derivative (0.975) and </w:t>
      </w:r>
      <w:proofErr w:type="spellStart"/>
      <w:r w:rsidRPr="0063258A">
        <w:t>pentafluoropropanoyloxy</w:t>
      </w:r>
      <w:proofErr w:type="spellEnd"/>
      <w:r w:rsidRPr="0063258A">
        <w:t xml:space="preserve"> ester (0.949), in agreement with literature reporting increased inhalation hazard for polyaromatic and </w:t>
      </w:r>
      <w:r w:rsidR="003C7833">
        <w:t>fluorinated molecules (</w:t>
      </w:r>
      <w:proofErr w:type="spellStart"/>
      <w:r w:rsidR="003C7833">
        <w:t>Keyte</w:t>
      </w:r>
      <w:proofErr w:type="spellEnd"/>
      <w:r w:rsidR="003C7833">
        <w:t xml:space="preserve"> et al., 2013</w:t>
      </w:r>
      <w:r w:rsidRPr="0063258A">
        <w:t xml:space="preserve">). Hepatotoxicity risks were most pronounced for the benzophenone (0.745) and </w:t>
      </w:r>
      <w:proofErr w:type="spellStart"/>
      <w:r w:rsidRPr="0063258A">
        <w:t>acridinone</w:t>
      </w:r>
      <w:proofErr w:type="spellEnd"/>
      <w:r w:rsidRPr="0063258A">
        <w:t xml:space="preserve"> (0.925) derivatives, consistent with studies linking aromatic ketones and nitrogen heterocycles to drug-induced liver injury (McGill &amp; Jaeschke, 2019). Neurotoxicity predictions were elevated (&gt;0.5) for most compounds except the </w:t>
      </w:r>
      <w:proofErr w:type="spellStart"/>
      <w:r w:rsidRPr="0063258A">
        <w:t>pentafluoropropanoyloxy</w:t>
      </w:r>
      <w:proofErr w:type="spellEnd"/>
      <w:r w:rsidRPr="0063258A">
        <w:t xml:space="preserve"> ester (0.043).</w:t>
      </w:r>
    </w:p>
    <w:p w14:paraId="336C451A" w14:textId="2FE41638" w:rsidR="00532230" w:rsidRPr="0063258A" w:rsidRDefault="00532230" w:rsidP="003A1A33">
      <w:pPr>
        <w:pStyle w:val="NormalWeb"/>
        <w:spacing w:before="240" w:beforeAutospacing="0" w:after="0" w:afterAutospacing="0" w:line="360" w:lineRule="auto"/>
        <w:jc w:val="both"/>
      </w:pPr>
      <w:r w:rsidRPr="0063258A">
        <w:t xml:space="preserve">Ototoxicity was highest for the </w:t>
      </w:r>
      <w:proofErr w:type="spellStart"/>
      <w:r w:rsidRPr="0063258A">
        <w:t>acridinone</w:t>
      </w:r>
      <w:proofErr w:type="spellEnd"/>
      <w:r w:rsidRPr="0063258A">
        <w:t xml:space="preserve"> (0.987) and benzophenone (0.846) derivatives, consistent with reports of aromatic compounds interfering with cochlear function (Schacht et al., 2012). Nephrotoxicity was greatest for the benzophenone (0.937) and </w:t>
      </w:r>
      <w:proofErr w:type="spellStart"/>
      <w:r w:rsidRPr="0063258A">
        <w:t>acridinone</w:t>
      </w:r>
      <w:proofErr w:type="spellEnd"/>
      <w:r w:rsidRPr="0063258A">
        <w:t xml:space="preserve"> (0.924) derivatives, indicating potential renal safety concerns. Genotoxicity was predicted absent for most compounds, except the </w:t>
      </w:r>
      <w:proofErr w:type="spellStart"/>
      <w:r w:rsidRPr="0063258A">
        <w:t>acridinone</w:t>
      </w:r>
      <w:proofErr w:type="spellEnd"/>
      <w:r w:rsidRPr="0063258A">
        <w:t xml:space="preserve"> (1.000) and </w:t>
      </w:r>
      <w:proofErr w:type="spellStart"/>
      <w:r w:rsidRPr="0063258A">
        <w:t>pentafluoropropanoyloxy</w:t>
      </w:r>
      <w:proofErr w:type="spellEnd"/>
      <w:r w:rsidRPr="0063258A">
        <w:t xml:space="preserve"> ester (0.979), suggesting possible DNA-binding or oxidative stress mechanisms. Cytotoxicity assays (A549 and HEK293) predicted high activity for the benzophenone (0.911, 0.913) and </w:t>
      </w:r>
      <w:proofErr w:type="spellStart"/>
      <w:r w:rsidRPr="0063258A">
        <w:t>acridi</w:t>
      </w:r>
      <w:r w:rsidR="00250B77">
        <w:t>none</w:t>
      </w:r>
      <w:proofErr w:type="spellEnd"/>
      <w:r w:rsidR="00250B77">
        <w:t xml:space="preserve"> (0.759, 0.973) derivatives.</w:t>
      </w:r>
    </w:p>
    <w:p w14:paraId="5BA3CF75" w14:textId="77777777" w:rsidR="00532230" w:rsidRPr="0063258A" w:rsidRDefault="00532230" w:rsidP="003A1A33">
      <w:pPr>
        <w:pStyle w:val="NormalWeb"/>
        <w:spacing w:before="240" w:beforeAutospacing="0" w:after="0" w:afterAutospacing="0" w:line="360" w:lineRule="auto"/>
        <w:jc w:val="both"/>
      </w:pPr>
      <w:r w:rsidRPr="0063258A">
        <w:t xml:space="preserve">The drug-likeness evaluation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notable variability in compliance with common medicinal chemistry rules. According to </w:t>
      </w:r>
      <w:r w:rsidRPr="0063258A">
        <w:rPr>
          <w:rStyle w:val="Strong"/>
          <w:rFonts w:eastAsiaTheme="majorEastAsia"/>
          <w:b w:val="0"/>
        </w:rPr>
        <w:t>Lipinski's Rule of Five</w:t>
      </w:r>
      <w:r w:rsidRPr="0063258A">
        <w:t xml:space="preserve">, only </w:t>
      </w:r>
      <w:proofErr w:type="spellStart"/>
      <w:r w:rsidRPr="0063258A">
        <w:t>dicyclohexyl</w:t>
      </w:r>
      <w:proofErr w:type="spellEnd"/>
      <w:r w:rsidRPr="0063258A">
        <w:t xml:space="preserve"> benzene-1,2-dicarboxylate and the </w:t>
      </w:r>
      <w:proofErr w:type="spellStart"/>
      <w:r w:rsidRPr="0063258A">
        <w:t>pentafluoropropanoyloxy</w:t>
      </w:r>
      <w:proofErr w:type="spellEnd"/>
      <w:r w:rsidRPr="0063258A">
        <w:t xml:space="preserve"> ester met the criteria for oral bioavailability, whereas the bis-</w:t>
      </w:r>
      <w:proofErr w:type="spellStart"/>
      <w:r w:rsidRPr="0063258A">
        <w:t>hydroxycyclohexyl</w:t>
      </w:r>
      <w:proofErr w:type="spellEnd"/>
      <w:r w:rsidRPr="0063258A">
        <w:t xml:space="preserve"> benzophenone, cyclopentane derivatives, and </w:t>
      </w:r>
      <w:proofErr w:type="spellStart"/>
      <w:r w:rsidRPr="0063258A">
        <w:t>acridinone</w:t>
      </w:r>
      <w:proofErr w:type="spellEnd"/>
      <w:r w:rsidRPr="0063258A">
        <w:t xml:space="preserve"> derivatives failed, likely due to high molecular weights or excessive lipophilicity (Lipinski et al., 2001). The </w:t>
      </w:r>
      <w:r w:rsidRPr="0063258A">
        <w:rPr>
          <w:rStyle w:val="Strong"/>
          <w:rFonts w:eastAsiaTheme="majorEastAsia"/>
          <w:b w:val="0"/>
        </w:rPr>
        <w:t>Ghose filter</w:t>
      </w:r>
      <w:r w:rsidRPr="0063258A">
        <w:t xml:space="preserve">, which considers molecular weight, </w:t>
      </w:r>
      <w:proofErr w:type="spellStart"/>
      <w:r w:rsidRPr="0063258A">
        <w:t>logP</w:t>
      </w:r>
      <w:proofErr w:type="spellEnd"/>
      <w:r w:rsidRPr="0063258A">
        <w:t xml:space="preserve">, molar refractivity, and atom count, was satisfied solely by </w:t>
      </w:r>
      <w:proofErr w:type="spellStart"/>
      <w:r w:rsidRPr="0063258A">
        <w:t>dicyclohexyl</w:t>
      </w:r>
      <w:proofErr w:type="spellEnd"/>
      <w:r w:rsidRPr="0063258A">
        <w:t xml:space="preserve"> benzene-1,2-dicarboxylate, indicating a narrow compliance range within this dataset (Ghose et al., 1999).</w:t>
      </w:r>
    </w:p>
    <w:p w14:paraId="365AB39D" w14:textId="77777777" w:rsidR="00DD3B26" w:rsidRPr="0063258A" w:rsidRDefault="00532230" w:rsidP="003A1A33">
      <w:pPr>
        <w:pStyle w:val="NormalWeb"/>
        <w:spacing w:before="240" w:beforeAutospacing="0" w:after="0" w:afterAutospacing="0" w:line="360" w:lineRule="auto"/>
        <w:jc w:val="both"/>
        <w:rPr>
          <w:rStyle w:val="Strong"/>
          <w:b w:val="0"/>
          <w:bCs w:val="0"/>
        </w:rPr>
      </w:pPr>
      <w:r w:rsidRPr="0063258A">
        <w:lastRenderedPageBreak/>
        <w:t xml:space="preserve">The </w:t>
      </w:r>
      <w:r w:rsidRPr="0063258A">
        <w:rPr>
          <w:rStyle w:val="Strong"/>
          <w:rFonts w:eastAsiaTheme="majorEastAsia"/>
          <w:b w:val="0"/>
        </w:rPr>
        <w:t>Veber rule</w:t>
      </w:r>
      <w:r w:rsidRPr="0063258A">
        <w:t xml:space="preserve">, which emphasizes rotatable bonds and polar surface area for oral bioavailability, was met by three compounds: </w:t>
      </w:r>
      <w:proofErr w:type="spellStart"/>
      <w:r w:rsidRPr="0063258A">
        <w:t>dicyclohexyl</w:t>
      </w:r>
      <w:proofErr w:type="spellEnd"/>
      <w:r w:rsidRPr="0063258A">
        <w:t xml:space="preserve"> benzene-1,2-dicarboxylate, bis-</w:t>
      </w:r>
      <w:proofErr w:type="spellStart"/>
      <w:r w:rsidRPr="0063258A">
        <w:t>hydroxycyclohexyl</w:t>
      </w:r>
      <w:proofErr w:type="spellEnd"/>
      <w:r w:rsidRPr="0063258A">
        <w:t xml:space="preserve"> benzophenone, and </w:t>
      </w:r>
      <w:proofErr w:type="spellStart"/>
      <w:r w:rsidRPr="0063258A">
        <w:t>acridinone</w:t>
      </w:r>
      <w:proofErr w:type="spellEnd"/>
      <w:r w:rsidRPr="0063258A">
        <w:t xml:space="preserve">, consistent with previous observations that molecular flexibility and surface polarity can outweigh molecular weight in predicting oral absorption (Veber et al., 2002). The </w:t>
      </w:r>
      <w:r w:rsidRPr="0063258A">
        <w:rPr>
          <w:rStyle w:val="Strong"/>
          <w:rFonts w:eastAsiaTheme="majorEastAsia"/>
          <w:b w:val="0"/>
        </w:rPr>
        <w:t>Egan filter</w:t>
      </w:r>
      <w:r w:rsidRPr="0063258A">
        <w:t xml:space="preserve">, designed to evaluate blood–brain barrier penetration and absorption, was satisfied by only </w:t>
      </w:r>
      <w:proofErr w:type="spellStart"/>
      <w:r w:rsidRPr="0063258A">
        <w:t>dicyclohexyl</w:t>
      </w:r>
      <w:proofErr w:type="spellEnd"/>
      <w:r w:rsidRPr="0063258A">
        <w:t xml:space="preserve"> benzene-1,2-dicarboxylate and the </w:t>
      </w:r>
      <w:proofErr w:type="spellStart"/>
      <w:r w:rsidRPr="0063258A">
        <w:t>pentafluoropropanoyloxy</w:t>
      </w:r>
      <w:proofErr w:type="spellEnd"/>
      <w:r w:rsidRPr="0063258A">
        <w:t xml:space="preserve"> ester, indicating potential for CNS delivery (Egan et al., 2000). </w:t>
      </w:r>
      <w:r w:rsidRPr="0063258A">
        <w:rPr>
          <w:rStyle w:val="Strong"/>
          <w:rFonts w:eastAsiaTheme="majorEastAsia"/>
          <w:b w:val="0"/>
        </w:rPr>
        <w:t>Muegge's criteria</w:t>
      </w:r>
      <w:r w:rsidRPr="0063258A">
        <w:t xml:space="preserve">, which screen for drug-likeness based on pharmacophore features and physicochemical boundaries, were met exclusively by the </w:t>
      </w:r>
      <w:proofErr w:type="spellStart"/>
      <w:r w:rsidRPr="0063258A">
        <w:t>acridinone</w:t>
      </w:r>
      <w:proofErr w:type="spellEnd"/>
      <w:r w:rsidRPr="0063258A">
        <w:t xml:space="preserve"> and </w:t>
      </w:r>
      <w:proofErr w:type="spellStart"/>
      <w:r w:rsidRPr="0063258A">
        <w:t>pentafluoropropanoyloxy</w:t>
      </w:r>
      <w:proofErr w:type="spellEnd"/>
      <w:r w:rsidRPr="0063258A">
        <w:t xml:space="preserve"> ester, suggesting their structural profiles align more closely with known bioactive scaffolds (Muegge et al., 2001).</w:t>
      </w:r>
    </w:p>
    <w:p w14:paraId="50A96E64" w14:textId="77777777" w:rsidR="003A1A33" w:rsidRPr="0063258A" w:rsidRDefault="00DD3B26" w:rsidP="003A1A33">
      <w:pPr>
        <w:pStyle w:val="NormalWeb"/>
        <w:spacing w:before="240" w:beforeAutospacing="0" w:after="0" w:afterAutospacing="0" w:line="360" w:lineRule="auto"/>
        <w:jc w:val="both"/>
      </w:pPr>
      <w:r w:rsidRPr="0063258A">
        <w:rPr>
          <w:rStyle w:val="Strong"/>
          <w:rFonts w:eastAsiaTheme="majorEastAsia"/>
        </w:rPr>
        <w:t>CONCLUSION</w:t>
      </w:r>
      <w:r w:rsidRPr="00DD3B26">
        <w:br/>
        <w:t xml:space="preserve">The present toxicological, molecular docking, and pharmacokinetic evaluation demonstrates that phytoconstituents of </w:t>
      </w:r>
      <w:proofErr w:type="spellStart"/>
      <w:r w:rsidRPr="0063258A">
        <w:rPr>
          <w:i/>
          <w:iCs/>
        </w:rPr>
        <w:t>Tetracarpidium</w:t>
      </w:r>
      <w:proofErr w:type="spellEnd"/>
      <w:r w:rsidRPr="0063258A">
        <w:rPr>
          <w:i/>
          <w:iCs/>
        </w:rPr>
        <w:t xml:space="preserve"> </w:t>
      </w:r>
      <w:proofErr w:type="spellStart"/>
      <w:r w:rsidRPr="0063258A">
        <w:rPr>
          <w:i/>
          <w:iCs/>
        </w:rPr>
        <w:t>conophorum</w:t>
      </w:r>
      <w:proofErr w:type="spellEnd"/>
      <w:r w:rsidRPr="00DD3B26">
        <w:t xml:space="preserve"> possess promising ameliorative potential against mercury-induced pancreatic dysfunction. </w:t>
      </w:r>
      <w:r w:rsidR="003A1A33" w:rsidRPr="0063258A">
        <w:t xml:space="preserve">The study demonstrated that Tetracapidium extract exhibits dose-dependent protective effects against mercury chloride-induced pancreatic toxicity in rats. The findings showed a significant decrease in insulin levels, body weight, and pancreatic health in the mercury chloride-only group. Treatment with Tetracapidium extract resulted in improvements in insulin levels, body weight, and histological preservation of pancreatic tissue, likely due to its antioxidant properties. </w:t>
      </w:r>
      <w:r w:rsidRPr="00DD3B26">
        <w:t xml:space="preserve">Several identified hit compounds exhibited strong binding affinities to key pancreatic protective and antioxidant targets, potentially mitigating oxidative damage and metabolic dysregulation induced by mercury toxicity. </w:t>
      </w:r>
    </w:p>
    <w:p w14:paraId="0EFCE2CC" w14:textId="77777777" w:rsidR="003A1A33" w:rsidRPr="0063258A" w:rsidRDefault="00DD3B26" w:rsidP="003A1A33">
      <w:pPr>
        <w:pStyle w:val="NormalWeb"/>
        <w:spacing w:before="240" w:beforeAutospacing="0" w:after="0" w:afterAutospacing="0" w:line="360" w:lineRule="auto"/>
        <w:jc w:val="both"/>
      </w:pPr>
      <w:r w:rsidRPr="00DD3B26">
        <w:t xml:space="preserve">Pharmacokinetic profiling revealed that compounds such as </w:t>
      </w:r>
      <w:proofErr w:type="spellStart"/>
      <w:r w:rsidRPr="00DD3B26">
        <w:t>dicyclohexyl</w:t>
      </w:r>
      <w:proofErr w:type="spellEnd"/>
      <w:r w:rsidRPr="00DD3B26">
        <w:t xml:space="preserve"> benzene-1,2-dicarboxylate and [2-(2,2,3,3,3-pentafluoropropanoyloxy)phenyl] furan-2-carboxylate displayed favorable absorption, distribution, and drug-likeness characteristics, although certain hits presented hepatotoxicity, neurotoxicity, or genotoxicity concerns, indicating the need for cautious optimization. These findings align with existing reports on the protective effects of nut-derived </w:t>
      </w:r>
      <w:proofErr w:type="spellStart"/>
      <w:r w:rsidRPr="00DD3B26">
        <w:t>bioactives</w:t>
      </w:r>
      <w:proofErr w:type="spellEnd"/>
      <w:r w:rsidRPr="00DD3B26">
        <w:t xml:space="preserve"> in heavy metal-induced organ injury, reinforcing the potential of African walnut as a source of bioactive compounds for mitigating mercury-related pancreatic damage.</w:t>
      </w:r>
      <w:r w:rsidRPr="0063258A">
        <w:t xml:space="preserve"> </w:t>
      </w:r>
    </w:p>
    <w:p w14:paraId="1695783D" w14:textId="77777777" w:rsidR="00DD3B26" w:rsidRPr="00DD3B26" w:rsidRDefault="00DD3B26" w:rsidP="003A1A33">
      <w:pPr>
        <w:pStyle w:val="NormalWeb"/>
        <w:spacing w:before="240" w:beforeAutospacing="0" w:after="0" w:afterAutospacing="0" w:line="360" w:lineRule="auto"/>
        <w:jc w:val="both"/>
      </w:pPr>
      <w:r w:rsidRPr="00DD3B26">
        <w:lastRenderedPageBreak/>
        <w:t>Future work should involve in vitro and in vivo validation of the observed in-silico interactions to confirm their biological relevance in mercury-induced pancreatic injury models. Structural modifications should be explored to enhance the safety profile of promising but toxicity-prone compounds without compromising efficacy. Additionally, longitudinal studies assessing the synergistic effects of whole African walnut extracts versus isolated bioactive compounds may provide further insight into its therapeutic potential in environmental toxicant-induced pancreatic disorders.</w:t>
      </w:r>
    </w:p>
    <w:p w14:paraId="27F36BC2" w14:textId="77777777" w:rsidR="005D6413" w:rsidRPr="007A16B9" w:rsidRDefault="005D6413" w:rsidP="005D6413">
      <w:pPr>
        <w:pStyle w:val="ReferHead"/>
        <w:spacing w:after="0"/>
        <w:jc w:val="both"/>
        <w:rPr>
          <w:rFonts w:ascii="Times New Roman" w:hAnsi="Times New Roman"/>
          <w:b w:val="0"/>
          <w:caps w:val="0"/>
          <w:sz w:val="24"/>
          <w:szCs w:val="24"/>
        </w:rPr>
      </w:pPr>
    </w:p>
    <w:p w14:paraId="4079BAD5" w14:textId="77777777" w:rsidR="005D6413" w:rsidRPr="007A16B9" w:rsidRDefault="005D6413" w:rsidP="005D6413">
      <w:pPr>
        <w:pStyle w:val="ReferHead"/>
        <w:spacing w:after="0"/>
        <w:jc w:val="both"/>
        <w:rPr>
          <w:rFonts w:ascii="Times New Roman" w:hAnsi="Times New Roman"/>
          <w:b w:val="0"/>
          <w:caps w:val="0"/>
          <w:sz w:val="24"/>
          <w:szCs w:val="24"/>
        </w:rPr>
      </w:pPr>
    </w:p>
    <w:p w14:paraId="1901508D" w14:textId="77777777" w:rsidR="005D6413" w:rsidRPr="007A16B9" w:rsidRDefault="005D6413" w:rsidP="005D6413">
      <w:pPr>
        <w:pStyle w:val="ReferHead"/>
        <w:spacing w:after="0"/>
        <w:jc w:val="both"/>
        <w:rPr>
          <w:rFonts w:ascii="Times New Roman" w:hAnsi="Times New Roman"/>
          <w:bCs/>
          <w:sz w:val="24"/>
          <w:szCs w:val="24"/>
        </w:rPr>
      </w:pPr>
      <w:r w:rsidRPr="007A16B9">
        <w:rPr>
          <w:rFonts w:ascii="Times New Roman" w:hAnsi="Times New Roman"/>
          <w:bCs/>
          <w:sz w:val="24"/>
          <w:szCs w:val="24"/>
        </w:rPr>
        <w:t xml:space="preserve">Ethical approval </w:t>
      </w:r>
    </w:p>
    <w:p w14:paraId="627BFC86" w14:textId="77777777" w:rsidR="005D6413" w:rsidRPr="007A16B9" w:rsidRDefault="005D6413" w:rsidP="005D6413">
      <w:pPr>
        <w:pStyle w:val="ReferHead"/>
        <w:spacing w:after="0"/>
        <w:jc w:val="both"/>
        <w:rPr>
          <w:rFonts w:ascii="Times New Roman" w:hAnsi="Times New Roman"/>
          <w:bCs/>
          <w:sz w:val="24"/>
          <w:szCs w:val="24"/>
        </w:rPr>
      </w:pPr>
    </w:p>
    <w:p w14:paraId="49938F93" w14:textId="77777777" w:rsidR="005D6413" w:rsidRPr="000329AF" w:rsidRDefault="005D6413" w:rsidP="005D6413">
      <w:pPr>
        <w:jc w:val="both"/>
        <w:rPr>
          <w:rFonts w:ascii="Times New Roman" w:hAnsi="Times New Roman" w:cs="Times New Roman"/>
          <w:sz w:val="24"/>
          <w:szCs w:val="24"/>
        </w:rPr>
      </w:pPr>
      <w:r w:rsidRPr="000329AF">
        <w:rPr>
          <w:rFonts w:ascii="Times New Roman" w:hAnsi="Times New Roman" w:cs="Times New Roman"/>
          <w:sz w:val="24"/>
          <w:szCs w:val="24"/>
        </w:rPr>
        <w:t xml:space="preserve">This was obtained from the ethical committee, faculty of basic medical sciences Chukwuemeka </w:t>
      </w:r>
      <w:proofErr w:type="spellStart"/>
      <w:r w:rsidRPr="000329AF">
        <w:rPr>
          <w:rFonts w:ascii="Times New Roman" w:hAnsi="Times New Roman" w:cs="Times New Roman"/>
          <w:sz w:val="24"/>
          <w:szCs w:val="24"/>
        </w:rPr>
        <w:t>Odumegwu</w:t>
      </w:r>
      <w:proofErr w:type="spellEnd"/>
      <w:r w:rsidRPr="000329AF">
        <w:rPr>
          <w:rFonts w:ascii="Times New Roman" w:hAnsi="Times New Roman" w:cs="Times New Roman"/>
          <w:sz w:val="24"/>
          <w:szCs w:val="24"/>
        </w:rPr>
        <w:t xml:space="preserve"> Ojukwu University, </w:t>
      </w:r>
      <w:proofErr w:type="spellStart"/>
      <w:r w:rsidRPr="000329AF">
        <w:rPr>
          <w:rFonts w:ascii="Times New Roman" w:hAnsi="Times New Roman" w:cs="Times New Roman"/>
          <w:sz w:val="24"/>
          <w:szCs w:val="24"/>
        </w:rPr>
        <w:t>Uli</w:t>
      </w:r>
      <w:proofErr w:type="spellEnd"/>
      <w:r w:rsidRPr="000329AF">
        <w:rPr>
          <w:rFonts w:ascii="Times New Roman" w:hAnsi="Times New Roman" w:cs="Times New Roman"/>
          <w:sz w:val="24"/>
          <w:szCs w:val="24"/>
        </w:rPr>
        <w:t xml:space="preserve"> campus in compliance with the relevant laws and institution’s guidelines.</w:t>
      </w:r>
    </w:p>
    <w:p w14:paraId="3CF7CDA6" w14:textId="77777777" w:rsidR="00495616" w:rsidRDefault="005D6413" w:rsidP="00F932C2">
      <w:pPr>
        <w:jc w:val="both"/>
        <w:rPr>
          <w:rFonts w:ascii="Times New Roman" w:hAnsi="Times New Roman" w:cs="Times New Roman"/>
          <w:b/>
          <w:caps/>
          <w:sz w:val="24"/>
          <w:szCs w:val="24"/>
        </w:rPr>
      </w:pPr>
      <w:r w:rsidRPr="000329AF">
        <w:rPr>
          <w:rFonts w:ascii="Times New Roman" w:hAnsi="Times New Roman" w:cs="Times New Roman"/>
          <w:sz w:val="24"/>
          <w:szCs w:val="24"/>
        </w:rPr>
        <w:t>All authors hereby declare that "Principles of laboratory animal care" (NIH publication No. 85-23, revised 1985) were followed, as well as specific national laws where applicable. All experiments have been examined and approved by the appropriate ethics committee</w:t>
      </w:r>
      <w:r w:rsidRPr="000329AF">
        <w:rPr>
          <w:rFonts w:ascii="Times New Roman" w:hAnsi="Times New Roman" w:cs="Times New Roman"/>
          <w:b/>
          <w:caps/>
          <w:sz w:val="24"/>
          <w:szCs w:val="24"/>
        </w:rPr>
        <w:t>.</w:t>
      </w:r>
    </w:p>
    <w:p w14:paraId="042A8E44" w14:textId="77777777" w:rsidR="005D6718" w:rsidRDefault="005D6718" w:rsidP="00F932C2">
      <w:pPr>
        <w:jc w:val="both"/>
        <w:rPr>
          <w:rFonts w:ascii="Times New Roman" w:hAnsi="Times New Roman" w:cs="Times New Roman"/>
          <w:b/>
          <w:caps/>
          <w:sz w:val="24"/>
          <w:szCs w:val="24"/>
        </w:rPr>
      </w:pPr>
    </w:p>
    <w:p w14:paraId="456596DD" w14:textId="77777777" w:rsidR="005D6718" w:rsidRPr="005D6718" w:rsidRDefault="005D6718" w:rsidP="005D6718">
      <w:pPr>
        <w:spacing w:after="200" w:line="276" w:lineRule="auto"/>
        <w:rPr>
          <w:rFonts w:ascii="Arial" w:eastAsia="Times New Roman" w:hAnsi="Arial" w:cs="Arial"/>
          <w:b/>
          <w:bCs/>
          <w:lang w:val="en-GB" w:eastAsia="en-GB"/>
        </w:rPr>
      </w:pPr>
      <w:r w:rsidRPr="005D6718">
        <w:rPr>
          <w:rFonts w:ascii="Arial" w:eastAsia="Times New Roman" w:hAnsi="Arial" w:cs="Arial"/>
          <w:b/>
          <w:bCs/>
          <w:lang w:val="en-GB" w:eastAsia="en-GB"/>
        </w:rPr>
        <w:t>COMPETING INTERESTS DISCLAIMER:</w:t>
      </w:r>
    </w:p>
    <w:p w14:paraId="65597380" w14:textId="77777777" w:rsidR="005D6718" w:rsidRPr="005D6718" w:rsidRDefault="005D6718" w:rsidP="005D6718">
      <w:pPr>
        <w:spacing w:after="200" w:line="276" w:lineRule="auto"/>
        <w:rPr>
          <w:rFonts w:ascii="Calibri" w:eastAsia="Times New Roman" w:hAnsi="Calibri" w:cs="Times New Roman"/>
          <w:lang w:val="en-GB" w:eastAsia="en-GB"/>
        </w:rPr>
      </w:pPr>
      <w:r w:rsidRPr="005D6718">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4C53A2D8" w14:textId="77777777" w:rsidR="000D72D9" w:rsidRPr="009F49B4" w:rsidRDefault="000D72D9" w:rsidP="000D72D9">
      <w:pPr>
        <w:pStyle w:val="NoSpacing"/>
        <w:rPr>
          <w:rFonts w:ascii="Arial" w:hAnsi="Arial" w:cs="Arial"/>
          <w:b/>
        </w:rPr>
      </w:pPr>
      <w:bookmarkStart w:id="0" w:name="_Hlk219284361"/>
      <w:bookmarkStart w:id="1" w:name="_Hlk225937769"/>
      <w:bookmarkStart w:id="2" w:name="_Hlk198031404"/>
      <w:bookmarkStart w:id="3" w:name="_Hlk219128673"/>
      <w:r w:rsidRPr="009F49B4">
        <w:rPr>
          <w:rFonts w:ascii="Arial" w:hAnsi="Arial" w:cs="Arial"/>
          <w:b/>
        </w:rPr>
        <w:t>Disclaimer (Artificial intelligence)</w:t>
      </w:r>
    </w:p>
    <w:p w14:paraId="3F9B1036" w14:textId="77777777" w:rsidR="000D72D9" w:rsidRPr="009F49B4" w:rsidRDefault="000D72D9" w:rsidP="000D72D9">
      <w:pPr>
        <w:pStyle w:val="NoSpacing"/>
        <w:rPr>
          <w:rFonts w:ascii="Arial" w:hAnsi="Arial" w:cs="Arial"/>
          <w:b/>
        </w:rPr>
      </w:pPr>
    </w:p>
    <w:p w14:paraId="3AC9B5FE" w14:textId="77777777" w:rsidR="000D72D9" w:rsidRPr="009F49B4" w:rsidRDefault="000D72D9" w:rsidP="000D72D9">
      <w:pPr>
        <w:pStyle w:val="NoSpacing"/>
        <w:rPr>
          <w:rFonts w:ascii="Arial" w:hAnsi="Arial" w:cs="Arial"/>
        </w:rPr>
      </w:pPr>
      <w:r w:rsidRPr="009F49B4">
        <w:rPr>
          <w:rFonts w:ascii="Arial" w:hAnsi="Arial" w:cs="Arial"/>
        </w:rPr>
        <w:t>Author(s) hereby declare that NO generative AI technologies such as Large Language Models (</w:t>
      </w:r>
      <w:proofErr w:type="spellStart"/>
      <w:r w:rsidRPr="009F49B4">
        <w:rPr>
          <w:rFonts w:ascii="Arial" w:hAnsi="Arial" w:cs="Arial"/>
        </w:rPr>
        <w:t>ChatGPT</w:t>
      </w:r>
      <w:proofErr w:type="spellEnd"/>
      <w:r w:rsidRPr="009F49B4">
        <w:rPr>
          <w:rFonts w:ascii="Arial" w:hAnsi="Arial" w:cs="Arial"/>
        </w:rPr>
        <w:t>, COPILOT, etc.) and text-to-image generators have been used during the writing or editing of this manuscript</w:t>
      </w:r>
      <w:bookmarkEnd w:id="0"/>
      <w:r w:rsidRPr="009F49B4">
        <w:rPr>
          <w:rFonts w:ascii="Arial" w:hAnsi="Arial" w:cs="Arial"/>
        </w:rPr>
        <w:t xml:space="preserve">. </w:t>
      </w:r>
      <w:bookmarkEnd w:id="1"/>
    </w:p>
    <w:bookmarkEnd w:id="2"/>
    <w:p w14:paraId="6757AAF6" w14:textId="77777777" w:rsidR="000D72D9" w:rsidRDefault="000D72D9" w:rsidP="000D72D9">
      <w:pPr>
        <w:pStyle w:val="NoSpacing"/>
        <w:rPr>
          <w:rFonts w:ascii="Arial" w:hAnsi="Arial" w:cs="Arial"/>
        </w:rPr>
      </w:pPr>
    </w:p>
    <w:bookmarkEnd w:id="3"/>
    <w:p w14:paraId="7C3C7434" w14:textId="77777777" w:rsidR="005D6718" w:rsidRPr="00F932C2" w:rsidRDefault="005D6718" w:rsidP="00F932C2">
      <w:pPr>
        <w:jc w:val="both"/>
        <w:rPr>
          <w:rStyle w:val="Strong"/>
          <w:rFonts w:ascii="Times New Roman" w:hAnsi="Times New Roman" w:cs="Times New Roman"/>
          <w:b w:val="0"/>
          <w:bCs w:val="0"/>
          <w:sz w:val="24"/>
          <w:szCs w:val="24"/>
        </w:rPr>
      </w:pPr>
    </w:p>
    <w:p w14:paraId="09992B94" w14:textId="77777777" w:rsidR="00495616" w:rsidRPr="0063258A" w:rsidRDefault="00495616" w:rsidP="003A1A33">
      <w:pPr>
        <w:pStyle w:val="NormalWeb"/>
        <w:spacing w:before="240" w:beforeAutospacing="0" w:line="360" w:lineRule="auto"/>
        <w:rPr>
          <w:rStyle w:val="Strong"/>
          <w:rFonts w:eastAsiaTheme="majorEastAsia"/>
        </w:rPr>
      </w:pPr>
    </w:p>
    <w:p w14:paraId="5429912D" w14:textId="77777777" w:rsidR="00495616" w:rsidRPr="0063258A" w:rsidRDefault="00495616" w:rsidP="00495616">
      <w:pPr>
        <w:pStyle w:val="NormalWeb"/>
        <w:jc w:val="center"/>
        <w:rPr>
          <w:rFonts w:eastAsiaTheme="minorHAnsi"/>
          <w:b/>
        </w:rPr>
      </w:pPr>
      <w:r w:rsidRPr="0063258A">
        <w:rPr>
          <w:rFonts w:eastAsiaTheme="minorHAnsi"/>
          <w:b/>
        </w:rPr>
        <w:t>REFERENCES</w:t>
      </w:r>
    </w:p>
    <w:p w14:paraId="659E2793" w14:textId="77777777" w:rsidR="00CB5660" w:rsidRDefault="00CB5660" w:rsidP="00495616">
      <w:pPr>
        <w:pStyle w:val="NormalWeb"/>
        <w:ind w:left="720" w:hanging="720"/>
        <w:jc w:val="both"/>
      </w:pPr>
    </w:p>
    <w:p w14:paraId="4DEDC0D8" w14:textId="55F92E4E" w:rsidR="00CB5660" w:rsidRDefault="00CB5660" w:rsidP="0009724F">
      <w:pPr>
        <w:pStyle w:val="NormalWeb"/>
        <w:numPr>
          <w:ilvl w:val="0"/>
          <w:numId w:val="5"/>
        </w:numPr>
        <w:jc w:val="both"/>
      </w:pPr>
      <w:bookmarkStart w:id="4" w:name="_GoBack"/>
      <w:proofErr w:type="spellStart"/>
      <w:r>
        <w:t>Allocati</w:t>
      </w:r>
      <w:proofErr w:type="spellEnd"/>
      <w:r>
        <w:t xml:space="preserve">, N., </w:t>
      </w:r>
      <w:proofErr w:type="spellStart"/>
      <w:r>
        <w:t>Masulli</w:t>
      </w:r>
      <w:proofErr w:type="spellEnd"/>
      <w:r>
        <w:t xml:space="preserve">, M., Di </w:t>
      </w:r>
      <w:proofErr w:type="spellStart"/>
      <w:r>
        <w:t>Ilio</w:t>
      </w:r>
      <w:proofErr w:type="spellEnd"/>
      <w:r>
        <w:t xml:space="preserve">, C., &amp; Federici, L. (2018). Glutathione transferases: Substrates, inhibitors and pro-drugs in cancer and neurodegenerative diseases. </w:t>
      </w:r>
      <w:r>
        <w:rPr>
          <w:rStyle w:val="Emphasis"/>
        </w:rPr>
        <w:t>Oncogenesis, 7</w:t>
      </w:r>
      <w:r>
        <w:t>(1), 8. https://doi.org/10.1038/s41389-017-0025-3</w:t>
      </w:r>
    </w:p>
    <w:p w14:paraId="14604756" w14:textId="77777777" w:rsidR="00495616" w:rsidRPr="0063258A" w:rsidRDefault="00495616" w:rsidP="0009724F">
      <w:pPr>
        <w:pStyle w:val="NormalWeb"/>
        <w:numPr>
          <w:ilvl w:val="0"/>
          <w:numId w:val="5"/>
        </w:numPr>
        <w:jc w:val="both"/>
      </w:pPr>
      <w:r w:rsidRPr="0063258A">
        <w:lastRenderedPageBreak/>
        <w:t xml:space="preserve">Anyanwu, C., Obioha, E., </w:t>
      </w:r>
      <w:proofErr w:type="spellStart"/>
      <w:r w:rsidRPr="0063258A">
        <w:t>Ezenwere</w:t>
      </w:r>
      <w:proofErr w:type="spellEnd"/>
      <w:r w:rsidRPr="0063258A">
        <w:t xml:space="preserve">, S. A., &amp; </w:t>
      </w:r>
      <w:proofErr w:type="spellStart"/>
      <w:r w:rsidRPr="0063258A">
        <w:t>Nosiri</w:t>
      </w:r>
      <w:proofErr w:type="spellEnd"/>
      <w:r w:rsidRPr="0063258A">
        <w:t xml:space="preserve">, C. I. (2020). Tissue repair response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seed extract against paracetamol-induced hepatotoxicity in Wistar rats. </w:t>
      </w:r>
      <w:r w:rsidRPr="0063258A">
        <w:rPr>
          <w:rStyle w:val="Emphasis"/>
        </w:rPr>
        <w:t>World Journal of Advanced Research and Reviews, 6</w:t>
      </w:r>
      <w:r w:rsidRPr="0063258A">
        <w:t xml:space="preserve">(1), 106–113. </w:t>
      </w:r>
    </w:p>
    <w:p w14:paraId="4F7E14FE" w14:textId="29C30D28" w:rsidR="005D4F84" w:rsidRDefault="005D4F84" w:rsidP="0009724F">
      <w:pPr>
        <w:pStyle w:val="NormalWeb"/>
        <w:numPr>
          <w:ilvl w:val="0"/>
          <w:numId w:val="5"/>
        </w:numPr>
        <w:jc w:val="both"/>
      </w:pPr>
      <w:proofErr w:type="spellStart"/>
      <w:r>
        <w:t>Baig</w:t>
      </w:r>
      <w:proofErr w:type="spellEnd"/>
      <w:r>
        <w:t xml:space="preserve">, M. H., Ahmad, K., Rabbani, G., </w:t>
      </w:r>
      <w:proofErr w:type="spellStart"/>
      <w:r>
        <w:t>Danishuddin</w:t>
      </w:r>
      <w:proofErr w:type="spellEnd"/>
      <w:r>
        <w:t xml:space="preserve">, M., &amp; Choi, I. (2016). Computer aided drug design: Success and limitations. </w:t>
      </w:r>
      <w:r>
        <w:rPr>
          <w:rStyle w:val="Emphasis"/>
        </w:rPr>
        <w:t>Current Pharmaceutical Design, 22</w:t>
      </w:r>
      <w:r>
        <w:t xml:space="preserve">(5), 572–581. </w:t>
      </w:r>
      <w:hyperlink r:id="rId29" w:history="1">
        <w:r w:rsidRPr="00EC42BB">
          <w:rPr>
            <w:rStyle w:val="Hyperlink"/>
          </w:rPr>
          <w:t>https://doi.org/10.2174/1381612822666151125000550</w:t>
        </w:r>
      </w:hyperlink>
    </w:p>
    <w:p w14:paraId="4F07E701" w14:textId="32F82695" w:rsidR="00495616" w:rsidRDefault="00495616" w:rsidP="0009724F">
      <w:pPr>
        <w:pStyle w:val="NormalWeb"/>
        <w:numPr>
          <w:ilvl w:val="0"/>
          <w:numId w:val="5"/>
        </w:numPr>
        <w:jc w:val="both"/>
      </w:pPr>
      <w:r w:rsidRPr="0063258A">
        <w:t xml:space="preserve">Benigni, R., &amp; Bossa, C. (2011). Mechanisms of chemical carcinogenicity and mutagenicity: A review with implications for predictive toxicology. </w:t>
      </w:r>
      <w:r w:rsidRPr="0063258A">
        <w:rPr>
          <w:rStyle w:val="Emphasis"/>
        </w:rPr>
        <w:t>Chemical Reviews</w:t>
      </w:r>
      <w:r w:rsidRPr="0063258A">
        <w:t xml:space="preserve">, 111(4), 2507–2536. </w:t>
      </w:r>
    </w:p>
    <w:p w14:paraId="3D490597" w14:textId="17F54FA2" w:rsidR="00F81322" w:rsidRPr="0063258A" w:rsidRDefault="00F81322" w:rsidP="0009724F">
      <w:pPr>
        <w:pStyle w:val="NormalWeb"/>
        <w:numPr>
          <w:ilvl w:val="0"/>
          <w:numId w:val="5"/>
        </w:numPr>
      </w:pPr>
      <w:proofErr w:type="spellStart"/>
      <w:r>
        <w:t>Bissantz</w:t>
      </w:r>
      <w:proofErr w:type="spellEnd"/>
      <w:r>
        <w:t xml:space="preserve">, C., Kuhn, B., &amp; Stahl, M. (2010). A medicinal chemist’s guide to molecular interactions. </w:t>
      </w:r>
      <w:r>
        <w:rPr>
          <w:rStyle w:val="Emphasis"/>
        </w:rPr>
        <w:t>Journal of Medicinal Chemistry, 53</w:t>
      </w:r>
      <w:r>
        <w:t xml:space="preserve">(14), 5061–5084. </w:t>
      </w:r>
      <w:hyperlink r:id="rId30" w:tgtFrame="_new" w:history="1">
        <w:r>
          <w:rPr>
            <w:rStyle w:val="Hyperlink"/>
            <w:rFonts w:eastAsiaTheme="majorEastAsia"/>
          </w:rPr>
          <w:t>https://doi.org/10.1021/jm100112j</w:t>
        </w:r>
      </w:hyperlink>
    </w:p>
    <w:p w14:paraId="20EE94A3" w14:textId="639057CE" w:rsidR="00495616" w:rsidRPr="0009724F" w:rsidRDefault="007F38C8" w:rsidP="0009724F">
      <w:pPr>
        <w:pStyle w:val="ListParagraph"/>
        <w:numPr>
          <w:ilvl w:val="0"/>
          <w:numId w:val="5"/>
        </w:numPr>
        <w:spacing w:before="75" w:after="75" w:line="240" w:lineRule="auto"/>
        <w:rPr>
          <w:rStyle w:val="Hyperlink"/>
          <w:rFonts w:ascii="Times New Roman" w:eastAsia="Times New Roman" w:hAnsi="Times New Roman" w:cs="Times New Roman"/>
          <w:sz w:val="24"/>
          <w:szCs w:val="24"/>
        </w:rPr>
      </w:pPr>
      <w:proofErr w:type="spellStart"/>
      <w:r w:rsidRPr="0009724F">
        <w:rPr>
          <w:rFonts w:ascii="Times New Roman" w:eastAsia="Times New Roman" w:hAnsi="Times New Roman" w:cs="Times New Roman"/>
          <w:sz w:val="24"/>
          <w:szCs w:val="24"/>
        </w:rPr>
        <w:t>Cappellini</w:t>
      </w:r>
      <w:proofErr w:type="spellEnd"/>
      <w:r w:rsidRPr="0009724F">
        <w:rPr>
          <w:rFonts w:ascii="Times New Roman" w:eastAsia="Times New Roman" w:hAnsi="Times New Roman" w:cs="Times New Roman"/>
          <w:sz w:val="24"/>
          <w:szCs w:val="24"/>
        </w:rPr>
        <w:t xml:space="preserve">, M. D., Porter, J. B., </w:t>
      </w:r>
      <w:proofErr w:type="spellStart"/>
      <w:r w:rsidRPr="0009724F">
        <w:rPr>
          <w:rFonts w:ascii="Times New Roman" w:eastAsia="Times New Roman" w:hAnsi="Times New Roman" w:cs="Times New Roman"/>
          <w:sz w:val="24"/>
          <w:szCs w:val="24"/>
        </w:rPr>
        <w:t>Viprakasit</w:t>
      </w:r>
      <w:proofErr w:type="spellEnd"/>
      <w:r w:rsidRPr="0009724F">
        <w:rPr>
          <w:rFonts w:ascii="Times New Roman" w:eastAsia="Times New Roman" w:hAnsi="Times New Roman" w:cs="Times New Roman"/>
          <w:sz w:val="24"/>
          <w:szCs w:val="24"/>
        </w:rPr>
        <w:t>, V., &amp; Taher, A. T.</w:t>
      </w:r>
      <w:r w:rsidR="00F41348" w:rsidRPr="0009724F">
        <w:rPr>
          <w:rFonts w:ascii="Times New Roman" w:hAnsi="Times New Roman" w:cs="Times New Roman"/>
          <w:sz w:val="24"/>
          <w:szCs w:val="24"/>
        </w:rPr>
        <w:t xml:space="preserve"> (2018</w:t>
      </w:r>
      <w:r w:rsidR="00495616" w:rsidRPr="0009724F">
        <w:rPr>
          <w:rFonts w:ascii="Times New Roman" w:hAnsi="Times New Roman" w:cs="Times New Roman"/>
          <w:sz w:val="24"/>
          <w:szCs w:val="24"/>
        </w:rPr>
        <w:t>). A paradigm shift on beta-</w:t>
      </w:r>
      <w:proofErr w:type="spellStart"/>
      <w:r w:rsidR="00495616" w:rsidRPr="0009724F">
        <w:rPr>
          <w:rFonts w:ascii="Times New Roman" w:hAnsi="Times New Roman" w:cs="Times New Roman"/>
          <w:sz w:val="24"/>
          <w:szCs w:val="24"/>
        </w:rPr>
        <w:t>thalassaemia</w:t>
      </w:r>
      <w:proofErr w:type="spellEnd"/>
      <w:r w:rsidR="00495616" w:rsidRPr="0009724F">
        <w:rPr>
          <w:rFonts w:ascii="Times New Roman" w:hAnsi="Times New Roman" w:cs="Times New Roman"/>
          <w:sz w:val="24"/>
          <w:szCs w:val="24"/>
        </w:rPr>
        <w:t xml:space="preserve"> treatment: How will we manage this old disease with new therapies? </w:t>
      </w:r>
      <w:r w:rsidR="00495616" w:rsidRPr="0009724F">
        <w:rPr>
          <w:rStyle w:val="Emphasis"/>
          <w:rFonts w:ascii="Times New Roman" w:hAnsi="Times New Roman" w:cs="Times New Roman"/>
          <w:sz w:val="24"/>
          <w:szCs w:val="24"/>
        </w:rPr>
        <w:t>Blood Reviews</w:t>
      </w:r>
      <w:r w:rsidRPr="0009724F">
        <w:rPr>
          <w:rFonts w:ascii="Times New Roman" w:hAnsi="Times New Roman" w:cs="Times New Roman"/>
          <w:sz w:val="24"/>
          <w:szCs w:val="24"/>
        </w:rPr>
        <w:t>, 32(4), 300-311</w:t>
      </w:r>
      <w:r w:rsidR="00495616" w:rsidRPr="0009724F">
        <w:rPr>
          <w:rFonts w:ascii="Times New Roman" w:hAnsi="Times New Roman" w:cs="Times New Roman"/>
          <w:sz w:val="24"/>
          <w:szCs w:val="24"/>
        </w:rPr>
        <w:t xml:space="preserve">. </w:t>
      </w:r>
      <w:hyperlink r:id="rId31" w:history="1">
        <w:r w:rsidRPr="0009724F">
          <w:rPr>
            <w:rStyle w:val="Hyperlink"/>
            <w:rFonts w:ascii="Times New Roman" w:eastAsia="Times New Roman" w:hAnsi="Times New Roman" w:cs="Times New Roman"/>
            <w:sz w:val="24"/>
            <w:szCs w:val="24"/>
          </w:rPr>
          <w:t>10.1016/j.blre.2018.02.001</w:t>
        </w:r>
      </w:hyperlink>
    </w:p>
    <w:p w14:paraId="12FED996" w14:textId="2A18EE01" w:rsidR="0024538D" w:rsidRPr="0009724F" w:rsidRDefault="0024538D" w:rsidP="0009724F">
      <w:pPr>
        <w:pStyle w:val="ListParagraph"/>
        <w:numPr>
          <w:ilvl w:val="0"/>
          <w:numId w:val="5"/>
        </w:numPr>
        <w:spacing w:before="75" w:after="75" w:line="240" w:lineRule="auto"/>
        <w:rPr>
          <w:rStyle w:val="Hyperlink"/>
          <w:rFonts w:ascii="Times New Roman" w:eastAsia="Times New Roman" w:hAnsi="Times New Roman" w:cs="Times New Roman"/>
          <w:sz w:val="24"/>
          <w:szCs w:val="24"/>
        </w:rPr>
      </w:pPr>
      <w:r w:rsidRPr="0009724F">
        <w:rPr>
          <w:rStyle w:val="whitespace-normal"/>
          <w:rFonts w:ascii="Times New Roman" w:hAnsi="Times New Roman" w:cs="Times New Roman"/>
          <w:sz w:val="24"/>
          <w:szCs w:val="24"/>
        </w:rPr>
        <w:t xml:space="preserve">Caterina </w:t>
      </w:r>
      <w:proofErr w:type="spellStart"/>
      <w:r w:rsidRPr="0009724F">
        <w:rPr>
          <w:rStyle w:val="whitespace-normal"/>
          <w:rFonts w:ascii="Times New Roman" w:hAnsi="Times New Roman" w:cs="Times New Roman"/>
          <w:sz w:val="24"/>
          <w:szCs w:val="24"/>
        </w:rPr>
        <w:t>Bissantz</w:t>
      </w:r>
      <w:proofErr w:type="spellEnd"/>
      <w:r w:rsidRPr="0009724F">
        <w:rPr>
          <w:rFonts w:ascii="Times New Roman" w:hAnsi="Times New Roman" w:cs="Times New Roman"/>
          <w:sz w:val="24"/>
          <w:szCs w:val="24"/>
        </w:rPr>
        <w:t xml:space="preserve">, </w:t>
      </w:r>
      <w:r w:rsidRPr="0009724F">
        <w:rPr>
          <w:rStyle w:val="whitespace-normal"/>
          <w:rFonts w:ascii="Times New Roman" w:hAnsi="Times New Roman" w:cs="Times New Roman"/>
          <w:sz w:val="24"/>
          <w:szCs w:val="24"/>
        </w:rPr>
        <w:t>Bernd Kuhn</w:t>
      </w:r>
      <w:r w:rsidRPr="0009724F">
        <w:rPr>
          <w:rFonts w:ascii="Times New Roman" w:hAnsi="Times New Roman" w:cs="Times New Roman"/>
          <w:sz w:val="24"/>
          <w:szCs w:val="24"/>
        </w:rPr>
        <w:t xml:space="preserve">, </w:t>
      </w:r>
      <w:r w:rsidRPr="0009724F">
        <w:rPr>
          <w:rStyle w:val="whitespace-normal"/>
          <w:rFonts w:ascii="Times New Roman" w:hAnsi="Times New Roman" w:cs="Times New Roman"/>
          <w:sz w:val="24"/>
          <w:szCs w:val="24"/>
        </w:rPr>
        <w:t>Martin Stahl</w:t>
      </w:r>
      <w:r w:rsidRPr="0009724F">
        <w:rPr>
          <w:rFonts w:ascii="Times New Roman" w:hAnsi="Times New Roman" w:cs="Times New Roman"/>
          <w:sz w:val="24"/>
          <w:szCs w:val="24"/>
        </w:rPr>
        <w:t xml:space="preserve"> (2010). A medicinal chemist’s guide to molecular interactions. </w:t>
      </w:r>
      <w:r w:rsidRPr="0009724F">
        <w:rPr>
          <w:rStyle w:val="Emphasis"/>
          <w:rFonts w:ascii="Times New Roman" w:hAnsi="Times New Roman" w:cs="Times New Roman"/>
          <w:sz w:val="24"/>
          <w:szCs w:val="24"/>
        </w:rPr>
        <w:t>Journal of Medicinal Chemistry, 53</w:t>
      </w:r>
      <w:r w:rsidRPr="0009724F">
        <w:rPr>
          <w:rFonts w:ascii="Times New Roman" w:hAnsi="Times New Roman" w:cs="Times New Roman"/>
          <w:sz w:val="24"/>
          <w:szCs w:val="24"/>
        </w:rPr>
        <w:t>(14), 5061–5084.</w:t>
      </w:r>
      <w:r>
        <w:br/>
      </w:r>
      <w:hyperlink r:id="rId32" w:tgtFrame="_new" w:history="1">
        <w:r>
          <w:rPr>
            <w:rStyle w:val="Hyperlink"/>
          </w:rPr>
          <w:t>https://doi.org/10.1021/jm100112j</w:t>
        </w:r>
      </w:hyperlink>
    </w:p>
    <w:p w14:paraId="79EC9C00" w14:textId="0836597C" w:rsidR="00DE1EE3" w:rsidRPr="0009724F" w:rsidRDefault="00DE1EE3" w:rsidP="0009724F">
      <w:pPr>
        <w:pStyle w:val="ListParagraph"/>
        <w:numPr>
          <w:ilvl w:val="0"/>
          <w:numId w:val="5"/>
        </w:numPr>
        <w:spacing w:before="75" w:after="75" w:line="240" w:lineRule="auto"/>
        <w:rPr>
          <w:rStyle w:val="Hyperlink"/>
          <w:rFonts w:ascii="Times New Roman" w:eastAsia="Times New Roman" w:hAnsi="Times New Roman" w:cs="Times New Roman"/>
          <w:sz w:val="24"/>
          <w:szCs w:val="24"/>
        </w:rPr>
      </w:pPr>
      <w:r w:rsidRPr="0009724F">
        <w:rPr>
          <w:rFonts w:ascii="Times New Roman" w:hAnsi="Times New Roman" w:cs="Times New Roman"/>
          <w:sz w:val="24"/>
          <w:szCs w:val="24"/>
        </w:rPr>
        <w:t xml:space="preserve">Clarkson, T. W., &amp; </w:t>
      </w:r>
      <w:proofErr w:type="spellStart"/>
      <w:r w:rsidRPr="0009724F">
        <w:rPr>
          <w:rFonts w:ascii="Times New Roman" w:hAnsi="Times New Roman" w:cs="Times New Roman"/>
          <w:sz w:val="24"/>
          <w:szCs w:val="24"/>
        </w:rPr>
        <w:t>Magos</w:t>
      </w:r>
      <w:proofErr w:type="spellEnd"/>
      <w:r w:rsidRPr="0009724F">
        <w:rPr>
          <w:rFonts w:ascii="Times New Roman" w:hAnsi="Times New Roman" w:cs="Times New Roman"/>
          <w:sz w:val="24"/>
          <w:szCs w:val="24"/>
        </w:rPr>
        <w:t xml:space="preserve">, L. (2006). The toxicology of mercury and its chemical compounds. </w:t>
      </w:r>
      <w:r w:rsidRPr="0009724F">
        <w:rPr>
          <w:rStyle w:val="Emphasis"/>
          <w:rFonts w:ascii="Times New Roman" w:hAnsi="Times New Roman" w:cs="Times New Roman"/>
          <w:sz w:val="24"/>
          <w:szCs w:val="24"/>
        </w:rPr>
        <w:t>Critical Reviews in Toxicology, 36</w:t>
      </w:r>
      <w:r w:rsidRPr="0009724F">
        <w:rPr>
          <w:rFonts w:ascii="Times New Roman" w:hAnsi="Times New Roman" w:cs="Times New Roman"/>
          <w:sz w:val="24"/>
          <w:szCs w:val="24"/>
        </w:rPr>
        <w:t>(8), 609–662. https://doi.org/10.1080/10408440600845619</w:t>
      </w:r>
    </w:p>
    <w:p w14:paraId="47999692" w14:textId="55428905" w:rsidR="00B24A04" w:rsidRPr="0009724F" w:rsidRDefault="00B24A04" w:rsidP="0009724F">
      <w:pPr>
        <w:pStyle w:val="ListParagraph"/>
        <w:numPr>
          <w:ilvl w:val="0"/>
          <w:numId w:val="5"/>
        </w:numPr>
        <w:spacing w:before="75" w:after="75" w:line="240" w:lineRule="auto"/>
        <w:rPr>
          <w:rFonts w:ascii="Times New Roman" w:hAnsi="Times New Roman" w:cs="Times New Roman"/>
          <w:sz w:val="24"/>
          <w:szCs w:val="24"/>
        </w:rPr>
      </w:pPr>
      <w:r w:rsidRPr="0009724F">
        <w:rPr>
          <w:rFonts w:ascii="Times New Roman" w:hAnsi="Times New Roman" w:cs="Times New Roman"/>
          <w:sz w:val="24"/>
          <w:szCs w:val="24"/>
        </w:rPr>
        <w:t xml:space="preserve">Copeland, R. A. (2016). The drug–target residence time model: A 10-year retrospective. </w:t>
      </w:r>
      <w:r w:rsidRPr="0009724F">
        <w:rPr>
          <w:rStyle w:val="Emphasis"/>
          <w:rFonts w:ascii="Times New Roman" w:hAnsi="Times New Roman" w:cs="Times New Roman"/>
          <w:sz w:val="24"/>
          <w:szCs w:val="24"/>
        </w:rPr>
        <w:t>Nature Reviews Drug Discovery, 15</w:t>
      </w:r>
      <w:r w:rsidRPr="0009724F">
        <w:rPr>
          <w:rFonts w:ascii="Times New Roman" w:hAnsi="Times New Roman" w:cs="Times New Roman"/>
          <w:sz w:val="24"/>
          <w:szCs w:val="24"/>
        </w:rPr>
        <w:t>(2), 87–95. https://doi.org/10.1038/nrd.2015.18</w:t>
      </w:r>
    </w:p>
    <w:p w14:paraId="28E8AF5F" w14:textId="05A3128B" w:rsidR="00B62C17" w:rsidRPr="0009724F" w:rsidRDefault="00B62C17" w:rsidP="0009724F">
      <w:pPr>
        <w:pStyle w:val="ListParagraph"/>
        <w:numPr>
          <w:ilvl w:val="0"/>
          <w:numId w:val="5"/>
        </w:numPr>
        <w:spacing w:before="75" w:after="75" w:line="240" w:lineRule="auto"/>
        <w:rPr>
          <w:rFonts w:ascii="Times New Roman" w:eastAsia="Times New Roman" w:hAnsi="Times New Roman" w:cs="Times New Roman"/>
          <w:sz w:val="24"/>
          <w:szCs w:val="24"/>
        </w:rPr>
      </w:pPr>
      <w:proofErr w:type="spellStart"/>
      <w:r w:rsidRPr="0009724F">
        <w:rPr>
          <w:rFonts w:ascii="Times New Roman" w:hAnsi="Times New Roman" w:cs="Times New Roman"/>
          <w:sz w:val="24"/>
          <w:szCs w:val="24"/>
        </w:rPr>
        <w:t>Daina</w:t>
      </w:r>
      <w:proofErr w:type="spellEnd"/>
      <w:r w:rsidRPr="0009724F">
        <w:rPr>
          <w:rFonts w:ascii="Times New Roman" w:hAnsi="Times New Roman" w:cs="Times New Roman"/>
          <w:sz w:val="24"/>
          <w:szCs w:val="24"/>
        </w:rPr>
        <w:t xml:space="preserve">, A., </w:t>
      </w:r>
      <w:proofErr w:type="spellStart"/>
      <w:r w:rsidRPr="0009724F">
        <w:rPr>
          <w:rFonts w:ascii="Times New Roman" w:hAnsi="Times New Roman" w:cs="Times New Roman"/>
          <w:sz w:val="24"/>
          <w:szCs w:val="24"/>
        </w:rPr>
        <w:t>Michielin</w:t>
      </w:r>
      <w:proofErr w:type="spellEnd"/>
      <w:r w:rsidRPr="0009724F">
        <w:rPr>
          <w:rFonts w:ascii="Times New Roman" w:hAnsi="Times New Roman" w:cs="Times New Roman"/>
          <w:sz w:val="24"/>
          <w:szCs w:val="24"/>
        </w:rPr>
        <w:t xml:space="preserve">, O., &amp; </w:t>
      </w:r>
      <w:proofErr w:type="spellStart"/>
      <w:r w:rsidRPr="0009724F">
        <w:rPr>
          <w:rFonts w:ascii="Times New Roman" w:hAnsi="Times New Roman" w:cs="Times New Roman"/>
          <w:sz w:val="24"/>
          <w:szCs w:val="24"/>
        </w:rPr>
        <w:t>Zoete</w:t>
      </w:r>
      <w:proofErr w:type="spellEnd"/>
      <w:r w:rsidRPr="0009724F">
        <w:rPr>
          <w:rFonts w:ascii="Times New Roman" w:hAnsi="Times New Roman" w:cs="Times New Roman"/>
          <w:sz w:val="24"/>
          <w:szCs w:val="24"/>
        </w:rPr>
        <w:t xml:space="preserve">, V. (2017). </w:t>
      </w:r>
      <w:proofErr w:type="spellStart"/>
      <w:r w:rsidRPr="0009724F">
        <w:rPr>
          <w:rFonts w:ascii="Times New Roman" w:hAnsi="Times New Roman" w:cs="Times New Roman"/>
          <w:sz w:val="24"/>
          <w:szCs w:val="24"/>
        </w:rPr>
        <w:t>SwissADME</w:t>
      </w:r>
      <w:proofErr w:type="spellEnd"/>
      <w:r w:rsidRPr="0009724F">
        <w:rPr>
          <w:rFonts w:ascii="Times New Roman" w:hAnsi="Times New Roman" w:cs="Times New Roman"/>
          <w:sz w:val="24"/>
          <w:szCs w:val="24"/>
        </w:rPr>
        <w:t xml:space="preserve">: A free web tool to evaluate pharmacokinetics, drug-likeness and medicinal chemistry friendliness of small molecules. </w:t>
      </w:r>
      <w:r w:rsidRPr="0009724F">
        <w:rPr>
          <w:rStyle w:val="Emphasis"/>
          <w:rFonts w:ascii="Times New Roman" w:hAnsi="Times New Roman" w:cs="Times New Roman"/>
          <w:sz w:val="24"/>
          <w:szCs w:val="24"/>
        </w:rPr>
        <w:t>Scientific Reports, 7</w:t>
      </w:r>
      <w:r w:rsidRPr="0009724F">
        <w:rPr>
          <w:rFonts w:ascii="Times New Roman" w:hAnsi="Times New Roman" w:cs="Times New Roman"/>
          <w:sz w:val="24"/>
          <w:szCs w:val="24"/>
        </w:rPr>
        <w:t xml:space="preserve">, 42717. </w:t>
      </w:r>
      <w:hyperlink r:id="rId33" w:tgtFrame="_new" w:history="1">
        <w:r w:rsidRPr="0009724F">
          <w:rPr>
            <w:rStyle w:val="Hyperlink"/>
            <w:rFonts w:ascii="Times New Roman" w:hAnsi="Times New Roman" w:cs="Times New Roman"/>
            <w:sz w:val="24"/>
            <w:szCs w:val="24"/>
          </w:rPr>
          <w:t>https://doi.org/10.1038/srep42717</w:t>
        </w:r>
      </w:hyperlink>
    </w:p>
    <w:p w14:paraId="69135CC4" w14:textId="77777777" w:rsidR="00495616" w:rsidRPr="0009724F" w:rsidRDefault="00495616" w:rsidP="0009724F">
      <w:pPr>
        <w:pStyle w:val="ListParagraph"/>
        <w:numPr>
          <w:ilvl w:val="0"/>
          <w:numId w:val="5"/>
        </w:numPr>
        <w:autoSpaceDE w:val="0"/>
        <w:autoSpaceDN w:val="0"/>
        <w:adjustRightInd w:val="0"/>
        <w:spacing w:before="240"/>
        <w:jc w:val="both"/>
        <w:rPr>
          <w:rFonts w:ascii="Times New Roman" w:hAnsi="Times New Roman" w:cs="Times New Roman"/>
          <w:sz w:val="24"/>
          <w:szCs w:val="24"/>
        </w:rPr>
      </w:pPr>
      <w:proofErr w:type="spellStart"/>
      <w:r w:rsidRPr="0009724F">
        <w:rPr>
          <w:rFonts w:ascii="Times New Roman" w:hAnsi="Times New Roman" w:cs="Times New Roman"/>
          <w:sz w:val="24"/>
          <w:szCs w:val="24"/>
        </w:rPr>
        <w:t>Dallakyan</w:t>
      </w:r>
      <w:proofErr w:type="spellEnd"/>
      <w:r w:rsidRPr="0009724F">
        <w:rPr>
          <w:rFonts w:ascii="Times New Roman" w:hAnsi="Times New Roman" w:cs="Times New Roman"/>
          <w:sz w:val="24"/>
          <w:szCs w:val="24"/>
        </w:rPr>
        <w:t xml:space="preserve">, S. and Olson, A.J. (2015) Small-Molecule Library Screening by Docking with </w:t>
      </w:r>
      <w:proofErr w:type="spellStart"/>
      <w:r w:rsidRPr="0009724F">
        <w:rPr>
          <w:rFonts w:ascii="Times New Roman" w:hAnsi="Times New Roman" w:cs="Times New Roman"/>
          <w:sz w:val="24"/>
          <w:szCs w:val="24"/>
        </w:rPr>
        <w:t>PyRx</w:t>
      </w:r>
      <w:proofErr w:type="spellEnd"/>
      <w:r w:rsidRPr="0009724F">
        <w:rPr>
          <w:rFonts w:ascii="Times New Roman" w:hAnsi="Times New Roman" w:cs="Times New Roman"/>
          <w:sz w:val="24"/>
          <w:szCs w:val="24"/>
        </w:rPr>
        <w:t xml:space="preserve">. Methods, </w:t>
      </w:r>
      <w:r w:rsidRPr="0009724F">
        <w:rPr>
          <w:rFonts w:ascii="Times New Roman" w:hAnsi="Times New Roman" w:cs="Times New Roman"/>
          <w:i/>
          <w:sz w:val="24"/>
          <w:szCs w:val="24"/>
        </w:rPr>
        <w:t>Mol Biol.,</w:t>
      </w:r>
      <w:r w:rsidRPr="0009724F">
        <w:rPr>
          <w:rFonts w:ascii="Times New Roman" w:hAnsi="Times New Roman" w:cs="Times New Roman"/>
          <w:sz w:val="24"/>
          <w:szCs w:val="24"/>
        </w:rPr>
        <w:t xml:space="preserve"> 1263: 243–50.</w:t>
      </w:r>
    </w:p>
    <w:p w14:paraId="317834F0" w14:textId="77777777" w:rsidR="00495616" w:rsidRDefault="00495616" w:rsidP="0009724F">
      <w:pPr>
        <w:pStyle w:val="NormalWeb"/>
        <w:numPr>
          <w:ilvl w:val="0"/>
          <w:numId w:val="5"/>
        </w:numPr>
        <w:jc w:val="both"/>
      </w:pPr>
      <w:r w:rsidRPr="0063258A">
        <w:t xml:space="preserve">Egan, W. J., Merz, K. M., &amp; Baldwin, J. J. (2000). Prediction of drug absorption using multivariate statistics. </w:t>
      </w:r>
      <w:r w:rsidRPr="0063258A">
        <w:rPr>
          <w:rStyle w:val="Emphasis"/>
        </w:rPr>
        <w:t>Journal of Medicinal Chemistry</w:t>
      </w:r>
      <w:r w:rsidRPr="0063258A">
        <w:t xml:space="preserve">, 43(21), 3867–3877. </w:t>
      </w:r>
    </w:p>
    <w:p w14:paraId="36FD9EB3" w14:textId="0D23E4CD" w:rsidR="00EE5B63" w:rsidRDefault="00EE5B63" w:rsidP="0009724F">
      <w:pPr>
        <w:pStyle w:val="NormalWeb"/>
        <w:numPr>
          <w:ilvl w:val="0"/>
          <w:numId w:val="5"/>
        </w:numPr>
        <w:rPr>
          <w:rStyle w:val="Hyperlink"/>
          <w:rFonts w:eastAsiaTheme="majorEastAsia"/>
        </w:rPr>
      </w:pPr>
      <w:r>
        <w:t xml:space="preserve">Elmore, S. (2007). Apoptosis: A review of programmed cell death. </w:t>
      </w:r>
      <w:r>
        <w:rPr>
          <w:rStyle w:val="Emphasis"/>
        </w:rPr>
        <w:t>Toxicologic Pathology, 35</w:t>
      </w:r>
      <w:r>
        <w:t xml:space="preserve">(4), 495–516. </w:t>
      </w:r>
      <w:hyperlink r:id="rId34" w:tgtFrame="_new" w:history="1">
        <w:r>
          <w:rPr>
            <w:rStyle w:val="Hyperlink"/>
            <w:rFonts w:eastAsiaTheme="majorEastAsia"/>
          </w:rPr>
          <w:t>https://doi.org/10.1080/01926230701320337</w:t>
        </w:r>
      </w:hyperlink>
    </w:p>
    <w:p w14:paraId="7350D8C4" w14:textId="4E2B42BE" w:rsidR="00507F1D" w:rsidRPr="0009724F" w:rsidRDefault="00507F1D" w:rsidP="0009724F">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724F">
        <w:rPr>
          <w:rFonts w:ascii="Times New Roman" w:eastAsia="Times New Roman" w:hAnsi="Times New Roman" w:cs="Times New Roman"/>
          <w:sz w:val="24"/>
          <w:szCs w:val="24"/>
        </w:rPr>
        <w:t xml:space="preserve">Falkenberg, K. J., &amp; Johnstone, R. W. (2014). Histone deacetylases and their inhibitors in cancer, neurological diseases and immune disorders. </w:t>
      </w:r>
      <w:r w:rsidRPr="0009724F">
        <w:rPr>
          <w:rFonts w:ascii="Times New Roman" w:eastAsia="Times New Roman" w:hAnsi="Times New Roman" w:cs="Times New Roman"/>
          <w:i/>
          <w:iCs/>
          <w:sz w:val="24"/>
          <w:szCs w:val="24"/>
        </w:rPr>
        <w:t>Nature Reviews Drug Discovery, 13</w:t>
      </w:r>
      <w:r w:rsidRPr="0009724F">
        <w:rPr>
          <w:rFonts w:ascii="Times New Roman" w:eastAsia="Times New Roman" w:hAnsi="Times New Roman" w:cs="Times New Roman"/>
          <w:sz w:val="24"/>
          <w:szCs w:val="24"/>
        </w:rPr>
        <w:t>(9), 673–691.</w:t>
      </w:r>
      <w:r w:rsidRPr="0009724F">
        <w:rPr>
          <w:rFonts w:ascii="Times New Roman" w:eastAsia="Times New Roman" w:hAnsi="Times New Roman" w:cs="Times New Roman"/>
          <w:sz w:val="24"/>
          <w:szCs w:val="24"/>
        </w:rPr>
        <w:br/>
      </w:r>
      <w:hyperlink r:id="rId35" w:history="1">
        <w:r w:rsidRPr="0009724F">
          <w:rPr>
            <w:rStyle w:val="Hyperlink"/>
            <w:rFonts w:ascii="Times New Roman" w:eastAsia="Times New Roman" w:hAnsi="Times New Roman" w:cs="Times New Roman"/>
            <w:sz w:val="24"/>
            <w:szCs w:val="24"/>
          </w:rPr>
          <w:t>https://doi.org/10.1038/nrd4360</w:t>
        </w:r>
      </w:hyperlink>
    </w:p>
    <w:p w14:paraId="1CB15DED" w14:textId="77777777" w:rsidR="00495616" w:rsidRPr="0063258A" w:rsidRDefault="00495616" w:rsidP="0009724F">
      <w:pPr>
        <w:pStyle w:val="NormalWeb"/>
        <w:numPr>
          <w:ilvl w:val="0"/>
          <w:numId w:val="5"/>
        </w:numPr>
        <w:jc w:val="both"/>
      </w:pPr>
      <w:r w:rsidRPr="0063258A">
        <w:t xml:space="preserve">Ghose, A. K., </w:t>
      </w:r>
      <w:proofErr w:type="spellStart"/>
      <w:r w:rsidRPr="0063258A">
        <w:t>Viswanadhan</w:t>
      </w:r>
      <w:proofErr w:type="spellEnd"/>
      <w:r w:rsidRPr="0063258A">
        <w:t xml:space="preserve">, V. N., &amp; </w:t>
      </w:r>
      <w:proofErr w:type="spellStart"/>
      <w:r w:rsidRPr="0063258A">
        <w:t>Wendoloski</w:t>
      </w:r>
      <w:proofErr w:type="spellEnd"/>
      <w:r w:rsidRPr="0063258A">
        <w:t xml:space="preserve">, J. J. (1999). A knowledge-based approach in designing combinatorial or medicinal chemistry libraries for drug discovery: 1. A qualitative and quantitative characterization of known drug databases. </w:t>
      </w:r>
      <w:r w:rsidRPr="0063258A">
        <w:rPr>
          <w:rStyle w:val="Emphasis"/>
        </w:rPr>
        <w:t>Journal of Combinatorial Chemistry</w:t>
      </w:r>
      <w:r w:rsidRPr="0063258A">
        <w:t xml:space="preserve">, 1(1), 55–68. </w:t>
      </w:r>
    </w:p>
    <w:p w14:paraId="5D215D7A" w14:textId="50DE1B6E" w:rsidR="00C90927" w:rsidRDefault="00C90927" w:rsidP="0009724F">
      <w:pPr>
        <w:pStyle w:val="NormalWeb"/>
        <w:numPr>
          <w:ilvl w:val="0"/>
          <w:numId w:val="5"/>
        </w:numPr>
        <w:jc w:val="both"/>
        <w:rPr>
          <w:rStyle w:val="Hyperlink"/>
        </w:rPr>
      </w:pPr>
      <w:r>
        <w:t xml:space="preserve">Ghose, A. K., </w:t>
      </w:r>
      <w:proofErr w:type="spellStart"/>
      <w:r>
        <w:t>Viswanadhan</w:t>
      </w:r>
      <w:proofErr w:type="spellEnd"/>
      <w:r>
        <w:t xml:space="preserve">, V. N., &amp; </w:t>
      </w:r>
      <w:proofErr w:type="spellStart"/>
      <w:r>
        <w:t>Wendoloski</w:t>
      </w:r>
      <w:proofErr w:type="spellEnd"/>
      <w:r>
        <w:t xml:space="preserve">, J. J. (1998). Prediction of hydrophobic (lipophilic) properties of small organic molecules using atom-based parameters. </w:t>
      </w:r>
      <w:r>
        <w:rPr>
          <w:rStyle w:val="Emphasis"/>
        </w:rPr>
        <w:t>Journal of Physical Chemistry A, 102</w:t>
      </w:r>
      <w:r>
        <w:t xml:space="preserve">(21), 3762–3772. </w:t>
      </w:r>
      <w:hyperlink r:id="rId36" w:history="1">
        <w:r w:rsidRPr="00EC42BB">
          <w:rPr>
            <w:rStyle w:val="Hyperlink"/>
          </w:rPr>
          <w:t>https://doi.org/10.1021/jp980230o</w:t>
        </w:r>
      </w:hyperlink>
    </w:p>
    <w:p w14:paraId="759EEBDA" w14:textId="5D426BBF" w:rsidR="00984B92" w:rsidRPr="0009724F" w:rsidRDefault="00984B92" w:rsidP="0009724F">
      <w:pPr>
        <w:pStyle w:val="ListParagraph"/>
        <w:numPr>
          <w:ilvl w:val="0"/>
          <w:numId w:val="5"/>
        </w:numPr>
        <w:spacing w:before="100" w:beforeAutospacing="1" w:after="100" w:afterAutospacing="1" w:line="240" w:lineRule="auto"/>
        <w:rPr>
          <w:rStyle w:val="Hyperlink"/>
          <w:rFonts w:ascii="Times New Roman" w:eastAsia="Times New Roman" w:hAnsi="Times New Roman" w:cs="Times New Roman"/>
          <w:color w:val="auto"/>
          <w:sz w:val="24"/>
          <w:szCs w:val="24"/>
          <w:u w:val="none"/>
        </w:rPr>
      </w:pPr>
      <w:r w:rsidRPr="0009724F">
        <w:rPr>
          <w:rFonts w:ascii="Times New Roman" w:eastAsia="Times New Roman" w:hAnsi="Times New Roman" w:cs="Times New Roman"/>
          <w:sz w:val="24"/>
          <w:szCs w:val="24"/>
        </w:rPr>
        <w:lastRenderedPageBreak/>
        <w:t xml:space="preserve">Hayes, J. D., Flanagan, J. U., &amp; </w:t>
      </w:r>
      <w:proofErr w:type="spellStart"/>
      <w:r w:rsidRPr="0009724F">
        <w:rPr>
          <w:rFonts w:ascii="Times New Roman" w:eastAsia="Times New Roman" w:hAnsi="Times New Roman" w:cs="Times New Roman"/>
          <w:sz w:val="24"/>
          <w:szCs w:val="24"/>
        </w:rPr>
        <w:t>Jowsey</w:t>
      </w:r>
      <w:proofErr w:type="spellEnd"/>
      <w:r w:rsidRPr="0009724F">
        <w:rPr>
          <w:rFonts w:ascii="Times New Roman" w:eastAsia="Times New Roman" w:hAnsi="Times New Roman" w:cs="Times New Roman"/>
          <w:sz w:val="24"/>
          <w:szCs w:val="24"/>
        </w:rPr>
        <w:t xml:space="preserve">, I. R. (2005). Glutathione transferases. </w:t>
      </w:r>
      <w:r w:rsidRPr="0009724F">
        <w:rPr>
          <w:rFonts w:ascii="Times New Roman" w:eastAsia="Times New Roman" w:hAnsi="Times New Roman" w:cs="Times New Roman"/>
          <w:i/>
          <w:iCs/>
          <w:sz w:val="24"/>
          <w:szCs w:val="24"/>
        </w:rPr>
        <w:t>Annual Review of Pharmacology and Toxicology, 45</w:t>
      </w:r>
      <w:r w:rsidRPr="0009724F">
        <w:rPr>
          <w:rFonts w:ascii="Times New Roman" w:eastAsia="Times New Roman" w:hAnsi="Times New Roman" w:cs="Times New Roman"/>
          <w:sz w:val="24"/>
          <w:szCs w:val="24"/>
        </w:rPr>
        <w:t>, 51–88.</w:t>
      </w:r>
      <w:r w:rsidRPr="0009724F">
        <w:rPr>
          <w:rFonts w:ascii="Times New Roman" w:eastAsia="Times New Roman" w:hAnsi="Times New Roman" w:cs="Times New Roman"/>
          <w:sz w:val="24"/>
          <w:szCs w:val="24"/>
        </w:rPr>
        <w:br/>
        <w:t>https://doi.org/10.1146/annurev.pharmtox.45.120403.095857</w:t>
      </w:r>
    </w:p>
    <w:p w14:paraId="09D477F0" w14:textId="77777777" w:rsidR="003808B2" w:rsidRPr="0009724F" w:rsidRDefault="003808B2" w:rsidP="0009724F">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724F">
        <w:rPr>
          <w:rFonts w:ascii="Times New Roman" w:eastAsia="Times New Roman" w:hAnsi="Times New Roman" w:cs="Times New Roman"/>
          <w:sz w:val="24"/>
          <w:szCs w:val="24"/>
        </w:rPr>
        <w:t xml:space="preserve">Heinrich, P. C., </w:t>
      </w:r>
      <w:proofErr w:type="spellStart"/>
      <w:r w:rsidRPr="0009724F">
        <w:rPr>
          <w:rFonts w:ascii="Times New Roman" w:eastAsia="Times New Roman" w:hAnsi="Times New Roman" w:cs="Times New Roman"/>
          <w:sz w:val="24"/>
          <w:szCs w:val="24"/>
        </w:rPr>
        <w:t>Behrmann</w:t>
      </w:r>
      <w:proofErr w:type="spellEnd"/>
      <w:r w:rsidRPr="0009724F">
        <w:rPr>
          <w:rFonts w:ascii="Times New Roman" w:eastAsia="Times New Roman" w:hAnsi="Times New Roman" w:cs="Times New Roman"/>
          <w:sz w:val="24"/>
          <w:szCs w:val="24"/>
        </w:rPr>
        <w:t xml:space="preserve">, I., </w:t>
      </w:r>
      <w:proofErr w:type="spellStart"/>
      <w:r w:rsidRPr="0009724F">
        <w:rPr>
          <w:rFonts w:ascii="Times New Roman" w:eastAsia="Times New Roman" w:hAnsi="Times New Roman" w:cs="Times New Roman"/>
          <w:sz w:val="24"/>
          <w:szCs w:val="24"/>
        </w:rPr>
        <w:t>Haan</w:t>
      </w:r>
      <w:proofErr w:type="spellEnd"/>
      <w:r w:rsidRPr="0009724F">
        <w:rPr>
          <w:rFonts w:ascii="Times New Roman" w:eastAsia="Times New Roman" w:hAnsi="Times New Roman" w:cs="Times New Roman"/>
          <w:sz w:val="24"/>
          <w:szCs w:val="24"/>
        </w:rPr>
        <w:t xml:space="preserve">, S., </w:t>
      </w:r>
      <w:proofErr w:type="spellStart"/>
      <w:r w:rsidRPr="0009724F">
        <w:rPr>
          <w:rFonts w:ascii="Times New Roman" w:eastAsia="Times New Roman" w:hAnsi="Times New Roman" w:cs="Times New Roman"/>
          <w:sz w:val="24"/>
          <w:szCs w:val="24"/>
        </w:rPr>
        <w:t>Hermanns</w:t>
      </w:r>
      <w:proofErr w:type="spellEnd"/>
      <w:r w:rsidRPr="0009724F">
        <w:rPr>
          <w:rFonts w:ascii="Times New Roman" w:eastAsia="Times New Roman" w:hAnsi="Times New Roman" w:cs="Times New Roman"/>
          <w:sz w:val="24"/>
          <w:szCs w:val="24"/>
        </w:rPr>
        <w:t>, H. M., Müller-</w:t>
      </w:r>
      <w:proofErr w:type="spellStart"/>
      <w:r w:rsidRPr="0009724F">
        <w:rPr>
          <w:rFonts w:ascii="Times New Roman" w:eastAsia="Times New Roman" w:hAnsi="Times New Roman" w:cs="Times New Roman"/>
          <w:sz w:val="24"/>
          <w:szCs w:val="24"/>
        </w:rPr>
        <w:t>Newen</w:t>
      </w:r>
      <w:proofErr w:type="spellEnd"/>
      <w:r w:rsidRPr="0009724F">
        <w:rPr>
          <w:rFonts w:ascii="Times New Roman" w:eastAsia="Times New Roman" w:hAnsi="Times New Roman" w:cs="Times New Roman"/>
          <w:sz w:val="24"/>
          <w:szCs w:val="24"/>
        </w:rPr>
        <w:t xml:space="preserve">, G., &amp; Schaper, F. (2003). Principles of interleukin (IL)-6-type cytokine </w:t>
      </w:r>
      <w:proofErr w:type="spellStart"/>
      <w:r w:rsidRPr="0009724F">
        <w:rPr>
          <w:rFonts w:ascii="Times New Roman" w:eastAsia="Times New Roman" w:hAnsi="Times New Roman" w:cs="Times New Roman"/>
          <w:sz w:val="24"/>
          <w:szCs w:val="24"/>
        </w:rPr>
        <w:t>signalling</w:t>
      </w:r>
      <w:proofErr w:type="spellEnd"/>
      <w:r w:rsidRPr="0009724F">
        <w:rPr>
          <w:rFonts w:ascii="Times New Roman" w:eastAsia="Times New Roman" w:hAnsi="Times New Roman" w:cs="Times New Roman"/>
          <w:sz w:val="24"/>
          <w:szCs w:val="24"/>
        </w:rPr>
        <w:t xml:space="preserve"> and its regulation. </w:t>
      </w:r>
      <w:r w:rsidRPr="0009724F">
        <w:rPr>
          <w:rFonts w:ascii="Times New Roman" w:eastAsia="Times New Roman" w:hAnsi="Times New Roman" w:cs="Times New Roman"/>
          <w:i/>
          <w:iCs/>
          <w:sz w:val="24"/>
          <w:szCs w:val="24"/>
        </w:rPr>
        <w:t>Biochemical Journal, 374</w:t>
      </w:r>
      <w:r w:rsidRPr="0009724F">
        <w:rPr>
          <w:rFonts w:ascii="Times New Roman" w:eastAsia="Times New Roman" w:hAnsi="Times New Roman" w:cs="Times New Roman"/>
          <w:sz w:val="24"/>
          <w:szCs w:val="24"/>
        </w:rPr>
        <w:t>(1), 1–20. https://doi.org/10.1042/BJ20030407</w:t>
      </w:r>
    </w:p>
    <w:p w14:paraId="76A34B2F" w14:textId="77777777" w:rsidR="003808B2" w:rsidRDefault="003808B2" w:rsidP="00495616">
      <w:pPr>
        <w:pStyle w:val="NormalWeb"/>
        <w:ind w:left="720" w:hanging="720"/>
        <w:jc w:val="both"/>
      </w:pPr>
    </w:p>
    <w:p w14:paraId="3CBE03FC" w14:textId="75594501" w:rsidR="00B748E8" w:rsidRDefault="00B748E8" w:rsidP="0009724F">
      <w:pPr>
        <w:pStyle w:val="NormalWeb"/>
        <w:numPr>
          <w:ilvl w:val="0"/>
          <w:numId w:val="5"/>
        </w:numPr>
        <w:jc w:val="both"/>
      </w:pPr>
      <w:r>
        <w:t xml:space="preserve">Hou, T., Zhang, W., Xia, K., </w:t>
      </w:r>
      <w:proofErr w:type="spellStart"/>
      <w:r>
        <w:t>Qiao</w:t>
      </w:r>
      <w:proofErr w:type="spellEnd"/>
      <w:r>
        <w:t xml:space="preserve">, X., Xu, X., &amp; Wang, W. (2004). ADME evaluation in drug discovery. 5. Correlation of Caco-2 permeation with simple molecular properties. </w:t>
      </w:r>
      <w:r>
        <w:rPr>
          <w:rStyle w:val="Emphasis"/>
        </w:rPr>
        <w:t>Journal of Chemical Information and Computer Sciences, 44</w:t>
      </w:r>
      <w:r>
        <w:t xml:space="preserve">(5), 1585–1600. </w:t>
      </w:r>
      <w:hyperlink r:id="rId37" w:history="1">
        <w:r w:rsidR="00536636" w:rsidRPr="00A62BB3">
          <w:rPr>
            <w:rStyle w:val="Hyperlink"/>
          </w:rPr>
          <w:t>https://doi.org/10.1021/ci049884m</w:t>
        </w:r>
      </w:hyperlink>
    </w:p>
    <w:p w14:paraId="6AA25BCC" w14:textId="7AA7AA76" w:rsidR="00536636" w:rsidRDefault="00536636" w:rsidP="0009724F">
      <w:pPr>
        <w:pStyle w:val="NormalWeb"/>
        <w:numPr>
          <w:ilvl w:val="0"/>
          <w:numId w:val="5"/>
        </w:numPr>
        <w:jc w:val="both"/>
      </w:pPr>
      <w:r>
        <w:t xml:space="preserve">Hunter, C. A., &amp; Jones, S. A. (2015). IL-6 as a keystone cytokine in health and disease. </w:t>
      </w:r>
      <w:r>
        <w:rPr>
          <w:rStyle w:val="Emphasis"/>
        </w:rPr>
        <w:t>Nature Immunology, 16</w:t>
      </w:r>
      <w:r>
        <w:t>(5), 448–457.</w:t>
      </w:r>
      <w:r>
        <w:br/>
      </w:r>
      <w:hyperlink r:id="rId38" w:history="1">
        <w:r w:rsidRPr="00A62BB3">
          <w:rPr>
            <w:rStyle w:val="Hyperlink"/>
          </w:rPr>
          <w:t>https://doi.org/10.1038/ni.3153</w:t>
        </w:r>
      </w:hyperlink>
    </w:p>
    <w:p w14:paraId="14E5424D" w14:textId="77777777" w:rsidR="00536636" w:rsidRPr="0063258A" w:rsidRDefault="00536636" w:rsidP="00495616">
      <w:pPr>
        <w:pStyle w:val="NormalWeb"/>
        <w:ind w:left="720" w:hanging="720"/>
        <w:jc w:val="both"/>
      </w:pPr>
    </w:p>
    <w:p w14:paraId="41513AF9" w14:textId="77777777" w:rsidR="00495616" w:rsidRDefault="00495616" w:rsidP="0009724F">
      <w:pPr>
        <w:pStyle w:val="NormalWeb"/>
        <w:numPr>
          <w:ilvl w:val="0"/>
          <w:numId w:val="5"/>
        </w:numPr>
        <w:jc w:val="both"/>
      </w:pPr>
      <w:proofErr w:type="spellStart"/>
      <w:r w:rsidRPr="0063258A">
        <w:t>Kanu</w:t>
      </w:r>
      <w:proofErr w:type="spellEnd"/>
      <w:r w:rsidRPr="0063258A">
        <w:t xml:space="preserve">, S. A., Eze, A. S., &amp; </w:t>
      </w:r>
      <w:proofErr w:type="spellStart"/>
      <w:r w:rsidRPr="0063258A">
        <w:t>Onyeike</w:t>
      </w:r>
      <w:proofErr w:type="spellEnd"/>
      <w:r w:rsidRPr="0063258A">
        <w:t xml:space="preserve">, E. N. (2020). Antidiabetic and antioxidant effects of methanolic extracts of leaf and seed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on alloxan-induced diabetic Wistar rats. </w:t>
      </w:r>
      <w:r w:rsidRPr="0063258A">
        <w:rPr>
          <w:rStyle w:val="Emphasis"/>
        </w:rPr>
        <w:t>Journal of Advances in Biology &amp; Biotechnology, 23</w:t>
      </w:r>
      <w:r w:rsidRPr="0063258A">
        <w:t xml:space="preserve">(3), 1–11. </w:t>
      </w:r>
    </w:p>
    <w:p w14:paraId="08FB48A8" w14:textId="4EFE0AEA" w:rsidR="00110885" w:rsidRPr="0063258A" w:rsidRDefault="00110885" w:rsidP="0009724F">
      <w:pPr>
        <w:pStyle w:val="NormalWeb"/>
        <w:numPr>
          <w:ilvl w:val="0"/>
          <w:numId w:val="5"/>
        </w:numPr>
        <w:jc w:val="both"/>
      </w:pPr>
      <w:proofErr w:type="spellStart"/>
      <w:r>
        <w:t>Keyte</w:t>
      </w:r>
      <w:proofErr w:type="spellEnd"/>
      <w:r>
        <w:t xml:space="preserve">, I. J., Harrison, R. M., &amp; </w:t>
      </w:r>
      <w:proofErr w:type="spellStart"/>
      <w:r>
        <w:t>Lammel</w:t>
      </w:r>
      <w:proofErr w:type="spellEnd"/>
      <w:r>
        <w:t xml:space="preserve">, G. (2013). Chemical reactivity and long-range transport potential of polycyclic aromatic hydrocarbons—A review. </w:t>
      </w:r>
      <w:r>
        <w:rPr>
          <w:rStyle w:val="Emphasis"/>
        </w:rPr>
        <w:t>Chemical Society Reviews, 42</w:t>
      </w:r>
      <w:r>
        <w:t>(24), 9333–9391. https://doi.org/10.1039/c3cs60147a</w:t>
      </w:r>
    </w:p>
    <w:p w14:paraId="053EC40C" w14:textId="77777777" w:rsidR="00495616" w:rsidRPr="0009724F" w:rsidRDefault="00495616" w:rsidP="0009724F">
      <w:pPr>
        <w:pStyle w:val="ListParagraph"/>
        <w:numPr>
          <w:ilvl w:val="0"/>
          <w:numId w:val="5"/>
        </w:numPr>
        <w:shd w:val="clear" w:color="auto" w:fill="FFFFFF" w:themeFill="background1"/>
        <w:autoSpaceDE w:val="0"/>
        <w:autoSpaceDN w:val="0"/>
        <w:adjustRightInd w:val="0"/>
        <w:spacing w:before="240"/>
        <w:jc w:val="both"/>
        <w:rPr>
          <w:rFonts w:ascii="Times New Roman" w:hAnsi="Times New Roman" w:cs="Times New Roman"/>
          <w:sz w:val="24"/>
          <w:szCs w:val="24"/>
        </w:rPr>
      </w:pPr>
      <w:r w:rsidRPr="0009724F">
        <w:rPr>
          <w:rFonts w:ascii="Times New Roman" w:hAnsi="Times New Roman" w:cs="Times New Roman"/>
          <w:sz w:val="24"/>
          <w:szCs w:val="24"/>
          <w:shd w:val="clear" w:color="auto" w:fill="F9FAFB"/>
        </w:rPr>
        <w:t xml:space="preserve">Kim, S., Chen, J., Cheng, T., </w:t>
      </w:r>
      <w:proofErr w:type="spellStart"/>
      <w:r w:rsidRPr="0009724F">
        <w:rPr>
          <w:rFonts w:ascii="Times New Roman" w:hAnsi="Times New Roman" w:cs="Times New Roman"/>
          <w:sz w:val="24"/>
          <w:szCs w:val="24"/>
          <w:shd w:val="clear" w:color="auto" w:fill="F9FAFB"/>
        </w:rPr>
        <w:t>Gindulyte</w:t>
      </w:r>
      <w:proofErr w:type="spellEnd"/>
      <w:r w:rsidRPr="0009724F">
        <w:rPr>
          <w:rFonts w:ascii="Times New Roman" w:hAnsi="Times New Roman" w:cs="Times New Roman"/>
          <w:sz w:val="24"/>
          <w:szCs w:val="24"/>
          <w:shd w:val="clear" w:color="auto" w:fill="F9FAFB"/>
        </w:rPr>
        <w:t>, A., He, J., He, S., Li, Q., Shoemaker, B. A., Thiessen, P. A., Yu, B., Zaslavsky, L., Zhang, J. and Bolton, E. E. (2023). PubChem 2023 update. </w:t>
      </w:r>
      <w:r w:rsidRPr="0009724F">
        <w:rPr>
          <w:rStyle w:val="Emphasis"/>
          <w:rFonts w:ascii="Times New Roman" w:hAnsi="Times New Roman" w:cs="Times New Roman"/>
          <w:sz w:val="24"/>
          <w:szCs w:val="24"/>
          <w:bdr w:val="single" w:sz="2" w:space="0" w:color="E5E7EB" w:frame="1"/>
          <w:shd w:val="clear" w:color="auto" w:fill="F9FAFB"/>
        </w:rPr>
        <w:t>Nucleic Acids Res.</w:t>
      </w:r>
      <w:r w:rsidRPr="0009724F">
        <w:rPr>
          <w:rFonts w:ascii="Times New Roman" w:hAnsi="Times New Roman" w:cs="Times New Roman"/>
          <w:sz w:val="24"/>
          <w:szCs w:val="24"/>
          <w:shd w:val="clear" w:color="auto" w:fill="F9FAFB"/>
        </w:rPr>
        <w:t>, </w:t>
      </w:r>
      <w:r w:rsidRPr="0009724F">
        <w:rPr>
          <w:rStyle w:val="Emphasis"/>
          <w:rFonts w:ascii="Times New Roman" w:hAnsi="Times New Roman" w:cs="Times New Roman"/>
          <w:sz w:val="24"/>
          <w:szCs w:val="24"/>
          <w:bdr w:val="single" w:sz="2" w:space="0" w:color="E5E7EB" w:frame="1"/>
          <w:shd w:val="clear" w:color="auto" w:fill="F9FAFB"/>
        </w:rPr>
        <w:t>51</w:t>
      </w:r>
      <w:r w:rsidRPr="0009724F">
        <w:rPr>
          <w:rFonts w:ascii="Times New Roman" w:hAnsi="Times New Roman" w:cs="Times New Roman"/>
          <w:sz w:val="24"/>
          <w:szCs w:val="24"/>
          <w:shd w:val="clear" w:color="auto" w:fill="F9FAFB"/>
        </w:rPr>
        <w:t>(1): 1373–1380. </w:t>
      </w:r>
      <w:r w:rsidRPr="0009724F">
        <w:rPr>
          <w:rFonts w:ascii="Times New Roman" w:hAnsi="Times New Roman" w:cs="Times New Roman"/>
          <w:sz w:val="24"/>
          <w:szCs w:val="24"/>
        </w:rPr>
        <w:t xml:space="preserve"> </w:t>
      </w:r>
    </w:p>
    <w:p w14:paraId="0ECF1719" w14:textId="2728C41B" w:rsidR="00E90838" w:rsidRPr="0009724F" w:rsidRDefault="00E90838" w:rsidP="0009724F">
      <w:pPr>
        <w:pStyle w:val="ListParagraph"/>
        <w:numPr>
          <w:ilvl w:val="0"/>
          <w:numId w:val="5"/>
        </w:numPr>
        <w:shd w:val="clear" w:color="auto" w:fill="FFFFFF" w:themeFill="background1"/>
        <w:autoSpaceDE w:val="0"/>
        <w:autoSpaceDN w:val="0"/>
        <w:adjustRightInd w:val="0"/>
        <w:spacing w:before="240"/>
        <w:jc w:val="both"/>
        <w:rPr>
          <w:rFonts w:ascii="Times New Roman" w:hAnsi="Times New Roman" w:cs="Times New Roman"/>
          <w:sz w:val="24"/>
          <w:szCs w:val="24"/>
        </w:rPr>
      </w:pPr>
      <w:r w:rsidRPr="0009724F">
        <w:rPr>
          <w:rFonts w:ascii="Times New Roman" w:hAnsi="Times New Roman" w:cs="Times New Roman"/>
          <w:sz w:val="24"/>
          <w:szCs w:val="24"/>
        </w:rPr>
        <w:t xml:space="preserve">Kitchen, D. B., </w:t>
      </w:r>
      <w:proofErr w:type="spellStart"/>
      <w:r w:rsidRPr="0009724F">
        <w:rPr>
          <w:rFonts w:ascii="Times New Roman" w:hAnsi="Times New Roman" w:cs="Times New Roman"/>
          <w:sz w:val="24"/>
          <w:szCs w:val="24"/>
        </w:rPr>
        <w:t>Decornez</w:t>
      </w:r>
      <w:proofErr w:type="spellEnd"/>
      <w:r w:rsidRPr="0009724F">
        <w:rPr>
          <w:rFonts w:ascii="Times New Roman" w:hAnsi="Times New Roman" w:cs="Times New Roman"/>
          <w:sz w:val="24"/>
          <w:szCs w:val="24"/>
        </w:rPr>
        <w:t xml:space="preserve">, H., Furr, J. R., &amp; </w:t>
      </w:r>
      <w:proofErr w:type="spellStart"/>
      <w:r w:rsidRPr="0009724F">
        <w:rPr>
          <w:rFonts w:ascii="Times New Roman" w:hAnsi="Times New Roman" w:cs="Times New Roman"/>
          <w:sz w:val="24"/>
          <w:szCs w:val="24"/>
        </w:rPr>
        <w:t>Bajorath</w:t>
      </w:r>
      <w:proofErr w:type="spellEnd"/>
      <w:r w:rsidRPr="0009724F">
        <w:rPr>
          <w:rFonts w:ascii="Times New Roman" w:hAnsi="Times New Roman" w:cs="Times New Roman"/>
          <w:sz w:val="24"/>
          <w:szCs w:val="24"/>
        </w:rPr>
        <w:t xml:space="preserve">, J. (2004). Docking and scoring in virtual screening for drug discovery: Methods and applications. </w:t>
      </w:r>
      <w:r w:rsidRPr="0009724F">
        <w:rPr>
          <w:rStyle w:val="Emphasis"/>
          <w:rFonts w:ascii="Times New Roman" w:hAnsi="Times New Roman" w:cs="Times New Roman"/>
          <w:sz w:val="24"/>
          <w:szCs w:val="24"/>
        </w:rPr>
        <w:t>Nature Reviews Drug Discovery, 3</w:t>
      </w:r>
      <w:r w:rsidRPr="0009724F">
        <w:rPr>
          <w:rFonts w:ascii="Times New Roman" w:hAnsi="Times New Roman" w:cs="Times New Roman"/>
          <w:sz w:val="24"/>
          <w:szCs w:val="24"/>
        </w:rPr>
        <w:t>(11), 935–949.</w:t>
      </w:r>
      <w:r w:rsidRPr="0009724F">
        <w:rPr>
          <w:rFonts w:ascii="Times New Roman" w:hAnsi="Times New Roman" w:cs="Times New Roman"/>
          <w:sz w:val="24"/>
          <w:szCs w:val="24"/>
        </w:rPr>
        <w:br/>
        <w:t>https://doi.org/10.1038/nrd1549</w:t>
      </w:r>
    </w:p>
    <w:p w14:paraId="498010CF" w14:textId="77777777" w:rsidR="00495616" w:rsidRPr="0063258A" w:rsidRDefault="00495616" w:rsidP="0009724F">
      <w:pPr>
        <w:pStyle w:val="NormalWeb"/>
        <w:numPr>
          <w:ilvl w:val="0"/>
          <w:numId w:val="5"/>
        </w:numPr>
        <w:jc w:val="both"/>
      </w:pPr>
      <w:proofErr w:type="spellStart"/>
      <w:r w:rsidRPr="0063258A">
        <w:lastRenderedPageBreak/>
        <w:t>Krężel</w:t>
      </w:r>
      <w:proofErr w:type="spellEnd"/>
      <w:r w:rsidRPr="0063258A">
        <w:t xml:space="preserve">, A., &amp; Maret, W. (2021). The functions of metallothionein in zinc and copper metabolism. </w:t>
      </w:r>
      <w:r w:rsidRPr="0063258A">
        <w:rPr>
          <w:rStyle w:val="Emphasis"/>
        </w:rPr>
        <w:t>International Journal of Molecular Sciences</w:t>
      </w:r>
      <w:r w:rsidRPr="0063258A">
        <w:t xml:space="preserve">, 22(24), 13458. </w:t>
      </w:r>
    </w:p>
    <w:p w14:paraId="1E965999" w14:textId="77777777" w:rsidR="00495616" w:rsidRPr="0063258A" w:rsidRDefault="00495616" w:rsidP="0009724F">
      <w:pPr>
        <w:pStyle w:val="NormalWeb"/>
        <w:numPr>
          <w:ilvl w:val="0"/>
          <w:numId w:val="5"/>
        </w:numPr>
        <w:jc w:val="both"/>
      </w:pPr>
      <w:r w:rsidRPr="0063258A">
        <w:t xml:space="preserve">Lima, L. M., Barreiro, E. J., &amp; </w:t>
      </w:r>
      <w:proofErr w:type="spellStart"/>
      <w:r w:rsidRPr="0063258A">
        <w:t>Kümmerle</w:t>
      </w:r>
      <w:proofErr w:type="spellEnd"/>
      <w:r w:rsidRPr="0063258A">
        <w:t xml:space="preserve">, A. E. (2020). Structural determinants of blood–brain barrier penetration in CNS drug discovery. </w:t>
      </w:r>
      <w:r w:rsidRPr="0063258A">
        <w:rPr>
          <w:rStyle w:val="Emphasis"/>
        </w:rPr>
        <w:t>Medicinal Research Reviews</w:t>
      </w:r>
      <w:r w:rsidRPr="0063258A">
        <w:t xml:space="preserve">, 40(5), 1585–1620. </w:t>
      </w:r>
    </w:p>
    <w:p w14:paraId="08F816BB" w14:textId="77777777" w:rsidR="00495616" w:rsidRPr="0063258A" w:rsidRDefault="00495616" w:rsidP="0009724F">
      <w:pPr>
        <w:pStyle w:val="NormalWeb"/>
        <w:numPr>
          <w:ilvl w:val="0"/>
          <w:numId w:val="5"/>
        </w:numPr>
        <w:jc w:val="both"/>
      </w:pPr>
      <w:r w:rsidRPr="0063258A">
        <w:t xml:space="preserve">Lipinski, C. A., Lombardo, F., Dominy, B. W., &amp; Feeney, P. J. (2012). Experimental and computational approaches to estimate solubility and permeability in drug discovery and development settings. </w:t>
      </w:r>
      <w:r w:rsidRPr="0063258A">
        <w:rPr>
          <w:rStyle w:val="Emphasis"/>
        </w:rPr>
        <w:t>Advanced Drug Delivery Reviews</w:t>
      </w:r>
      <w:r w:rsidRPr="0063258A">
        <w:t xml:space="preserve">, 64, 4–17. </w:t>
      </w:r>
    </w:p>
    <w:p w14:paraId="08A147DD" w14:textId="601F6208" w:rsidR="00645F85" w:rsidRDefault="00495616" w:rsidP="0009724F">
      <w:pPr>
        <w:pStyle w:val="NormalWeb"/>
        <w:numPr>
          <w:ilvl w:val="0"/>
          <w:numId w:val="5"/>
        </w:numPr>
        <w:jc w:val="both"/>
        <w:rPr>
          <w:rFonts w:ascii="Segoe UI" w:hAnsi="Segoe UI" w:cs="Segoe UI"/>
          <w:color w:val="5B616B"/>
          <w:shd w:val="clear" w:color="auto" w:fill="FFFFFF"/>
        </w:rPr>
      </w:pPr>
      <w:r w:rsidRPr="0063258A">
        <w:t>Lombardo, F., Ber</w:t>
      </w:r>
      <w:r w:rsidR="00645F85">
        <w:t xml:space="preserve">ellini, G., &amp; </w:t>
      </w:r>
      <w:proofErr w:type="spellStart"/>
      <w:r w:rsidR="00645F85">
        <w:t>Obach</w:t>
      </w:r>
      <w:proofErr w:type="spellEnd"/>
      <w:r w:rsidR="00645F85">
        <w:t>, R. S. (2018</w:t>
      </w:r>
      <w:r w:rsidRPr="0063258A">
        <w:t xml:space="preserve">). Trend analysis of a database of intravenous pharmacokinetic parameters in humans for 1352 drug compounds. </w:t>
      </w:r>
      <w:r w:rsidRPr="0063258A">
        <w:rPr>
          <w:rStyle w:val="Emphasis"/>
        </w:rPr>
        <w:t>Drug Metabolism and Disposition</w:t>
      </w:r>
      <w:r w:rsidRPr="0063258A">
        <w:t xml:space="preserve">, </w:t>
      </w:r>
      <w:r w:rsidR="00645F85" w:rsidRPr="00645F85">
        <w:rPr>
          <w:color w:val="5B616B"/>
          <w:shd w:val="clear" w:color="auto" w:fill="FFFFFF"/>
        </w:rPr>
        <w:t>46(11):1466-1477</w:t>
      </w:r>
      <w:r w:rsidR="00645F85">
        <w:rPr>
          <w:color w:val="5B616B"/>
          <w:shd w:val="clear" w:color="auto" w:fill="FFFFFF"/>
        </w:rPr>
        <w:t xml:space="preserve"> </w:t>
      </w:r>
      <w:r w:rsidR="00645F85" w:rsidRPr="00645F85">
        <w:t xml:space="preserve">DOI: </w:t>
      </w:r>
      <w:hyperlink r:id="rId39" w:history="1">
        <w:r w:rsidR="00645F85" w:rsidRPr="00645F85">
          <w:rPr>
            <w:color w:val="0000FF"/>
          </w:rPr>
          <w:t>10.1124/dmd.118.082966</w:t>
        </w:r>
      </w:hyperlink>
    </w:p>
    <w:p w14:paraId="6D18830D" w14:textId="77777777" w:rsidR="00495616" w:rsidRPr="0063258A" w:rsidRDefault="00495616" w:rsidP="0009724F">
      <w:pPr>
        <w:pStyle w:val="NormalWeb"/>
        <w:numPr>
          <w:ilvl w:val="0"/>
          <w:numId w:val="5"/>
        </w:numPr>
        <w:jc w:val="both"/>
      </w:pPr>
      <w:r w:rsidRPr="0063258A">
        <w:t xml:space="preserve">McGill, M. R., &amp; Jaeschke, H. (2019). Mechanistic biomarkers in liver injury: Insights into pathogenesis and identification of novel therapeutic targets. </w:t>
      </w:r>
      <w:r w:rsidRPr="0063258A">
        <w:rPr>
          <w:rStyle w:val="Emphasis"/>
        </w:rPr>
        <w:t>Nature Reviews Gastroenterology &amp; Hepatology</w:t>
      </w:r>
      <w:r w:rsidRPr="0063258A">
        <w:t xml:space="preserve">, 16(12), 666–682. </w:t>
      </w:r>
    </w:p>
    <w:p w14:paraId="24078BB7" w14:textId="77777777" w:rsidR="00495616" w:rsidRDefault="00495616" w:rsidP="0009724F">
      <w:pPr>
        <w:pStyle w:val="NormalWeb"/>
        <w:numPr>
          <w:ilvl w:val="0"/>
          <w:numId w:val="5"/>
        </w:numPr>
        <w:jc w:val="both"/>
      </w:pPr>
      <w:r w:rsidRPr="0063258A">
        <w:t xml:space="preserve">Muegge, I., Heald, S. L., &amp; </w:t>
      </w:r>
      <w:proofErr w:type="spellStart"/>
      <w:r w:rsidRPr="0063258A">
        <w:t>Brittelli</w:t>
      </w:r>
      <w:proofErr w:type="spellEnd"/>
      <w:r w:rsidRPr="0063258A">
        <w:t xml:space="preserve">, D. (2001). Simple selection criteria for drug-like chemical matter. </w:t>
      </w:r>
      <w:r w:rsidRPr="0063258A">
        <w:rPr>
          <w:rStyle w:val="Emphasis"/>
        </w:rPr>
        <w:t>Journal of Medicinal Chemistry</w:t>
      </w:r>
      <w:r w:rsidRPr="0063258A">
        <w:t xml:space="preserve">, 44(12), 1841–1846. </w:t>
      </w:r>
    </w:p>
    <w:p w14:paraId="0C39CF23" w14:textId="77777777" w:rsidR="00277A5A" w:rsidRPr="0009724F" w:rsidRDefault="00277A5A" w:rsidP="0009724F">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9724F">
        <w:rPr>
          <w:rFonts w:ascii="Times New Roman" w:eastAsia="Times New Roman" w:hAnsi="Times New Roman" w:cs="Times New Roman"/>
          <w:sz w:val="24"/>
          <w:szCs w:val="24"/>
        </w:rPr>
        <w:t xml:space="preserve">Müller, K., </w:t>
      </w:r>
      <w:proofErr w:type="spellStart"/>
      <w:r w:rsidRPr="0009724F">
        <w:rPr>
          <w:rFonts w:ascii="Times New Roman" w:eastAsia="Times New Roman" w:hAnsi="Times New Roman" w:cs="Times New Roman"/>
          <w:sz w:val="24"/>
          <w:szCs w:val="24"/>
        </w:rPr>
        <w:t>Faeh</w:t>
      </w:r>
      <w:proofErr w:type="spellEnd"/>
      <w:r w:rsidRPr="0009724F">
        <w:rPr>
          <w:rFonts w:ascii="Times New Roman" w:eastAsia="Times New Roman" w:hAnsi="Times New Roman" w:cs="Times New Roman"/>
          <w:sz w:val="24"/>
          <w:szCs w:val="24"/>
        </w:rPr>
        <w:t xml:space="preserve">, C., &amp; </w:t>
      </w:r>
      <w:proofErr w:type="spellStart"/>
      <w:r w:rsidRPr="0009724F">
        <w:rPr>
          <w:rFonts w:ascii="Times New Roman" w:eastAsia="Times New Roman" w:hAnsi="Times New Roman" w:cs="Times New Roman"/>
          <w:sz w:val="24"/>
          <w:szCs w:val="24"/>
        </w:rPr>
        <w:t>Diederich</w:t>
      </w:r>
      <w:proofErr w:type="spellEnd"/>
      <w:r w:rsidRPr="0009724F">
        <w:rPr>
          <w:rFonts w:ascii="Times New Roman" w:eastAsia="Times New Roman" w:hAnsi="Times New Roman" w:cs="Times New Roman"/>
          <w:sz w:val="24"/>
          <w:szCs w:val="24"/>
        </w:rPr>
        <w:t xml:space="preserve">, F. (2007). Fluorine in pharmaceuticals: Looking beyond intuition. </w:t>
      </w:r>
      <w:r w:rsidRPr="0009724F">
        <w:rPr>
          <w:rFonts w:ascii="Times New Roman" w:eastAsia="Times New Roman" w:hAnsi="Times New Roman" w:cs="Times New Roman"/>
          <w:i/>
          <w:iCs/>
          <w:sz w:val="24"/>
          <w:szCs w:val="24"/>
        </w:rPr>
        <w:t>Science, 317</w:t>
      </w:r>
      <w:r w:rsidRPr="0009724F">
        <w:rPr>
          <w:rFonts w:ascii="Times New Roman" w:eastAsia="Times New Roman" w:hAnsi="Times New Roman" w:cs="Times New Roman"/>
          <w:sz w:val="24"/>
          <w:szCs w:val="24"/>
        </w:rPr>
        <w:t>(5846), 1881–1886. https://doi.org/10.1126/science.1131943</w:t>
      </w:r>
    </w:p>
    <w:p w14:paraId="31E177B7" w14:textId="77777777" w:rsidR="00277A5A" w:rsidRPr="0063258A" w:rsidRDefault="00277A5A" w:rsidP="00495616">
      <w:pPr>
        <w:pStyle w:val="NormalWeb"/>
        <w:ind w:left="720" w:hanging="720"/>
        <w:jc w:val="both"/>
      </w:pPr>
    </w:p>
    <w:p w14:paraId="6CFD0ED8" w14:textId="34204F6C" w:rsidR="00495616" w:rsidRPr="0063258A" w:rsidRDefault="00495616" w:rsidP="0009724F">
      <w:pPr>
        <w:pStyle w:val="NormalWeb"/>
        <w:numPr>
          <w:ilvl w:val="0"/>
          <w:numId w:val="5"/>
        </w:numPr>
        <w:jc w:val="both"/>
      </w:pPr>
      <w:proofErr w:type="spellStart"/>
      <w:r w:rsidRPr="0063258A">
        <w:t>Odekunle</w:t>
      </w:r>
      <w:proofErr w:type="spellEnd"/>
      <w:r w:rsidRPr="0063258A">
        <w:t xml:space="preserve">, O. Y., </w:t>
      </w:r>
      <w:proofErr w:type="spellStart"/>
      <w:r w:rsidRPr="0063258A">
        <w:t>Ijarotimi</w:t>
      </w:r>
      <w:proofErr w:type="spellEnd"/>
      <w:r w:rsidRPr="0063258A">
        <w:t>, O. S., &amp; Babatunde, O.</w:t>
      </w:r>
      <w:r w:rsidR="000E4BF3">
        <w:t>I</w:t>
      </w:r>
      <w:r w:rsidRPr="0063258A">
        <w:t xml:space="preserve"> (2024). Evaluation of </w:t>
      </w:r>
      <w:proofErr w:type="spellStart"/>
      <w:r w:rsidRPr="0063258A">
        <w:t>conophor</w:t>
      </w:r>
      <w:proofErr w:type="spellEnd"/>
      <w:r w:rsidRPr="0063258A">
        <w:t xml:space="preserve"> nut protein isolates in ameliorating hyperglycemia and oxidative stress in diabetic Wistar rats. </w:t>
      </w:r>
      <w:r w:rsidRPr="0063258A">
        <w:rPr>
          <w:rStyle w:val="Emphasis"/>
        </w:rPr>
        <w:t>Asian Journal of Advances in Agricultural Research, 24</w:t>
      </w:r>
      <w:r w:rsidR="000E4BF3">
        <w:t>(7), 1</w:t>
      </w:r>
      <w:r w:rsidRPr="0063258A">
        <w:t>–27.</w:t>
      </w:r>
      <w:r w:rsidR="00096D15">
        <w:t xml:space="preserve"> </w:t>
      </w:r>
      <w:r w:rsidR="00096D15" w:rsidRPr="00096D15">
        <w:rPr>
          <w:rStyle w:val="bold"/>
          <w:b/>
          <w:bCs/>
          <w:color w:val="000000"/>
          <w:shd w:val="clear" w:color="auto" w:fill="FFFFFF"/>
        </w:rPr>
        <w:t>DOI: </w:t>
      </w:r>
      <w:hyperlink r:id="rId40" w:history="1">
        <w:r w:rsidR="00096D15" w:rsidRPr="00096D15">
          <w:rPr>
            <w:rStyle w:val="Hyperlink"/>
            <w:color w:val="0F4C82"/>
            <w:shd w:val="clear" w:color="auto" w:fill="FFFFFF"/>
          </w:rPr>
          <w:t>10.9734/</w:t>
        </w:r>
        <w:proofErr w:type="spellStart"/>
        <w:r w:rsidR="00096D15" w:rsidRPr="00096D15">
          <w:rPr>
            <w:rStyle w:val="Hyperlink"/>
            <w:color w:val="0F4C82"/>
            <w:shd w:val="clear" w:color="auto" w:fill="FFFFFF"/>
          </w:rPr>
          <w:t>ajaar</w:t>
        </w:r>
        <w:proofErr w:type="spellEnd"/>
        <w:r w:rsidR="00096D15" w:rsidRPr="00096D15">
          <w:rPr>
            <w:rStyle w:val="Hyperlink"/>
            <w:color w:val="0F4C82"/>
            <w:shd w:val="clear" w:color="auto" w:fill="FFFFFF"/>
          </w:rPr>
          <w:t>/2024/v24i7519</w:t>
        </w:r>
      </w:hyperlink>
    </w:p>
    <w:p w14:paraId="6CAC4DAF" w14:textId="227312C5" w:rsidR="00BE4059" w:rsidRDefault="00BE4059" w:rsidP="0009724F">
      <w:pPr>
        <w:pStyle w:val="NormalWeb"/>
        <w:numPr>
          <w:ilvl w:val="0"/>
          <w:numId w:val="5"/>
        </w:numPr>
        <w:jc w:val="both"/>
      </w:pPr>
      <w:proofErr w:type="spellStart"/>
      <w:r>
        <w:t>Pagadala</w:t>
      </w:r>
      <w:proofErr w:type="spellEnd"/>
      <w:r>
        <w:t xml:space="preserve">, N. S., Syed, K., &amp; </w:t>
      </w:r>
      <w:proofErr w:type="spellStart"/>
      <w:r>
        <w:t>Tuszynski</w:t>
      </w:r>
      <w:proofErr w:type="spellEnd"/>
      <w:r>
        <w:t xml:space="preserve">, J. (2017). Software for molecular docking: A review. </w:t>
      </w:r>
      <w:r>
        <w:rPr>
          <w:rStyle w:val="Emphasis"/>
        </w:rPr>
        <w:t>Biophysical Reviews, 9</w:t>
      </w:r>
      <w:r>
        <w:t>(2), 91–102.</w:t>
      </w:r>
      <w:r>
        <w:br/>
        <w:t>https://doi.org/10.1007/s12551-016-0247-1</w:t>
      </w:r>
    </w:p>
    <w:p w14:paraId="1D9ABA07" w14:textId="0B231A1D" w:rsidR="00881A35" w:rsidRPr="0063258A" w:rsidRDefault="00881A35" w:rsidP="0009724F">
      <w:pPr>
        <w:pStyle w:val="NormalWeb"/>
        <w:numPr>
          <w:ilvl w:val="0"/>
          <w:numId w:val="5"/>
        </w:numPr>
        <w:jc w:val="both"/>
      </w:pPr>
      <w:r>
        <w:t xml:space="preserve">Pan, M. H., Lai, C. S., &amp; Ho, C. T. (2010). Anti-inflammatory activity of natural dietary flavonoids. </w:t>
      </w:r>
      <w:r>
        <w:rPr>
          <w:rStyle w:val="Emphasis"/>
        </w:rPr>
        <w:t>Food &amp; Function, 1</w:t>
      </w:r>
      <w:r>
        <w:t>(1), 15–31. https://doi.org/10.1039/C0FO00103A</w:t>
      </w:r>
    </w:p>
    <w:p w14:paraId="1B160C59" w14:textId="227875A1" w:rsidR="008F265E" w:rsidRDefault="008F265E" w:rsidP="0009724F">
      <w:pPr>
        <w:pStyle w:val="NormalWeb"/>
        <w:numPr>
          <w:ilvl w:val="0"/>
          <w:numId w:val="5"/>
        </w:numPr>
        <w:jc w:val="both"/>
      </w:pPr>
      <w:proofErr w:type="spellStart"/>
      <w:r>
        <w:t>Proença</w:t>
      </w:r>
      <w:proofErr w:type="spellEnd"/>
      <w:r>
        <w:t xml:space="preserve">, C., Freitas, M., Ribeiro, D., Oliveira, E. F. T., Sousa, J. L. C., Tomé, S. M., Ramos, M. J., Silva, A. M. S., Fernandes, P. A., &amp; Fernandes, E. (2017). α-Glucosidase inhibition by flavonoids: An in vitro and in silico structure–activity relationship study. </w:t>
      </w:r>
      <w:r>
        <w:rPr>
          <w:rStyle w:val="Emphasis"/>
        </w:rPr>
        <w:t>Journal of Enzyme Inhibition and Medicinal Chemistry, 32</w:t>
      </w:r>
      <w:r>
        <w:t xml:space="preserve">(1), 1216–1228. </w:t>
      </w:r>
      <w:hyperlink r:id="rId41" w:history="1">
        <w:r w:rsidR="00E46223" w:rsidRPr="00A62BB3">
          <w:rPr>
            <w:rStyle w:val="Hyperlink"/>
          </w:rPr>
          <w:t>https://doi.org/10.1080/14756366.2017.1368503</w:t>
        </w:r>
      </w:hyperlink>
    </w:p>
    <w:p w14:paraId="18D11889" w14:textId="1CE12BB5" w:rsidR="00E46223" w:rsidRPr="0063258A" w:rsidRDefault="00E46223" w:rsidP="0009724F">
      <w:pPr>
        <w:pStyle w:val="NormalWeb"/>
        <w:numPr>
          <w:ilvl w:val="0"/>
          <w:numId w:val="5"/>
        </w:numPr>
        <w:jc w:val="both"/>
      </w:pPr>
      <w:r>
        <w:lastRenderedPageBreak/>
        <w:t xml:space="preserve">Purser, S., Moore, P. R., Swallow, S., &amp; Gouverneur, V. (2008). Fluorine in medicinal chemistry. </w:t>
      </w:r>
      <w:r>
        <w:rPr>
          <w:rStyle w:val="Emphasis"/>
        </w:rPr>
        <w:t>Chemical Society Reviews, 37</w:t>
      </w:r>
      <w:r>
        <w:t>(2), 320–330. https://doi.org/10.1039/B610213C</w:t>
      </w:r>
    </w:p>
    <w:p w14:paraId="539A73FC" w14:textId="646CF8BE" w:rsidR="008C478E" w:rsidRDefault="008C478E" w:rsidP="0009724F">
      <w:pPr>
        <w:pStyle w:val="NormalWeb"/>
        <w:numPr>
          <w:ilvl w:val="0"/>
          <w:numId w:val="5"/>
        </w:numPr>
        <w:jc w:val="both"/>
        <w:rPr>
          <w:rStyle w:val="Hyperlink"/>
        </w:rPr>
      </w:pPr>
      <w:r>
        <w:t xml:space="preserve">Ranjan, A., Ramachandran, S., Gupta, N., Kaushik, I., Wright, S., Srivastava, S., Das, H., Srivastava, S. K. (2019). Role of phytochemicals in cancer prevention. </w:t>
      </w:r>
      <w:r>
        <w:rPr>
          <w:rStyle w:val="Emphasis"/>
        </w:rPr>
        <w:t>International Journal of Molecular Sciences, 20</w:t>
      </w:r>
      <w:r>
        <w:t xml:space="preserve">(20), 4981. </w:t>
      </w:r>
      <w:hyperlink r:id="rId42" w:tgtFrame="_new" w:history="1">
        <w:r>
          <w:rPr>
            <w:rStyle w:val="Hyperlink"/>
          </w:rPr>
          <w:t>https://doi.org/10.3390/ijms20204981</w:t>
        </w:r>
      </w:hyperlink>
    </w:p>
    <w:p w14:paraId="717EBFE9" w14:textId="63559268" w:rsidR="0082400A" w:rsidRPr="0063258A" w:rsidRDefault="0082400A" w:rsidP="0009724F">
      <w:pPr>
        <w:pStyle w:val="NormalWeb"/>
        <w:numPr>
          <w:ilvl w:val="0"/>
          <w:numId w:val="5"/>
        </w:numPr>
        <w:jc w:val="both"/>
      </w:pPr>
      <w:proofErr w:type="spellStart"/>
      <w:r>
        <w:t>Scalbert</w:t>
      </w:r>
      <w:proofErr w:type="spellEnd"/>
      <w:r>
        <w:t xml:space="preserve">, A., Johnson, I. T., &amp; Saltmarsh, M. (2005). Polyphenols: Antioxidants and beyond. </w:t>
      </w:r>
      <w:r>
        <w:rPr>
          <w:rStyle w:val="Emphasis"/>
        </w:rPr>
        <w:t>The American Journal of Clinical Nutrition, 81</w:t>
      </w:r>
      <w:r>
        <w:t>(1), 215S–217S.</w:t>
      </w:r>
      <w:r>
        <w:br/>
        <w:t>https://doi.org/10.1093/ajcn/81.1.215S</w:t>
      </w:r>
    </w:p>
    <w:p w14:paraId="54D535DC" w14:textId="77777777" w:rsidR="00495616" w:rsidRPr="0063258A" w:rsidRDefault="00495616" w:rsidP="0009724F">
      <w:pPr>
        <w:pStyle w:val="NormalWeb"/>
        <w:numPr>
          <w:ilvl w:val="0"/>
          <w:numId w:val="5"/>
        </w:numPr>
        <w:jc w:val="both"/>
      </w:pPr>
      <w:r w:rsidRPr="0063258A">
        <w:t xml:space="preserve">Schacht, J., Talaska, A. E., &amp; Rybak, L. P. (2012). Cisplatin and aminoglycoside antibiotics: Hearing loss and its prevention. </w:t>
      </w:r>
      <w:r w:rsidRPr="0063258A">
        <w:rPr>
          <w:rStyle w:val="Emphasis"/>
        </w:rPr>
        <w:t>Anatomical Record</w:t>
      </w:r>
      <w:r w:rsidRPr="0063258A">
        <w:t xml:space="preserve">, 295(11), 1837–1850. </w:t>
      </w:r>
    </w:p>
    <w:p w14:paraId="67FFC267" w14:textId="77777777" w:rsidR="00495616" w:rsidRPr="0009724F" w:rsidRDefault="00656E46" w:rsidP="0009724F">
      <w:pPr>
        <w:pStyle w:val="ListParagraph"/>
        <w:numPr>
          <w:ilvl w:val="0"/>
          <w:numId w:val="5"/>
        </w:numPr>
        <w:autoSpaceDE w:val="0"/>
        <w:autoSpaceDN w:val="0"/>
        <w:adjustRightInd w:val="0"/>
        <w:spacing w:before="240"/>
        <w:jc w:val="both"/>
        <w:rPr>
          <w:rStyle w:val="Hyperlink"/>
          <w:rFonts w:ascii="Times New Roman" w:hAnsi="Times New Roman" w:cs="Times New Roman"/>
          <w:sz w:val="24"/>
          <w:szCs w:val="24"/>
          <w:shd w:val="clear" w:color="auto" w:fill="FFFFFF"/>
        </w:rPr>
      </w:pPr>
      <w:hyperlink r:id="rId43" w:history="1">
        <w:proofErr w:type="spellStart"/>
        <w:r w:rsidR="00495616" w:rsidRPr="0009724F">
          <w:rPr>
            <w:rStyle w:val="Hyperlink"/>
            <w:rFonts w:ascii="Times New Roman" w:hAnsi="Times New Roman" w:cs="Times New Roman"/>
            <w:sz w:val="24"/>
            <w:szCs w:val="24"/>
            <w:shd w:val="clear" w:color="auto" w:fill="FFFFFF"/>
          </w:rPr>
          <w:t>SwissADME</w:t>
        </w:r>
        <w:proofErr w:type="spellEnd"/>
        <w:r w:rsidR="00495616" w:rsidRPr="0009724F">
          <w:rPr>
            <w:rStyle w:val="Hyperlink"/>
            <w:rFonts w:ascii="Times New Roman" w:hAnsi="Times New Roman" w:cs="Times New Roman"/>
            <w:sz w:val="24"/>
            <w:szCs w:val="24"/>
            <w:shd w:val="clear" w:color="auto" w:fill="FFFFFF"/>
          </w:rPr>
          <w:t>: a free web tool to evaluate pharmacokinetics, drug-likeness and medicinal chemistry friendliness of small molecules. Sci. Rep. (2017) 7: 42717.</w:t>
        </w:r>
      </w:hyperlink>
    </w:p>
    <w:p w14:paraId="2ABFA658" w14:textId="0400EB57" w:rsidR="008F265E" w:rsidRPr="0009724F" w:rsidRDefault="008F265E" w:rsidP="0009724F">
      <w:pPr>
        <w:pStyle w:val="ListParagraph"/>
        <w:numPr>
          <w:ilvl w:val="0"/>
          <w:numId w:val="5"/>
        </w:numPr>
        <w:autoSpaceDE w:val="0"/>
        <w:autoSpaceDN w:val="0"/>
        <w:adjustRightInd w:val="0"/>
        <w:spacing w:before="240"/>
        <w:jc w:val="both"/>
        <w:rPr>
          <w:rFonts w:ascii="Times New Roman" w:hAnsi="Times New Roman" w:cs="Times New Roman"/>
          <w:sz w:val="24"/>
          <w:szCs w:val="24"/>
        </w:rPr>
      </w:pPr>
      <w:proofErr w:type="spellStart"/>
      <w:r w:rsidRPr="0009724F">
        <w:rPr>
          <w:rFonts w:ascii="Times New Roman" w:hAnsi="Times New Roman" w:cs="Times New Roman"/>
          <w:sz w:val="24"/>
          <w:szCs w:val="24"/>
        </w:rPr>
        <w:t>Tadera</w:t>
      </w:r>
      <w:proofErr w:type="spellEnd"/>
      <w:r w:rsidRPr="0009724F">
        <w:rPr>
          <w:rFonts w:ascii="Times New Roman" w:hAnsi="Times New Roman" w:cs="Times New Roman"/>
          <w:sz w:val="24"/>
          <w:szCs w:val="24"/>
        </w:rPr>
        <w:t xml:space="preserve">, K., Minami, Y., Takamatsu, K., &amp; Matsuoka, T. (2006). Inhibition of α-glucosidase and α-amylase by flavonoids. </w:t>
      </w:r>
      <w:r w:rsidRPr="0009724F">
        <w:rPr>
          <w:rStyle w:val="Emphasis"/>
          <w:rFonts w:ascii="Times New Roman" w:hAnsi="Times New Roman" w:cs="Times New Roman"/>
          <w:sz w:val="24"/>
          <w:szCs w:val="24"/>
        </w:rPr>
        <w:t xml:space="preserve">Journal of Nutritional Science and </w:t>
      </w:r>
      <w:proofErr w:type="spellStart"/>
      <w:r w:rsidRPr="0009724F">
        <w:rPr>
          <w:rStyle w:val="Emphasis"/>
          <w:rFonts w:ascii="Times New Roman" w:hAnsi="Times New Roman" w:cs="Times New Roman"/>
          <w:sz w:val="24"/>
          <w:szCs w:val="24"/>
        </w:rPr>
        <w:t>Vitaminology</w:t>
      </w:r>
      <w:proofErr w:type="spellEnd"/>
      <w:r w:rsidRPr="0009724F">
        <w:rPr>
          <w:rStyle w:val="Emphasis"/>
          <w:rFonts w:ascii="Times New Roman" w:hAnsi="Times New Roman" w:cs="Times New Roman"/>
          <w:sz w:val="24"/>
          <w:szCs w:val="24"/>
        </w:rPr>
        <w:t>, 52</w:t>
      </w:r>
      <w:r w:rsidRPr="0009724F">
        <w:rPr>
          <w:rFonts w:ascii="Times New Roman" w:hAnsi="Times New Roman" w:cs="Times New Roman"/>
          <w:sz w:val="24"/>
          <w:szCs w:val="24"/>
        </w:rPr>
        <w:t xml:space="preserve">(2), 149–153. </w:t>
      </w:r>
      <w:hyperlink r:id="rId44" w:history="1">
        <w:r w:rsidR="0069038D" w:rsidRPr="0009724F">
          <w:rPr>
            <w:rStyle w:val="Hyperlink"/>
            <w:rFonts w:ascii="Times New Roman" w:hAnsi="Times New Roman" w:cs="Times New Roman"/>
            <w:sz w:val="24"/>
            <w:szCs w:val="24"/>
          </w:rPr>
          <w:t>https://doi.org/10.3177/jnsv.52.149</w:t>
        </w:r>
      </w:hyperlink>
    </w:p>
    <w:p w14:paraId="05FD662C" w14:textId="77777777" w:rsidR="0069038D" w:rsidRDefault="0069038D" w:rsidP="0009724F">
      <w:pPr>
        <w:pStyle w:val="NormalWeb"/>
        <w:numPr>
          <w:ilvl w:val="0"/>
          <w:numId w:val="5"/>
        </w:numPr>
      </w:pPr>
      <w:r>
        <w:t xml:space="preserve">Traber, M. G., &amp; Atkinson, J. (2007). Vitamin E, antioxidant and nothing more. </w:t>
      </w:r>
      <w:r>
        <w:rPr>
          <w:rStyle w:val="Emphasis"/>
        </w:rPr>
        <w:t>Free Radical Biology and Medicine, 43</w:t>
      </w:r>
      <w:r>
        <w:t>(1), 4–15.</w:t>
      </w:r>
      <w:r>
        <w:br/>
      </w:r>
      <w:hyperlink r:id="rId45" w:tgtFrame="_new" w:history="1">
        <w:r>
          <w:rPr>
            <w:rStyle w:val="Hyperlink"/>
            <w:rFonts w:eastAsiaTheme="majorEastAsia"/>
          </w:rPr>
          <w:t>https://doi.org/10.1016/j.freeradbiomed.2007.03.024</w:t>
        </w:r>
      </w:hyperlink>
    </w:p>
    <w:p w14:paraId="6F1B62D8" w14:textId="77777777" w:rsidR="0069038D" w:rsidRPr="008F265E" w:rsidRDefault="0069038D" w:rsidP="00495616">
      <w:pPr>
        <w:autoSpaceDE w:val="0"/>
        <w:autoSpaceDN w:val="0"/>
        <w:adjustRightInd w:val="0"/>
        <w:spacing w:before="240"/>
        <w:ind w:left="720" w:hanging="720"/>
        <w:jc w:val="both"/>
        <w:rPr>
          <w:rFonts w:ascii="Times New Roman" w:hAnsi="Times New Roman" w:cs="Times New Roman"/>
          <w:sz w:val="24"/>
          <w:szCs w:val="24"/>
        </w:rPr>
      </w:pPr>
    </w:p>
    <w:p w14:paraId="18E2C1DD" w14:textId="77777777" w:rsidR="00495616" w:rsidRPr="0009724F" w:rsidRDefault="00495616" w:rsidP="0009724F">
      <w:pPr>
        <w:pStyle w:val="ListParagraph"/>
        <w:numPr>
          <w:ilvl w:val="0"/>
          <w:numId w:val="5"/>
        </w:numPr>
        <w:autoSpaceDE w:val="0"/>
        <w:autoSpaceDN w:val="0"/>
        <w:adjustRightInd w:val="0"/>
        <w:spacing w:before="240"/>
        <w:jc w:val="both"/>
        <w:rPr>
          <w:rFonts w:ascii="Times New Roman" w:hAnsi="Times New Roman" w:cs="Times New Roman"/>
          <w:sz w:val="24"/>
          <w:szCs w:val="24"/>
        </w:rPr>
      </w:pPr>
      <w:r w:rsidRPr="0009724F">
        <w:rPr>
          <w:rFonts w:ascii="Times New Roman" w:hAnsi="Times New Roman" w:cs="Times New Roman"/>
          <w:sz w:val="24"/>
          <w:szCs w:val="24"/>
        </w:rPr>
        <w:t xml:space="preserve">Trott, O. and Olson, A. J. (2010). </w:t>
      </w:r>
      <w:proofErr w:type="spellStart"/>
      <w:r w:rsidRPr="0009724F">
        <w:rPr>
          <w:rFonts w:ascii="Times New Roman" w:hAnsi="Times New Roman" w:cs="Times New Roman"/>
          <w:sz w:val="24"/>
          <w:szCs w:val="24"/>
        </w:rPr>
        <w:t>AutoDock</w:t>
      </w:r>
      <w:proofErr w:type="spellEnd"/>
      <w:r w:rsidRPr="0009724F">
        <w:rPr>
          <w:rFonts w:ascii="Times New Roman" w:hAnsi="Times New Roman" w:cs="Times New Roman"/>
          <w:sz w:val="24"/>
          <w:szCs w:val="24"/>
        </w:rPr>
        <w:t xml:space="preserve"> Vina: improving the speed and accuracy of docking with a new scoring function, efficient optimization and multithreading, </w:t>
      </w:r>
      <w:r w:rsidRPr="0009724F">
        <w:rPr>
          <w:rFonts w:ascii="Times New Roman" w:hAnsi="Times New Roman" w:cs="Times New Roman"/>
          <w:i/>
          <w:sz w:val="24"/>
          <w:szCs w:val="24"/>
        </w:rPr>
        <w:t>Journal of Computational Chemistry</w:t>
      </w:r>
      <w:r w:rsidRPr="0009724F">
        <w:rPr>
          <w:rFonts w:ascii="Times New Roman" w:hAnsi="Times New Roman" w:cs="Times New Roman"/>
          <w:sz w:val="24"/>
          <w:szCs w:val="24"/>
        </w:rPr>
        <w:t>, 31: 455-461</w:t>
      </w:r>
    </w:p>
    <w:p w14:paraId="5EF3089D" w14:textId="59055F94" w:rsidR="009C117F" w:rsidRDefault="009C117F" w:rsidP="0009724F">
      <w:pPr>
        <w:pStyle w:val="NormalWeb"/>
        <w:numPr>
          <w:ilvl w:val="0"/>
          <w:numId w:val="5"/>
        </w:numPr>
      </w:pPr>
      <w:r>
        <w:t xml:space="preserve">van Meer, G., Voelker, D. R., &amp; </w:t>
      </w:r>
      <w:proofErr w:type="spellStart"/>
      <w:r>
        <w:t>Feigenson</w:t>
      </w:r>
      <w:proofErr w:type="spellEnd"/>
      <w:r>
        <w:t xml:space="preserve">, G. W. (2008). Membrane lipids: Where they are and how they behave. </w:t>
      </w:r>
      <w:r>
        <w:rPr>
          <w:rStyle w:val="Emphasis"/>
        </w:rPr>
        <w:t>Nature Reviews Molecular Cell Biology, 9</w:t>
      </w:r>
      <w:r>
        <w:t>(2), 112–124.</w:t>
      </w:r>
      <w:r>
        <w:br/>
      </w:r>
      <w:hyperlink r:id="rId46" w:tgtFrame="_new" w:history="1">
        <w:r>
          <w:rPr>
            <w:rStyle w:val="Hyperlink"/>
            <w:rFonts w:eastAsiaTheme="majorEastAsia"/>
          </w:rPr>
          <w:t>https://doi.org/10.1038/nrm2330</w:t>
        </w:r>
      </w:hyperlink>
    </w:p>
    <w:p w14:paraId="2FB571A6" w14:textId="0C6996CF" w:rsidR="00B748E8" w:rsidRDefault="00B748E8" w:rsidP="0009724F">
      <w:pPr>
        <w:pStyle w:val="NormalWeb"/>
        <w:numPr>
          <w:ilvl w:val="0"/>
          <w:numId w:val="5"/>
        </w:numPr>
        <w:jc w:val="both"/>
      </w:pPr>
      <w:r>
        <w:t xml:space="preserve">Varma, M. V. S., </w:t>
      </w:r>
      <w:proofErr w:type="spellStart"/>
      <w:r>
        <w:t>Obach</w:t>
      </w:r>
      <w:proofErr w:type="spellEnd"/>
      <w:r>
        <w:t>, R. S., Rotter, C., Miller, H. R., Chang, G., Steyn, S. J., El-</w:t>
      </w:r>
      <w:proofErr w:type="spellStart"/>
      <w:r>
        <w:t>Kattan</w:t>
      </w:r>
      <w:proofErr w:type="spellEnd"/>
      <w:r>
        <w:t xml:space="preserve">, A., &amp; Troutman, M. D. (2010). Physicochemical space for optimum oral bioavailability: Contribution of human intestinal absorption and first-pass elimination. </w:t>
      </w:r>
      <w:r>
        <w:rPr>
          <w:rStyle w:val="Emphasis"/>
        </w:rPr>
        <w:t>Journal of Medicinal Chemistry, 53</w:t>
      </w:r>
      <w:r>
        <w:t xml:space="preserve">(3), 1098–1108. </w:t>
      </w:r>
      <w:hyperlink r:id="rId47" w:tgtFrame="_new" w:history="1">
        <w:r>
          <w:rPr>
            <w:rStyle w:val="Hyperlink"/>
          </w:rPr>
          <w:t>https://doi.org/10.1021/jm901371v</w:t>
        </w:r>
      </w:hyperlink>
    </w:p>
    <w:p w14:paraId="385BAC06" w14:textId="20552EB7" w:rsidR="00495616" w:rsidRPr="0063258A" w:rsidRDefault="000A2C9F" w:rsidP="0009724F">
      <w:pPr>
        <w:pStyle w:val="NormalWeb"/>
        <w:numPr>
          <w:ilvl w:val="0"/>
          <w:numId w:val="5"/>
        </w:numPr>
      </w:pPr>
      <w:proofErr w:type="spellStart"/>
      <w:r>
        <w:t>Veber</w:t>
      </w:r>
      <w:proofErr w:type="spellEnd"/>
      <w:r>
        <w:t xml:space="preserve">, D. F., Johnson, S. R., Cheng, H. Y., Smith, B. R., Ward, K. W., &amp; Kopple, K. D. (2002). Molecular properties that influence the oral bioavailability of drug candidates. </w:t>
      </w:r>
      <w:r>
        <w:rPr>
          <w:rStyle w:val="Emphasis"/>
        </w:rPr>
        <w:t>Journal of Medicinal Chemistry, 45</w:t>
      </w:r>
      <w:r>
        <w:t xml:space="preserve">(12), 2615–2623. </w:t>
      </w:r>
      <w:hyperlink r:id="rId48" w:tgtFrame="_new" w:history="1">
        <w:r>
          <w:rPr>
            <w:rStyle w:val="Hyperlink"/>
            <w:rFonts w:eastAsiaTheme="majorEastAsia"/>
          </w:rPr>
          <w:t>https://doi.org/10.1021/jm020017n</w:t>
        </w:r>
      </w:hyperlink>
    </w:p>
    <w:p w14:paraId="7862F607" w14:textId="53CA299B" w:rsidR="00091A52" w:rsidRPr="0063258A" w:rsidRDefault="00091A52" w:rsidP="0009724F">
      <w:pPr>
        <w:pStyle w:val="NormalWeb"/>
        <w:numPr>
          <w:ilvl w:val="0"/>
          <w:numId w:val="5"/>
        </w:numPr>
      </w:pPr>
      <w:proofErr w:type="spellStart"/>
      <w:r>
        <w:lastRenderedPageBreak/>
        <w:t>Wilcken</w:t>
      </w:r>
      <w:proofErr w:type="spellEnd"/>
      <w:r>
        <w:t xml:space="preserve">, R., Zimmermann, M. O., Lange, A., Zahn, S., &amp; </w:t>
      </w:r>
      <w:proofErr w:type="spellStart"/>
      <w:r>
        <w:t>Boeckler</w:t>
      </w:r>
      <w:proofErr w:type="spellEnd"/>
      <w:r>
        <w:t xml:space="preserve">, F. M. (2013). Principles and applications of halogen bonding in medicinal chemistry and chemical biology. </w:t>
      </w:r>
      <w:r>
        <w:rPr>
          <w:rStyle w:val="Emphasis"/>
        </w:rPr>
        <w:t>Journal of Medicinal Chemistry, 56</w:t>
      </w:r>
      <w:r>
        <w:t xml:space="preserve">(4), 1363–1388. </w:t>
      </w:r>
      <w:hyperlink r:id="rId49" w:tgtFrame="_new" w:history="1">
        <w:r>
          <w:rPr>
            <w:rStyle w:val="Hyperlink"/>
            <w:rFonts w:eastAsiaTheme="majorEastAsia"/>
          </w:rPr>
          <w:t>https://doi.org/10.1021/jm3012068</w:t>
        </w:r>
      </w:hyperlink>
    </w:p>
    <w:p w14:paraId="25FBFB8B" w14:textId="77777777" w:rsidR="00495616" w:rsidRPr="0063258A" w:rsidRDefault="00495616" w:rsidP="0009724F">
      <w:pPr>
        <w:pStyle w:val="NormalWeb"/>
        <w:numPr>
          <w:ilvl w:val="0"/>
          <w:numId w:val="5"/>
        </w:numPr>
        <w:jc w:val="both"/>
      </w:pPr>
      <w:r w:rsidRPr="0063258A">
        <w:t xml:space="preserve">Yu, L., Zhao, X., &amp; Wang, P. (2021). Fluorinated drug design for enhanced metabolic stability: Mechanistic insights and case studies. </w:t>
      </w:r>
      <w:r w:rsidRPr="0063258A">
        <w:rPr>
          <w:rStyle w:val="Emphasis"/>
        </w:rPr>
        <w:t>Chemical Reviews</w:t>
      </w:r>
      <w:r w:rsidRPr="0063258A">
        <w:t xml:space="preserve">, 121(11), 6904–6950. </w:t>
      </w:r>
    </w:p>
    <w:bookmarkEnd w:id="4"/>
    <w:p w14:paraId="5557194C" w14:textId="77777777" w:rsidR="00495616" w:rsidRPr="0063258A" w:rsidRDefault="00495616" w:rsidP="003A1A33">
      <w:pPr>
        <w:pStyle w:val="NormalWeb"/>
        <w:spacing w:before="240" w:beforeAutospacing="0" w:line="360" w:lineRule="auto"/>
        <w:rPr>
          <w:rStyle w:val="Strong"/>
          <w:rFonts w:eastAsiaTheme="majorEastAsia"/>
        </w:rPr>
      </w:pPr>
    </w:p>
    <w:sectPr w:rsidR="00495616" w:rsidRPr="0063258A">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1CB2F" w14:textId="77777777" w:rsidR="00656E46" w:rsidRDefault="00656E46" w:rsidP="003A1A33">
      <w:pPr>
        <w:spacing w:after="0" w:line="240" w:lineRule="auto"/>
      </w:pPr>
      <w:r>
        <w:separator/>
      </w:r>
    </w:p>
  </w:endnote>
  <w:endnote w:type="continuationSeparator" w:id="0">
    <w:p w14:paraId="23746794" w14:textId="77777777" w:rsidR="00656E46" w:rsidRDefault="00656E46" w:rsidP="003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69516" w14:textId="77777777" w:rsidR="00885213" w:rsidRDefault="00885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592039"/>
      <w:docPartObj>
        <w:docPartGallery w:val="Page Numbers (Bottom of Page)"/>
        <w:docPartUnique/>
      </w:docPartObj>
    </w:sdtPr>
    <w:sdtEndPr>
      <w:rPr>
        <w:noProof/>
      </w:rPr>
    </w:sdtEndPr>
    <w:sdtContent>
      <w:p w14:paraId="244AF545" w14:textId="77777777" w:rsidR="00DB66B6" w:rsidRDefault="00DB66B6">
        <w:pPr>
          <w:pStyle w:val="Footer"/>
          <w:jc w:val="center"/>
        </w:pPr>
        <w:r>
          <w:fldChar w:fldCharType="begin"/>
        </w:r>
        <w:r>
          <w:instrText xml:space="preserve"> PAGE   \* MERGEFORMAT </w:instrText>
        </w:r>
        <w:r>
          <w:fldChar w:fldCharType="separate"/>
        </w:r>
        <w:r w:rsidR="00481930">
          <w:rPr>
            <w:noProof/>
          </w:rPr>
          <w:t>20</w:t>
        </w:r>
        <w:r>
          <w:rPr>
            <w:noProof/>
          </w:rPr>
          <w:fldChar w:fldCharType="end"/>
        </w:r>
      </w:p>
    </w:sdtContent>
  </w:sdt>
  <w:p w14:paraId="6AB02A09" w14:textId="77777777" w:rsidR="00DB66B6" w:rsidRDefault="00DB6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FDAF" w14:textId="77777777" w:rsidR="00885213" w:rsidRDefault="00885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E4619" w14:textId="77777777" w:rsidR="00656E46" w:rsidRDefault="00656E46" w:rsidP="003A1A33">
      <w:pPr>
        <w:spacing w:after="0" w:line="240" w:lineRule="auto"/>
      </w:pPr>
      <w:r>
        <w:separator/>
      </w:r>
    </w:p>
  </w:footnote>
  <w:footnote w:type="continuationSeparator" w:id="0">
    <w:p w14:paraId="38925521" w14:textId="77777777" w:rsidR="00656E46" w:rsidRDefault="00656E46" w:rsidP="003A1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4280" w14:textId="3E2C6DC3" w:rsidR="00885213" w:rsidRDefault="00656E46">
    <w:pPr>
      <w:pStyle w:val="Header"/>
    </w:pPr>
    <w:r>
      <w:rPr>
        <w:noProof/>
      </w:rPr>
      <w:pict w14:anchorId="7E347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69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849D" w14:textId="28692D09" w:rsidR="00885213" w:rsidRDefault="00656E46">
    <w:pPr>
      <w:pStyle w:val="Header"/>
    </w:pPr>
    <w:r>
      <w:rPr>
        <w:noProof/>
      </w:rPr>
      <w:pict w14:anchorId="54ED2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69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75BCB" w14:textId="12D1F73E" w:rsidR="00885213" w:rsidRDefault="00656E46">
    <w:pPr>
      <w:pStyle w:val="Header"/>
    </w:pPr>
    <w:r>
      <w:rPr>
        <w:noProof/>
      </w:rPr>
      <w:pict w14:anchorId="324EC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69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31C8C"/>
    <w:multiLevelType w:val="multilevel"/>
    <w:tmpl w:val="DD48B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8E777B"/>
    <w:multiLevelType w:val="multilevel"/>
    <w:tmpl w:val="EC92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3512BA"/>
    <w:multiLevelType w:val="multilevel"/>
    <w:tmpl w:val="1D86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1643FF"/>
    <w:multiLevelType w:val="hybridMultilevel"/>
    <w:tmpl w:val="8EA6E0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A671C3F"/>
    <w:multiLevelType w:val="multilevel"/>
    <w:tmpl w:val="9E58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63"/>
    <w:rsid w:val="00010159"/>
    <w:rsid w:val="00012777"/>
    <w:rsid w:val="000329AF"/>
    <w:rsid w:val="0005714B"/>
    <w:rsid w:val="00074035"/>
    <w:rsid w:val="00091A52"/>
    <w:rsid w:val="00094C0B"/>
    <w:rsid w:val="00096D15"/>
    <w:rsid w:val="0009724F"/>
    <w:rsid w:val="00097B8E"/>
    <w:rsid w:val="000A2C9F"/>
    <w:rsid w:val="000A795B"/>
    <w:rsid w:val="000B7DA6"/>
    <w:rsid w:val="000D1906"/>
    <w:rsid w:val="000D503D"/>
    <w:rsid w:val="000D7148"/>
    <w:rsid w:val="000D72D9"/>
    <w:rsid w:val="000E43E7"/>
    <w:rsid w:val="000E4BF3"/>
    <w:rsid w:val="000E65B5"/>
    <w:rsid w:val="00103082"/>
    <w:rsid w:val="00110885"/>
    <w:rsid w:val="0012002D"/>
    <w:rsid w:val="00120B62"/>
    <w:rsid w:val="00120E20"/>
    <w:rsid w:val="0013748E"/>
    <w:rsid w:val="00180A51"/>
    <w:rsid w:val="00181EE3"/>
    <w:rsid w:val="001A7FAC"/>
    <w:rsid w:val="001B36FC"/>
    <w:rsid w:val="001B4A50"/>
    <w:rsid w:val="001D72A0"/>
    <w:rsid w:val="001E20D2"/>
    <w:rsid w:val="00216E52"/>
    <w:rsid w:val="0021796F"/>
    <w:rsid w:val="0022741B"/>
    <w:rsid w:val="00230485"/>
    <w:rsid w:val="00235608"/>
    <w:rsid w:val="0024538D"/>
    <w:rsid w:val="00250B77"/>
    <w:rsid w:val="0026033F"/>
    <w:rsid w:val="002708FC"/>
    <w:rsid w:val="00271047"/>
    <w:rsid w:val="0027563A"/>
    <w:rsid w:val="00277A5A"/>
    <w:rsid w:val="00277C16"/>
    <w:rsid w:val="00283635"/>
    <w:rsid w:val="00286784"/>
    <w:rsid w:val="00295D2C"/>
    <w:rsid w:val="002A7214"/>
    <w:rsid w:val="002C2448"/>
    <w:rsid w:val="002D0FCE"/>
    <w:rsid w:val="002D3405"/>
    <w:rsid w:val="002D42CC"/>
    <w:rsid w:val="002F09A8"/>
    <w:rsid w:val="002F7BA4"/>
    <w:rsid w:val="0031061F"/>
    <w:rsid w:val="003108F1"/>
    <w:rsid w:val="00320F53"/>
    <w:rsid w:val="00333486"/>
    <w:rsid w:val="00336EC6"/>
    <w:rsid w:val="00340CCD"/>
    <w:rsid w:val="003433A8"/>
    <w:rsid w:val="00347458"/>
    <w:rsid w:val="00365254"/>
    <w:rsid w:val="00365675"/>
    <w:rsid w:val="003808B2"/>
    <w:rsid w:val="00391361"/>
    <w:rsid w:val="003A1A33"/>
    <w:rsid w:val="003C7833"/>
    <w:rsid w:val="003F41DD"/>
    <w:rsid w:val="0040404F"/>
    <w:rsid w:val="00421156"/>
    <w:rsid w:val="00430E8C"/>
    <w:rsid w:val="00452D25"/>
    <w:rsid w:val="00470867"/>
    <w:rsid w:val="00471711"/>
    <w:rsid w:val="004762F1"/>
    <w:rsid w:val="00481930"/>
    <w:rsid w:val="00495616"/>
    <w:rsid w:val="004A2770"/>
    <w:rsid w:val="004A3E03"/>
    <w:rsid w:val="00506830"/>
    <w:rsid w:val="00507F1D"/>
    <w:rsid w:val="005110FE"/>
    <w:rsid w:val="0051564D"/>
    <w:rsid w:val="00532230"/>
    <w:rsid w:val="005343BE"/>
    <w:rsid w:val="00536636"/>
    <w:rsid w:val="00551C16"/>
    <w:rsid w:val="00554D91"/>
    <w:rsid w:val="00562C19"/>
    <w:rsid w:val="00576C97"/>
    <w:rsid w:val="00584854"/>
    <w:rsid w:val="0059644F"/>
    <w:rsid w:val="005A4BDD"/>
    <w:rsid w:val="005B30A1"/>
    <w:rsid w:val="005C1925"/>
    <w:rsid w:val="005D4F84"/>
    <w:rsid w:val="005D6413"/>
    <w:rsid w:val="005D6718"/>
    <w:rsid w:val="005F0C20"/>
    <w:rsid w:val="00622C7E"/>
    <w:rsid w:val="00625EFA"/>
    <w:rsid w:val="00631B56"/>
    <w:rsid w:val="0063258A"/>
    <w:rsid w:val="00645F85"/>
    <w:rsid w:val="00654F57"/>
    <w:rsid w:val="00656E46"/>
    <w:rsid w:val="00661D40"/>
    <w:rsid w:val="00684263"/>
    <w:rsid w:val="00687548"/>
    <w:rsid w:val="0069038D"/>
    <w:rsid w:val="0069255D"/>
    <w:rsid w:val="006A4B44"/>
    <w:rsid w:val="006B2956"/>
    <w:rsid w:val="006B49B5"/>
    <w:rsid w:val="006E086C"/>
    <w:rsid w:val="006F7F7D"/>
    <w:rsid w:val="00706E7B"/>
    <w:rsid w:val="0070782C"/>
    <w:rsid w:val="00727334"/>
    <w:rsid w:val="00737193"/>
    <w:rsid w:val="00745DF3"/>
    <w:rsid w:val="00765295"/>
    <w:rsid w:val="00772355"/>
    <w:rsid w:val="00791F50"/>
    <w:rsid w:val="007B0B5C"/>
    <w:rsid w:val="007F38C8"/>
    <w:rsid w:val="00805B0D"/>
    <w:rsid w:val="008070DD"/>
    <w:rsid w:val="008143B3"/>
    <w:rsid w:val="00817D0B"/>
    <w:rsid w:val="00823217"/>
    <w:rsid w:val="0082400A"/>
    <w:rsid w:val="00834BCD"/>
    <w:rsid w:val="00837A5C"/>
    <w:rsid w:val="00841EA7"/>
    <w:rsid w:val="008707C5"/>
    <w:rsid w:val="00876433"/>
    <w:rsid w:val="00881A35"/>
    <w:rsid w:val="00885213"/>
    <w:rsid w:val="0089040A"/>
    <w:rsid w:val="008C21EC"/>
    <w:rsid w:val="008C35B6"/>
    <w:rsid w:val="008C478E"/>
    <w:rsid w:val="008C59C2"/>
    <w:rsid w:val="008F0B17"/>
    <w:rsid w:val="008F265E"/>
    <w:rsid w:val="008F3930"/>
    <w:rsid w:val="00910F51"/>
    <w:rsid w:val="009315F0"/>
    <w:rsid w:val="00947B08"/>
    <w:rsid w:val="00984B92"/>
    <w:rsid w:val="009A3DF3"/>
    <w:rsid w:val="009A52E6"/>
    <w:rsid w:val="009A5C6D"/>
    <w:rsid w:val="009B23F6"/>
    <w:rsid w:val="009C117F"/>
    <w:rsid w:val="009C6182"/>
    <w:rsid w:val="009D6F1C"/>
    <w:rsid w:val="009E5F75"/>
    <w:rsid w:val="009F49B4"/>
    <w:rsid w:val="00A10BF5"/>
    <w:rsid w:val="00A13E5E"/>
    <w:rsid w:val="00A23421"/>
    <w:rsid w:val="00A27F25"/>
    <w:rsid w:val="00A3107A"/>
    <w:rsid w:val="00A372A5"/>
    <w:rsid w:val="00A45A54"/>
    <w:rsid w:val="00A5769A"/>
    <w:rsid w:val="00A70B3D"/>
    <w:rsid w:val="00A86725"/>
    <w:rsid w:val="00A9209D"/>
    <w:rsid w:val="00AB43A6"/>
    <w:rsid w:val="00AC0404"/>
    <w:rsid w:val="00AC486F"/>
    <w:rsid w:val="00AE1C25"/>
    <w:rsid w:val="00AF6A2F"/>
    <w:rsid w:val="00B0228E"/>
    <w:rsid w:val="00B17E38"/>
    <w:rsid w:val="00B24A04"/>
    <w:rsid w:val="00B41A54"/>
    <w:rsid w:val="00B62C17"/>
    <w:rsid w:val="00B70E39"/>
    <w:rsid w:val="00B748E8"/>
    <w:rsid w:val="00B93533"/>
    <w:rsid w:val="00B95515"/>
    <w:rsid w:val="00B96EA1"/>
    <w:rsid w:val="00B96EEB"/>
    <w:rsid w:val="00BC198D"/>
    <w:rsid w:val="00BE3140"/>
    <w:rsid w:val="00BE4059"/>
    <w:rsid w:val="00BE7112"/>
    <w:rsid w:val="00BF6CEC"/>
    <w:rsid w:val="00C22458"/>
    <w:rsid w:val="00C23730"/>
    <w:rsid w:val="00C242D2"/>
    <w:rsid w:val="00C50B61"/>
    <w:rsid w:val="00C7351E"/>
    <w:rsid w:val="00C747A2"/>
    <w:rsid w:val="00C74817"/>
    <w:rsid w:val="00C83C0A"/>
    <w:rsid w:val="00C83CC2"/>
    <w:rsid w:val="00C90927"/>
    <w:rsid w:val="00CA5A54"/>
    <w:rsid w:val="00CB13A0"/>
    <w:rsid w:val="00CB5660"/>
    <w:rsid w:val="00CC1786"/>
    <w:rsid w:val="00CC37AB"/>
    <w:rsid w:val="00CC6239"/>
    <w:rsid w:val="00CD27FD"/>
    <w:rsid w:val="00CD525E"/>
    <w:rsid w:val="00CE386F"/>
    <w:rsid w:val="00D03047"/>
    <w:rsid w:val="00D07E7E"/>
    <w:rsid w:val="00D16D76"/>
    <w:rsid w:val="00D22D91"/>
    <w:rsid w:val="00D24EEF"/>
    <w:rsid w:val="00D43662"/>
    <w:rsid w:val="00D44CC7"/>
    <w:rsid w:val="00D56E5F"/>
    <w:rsid w:val="00D62F07"/>
    <w:rsid w:val="00D71A9E"/>
    <w:rsid w:val="00D9367B"/>
    <w:rsid w:val="00D96684"/>
    <w:rsid w:val="00D966CB"/>
    <w:rsid w:val="00D97EE1"/>
    <w:rsid w:val="00DB66B6"/>
    <w:rsid w:val="00DD3B26"/>
    <w:rsid w:val="00DE1EE3"/>
    <w:rsid w:val="00DE5DB8"/>
    <w:rsid w:val="00E00F66"/>
    <w:rsid w:val="00E037D7"/>
    <w:rsid w:val="00E11153"/>
    <w:rsid w:val="00E26B15"/>
    <w:rsid w:val="00E26F63"/>
    <w:rsid w:val="00E30033"/>
    <w:rsid w:val="00E30AEC"/>
    <w:rsid w:val="00E30DC7"/>
    <w:rsid w:val="00E32F82"/>
    <w:rsid w:val="00E342B0"/>
    <w:rsid w:val="00E41B68"/>
    <w:rsid w:val="00E46223"/>
    <w:rsid w:val="00E56412"/>
    <w:rsid w:val="00E706B1"/>
    <w:rsid w:val="00E70A5F"/>
    <w:rsid w:val="00E74ED1"/>
    <w:rsid w:val="00E84F12"/>
    <w:rsid w:val="00E90838"/>
    <w:rsid w:val="00EB09D5"/>
    <w:rsid w:val="00EC0B12"/>
    <w:rsid w:val="00EC430C"/>
    <w:rsid w:val="00ED09D6"/>
    <w:rsid w:val="00ED37DF"/>
    <w:rsid w:val="00EE20D6"/>
    <w:rsid w:val="00EE5B63"/>
    <w:rsid w:val="00F41348"/>
    <w:rsid w:val="00F64D0B"/>
    <w:rsid w:val="00F70D04"/>
    <w:rsid w:val="00F80C28"/>
    <w:rsid w:val="00F81322"/>
    <w:rsid w:val="00F82C3B"/>
    <w:rsid w:val="00F832C8"/>
    <w:rsid w:val="00F932C2"/>
    <w:rsid w:val="00FA72BB"/>
    <w:rsid w:val="00FB6F48"/>
    <w:rsid w:val="00FC4338"/>
    <w:rsid w:val="00FD3687"/>
    <w:rsid w:val="00FD5663"/>
    <w:rsid w:val="00FD590B"/>
    <w:rsid w:val="00FD7B3B"/>
    <w:rsid w:val="00FE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C386F7"/>
  <w15:chartTrackingRefBased/>
  <w15:docId w15:val="{385AAE9B-6892-40C0-9454-CAFD4B8F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E03"/>
  </w:style>
  <w:style w:type="paragraph" w:styleId="Heading1">
    <w:name w:val="heading 1"/>
    <w:basedOn w:val="Normal"/>
    <w:next w:val="Normal"/>
    <w:link w:val="Heading1Char"/>
    <w:uiPriority w:val="9"/>
    <w:qFormat/>
    <w:rsid w:val="00FC43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C21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21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747A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medium">
    <w:name w:val="f-medium"/>
    <w:basedOn w:val="DefaultParagraphFont"/>
    <w:rsid w:val="00B0228E"/>
  </w:style>
  <w:style w:type="character" w:customStyle="1" w:styleId="breakword">
    <w:name w:val="breakword"/>
    <w:basedOn w:val="DefaultParagraphFont"/>
    <w:rsid w:val="00B0228E"/>
  </w:style>
  <w:style w:type="character" w:customStyle="1" w:styleId="Heading4Char">
    <w:name w:val="Heading 4 Char"/>
    <w:basedOn w:val="DefaultParagraphFont"/>
    <w:link w:val="Heading4"/>
    <w:uiPriority w:val="9"/>
    <w:rsid w:val="00C747A2"/>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C747A2"/>
    <w:rPr>
      <w:i/>
      <w:iCs/>
    </w:rPr>
  </w:style>
  <w:style w:type="character" w:styleId="Hyperlink">
    <w:name w:val="Hyperlink"/>
    <w:basedOn w:val="DefaultParagraphFont"/>
    <w:uiPriority w:val="99"/>
    <w:unhideWhenUsed/>
    <w:rsid w:val="00C747A2"/>
    <w:rPr>
      <w:color w:val="0000FF"/>
      <w:u w:val="single"/>
    </w:rPr>
  </w:style>
  <w:style w:type="table" w:styleId="TableGrid">
    <w:name w:val="Table Grid"/>
    <w:basedOn w:val="TableNormal"/>
    <w:uiPriority w:val="59"/>
    <w:rsid w:val="00C7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4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C21E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C21E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791F50"/>
    <w:rPr>
      <w:b/>
      <w:bCs/>
    </w:rPr>
  </w:style>
  <w:style w:type="paragraph" w:styleId="Header">
    <w:name w:val="header"/>
    <w:basedOn w:val="Normal"/>
    <w:link w:val="HeaderChar"/>
    <w:uiPriority w:val="99"/>
    <w:unhideWhenUsed/>
    <w:rsid w:val="003A1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A33"/>
  </w:style>
  <w:style w:type="paragraph" w:styleId="Footer">
    <w:name w:val="footer"/>
    <w:basedOn w:val="Normal"/>
    <w:link w:val="FooterChar"/>
    <w:uiPriority w:val="99"/>
    <w:unhideWhenUsed/>
    <w:rsid w:val="003A1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A33"/>
  </w:style>
  <w:style w:type="paragraph" w:customStyle="1" w:styleId="AcknHead">
    <w:name w:val="Ackn Head"/>
    <w:basedOn w:val="Normal"/>
    <w:rsid w:val="005D641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D6413"/>
    <w:pPr>
      <w:keepNext/>
      <w:spacing w:after="240" w:line="240" w:lineRule="auto"/>
    </w:pPr>
    <w:rPr>
      <w:rFonts w:ascii="Helvetica" w:eastAsia="Times New Roman" w:hAnsi="Helvetica" w:cs="Times New Roman"/>
      <w:b/>
      <w:caps/>
      <w:szCs w:val="20"/>
    </w:rPr>
  </w:style>
  <w:style w:type="character" w:customStyle="1" w:styleId="UnresolvedMention1">
    <w:name w:val="Unresolved Mention1"/>
    <w:basedOn w:val="DefaultParagraphFont"/>
    <w:uiPriority w:val="99"/>
    <w:semiHidden/>
    <w:unhideWhenUsed/>
    <w:rsid w:val="00E32F82"/>
    <w:rPr>
      <w:color w:val="605E5C"/>
      <w:shd w:val="clear" w:color="auto" w:fill="E1DFDD"/>
    </w:rPr>
  </w:style>
  <w:style w:type="paragraph" w:styleId="ListParagraph">
    <w:name w:val="List Paragraph"/>
    <w:basedOn w:val="Normal"/>
    <w:uiPriority w:val="34"/>
    <w:qFormat/>
    <w:rsid w:val="005D6718"/>
    <w:pPr>
      <w:ind w:left="720"/>
      <w:contextualSpacing/>
    </w:pPr>
  </w:style>
  <w:style w:type="paragraph" w:styleId="NoSpacing">
    <w:name w:val="No Spacing"/>
    <w:uiPriority w:val="1"/>
    <w:qFormat/>
    <w:rsid w:val="000D72D9"/>
    <w:pPr>
      <w:spacing w:after="0" w:line="240" w:lineRule="auto"/>
    </w:pPr>
    <w:rPr>
      <w:lang w:val="en-GB"/>
    </w:rPr>
  </w:style>
  <w:style w:type="character" w:customStyle="1" w:styleId="bold">
    <w:name w:val="bold"/>
    <w:basedOn w:val="DefaultParagraphFont"/>
    <w:rsid w:val="00096D15"/>
  </w:style>
  <w:style w:type="character" w:customStyle="1" w:styleId="whitespace-normal">
    <w:name w:val="whitespace-normal"/>
    <w:basedOn w:val="DefaultParagraphFont"/>
    <w:rsid w:val="00FC4338"/>
  </w:style>
  <w:style w:type="character" w:customStyle="1" w:styleId="Heading1Char">
    <w:name w:val="Heading 1 Char"/>
    <w:basedOn w:val="DefaultParagraphFont"/>
    <w:link w:val="Heading1"/>
    <w:uiPriority w:val="9"/>
    <w:rsid w:val="00FC433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9042">
      <w:bodyDiv w:val="1"/>
      <w:marLeft w:val="0"/>
      <w:marRight w:val="0"/>
      <w:marTop w:val="0"/>
      <w:marBottom w:val="0"/>
      <w:divBdr>
        <w:top w:val="none" w:sz="0" w:space="0" w:color="auto"/>
        <w:left w:val="none" w:sz="0" w:space="0" w:color="auto"/>
        <w:bottom w:val="none" w:sz="0" w:space="0" w:color="auto"/>
        <w:right w:val="none" w:sz="0" w:space="0" w:color="auto"/>
      </w:divBdr>
      <w:divsChild>
        <w:div w:id="733545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201607">
      <w:bodyDiv w:val="1"/>
      <w:marLeft w:val="0"/>
      <w:marRight w:val="0"/>
      <w:marTop w:val="0"/>
      <w:marBottom w:val="0"/>
      <w:divBdr>
        <w:top w:val="none" w:sz="0" w:space="0" w:color="auto"/>
        <w:left w:val="none" w:sz="0" w:space="0" w:color="auto"/>
        <w:bottom w:val="none" w:sz="0" w:space="0" w:color="auto"/>
        <w:right w:val="none" w:sz="0" w:space="0" w:color="auto"/>
      </w:divBdr>
      <w:divsChild>
        <w:div w:id="147553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30305">
      <w:bodyDiv w:val="1"/>
      <w:marLeft w:val="0"/>
      <w:marRight w:val="0"/>
      <w:marTop w:val="0"/>
      <w:marBottom w:val="0"/>
      <w:divBdr>
        <w:top w:val="none" w:sz="0" w:space="0" w:color="auto"/>
        <w:left w:val="none" w:sz="0" w:space="0" w:color="auto"/>
        <w:bottom w:val="none" w:sz="0" w:space="0" w:color="auto"/>
        <w:right w:val="none" w:sz="0" w:space="0" w:color="auto"/>
      </w:divBdr>
    </w:div>
    <w:div w:id="175925049">
      <w:bodyDiv w:val="1"/>
      <w:marLeft w:val="0"/>
      <w:marRight w:val="0"/>
      <w:marTop w:val="0"/>
      <w:marBottom w:val="0"/>
      <w:divBdr>
        <w:top w:val="none" w:sz="0" w:space="0" w:color="auto"/>
        <w:left w:val="none" w:sz="0" w:space="0" w:color="auto"/>
        <w:bottom w:val="none" w:sz="0" w:space="0" w:color="auto"/>
        <w:right w:val="none" w:sz="0" w:space="0" w:color="auto"/>
      </w:divBdr>
    </w:div>
    <w:div w:id="183641841">
      <w:bodyDiv w:val="1"/>
      <w:marLeft w:val="0"/>
      <w:marRight w:val="0"/>
      <w:marTop w:val="0"/>
      <w:marBottom w:val="0"/>
      <w:divBdr>
        <w:top w:val="none" w:sz="0" w:space="0" w:color="auto"/>
        <w:left w:val="none" w:sz="0" w:space="0" w:color="auto"/>
        <w:bottom w:val="none" w:sz="0" w:space="0" w:color="auto"/>
        <w:right w:val="none" w:sz="0" w:space="0" w:color="auto"/>
      </w:divBdr>
      <w:divsChild>
        <w:div w:id="1878353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8789404">
      <w:bodyDiv w:val="1"/>
      <w:marLeft w:val="0"/>
      <w:marRight w:val="0"/>
      <w:marTop w:val="0"/>
      <w:marBottom w:val="0"/>
      <w:divBdr>
        <w:top w:val="none" w:sz="0" w:space="0" w:color="auto"/>
        <w:left w:val="none" w:sz="0" w:space="0" w:color="auto"/>
        <w:bottom w:val="none" w:sz="0" w:space="0" w:color="auto"/>
        <w:right w:val="none" w:sz="0" w:space="0" w:color="auto"/>
      </w:divBdr>
    </w:div>
    <w:div w:id="310982669">
      <w:bodyDiv w:val="1"/>
      <w:marLeft w:val="0"/>
      <w:marRight w:val="0"/>
      <w:marTop w:val="0"/>
      <w:marBottom w:val="0"/>
      <w:divBdr>
        <w:top w:val="none" w:sz="0" w:space="0" w:color="auto"/>
        <w:left w:val="none" w:sz="0" w:space="0" w:color="auto"/>
        <w:bottom w:val="none" w:sz="0" w:space="0" w:color="auto"/>
        <w:right w:val="none" w:sz="0" w:space="0" w:color="auto"/>
      </w:divBdr>
      <w:divsChild>
        <w:div w:id="1280601999">
          <w:marLeft w:val="0"/>
          <w:marRight w:val="0"/>
          <w:marTop w:val="0"/>
          <w:marBottom w:val="0"/>
          <w:divBdr>
            <w:top w:val="none" w:sz="0" w:space="0" w:color="auto"/>
            <w:left w:val="none" w:sz="0" w:space="0" w:color="auto"/>
            <w:bottom w:val="none" w:sz="0" w:space="0" w:color="auto"/>
            <w:right w:val="none" w:sz="0" w:space="0" w:color="auto"/>
          </w:divBdr>
          <w:divsChild>
            <w:div w:id="748308213">
              <w:marLeft w:val="0"/>
              <w:marRight w:val="0"/>
              <w:marTop w:val="0"/>
              <w:marBottom w:val="0"/>
              <w:divBdr>
                <w:top w:val="none" w:sz="0" w:space="0" w:color="auto"/>
                <w:left w:val="none" w:sz="0" w:space="0" w:color="auto"/>
                <w:bottom w:val="none" w:sz="0" w:space="0" w:color="auto"/>
                <w:right w:val="none" w:sz="0" w:space="0" w:color="auto"/>
              </w:divBdr>
            </w:div>
          </w:divsChild>
        </w:div>
        <w:div w:id="664822641">
          <w:marLeft w:val="0"/>
          <w:marRight w:val="0"/>
          <w:marTop w:val="0"/>
          <w:marBottom w:val="0"/>
          <w:divBdr>
            <w:top w:val="none" w:sz="0" w:space="0" w:color="auto"/>
            <w:left w:val="none" w:sz="0" w:space="0" w:color="auto"/>
            <w:bottom w:val="none" w:sz="0" w:space="0" w:color="auto"/>
            <w:right w:val="none" w:sz="0" w:space="0" w:color="auto"/>
          </w:divBdr>
          <w:divsChild>
            <w:div w:id="16279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8887">
      <w:bodyDiv w:val="1"/>
      <w:marLeft w:val="0"/>
      <w:marRight w:val="0"/>
      <w:marTop w:val="0"/>
      <w:marBottom w:val="0"/>
      <w:divBdr>
        <w:top w:val="none" w:sz="0" w:space="0" w:color="auto"/>
        <w:left w:val="none" w:sz="0" w:space="0" w:color="auto"/>
        <w:bottom w:val="none" w:sz="0" w:space="0" w:color="auto"/>
        <w:right w:val="none" w:sz="0" w:space="0" w:color="auto"/>
      </w:divBdr>
    </w:div>
    <w:div w:id="596445263">
      <w:bodyDiv w:val="1"/>
      <w:marLeft w:val="0"/>
      <w:marRight w:val="0"/>
      <w:marTop w:val="0"/>
      <w:marBottom w:val="0"/>
      <w:divBdr>
        <w:top w:val="none" w:sz="0" w:space="0" w:color="auto"/>
        <w:left w:val="none" w:sz="0" w:space="0" w:color="auto"/>
        <w:bottom w:val="none" w:sz="0" w:space="0" w:color="auto"/>
        <w:right w:val="none" w:sz="0" w:space="0" w:color="auto"/>
      </w:divBdr>
    </w:div>
    <w:div w:id="712966994">
      <w:bodyDiv w:val="1"/>
      <w:marLeft w:val="0"/>
      <w:marRight w:val="0"/>
      <w:marTop w:val="0"/>
      <w:marBottom w:val="0"/>
      <w:divBdr>
        <w:top w:val="none" w:sz="0" w:space="0" w:color="auto"/>
        <w:left w:val="none" w:sz="0" w:space="0" w:color="auto"/>
        <w:bottom w:val="none" w:sz="0" w:space="0" w:color="auto"/>
        <w:right w:val="none" w:sz="0" w:space="0" w:color="auto"/>
      </w:divBdr>
    </w:div>
    <w:div w:id="715155211">
      <w:bodyDiv w:val="1"/>
      <w:marLeft w:val="0"/>
      <w:marRight w:val="0"/>
      <w:marTop w:val="0"/>
      <w:marBottom w:val="0"/>
      <w:divBdr>
        <w:top w:val="none" w:sz="0" w:space="0" w:color="auto"/>
        <w:left w:val="none" w:sz="0" w:space="0" w:color="auto"/>
        <w:bottom w:val="none" w:sz="0" w:space="0" w:color="auto"/>
        <w:right w:val="none" w:sz="0" w:space="0" w:color="auto"/>
      </w:divBdr>
    </w:div>
    <w:div w:id="828862362">
      <w:bodyDiv w:val="1"/>
      <w:marLeft w:val="0"/>
      <w:marRight w:val="0"/>
      <w:marTop w:val="0"/>
      <w:marBottom w:val="0"/>
      <w:divBdr>
        <w:top w:val="none" w:sz="0" w:space="0" w:color="auto"/>
        <w:left w:val="none" w:sz="0" w:space="0" w:color="auto"/>
        <w:bottom w:val="none" w:sz="0" w:space="0" w:color="auto"/>
        <w:right w:val="none" w:sz="0" w:space="0" w:color="auto"/>
      </w:divBdr>
    </w:div>
    <w:div w:id="845242880">
      <w:bodyDiv w:val="1"/>
      <w:marLeft w:val="0"/>
      <w:marRight w:val="0"/>
      <w:marTop w:val="0"/>
      <w:marBottom w:val="0"/>
      <w:divBdr>
        <w:top w:val="none" w:sz="0" w:space="0" w:color="auto"/>
        <w:left w:val="none" w:sz="0" w:space="0" w:color="auto"/>
        <w:bottom w:val="none" w:sz="0" w:space="0" w:color="auto"/>
        <w:right w:val="none" w:sz="0" w:space="0" w:color="auto"/>
      </w:divBdr>
    </w:div>
    <w:div w:id="885334037">
      <w:bodyDiv w:val="1"/>
      <w:marLeft w:val="0"/>
      <w:marRight w:val="0"/>
      <w:marTop w:val="0"/>
      <w:marBottom w:val="0"/>
      <w:divBdr>
        <w:top w:val="none" w:sz="0" w:space="0" w:color="auto"/>
        <w:left w:val="none" w:sz="0" w:space="0" w:color="auto"/>
        <w:bottom w:val="none" w:sz="0" w:space="0" w:color="auto"/>
        <w:right w:val="none" w:sz="0" w:space="0" w:color="auto"/>
      </w:divBdr>
    </w:div>
    <w:div w:id="899751624">
      <w:bodyDiv w:val="1"/>
      <w:marLeft w:val="0"/>
      <w:marRight w:val="0"/>
      <w:marTop w:val="0"/>
      <w:marBottom w:val="0"/>
      <w:divBdr>
        <w:top w:val="none" w:sz="0" w:space="0" w:color="auto"/>
        <w:left w:val="none" w:sz="0" w:space="0" w:color="auto"/>
        <w:bottom w:val="none" w:sz="0" w:space="0" w:color="auto"/>
        <w:right w:val="none" w:sz="0" w:space="0" w:color="auto"/>
      </w:divBdr>
    </w:div>
    <w:div w:id="928659896">
      <w:bodyDiv w:val="1"/>
      <w:marLeft w:val="0"/>
      <w:marRight w:val="0"/>
      <w:marTop w:val="0"/>
      <w:marBottom w:val="0"/>
      <w:divBdr>
        <w:top w:val="none" w:sz="0" w:space="0" w:color="auto"/>
        <w:left w:val="none" w:sz="0" w:space="0" w:color="auto"/>
        <w:bottom w:val="none" w:sz="0" w:space="0" w:color="auto"/>
        <w:right w:val="none" w:sz="0" w:space="0" w:color="auto"/>
      </w:divBdr>
    </w:div>
    <w:div w:id="964039367">
      <w:bodyDiv w:val="1"/>
      <w:marLeft w:val="0"/>
      <w:marRight w:val="0"/>
      <w:marTop w:val="0"/>
      <w:marBottom w:val="0"/>
      <w:divBdr>
        <w:top w:val="none" w:sz="0" w:space="0" w:color="auto"/>
        <w:left w:val="none" w:sz="0" w:space="0" w:color="auto"/>
        <w:bottom w:val="none" w:sz="0" w:space="0" w:color="auto"/>
        <w:right w:val="none" w:sz="0" w:space="0" w:color="auto"/>
      </w:divBdr>
    </w:div>
    <w:div w:id="966473581">
      <w:bodyDiv w:val="1"/>
      <w:marLeft w:val="0"/>
      <w:marRight w:val="0"/>
      <w:marTop w:val="0"/>
      <w:marBottom w:val="0"/>
      <w:divBdr>
        <w:top w:val="none" w:sz="0" w:space="0" w:color="auto"/>
        <w:left w:val="none" w:sz="0" w:space="0" w:color="auto"/>
        <w:bottom w:val="none" w:sz="0" w:space="0" w:color="auto"/>
        <w:right w:val="none" w:sz="0" w:space="0" w:color="auto"/>
      </w:divBdr>
    </w:div>
    <w:div w:id="970551528">
      <w:bodyDiv w:val="1"/>
      <w:marLeft w:val="0"/>
      <w:marRight w:val="0"/>
      <w:marTop w:val="0"/>
      <w:marBottom w:val="0"/>
      <w:divBdr>
        <w:top w:val="none" w:sz="0" w:space="0" w:color="auto"/>
        <w:left w:val="none" w:sz="0" w:space="0" w:color="auto"/>
        <w:bottom w:val="none" w:sz="0" w:space="0" w:color="auto"/>
        <w:right w:val="none" w:sz="0" w:space="0" w:color="auto"/>
      </w:divBdr>
    </w:div>
    <w:div w:id="1062405261">
      <w:bodyDiv w:val="1"/>
      <w:marLeft w:val="0"/>
      <w:marRight w:val="0"/>
      <w:marTop w:val="0"/>
      <w:marBottom w:val="0"/>
      <w:divBdr>
        <w:top w:val="none" w:sz="0" w:space="0" w:color="auto"/>
        <w:left w:val="none" w:sz="0" w:space="0" w:color="auto"/>
        <w:bottom w:val="none" w:sz="0" w:space="0" w:color="auto"/>
        <w:right w:val="none" w:sz="0" w:space="0" w:color="auto"/>
      </w:divBdr>
    </w:div>
    <w:div w:id="1085804205">
      <w:bodyDiv w:val="1"/>
      <w:marLeft w:val="0"/>
      <w:marRight w:val="0"/>
      <w:marTop w:val="0"/>
      <w:marBottom w:val="0"/>
      <w:divBdr>
        <w:top w:val="none" w:sz="0" w:space="0" w:color="auto"/>
        <w:left w:val="none" w:sz="0" w:space="0" w:color="auto"/>
        <w:bottom w:val="none" w:sz="0" w:space="0" w:color="auto"/>
        <w:right w:val="none" w:sz="0" w:space="0" w:color="auto"/>
      </w:divBdr>
    </w:div>
    <w:div w:id="1097363100">
      <w:bodyDiv w:val="1"/>
      <w:marLeft w:val="0"/>
      <w:marRight w:val="0"/>
      <w:marTop w:val="0"/>
      <w:marBottom w:val="0"/>
      <w:divBdr>
        <w:top w:val="none" w:sz="0" w:space="0" w:color="auto"/>
        <w:left w:val="none" w:sz="0" w:space="0" w:color="auto"/>
        <w:bottom w:val="none" w:sz="0" w:space="0" w:color="auto"/>
        <w:right w:val="none" w:sz="0" w:space="0" w:color="auto"/>
      </w:divBdr>
    </w:div>
    <w:div w:id="1112898196">
      <w:bodyDiv w:val="1"/>
      <w:marLeft w:val="0"/>
      <w:marRight w:val="0"/>
      <w:marTop w:val="0"/>
      <w:marBottom w:val="0"/>
      <w:divBdr>
        <w:top w:val="none" w:sz="0" w:space="0" w:color="auto"/>
        <w:left w:val="none" w:sz="0" w:space="0" w:color="auto"/>
        <w:bottom w:val="none" w:sz="0" w:space="0" w:color="auto"/>
        <w:right w:val="none" w:sz="0" w:space="0" w:color="auto"/>
      </w:divBdr>
    </w:div>
    <w:div w:id="1152913190">
      <w:bodyDiv w:val="1"/>
      <w:marLeft w:val="0"/>
      <w:marRight w:val="0"/>
      <w:marTop w:val="0"/>
      <w:marBottom w:val="0"/>
      <w:divBdr>
        <w:top w:val="none" w:sz="0" w:space="0" w:color="auto"/>
        <w:left w:val="none" w:sz="0" w:space="0" w:color="auto"/>
        <w:bottom w:val="none" w:sz="0" w:space="0" w:color="auto"/>
        <w:right w:val="none" w:sz="0" w:space="0" w:color="auto"/>
      </w:divBdr>
    </w:div>
    <w:div w:id="1218055979">
      <w:bodyDiv w:val="1"/>
      <w:marLeft w:val="0"/>
      <w:marRight w:val="0"/>
      <w:marTop w:val="0"/>
      <w:marBottom w:val="0"/>
      <w:divBdr>
        <w:top w:val="none" w:sz="0" w:space="0" w:color="auto"/>
        <w:left w:val="none" w:sz="0" w:space="0" w:color="auto"/>
        <w:bottom w:val="none" w:sz="0" w:space="0" w:color="auto"/>
        <w:right w:val="none" w:sz="0" w:space="0" w:color="auto"/>
      </w:divBdr>
    </w:div>
    <w:div w:id="1241521305">
      <w:bodyDiv w:val="1"/>
      <w:marLeft w:val="0"/>
      <w:marRight w:val="0"/>
      <w:marTop w:val="0"/>
      <w:marBottom w:val="0"/>
      <w:divBdr>
        <w:top w:val="none" w:sz="0" w:space="0" w:color="auto"/>
        <w:left w:val="none" w:sz="0" w:space="0" w:color="auto"/>
        <w:bottom w:val="none" w:sz="0" w:space="0" w:color="auto"/>
        <w:right w:val="none" w:sz="0" w:space="0" w:color="auto"/>
      </w:divBdr>
    </w:div>
    <w:div w:id="1250122048">
      <w:bodyDiv w:val="1"/>
      <w:marLeft w:val="0"/>
      <w:marRight w:val="0"/>
      <w:marTop w:val="0"/>
      <w:marBottom w:val="0"/>
      <w:divBdr>
        <w:top w:val="none" w:sz="0" w:space="0" w:color="auto"/>
        <w:left w:val="none" w:sz="0" w:space="0" w:color="auto"/>
        <w:bottom w:val="none" w:sz="0" w:space="0" w:color="auto"/>
        <w:right w:val="none" w:sz="0" w:space="0" w:color="auto"/>
      </w:divBdr>
    </w:div>
    <w:div w:id="1355613001">
      <w:bodyDiv w:val="1"/>
      <w:marLeft w:val="0"/>
      <w:marRight w:val="0"/>
      <w:marTop w:val="0"/>
      <w:marBottom w:val="0"/>
      <w:divBdr>
        <w:top w:val="none" w:sz="0" w:space="0" w:color="auto"/>
        <w:left w:val="none" w:sz="0" w:space="0" w:color="auto"/>
        <w:bottom w:val="none" w:sz="0" w:space="0" w:color="auto"/>
        <w:right w:val="none" w:sz="0" w:space="0" w:color="auto"/>
      </w:divBdr>
    </w:div>
    <w:div w:id="1448424690">
      <w:bodyDiv w:val="1"/>
      <w:marLeft w:val="0"/>
      <w:marRight w:val="0"/>
      <w:marTop w:val="0"/>
      <w:marBottom w:val="0"/>
      <w:divBdr>
        <w:top w:val="none" w:sz="0" w:space="0" w:color="auto"/>
        <w:left w:val="none" w:sz="0" w:space="0" w:color="auto"/>
        <w:bottom w:val="none" w:sz="0" w:space="0" w:color="auto"/>
        <w:right w:val="none" w:sz="0" w:space="0" w:color="auto"/>
      </w:divBdr>
    </w:div>
    <w:div w:id="1473138881">
      <w:bodyDiv w:val="1"/>
      <w:marLeft w:val="0"/>
      <w:marRight w:val="0"/>
      <w:marTop w:val="0"/>
      <w:marBottom w:val="0"/>
      <w:divBdr>
        <w:top w:val="none" w:sz="0" w:space="0" w:color="auto"/>
        <w:left w:val="none" w:sz="0" w:space="0" w:color="auto"/>
        <w:bottom w:val="none" w:sz="0" w:space="0" w:color="auto"/>
        <w:right w:val="none" w:sz="0" w:space="0" w:color="auto"/>
      </w:divBdr>
    </w:div>
    <w:div w:id="1533181063">
      <w:bodyDiv w:val="1"/>
      <w:marLeft w:val="0"/>
      <w:marRight w:val="0"/>
      <w:marTop w:val="0"/>
      <w:marBottom w:val="0"/>
      <w:divBdr>
        <w:top w:val="none" w:sz="0" w:space="0" w:color="auto"/>
        <w:left w:val="none" w:sz="0" w:space="0" w:color="auto"/>
        <w:bottom w:val="none" w:sz="0" w:space="0" w:color="auto"/>
        <w:right w:val="none" w:sz="0" w:space="0" w:color="auto"/>
      </w:divBdr>
    </w:div>
    <w:div w:id="1553955298">
      <w:bodyDiv w:val="1"/>
      <w:marLeft w:val="0"/>
      <w:marRight w:val="0"/>
      <w:marTop w:val="0"/>
      <w:marBottom w:val="0"/>
      <w:divBdr>
        <w:top w:val="none" w:sz="0" w:space="0" w:color="auto"/>
        <w:left w:val="none" w:sz="0" w:space="0" w:color="auto"/>
        <w:bottom w:val="none" w:sz="0" w:space="0" w:color="auto"/>
        <w:right w:val="none" w:sz="0" w:space="0" w:color="auto"/>
      </w:divBdr>
    </w:div>
    <w:div w:id="1607425013">
      <w:bodyDiv w:val="1"/>
      <w:marLeft w:val="0"/>
      <w:marRight w:val="0"/>
      <w:marTop w:val="0"/>
      <w:marBottom w:val="0"/>
      <w:divBdr>
        <w:top w:val="none" w:sz="0" w:space="0" w:color="auto"/>
        <w:left w:val="none" w:sz="0" w:space="0" w:color="auto"/>
        <w:bottom w:val="none" w:sz="0" w:space="0" w:color="auto"/>
        <w:right w:val="none" w:sz="0" w:space="0" w:color="auto"/>
      </w:divBdr>
    </w:div>
    <w:div w:id="1682466586">
      <w:bodyDiv w:val="1"/>
      <w:marLeft w:val="0"/>
      <w:marRight w:val="0"/>
      <w:marTop w:val="0"/>
      <w:marBottom w:val="0"/>
      <w:divBdr>
        <w:top w:val="none" w:sz="0" w:space="0" w:color="auto"/>
        <w:left w:val="none" w:sz="0" w:space="0" w:color="auto"/>
        <w:bottom w:val="none" w:sz="0" w:space="0" w:color="auto"/>
        <w:right w:val="none" w:sz="0" w:space="0" w:color="auto"/>
      </w:divBdr>
    </w:div>
    <w:div w:id="1707169510">
      <w:bodyDiv w:val="1"/>
      <w:marLeft w:val="0"/>
      <w:marRight w:val="0"/>
      <w:marTop w:val="0"/>
      <w:marBottom w:val="0"/>
      <w:divBdr>
        <w:top w:val="none" w:sz="0" w:space="0" w:color="auto"/>
        <w:left w:val="none" w:sz="0" w:space="0" w:color="auto"/>
        <w:bottom w:val="none" w:sz="0" w:space="0" w:color="auto"/>
        <w:right w:val="none" w:sz="0" w:space="0" w:color="auto"/>
      </w:divBdr>
    </w:div>
    <w:div w:id="1716392855">
      <w:bodyDiv w:val="1"/>
      <w:marLeft w:val="0"/>
      <w:marRight w:val="0"/>
      <w:marTop w:val="0"/>
      <w:marBottom w:val="0"/>
      <w:divBdr>
        <w:top w:val="none" w:sz="0" w:space="0" w:color="auto"/>
        <w:left w:val="none" w:sz="0" w:space="0" w:color="auto"/>
        <w:bottom w:val="none" w:sz="0" w:space="0" w:color="auto"/>
        <w:right w:val="none" w:sz="0" w:space="0" w:color="auto"/>
      </w:divBdr>
    </w:div>
    <w:div w:id="1723868745">
      <w:bodyDiv w:val="1"/>
      <w:marLeft w:val="0"/>
      <w:marRight w:val="0"/>
      <w:marTop w:val="0"/>
      <w:marBottom w:val="0"/>
      <w:divBdr>
        <w:top w:val="none" w:sz="0" w:space="0" w:color="auto"/>
        <w:left w:val="none" w:sz="0" w:space="0" w:color="auto"/>
        <w:bottom w:val="none" w:sz="0" w:space="0" w:color="auto"/>
        <w:right w:val="none" w:sz="0" w:space="0" w:color="auto"/>
      </w:divBdr>
    </w:div>
    <w:div w:id="1734815015">
      <w:bodyDiv w:val="1"/>
      <w:marLeft w:val="0"/>
      <w:marRight w:val="0"/>
      <w:marTop w:val="0"/>
      <w:marBottom w:val="0"/>
      <w:divBdr>
        <w:top w:val="none" w:sz="0" w:space="0" w:color="auto"/>
        <w:left w:val="none" w:sz="0" w:space="0" w:color="auto"/>
        <w:bottom w:val="none" w:sz="0" w:space="0" w:color="auto"/>
        <w:right w:val="none" w:sz="0" w:space="0" w:color="auto"/>
      </w:divBdr>
    </w:div>
    <w:div w:id="1737364087">
      <w:bodyDiv w:val="1"/>
      <w:marLeft w:val="0"/>
      <w:marRight w:val="0"/>
      <w:marTop w:val="0"/>
      <w:marBottom w:val="0"/>
      <w:divBdr>
        <w:top w:val="none" w:sz="0" w:space="0" w:color="auto"/>
        <w:left w:val="none" w:sz="0" w:space="0" w:color="auto"/>
        <w:bottom w:val="none" w:sz="0" w:space="0" w:color="auto"/>
        <w:right w:val="none" w:sz="0" w:space="0" w:color="auto"/>
      </w:divBdr>
    </w:div>
    <w:div w:id="1834763304">
      <w:bodyDiv w:val="1"/>
      <w:marLeft w:val="0"/>
      <w:marRight w:val="0"/>
      <w:marTop w:val="0"/>
      <w:marBottom w:val="0"/>
      <w:divBdr>
        <w:top w:val="none" w:sz="0" w:space="0" w:color="auto"/>
        <w:left w:val="none" w:sz="0" w:space="0" w:color="auto"/>
        <w:bottom w:val="none" w:sz="0" w:space="0" w:color="auto"/>
        <w:right w:val="none" w:sz="0" w:space="0" w:color="auto"/>
      </w:divBdr>
    </w:div>
    <w:div w:id="1878348750">
      <w:bodyDiv w:val="1"/>
      <w:marLeft w:val="0"/>
      <w:marRight w:val="0"/>
      <w:marTop w:val="0"/>
      <w:marBottom w:val="0"/>
      <w:divBdr>
        <w:top w:val="none" w:sz="0" w:space="0" w:color="auto"/>
        <w:left w:val="none" w:sz="0" w:space="0" w:color="auto"/>
        <w:bottom w:val="none" w:sz="0" w:space="0" w:color="auto"/>
        <w:right w:val="none" w:sz="0" w:space="0" w:color="auto"/>
      </w:divBdr>
    </w:div>
    <w:div w:id="1919630402">
      <w:bodyDiv w:val="1"/>
      <w:marLeft w:val="0"/>
      <w:marRight w:val="0"/>
      <w:marTop w:val="0"/>
      <w:marBottom w:val="0"/>
      <w:divBdr>
        <w:top w:val="none" w:sz="0" w:space="0" w:color="auto"/>
        <w:left w:val="none" w:sz="0" w:space="0" w:color="auto"/>
        <w:bottom w:val="none" w:sz="0" w:space="0" w:color="auto"/>
        <w:right w:val="none" w:sz="0" w:space="0" w:color="auto"/>
      </w:divBdr>
    </w:div>
    <w:div w:id="2008483768">
      <w:bodyDiv w:val="1"/>
      <w:marLeft w:val="0"/>
      <w:marRight w:val="0"/>
      <w:marTop w:val="0"/>
      <w:marBottom w:val="0"/>
      <w:divBdr>
        <w:top w:val="none" w:sz="0" w:space="0" w:color="auto"/>
        <w:left w:val="none" w:sz="0" w:space="0" w:color="auto"/>
        <w:bottom w:val="none" w:sz="0" w:space="0" w:color="auto"/>
        <w:right w:val="none" w:sz="0" w:space="0" w:color="auto"/>
      </w:divBdr>
    </w:div>
    <w:div w:id="20689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1124/dmd.118.082966" TargetMode="External"/><Relationship Id="rId21" Type="http://schemas.openxmlformats.org/officeDocument/2006/relationships/image" Target="media/image12.png"/><Relationship Id="rId34" Type="http://schemas.openxmlformats.org/officeDocument/2006/relationships/hyperlink" Target="https://doi.org/10.1080/01926230701320337" TargetMode="External"/><Relationship Id="rId42" Type="http://schemas.openxmlformats.org/officeDocument/2006/relationships/hyperlink" Target="https://doi.org/10.3390/ijms20204981" TargetMode="External"/><Relationship Id="rId47" Type="http://schemas.openxmlformats.org/officeDocument/2006/relationships/hyperlink" Target="https://doi.org/10.1021/jm901371v"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www.swissadme.ch/index.php"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2174/1381612822666151125000550"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1021/jm100112j" TargetMode="External"/><Relationship Id="rId37" Type="http://schemas.openxmlformats.org/officeDocument/2006/relationships/hyperlink" Target="https://doi.org/10.1021/ci049884m" TargetMode="External"/><Relationship Id="rId40" Type="http://schemas.openxmlformats.org/officeDocument/2006/relationships/hyperlink" Target="https://doi.org/10.9734/ajaar/2024/v24i7519" TargetMode="External"/><Relationship Id="rId45" Type="http://schemas.openxmlformats.org/officeDocument/2006/relationships/hyperlink" Target="https://doi.org/10.1016/j.freeradbiomed.2007.03.024"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1021/jm100112j" TargetMode="External"/><Relationship Id="rId35" Type="http://schemas.openxmlformats.org/officeDocument/2006/relationships/hyperlink" Target="https://doi.org/10.1038/nrd4360" TargetMode="External"/><Relationship Id="rId43" Type="http://schemas.openxmlformats.org/officeDocument/2006/relationships/hyperlink" Target="http://www.nature.com/articles/srep42717" TargetMode="External"/><Relationship Id="rId48" Type="http://schemas.openxmlformats.org/officeDocument/2006/relationships/hyperlink" Target="https://doi.org/10.1021/jm020017n" TargetMode="Externa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038/srep42717" TargetMode="External"/><Relationship Id="rId38" Type="http://schemas.openxmlformats.org/officeDocument/2006/relationships/hyperlink" Target="https://doi.org/10.1038/ni.3153" TargetMode="External"/><Relationship Id="rId46" Type="http://schemas.openxmlformats.org/officeDocument/2006/relationships/hyperlink" Target="https://doi.org/10.1038/nrm2330" TargetMode="External"/><Relationship Id="rId20" Type="http://schemas.openxmlformats.org/officeDocument/2006/relationships/image" Target="media/image11.png"/><Relationship Id="rId41" Type="http://schemas.openxmlformats.org/officeDocument/2006/relationships/hyperlink" Target="https://doi.org/10.1080/14756366.2017.1368503"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1021/jp980230o" TargetMode="External"/><Relationship Id="rId49" Type="http://schemas.openxmlformats.org/officeDocument/2006/relationships/hyperlink" Target="https://doi.org/10.1021/jm3012068"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doi.org/10.1016/j.blre.2018.02.001" TargetMode="External"/><Relationship Id="rId44" Type="http://schemas.openxmlformats.org/officeDocument/2006/relationships/hyperlink" Target="https://doi.org/10.3177/jnsv.52.149" TargetMode="External"/><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INITIAL WEIGHT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216</c:v>
                </c:pt>
                <c:pt idx="1">
                  <c:v>191</c:v>
                </c:pt>
                <c:pt idx="2">
                  <c:v>192</c:v>
                </c:pt>
                <c:pt idx="3">
                  <c:v>178</c:v>
                </c:pt>
                <c:pt idx="4">
                  <c:v>215</c:v>
                </c:pt>
              </c:numCache>
            </c:numRef>
          </c:val>
          <c:extLst>
            <c:ext xmlns:c16="http://schemas.microsoft.com/office/drawing/2014/chart" uri="{C3380CC4-5D6E-409C-BE32-E72D297353CC}">
              <c16:uniqueId val="{00000000-C7BA-4ED0-A1E6-52EF2109BAFA}"/>
            </c:ext>
          </c:extLst>
        </c:ser>
        <c:ser>
          <c:idx val="1"/>
          <c:order val="1"/>
          <c:tx>
            <c:strRef>
              <c:f>Sheet1!$C$1</c:f>
              <c:strCache>
                <c:ptCount val="1"/>
                <c:pt idx="0">
                  <c:v>FINAL WEIGHTS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pt idx="0">
                  <c:v>244</c:v>
                </c:pt>
                <c:pt idx="1">
                  <c:v>147</c:v>
                </c:pt>
                <c:pt idx="2">
                  <c:v>206</c:v>
                </c:pt>
                <c:pt idx="3">
                  <c:v>190</c:v>
                </c:pt>
                <c:pt idx="4">
                  <c:v>249</c:v>
                </c:pt>
              </c:numCache>
            </c:numRef>
          </c:val>
          <c:extLst>
            <c:ext xmlns:c16="http://schemas.microsoft.com/office/drawing/2014/chart" uri="{C3380CC4-5D6E-409C-BE32-E72D297353CC}">
              <c16:uniqueId val="{00000001-C7BA-4ED0-A1E6-52EF2109BAFA}"/>
            </c:ext>
          </c:extLst>
        </c:ser>
        <c:ser>
          <c:idx val="2"/>
          <c:order val="2"/>
          <c:tx>
            <c:strRef>
              <c:f>Sheet1!$D$1</c:f>
              <c:strCache>
                <c:ptCount val="1"/>
                <c:pt idx="0">
                  <c:v>Column1</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C7BA-4ED0-A1E6-52EF2109BAFA}"/>
            </c:ext>
          </c:extLst>
        </c:ser>
        <c:dLbls>
          <c:showLegendKey val="0"/>
          <c:showVal val="0"/>
          <c:showCatName val="0"/>
          <c:showSerName val="0"/>
          <c:showPercent val="0"/>
          <c:showBubbleSize val="0"/>
        </c:dLbls>
        <c:gapWidth val="219"/>
        <c:overlap val="-27"/>
        <c:axId val="277780576"/>
        <c:axId val="277781752"/>
      </c:barChart>
      <c:catAx>
        <c:axId val="27778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81752"/>
        <c:crosses val="autoZero"/>
        <c:auto val="1"/>
        <c:lblAlgn val="ctr"/>
        <c:lblOffset val="100"/>
        <c:noMultiLvlLbl val="0"/>
      </c:catAx>
      <c:valAx>
        <c:axId val="277781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80576"/>
        <c:crosses val="autoZero"/>
        <c:crossBetween val="between"/>
      </c:valAx>
      <c:spPr>
        <a:noFill/>
        <a:ln w="25400">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INSULIN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6.48</c:v>
                </c:pt>
                <c:pt idx="1">
                  <c:v>1.71</c:v>
                </c:pt>
                <c:pt idx="2">
                  <c:v>3.9899999999999998</c:v>
                </c:pt>
                <c:pt idx="3">
                  <c:v>2.4299999999999997</c:v>
                </c:pt>
                <c:pt idx="4">
                  <c:v>4.4000000000000004</c:v>
                </c:pt>
              </c:numCache>
            </c:numRef>
          </c:val>
          <c:extLst>
            <c:ext xmlns:c16="http://schemas.microsoft.com/office/drawing/2014/chart" uri="{C3380CC4-5D6E-409C-BE32-E72D297353CC}">
              <c16:uniqueId val="{00000000-8F9E-4D52-9181-E7420230A982}"/>
            </c:ext>
          </c:extLst>
        </c:ser>
        <c:ser>
          <c:idx val="1"/>
          <c:order val="1"/>
          <c:tx>
            <c:strRef>
              <c:f>Sheet1!$C$1</c:f>
              <c:strCache>
                <c:ptCount val="1"/>
                <c:pt idx="0">
                  <c:v>Column1</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numCache>
            </c:numRef>
          </c:val>
          <c:extLst>
            <c:ext xmlns:c16="http://schemas.microsoft.com/office/drawing/2014/chart" uri="{C3380CC4-5D6E-409C-BE32-E72D297353CC}">
              <c16:uniqueId val="{00000001-8F9E-4D52-9181-E7420230A982}"/>
            </c:ext>
          </c:extLst>
        </c:ser>
        <c:ser>
          <c:idx val="2"/>
          <c:order val="2"/>
          <c:tx>
            <c:strRef>
              <c:f>Sheet1!$D$1</c:f>
              <c:strCache>
                <c:ptCount val="1"/>
                <c:pt idx="0">
                  <c:v>Column2</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8F9E-4D52-9181-E7420230A982}"/>
            </c:ext>
          </c:extLst>
        </c:ser>
        <c:dLbls>
          <c:showLegendKey val="0"/>
          <c:showVal val="0"/>
          <c:showCatName val="0"/>
          <c:showSerName val="0"/>
          <c:showPercent val="0"/>
          <c:showBubbleSize val="0"/>
        </c:dLbls>
        <c:gapWidth val="219"/>
        <c:overlap val="-27"/>
        <c:axId val="477037456"/>
        <c:axId val="477037848"/>
      </c:barChart>
      <c:catAx>
        <c:axId val="47703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037848"/>
        <c:crosses val="autoZero"/>
        <c:auto val="1"/>
        <c:lblAlgn val="ctr"/>
        <c:lblOffset val="100"/>
        <c:noMultiLvlLbl val="0"/>
      </c:catAx>
      <c:valAx>
        <c:axId val="477037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LEVELS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03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39</Pages>
  <Words>10521</Words>
  <Characters>59974</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 HENRY</dc:creator>
  <cp:keywords/>
  <dc:description/>
  <cp:lastModifiedBy>SDI 1186</cp:lastModifiedBy>
  <cp:revision>182</cp:revision>
  <dcterms:created xsi:type="dcterms:W3CDTF">2025-08-10T18:34:00Z</dcterms:created>
  <dcterms:modified xsi:type="dcterms:W3CDTF">2026-04-13T06:11:00Z</dcterms:modified>
</cp:coreProperties>
</file>