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F8CA" w14:textId="77777777" w:rsidR="00F41DA3" w:rsidRDefault="00B93071" w:rsidP="00B93071">
      <w:pPr>
        <w:tabs>
          <w:tab w:val="left" w:pos="4176"/>
        </w:tabs>
        <w:spacing w:line="240" w:lineRule="auto"/>
        <w:jc w:val="both"/>
        <w:rPr>
          <w:rFonts w:ascii="Times New Roman" w:hAnsi="Times New Roman"/>
          <w:i/>
          <w:iCs/>
          <w:sz w:val="24"/>
          <w:szCs w:val="24"/>
        </w:rPr>
      </w:pPr>
      <w:r w:rsidRPr="00B93071">
        <w:rPr>
          <w:rFonts w:ascii="Times New Roman" w:hAnsi="Times New Roman"/>
          <w:sz w:val="24"/>
          <w:szCs w:val="24"/>
        </w:rPr>
        <w:t xml:space="preserve">Qualitative and Quantitative Phytochemical Profiling of Selected Medicinal Plants: </w:t>
      </w:r>
      <w:r w:rsidRPr="00B93071">
        <w:rPr>
          <w:rFonts w:ascii="Times New Roman" w:hAnsi="Times New Roman"/>
          <w:i/>
          <w:iCs/>
          <w:sz w:val="24"/>
          <w:szCs w:val="24"/>
        </w:rPr>
        <w:t xml:space="preserve">Emilia </w:t>
      </w:r>
      <w:proofErr w:type="spellStart"/>
      <w:r w:rsidRPr="00B93071">
        <w:rPr>
          <w:rFonts w:ascii="Times New Roman" w:hAnsi="Times New Roman"/>
          <w:i/>
          <w:iCs/>
          <w:sz w:val="24"/>
          <w:szCs w:val="24"/>
        </w:rPr>
        <w:t>sonchifolia</w:t>
      </w:r>
      <w:proofErr w:type="spellEnd"/>
      <w:r w:rsidRPr="00B93071">
        <w:rPr>
          <w:rFonts w:ascii="Times New Roman" w:hAnsi="Times New Roman"/>
          <w:sz w:val="24"/>
          <w:szCs w:val="24"/>
        </w:rPr>
        <w:t xml:space="preserve">, </w:t>
      </w:r>
      <w:proofErr w:type="spellStart"/>
      <w:r w:rsidRPr="00B93071">
        <w:rPr>
          <w:rFonts w:ascii="Times New Roman" w:hAnsi="Times New Roman"/>
          <w:i/>
          <w:iCs/>
          <w:sz w:val="24"/>
          <w:szCs w:val="24"/>
        </w:rPr>
        <w:t>Bridelia</w:t>
      </w:r>
      <w:proofErr w:type="spellEnd"/>
      <w:r w:rsidRPr="00B93071">
        <w:rPr>
          <w:rFonts w:ascii="Times New Roman" w:hAnsi="Times New Roman"/>
          <w:i/>
          <w:iCs/>
          <w:sz w:val="24"/>
          <w:szCs w:val="24"/>
        </w:rPr>
        <w:t xml:space="preserve"> </w:t>
      </w:r>
      <w:proofErr w:type="spellStart"/>
      <w:r w:rsidRPr="00B93071">
        <w:rPr>
          <w:rFonts w:ascii="Times New Roman" w:hAnsi="Times New Roman"/>
          <w:i/>
          <w:iCs/>
          <w:sz w:val="24"/>
          <w:szCs w:val="24"/>
        </w:rPr>
        <w:t>ferruginea</w:t>
      </w:r>
      <w:proofErr w:type="spellEnd"/>
      <w:r w:rsidRPr="00B93071">
        <w:rPr>
          <w:rFonts w:ascii="Times New Roman" w:hAnsi="Times New Roman"/>
          <w:sz w:val="24"/>
          <w:szCs w:val="24"/>
        </w:rPr>
        <w:t xml:space="preserve">, and </w:t>
      </w:r>
      <w:r w:rsidRPr="00B93071">
        <w:rPr>
          <w:rFonts w:ascii="Times New Roman" w:hAnsi="Times New Roman"/>
          <w:i/>
          <w:iCs/>
          <w:sz w:val="24"/>
          <w:szCs w:val="24"/>
        </w:rPr>
        <w:t xml:space="preserve">Rhizophora </w:t>
      </w:r>
      <w:r>
        <w:rPr>
          <w:rFonts w:ascii="Times New Roman" w:hAnsi="Times New Roman"/>
          <w:i/>
          <w:iCs/>
          <w:sz w:val="24"/>
          <w:szCs w:val="24"/>
        </w:rPr>
        <w:t>racemosa</w:t>
      </w:r>
    </w:p>
    <w:p w14:paraId="63C9976F" w14:textId="77777777" w:rsidR="00034B2D" w:rsidRDefault="00034B2D" w:rsidP="00B93071">
      <w:pPr>
        <w:tabs>
          <w:tab w:val="left" w:pos="4176"/>
        </w:tabs>
        <w:spacing w:line="240" w:lineRule="auto"/>
        <w:jc w:val="both"/>
        <w:rPr>
          <w:rFonts w:ascii="Times New Roman" w:hAnsi="Times New Roman"/>
          <w:iCs/>
          <w:sz w:val="24"/>
          <w:szCs w:val="24"/>
        </w:rPr>
      </w:pPr>
    </w:p>
    <w:p w14:paraId="312C5BCB" w14:textId="77777777" w:rsidR="00034B2D" w:rsidRDefault="00034B2D" w:rsidP="00B93071">
      <w:pPr>
        <w:tabs>
          <w:tab w:val="left" w:pos="4176"/>
        </w:tabs>
        <w:spacing w:line="240" w:lineRule="auto"/>
        <w:jc w:val="both"/>
        <w:rPr>
          <w:rFonts w:ascii="Times New Roman" w:hAnsi="Times New Roman"/>
          <w:b/>
          <w:bCs/>
          <w:sz w:val="24"/>
          <w:szCs w:val="24"/>
        </w:rPr>
      </w:pPr>
    </w:p>
    <w:p w14:paraId="0824CFFE" w14:textId="77777777" w:rsidR="00DE3031" w:rsidRDefault="00DE3031" w:rsidP="00B93071">
      <w:pPr>
        <w:tabs>
          <w:tab w:val="left" w:pos="4176"/>
        </w:tabs>
        <w:spacing w:line="240" w:lineRule="auto"/>
        <w:jc w:val="both"/>
        <w:rPr>
          <w:rFonts w:ascii="Times New Roman" w:hAnsi="Times New Roman"/>
          <w:b/>
          <w:bCs/>
          <w:sz w:val="24"/>
          <w:szCs w:val="24"/>
        </w:rPr>
      </w:pPr>
    </w:p>
    <w:p w14:paraId="21DECBAE" w14:textId="71D15E8A" w:rsidR="00B93071" w:rsidRPr="00B93071" w:rsidRDefault="00B93071" w:rsidP="00B93071">
      <w:pPr>
        <w:tabs>
          <w:tab w:val="left" w:pos="4176"/>
        </w:tabs>
        <w:spacing w:line="240" w:lineRule="auto"/>
        <w:jc w:val="both"/>
        <w:rPr>
          <w:rFonts w:ascii="Times New Roman" w:hAnsi="Times New Roman"/>
          <w:b/>
          <w:bCs/>
          <w:sz w:val="24"/>
          <w:szCs w:val="24"/>
        </w:rPr>
      </w:pPr>
      <w:r w:rsidRPr="00B93071">
        <w:rPr>
          <w:rFonts w:ascii="Times New Roman" w:hAnsi="Times New Roman"/>
          <w:b/>
          <w:bCs/>
          <w:sz w:val="24"/>
          <w:szCs w:val="24"/>
        </w:rPr>
        <w:t>Abstract</w:t>
      </w:r>
    </w:p>
    <w:p w14:paraId="7B3884A2" w14:textId="77777777" w:rsidR="00B93071" w:rsidRDefault="00B93071" w:rsidP="00B93071">
      <w:pPr>
        <w:tabs>
          <w:tab w:val="left" w:pos="4176"/>
        </w:tabs>
        <w:spacing w:line="240" w:lineRule="auto"/>
        <w:jc w:val="both"/>
        <w:rPr>
          <w:rFonts w:ascii="Times New Roman" w:hAnsi="Times New Roman"/>
          <w:sz w:val="24"/>
          <w:szCs w:val="24"/>
        </w:rPr>
      </w:pPr>
      <w:r w:rsidRPr="00B93071">
        <w:rPr>
          <w:rFonts w:ascii="Times New Roman" w:hAnsi="Times New Roman"/>
          <w:sz w:val="24"/>
          <w:szCs w:val="24"/>
        </w:rPr>
        <w:t xml:space="preserve">Medicinal plants remain a vital source of bioactive compounds with significant therapeutic potential, particularly in regions where traditional medicine is widely practiced. This study aimed to evaluate the qualitative and quantitative phytochemical composition of aqueous extracts of </w:t>
      </w:r>
      <w:r w:rsidRPr="00B93071">
        <w:rPr>
          <w:rFonts w:ascii="Times New Roman" w:hAnsi="Times New Roman"/>
          <w:i/>
          <w:iCs/>
          <w:sz w:val="24"/>
          <w:szCs w:val="24"/>
        </w:rPr>
        <w:t xml:space="preserve">Emilia </w:t>
      </w:r>
      <w:proofErr w:type="spellStart"/>
      <w:r w:rsidRPr="00B93071">
        <w:rPr>
          <w:rFonts w:ascii="Times New Roman" w:hAnsi="Times New Roman"/>
          <w:i/>
          <w:iCs/>
          <w:sz w:val="24"/>
          <w:szCs w:val="24"/>
        </w:rPr>
        <w:t>sonchifolia</w:t>
      </w:r>
      <w:proofErr w:type="spellEnd"/>
      <w:r w:rsidRPr="00B93071">
        <w:rPr>
          <w:rFonts w:ascii="Times New Roman" w:hAnsi="Times New Roman"/>
          <w:sz w:val="24"/>
          <w:szCs w:val="24"/>
        </w:rPr>
        <w:t xml:space="preserve"> leaves, </w:t>
      </w:r>
      <w:proofErr w:type="spellStart"/>
      <w:r w:rsidRPr="00B93071">
        <w:rPr>
          <w:rFonts w:ascii="Times New Roman" w:hAnsi="Times New Roman"/>
          <w:i/>
          <w:iCs/>
          <w:sz w:val="24"/>
          <w:szCs w:val="24"/>
        </w:rPr>
        <w:t>Bridelia</w:t>
      </w:r>
      <w:proofErr w:type="spellEnd"/>
      <w:r w:rsidRPr="00B93071">
        <w:rPr>
          <w:rFonts w:ascii="Times New Roman" w:hAnsi="Times New Roman"/>
          <w:i/>
          <w:iCs/>
          <w:sz w:val="24"/>
          <w:szCs w:val="24"/>
        </w:rPr>
        <w:t xml:space="preserve"> </w:t>
      </w:r>
      <w:proofErr w:type="spellStart"/>
      <w:r w:rsidRPr="00B93071">
        <w:rPr>
          <w:rFonts w:ascii="Times New Roman" w:hAnsi="Times New Roman"/>
          <w:i/>
          <w:iCs/>
          <w:sz w:val="24"/>
          <w:szCs w:val="24"/>
        </w:rPr>
        <w:t>ferruginea</w:t>
      </w:r>
      <w:proofErr w:type="spellEnd"/>
      <w:r w:rsidRPr="00B93071">
        <w:rPr>
          <w:rFonts w:ascii="Times New Roman" w:hAnsi="Times New Roman"/>
          <w:sz w:val="24"/>
          <w:szCs w:val="24"/>
        </w:rPr>
        <w:t xml:space="preserve"> leaves, and </w:t>
      </w:r>
      <w:r w:rsidRPr="00B93071">
        <w:rPr>
          <w:rFonts w:ascii="Times New Roman" w:hAnsi="Times New Roman"/>
          <w:i/>
          <w:iCs/>
          <w:sz w:val="24"/>
          <w:szCs w:val="24"/>
        </w:rPr>
        <w:t>Rhizophora racemosa</w:t>
      </w:r>
      <w:r w:rsidRPr="00B93071">
        <w:rPr>
          <w:rFonts w:ascii="Times New Roman" w:hAnsi="Times New Roman"/>
          <w:sz w:val="24"/>
          <w:szCs w:val="24"/>
        </w:rPr>
        <w:t xml:space="preserve"> stem bark in order to provide scientific evidence supporting their ethnomedicinal uses. Standard phytochemical screening methods were employed to identify major classes of secondary metabolites, while spectrophotometric and gravimetric techniques were used for quantitative determination of total phenolics, flavonoids, alkaloids, saponins, and tannins.</w:t>
      </w:r>
      <w:r>
        <w:rPr>
          <w:rFonts w:ascii="Times New Roman" w:hAnsi="Times New Roman"/>
          <w:sz w:val="24"/>
          <w:szCs w:val="24"/>
        </w:rPr>
        <w:t xml:space="preserve"> </w:t>
      </w:r>
      <w:r w:rsidRPr="00B93071">
        <w:rPr>
          <w:rFonts w:ascii="Times New Roman" w:hAnsi="Times New Roman"/>
          <w:sz w:val="24"/>
          <w:szCs w:val="24"/>
        </w:rPr>
        <w:t xml:space="preserve">Qualitative analysis revealed the presence of key phytochemicals including flavonoids, alkaloids, saponins, tannins, glycosides, terpenoids, steroids, carbohydrates, and proteins across the three plant species, with notable variations in their distribution. Quantitative results showed that </w:t>
      </w:r>
      <w:r w:rsidRPr="00B93071">
        <w:rPr>
          <w:rFonts w:ascii="Times New Roman" w:hAnsi="Times New Roman"/>
          <w:i/>
          <w:iCs/>
          <w:sz w:val="24"/>
          <w:szCs w:val="24"/>
        </w:rPr>
        <w:t xml:space="preserve">E. </w:t>
      </w:r>
      <w:proofErr w:type="spellStart"/>
      <w:r w:rsidRPr="00B93071">
        <w:rPr>
          <w:rFonts w:ascii="Times New Roman" w:hAnsi="Times New Roman"/>
          <w:i/>
          <w:iCs/>
          <w:sz w:val="24"/>
          <w:szCs w:val="24"/>
        </w:rPr>
        <w:t>sonchifolia</w:t>
      </w:r>
      <w:proofErr w:type="spellEnd"/>
      <w:r w:rsidRPr="00B93071">
        <w:rPr>
          <w:rFonts w:ascii="Times New Roman" w:hAnsi="Times New Roman"/>
          <w:sz w:val="24"/>
          <w:szCs w:val="24"/>
        </w:rPr>
        <w:t xml:space="preserve"> possessed the highest levels of total phenolics (166.07 ± 1.88 mg GAE/g) and flavonoids (287.18 ± 8.42 mg QE/g), indicating strong antioxidant potential. </w:t>
      </w:r>
      <w:r w:rsidRPr="00B93071">
        <w:rPr>
          <w:rFonts w:ascii="Times New Roman" w:hAnsi="Times New Roman"/>
          <w:i/>
          <w:iCs/>
          <w:sz w:val="24"/>
          <w:szCs w:val="24"/>
        </w:rPr>
        <w:t>R. racemosa</w:t>
      </w:r>
      <w:r w:rsidRPr="00B93071">
        <w:rPr>
          <w:rFonts w:ascii="Times New Roman" w:hAnsi="Times New Roman"/>
          <w:sz w:val="24"/>
          <w:szCs w:val="24"/>
        </w:rPr>
        <w:t xml:space="preserve"> exhibited the highest concentrations of saponins (133.75 ± 1.34 mg/100 g), tannins (212.36 ± 3.40 mg GAE/g), and alkaloids (126.78 ± 1.39 mg AE/g), suggesting potent antimicrobial and immunomodulatory properties. </w:t>
      </w:r>
      <w:r w:rsidRPr="00B93071">
        <w:rPr>
          <w:rFonts w:ascii="Times New Roman" w:hAnsi="Times New Roman"/>
          <w:i/>
          <w:iCs/>
          <w:sz w:val="24"/>
          <w:szCs w:val="24"/>
        </w:rPr>
        <w:t xml:space="preserve">B. </w:t>
      </w:r>
      <w:proofErr w:type="spellStart"/>
      <w:r w:rsidRPr="00B93071">
        <w:rPr>
          <w:rFonts w:ascii="Times New Roman" w:hAnsi="Times New Roman"/>
          <w:i/>
          <w:iCs/>
          <w:sz w:val="24"/>
          <w:szCs w:val="24"/>
        </w:rPr>
        <w:t>ferruginea</w:t>
      </w:r>
      <w:proofErr w:type="spellEnd"/>
      <w:r w:rsidRPr="00B93071">
        <w:rPr>
          <w:rFonts w:ascii="Times New Roman" w:hAnsi="Times New Roman"/>
          <w:sz w:val="24"/>
          <w:szCs w:val="24"/>
        </w:rPr>
        <w:t xml:space="preserve"> demonstrated moderate but balanced levels of phytochemicals, particularly alkaloids and carbohydrates, supporting its combined nutritional and medicinal relevance.</w:t>
      </w:r>
      <w:r>
        <w:rPr>
          <w:rFonts w:ascii="Times New Roman" w:hAnsi="Times New Roman"/>
          <w:sz w:val="24"/>
          <w:szCs w:val="24"/>
        </w:rPr>
        <w:t xml:space="preserve"> </w:t>
      </w:r>
      <w:r w:rsidRPr="00B93071">
        <w:rPr>
          <w:rFonts w:ascii="Times New Roman" w:hAnsi="Times New Roman"/>
          <w:sz w:val="24"/>
          <w:szCs w:val="24"/>
        </w:rPr>
        <w:t>Overall, the study highlights significant interspecies variation in phytochemical composition, which may influence the biological activities and therapeutic applications of these plants. The findings provide a scientific basis for their traditional uses and underscore their potential as sources of natural bioactive compounds. Further studies focusing on the isolation, characterization, and pharmacological evaluation of individual constituents are recommended to fully explore their medicinal potential.</w:t>
      </w:r>
    </w:p>
    <w:p w14:paraId="4245446C" w14:textId="77777777" w:rsidR="00B93071" w:rsidRPr="00B93071" w:rsidRDefault="009D0F6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Keywords: </w:t>
      </w:r>
      <w:r w:rsidR="001360BF" w:rsidRPr="001360BF">
        <w:rPr>
          <w:rFonts w:ascii="Times New Roman" w:hAnsi="Times New Roman"/>
          <w:i/>
          <w:iCs/>
          <w:sz w:val="24"/>
          <w:szCs w:val="24"/>
        </w:rPr>
        <w:t xml:space="preserve">Emilia </w:t>
      </w:r>
      <w:proofErr w:type="spellStart"/>
      <w:r w:rsidR="001360BF" w:rsidRPr="001360BF">
        <w:rPr>
          <w:rFonts w:ascii="Times New Roman" w:hAnsi="Times New Roman"/>
          <w:i/>
          <w:iCs/>
          <w:sz w:val="24"/>
          <w:szCs w:val="24"/>
        </w:rPr>
        <w:t>sonchifolia</w:t>
      </w:r>
      <w:proofErr w:type="spellEnd"/>
      <w:r w:rsidR="001360BF" w:rsidRPr="001360BF">
        <w:rPr>
          <w:rFonts w:ascii="Times New Roman" w:hAnsi="Times New Roman"/>
          <w:sz w:val="24"/>
          <w:szCs w:val="24"/>
        </w:rPr>
        <w:t>, </w:t>
      </w:r>
      <w:proofErr w:type="spellStart"/>
      <w:r w:rsidR="001360BF" w:rsidRPr="001360BF">
        <w:rPr>
          <w:rFonts w:ascii="Times New Roman" w:hAnsi="Times New Roman"/>
          <w:i/>
          <w:iCs/>
          <w:sz w:val="24"/>
          <w:szCs w:val="24"/>
        </w:rPr>
        <w:t>Bridelia</w:t>
      </w:r>
      <w:proofErr w:type="spellEnd"/>
      <w:r w:rsidR="001360BF" w:rsidRPr="001360BF">
        <w:rPr>
          <w:rFonts w:ascii="Times New Roman" w:hAnsi="Times New Roman"/>
          <w:i/>
          <w:iCs/>
          <w:sz w:val="24"/>
          <w:szCs w:val="24"/>
        </w:rPr>
        <w:t xml:space="preserve"> </w:t>
      </w:r>
      <w:proofErr w:type="spellStart"/>
      <w:r w:rsidR="001360BF" w:rsidRPr="001360BF">
        <w:rPr>
          <w:rFonts w:ascii="Times New Roman" w:hAnsi="Times New Roman"/>
          <w:i/>
          <w:iCs/>
          <w:sz w:val="24"/>
          <w:szCs w:val="24"/>
        </w:rPr>
        <w:t>ferruginea</w:t>
      </w:r>
      <w:proofErr w:type="spellEnd"/>
      <w:r w:rsidR="001360BF" w:rsidRPr="001360BF">
        <w:rPr>
          <w:rFonts w:ascii="Times New Roman" w:hAnsi="Times New Roman"/>
          <w:sz w:val="24"/>
          <w:szCs w:val="24"/>
        </w:rPr>
        <w:t>, </w:t>
      </w:r>
      <w:r w:rsidR="00D265AA" w:rsidRPr="00D265AA">
        <w:rPr>
          <w:rFonts w:ascii="Times New Roman" w:hAnsi="Times New Roman"/>
          <w:i/>
          <w:iCs/>
          <w:sz w:val="24"/>
          <w:szCs w:val="24"/>
        </w:rPr>
        <w:t>Rhizophora racemosa</w:t>
      </w:r>
      <w:r w:rsidR="001360BF">
        <w:rPr>
          <w:rFonts w:ascii="Times New Roman" w:hAnsi="Times New Roman"/>
          <w:i/>
          <w:iCs/>
          <w:sz w:val="24"/>
          <w:szCs w:val="24"/>
        </w:rPr>
        <w:t xml:space="preserve">, </w:t>
      </w:r>
      <w:r w:rsidR="001360BF">
        <w:rPr>
          <w:rFonts w:ascii="Times New Roman" w:hAnsi="Times New Roman"/>
          <w:sz w:val="24"/>
          <w:szCs w:val="24"/>
        </w:rPr>
        <w:t>p</w:t>
      </w:r>
      <w:r>
        <w:rPr>
          <w:rFonts w:ascii="Times New Roman" w:hAnsi="Times New Roman"/>
          <w:sz w:val="24"/>
          <w:szCs w:val="24"/>
        </w:rPr>
        <w:t>hytochemicals, phenolics, alkaloids, saponins, glycosides.</w:t>
      </w:r>
    </w:p>
    <w:p w14:paraId="765EA997" w14:textId="77777777" w:rsidR="00E12A2B" w:rsidRPr="00E12A2B" w:rsidRDefault="00F41DA3" w:rsidP="00E12A2B">
      <w:pPr>
        <w:tabs>
          <w:tab w:val="left" w:pos="4176"/>
        </w:tabs>
        <w:spacing w:line="240" w:lineRule="auto"/>
        <w:jc w:val="both"/>
        <w:rPr>
          <w:rFonts w:ascii="Times New Roman" w:hAnsi="Times New Roman"/>
          <w:b/>
          <w:bCs/>
          <w:sz w:val="24"/>
          <w:szCs w:val="24"/>
        </w:rPr>
      </w:pPr>
      <w:r w:rsidRPr="00F41DA3">
        <w:rPr>
          <w:rFonts w:ascii="Times New Roman" w:hAnsi="Times New Roman"/>
          <w:b/>
          <w:bCs/>
          <w:sz w:val="24"/>
          <w:szCs w:val="24"/>
        </w:rPr>
        <w:t>Introduction</w:t>
      </w:r>
    </w:p>
    <w:p w14:paraId="4B35071B"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Medicinal plants remain indispensable in global healthcare delivery, especially in developing nations where access to synthetic medicines is often limited or unaffordable. A large segment of the world’s population continues to rely on herbal remedies as a primary means of treatment and disease management. In recent years, scientific interest in medicinal plants has increased considerably because they contain structurally diverse natural compounds that serve as templates for the development of modern therapeutic agents, including antimicrobial, anticancer, and antimalarial drugs (Atanasov et al., 2021; Newman &amp; Cragg, 2020). Furthermore, the rapid increase in chronic diseases and antimicrobial resistance has intensified the search for safer and more effective bioactive compounds from natural sources.</w:t>
      </w:r>
    </w:p>
    <w:p w14:paraId="4C5E701F"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lastRenderedPageBreak/>
        <w:t>The therapeutic value of medicinal plants is primarily linked to the presence of phytochemicals, which are biologically active secondary metabolites synthesized by plants for protection and adaptation to environmental stress. These metabolites include flavonoids, alkaloids, phenolics, tannins, glycosides, saponins, and terpenoids, many of which have demonstrated important pharmacological effects such as antioxidant, antimicrobial, anti-inflammatory, antidiabetic, and anticancer activities (Yadav &amp; Meena, 2021). Consequently, phytochemical investigations are increasingly recognized as essential tools for validating traditional medicinal claims and identifying compounds with pharmaceutical potential.</w:t>
      </w:r>
    </w:p>
    <w:p w14:paraId="5E0042E1"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Evaluation of phytochemicals may involve both qualitative and quantitative approaches. Qualitative screening helps determine the classes of metabolites present in plant materials, whereas quantitative analysis measures their concentrations and relative abundance. Together, these analyses provide valuable information regarding the chemical profile of medicinal plants and their possible biological activities. Such studies also contribute to identifying factors that influence phytochemical composition, including plant species, environmental conditions, and extraction procedures (</w:t>
      </w:r>
      <w:proofErr w:type="spellStart"/>
      <w:r w:rsidRPr="0085555A">
        <w:rPr>
          <w:rFonts w:ascii="Times New Roman" w:hAnsi="Times New Roman"/>
          <w:sz w:val="24"/>
          <w:szCs w:val="24"/>
        </w:rPr>
        <w:t>Chihomvu</w:t>
      </w:r>
      <w:proofErr w:type="spellEnd"/>
      <w:r w:rsidRPr="0085555A">
        <w:rPr>
          <w:rFonts w:ascii="Times New Roman" w:hAnsi="Times New Roman"/>
          <w:sz w:val="24"/>
          <w:szCs w:val="24"/>
        </w:rPr>
        <w:t xml:space="preserve"> et al., 2024).</w:t>
      </w:r>
    </w:p>
    <w:p w14:paraId="4B12A7FA"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Emilia </w:t>
      </w:r>
      <w:proofErr w:type="spellStart"/>
      <w:r w:rsidRPr="0085555A">
        <w:rPr>
          <w:rFonts w:ascii="Times New Roman" w:hAnsi="Times New Roman"/>
          <w:sz w:val="24"/>
          <w:szCs w:val="24"/>
        </w:rPr>
        <w:t>sonchifolia</w:t>
      </w:r>
      <w:proofErr w:type="spellEnd"/>
      <w:r w:rsidRPr="0085555A">
        <w:rPr>
          <w:rFonts w:ascii="Times New Roman" w:hAnsi="Times New Roman"/>
          <w:sz w:val="24"/>
          <w:szCs w:val="24"/>
        </w:rPr>
        <w:t xml:space="preserve"> (L.) DC., a herbaceous plant belonging to the family Asteraceae, is commonly distributed in tropical and subtropical environments. Despite often being classified as a weed, the plant has long been employed in folkloric medicine for the treatment of fever, inflammation, wounds, and digestive disorders. Earlier investigations have identified several bioactive constituents in the plant, particularly flavonoids, alkaloids, and phenolic compounds, which may explain its antioxidant, anti-inflammatory, and antimicrobial effects (Ugwoke et al., 2021; Uche et al., 2024). Nevertheless, variations in phytochemical content have been observed across different geographical regions and extraction methods, indicating the necessity for additional studies.</w:t>
      </w:r>
    </w:p>
    <w:p w14:paraId="25C2ED6D" w14:textId="77777777" w:rsidR="0085555A" w:rsidRPr="0085555A" w:rsidRDefault="0085555A" w:rsidP="0085555A">
      <w:pPr>
        <w:tabs>
          <w:tab w:val="left" w:pos="4176"/>
        </w:tabs>
        <w:spacing w:line="240" w:lineRule="auto"/>
        <w:jc w:val="both"/>
        <w:rPr>
          <w:rFonts w:ascii="Times New Roman" w:hAnsi="Times New Roman"/>
          <w:sz w:val="24"/>
          <w:szCs w:val="24"/>
        </w:rPr>
      </w:pPr>
      <w:proofErr w:type="spellStart"/>
      <w:r w:rsidRPr="0085555A">
        <w:rPr>
          <w:rFonts w:ascii="Times New Roman" w:hAnsi="Times New Roman"/>
          <w:sz w:val="24"/>
          <w:szCs w:val="24"/>
        </w:rPr>
        <w:t>Bridelia</w:t>
      </w:r>
      <w:proofErr w:type="spellEnd"/>
      <w:r w:rsidRPr="0085555A">
        <w:rPr>
          <w:rFonts w:ascii="Times New Roman" w:hAnsi="Times New Roman"/>
          <w:sz w:val="24"/>
          <w:szCs w:val="24"/>
        </w:rPr>
        <w:t xml:space="preserve"> </w:t>
      </w:r>
      <w:proofErr w:type="spellStart"/>
      <w:r w:rsidRPr="0085555A">
        <w:rPr>
          <w:rFonts w:ascii="Times New Roman" w:hAnsi="Times New Roman"/>
          <w:sz w:val="24"/>
          <w:szCs w:val="24"/>
        </w:rPr>
        <w:t>ferruginea</w:t>
      </w:r>
      <w:proofErr w:type="spellEnd"/>
      <w:r w:rsidRPr="0085555A">
        <w:rPr>
          <w:rFonts w:ascii="Times New Roman" w:hAnsi="Times New Roman"/>
          <w:sz w:val="24"/>
          <w:szCs w:val="24"/>
        </w:rPr>
        <w:t xml:space="preserve"> Benth., a medicinal plant widely utilized across West Africa, belongs to the </w:t>
      </w:r>
      <w:proofErr w:type="spellStart"/>
      <w:r w:rsidRPr="0085555A">
        <w:rPr>
          <w:rFonts w:ascii="Times New Roman" w:hAnsi="Times New Roman"/>
          <w:sz w:val="24"/>
          <w:szCs w:val="24"/>
        </w:rPr>
        <w:t>Euphorbiaceae</w:t>
      </w:r>
      <w:proofErr w:type="spellEnd"/>
      <w:r w:rsidRPr="0085555A">
        <w:rPr>
          <w:rFonts w:ascii="Times New Roman" w:hAnsi="Times New Roman"/>
          <w:sz w:val="24"/>
          <w:szCs w:val="24"/>
        </w:rPr>
        <w:t xml:space="preserve"> family. Various parts of the plant are traditionally used in managing infections, diabetes, inflammatory diseases, and gastrointestinal disorders. Previous phytochemical studies have shown that the plant contains tannins, alkaloids, flavonoids, and triterpenes associated with numerous biological activities (Yeboah et al., 2022). In addition, recent findings suggest that extracts of B. </w:t>
      </w:r>
      <w:proofErr w:type="spellStart"/>
      <w:r w:rsidRPr="0085555A">
        <w:rPr>
          <w:rFonts w:ascii="Times New Roman" w:hAnsi="Times New Roman"/>
          <w:sz w:val="24"/>
          <w:szCs w:val="24"/>
        </w:rPr>
        <w:t>ferruginea</w:t>
      </w:r>
      <w:proofErr w:type="spellEnd"/>
      <w:r w:rsidRPr="0085555A">
        <w:rPr>
          <w:rFonts w:ascii="Times New Roman" w:hAnsi="Times New Roman"/>
          <w:sz w:val="24"/>
          <w:szCs w:val="24"/>
        </w:rPr>
        <w:t xml:space="preserve"> possess antioxidant and cytoprotective effects, making the plant a promising candidate for the management of disorders linked to oxidative stress (Ojo et al., 2022; </w:t>
      </w:r>
      <w:proofErr w:type="spellStart"/>
      <w:r w:rsidRPr="0085555A">
        <w:rPr>
          <w:rFonts w:ascii="Times New Roman" w:hAnsi="Times New Roman"/>
          <w:sz w:val="24"/>
          <w:szCs w:val="24"/>
        </w:rPr>
        <w:t>Deeh</w:t>
      </w:r>
      <w:proofErr w:type="spellEnd"/>
      <w:r w:rsidRPr="0085555A">
        <w:rPr>
          <w:rFonts w:ascii="Times New Roman" w:hAnsi="Times New Roman"/>
          <w:sz w:val="24"/>
          <w:szCs w:val="24"/>
        </w:rPr>
        <w:t xml:space="preserve"> et al., 2024).</w:t>
      </w:r>
    </w:p>
    <w:p w14:paraId="421B2CA3"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Mangrove species such as Rhizophora racemosa are also recognized for their medicinal importance. These plants survive under harsh saline conditions and environmental stress, factors that stimulate the synthesis of unique secondary metabolites with potent biological properties. Traditionally, R. racemosa has been used for treating wounds, infections, and inflammatory conditions. Its stem bark has been reported to contain significant amounts of tannins, flavonoids, and other phenolic substances that contribute to its antimicrobial and antioxidant activities (Sadeer et al., 2023). However, compared with many terrestrial medicinal plants, detailed phytochemical information on this species is still insufficient.</w:t>
      </w:r>
    </w:p>
    <w:p w14:paraId="278C5257"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Although many medicinal plants have been individually investigated, comparative phytochemical studies involving several species under similar conditions remain limited, particularly in biodiverse regions such as tropical Africa. Variations in ecological conditions, extraction techniques, and genetic differences among plant species may significantly affect metabolite </w:t>
      </w:r>
      <w:r w:rsidRPr="0085555A">
        <w:rPr>
          <w:rFonts w:ascii="Times New Roman" w:hAnsi="Times New Roman"/>
          <w:sz w:val="24"/>
          <w:szCs w:val="24"/>
        </w:rPr>
        <w:lastRenderedPageBreak/>
        <w:t>composition and biological effectiveness (Yadav &amp; Meena, 2021). Comparative analyses are therefore important for identifying species-specific phytochemical patterns and their potential therapeutic implications.</w:t>
      </w:r>
    </w:p>
    <w:p w14:paraId="4D3FA760"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Combining phytochemical profiling with pharmacological and biochemical investigations is important for understanding the mechanisms responsible for the medicinal effects of plants. Such integrated approaches may facilitate the discovery of novel bioactive compounds and promote evidence-based utilization of herbal remedies (Atanasov et al., 2021). As demand for plant-derived therapeutics continues to increase, scientifically validated information regarding the composition and biological potential of medicinal plants becomes increasingly necessary.</w:t>
      </w:r>
    </w:p>
    <w:p w14:paraId="1E04EA90"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Therefore, the present study evaluated the qualitative and quantitative phytochemical composition of aqueous extracts obtained from the leaves of Emilia </w:t>
      </w:r>
      <w:proofErr w:type="spellStart"/>
      <w:r w:rsidRPr="0085555A">
        <w:rPr>
          <w:rFonts w:ascii="Times New Roman" w:hAnsi="Times New Roman"/>
          <w:sz w:val="24"/>
          <w:szCs w:val="24"/>
        </w:rPr>
        <w:t>sonchifolia</w:t>
      </w:r>
      <w:proofErr w:type="spellEnd"/>
      <w:r w:rsidRPr="0085555A">
        <w:rPr>
          <w:rFonts w:ascii="Times New Roman" w:hAnsi="Times New Roman"/>
          <w:sz w:val="24"/>
          <w:szCs w:val="24"/>
        </w:rPr>
        <w:t xml:space="preserve"> and </w:t>
      </w:r>
      <w:proofErr w:type="spellStart"/>
      <w:r w:rsidRPr="0085555A">
        <w:rPr>
          <w:rFonts w:ascii="Times New Roman" w:hAnsi="Times New Roman"/>
          <w:sz w:val="24"/>
          <w:szCs w:val="24"/>
        </w:rPr>
        <w:t>Bridelia</w:t>
      </w:r>
      <w:proofErr w:type="spellEnd"/>
      <w:r w:rsidRPr="0085555A">
        <w:rPr>
          <w:rFonts w:ascii="Times New Roman" w:hAnsi="Times New Roman"/>
          <w:sz w:val="24"/>
          <w:szCs w:val="24"/>
        </w:rPr>
        <w:t xml:space="preserve"> </w:t>
      </w:r>
      <w:proofErr w:type="spellStart"/>
      <w:r w:rsidRPr="0085555A">
        <w:rPr>
          <w:rFonts w:ascii="Times New Roman" w:hAnsi="Times New Roman"/>
          <w:sz w:val="24"/>
          <w:szCs w:val="24"/>
        </w:rPr>
        <w:t>ferruginea</w:t>
      </w:r>
      <w:proofErr w:type="spellEnd"/>
      <w:r w:rsidRPr="0085555A">
        <w:rPr>
          <w:rFonts w:ascii="Times New Roman" w:hAnsi="Times New Roman"/>
          <w:sz w:val="24"/>
          <w:szCs w:val="24"/>
        </w:rPr>
        <w:t>, as well as the stem bark of Rhizophora racemosa. The study aimed to compare the occurrence and concentration of important secondary metabolites in these plants in order to provide scientific support for their traditional applications and contribute to the search for bioactive compounds of therapeutic significance.</w:t>
      </w:r>
    </w:p>
    <w:p w14:paraId="0FD346A2" w14:textId="77777777" w:rsidR="005C2DC2" w:rsidRPr="00E12A2B" w:rsidRDefault="005C2DC2" w:rsidP="00B93071">
      <w:pPr>
        <w:tabs>
          <w:tab w:val="left" w:pos="4176"/>
        </w:tabs>
        <w:spacing w:line="240" w:lineRule="auto"/>
        <w:jc w:val="both"/>
        <w:rPr>
          <w:rFonts w:ascii="Times New Roman" w:hAnsi="Times New Roman"/>
          <w:sz w:val="24"/>
          <w:szCs w:val="24"/>
        </w:rPr>
      </w:pPr>
    </w:p>
    <w:p w14:paraId="3749628F" w14:textId="77777777" w:rsidR="00F41DA3" w:rsidRPr="00AE54C4" w:rsidRDefault="00C24776" w:rsidP="00B93071">
      <w:pPr>
        <w:tabs>
          <w:tab w:val="left" w:pos="4176"/>
        </w:tabs>
        <w:spacing w:line="240" w:lineRule="auto"/>
        <w:jc w:val="both"/>
        <w:rPr>
          <w:rFonts w:ascii="Times New Roman" w:hAnsi="Times New Roman"/>
          <w:b/>
          <w:sz w:val="24"/>
          <w:szCs w:val="24"/>
        </w:rPr>
      </w:pPr>
      <w:r w:rsidRPr="00AE54C4">
        <w:rPr>
          <w:rFonts w:ascii="Times New Roman" w:hAnsi="Times New Roman"/>
          <w:b/>
          <w:sz w:val="24"/>
          <w:szCs w:val="24"/>
        </w:rPr>
        <w:t>MATERIALS AND METHOD</w:t>
      </w:r>
    </w:p>
    <w:p w14:paraId="1556DA26"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Apparatus and Equipment</w:t>
      </w:r>
    </w:p>
    <w:p w14:paraId="3FFBA13F"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All analytical measurements were performed using standard laboratory instruments, including a UV–Visible spectrophotometer (Model S23A, </w:t>
      </w:r>
      <w:proofErr w:type="spellStart"/>
      <w:r w:rsidRPr="000A3627">
        <w:rPr>
          <w:rFonts w:ascii="Times New Roman" w:hAnsi="Times New Roman"/>
          <w:sz w:val="24"/>
          <w:szCs w:val="24"/>
        </w:rPr>
        <w:t>Medifield</w:t>
      </w:r>
      <w:proofErr w:type="spellEnd"/>
      <w:r w:rsidRPr="000A3627">
        <w:rPr>
          <w:rFonts w:ascii="Times New Roman" w:hAnsi="Times New Roman"/>
          <w:sz w:val="24"/>
          <w:szCs w:val="24"/>
        </w:rPr>
        <w:t xml:space="preserve"> Equipment &amp; Scientific Ltd., England), a bench centrifuge (Model BL-110, Biomedical Engineering Inc., USA), a thermostatically controlled water bath (Biomedical Engineering Inc., USA), and a precision electronic balance (Shimadzu Model 1123, Japan).</w:t>
      </w:r>
    </w:p>
    <w:p w14:paraId="3365C5A1" w14:textId="77777777" w:rsidR="000A3627" w:rsidRPr="000A3627" w:rsidRDefault="000A3627" w:rsidP="000A3627">
      <w:pPr>
        <w:tabs>
          <w:tab w:val="left" w:pos="4176"/>
        </w:tabs>
        <w:spacing w:line="240" w:lineRule="auto"/>
        <w:jc w:val="both"/>
        <w:rPr>
          <w:rFonts w:ascii="Times New Roman" w:hAnsi="Times New Roman"/>
          <w:sz w:val="24"/>
          <w:szCs w:val="24"/>
        </w:rPr>
      </w:pPr>
    </w:p>
    <w:p w14:paraId="625B7FDD"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Chemicals and Reagents</w:t>
      </w:r>
    </w:p>
    <w:p w14:paraId="6B451AF9"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All reagents utilized in this study were of analytical grade. Folin–</w:t>
      </w:r>
      <w:proofErr w:type="spellStart"/>
      <w:r w:rsidRPr="000A3627">
        <w:rPr>
          <w:rFonts w:ascii="Times New Roman" w:hAnsi="Times New Roman"/>
          <w:sz w:val="24"/>
          <w:szCs w:val="24"/>
        </w:rPr>
        <w:t>Ciocalteu</w:t>
      </w:r>
      <w:proofErr w:type="spellEnd"/>
      <w:r w:rsidRPr="000A3627">
        <w:rPr>
          <w:rFonts w:ascii="Times New Roman" w:hAnsi="Times New Roman"/>
          <w:sz w:val="24"/>
          <w:szCs w:val="24"/>
        </w:rPr>
        <w:t xml:space="preserve"> reagent, quercetin, gallic acid, Millon’s reagent, ninhydrin, Mayer’s reagent, Wagner’s reagent, and Fehling’s solutions were obtained from Loba Chemie (India). Additional reagents, including hydrochloric acid (HCl), sulfuric acid (H₂SO₄), sodium hydroxide (NaOH), sodium carbonate (</w:t>
      </w:r>
      <w:proofErr w:type="spellStart"/>
      <w:r w:rsidRPr="000A3627">
        <w:rPr>
          <w:rFonts w:ascii="Times New Roman" w:hAnsi="Times New Roman"/>
          <w:sz w:val="24"/>
          <w:szCs w:val="24"/>
        </w:rPr>
        <w:t>Na₂CO</w:t>
      </w:r>
      <w:proofErr w:type="spellEnd"/>
      <w:r w:rsidRPr="000A3627">
        <w:rPr>
          <w:rFonts w:ascii="Times New Roman" w:hAnsi="Times New Roman"/>
          <w:sz w:val="24"/>
          <w:szCs w:val="24"/>
        </w:rPr>
        <w:t xml:space="preserve">₃), </w:t>
      </w:r>
      <w:proofErr w:type="spellStart"/>
      <w:r w:rsidRPr="000A3627">
        <w:rPr>
          <w:rFonts w:ascii="Times New Roman" w:hAnsi="Times New Roman"/>
          <w:sz w:val="24"/>
          <w:szCs w:val="24"/>
        </w:rPr>
        <w:t>aluminium</w:t>
      </w:r>
      <w:proofErr w:type="spellEnd"/>
      <w:r w:rsidRPr="000A3627">
        <w:rPr>
          <w:rFonts w:ascii="Times New Roman" w:hAnsi="Times New Roman"/>
          <w:sz w:val="24"/>
          <w:szCs w:val="24"/>
        </w:rPr>
        <w:t xml:space="preserve"> chloride (</w:t>
      </w:r>
      <w:proofErr w:type="spellStart"/>
      <w:r w:rsidRPr="000A3627">
        <w:rPr>
          <w:rFonts w:ascii="Times New Roman" w:hAnsi="Times New Roman"/>
          <w:sz w:val="24"/>
          <w:szCs w:val="24"/>
        </w:rPr>
        <w:t>AlCl</w:t>
      </w:r>
      <w:proofErr w:type="spellEnd"/>
      <w:r w:rsidRPr="000A3627">
        <w:rPr>
          <w:rFonts w:ascii="Times New Roman" w:hAnsi="Times New Roman"/>
          <w:sz w:val="24"/>
          <w:szCs w:val="24"/>
        </w:rPr>
        <w:t>₃), and sodium chloride (NaCl), were procured from BDH Chemicals (England). Organic solvents such as ethanol, methanol, chloroform, diethyl ether, n-butanol, and acetic acid were sourced from JDH Chemicals (Bangladesh).</w:t>
      </w:r>
    </w:p>
    <w:p w14:paraId="5528AC8E" w14:textId="77777777" w:rsidR="000A3627" w:rsidRPr="000A3627" w:rsidRDefault="000A3627" w:rsidP="000A3627">
      <w:pPr>
        <w:tabs>
          <w:tab w:val="left" w:pos="4176"/>
        </w:tabs>
        <w:spacing w:line="240" w:lineRule="auto"/>
        <w:jc w:val="both"/>
        <w:rPr>
          <w:rFonts w:ascii="Times New Roman" w:hAnsi="Times New Roman"/>
          <w:sz w:val="24"/>
          <w:szCs w:val="24"/>
        </w:rPr>
      </w:pPr>
    </w:p>
    <w:p w14:paraId="1470A538"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Collection and Preparation of Plant Materials</w:t>
      </w:r>
    </w:p>
    <w:p w14:paraId="407F22D2"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Fresh leaves of </w:t>
      </w:r>
      <w:r w:rsidRPr="000A3627">
        <w:rPr>
          <w:rFonts w:ascii="Times New Roman" w:hAnsi="Times New Roman"/>
          <w:i/>
          <w:iCs/>
          <w:sz w:val="24"/>
          <w:szCs w:val="24"/>
        </w:rPr>
        <w:t xml:space="preserve">Emilia </w:t>
      </w:r>
      <w:proofErr w:type="spellStart"/>
      <w:r w:rsidRPr="000A3627">
        <w:rPr>
          <w:rFonts w:ascii="Times New Roman" w:hAnsi="Times New Roman"/>
          <w:i/>
          <w:iCs/>
          <w:sz w:val="24"/>
          <w:szCs w:val="24"/>
        </w:rPr>
        <w:t>sonchifolia</w:t>
      </w:r>
      <w:proofErr w:type="spellEnd"/>
      <w:r w:rsidRPr="000A3627">
        <w:rPr>
          <w:rFonts w:ascii="Times New Roman" w:hAnsi="Times New Roman"/>
          <w:sz w:val="24"/>
          <w:szCs w:val="24"/>
        </w:rPr>
        <w:t xml:space="preserve"> and </w:t>
      </w:r>
      <w:proofErr w:type="spellStart"/>
      <w:r w:rsidRPr="000A3627">
        <w:rPr>
          <w:rFonts w:ascii="Times New Roman" w:hAnsi="Times New Roman"/>
          <w:i/>
          <w:iCs/>
          <w:sz w:val="24"/>
          <w:szCs w:val="24"/>
        </w:rPr>
        <w:t>Bridelia</w:t>
      </w:r>
      <w:proofErr w:type="spellEnd"/>
      <w:r w:rsidRPr="000A3627">
        <w:rPr>
          <w:rFonts w:ascii="Times New Roman" w:hAnsi="Times New Roman"/>
          <w:i/>
          <w:iCs/>
          <w:sz w:val="24"/>
          <w:szCs w:val="24"/>
        </w:rPr>
        <w:t xml:space="preserve"> </w:t>
      </w:r>
      <w:proofErr w:type="spellStart"/>
      <w:r w:rsidRPr="000A3627">
        <w:rPr>
          <w:rFonts w:ascii="Times New Roman" w:hAnsi="Times New Roman"/>
          <w:i/>
          <w:iCs/>
          <w:sz w:val="24"/>
          <w:szCs w:val="24"/>
        </w:rPr>
        <w:t>ferruginea</w:t>
      </w:r>
      <w:proofErr w:type="spellEnd"/>
      <w:r w:rsidRPr="000A3627">
        <w:rPr>
          <w:rFonts w:ascii="Times New Roman" w:hAnsi="Times New Roman"/>
          <w:sz w:val="24"/>
          <w:szCs w:val="24"/>
        </w:rPr>
        <w:t xml:space="preserve"> were collected from the Niger Delta University campus, Bayelsa State, Nigeria, while stem bark of </w:t>
      </w:r>
      <w:r w:rsidRPr="000A3627">
        <w:rPr>
          <w:rFonts w:ascii="Times New Roman" w:hAnsi="Times New Roman"/>
          <w:i/>
          <w:iCs/>
          <w:sz w:val="24"/>
          <w:szCs w:val="24"/>
        </w:rPr>
        <w:t>Rhizophora racemosa</w:t>
      </w:r>
      <w:r w:rsidRPr="000A3627">
        <w:rPr>
          <w:rFonts w:ascii="Times New Roman" w:hAnsi="Times New Roman"/>
          <w:sz w:val="24"/>
          <w:szCs w:val="24"/>
        </w:rPr>
        <w:t xml:space="preserve"> was obtained from Edema community in </w:t>
      </w:r>
      <w:proofErr w:type="spellStart"/>
      <w:r w:rsidRPr="000A3627">
        <w:rPr>
          <w:rFonts w:ascii="Times New Roman" w:hAnsi="Times New Roman"/>
          <w:sz w:val="24"/>
          <w:szCs w:val="24"/>
        </w:rPr>
        <w:t>Ogbia</w:t>
      </w:r>
      <w:proofErr w:type="spellEnd"/>
      <w:r w:rsidRPr="000A3627">
        <w:rPr>
          <w:rFonts w:ascii="Times New Roman" w:hAnsi="Times New Roman"/>
          <w:sz w:val="24"/>
          <w:szCs w:val="24"/>
        </w:rPr>
        <w:t xml:space="preserve"> Local Government Area. Botanical identification and authentication were carried out by Prof. Kola </w:t>
      </w:r>
      <w:proofErr w:type="spellStart"/>
      <w:r w:rsidRPr="000A3627">
        <w:rPr>
          <w:rFonts w:ascii="Times New Roman" w:hAnsi="Times New Roman"/>
          <w:sz w:val="24"/>
          <w:szCs w:val="24"/>
        </w:rPr>
        <w:t>Ajibesin</w:t>
      </w:r>
      <w:proofErr w:type="spellEnd"/>
      <w:r w:rsidRPr="000A3627">
        <w:rPr>
          <w:rFonts w:ascii="Times New Roman" w:hAnsi="Times New Roman"/>
          <w:sz w:val="24"/>
          <w:szCs w:val="24"/>
        </w:rPr>
        <w:t xml:space="preserve"> (Department of Pharmacognosy, Niger Delta University).</w:t>
      </w:r>
    </w:p>
    <w:p w14:paraId="6867A515"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lastRenderedPageBreak/>
        <w:t>The plant materials were thoroughly rinsed with clean water to remove debris and subsequently air-dried under shade at ambient temperature for approximately two weeks to prevent degradation of thermolabile constituents. The dried samples were then pulverized into fine powder using a mechanical grinder and stored in airtight containers until extraction.</w:t>
      </w:r>
    </w:p>
    <w:p w14:paraId="6B350BD0" w14:textId="77777777" w:rsidR="000A3627" w:rsidRPr="000A3627" w:rsidRDefault="000A3627" w:rsidP="000A3627">
      <w:pPr>
        <w:tabs>
          <w:tab w:val="left" w:pos="4176"/>
        </w:tabs>
        <w:spacing w:line="240" w:lineRule="auto"/>
        <w:jc w:val="both"/>
        <w:rPr>
          <w:rFonts w:ascii="Times New Roman" w:hAnsi="Times New Roman"/>
          <w:sz w:val="24"/>
          <w:szCs w:val="24"/>
        </w:rPr>
      </w:pPr>
    </w:p>
    <w:p w14:paraId="6D132E0F"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Preparation of Aqueous Extracts</w:t>
      </w:r>
    </w:p>
    <w:p w14:paraId="13DAED43"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Aqueous extraction was performed following a maceration procedure as described by standard phytochemical protocols (Harborne, 1998). Briefly, 100 g of each powdered plant material was soaked in 1 L of distilled water and allowed to stand for 72 hours with intermittent agitation to enhance extraction efficiency. The mixtures were filtered using Whatman No. 1 filter paper, and the filtrates were concentrated using a water bath maintained at 60°C. The resulting crude extracts were stored under refrigeration (4°C) until further analysis.</w:t>
      </w:r>
    </w:p>
    <w:p w14:paraId="50CCE7E6"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FE9441C"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Qualitative Phytochemical Screening</w:t>
      </w:r>
    </w:p>
    <w:p w14:paraId="12E6D30C"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Preliminary phytochemical analysis was conducted to detect the presence of major classes of secondary metabolites using stand</w:t>
      </w:r>
      <w:r w:rsidR="008F3903">
        <w:rPr>
          <w:rFonts w:ascii="Times New Roman" w:hAnsi="Times New Roman"/>
          <w:sz w:val="24"/>
          <w:szCs w:val="24"/>
        </w:rPr>
        <w:t>ard procedures (</w:t>
      </w:r>
      <w:r w:rsidRPr="000A3627">
        <w:rPr>
          <w:rFonts w:ascii="Times New Roman" w:hAnsi="Times New Roman"/>
          <w:sz w:val="24"/>
          <w:szCs w:val="24"/>
        </w:rPr>
        <w:t>Trease &amp; Evans, 2009).</w:t>
      </w:r>
    </w:p>
    <w:p w14:paraId="3C3B23EA" w14:textId="77777777" w:rsidR="000A3627" w:rsidRPr="000A3627" w:rsidRDefault="008F3903" w:rsidP="000A3627">
      <w:pPr>
        <w:numPr>
          <w:ilvl w:val="0"/>
          <w:numId w:val="7"/>
        </w:numPr>
        <w:tabs>
          <w:tab w:val="left" w:pos="4176"/>
        </w:tabs>
        <w:spacing w:line="240" w:lineRule="auto"/>
        <w:jc w:val="both"/>
        <w:rPr>
          <w:rFonts w:ascii="Times New Roman" w:hAnsi="Times New Roman"/>
          <w:sz w:val="24"/>
          <w:szCs w:val="24"/>
        </w:rPr>
      </w:pPr>
      <w:r>
        <w:rPr>
          <w:rFonts w:ascii="Times New Roman" w:hAnsi="Times New Roman"/>
          <w:b/>
          <w:bCs/>
          <w:sz w:val="24"/>
          <w:szCs w:val="24"/>
        </w:rPr>
        <w:t>Proteins</w:t>
      </w:r>
      <w:r w:rsidR="000A3627" w:rsidRPr="000A3627">
        <w:rPr>
          <w:rFonts w:ascii="Times New Roman" w:hAnsi="Times New Roman"/>
          <w:b/>
          <w:bCs/>
          <w:sz w:val="24"/>
          <w:szCs w:val="24"/>
        </w:rPr>
        <w:t>:</w:t>
      </w:r>
      <w:r w:rsidR="000A3627" w:rsidRPr="000A3627">
        <w:rPr>
          <w:rFonts w:ascii="Times New Roman" w:hAnsi="Times New Roman"/>
          <w:sz w:val="24"/>
          <w:szCs w:val="24"/>
        </w:rPr>
        <w:t xml:space="preserve"> Determined using Millon’s and ninhydrin tests. A color change to red (Millon’s) or violet (ninhydrin) indicated positive results. </w:t>
      </w:r>
    </w:p>
    <w:p w14:paraId="43DD9675"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Carbohydrates:</w:t>
      </w:r>
      <w:r w:rsidRPr="000A3627">
        <w:rPr>
          <w:rFonts w:ascii="Times New Roman" w:hAnsi="Times New Roman"/>
          <w:sz w:val="24"/>
          <w:szCs w:val="24"/>
        </w:rPr>
        <w:t xml:space="preserve"> Identified using iodine, Molisch, Fehling’s, and Benedict’s tests, based on characteristic color changes or precipitate formation. </w:t>
      </w:r>
    </w:p>
    <w:p w14:paraId="26E1E72A"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Phenolics and Tannins:</w:t>
      </w:r>
      <w:r w:rsidRPr="000A3627">
        <w:rPr>
          <w:rFonts w:ascii="Times New Roman" w:hAnsi="Times New Roman"/>
          <w:sz w:val="24"/>
          <w:szCs w:val="24"/>
        </w:rPr>
        <w:t xml:space="preserve"> Detected by ferric chloride test, indicated by blue-green or dark coloration. </w:t>
      </w:r>
    </w:p>
    <w:p w14:paraId="436DF5DF"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Flavonoids:</w:t>
      </w:r>
      <w:r w:rsidRPr="000A3627">
        <w:rPr>
          <w:rFonts w:ascii="Times New Roman" w:hAnsi="Times New Roman"/>
          <w:sz w:val="24"/>
          <w:szCs w:val="24"/>
        </w:rPr>
        <w:t xml:space="preserve"> Evaluated using Shinoda and alkaline reagent tests, where development of pink/red or yellow coloration confirmed presence. </w:t>
      </w:r>
    </w:p>
    <w:p w14:paraId="6C7E4E04"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Saponins:</w:t>
      </w:r>
      <w:r w:rsidRPr="000A3627">
        <w:rPr>
          <w:rFonts w:ascii="Times New Roman" w:hAnsi="Times New Roman"/>
          <w:sz w:val="24"/>
          <w:szCs w:val="24"/>
        </w:rPr>
        <w:t xml:space="preserve"> Frothing test was employed, where persistent foam formation indicated positive presence. </w:t>
      </w:r>
    </w:p>
    <w:p w14:paraId="4483DFC5"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Glycosides:</w:t>
      </w:r>
      <w:r w:rsidRPr="000A3627">
        <w:rPr>
          <w:rFonts w:ascii="Times New Roman" w:hAnsi="Times New Roman"/>
          <w:sz w:val="24"/>
          <w:szCs w:val="24"/>
        </w:rPr>
        <w:t xml:space="preserve"> Liebermann’s, Salkowski’s, and Keller–</w:t>
      </w:r>
      <w:proofErr w:type="spellStart"/>
      <w:r w:rsidRPr="000A3627">
        <w:rPr>
          <w:rFonts w:ascii="Times New Roman" w:hAnsi="Times New Roman"/>
          <w:sz w:val="24"/>
          <w:szCs w:val="24"/>
        </w:rPr>
        <w:t>Killiani</w:t>
      </w:r>
      <w:proofErr w:type="spellEnd"/>
      <w:r w:rsidRPr="000A3627">
        <w:rPr>
          <w:rFonts w:ascii="Times New Roman" w:hAnsi="Times New Roman"/>
          <w:sz w:val="24"/>
          <w:szCs w:val="24"/>
        </w:rPr>
        <w:t xml:space="preserve"> tests were used to identify steroidal and cardiac glycosides based on color transitions. </w:t>
      </w:r>
    </w:p>
    <w:p w14:paraId="122C6D33"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Steroids:</w:t>
      </w:r>
      <w:r w:rsidRPr="000A3627">
        <w:rPr>
          <w:rFonts w:ascii="Times New Roman" w:hAnsi="Times New Roman"/>
          <w:sz w:val="24"/>
          <w:szCs w:val="24"/>
        </w:rPr>
        <w:t xml:space="preserve"> Determined by characteristic color changes upon reaction with concentrated acids. </w:t>
      </w:r>
    </w:p>
    <w:p w14:paraId="4D65EED4"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Terpenoids:</w:t>
      </w:r>
      <w:r w:rsidRPr="000A3627">
        <w:rPr>
          <w:rFonts w:ascii="Times New Roman" w:hAnsi="Times New Roman"/>
          <w:sz w:val="24"/>
          <w:szCs w:val="24"/>
        </w:rPr>
        <w:t xml:space="preserve"> Identified by formation of a greyish coloration following acid treatment. </w:t>
      </w:r>
    </w:p>
    <w:p w14:paraId="5A8828C9"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Alkaloids:</w:t>
      </w:r>
      <w:r w:rsidRPr="000A3627">
        <w:rPr>
          <w:rFonts w:ascii="Times New Roman" w:hAnsi="Times New Roman"/>
          <w:sz w:val="24"/>
          <w:szCs w:val="24"/>
        </w:rPr>
        <w:t xml:space="preserve"> Detected using Mayer’s and Wagner’s reagents, indicated by turbidity or precipitate formation. </w:t>
      </w:r>
    </w:p>
    <w:p w14:paraId="349184D5"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DA1A2BD" w14:textId="77777777" w:rsidR="008F3903" w:rsidRDefault="008F3903" w:rsidP="000A3627">
      <w:pPr>
        <w:tabs>
          <w:tab w:val="left" w:pos="4176"/>
        </w:tabs>
        <w:spacing w:line="240" w:lineRule="auto"/>
        <w:jc w:val="both"/>
        <w:rPr>
          <w:rFonts w:ascii="Times New Roman" w:hAnsi="Times New Roman"/>
          <w:b/>
          <w:bCs/>
          <w:sz w:val="24"/>
          <w:szCs w:val="24"/>
        </w:rPr>
      </w:pPr>
    </w:p>
    <w:p w14:paraId="4CED11D0" w14:textId="77777777" w:rsidR="008F3903" w:rsidRDefault="008F3903" w:rsidP="000A3627">
      <w:pPr>
        <w:tabs>
          <w:tab w:val="left" w:pos="4176"/>
        </w:tabs>
        <w:spacing w:line="240" w:lineRule="auto"/>
        <w:jc w:val="both"/>
        <w:rPr>
          <w:rFonts w:ascii="Times New Roman" w:hAnsi="Times New Roman"/>
          <w:b/>
          <w:bCs/>
          <w:sz w:val="24"/>
          <w:szCs w:val="24"/>
        </w:rPr>
      </w:pPr>
    </w:p>
    <w:p w14:paraId="3DD13AA5"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lastRenderedPageBreak/>
        <w:t>Quantitative Phytochemical Analysis</w:t>
      </w:r>
    </w:p>
    <w:p w14:paraId="1EC39CDE"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Total Phenolic Content</w:t>
      </w:r>
    </w:p>
    <w:p w14:paraId="5165AAB8"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Total phenolic content was quantified using the Folin–</w:t>
      </w:r>
      <w:proofErr w:type="spellStart"/>
      <w:r w:rsidRPr="000A3627">
        <w:rPr>
          <w:rFonts w:ascii="Times New Roman" w:hAnsi="Times New Roman"/>
          <w:sz w:val="24"/>
          <w:szCs w:val="24"/>
        </w:rPr>
        <w:t>Ciocalteu</w:t>
      </w:r>
      <w:proofErr w:type="spellEnd"/>
      <w:r w:rsidRPr="000A3627">
        <w:rPr>
          <w:rFonts w:ascii="Times New Roman" w:hAnsi="Times New Roman"/>
          <w:sz w:val="24"/>
          <w:szCs w:val="24"/>
        </w:rPr>
        <w:t xml:space="preserve"> method (Singleton et al., 1999). Briefly, 1 mL of extract was mixed with Folin–</w:t>
      </w:r>
      <w:proofErr w:type="spellStart"/>
      <w:r w:rsidRPr="000A3627">
        <w:rPr>
          <w:rFonts w:ascii="Times New Roman" w:hAnsi="Times New Roman"/>
          <w:sz w:val="24"/>
          <w:szCs w:val="24"/>
        </w:rPr>
        <w:t>Ciocalteu</w:t>
      </w:r>
      <w:proofErr w:type="spellEnd"/>
      <w:r w:rsidRPr="000A3627">
        <w:rPr>
          <w:rFonts w:ascii="Times New Roman" w:hAnsi="Times New Roman"/>
          <w:sz w:val="24"/>
          <w:szCs w:val="24"/>
        </w:rPr>
        <w:t xml:space="preserve"> reagent and sodium carbonate solution, followed by incubation at room temperature. Absorbance was measured at 765 nm using a spectrophotometer. Gallic acid was used as the calibration standard, and results were expressed as milligrams of gallic acid equivalents (mg GAE/g extract).</w:t>
      </w:r>
    </w:p>
    <w:p w14:paraId="445325EB"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Total Flavonoid Content</w:t>
      </w:r>
    </w:p>
    <w:p w14:paraId="44E27061" w14:textId="77777777" w:rsidR="000A3627" w:rsidRPr="008F3903"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Flavonoid content was estimated using the </w:t>
      </w:r>
      <w:proofErr w:type="spellStart"/>
      <w:r w:rsidRPr="000A3627">
        <w:rPr>
          <w:rFonts w:ascii="Times New Roman" w:hAnsi="Times New Roman"/>
          <w:sz w:val="24"/>
          <w:szCs w:val="24"/>
        </w:rPr>
        <w:t>aluminium</w:t>
      </w:r>
      <w:proofErr w:type="spellEnd"/>
      <w:r w:rsidRPr="000A3627">
        <w:rPr>
          <w:rFonts w:ascii="Times New Roman" w:hAnsi="Times New Roman"/>
          <w:sz w:val="24"/>
          <w:szCs w:val="24"/>
        </w:rPr>
        <w:t xml:space="preserve"> chloride colorimetric method (Chang et al., 2002). The extract was reacted with </w:t>
      </w:r>
      <w:proofErr w:type="spellStart"/>
      <w:r w:rsidRPr="000A3627">
        <w:rPr>
          <w:rFonts w:ascii="Times New Roman" w:hAnsi="Times New Roman"/>
          <w:sz w:val="24"/>
          <w:szCs w:val="24"/>
        </w:rPr>
        <w:t>aluminium</w:t>
      </w:r>
      <w:proofErr w:type="spellEnd"/>
      <w:r w:rsidRPr="000A3627">
        <w:rPr>
          <w:rFonts w:ascii="Times New Roman" w:hAnsi="Times New Roman"/>
          <w:sz w:val="24"/>
          <w:szCs w:val="24"/>
        </w:rPr>
        <w:t xml:space="preserve"> chloride and potassium acetate, and the absorbance was recorded at 420 nm after incubation. Quercetin served as the reference standard, and results were expressed as milligrams of quercetin equivalents (mg QE/g extract).</w:t>
      </w:r>
    </w:p>
    <w:p w14:paraId="3DFE0212"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Tannin Content</w:t>
      </w:r>
    </w:p>
    <w:p w14:paraId="54A2354B"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Tannin content was determined using an acid extraction and gravimetric method (Okwu &amp; </w:t>
      </w:r>
      <w:proofErr w:type="spellStart"/>
      <w:r w:rsidRPr="000A3627">
        <w:rPr>
          <w:rFonts w:ascii="Times New Roman" w:hAnsi="Times New Roman"/>
          <w:sz w:val="24"/>
          <w:szCs w:val="24"/>
        </w:rPr>
        <w:t>Iroabuchi</w:t>
      </w:r>
      <w:proofErr w:type="spellEnd"/>
      <w:r w:rsidRPr="000A3627">
        <w:rPr>
          <w:rFonts w:ascii="Times New Roman" w:hAnsi="Times New Roman"/>
          <w:sz w:val="24"/>
          <w:szCs w:val="24"/>
        </w:rPr>
        <w:t>, 2009). The sample was boiled in hydrochloric acid, filtered, and extracted with diethyl ether. The residue obtained after evaporation was weighed, and tannin content was calculated as mg/100 g of sample.</w:t>
      </w:r>
    </w:p>
    <w:p w14:paraId="6DE36665"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7DC1CF6"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Saponin Content</w:t>
      </w:r>
    </w:p>
    <w:p w14:paraId="624FF556"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Saponin content was determined using a gravimetric method involving ethanol extraction, partitioning with diethyl ether and n-butanol, followed by purification with sodium chloride solution (</w:t>
      </w:r>
      <w:proofErr w:type="spellStart"/>
      <w:r w:rsidRPr="000A3627">
        <w:rPr>
          <w:rFonts w:ascii="Times New Roman" w:hAnsi="Times New Roman"/>
          <w:sz w:val="24"/>
          <w:szCs w:val="24"/>
        </w:rPr>
        <w:t>Obadoni</w:t>
      </w:r>
      <w:proofErr w:type="spellEnd"/>
      <w:r w:rsidRPr="000A3627">
        <w:rPr>
          <w:rFonts w:ascii="Times New Roman" w:hAnsi="Times New Roman"/>
          <w:sz w:val="24"/>
          <w:szCs w:val="24"/>
        </w:rPr>
        <w:t xml:space="preserve"> &amp; Ochuko, 2001). The final residue obtained after evaporation and drying was weighed, and results were expressed as mg/100 g of sample.</w:t>
      </w:r>
    </w:p>
    <w:p w14:paraId="3083DAA1"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D672C07"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Alkaloid Content</w:t>
      </w:r>
    </w:p>
    <w:p w14:paraId="0A10E4B5"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Alkaloids were quantified using an alkaline precipitation method (Harborne, 1998). The extract was treated with acetic acid in ethanol, concentrated, and precipitated with ammonium hydroxide. The precipitate obtained was filtered, dried, and weighed to determine alkaloid content.</w:t>
      </w:r>
    </w:p>
    <w:p w14:paraId="4522B744"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FDD786E" w14:textId="77777777" w:rsidR="000A3627" w:rsidRPr="00686B92" w:rsidRDefault="000A3627" w:rsidP="000A3627">
      <w:pPr>
        <w:tabs>
          <w:tab w:val="left" w:pos="4176"/>
        </w:tabs>
        <w:spacing w:line="240" w:lineRule="auto"/>
        <w:jc w:val="both"/>
        <w:rPr>
          <w:rFonts w:ascii="Times New Roman" w:hAnsi="Times New Roman"/>
          <w:b/>
          <w:sz w:val="24"/>
          <w:szCs w:val="24"/>
        </w:rPr>
      </w:pPr>
      <w:r w:rsidRPr="00686B92">
        <w:rPr>
          <w:rFonts w:ascii="Times New Roman" w:hAnsi="Times New Roman"/>
          <w:b/>
          <w:sz w:val="24"/>
          <w:szCs w:val="24"/>
        </w:rPr>
        <w:t xml:space="preserve">Statistical Analyses </w:t>
      </w:r>
    </w:p>
    <w:p w14:paraId="4E61EDCD" w14:textId="77777777" w:rsid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The data were expressed as mean ± standard deviation (SD). A one-way analysis of variance (ANOVA) followed by Tukey’s test was performed using SPSS (Version 25.0, IBM, USA). Statistical significance was set at p &lt; 0.05.</w:t>
      </w:r>
    </w:p>
    <w:p w14:paraId="1DECA326" w14:textId="77777777" w:rsidR="00686B92" w:rsidRDefault="00686B92" w:rsidP="000A3627">
      <w:pPr>
        <w:tabs>
          <w:tab w:val="left" w:pos="4176"/>
        </w:tabs>
        <w:spacing w:line="240" w:lineRule="auto"/>
        <w:jc w:val="both"/>
        <w:rPr>
          <w:rFonts w:ascii="Times New Roman" w:hAnsi="Times New Roman"/>
          <w:sz w:val="24"/>
          <w:szCs w:val="24"/>
        </w:rPr>
      </w:pPr>
    </w:p>
    <w:p w14:paraId="1A3B9BD5" w14:textId="77777777" w:rsidR="00686B92" w:rsidRPr="000A3627" w:rsidRDefault="00686B92" w:rsidP="000A3627">
      <w:pPr>
        <w:tabs>
          <w:tab w:val="left" w:pos="4176"/>
        </w:tabs>
        <w:spacing w:line="240" w:lineRule="auto"/>
        <w:jc w:val="both"/>
        <w:rPr>
          <w:rFonts w:ascii="Times New Roman" w:hAnsi="Times New Roman"/>
          <w:sz w:val="24"/>
          <w:szCs w:val="24"/>
        </w:rPr>
      </w:pPr>
    </w:p>
    <w:p w14:paraId="7BD6089A"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D14EE0F" w14:textId="77777777" w:rsidR="00F41DA3" w:rsidRPr="00686B92" w:rsidRDefault="00686B92" w:rsidP="00B93071">
      <w:pPr>
        <w:tabs>
          <w:tab w:val="left" w:pos="4176"/>
        </w:tabs>
        <w:spacing w:line="240" w:lineRule="auto"/>
        <w:jc w:val="both"/>
        <w:rPr>
          <w:rFonts w:ascii="Times New Roman" w:hAnsi="Times New Roman"/>
          <w:b/>
          <w:sz w:val="24"/>
          <w:szCs w:val="24"/>
        </w:rPr>
      </w:pPr>
      <w:r w:rsidRPr="00686B92">
        <w:rPr>
          <w:rFonts w:ascii="Times New Roman" w:hAnsi="Times New Roman"/>
          <w:b/>
          <w:sz w:val="24"/>
          <w:szCs w:val="24"/>
        </w:rPr>
        <w:lastRenderedPageBreak/>
        <w:t>Results</w:t>
      </w:r>
    </w:p>
    <w:p w14:paraId="06FDA7DE" w14:textId="77777777" w:rsidR="008462B8" w:rsidRDefault="000F4B16"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 xml:space="preserve">1 presents the qualitative phytochemical screening of aqueous leaf extracts of </w:t>
      </w:r>
      <w:r w:rsidR="001E473E" w:rsidRPr="0046269D">
        <w:rPr>
          <w:rFonts w:ascii="Times New Roman" w:hAnsi="Times New Roman"/>
          <w:i/>
          <w:iCs/>
          <w:sz w:val="24"/>
          <w:szCs w:val="24"/>
        </w:rPr>
        <w:t xml:space="preserve">Emilia </w:t>
      </w:r>
      <w:bookmarkStart w:id="0" w:name="_Hlk203195908"/>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r w:rsidR="001E473E" w:rsidRPr="0046269D">
        <w:rPr>
          <w:rFonts w:ascii="Times New Roman" w:hAnsi="Times New Roman"/>
          <w:i/>
          <w:iCs/>
          <w:sz w:val="24"/>
          <w:szCs w:val="24"/>
        </w:rPr>
        <w:t>Rhizophora racemosa</w:t>
      </w:r>
      <w:bookmarkEnd w:id="0"/>
      <w:r w:rsidR="001E473E" w:rsidRPr="0046269D">
        <w:rPr>
          <w:rFonts w:ascii="Times New Roman" w:hAnsi="Times New Roman"/>
          <w:sz w:val="24"/>
          <w:szCs w:val="24"/>
        </w:rPr>
        <w:t xml:space="preserve">. Results revealed notable variations in their constituent profiles.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exhibited a rich presence of flavonoids, alkaloids, terpenoids, steroids, reducing sugars, glycosides, carbohydrates, and tannins, with moderate levels of saponins and proteins.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showed strong alkaloid, saponin, reducing sugar, and carbohydrate content, accompanied by moderate levels of flavonoids, steroids, glycosides, and proteins, but lacked terpenoids.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contained prominent alkaloids, saponins, flavonoids, tannins, and moderate terpenoids, proteins, and carbohydrates, while steroids, reducing sugars, and glycosides </w:t>
      </w:r>
      <w:r w:rsidR="001E473E">
        <w:rPr>
          <w:rFonts w:ascii="Times New Roman" w:hAnsi="Times New Roman"/>
          <w:sz w:val="24"/>
          <w:szCs w:val="24"/>
        </w:rPr>
        <w:t>were absent or minimal</w:t>
      </w:r>
    </w:p>
    <w:p w14:paraId="4C1DB123" w14:textId="77777777" w:rsidR="008462B8" w:rsidRDefault="008462B8" w:rsidP="00B93071">
      <w:pPr>
        <w:tabs>
          <w:tab w:val="left" w:pos="4176"/>
        </w:tabs>
        <w:spacing w:line="240" w:lineRule="auto"/>
        <w:jc w:val="both"/>
        <w:rPr>
          <w:rFonts w:ascii="Times New Roman" w:hAnsi="Times New Roman"/>
          <w:sz w:val="24"/>
          <w:szCs w:val="24"/>
        </w:rPr>
      </w:pPr>
    </w:p>
    <w:p w14:paraId="2A215C1D" w14:textId="77777777" w:rsidR="001E473E" w:rsidRPr="0046269D" w:rsidRDefault="00DA691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 xml:space="preserve">1. Qualitative phytochemical screening of aqueous extract of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and</w:t>
      </w:r>
      <w:r w:rsidR="001E473E" w:rsidRPr="0046269D">
        <w:rPr>
          <w:rFonts w:ascii="Times New Roman" w:hAnsi="Times New Roman"/>
          <w:i/>
          <w:iCs/>
          <w:sz w:val="24"/>
          <w:szCs w:val="24"/>
        </w:rPr>
        <w:t xml:space="preserve"> Rhizophora racemosa</w:t>
      </w:r>
      <w:r w:rsidR="001E473E" w:rsidRPr="0046269D">
        <w:rPr>
          <w:rFonts w:ascii="Times New Roman" w:hAnsi="Times New Roman"/>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1E473E" w:rsidRPr="004767AA" w14:paraId="570A5354" w14:textId="77777777" w:rsidTr="00AA3649">
        <w:tc>
          <w:tcPr>
            <w:tcW w:w="2337" w:type="dxa"/>
            <w:tcBorders>
              <w:top w:val="single" w:sz="4" w:space="0" w:color="auto"/>
              <w:bottom w:val="single" w:sz="4" w:space="0" w:color="auto"/>
            </w:tcBorders>
          </w:tcPr>
          <w:p w14:paraId="5CD79A8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Phytochemicals</w:t>
            </w:r>
          </w:p>
        </w:tc>
        <w:tc>
          <w:tcPr>
            <w:tcW w:w="2337" w:type="dxa"/>
            <w:tcBorders>
              <w:top w:val="single" w:sz="4" w:space="0" w:color="auto"/>
              <w:bottom w:val="single" w:sz="4" w:space="0" w:color="auto"/>
            </w:tcBorders>
          </w:tcPr>
          <w:p w14:paraId="5651012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i/>
                <w:iCs/>
                <w:sz w:val="24"/>
                <w:szCs w:val="24"/>
              </w:rPr>
              <w:t xml:space="preserve">Emilia </w:t>
            </w:r>
            <w:proofErr w:type="spellStart"/>
            <w:r w:rsidRPr="004767AA">
              <w:rPr>
                <w:rFonts w:ascii="Times New Roman" w:hAnsi="Times New Roman"/>
                <w:i/>
                <w:iCs/>
                <w:sz w:val="24"/>
                <w:szCs w:val="24"/>
              </w:rPr>
              <w:t>sonchifolia</w:t>
            </w:r>
            <w:proofErr w:type="spellEnd"/>
          </w:p>
        </w:tc>
        <w:tc>
          <w:tcPr>
            <w:tcW w:w="2338" w:type="dxa"/>
            <w:tcBorders>
              <w:top w:val="single" w:sz="4" w:space="0" w:color="auto"/>
              <w:bottom w:val="single" w:sz="4" w:space="0" w:color="auto"/>
            </w:tcBorders>
          </w:tcPr>
          <w:p w14:paraId="7CA5ADD2" w14:textId="77777777" w:rsidR="001E473E" w:rsidRPr="004767AA" w:rsidRDefault="00D265AA" w:rsidP="00B93071">
            <w:pPr>
              <w:tabs>
                <w:tab w:val="left" w:pos="4176"/>
              </w:tabs>
              <w:spacing w:after="0" w:line="240" w:lineRule="auto"/>
              <w:jc w:val="both"/>
              <w:rPr>
                <w:rFonts w:ascii="Times New Roman" w:hAnsi="Times New Roman"/>
                <w:i/>
                <w:iCs/>
                <w:sz w:val="24"/>
                <w:szCs w:val="24"/>
              </w:rPr>
            </w:pPr>
            <w:proofErr w:type="spellStart"/>
            <w:r w:rsidRPr="00D265AA">
              <w:rPr>
                <w:rFonts w:ascii="Times New Roman" w:hAnsi="Times New Roman"/>
                <w:i/>
                <w:iCs/>
                <w:sz w:val="24"/>
                <w:szCs w:val="24"/>
              </w:rPr>
              <w:t>Bridelia</w:t>
            </w:r>
            <w:proofErr w:type="spellEnd"/>
            <w:r w:rsidRPr="00D265AA">
              <w:rPr>
                <w:rFonts w:ascii="Times New Roman" w:hAnsi="Times New Roman"/>
                <w:i/>
                <w:iCs/>
                <w:sz w:val="24"/>
                <w:szCs w:val="24"/>
              </w:rPr>
              <w:t xml:space="preserve"> </w:t>
            </w:r>
            <w:proofErr w:type="spellStart"/>
            <w:r w:rsidRPr="00D265AA">
              <w:rPr>
                <w:rFonts w:ascii="Times New Roman" w:hAnsi="Times New Roman"/>
                <w:i/>
                <w:iCs/>
                <w:sz w:val="24"/>
                <w:szCs w:val="24"/>
              </w:rPr>
              <w:t>ferruginea</w:t>
            </w:r>
            <w:proofErr w:type="spellEnd"/>
          </w:p>
        </w:tc>
        <w:tc>
          <w:tcPr>
            <w:tcW w:w="2338" w:type="dxa"/>
            <w:tcBorders>
              <w:top w:val="single" w:sz="4" w:space="0" w:color="auto"/>
              <w:bottom w:val="single" w:sz="4" w:space="0" w:color="auto"/>
            </w:tcBorders>
          </w:tcPr>
          <w:p w14:paraId="7B0A5921"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r w:rsidRPr="004767AA">
              <w:rPr>
                <w:rFonts w:ascii="Times New Roman" w:hAnsi="Times New Roman"/>
                <w:i/>
                <w:iCs/>
                <w:sz w:val="24"/>
                <w:szCs w:val="24"/>
              </w:rPr>
              <w:t>Rhizophora racemosa</w:t>
            </w:r>
          </w:p>
        </w:tc>
      </w:tr>
      <w:tr w:rsidR="001E473E" w:rsidRPr="004767AA" w14:paraId="29CD0795" w14:textId="77777777" w:rsidTr="00AA3649">
        <w:tc>
          <w:tcPr>
            <w:tcW w:w="2337" w:type="dxa"/>
            <w:tcBorders>
              <w:top w:val="single" w:sz="4" w:space="0" w:color="auto"/>
            </w:tcBorders>
          </w:tcPr>
          <w:p w14:paraId="422B9F9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Flavonoids</w:t>
            </w:r>
          </w:p>
        </w:tc>
        <w:tc>
          <w:tcPr>
            <w:tcW w:w="2337" w:type="dxa"/>
            <w:tcBorders>
              <w:top w:val="single" w:sz="4" w:space="0" w:color="auto"/>
            </w:tcBorders>
          </w:tcPr>
          <w:p w14:paraId="1E96818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Borders>
              <w:top w:val="single" w:sz="4" w:space="0" w:color="auto"/>
            </w:tcBorders>
          </w:tcPr>
          <w:p w14:paraId="0EF3124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Borders>
              <w:top w:val="single" w:sz="4" w:space="0" w:color="auto"/>
            </w:tcBorders>
          </w:tcPr>
          <w:p w14:paraId="1E11BEAF"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0FE02068" w14:textId="77777777" w:rsidTr="00AA3649">
        <w:tc>
          <w:tcPr>
            <w:tcW w:w="2337" w:type="dxa"/>
          </w:tcPr>
          <w:p w14:paraId="39A8A7F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Alkaloids</w:t>
            </w:r>
          </w:p>
        </w:tc>
        <w:tc>
          <w:tcPr>
            <w:tcW w:w="2337" w:type="dxa"/>
          </w:tcPr>
          <w:p w14:paraId="16405120"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C74FA6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EB77A6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1C1875B9" w14:textId="77777777" w:rsidTr="00AA3649">
        <w:tc>
          <w:tcPr>
            <w:tcW w:w="2337" w:type="dxa"/>
          </w:tcPr>
          <w:p w14:paraId="2447FED7"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Saponins</w:t>
            </w:r>
          </w:p>
        </w:tc>
        <w:tc>
          <w:tcPr>
            <w:tcW w:w="2337" w:type="dxa"/>
          </w:tcPr>
          <w:p w14:paraId="7908356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4AF58C3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4910945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FF806C1" w14:textId="77777777" w:rsidTr="00AA3649">
        <w:tc>
          <w:tcPr>
            <w:tcW w:w="2337" w:type="dxa"/>
          </w:tcPr>
          <w:p w14:paraId="71690E0D" w14:textId="77777777" w:rsidR="001E473E" w:rsidRPr="004767AA" w:rsidRDefault="001E473E" w:rsidP="00B93071">
            <w:pPr>
              <w:tabs>
                <w:tab w:val="left" w:pos="4176"/>
              </w:tabs>
              <w:spacing w:after="0" w:line="240" w:lineRule="auto"/>
              <w:jc w:val="both"/>
              <w:rPr>
                <w:rFonts w:ascii="Times New Roman" w:hAnsi="Times New Roman"/>
                <w:sz w:val="24"/>
                <w:szCs w:val="24"/>
              </w:rPr>
            </w:pPr>
            <w:proofErr w:type="spellStart"/>
            <w:r w:rsidRPr="004767AA">
              <w:rPr>
                <w:rFonts w:ascii="Times New Roman" w:hAnsi="Times New Roman"/>
                <w:sz w:val="24"/>
                <w:szCs w:val="24"/>
              </w:rPr>
              <w:t>Terpeniods</w:t>
            </w:r>
            <w:proofErr w:type="spellEnd"/>
          </w:p>
        </w:tc>
        <w:tc>
          <w:tcPr>
            <w:tcW w:w="2337" w:type="dxa"/>
          </w:tcPr>
          <w:p w14:paraId="664CEC60"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0150F3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2F4AF5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547B259" w14:textId="77777777" w:rsidTr="00AA3649">
        <w:tc>
          <w:tcPr>
            <w:tcW w:w="2337" w:type="dxa"/>
          </w:tcPr>
          <w:p w14:paraId="19280C0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Steroids</w:t>
            </w:r>
          </w:p>
        </w:tc>
        <w:tc>
          <w:tcPr>
            <w:tcW w:w="2337" w:type="dxa"/>
          </w:tcPr>
          <w:p w14:paraId="30615FCD" w14:textId="77777777" w:rsidR="001E473E" w:rsidRPr="004767AA" w:rsidRDefault="001E473E" w:rsidP="00B93071">
            <w:pPr>
              <w:tabs>
                <w:tab w:val="left" w:pos="4176"/>
              </w:tabs>
              <w:spacing w:after="0" w:line="240" w:lineRule="auto"/>
              <w:jc w:val="both"/>
              <w:rPr>
                <w:rFonts w:ascii="Times New Roman" w:hAnsi="Times New Roman"/>
                <w:sz w:val="24"/>
                <w:szCs w:val="24"/>
                <w:vertAlign w:val="subscript"/>
              </w:rPr>
            </w:pPr>
            <w:r w:rsidRPr="004767AA">
              <w:rPr>
                <w:rFonts w:ascii="Times New Roman" w:hAnsi="Times New Roman"/>
                <w:sz w:val="24"/>
                <w:szCs w:val="24"/>
              </w:rPr>
              <w:t>++</w:t>
            </w:r>
          </w:p>
        </w:tc>
        <w:tc>
          <w:tcPr>
            <w:tcW w:w="2338" w:type="dxa"/>
          </w:tcPr>
          <w:p w14:paraId="22A5025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2F58307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C90B76C" w14:textId="77777777" w:rsidTr="00AA3649">
        <w:tc>
          <w:tcPr>
            <w:tcW w:w="2337" w:type="dxa"/>
          </w:tcPr>
          <w:p w14:paraId="0A91E2DE"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Reducing sugar</w:t>
            </w:r>
          </w:p>
        </w:tc>
        <w:tc>
          <w:tcPr>
            <w:tcW w:w="2337" w:type="dxa"/>
          </w:tcPr>
          <w:p w14:paraId="19B90CA8"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B2750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E5135F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03F543B8" w14:textId="77777777" w:rsidTr="00AA3649">
        <w:tc>
          <w:tcPr>
            <w:tcW w:w="2337" w:type="dxa"/>
          </w:tcPr>
          <w:p w14:paraId="06D990E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Glycosides</w:t>
            </w:r>
          </w:p>
        </w:tc>
        <w:tc>
          <w:tcPr>
            <w:tcW w:w="2337" w:type="dxa"/>
          </w:tcPr>
          <w:p w14:paraId="639828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F5AC1D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7CB0E6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23E84EA1" w14:textId="77777777" w:rsidTr="00AA3649">
        <w:tc>
          <w:tcPr>
            <w:tcW w:w="2337" w:type="dxa"/>
          </w:tcPr>
          <w:p w14:paraId="73338E5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Protein</w:t>
            </w:r>
          </w:p>
        </w:tc>
        <w:tc>
          <w:tcPr>
            <w:tcW w:w="2337" w:type="dxa"/>
          </w:tcPr>
          <w:p w14:paraId="1BE83E5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7ABE24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8147563"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2828708E" w14:textId="77777777" w:rsidTr="00AA3649">
        <w:tc>
          <w:tcPr>
            <w:tcW w:w="2337" w:type="dxa"/>
          </w:tcPr>
          <w:p w14:paraId="221D2D0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Carbohydrates</w:t>
            </w:r>
          </w:p>
        </w:tc>
        <w:tc>
          <w:tcPr>
            <w:tcW w:w="2337" w:type="dxa"/>
          </w:tcPr>
          <w:p w14:paraId="5455951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7245D05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7B55DD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7A6133EA" w14:textId="77777777" w:rsidTr="00AA3649">
        <w:tc>
          <w:tcPr>
            <w:tcW w:w="2337" w:type="dxa"/>
          </w:tcPr>
          <w:p w14:paraId="3272C9C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Tannins</w:t>
            </w:r>
          </w:p>
        </w:tc>
        <w:tc>
          <w:tcPr>
            <w:tcW w:w="2337" w:type="dxa"/>
          </w:tcPr>
          <w:p w14:paraId="78B3E17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27DD43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E77861F"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bl>
    <w:p w14:paraId="7E11A47F" w14:textId="77777777" w:rsidR="001E473E" w:rsidRPr="0046269D" w:rsidRDefault="001E473E" w:rsidP="00B93071">
      <w:pPr>
        <w:spacing w:line="240" w:lineRule="auto"/>
        <w:jc w:val="both"/>
        <w:rPr>
          <w:rFonts w:ascii="Times New Roman" w:hAnsi="Times New Roman"/>
          <w:sz w:val="24"/>
          <w:szCs w:val="24"/>
        </w:rPr>
      </w:pPr>
      <w:r w:rsidRPr="004767AA">
        <w:rPr>
          <w:rFonts w:ascii="Times New Roman" w:hAnsi="Times New Roman"/>
          <w:sz w:val="24"/>
          <w:szCs w:val="24"/>
        </w:rPr>
        <w:t xml:space="preserve">++: </w:t>
      </w:r>
      <w:r>
        <w:rPr>
          <w:rFonts w:ascii="Times New Roman" w:hAnsi="Times New Roman"/>
          <w:sz w:val="24"/>
          <w:szCs w:val="24"/>
        </w:rPr>
        <w:t>abundant, +: moderate -: absent</w:t>
      </w:r>
    </w:p>
    <w:p w14:paraId="05E08C29" w14:textId="77777777" w:rsidR="00686B92" w:rsidRDefault="00686B92" w:rsidP="00B93071">
      <w:pPr>
        <w:tabs>
          <w:tab w:val="left" w:pos="4176"/>
        </w:tabs>
        <w:spacing w:line="240" w:lineRule="auto"/>
        <w:jc w:val="both"/>
        <w:rPr>
          <w:rFonts w:ascii="Times New Roman" w:hAnsi="Times New Roman"/>
          <w:sz w:val="24"/>
          <w:szCs w:val="24"/>
        </w:rPr>
      </w:pPr>
    </w:p>
    <w:p w14:paraId="126DA34A" w14:textId="77777777" w:rsidR="001E473E" w:rsidRPr="0046269D" w:rsidRDefault="000F4B16"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2 presents the quantitative phytochemical composition of aqueous leaf extracts of</w:t>
      </w:r>
      <w:r w:rsidR="001E473E" w:rsidRPr="0046269D">
        <w:rPr>
          <w:rFonts w:ascii="Times New Roman" w:hAnsi="Times New Roman"/>
          <w:i/>
          <w:iCs/>
          <w:sz w:val="24"/>
          <w:szCs w:val="24"/>
        </w:rPr>
        <w:t xml:space="preserve"> 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w:t>
      </w:r>
      <w:r w:rsidR="001E473E" w:rsidRPr="0046269D">
        <w:rPr>
          <w:rFonts w:ascii="Times New Roman" w:hAnsi="Times New Roman"/>
          <w:i/>
          <w:iCs/>
          <w:sz w:val="24"/>
          <w:szCs w:val="24"/>
        </w:rPr>
        <w:t xml:space="preserve">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Total Phenolics were highest in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followed by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and lowest in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Flavonoids content was highest in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while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had slightly more than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Alkaloids and saponins were most abundant in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closely followed by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and least in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Tannins were most concentrated in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 xml:space="preserve">, followed by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 then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w:t>
      </w:r>
    </w:p>
    <w:p w14:paraId="131E0FAC" w14:textId="77777777" w:rsidR="00DA691E" w:rsidRDefault="00DA691E" w:rsidP="00B93071">
      <w:pPr>
        <w:tabs>
          <w:tab w:val="left" w:pos="4176"/>
        </w:tabs>
        <w:spacing w:line="240" w:lineRule="auto"/>
        <w:jc w:val="both"/>
        <w:rPr>
          <w:rFonts w:ascii="Times New Roman" w:hAnsi="Times New Roman"/>
          <w:sz w:val="24"/>
          <w:szCs w:val="24"/>
        </w:rPr>
      </w:pPr>
    </w:p>
    <w:p w14:paraId="034BFF66" w14:textId="77777777" w:rsidR="00DA691E" w:rsidRDefault="00DA691E" w:rsidP="00B93071">
      <w:pPr>
        <w:tabs>
          <w:tab w:val="left" w:pos="4176"/>
        </w:tabs>
        <w:spacing w:line="240" w:lineRule="auto"/>
        <w:jc w:val="both"/>
        <w:rPr>
          <w:rFonts w:ascii="Times New Roman" w:hAnsi="Times New Roman"/>
          <w:sz w:val="24"/>
          <w:szCs w:val="24"/>
        </w:rPr>
      </w:pPr>
    </w:p>
    <w:p w14:paraId="15918B3A" w14:textId="77777777" w:rsidR="00DA691E" w:rsidRDefault="00DA691E" w:rsidP="00B93071">
      <w:pPr>
        <w:tabs>
          <w:tab w:val="left" w:pos="4176"/>
        </w:tabs>
        <w:spacing w:line="240" w:lineRule="auto"/>
        <w:jc w:val="both"/>
        <w:rPr>
          <w:rFonts w:ascii="Times New Roman" w:hAnsi="Times New Roman"/>
          <w:sz w:val="24"/>
          <w:szCs w:val="24"/>
        </w:rPr>
      </w:pPr>
    </w:p>
    <w:p w14:paraId="0B96F922" w14:textId="77777777" w:rsidR="00DA691E" w:rsidRDefault="00DA691E" w:rsidP="00B93071">
      <w:pPr>
        <w:tabs>
          <w:tab w:val="left" w:pos="4176"/>
        </w:tabs>
        <w:spacing w:line="240" w:lineRule="auto"/>
        <w:jc w:val="both"/>
        <w:rPr>
          <w:rFonts w:ascii="Times New Roman" w:hAnsi="Times New Roman"/>
          <w:sz w:val="24"/>
          <w:szCs w:val="24"/>
        </w:rPr>
      </w:pPr>
    </w:p>
    <w:p w14:paraId="39E0354A" w14:textId="77777777" w:rsidR="001E473E" w:rsidRPr="0046269D" w:rsidRDefault="00FD5FE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2. Quantitative phytochemical composition of aqueous leaf extracts of</w:t>
      </w:r>
      <w:r w:rsidR="001E473E" w:rsidRPr="0046269D">
        <w:rPr>
          <w:rFonts w:ascii="Times New Roman" w:hAnsi="Times New Roman"/>
          <w:i/>
          <w:iCs/>
          <w:sz w:val="24"/>
          <w:szCs w:val="24"/>
        </w:rPr>
        <w:t xml:space="preserve"> 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r w:rsidR="001E473E" w:rsidRPr="0046269D">
        <w:rPr>
          <w:rFonts w:ascii="Times New Roman" w:hAnsi="Times New Roman"/>
          <w:i/>
          <w:iCs/>
          <w:sz w:val="24"/>
          <w:szCs w:val="24"/>
        </w:rPr>
        <w:t>Rhizophora racemosa</w:t>
      </w:r>
      <w:r w:rsidR="001E473E" w:rsidRPr="0046269D">
        <w:rPr>
          <w:rFonts w:ascii="Times New Roman" w:hAnsi="Times New Roman"/>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2380"/>
        <w:gridCol w:w="1877"/>
        <w:gridCol w:w="1407"/>
        <w:gridCol w:w="1877"/>
        <w:gridCol w:w="1819"/>
      </w:tblGrid>
      <w:tr w:rsidR="001E473E" w:rsidRPr="004767AA" w14:paraId="1E80217B" w14:textId="77777777" w:rsidTr="00AA3649">
        <w:tc>
          <w:tcPr>
            <w:tcW w:w="2380" w:type="dxa"/>
            <w:tcBorders>
              <w:top w:val="single" w:sz="4" w:space="0" w:color="auto"/>
              <w:bottom w:val="single" w:sz="4" w:space="0" w:color="auto"/>
            </w:tcBorders>
          </w:tcPr>
          <w:p w14:paraId="69692A9A"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Borders>
              <w:top w:val="single" w:sz="4" w:space="0" w:color="auto"/>
              <w:bottom w:val="single" w:sz="4" w:space="0" w:color="auto"/>
            </w:tcBorders>
          </w:tcPr>
          <w:p w14:paraId="0294442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i/>
                <w:iCs/>
                <w:sz w:val="24"/>
                <w:szCs w:val="24"/>
              </w:rPr>
              <w:t xml:space="preserve">Emilia </w:t>
            </w:r>
            <w:proofErr w:type="spellStart"/>
            <w:r w:rsidRPr="004767AA">
              <w:rPr>
                <w:rFonts w:ascii="Times New Roman" w:hAnsi="Times New Roman"/>
                <w:i/>
                <w:iCs/>
                <w:sz w:val="24"/>
                <w:szCs w:val="24"/>
              </w:rPr>
              <w:t>sonchifolia</w:t>
            </w:r>
            <w:proofErr w:type="spellEnd"/>
          </w:p>
        </w:tc>
        <w:tc>
          <w:tcPr>
            <w:tcW w:w="1407" w:type="dxa"/>
            <w:tcBorders>
              <w:top w:val="single" w:sz="4" w:space="0" w:color="auto"/>
              <w:bottom w:val="single" w:sz="4" w:space="0" w:color="auto"/>
            </w:tcBorders>
          </w:tcPr>
          <w:p w14:paraId="0D07E085"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p>
        </w:tc>
        <w:tc>
          <w:tcPr>
            <w:tcW w:w="1877" w:type="dxa"/>
            <w:tcBorders>
              <w:top w:val="single" w:sz="4" w:space="0" w:color="auto"/>
              <w:bottom w:val="single" w:sz="4" w:space="0" w:color="auto"/>
            </w:tcBorders>
          </w:tcPr>
          <w:p w14:paraId="023CF8F5" w14:textId="77777777" w:rsidR="001E473E" w:rsidRPr="004767AA" w:rsidRDefault="00D265AA" w:rsidP="00B93071">
            <w:pPr>
              <w:tabs>
                <w:tab w:val="left" w:pos="4176"/>
              </w:tabs>
              <w:spacing w:after="0" w:line="240" w:lineRule="auto"/>
              <w:jc w:val="both"/>
              <w:rPr>
                <w:rFonts w:ascii="Times New Roman" w:hAnsi="Times New Roman"/>
                <w:i/>
                <w:iCs/>
                <w:sz w:val="24"/>
                <w:szCs w:val="24"/>
              </w:rPr>
            </w:pPr>
            <w:proofErr w:type="spellStart"/>
            <w:r w:rsidRPr="00D265AA">
              <w:rPr>
                <w:rFonts w:ascii="Times New Roman" w:hAnsi="Times New Roman"/>
                <w:i/>
                <w:iCs/>
                <w:sz w:val="24"/>
                <w:szCs w:val="24"/>
              </w:rPr>
              <w:t>Bridelia</w:t>
            </w:r>
            <w:proofErr w:type="spellEnd"/>
            <w:r w:rsidRPr="00D265AA">
              <w:rPr>
                <w:rFonts w:ascii="Times New Roman" w:hAnsi="Times New Roman"/>
                <w:i/>
                <w:iCs/>
                <w:sz w:val="24"/>
                <w:szCs w:val="24"/>
              </w:rPr>
              <w:t xml:space="preserve"> </w:t>
            </w:r>
            <w:proofErr w:type="spellStart"/>
            <w:r w:rsidRPr="00D265AA">
              <w:rPr>
                <w:rFonts w:ascii="Times New Roman" w:hAnsi="Times New Roman"/>
                <w:i/>
                <w:iCs/>
                <w:sz w:val="24"/>
                <w:szCs w:val="24"/>
              </w:rPr>
              <w:t>ferruginea</w:t>
            </w:r>
            <w:proofErr w:type="spellEnd"/>
          </w:p>
        </w:tc>
        <w:tc>
          <w:tcPr>
            <w:tcW w:w="1819" w:type="dxa"/>
            <w:tcBorders>
              <w:top w:val="single" w:sz="4" w:space="0" w:color="auto"/>
              <w:bottom w:val="single" w:sz="4" w:space="0" w:color="auto"/>
            </w:tcBorders>
          </w:tcPr>
          <w:p w14:paraId="782780AB"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r w:rsidRPr="004767AA">
              <w:rPr>
                <w:rFonts w:ascii="Times New Roman" w:hAnsi="Times New Roman"/>
                <w:i/>
                <w:iCs/>
                <w:sz w:val="24"/>
                <w:szCs w:val="24"/>
              </w:rPr>
              <w:t>Rhizophora racemosa</w:t>
            </w:r>
          </w:p>
        </w:tc>
      </w:tr>
      <w:tr w:rsidR="001E473E" w:rsidRPr="004767AA" w14:paraId="4FC6AF5E" w14:textId="77777777" w:rsidTr="00AA3649">
        <w:tc>
          <w:tcPr>
            <w:tcW w:w="2380" w:type="dxa"/>
            <w:tcBorders>
              <w:top w:val="single" w:sz="4" w:space="0" w:color="auto"/>
            </w:tcBorders>
          </w:tcPr>
          <w:p w14:paraId="34912AD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Total phenolics (mg GAE/g)</w:t>
            </w:r>
          </w:p>
        </w:tc>
        <w:tc>
          <w:tcPr>
            <w:tcW w:w="1877" w:type="dxa"/>
            <w:tcBorders>
              <w:top w:val="single" w:sz="4" w:space="0" w:color="auto"/>
            </w:tcBorders>
          </w:tcPr>
          <w:p w14:paraId="4025A564" w14:textId="67AE9A05"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166.07</w:t>
            </w:r>
            <w:r w:rsidR="004F70AA">
              <w:rPr>
                <w:rFonts w:ascii="Times New Roman" w:hAnsi="Times New Roman"/>
                <w:sz w:val="24"/>
                <w:szCs w:val="24"/>
              </w:rPr>
              <w:t>±</w:t>
            </w:r>
            <w:r w:rsidRPr="004767AA">
              <w:rPr>
                <w:rFonts w:ascii="Times New Roman" w:hAnsi="Times New Roman"/>
                <w:sz w:val="24"/>
                <w:szCs w:val="24"/>
              </w:rPr>
              <w:t>1.88</w:t>
            </w:r>
            <w:r w:rsidRPr="004767AA">
              <w:rPr>
                <w:rFonts w:ascii="Times New Roman" w:hAnsi="Times New Roman"/>
                <w:sz w:val="24"/>
                <w:szCs w:val="24"/>
                <w:vertAlign w:val="superscript"/>
              </w:rPr>
              <w:t>a</w:t>
            </w:r>
          </w:p>
        </w:tc>
        <w:tc>
          <w:tcPr>
            <w:tcW w:w="1407" w:type="dxa"/>
            <w:tcBorders>
              <w:top w:val="single" w:sz="4" w:space="0" w:color="auto"/>
            </w:tcBorders>
          </w:tcPr>
          <w:p w14:paraId="7F46D001"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Borders>
              <w:top w:val="single" w:sz="4" w:space="0" w:color="auto"/>
            </w:tcBorders>
          </w:tcPr>
          <w:p w14:paraId="5AA6BF08" w14:textId="14D9A66D"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149.05</w:t>
            </w:r>
            <w:r w:rsidR="004F70AA">
              <w:rPr>
                <w:rFonts w:ascii="Times New Roman" w:hAnsi="Times New Roman"/>
                <w:sz w:val="24"/>
                <w:szCs w:val="24"/>
              </w:rPr>
              <w:t>±</w:t>
            </w:r>
            <w:r w:rsidRPr="004767AA">
              <w:rPr>
                <w:rFonts w:ascii="Times New Roman" w:hAnsi="Times New Roman"/>
                <w:sz w:val="24"/>
                <w:szCs w:val="24"/>
              </w:rPr>
              <w:t>3.15</w:t>
            </w:r>
            <w:r w:rsidRPr="004767AA">
              <w:rPr>
                <w:rFonts w:ascii="Times New Roman" w:hAnsi="Times New Roman"/>
                <w:sz w:val="24"/>
                <w:szCs w:val="24"/>
                <w:vertAlign w:val="superscript"/>
              </w:rPr>
              <w:t>b</w:t>
            </w:r>
          </w:p>
        </w:tc>
        <w:tc>
          <w:tcPr>
            <w:tcW w:w="1819" w:type="dxa"/>
            <w:tcBorders>
              <w:top w:val="single" w:sz="4" w:space="0" w:color="auto"/>
            </w:tcBorders>
          </w:tcPr>
          <w:p w14:paraId="49FB7BBC" w14:textId="37C4F6B0"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134.88</w:t>
            </w:r>
            <w:r w:rsidR="004F70AA">
              <w:rPr>
                <w:rFonts w:ascii="Times New Roman" w:hAnsi="Times New Roman"/>
                <w:sz w:val="24"/>
                <w:szCs w:val="24"/>
              </w:rPr>
              <w:t>±</w:t>
            </w:r>
            <w:r w:rsidRPr="004767AA">
              <w:rPr>
                <w:rFonts w:ascii="Times New Roman" w:hAnsi="Times New Roman"/>
                <w:sz w:val="24"/>
                <w:szCs w:val="24"/>
              </w:rPr>
              <w:t>2.11</w:t>
            </w:r>
            <w:r w:rsidRPr="004767AA">
              <w:rPr>
                <w:rFonts w:ascii="Times New Roman" w:hAnsi="Times New Roman"/>
                <w:sz w:val="24"/>
                <w:szCs w:val="24"/>
                <w:vertAlign w:val="superscript"/>
              </w:rPr>
              <w:t>c</w:t>
            </w:r>
          </w:p>
        </w:tc>
      </w:tr>
      <w:tr w:rsidR="001E473E" w:rsidRPr="004767AA" w14:paraId="63585CC5" w14:textId="77777777" w:rsidTr="00AA3649">
        <w:tc>
          <w:tcPr>
            <w:tcW w:w="2380" w:type="dxa"/>
          </w:tcPr>
          <w:p w14:paraId="14427B5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Flavonoids (mg QE/g)</w:t>
            </w:r>
          </w:p>
        </w:tc>
        <w:tc>
          <w:tcPr>
            <w:tcW w:w="1877" w:type="dxa"/>
          </w:tcPr>
          <w:p w14:paraId="5582C2C6" w14:textId="1E398F0A"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287.18</w:t>
            </w:r>
            <w:r w:rsidR="004F70AA" w:rsidRPr="004F70AA">
              <w:rPr>
                <w:rFonts w:ascii="Times New Roman" w:hAnsi="Times New Roman"/>
                <w:sz w:val="24"/>
                <w:szCs w:val="24"/>
              </w:rPr>
              <w:t>±</w:t>
            </w:r>
            <w:r w:rsidRPr="004767AA">
              <w:rPr>
                <w:rFonts w:ascii="Times New Roman" w:hAnsi="Times New Roman"/>
                <w:sz w:val="24"/>
                <w:szCs w:val="24"/>
              </w:rPr>
              <w:t>8.42</w:t>
            </w:r>
            <w:r w:rsidRPr="004767AA">
              <w:rPr>
                <w:rFonts w:ascii="Times New Roman" w:hAnsi="Times New Roman"/>
                <w:sz w:val="24"/>
                <w:szCs w:val="24"/>
                <w:vertAlign w:val="superscript"/>
              </w:rPr>
              <w:t>a</w:t>
            </w:r>
          </w:p>
        </w:tc>
        <w:tc>
          <w:tcPr>
            <w:tcW w:w="1407" w:type="dxa"/>
          </w:tcPr>
          <w:p w14:paraId="1476FDAC"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33EE7DDC" w14:textId="2F97ABE1"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254.63</w:t>
            </w:r>
            <w:r w:rsidR="004F70AA">
              <w:rPr>
                <w:rFonts w:ascii="Times New Roman" w:hAnsi="Times New Roman"/>
                <w:sz w:val="24"/>
                <w:szCs w:val="24"/>
              </w:rPr>
              <w:t>±</w:t>
            </w:r>
            <w:r w:rsidRPr="004767AA">
              <w:rPr>
                <w:rFonts w:ascii="Times New Roman" w:hAnsi="Times New Roman"/>
                <w:sz w:val="24"/>
                <w:szCs w:val="24"/>
              </w:rPr>
              <w:t>3.83</w:t>
            </w:r>
            <w:r w:rsidRPr="004767AA">
              <w:rPr>
                <w:rFonts w:ascii="Times New Roman" w:hAnsi="Times New Roman"/>
                <w:sz w:val="24"/>
                <w:szCs w:val="24"/>
                <w:vertAlign w:val="superscript"/>
              </w:rPr>
              <w:t>b</w:t>
            </w:r>
          </w:p>
        </w:tc>
        <w:tc>
          <w:tcPr>
            <w:tcW w:w="1819" w:type="dxa"/>
          </w:tcPr>
          <w:p w14:paraId="5F5F3A9C" w14:textId="7A53BE8A"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259.24</w:t>
            </w:r>
            <w:r w:rsidR="004F70AA">
              <w:rPr>
                <w:rFonts w:ascii="Times New Roman" w:hAnsi="Times New Roman"/>
                <w:sz w:val="24"/>
                <w:szCs w:val="24"/>
              </w:rPr>
              <w:t>±</w:t>
            </w:r>
            <w:r w:rsidRPr="004767AA">
              <w:rPr>
                <w:rFonts w:ascii="Times New Roman" w:hAnsi="Times New Roman"/>
                <w:sz w:val="24"/>
                <w:szCs w:val="24"/>
              </w:rPr>
              <w:t>3.83</w:t>
            </w:r>
            <w:r w:rsidRPr="004767AA">
              <w:rPr>
                <w:rFonts w:ascii="Times New Roman" w:hAnsi="Times New Roman"/>
                <w:sz w:val="24"/>
                <w:szCs w:val="24"/>
                <w:vertAlign w:val="superscript"/>
              </w:rPr>
              <w:t>b</w:t>
            </w:r>
          </w:p>
        </w:tc>
      </w:tr>
      <w:tr w:rsidR="001E473E" w:rsidRPr="004767AA" w14:paraId="1642D2A2" w14:textId="77777777" w:rsidTr="00AA3649">
        <w:tc>
          <w:tcPr>
            <w:tcW w:w="2380" w:type="dxa"/>
          </w:tcPr>
          <w:p w14:paraId="4FEBD333"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Alkaloids (mg AE/g</w:t>
            </w:r>
          </w:p>
        </w:tc>
        <w:tc>
          <w:tcPr>
            <w:tcW w:w="1877" w:type="dxa"/>
          </w:tcPr>
          <w:p w14:paraId="25121901" w14:textId="356359D0"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116.31</w:t>
            </w:r>
            <w:r w:rsidR="004F70AA">
              <w:rPr>
                <w:rFonts w:ascii="Times New Roman" w:hAnsi="Times New Roman"/>
                <w:sz w:val="24"/>
                <w:szCs w:val="24"/>
              </w:rPr>
              <w:t>±</w:t>
            </w:r>
            <w:r w:rsidRPr="004767AA">
              <w:rPr>
                <w:rFonts w:ascii="Times New Roman" w:hAnsi="Times New Roman"/>
                <w:sz w:val="24"/>
                <w:szCs w:val="24"/>
              </w:rPr>
              <w:t>5.55</w:t>
            </w:r>
            <w:r w:rsidRPr="004767AA">
              <w:rPr>
                <w:rFonts w:ascii="Times New Roman" w:hAnsi="Times New Roman"/>
                <w:sz w:val="24"/>
                <w:szCs w:val="24"/>
                <w:vertAlign w:val="superscript"/>
              </w:rPr>
              <w:t>a</w:t>
            </w:r>
          </w:p>
        </w:tc>
        <w:tc>
          <w:tcPr>
            <w:tcW w:w="1407" w:type="dxa"/>
          </w:tcPr>
          <w:p w14:paraId="42560E29"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7A6A09B7" w14:textId="46C058E8"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124.18</w:t>
            </w:r>
            <w:r w:rsidR="004F70AA">
              <w:rPr>
                <w:rFonts w:ascii="Times New Roman" w:hAnsi="Times New Roman"/>
                <w:sz w:val="24"/>
                <w:szCs w:val="24"/>
              </w:rPr>
              <w:t>±</w:t>
            </w:r>
            <w:r w:rsidRPr="004767AA">
              <w:rPr>
                <w:rFonts w:ascii="Times New Roman" w:hAnsi="Times New Roman"/>
                <w:sz w:val="24"/>
                <w:szCs w:val="24"/>
              </w:rPr>
              <w:t>3.73</w:t>
            </w:r>
            <w:r w:rsidR="007872E8">
              <w:rPr>
                <w:rFonts w:ascii="Times New Roman" w:hAnsi="Times New Roman"/>
                <w:sz w:val="24"/>
                <w:szCs w:val="24"/>
                <w:vertAlign w:val="superscript"/>
              </w:rPr>
              <w:t>b</w:t>
            </w:r>
          </w:p>
        </w:tc>
        <w:tc>
          <w:tcPr>
            <w:tcW w:w="1819" w:type="dxa"/>
          </w:tcPr>
          <w:p w14:paraId="5103B4FB" w14:textId="09666645"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126.78</w:t>
            </w:r>
            <w:r w:rsidR="004F70AA">
              <w:rPr>
                <w:rFonts w:ascii="Times New Roman" w:hAnsi="Times New Roman"/>
                <w:sz w:val="24"/>
                <w:szCs w:val="24"/>
              </w:rPr>
              <w:t>±</w:t>
            </w:r>
            <w:r w:rsidRPr="004767AA">
              <w:rPr>
                <w:rFonts w:ascii="Times New Roman" w:hAnsi="Times New Roman"/>
                <w:sz w:val="24"/>
                <w:szCs w:val="24"/>
              </w:rPr>
              <w:t>1.39</w:t>
            </w:r>
            <w:r w:rsidR="007872E8">
              <w:rPr>
                <w:rFonts w:ascii="Times New Roman" w:hAnsi="Times New Roman"/>
                <w:sz w:val="24"/>
                <w:szCs w:val="24"/>
                <w:vertAlign w:val="superscript"/>
              </w:rPr>
              <w:t>b</w:t>
            </w:r>
          </w:p>
        </w:tc>
      </w:tr>
      <w:tr w:rsidR="001E473E" w:rsidRPr="004767AA" w14:paraId="63593A88" w14:textId="77777777" w:rsidTr="00AA3649">
        <w:tc>
          <w:tcPr>
            <w:tcW w:w="2380" w:type="dxa"/>
          </w:tcPr>
          <w:p w14:paraId="1C975557" w14:textId="77777777" w:rsidR="001E473E" w:rsidRPr="004767AA" w:rsidRDefault="008462B8" w:rsidP="00B93071">
            <w:pPr>
              <w:tabs>
                <w:tab w:val="left" w:pos="4176"/>
              </w:tabs>
              <w:spacing w:after="0" w:line="240" w:lineRule="auto"/>
              <w:jc w:val="both"/>
              <w:rPr>
                <w:rFonts w:ascii="Times New Roman" w:hAnsi="Times New Roman"/>
                <w:sz w:val="24"/>
                <w:szCs w:val="24"/>
              </w:rPr>
            </w:pPr>
            <w:r>
              <w:rPr>
                <w:rFonts w:ascii="Times New Roman" w:hAnsi="Times New Roman"/>
                <w:sz w:val="24"/>
                <w:szCs w:val="24"/>
              </w:rPr>
              <w:t>Sapon</w:t>
            </w:r>
            <w:r w:rsidR="001E473E" w:rsidRPr="004767AA">
              <w:rPr>
                <w:rFonts w:ascii="Times New Roman" w:hAnsi="Times New Roman"/>
                <w:sz w:val="24"/>
                <w:szCs w:val="24"/>
              </w:rPr>
              <w:t>ins mg/100g)</w:t>
            </w:r>
          </w:p>
        </w:tc>
        <w:tc>
          <w:tcPr>
            <w:tcW w:w="1877" w:type="dxa"/>
          </w:tcPr>
          <w:p w14:paraId="74B19ED4" w14:textId="2A4945BC"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94.52</w:t>
            </w:r>
            <w:r w:rsidR="004F70AA">
              <w:rPr>
                <w:rFonts w:ascii="Times New Roman" w:hAnsi="Times New Roman"/>
                <w:sz w:val="24"/>
                <w:szCs w:val="24"/>
              </w:rPr>
              <w:t>±</w:t>
            </w:r>
            <w:r w:rsidRPr="004767AA">
              <w:rPr>
                <w:rFonts w:ascii="Times New Roman" w:hAnsi="Times New Roman"/>
                <w:sz w:val="24"/>
                <w:szCs w:val="24"/>
              </w:rPr>
              <w:t>4.41</w:t>
            </w:r>
            <w:r w:rsidRPr="004767AA">
              <w:rPr>
                <w:rFonts w:ascii="Times New Roman" w:hAnsi="Times New Roman"/>
                <w:sz w:val="24"/>
                <w:szCs w:val="24"/>
                <w:vertAlign w:val="superscript"/>
              </w:rPr>
              <w:t>a</w:t>
            </w:r>
          </w:p>
        </w:tc>
        <w:tc>
          <w:tcPr>
            <w:tcW w:w="1407" w:type="dxa"/>
          </w:tcPr>
          <w:p w14:paraId="5D271C02"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406A4F45" w14:textId="28973D10"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125.76</w:t>
            </w:r>
            <w:r w:rsidR="004F70AA">
              <w:rPr>
                <w:rFonts w:ascii="Times New Roman" w:hAnsi="Times New Roman"/>
                <w:sz w:val="24"/>
                <w:szCs w:val="24"/>
              </w:rPr>
              <w:t>±</w:t>
            </w:r>
            <w:r w:rsidRPr="004767AA">
              <w:rPr>
                <w:rFonts w:ascii="Times New Roman" w:hAnsi="Times New Roman"/>
                <w:sz w:val="24"/>
                <w:szCs w:val="24"/>
              </w:rPr>
              <w:t>4.54</w:t>
            </w:r>
            <w:r w:rsidRPr="004767AA">
              <w:rPr>
                <w:rFonts w:ascii="Times New Roman" w:hAnsi="Times New Roman"/>
                <w:sz w:val="24"/>
                <w:szCs w:val="24"/>
                <w:vertAlign w:val="superscript"/>
              </w:rPr>
              <w:t>b</w:t>
            </w:r>
          </w:p>
        </w:tc>
        <w:tc>
          <w:tcPr>
            <w:tcW w:w="1819" w:type="dxa"/>
          </w:tcPr>
          <w:p w14:paraId="496FDC0A" w14:textId="72BC4771"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133.75</w:t>
            </w:r>
            <w:r w:rsidR="004F70AA">
              <w:rPr>
                <w:rFonts w:ascii="Times New Roman" w:hAnsi="Times New Roman"/>
                <w:sz w:val="24"/>
                <w:szCs w:val="24"/>
              </w:rPr>
              <w:t>±</w:t>
            </w:r>
            <w:r w:rsidRPr="004767AA">
              <w:rPr>
                <w:rFonts w:ascii="Times New Roman" w:hAnsi="Times New Roman"/>
                <w:sz w:val="24"/>
                <w:szCs w:val="24"/>
              </w:rPr>
              <w:t>1.34</w:t>
            </w:r>
            <w:r w:rsidRPr="004767AA">
              <w:rPr>
                <w:rFonts w:ascii="Times New Roman" w:hAnsi="Times New Roman"/>
                <w:sz w:val="24"/>
                <w:szCs w:val="24"/>
                <w:vertAlign w:val="superscript"/>
              </w:rPr>
              <w:t>c</w:t>
            </w:r>
          </w:p>
        </w:tc>
      </w:tr>
      <w:tr w:rsidR="001E473E" w:rsidRPr="004767AA" w14:paraId="3D50DAB7" w14:textId="77777777" w:rsidTr="00AA3649">
        <w:tc>
          <w:tcPr>
            <w:tcW w:w="2380" w:type="dxa"/>
          </w:tcPr>
          <w:p w14:paraId="71275782" w14:textId="77777777" w:rsidR="001E473E" w:rsidRPr="004767AA" w:rsidRDefault="0092783B" w:rsidP="00B93071">
            <w:pPr>
              <w:tabs>
                <w:tab w:val="left" w:pos="4176"/>
              </w:tabs>
              <w:spacing w:after="0" w:line="240" w:lineRule="auto"/>
              <w:jc w:val="both"/>
              <w:rPr>
                <w:rFonts w:ascii="Times New Roman" w:hAnsi="Times New Roman"/>
                <w:sz w:val="24"/>
                <w:szCs w:val="24"/>
              </w:rPr>
            </w:pPr>
            <w:r>
              <w:rPr>
                <w:rFonts w:ascii="Times New Roman" w:hAnsi="Times New Roman"/>
                <w:sz w:val="24"/>
                <w:szCs w:val="24"/>
              </w:rPr>
              <w:t xml:space="preserve">Tannins (mg </w:t>
            </w:r>
            <w:r w:rsidR="001E473E" w:rsidRPr="004767AA">
              <w:rPr>
                <w:rFonts w:ascii="Times New Roman" w:hAnsi="Times New Roman"/>
                <w:sz w:val="24"/>
                <w:szCs w:val="24"/>
              </w:rPr>
              <w:t>/</w:t>
            </w:r>
            <w:r>
              <w:rPr>
                <w:rFonts w:ascii="Times New Roman" w:hAnsi="Times New Roman"/>
                <w:sz w:val="24"/>
                <w:szCs w:val="24"/>
              </w:rPr>
              <w:t>100</w:t>
            </w:r>
            <w:r w:rsidR="001E473E" w:rsidRPr="004767AA">
              <w:rPr>
                <w:rFonts w:ascii="Times New Roman" w:hAnsi="Times New Roman"/>
                <w:sz w:val="24"/>
                <w:szCs w:val="24"/>
              </w:rPr>
              <w:t>g)</w:t>
            </w:r>
          </w:p>
        </w:tc>
        <w:tc>
          <w:tcPr>
            <w:tcW w:w="1877" w:type="dxa"/>
          </w:tcPr>
          <w:p w14:paraId="0D5509D8" w14:textId="2590305C"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202.92</w:t>
            </w:r>
            <w:r w:rsidR="004F70AA">
              <w:rPr>
                <w:rFonts w:ascii="Times New Roman" w:hAnsi="Times New Roman"/>
                <w:sz w:val="24"/>
                <w:szCs w:val="24"/>
              </w:rPr>
              <w:t>±</w:t>
            </w:r>
            <w:r w:rsidRPr="004767AA">
              <w:rPr>
                <w:rFonts w:ascii="Times New Roman" w:hAnsi="Times New Roman"/>
                <w:sz w:val="24"/>
                <w:szCs w:val="24"/>
              </w:rPr>
              <w:t>6.82</w:t>
            </w:r>
            <w:r w:rsidRPr="004767AA">
              <w:rPr>
                <w:rFonts w:ascii="Times New Roman" w:hAnsi="Times New Roman"/>
                <w:sz w:val="24"/>
                <w:szCs w:val="24"/>
                <w:vertAlign w:val="superscript"/>
              </w:rPr>
              <w:t>a</w:t>
            </w:r>
          </w:p>
        </w:tc>
        <w:tc>
          <w:tcPr>
            <w:tcW w:w="1407" w:type="dxa"/>
          </w:tcPr>
          <w:p w14:paraId="12676170"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2311C17B" w14:textId="722A553B"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170.70</w:t>
            </w:r>
            <w:r w:rsidR="004F70AA">
              <w:rPr>
                <w:rFonts w:ascii="Times New Roman" w:hAnsi="Times New Roman"/>
                <w:sz w:val="24"/>
                <w:szCs w:val="24"/>
              </w:rPr>
              <w:t>±</w:t>
            </w:r>
            <w:r w:rsidRPr="004767AA">
              <w:rPr>
                <w:rFonts w:ascii="Times New Roman" w:hAnsi="Times New Roman"/>
                <w:sz w:val="24"/>
                <w:szCs w:val="24"/>
              </w:rPr>
              <w:t>3.83</w:t>
            </w:r>
            <w:r w:rsidRPr="004767AA">
              <w:rPr>
                <w:rFonts w:ascii="Times New Roman" w:hAnsi="Times New Roman"/>
                <w:sz w:val="24"/>
                <w:szCs w:val="24"/>
                <w:vertAlign w:val="superscript"/>
              </w:rPr>
              <w:t>b</w:t>
            </w:r>
          </w:p>
        </w:tc>
        <w:tc>
          <w:tcPr>
            <w:tcW w:w="1819" w:type="dxa"/>
          </w:tcPr>
          <w:p w14:paraId="7B386392" w14:textId="73BC0C5C"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212.36</w:t>
            </w:r>
            <w:r w:rsidR="004F70AA">
              <w:rPr>
                <w:rFonts w:ascii="Times New Roman" w:hAnsi="Times New Roman"/>
                <w:sz w:val="24"/>
                <w:szCs w:val="24"/>
              </w:rPr>
              <w:t>±</w:t>
            </w:r>
            <w:r w:rsidRPr="004767AA">
              <w:rPr>
                <w:rFonts w:ascii="Times New Roman" w:hAnsi="Times New Roman"/>
                <w:sz w:val="24"/>
                <w:szCs w:val="24"/>
              </w:rPr>
              <w:t>3.40</w:t>
            </w:r>
            <w:r w:rsidRPr="004767AA">
              <w:rPr>
                <w:rFonts w:ascii="Times New Roman" w:hAnsi="Times New Roman"/>
                <w:sz w:val="24"/>
                <w:szCs w:val="24"/>
                <w:vertAlign w:val="superscript"/>
              </w:rPr>
              <w:t>c</w:t>
            </w:r>
          </w:p>
        </w:tc>
      </w:tr>
    </w:tbl>
    <w:p w14:paraId="61E36FED" w14:textId="77777777" w:rsidR="001E473E" w:rsidRDefault="001E473E" w:rsidP="00B93071">
      <w:pPr>
        <w:spacing w:line="240" w:lineRule="auto"/>
        <w:jc w:val="both"/>
        <w:rPr>
          <w:rFonts w:ascii="Times New Roman" w:hAnsi="Times New Roman"/>
          <w:bCs/>
          <w:sz w:val="24"/>
          <w:szCs w:val="24"/>
        </w:rPr>
      </w:pPr>
      <w:r w:rsidRPr="004767AA">
        <w:rPr>
          <w:rFonts w:ascii="Times New Roman" w:hAnsi="Times New Roman"/>
          <w:sz w:val="24"/>
          <w:szCs w:val="24"/>
        </w:rPr>
        <w:t>Data are expressed as the mean ± SD (n = 3).</w:t>
      </w:r>
      <w:r w:rsidRPr="004767AA">
        <w:rPr>
          <w:rFonts w:ascii="Times New Roman" w:hAnsi="Times New Roman"/>
          <w:bCs/>
          <w:sz w:val="24"/>
          <w:szCs w:val="24"/>
        </w:rPr>
        <w:t xml:space="preserve"> Means within the same row carrying dif</w:t>
      </w:r>
      <w:r w:rsidR="007872E8">
        <w:rPr>
          <w:rFonts w:ascii="Times New Roman" w:hAnsi="Times New Roman"/>
          <w:bCs/>
          <w:sz w:val="24"/>
          <w:szCs w:val="24"/>
        </w:rPr>
        <w:t>ferent superscripts (a, b, c</w:t>
      </w:r>
      <w:r w:rsidRPr="004767AA">
        <w:rPr>
          <w:rFonts w:ascii="Times New Roman" w:hAnsi="Times New Roman"/>
          <w:bCs/>
          <w:sz w:val="24"/>
          <w:szCs w:val="24"/>
        </w:rPr>
        <w:t>) are signiﬁcantly different (</w:t>
      </w:r>
      <w:r w:rsidRPr="004767AA">
        <w:rPr>
          <w:rFonts w:ascii="Times New Roman" w:hAnsi="Times New Roman"/>
          <w:bCs/>
          <w:i/>
          <w:iCs/>
          <w:sz w:val="24"/>
          <w:szCs w:val="24"/>
        </w:rPr>
        <w:t>p</w:t>
      </w:r>
      <w:bookmarkStart w:id="1" w:name="_Hlk207568673"/>
      <w:bookmarkStart w:id="2" w:name="_Hlk203192260"/>
      <w:r>
        <w:rPr>
          <w:rFonts w:ascii="Times New Roman" w:hAnsi="Times New Roman"/>
          <w:bCs/>
          <w:sz w:val="24"/>
          <w:szCs w:val="24"/>
        </w:rPr>
        <w:t xml:space="preserve"> &lt; 0.05).</w:t>
      </w:r>
    </w:p>
    <w:bookmarkEnd w:id="1"/>
    <w:bookmarkEnd w:id="2"/>
    <w:p w14:paraId="6D49C1F1" w14:textId="77777777" w:rsidR="00AA2437" w:rsidRPr="0015299F" w:rsidRDefault="00AA2437" w:rsidP="00B93071">
      <w:pPr>
        <w:tabs>
          <w:tab w:val="left" w:pos="4176"/>
        </w:tabs>
        <w:spacing w:line="240" w:lineRule="auto"/>
        <w:jc w:val="both"/>
        <w:rPr>
          <w:rFonts w:ascii="Times New Roman" w:hAnsi="Times New Roman"/>
          <w:sz w:val="24"/>
          <w:szCs w:val="24"/>
        </w:rPr>
      </w:pPr>
    </w:p>
    <w:p w14:paraId="41A23B81" w14:textId="77777777" w:rsidR="00B7310A" w:rsidRPr="00B7310A" w:rsidRDefault="00AA2437" w:rsidP="00D649AF">
      <w:pPr>
        <w:spacing w:line="240" w:lineRule="auto"/>
        <w:rPr>
          <w:rFonts w:ascii="Times New Roman" w:hAnsi="Times New Roman"/>
          <w:b/>
          <w:bCs/>
          <w:sz w:val="24"/>
          <w:szCs w:val="24"/>
        </w:rPr>
      </w:pPr>
      <w:r w:rsidRPr="00AA2437">
        <w:rPr>
          <w:rFonts w:ascii="Times New Roman" w:hAnsi="Times New Roman"/>
          <w:b/>
          <w:bCs/>
          <w:sz w:val="24"/>
          <w:szCs w:val="24"/>
        </w:rPr>
        <w:t>Discussion</w:t>
      </w:r>
    </w:p>
    <w:p w14:paraId="2A99BAB7"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The present investigation demonstrated marked differences in the phytochemical composition of aqueous extracts of Emilia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Bridelia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and Rhizophora racemosa. Variations were observed in both the qualitative presence and quantitative levels of major secondary metabolites, suggesting that each plant species possesses distinct biochemical characteristics that may influence its medicinal usefulness. These findings further support the ethnomedicinal relevance of the plants and agree with earlier reports indicating that phytochemical composition is influenced by plant species, ecological factors, and environmental conditions (Yadav &amp; Meena, 2021; </w:t>
      </w:r>
      <w:proofErr w:type="spellStart"/>
      <w:r w:rsidRPr="00E16EF2">
        <w:rPr>
          <w:rFonts w:ascii="Times New Roman" w:hAnsi="Times New Roman"/>
          <w:sz w:val="24"/>
          <w:szCs w:val="24"/>
        </w:rPr>
        <w:t>Chihomvu</w:t>
      </w:r>
      <w:proofErr w:type="spellEnd"/>
      <w:r w:rsidRPr="00E16EF2">
        <w:rPr>
          <w:rFonts w:ascii="Times New Roman" w:hAnsi="Times New Roman"/>
          <w:sz w:val="24"/>
          <w:szCs w:val="24"/>
        </w:rPr>
        <w:t xml:space="preserve"> et al., 2024).</w:t>
      </w:r>
    </w:p>
    <w:p w14:paraId="669CB733"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Flavonoids were prominently detected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R. racemosa, whereas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showed comparatively moderate levels. Quantitative analysis confirmed that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contained the highest flavonoid concentration among the three species. Since flavonoids are widely recognized for their antioxidant and anti-inflammatory activities, the elevated concentration observed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may partly explain its therapeutic importance in traditional medicine (Zahra et al., 2024). Earlier investigations by Ugwoke et al. (2021) similarly reported high flavonoid and phenolic levels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linked these compounds to strong antioxidant activity. Likewise, previous studies involving Rhizophora species have shown that their flavonoid-rich composition contributes significantly to free radical scavenging properties (Sadeer et al., 2023). A similar trend was observed for total phenolic content, where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recorded the highest value, further suggesting that the plant may serve as a valuable natural antioxidant source. Comparable antioxidant-related phenolic contents have also been documented in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extracts (Ojo et al., 2022).</w:t>
      </w:r>
    </w:p>
    <w:p w14:paraId="252D0CA0"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The qualitative screening revealed strong alkaloid presence across all three plants, although quantitative estimation showed that R. racemosa and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possessed slightly higher alkaloid concentrations than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Such differences may be associated with variability in alkaloid subclasses or extraction efficiency. Previous research has linked the rich alkaloid content of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to its antimicrobial potential (Yeboah et al., 2022). Similarly, Dahibhate et al. (2020) identified bioactive alkaloids in mangrove species including Rhizophora racemosa. Because alkaloids are known to exhibit antimicrobial and neuropharmacological activities, the concentrations observed in the present study suggest that these plants may possess important therapeutic properties (Yan et al., 2021; Andrés et al., 2024).</w:t>
      </w:r>
    </w:p>
    <w:p w14:paraId="4C4A1B95"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lastRenderedPageBreak/>
        <w:t xml:space="preserve">Saponins were detected in all investigated plants, with the highest concentration occurring in R. racemosa. These metabolites are known for their immunomodulatory, membrane-active, and antimicrobial properties (Shen et al., 2023). The elevated saponin content observed in R. racemosa may therefore contribute to its traditional use in the management of infections and inflammatory conditions. Similar observations have been reported in mangrove plants where saponins are believed to function as protective compounds against microbial attack in stressful habitats (Sadeer et al., 2023). Tannins were also abundant, particularly in R. racemosa and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High tannin concentrations in Rhizophora species have previously been associated with antimicrobial activity and wound healing effects (Udeozo et al., 2018). Although tannins possess beneficial antioxidant and metal-chelating properties, excessive consumption may reduce nutrient bioavailability because of their interaction with proteins and minerals (Zayed et al., 2025; Cosme et al., 2025).</w:t>
      </w:r>
    </w:p>
    <w:p w14:paraId="52110B94"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Terpenoids were identified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R. racemosa but were absent in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Earlier studies have similarly reported the occurrence of terpenoids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linked these compounds to antimicrobial effects (Uche et al., 2024). Terpenoids are recognized for a broad range of biological functions, including anti-inflammatory and antimicrobial activities (Mishra et al., 2024; Devi et al., 2024). Consequently, the presence of these metabolites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R. racemosa may enhance their therapeutic potential against infectious and inflammatory disorders. Steroidal compounds were strongly detected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supporting previous phytochemical findings and its traditional use in wound healing and inflammation management (Ugwoke et al., 2021; Derouen et al., 2024).</w:t>
      </w:r>
    </w:p>
    <w:p w14:paraId="72F60E8B"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Reducing sugars and carbohydrates were abundant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but were absent in R. racemosa. Comparable carbohydrate-rich compositions have previously been documented in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and are considered to contribute to its nutritional importance in addition to its medicinal applications (Jonathan &amp; Funmilola, 2014). This may indicate that the plant possesses both therapeutic and dietary value. The low carbohydrate content observed in R. racemosa may also suggest comparatively reduced glycemic effects. Protein content was moderately present in all three species, which aligns with earlier reports on tropical medicinal plants (Yadav &amp; Meena, 2021).</w:t>
      </w:r>
    </w:p>
    <w:p w14:paraId="6498EC45"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The elevated phenolic and flavonoid concentrations recorded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reinforce its importance in traditional management of oxidative stress-related disorders. Similar antioxidant-related findings have been previously reported for the plant (Ugwoke et al., 2021). In addition, the substantial levels of tannins and saponins in R. racemosa and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may indicate an adaptive protective role against pathogens, especially in ecologically stressful environments such as mangrove habitats (Sadeer et al., 2023). Meanwhile, the relatively balanced phytochemical composition of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particularly its alkaloid and carbohydrate contents, may explain its continued use in both nutritional and medicinal applications (Yeboah et al., 2022).</w:t>
      </w:r>
    </w:p>
    <w:p w14:paraId="59AD03FB" w14:textId="3FE901E9" w:rsidR="00E16EF2" w:rsidRPr="00E16EF2" w:rsidRDefault="00E16EF2" w:rsidP="00E16EF2">
      <w:pPr>
        <w:spacing w:line="240" w:lineRule="auto"/>
        <w:jc w:val="both"/>
        <w:rPr>
          <w:rFonts w:ascii="Times New Roman" w:hAnsi="Times New Roman"/>
          <w:sz w:val="24"/>
          <w:szCs w:val="24"/>
        </w:rPr>
      </w:pPr>
      <w:r>
        <w:rPr>
          <w:rFonts w:ascii="Times New Roman" w:hAnsi="Times New Roman"/>
          <w:sz w:val="24"/>
          <w:szCs w:val="24"/>
        </w:rPr>
        <w:t>T</w:t>
      </w:r>
      <w:r w:rsidRPr="00E16EF2">
        <w:rPr>
          <w:rFonts w:ascii="Times New Roman" w:hAnsi="Times New Roman"/>
          <w:sz w:val="24"/>
          <w:szCs w:val="24"/>
        </w:rPr>
        <w:t xml:space="preserve">he present findings demonstrate that Emilia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Bridelia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and Rhizophora racemosa possess both shared and species-specific phytochemical characteristics.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was particularly rich in phenolics and flavonoids,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showed a balanced profile of alkaloids and carbohydrates, whereas R. racemosa contained the highest levels of saponins and tannins. These observations correspond with previous phytochemical and pharmacological reports and further validate the therapeutic significance of these medicinal plants.</w:t>
      </w:r>
    </w:p>
    <w:p w14:paraId="1C357F9E" w14:textId="77777777" w:rsidR="00B7310A" w:rsidRPr="00B7310A" w:rsidRDefault="00B7310A" w:rsidP="00B7310A">
      <w:pPr>
        <w:spacing w:line="240" w:lineRule="auto"/>
        <w:jc w:val="both"/>
        <w:rPr>
          <w:rFonts w:ascii="Times New Roman" w:hAnsi="Times New Roman"/>
          <w:sz w:val="24"/>
          <w:szCs w:val="24"/>
        </w:rPr>
      </w:pPr>
    </w:p>
    <w:p w14:paraId="4B6D9D46" w14:textId="77777777" w:rsidR="0015299F" w:rsidRDefault="0015299F" w:rsidP="00B93071">
      <w:pPr>
        <w:spacing w:line="240" w:lineRule="auto"/>
        <w:jc w:val="both"/>
        <w:rPr>
          <w:rFonts w:ascii="Times New Roman" w:hAnsi="Times New Roman"/>
          <w:b/>
          <w:bCs/>
          <w:sz w:val="24"/>
          <w:szCs w:val="24"/>
        </w:rPr>
      </w:pPr>
    </w:p>
    <w:p w14:paraId="47376E35" w14:textId="77777777" w:rsidR="0015299F" w:rsidRDefault="0015299F" w:rsidP="00B93071">
      <w:pPr>
        <w:spacing w:line="240" w:lineRule="auto"/>
        <w:jc w:val="both"/>
        <w:rPr>
          <w:rFonts w:ascii="Times New Roman" w:hAnsi="Times New Roman"/>
          <w:b/>
          <w:bCs/>
          <w:sz w:val="24"/>
          <w:szCs w:val="24"/>
        </w:rPr>
      </w:pPr>
    </w:p>
    <w:p w14:paraId="348BB0AF" w14:textId="77777777" w:rsidR="0015299F" w:rsidRPr="0015299F" w:rsidRDefault="0015299F" w:rsidP="00B93071">
      <w:pPr>
        <w:spacing w:line="240" w:lineRule="auto"/>
        <w:jc w:val="both"/>
        <w:rPr>
          <w:rFonts w:ascii="Times New Roman" w:hAnsi="Times New Roman"/>
          <w:b/>
          <w:bCs/>
          <w:sz w:val="24"/>
          <w:szCs w:val="24"/>
        </w:rPr>
      </w:pPr>
      <w:r w:rsidRPr="0015299F">
        <w:rPr>
          <w:rFonts w:ascii="Times New Roman" w:hAnsi="Times New Roman"/>
          <w:b/>
          <w:bCs/>
          <w:sz w:val="24"/>
          <w:szCs w:val="24"/>
        </w:rPr>
        <w:t>Conclusion</w:t>
      </w:r>
    </w:p>
    <w:p w14:paraId="6E0603B6" w14:textId="77777777" w:rsidR="0015299F" w:rsidRPr="0015299F" w:rsidRDefault="0015299F" w:rsidP="00B93071">
      <w:pPr>
        <w:spacing w:line="240" w:lineRule="auto"/>
        <w:jc w:val="both"/>
        <w:rPr>
          <w:rFonts w:ascii="Times New Roman" w:hAnsi="Times New Roman"/>
          <w:sz w:val="24"/>
          <w:szCs w:val="24"/>
        </w:rPr>
      </w:pPr>
      <w:r>
        <w:rPr>
          <w:rFonts w:ascii="Times New Roman" w:hAnsi="Times New Roman"/>
          <w:sz w:val="24"/>
          <w:szCs w:val="24"/>
        </w:rPr>
        <w:t>The present study demonstrates</w:t>
      </w:r>
      <w:r w:rsidRPr="0015299F">
        <w:rPr>
          <w:rFonts w:ascii="Times New Roman" w:hAnsi="Times New Roman"/>
          <w:sz w:val="24"/>
          <w:szCs w:val="24"/>
        </w:rPr>
        <w:t xml:space="preserve"> that </w:t>
      </w:r>
      <w:r w:rsidRPr="0015299F">
        <w:rPr>
          <w:rFonts w:ascii="Times New Roman" w:hAnsi="Times New Roman"/>
          <w:i/>
          <w:iCs/>
          <w:sz w:val="24"/>
          <w:szCs w:val="24"/>
        </w:rPr>
        <w:t xml:space="preserve">Emilia </w:t>
      </w:r>
      <w:proofErr w:type="spellStart"/>
      <w:r w:rsidRPr="0015299F">
        <w:rPr>
          <w:rFonts w:ascii="Times New Roman" w:hAnsi="Times New Roman"/>
          <w:i/>
          <w:iCs/>
          <w:sz w:val="24"/>
          <w:szCs w:val="24"/>
        </w:rPr>
        <w:t>sonchifolia</w:t>
      </w:r>
      <w:proofErr w:type="spellEnd"/>
      <w:r w:rsidRPr="0015299F">
        <w:rPr>
          <w:rFonts w:ascii="Times New Roman" w:hAnsi="Times New Roman"/>
          <w:sz w:val="24"/>
          <w:szCs w:val="24"/>
        </w:rPr>
        <w:t xml:space="preserve">, </w:t>
      </w:r>
      <w:proofErr w:type="spellStart"/>
      <w:r w:rsidRPr="0015299F">
        <w:rPr>
          <w:rFonts w:ascii="Times New Roman" w:hAnsi="Times New Roman"/>
          <w:i/>
          <w:iCs/>
          <w:sz w:val="24"/>
          <w:szCs w:val="24"/>
        </w:rPr>
        <w:t>Bridelia</w:t>
      </w:r>
      <w:proofErr w:type="spellEnd"/>
      <w:r w:rsidRPr="0015299F">
        <w:rPr>
          <w:rFonts w:ascii="Times New Roman" w:hAnsi="Times New Roman"/>
          <w:i/>
          <w:iCs/>
          <w:sz w:val="24"/>
          <w:szCs w:val="24"/>
        </w:rPr>
        <w:t xml:space="preserve"> </w:t>
      </w:r>
      <w:proofErr w:type="spellStart"/>
      <w:r w:rsidRPr="0015299F">
        <w:rPr>
          <w:rFonts w:ascii="Times New Roman" w:hAnsi="Times New Roman"/>
          <w:i/>
          <w:iCs/>
          <w:sz w:val="24"/>
          <w:szCs w:val="24"/>
        </w:rPr>
        <w:t>ferruginea</w:t>
      </w:r>
      <w:proofErr w:type="spellEnd"/>
      <w:r w:rsidRPr="0015299F">
        <w:rPr>
          <w:rFonts w:ascii="Times New Roman" w:hAnsi="Times New Roman"/>
          <w:sz w:val="24"/>
          <w:szCs w:val="24"/>
        </w:rPr>
        <w:t xml:space="preserve">, and </w:t>
      </w:r>
      <w:r w:rsidRPr="0015299F">
        <w:rPr>
          <w:rFonts w:ascii="Times New Roman" w:hAnsi="Times New Roman"/>
          <w:i/>
          <w:iCs/>
          <w:sz w:val="24"/>
          <w:szCs w:val="24"/>
        </w:rPr>
        <w:t>Rhizophora racemosa</w:t>
      </w:r>
      <w:r w:rsidRPr="0015299F">
        <w:rPr>
          <w:rFonts w:ascii="Times New Roman" w:hAnsi="Times New Roman"/>
          <w:sz w:val="24"/>
          <w:szCs w:val="24"/>
        </w:rPr>
        <w:t xml:space="preserve"> possess diverse and biologically relevant phytochemical profiles, characterized by varying concentrations of flavonoids, phenolics, alkaloids, saponins, tannins, and other secondary metabolites. These variations underpin their distinct therapeutic potentials and provide a scientific basis for their longstanding use in traditional medicine.</w:t>
      </w:r>
    </w:p>
    <w:p w14:paraId="77C94AA9" w14:textId="77777777" w:rsidR="0015299F" w:rsidRPr="0015299F" w:rsidRDefault="0015299F" w:rsidP="00B93071">
      <w:pPr>
        <w:spacing w:line="240" w:lineRule="auto"/>
        <w:jc w:val="both"/>
        <w:rPr>
          <w:rFonts w:ascii="Times New Roman" w:hAnsi="Times New Roman"/>
          <w:sz w:val="24"/>
          <w:szCs w:val="24"/>
        </w:rPr>
      </w:pPr>
      <w:r w:rsidRPr="0015299F">
        <w:rPr>
          <w:rFonts w:ascii="Times New Roman" w:hAnsi="Times New Roman"/>
          <w:i/>
          <w:iCs/>
          <w:sz w:val="24"/>
          <w:szCs w:val="24"/>
        </w:rPr>
        <w:t xml:space="preserve">Emilia </w:t>
      </w:r>
      <w:proofErr w:type="spellStart"/>
      <w:r w:rsidRPr="0015299F">
        <w:rPr>
          <w:rFonts w:ascii="Times New Roman" w:hAnsi="Times New Roman"/>
          <w:i/>
          <w:iCs/>
          <w:sz w:val="24"/>
          <w:szCs w:val="24"/>
        </w:rPr>
        <w:t>sonchifolia</w:t>
      </w:r>
      <w:proofErr w:type="spellEnd"/>
      <w:r w:rsidRPr="0015299F">
        <w:rPr>
          <w:rFonts w:ascii="Times New Roman" w:hAnsi="Times New Roman"/>
          <w:sz w:val="24"/>
          <w:szCs w:val="24"/>
        </w:rPr>
        <w:t xml:space="preserve"> emerged as a particularly rich source of phenolic compounds and flavonoids, suggesting strong antioxidant and anti-inflammatory capabilities. </w:t>
      </w:r>
      <w:proofErr w:type="spellStart"/>
      <w:r w:rsidRPr="0015299F">
        <w:rPr>
          <w:rFonts w:ascii="Times New Roman" w:hAnsi="Times New Roman"/>
          <w:i/>
          <w:iCs/>
          <w:sz w:val="24"/>
          <w:szCs w:val="24"/>
        </w:rPr>
        <w:t>Bridelia</w:t>
      </w:r>
      <w:proofErr w:type="spellEnd"/>
      <w:r w:rsidRPr="0015299F">
        <w:rPr>
          <w:rFonts w:ascii="Times New Roman" w:hAnsi="Times New Roman"/>
          <w:i/>
          <w:iCs/>
          <w:sz w:val="24"/>
          <w:szCs w:val="24"/>
        </w:rPr>
        <w:t xml:space="preserve"> </w:t>
      </w:r>
      <w:proofErr w:type="spellStart"/>
      <w:r w:rsidRPr="0015299F">
        <w:rPr>
          <w:rFonts w:ascii="Times New Roman" w:hAnsi="Times New Roman"/>
          <w:i/>
          <w:iCs/>
          <w:sz w:val="24"/>
          <w:szCs w:val="24"/>
        </w:rPr>
        <w:t>ferruginea</w:t>
      </w:r>
      <w:proofErr w:type="spellEnd"/>
      <w:r w:rsidRPr="0015299F">
        <w:rPr>
          <w:rFonts w:ascii="Times New Roman" w:hAnsi="Times New Roman"/>
          <w:sz w:val="24"/>
          <w:szCs w:val="24"/>
        </w:rPr>
        <w:t xml:space="preserve"> exhibited a relatively balanced phytochemical composition, especially in terms of alkaloids and carbohydrates, supporting its dual medicinal and nutritional relevance. In contrast, </w:t>
      </w:r>
      <w:r w:rsidRPr="0015299F">
        <w:rPr>
          <w:rFonts w:ascii="Times New Roman" w:hAnsi="Times New Roman"/>
          <w:i/>
          <w:iCs/>
          <w:sz w:val="24"/>
          <w:szCs w:val="24"/>
        </w:rPr>
        <w:t>Rhizophora racemosa</w:t>
      </w:r>
      <w:r w:rsidRPr="0015299F">
        <w:rPr>
          <w:rFonts w:ascii="Times New Roman" w:hAnsi="Times New Roman"/>
          <w:sz w:val="24"/>
          <w:szCs w:val="24"/>
        </w:rPr>
        <w:t xml:space="preserve"> showed notably high levels of saponins and tannins, indicating potential applications in antimicrobial and immunomodulatory therapies.</w:t>
      </w:r>
    </w:p>
    <w:p w14:paraId="004224D1" w14:textId="77777777" w:rsidR="0015299F" w:rsidRPr="0015299F" w:rsidRDefault="0015299F" w:rsidP="00B93071">
      <w:pPr>
        <w:spacing w:line="240" w:lineRule="auto"/>
        <w:jc w:val="both"/>
        <w:rPr>
          <w:rFonts w:ascii="Times New Roman" w:hAnsi="Times New Roman"/>
          <w:sz w:val="24"/>
          <w:szCs w:val="24"/>
        </w:rPr>
      </w:pPr>
      <w:r w:rsidRPr="0015299F">
        <w:rPr>
          <w:rFonts w:ascii="Times New Roman" w:hAnsi="Times New Roman"/>
          <w:sz w:val="24"/>
          <w:szCs w:val="24"/>
        </w:rPr>
        <w:t>Overall, the findings highlight that while these plants share certain phytochemical characteristics, their quantitative differences may translate into varying pharmacological effects. This underscores the importance of species-specific evaluation in phytomedicine. Further studies involving isolation of bioactive compounds, mechanistic investigations, and in vivo pharmacological validation are recommended to fully elucidate their therapeutic potential and ensure safe application in drug development.</w:t>
      </w:r>
    </w:p>
    <w:p w14:paraId="7E3A104B" w14:textId="64A21A3C" w:rsidR="00004A0B" w:rsidRPr="000E592C" w:rsidRDefault="000E592C" w:rsidP="000E592C">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3" w:name="_Hlk218867759"/>
      <w:r w:rsidRPr="000E592C">
        <w:rPr>
          <w:rFonts w:ascii="Times New Roman" w:eastAsia="Times New Roman" w:hAnsi="Times New Roman"/>
          <w:bCs/>
          <w:sz w:val="24"/>
          <w:szCs w:val="24"/>
          <w:highlight w:val="yellow"/>
          <w:lang w:val="en-GB" w:eastAsia="en-IN"/>
        </w:rPr>
        <w:t>Disclaimer (Artificial intelligence)</w:t>
      </w:r>
    </w:p>
    <w:p w14:paraId="616D0999" w14:textId="77777777" w:rsidR="000E592C" w:rsidRPr="000E592C" w:rsidRDefault="000E592C" w:rsidP="000E592C">
      <w:pPr>
        <w:keepNext/>
        <w:keepLines/>
        <w:spacing w:before="120" w:after="120" w:line="360" w:lineRule="auto"/>
        <w:jc w:val="both"/>
        <w:outlineLvl w:val="1"/>
        <w:rPr>
          <w:rFonts w:ascii="Times New Roman" w:eastAsia="Times New Roman" w:hAnsi="Times New Roman"/>
          <w:bCs/>
          <w:sz w:val="24"/>
          <w:szCs w:val="24"/>
          <w:lang w:val="en-GB" w:eastAsia="en-IN"/>
        </w:rPr>
      </w:pPr>
      <w:r w:rsidRPr="000E592C">
        <w:rPr>
          <w:rFonts w:ascii="Times New Roman" w:eastAsia="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0E592C">
        <w:rPr>
          <w:rFonts w:ascii="Times New Roman" w:eastAsia="Times New Roman" w:hAnsi="Times New Roman"/>
          <w:bCs/>
          <w:sz w:val="24"/>
          <w:szCs w:val="24"/>
          <w:lang w:val="en-GB" w:eastAsia="en-IN"/>
        </w:rPr>
        <w:t xml:space="preserve"> </w:t>
      </w:r>
    </w:p>
    <w:bookmarkEnd w:id="3"/>
    <w:p w14:paraId="75F31A6E" w14:textId="52BD9F47" w:rsidR="0015299F" w:rsidRDefault="0015299F" w:rsidP="00B93071">
      <w:pPr>
        <w:spacing w:line="240" w:lineRule="auto"/>
        <w:jc w:val="both"/>
        <w:rPr>
          <w:rFonts w:ascii="Times New Roman" w:hAnsi="Times New Roman"/>
          <w:b/>
          <w:sz w:val="24"/>
          <w:szCs w:val="24"/>
        </w:rPr>
      </w:pPr>
    </w:p>
    <w:p w14:paraId="4F944115" w14:textId="77777777" w:rsidR="003209E5" w:rsidRPr="0015299F" w:rsidRDefault="003209E5" w:rsidP="00B93071">
      <w:pPr>
        <w:spacing w:line="240" w:lineRule="auto"/>
        <w:jc w:val="both"/>
        <w:rPr>
          <w:rFonts w:ascii="Times New Roman" w:hAnsi="Times New Roman"/>
          <w:sz w:val="24"/>
          <w:szCs w:val="24"/>
        </w:rPr>
      </w:pPr>
    </w:p>
    <w:p w14:paraId="0A49DA63" w14:textId="77777777" w:rsidR="00E12A2B" w:rsidRPr="00E12A2B" w:rsidRDefault="000D4DF7" w:rsidP="00E12A2B">
      <w:pPr>
        <w:spacing w:line="240" w:lineRule="auto"/>
        <w:rPr>
          <w:b/>
        </w:rPr>
      </w:pPr>
      <w:r w:rsidRPr="000D4DF7">
        <w:rPr>
          <w:b/>
        </w:rPr>
        <w:t>References</w:t>
      </w:r>
    </w:p>
    <w:p w14:paraId="4E4BB525" w14:textId="77777777" w:rsidR="00E12A2B" w:rsidRPr="000D4DF7" w:rsidRDefault="00E12A2B" w:rsidP="00B93071">
      <w:pPr>
        <w:spacing w:line="240" w:lineRule="auto"/>
      </w:pPr>
    </w:p>
    <w:p w14:paraId="49713A96"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Andrés, C. M. C., Pérez de la Lastra, J. M., </w:t>
      </w:r>
      <w:proofErr w:type="spellStart"/>
      <w:r w:rsidRPr="00234F31">
        <w:rPr>
          <w:rFonts w:asciiTheme="minorHAnsi" w:eastAsiaTheme="minorHAnsi" w:hAnsiTheme="minorHAnsi" w:cstheme="minorBidi"/>
        </w:rPr>
        <w:t>Munguira</w:t>
      </w:r>
      <w:proofErr w:type="spellEnd"/>
      <w:r w:rsidRPr="00234F31">
        <w:rPr>
          <w:rFonts w:asciiTheme="minorHAnsi" w:eastAsiaTheme="minorHAnsi" w:hAnsiTheme="minorHAnsi" w:cstheme="minorBidi"/>
        </w:rPr>
        <w:t>, E. B., Juan, C. A. &amp; Pérez-</w:t>
      </w:r>
      <w:proofErr w:type="spellStart"/>
      <w:r w:rsidRPr="00234F31">
        <w:rPr>
          <w:rFonts w:asciiTheme="minorHAnsi" w:eastAsiaTheme="minorHAnsi" w:hAnsiTheme="minorHAnsi" w:cstheme="minorBidi"/>
        </w:rPr>
        <w:t>Lebeña</w:t>
      </w:r>
      <w:proofErr w:type="spellEnd"/>
      <w:r w:rsidRPr="00234F31">
        <w:rPr>
          <w:rFonts w:asciiTheme="minorHAnsi" w:eastAsiaTheme="minorHAnsi" w:hAnsiTheme="minorHAnsi" w:cstheme="minorBidi"/>
        </w:rPr>
        <w:t xml:space="preserve">, E. (2024). From </w:t>
      </w:r>
      <w:proofErr w:type="spellStart"/>
      <w:r w:rsidRPr="00234F31">
        <w:rPr>
          <w:rFonts w:asciiTheme="minorHAnsi" w:eastAsiaTheme="minorHAnsi" w:hAnsiTheme="minorHAnsi" w:cstheme="minorBidi"/>
        </w:rPr>
        <w:t>Psychoactivity</w:t>
      </w:r>
      <w:proofErr w:type="spellEnd"/>
      <w:r w:rsidRPr="00234F31">
        <w:rPr>
          <w:rFonts w:asciiTheme="minorHAnsi" w:eastAsiaTheme="minorHAnsi" w:hAnsiTheme="minorHAnsi" w:cstheme="minorBidi"/>
        </w:rPr>
        <w:t xml:space="preserve"> to Antimicrobial Agents: Multifaceted Applications of Synthetic Cathinones and Catha edulis Extracts.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29</w:t>
      </w:r>
      <w:r w:rsidRPr="00234F31">
        <w:rPr>
          <w:rFonts w:asciiTheme="minorHAnsi" w:eastAsiaTheme="minorHAnsi" w:hAnsiTheme="minorHAnsi" w:cstheme="minorBidi"/>
        </w:rPr>
        <w:t>(24), 5918.</w:t>
      </w:r>
    </w:p>
    <w:p w14:paraId="17E166C9"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Atanasov, A. G., Zotchev, S. B., </w:t>
      </w:r>
      <w:proofErr w:type="spellStart"/>
      <w:r w:rsidRPr="00234F31">
        <w:rPr>
          <w:rFonts w:asciiTheme="minorHAnsi" w:eastAsiaTheme="minorHAnsi" w:hAnsiTheme="minorHAnsi" w:cstheme="minorBidi"/>
        </w:rPr>
        <w:t>Dirsch</w:t>
      </w:r>
      <w:proofErr w:type="spellEnd"/>
      <w:r w:rsidRPr="00234F31">
        <w:rPr>
          <w:rFonts w:asciiTheme="minorHAnsi" w:eastAsiaTheme="minorHAnsi" w:hAnsiTheme="minorHAnsi" w:cstheme="minorBidi"/>
        </w:rPr>
        <w:t xml:space="preserve">, V. M., &amp; </w:t>
      </w:r>
      <w:proofErr w:type="spellStart"/>
      <w:r w:rsidRPr="00234F31">
        <w:rPr>
          <w:rFonts w:asciiTheme="minorHAnsi" w:eastAsiaTheme="minorHAnsi" w:hAnsiTheme="minorHAnsi" w:cstheme="minorBidi"/>
        </w:rPr>
        <w:t>Supuran</w:t>
      </w:r>
      <w:proofErr w:type="spellEnd"/>
      <w:r w:rsidRPr="00234F31">
        <w:rPr>
          <w:rFonts w:asciiTheme="minorHAnsi" w:eastAsiaTheme="minorHAnsi" w:hAnsiTheme="minorHAnsi" w:cstheme="minorBidi"/>
        </w:rPr>
        <w:t>, C. T. (2021). Natural products in drug discovery: advances and opportunities. </w:t>
      </w:r>
      <w:r w:rsidRPr="00234F31">
        <w:rPr>
          <w:rFonts w:asciiTheme="minorHAnsi" w:eastAsiaTheme="minorHAnsi" w:hAnsiTheme="minorHAnsi" w:cstheme="minorBidi"/>
          <w:i/>
          <w:iCs/>
        </w:rPr>
        <w:t>Nature reviews Drug discovery</w:t>
      </w:r>
      <w:r w:rsidRPr="00234F31">
        <w:rPr>
          <w:rFonts w:asciiTheme="minorHAnsi" w:eastAsiaTheme="minorHAnsi" w:hAnsiTheme="minorHAnsi" w:cstheme="minorBidi"/>
        </w:rPr>
        <w:t>, </w:t>
      </w:r>
      <w:r w:rsidRPr="00234F31">
        <w:rPr>
          <w:rFonts w:asciiTheme="minorHAnsi" w:eastAsiaTheme="minorHAnsi" w:hAnsiTheme="minorHAnsi" w:cstheme="minorBidi"/>
          <w:i/>
          <w:iCs/>
        </w:rPr>
        <w:t xml:space="preserve">20 </w:t>
      </w:r>
      <w:r w:rsidRPr="00234F31">
        <w:rPr>
          <w:rFonts w:asciiTheme="minorHAnsi" w:eastAsiaTheme="minorHAnsi" w:hAnsiTheme="minorHAnsi" w:cstheme="minorBidi"/>
        </w:rPr>
        <w:t>(3), 200-216.</w:t>
      </w:r>
    </w:p>
    <w:p w14:paraId="3D30DBC6"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Chang, C. C., Yang, M. H., Wen, H. M., &amp; Chern, J. C. (2002). Estimation of total flavonoid content in propolis by two complementary colorimetric methods. </w:t>
      </w:r>
      <w:r w:rsidRPr="00E12A2B">
        <w:rPr>
          <w:rFonts w:asciiTheme="minorHAnsi" w:eastAsiaTheme="minorHAnsi" w:hAnsiTheme="minorHAnsi" w:cstheme="minorBidi"/>
          <w:i/>
          <w:iCs/>
        </w:rPr>
        <w:t>Journal of food and drug analysis</w:t>
      </w:r>
      <w:r w:rsidRPr="00E12A2B">
        <w:rPr>
          <w:rFonts w:asciiTheme="minorHAnsi" w:eastAsiaTheme="minorHAnsi" w:hAnsiTheme="minorHAnsi" w:cstheme="minorBidi"/>
        </w:rPr>
        <w:t>, </w:t>
      </w:r>
      <w:r w:rsidRPr="00E12A2B">
        <w:rPr>
          <w:rFonts w:asciiTheme="minorHAnsi" w:eastAsiaTheme="minorHAnsi" w:hAnsiTheme="minorHAnsi" w:cstheme="minorBidi"/>
          <w:i/>
          <w:iCs/>
        </w:rPr>
        <w:t>10</w:t>
      </w:r>
      <w:r w:rsidRPr="00E12A2B">
        <w:rPr>
          <w:rFonts w:asciiTheme="minorHAnsi" w:eastAsiaTheme="minorHAnsi" w:hAnsiTheme="minorHAnsi" w:cstheme="minorBidi"/>
        </w:rPr>
        <w:t>(3).</w:t>
      </w:r>
    </w:p>
    <w:p w14:paraId="166C21F5"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lastRenderedPageBreak/>
        <w:t>Chihomvu</w:t>
      </w:r>
      <w:proofErr w:type="spellEnd"/>
      <w:r w:rsidRPr="00234F31">
        <w:rPr>
          <w:rFonts w:asciiTheme="minorHAnsi" w:eastAsiaTheme="minorHAnsi" w:hAnsiTheme="minorHAnsi" w:cstheme="minorBidi"/>
        </w:rPr>
        <w:t>, P., Ganesan, A., Gibbons, S., Woollard, K., &amp; Hayes, M. A. (2024). Phytochemicals in drug discovery—A confluence of tradition and innovation. </w:t>
      </w:r>
      <w:r w:rsidRPr="00234F31">
        <w:rPr>
          <w:rFonts w:asciiTheme="minorHAnsi" w:eastAsiaTheme="minorHAnsi" w:hAnsiTheme="minorHAnsi" w:cstheme="minorBidi"/>
          <w:i/>
          <w:iCs/>
        </w:rPr>
        <w:t>International journal of molecular sciences</w:t>
      </w:r>
      <w:r w:rsidRPr="00234F31">
        <w:rPr>
          <w:rFonts w:asciiTheme="minorHAnsi" w:eastAsiaTheme="minorHAnsi" w:hAnsiTheme="minorHAnsi" w:cstheme="minorBidi"/>
        </w:rPr>
        <w:t>, </w:t>
      </w:r>
      <w:r w:rsidRPr="00234F31">
        <w:rPr>
          <w:rFonts w:asciiTheme="minorHAnsi" w:eastAsiaTheme="minorHAnsi" w:hAnsiTheme="minorHAnsi" w:cstheme="minorBidi"/>
          <w:i/>
          <w:iCs/>
        </w:rPr>
        <w:t>25</w:t>
      </w:r>
      <w:r w:rsidRPr="00234F31">
        <w:rPr>
          <w:rFonts w:asciiTheme="minorHAnsi" w:eastAsiaTheme="minorHAnsi" w:hAnsiTheme="minorHAnsi" w:cstheme="minorBidi"/>
        </w:rPr>
        <w:t>(16), 8792.</w:t>
      </w:r>
    </w:p>
    <w:p w14:paraId="4D5F847A"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Chukwuma, S. A., Ogbe, P. D., Appah, W. W., &amp; </w:t>
      </w:r>
      <w:proofErr w:type="spellStart"/>
      <w:r w:rsidRPr="00234F31">
        <w:rPr>
          <w:rFonts w:asciiTheme="minorHAnsi" w:eastAsiaTheme="minorHAnsi" w:hAnsiTheme="minorHAnsi" w:cstheme="minorBidi"/>
        </w:rPr>
        <w:t>Prohp</w:t>
      </w:r>
      <w:proofErr w:type="spellEnd"/>
      <w:r w:rsidRPr="00234F31">
        <w:rPr>
          <w:rFonts w:asciiTheme="minorHAnsi" w:eastAsiaTheme="minorHAnsi" w:hAnsiTheme="minorHAnsi" w:cstheme="minorBidi"/>
        </w:rPr>
        <w:t xml:space="preserve">, T.P. (2025). Petrol fumes induced liver toxicity in Wistar rats: The ameliorative potentials of </w:t>
      </w:r>
      <w:r w:rsidRPr="00234F31">
        <w:rPr>
          <w:rFonts w:asciiTheme="minorHAnsi" w:eastAsiaTheme="minorHAnsi" w:hAnsiTheme="minorHAnsi" w:cstheme="minorBidi"/>
          <w:i/>
          <w:iCs/>
        </w:rPr>
        <w:t>Rhizophora racemosa</w:t>
      </w:r>
      <w:r w:rsidRPr="00234F31">
        <w:rPr>
          <w:rFonts w:asciiTheme="minorHAnsi" w:eastAsiaTheme="minorHAnsi" w:hAnsiTheme="minorHAnsi" w:cstheme="minorBidi"/>
        </w:rPr>
        <w:t xml:space="preserve"> stem bark, </w:t>
      </w:r>
      <w:proofErr w:type="spellStart"/>
      <w:r w:rsidRPr="00234F31">
        <w:rPr>
          <w:rFonts w:asciiTheme="minorHAnsi" w:eastAsiaTheme="minorHAnsi" w:hAnsiTheme="minorHAnsi" w:cstheme="minorBidi"/>
          <w:i/>
          <w:iCs/>
        </w:rPr>
        <w:t>Bridelia</w:t>
      </w:r>
      <w:proofErr w:type="spellEnd"/>
      <w:r w:rsidRPr="00234F31">
        <w:rPr>
          <w:rFonts w:asciiTheme="minorHAnsi" w:eastAsiaTheme="minorHAnsi" w:hAnsiTheme="minorHAnsi" w:cstheme="minorBidi"/>
          <w:i/>
          <w:iCs/>
        </w:rPr>
        <w:t xml:space="preserve"> </w:t>
      </w:r>
      <w:proofErr w:type="spellStart"/>
      <w:r w:rsidRPr="00234F31">
        <w:rPr>
          <w:rFonts w:asciiTheme="minorHAnsi" w:eastAsiaTheme="minorHAnsi" w:hAnsiTheme="minorHAnsi" w:cstheme="minorBidi"/>
          <w:i/>
          <w:iCs/>
        </w:rPr>
        <w:t>ferruginea</w:t>
      </w:r>
      <w:proofErr w:type="spellEnd"/>
      <w:r w:rsidRPr="00234F31">
        <w:rPr>
          <w:rFonts w:asciiTheme="minorHAnsi" w:eastAsiaTheme="minorHAnsi" w:hAnsiTheme="minorHAnsi" w:cstheme="minorBidi"/>
        </w:rPr>
        <w:t xml:space="preserve">, and </w:t>
      </w:r>
      <w:r w:rsidRPr="00234F31">
        <w:rPr>
          <w:rFonts w:asciiTheme="minorHAnsi" w:eastAsiaTheme="minorHAnsi" w:hAnsiTheme="minorHAnsi" w:cstheme="minorBidi"/>
          <w:i/>
          <w:iCs/>
        </w:rPr>
        <w:t xml:space="preserve">Emilia </w:t>
      </w:r>
      <w:proofErr w:type="spellStart"/>
      <w:r w:rsidRPr="00234F31">
        <w:rPr>
          <w:rFonts w:asciiTheme="minorHAnsi" w:eastAsiaTheme="minorHAnsi" w:hAnsiTheme="minorHAnsi" w:cstheme="minorBidi"/>
          <w:i/>
          <w:iCs/>
        </w:rPr>
        <w:t>sonchifolia</w:t>
      </w:r>
      <w:proofErr w:type="spellEnd"/>
      <w:r w:rsidRPr="00234F31">
        <w:rPr>
          <w:rFonts w:asciiTheme="minorHAnsi" w:eastAsiaTheme="minorHAnsi" w:hAnsiTheme="minorHAnsi" w:cstheme="minorBidi"/>
        </w:rPr>
        <w:t xml:space="preserve"> leaves. </w:t>
      </w:r>
      <w:r w:rsidRPr="00234F31">
        <w:rPr>
          <w:rFonts w:asciiTheme="minorHAnsi" w:eastAsiaTheme="minorHAnsi" w:hAnsiTheme="minorHAnsi" w:cstheme="minorBidi"/>
          <w:i/>
          <w:iCs/>
        </w:rPr>
        <w:t>SIAR-Global Journal of Medicine &amp; Pharmaceutical Review, 1</w:t>
      </w:r>
      <w:r w:rsidRPr="00234F31">
        <w:rPr>
          <w:rFonts w:asciiTheme="minorHAnsi" w:eastAsiaTheme="minorHAnsi" w:hAnsiTheme="minorHAnsi" w:cstheme="minorBidi"/>
        </w:rPr>
        <w:t>(1).</w:t>
      </w:r>
    </w:p>
    <w:p w14:paraId="646A194E"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Cosme, F., Aires, A., Pinto, T., Oliveira, I., Vilela, A. &amp; Gonçalves, B. (2025). A comprehensive review of bioactive tannins in foods and beverages: functional properties, health benefits, and sensory qualities.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30</w:t>
      </w:r>
      <w:r w:rsidRPr="00234F31">
        <w:rPr>
          <w:rFonts w:asciiTheme="minorHAnsi" w:eastAsiaTheme="minorHAnsi" w:hAnsiTheme="minorHAnsi" w:cstheme="minorBidi"/>
        </w:rPr>
        <w:t>(4), 800.</w:t>
      </w:r>
    </w:p>
    <w:p w14:paraId="5559AF2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Dahibhate, N. L., Roy, U., &amp; Kumar, K. (2020). Phytochemical screening, antimicrobial and antioxidant activities of selected mangrove species. </w:t>
      </w:r>
      <w:r w:rsidRPr="00234F31">
        <w:rPr>
          <w:rFonts w:asciiTheme="minorHAnsi" w:eastAsiaTheme="minorHAnsi" w:hAnsiTheme="minorHAnsi" w:cstheme="minorBidi"/>
          <w:i/>
          <w:iCs/>
        </w:rPr>
        <w:t>Current Bioactive Compounds</w:t>
      </w:r>
      <w:r w:rsidRPr="00234F31">
        <w:rPr>
          <w:rFonts w:asciiTheme="minorHAnsi" w:eastAsiaTheme="minorHAnsi" w:hAnsiTheme="minorHAnsi" w:cstheme="minorBidi"/>
        </w:rPr>
        <w:t>, </w:t>
      </w:r>
      <w:r w:rsidRPr="00234F31">
        <w:rPr>
          <w:rFonts w:asciiTheme="minorHAnsi" w:eastAsiaTheme="minorHAnsi" w:hAnsiTheme="minorHAnsi" w:cstheme="minorBidi"/>
          <w:i/>
          <w:iCs/>
        </w:rPr>
        <w:t>16</w:t>
      </w:r>
      <w:r w:rsidRPr="00234F31">
        <w:rPr>
          <w:rFonts w:asciiTheme="minorHAnsi" w:eastAsiaTheme="minorHAnsi" w:hAnsiTheme="minorHAnsi" w:cstheme="minorBidi"/>
        </w:rPr>
        <w:t>(2), 152-163.</w:t>
      </w:r>
    </w:p>
    <w:p w14:paraId="6CA09778"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Deeh</w:t>
      </w:r>
      <w:proofErr w:type="spellEnd"/>
      <w:r w:rsidRPr="00234F31">
        <w:rPr>
          <w:rFonts w:asciiTheme="minorHAnsi" w:eastAsiaTheme="minorHAnsi" w:hAnsiTheme="minorHAnsi" w:cstheme="minorBidi"/>
        </w:rPr>
        <w:t xml:space="preserve">, P. B. D., Kim, M., Sathiyaseelan, A., Naveen, K. V., &amp; Wang, M. H. (2024). Phytochemical composition, antioxidant activity, and cytotoxicity of the aqueous extracts of Dracaena arborea and </w:t>
      </w:r>
      <w:proofErr w:type="spellStart"/>
      <w:r w:rsidRPr="00234F31">
        <w:rPr>
          <w:rFonts w:asciiTheme="minorHAnsi" w:eastAsiaTheme="minorHAnsi" w:hAnsiTheme="minorHAnsi" w:cstheme="minorBidi"/>
        </w:rPr>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In vitro and in silico studies. </w:t>
      </w:r>
      <w:r w:rsidRPr="00234F31">
        <w:rPr>
          <w:rFonts w:asciiTheme="minorHAnsi" w:eastAsiaTheme="minorHAnsi" w:hAnsiTheme="minorHAnsi" w:cstheme="minorBidi"/>
          <w:i/>
          <w:iCs/>
        </w:rPr>
        <w:t>South African Journal of Botany</w:t>
      </w:r>
      <w:r w:rsidRPr="00234F31">
        <w:rPr>
          <w:rFonts w:asciiTheme="minorHAnsi" w:eastAsiaTheme="minorHAnsi" w:hAnsiTheme="minorHAnsi" w:cstheme="minorBidi"/>
        </w:rPr>
        <w:t>, </w:t>
      </w:r>
      <w:r w:rsidRPr="00234F31">
        <w:rPr>
          <w:rFonts w:asciiTheme="minorHAnsi" w:eastAsiaTheme="minorHAnsi" w:hAnsiTheme="minorHAnsi" w:cstheme="minorBidi"/>
          <w:i/>
          <w:iCs/>
        </w:rPr>
        <w:t>173</w:t>
      </w:r>
      <w:r w:rsidRPr="00234F31">
        <w:rPr>
          <w:rFonts w:asciiTheme="minorHAnsi" w:eastAsiaTheme="minorHAnsi" w:hAnsiTheme="minorHAnsi" w:cstheme="minorBidi"/>
        </w:rPr>
        <w:t>, 46-59.</w:t>
      </w:r>
    </w:p>
    <w:p w14:paraId="67DFDAEA"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Derouen, K., Aleman, S., Travis, H., Hunt, J. P., Marr, A., </w:t>
      </w:r>
      <w:proofErr w:type="spellStart"/>
      <w:r w:rsidRPr="00234F31">
        <w:rPr>
          <w:rFonts w:asciiTheme="minorHAnsi" w:eastAsiaTheme="minorHAnsi" w:hAnsiTheme="minorHAnsi" w:cstheme="minorBidi"/>
        </w:rPr>
        <w:t>Greiffenstein</w:t>
      </w:r>
      <w:proofErr w:type="spellEnd"/>
      <w:r w:rsidRPr="00234F31">
        <w:rPr>
          <w:rFonts w:asciiTheme="minorHAnsi" w:eastAsiaTheme="minorHAnsi" w:hAnsiTheme="minorHAnsi" w:cstheme="minorBidi"/>
        </w:rPr>
        <w:t>, P. &amp; Smith, A. (2024). The impact of pre-trauma steroid use on wound healing and outcomes. </w:t>
      </w:r>
      <w:r w:rsidRPr="00234F31">
        <w:rPr>
          <w:rFonts w:asciiTheme="minorHAnsi" w:eastAsiaTheme="minorHAnsi" w:hAnsiTheme="minorHAnsi" w:cstheme="minorBidi"/>
          <w:i/>
          <w:iCs/>
        </w:rPr>
        <w:t>The American Surgeon™</w:t>
      </w:r>
      <w:r w:rsidRPr="00234F31">
        <w:rPr>
          <w:rFonts w:asciiTheme="minorHAnsi" w:eastAsiaTheme="minorHAnsi" w:hAnsiTheme="minorHAnsi" w:cstheme="minorBidi"/>
        </w:rPr>
        <w:t>, </w:t>
      </w:r>
      <w:r w:rsidRPr="00234F31">
        <w:rPr>
          <w:rFonts w:asciiTheme="minorHAnsi" w:eastAsiaTheme="minorHAnsi" w:hAnsiTheme="minorHAnsi" w:cstheme="minorBidi"/>
          <w:i/>
          <w:iCs/>
        </w:rPr>
        <w:t>90</w:t>
      </w:r>
      <w:r w:rsidRPr="00234F31">
        <w:rPr>
          <w:rFonts w:asciiTheme="minorHAnsi" w:eastAsiaTheme="minorHAnsi" w:hAnsiTheme="minorHAnsi" w:cstheme="minorBidi"/>
        </w:rPr>
        <w:t>(8), 2086-2088.</w:t>
      </w:r>
    </w:p>
    <w:p w14:paraId="11DE3AD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Devi, M., </w:t>
      </w:r>
      <w:proofErr w:type="spellStart"/>
      <w:r w:rsidRPr="00234F31">
        <w:rPr>
          <w:rFonts w:asciiTheme="minorHAnsi" w:eastAsiaTheme="minorHAnsi" w:hAnsiTheme="minorHAnsi" w:cstheme="minorBidi"/>
        </w:rPr>
        <w:t>Bamrah</w:t>
      </w:r>
      <w:proofErr w:type="spellEnd"/>
      <w:r w:rsidRPr="00234F31">
        <w:rPr>
          <w:rFonts w:asciiTheme="minorHAnsi" w:eastAsiaTheme="minorHAnsi" w:hAnsiTheme="minorHAnsi" w:cstheme="minorBidi"/>
        </w:rPr>
        <w:t>, P. K., Goyal, R., Choudhary, M. &amp; Chopra, H. (2024). Insights on the emerging therapeutic potential of terpenoids as anti-inflammatory agents: a scoping review. </w:t>
      </w:r>
      <w:r w:rsidRPr="00234F31">
        <w:rPr>
          <w:rFonts w:asciiTheme="minorHAnsi" w:eastAsiaTheme="minorHAnsi" w:hAnsiTheme="minorHAnsi" w:cstheme="minorBidi"/>
          <w:i/>
          <w:iCs/>
        </w:rPr>
        <w:t>Journal of Bio-X Research</w:t>
      </w:r>
      <w:r w:rsidRPr="00234F31">
        <w:rPr>
          <w:rFonts w:asciiTheme="minorHAnsi" w:eastAsiaTheme="minorHAnsi" w:hAnsiTheme="minorHAnsi" w:cstheme="minorBidi"/>
        </w:rPr>
        <w:t>, </w:t>
      </w:r>
      <w:r w:rsidRPr="00234F31">
        <w:rPr>
          <w:rFonts w:asciiTheme="minorHAnsi" w:eastAsiaTheme="minorHAnsi" w:hAnsiTheme="minorHAnsi" w:cstheme="minorBidi"/>
          <w:i/>
          <w:iCs/>
        </w:rPr>
        <w:t>7</w:t>
      </w:r>
      <w:r w:rsidRPr="00234F31">
        <w:rPr>
          <w:rFonts w:asciiTheme="minorHAnsi" w:eastAsiaTheme="minorHAnsi" w:hAnsiTheme="minorHAnsi" w:cstheme="minorBidi"/>
        </w:rPr>
        <w:t>, 0006.</w:t>
      </w:r>
    </w:p>
    <w:p w14:paraId="15834EC7"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Evans, W. C. (2009). </w:t>
      </w:r>
      <w:r w:rsidRPr="00E12A2B">
        <w:rPr>
          <w:rFonts w:asciiTheme="minorHAnsi" w:eastAsiaTheme="minorHAnsi" w:hAnsiTheme="minorHAnsi" w:cstheme="minorBidi"/>
          <w:i/>
          <w:iCs/>
        </w:rPr>
        <w:t>Trease and Evans' pharmacognosy</w:t>
      </w:r>
      <w:r w:rsidRPr="00E12A2B">
        <w:rPr>
          <w:rFonts w:asciiTheme="minorHAnsi" w:eastAsiaTheme="minorHAnsi" w:hAnsiTheme="minorHAnsi" w:cstheme="minorBidi"/>
        </w:rPr>
        <w:t>. Elsevier Health Sciences.</w:t>
      </w:r>
    </w:p>
    <w:p w14:paraId="6971DC84" w14:textId="77777777" w:rsidR="00E12A2B" w:rsidRPr="00B15653" w:rsidRDefault="00E12A2B" w:rsidP="00B15653">
      <w:pPr>
        <w:ind w:left="720" w:hanging="720"/>
        <w:rPr>
          <w:rFonts w:asciiTheme="minorHAnsi" w:eastAsiaTheme="minorHAnsi" w:hAnsiTheme="minorHAnsi" w:cstheme="minorBidi"/>
        </w:rPr>
      </w:pPr>
      <w:r w:rsidRPr="00B15653">
        <w:rPr>
          <w:rFonts w:asciiTheme="minorHAnsi" w:eastAsiaTheme="minorHAnsi" w:hAnsiTheme="minorHAnsi" w:cstheme="minorBidi"/>
        </w:rPr>
        <w:t>Harborne, A. J. (1998). </w:t>
      </w:r>
      <w:r w:rsidRPr="00B15653">
        <w:rPr>
          <w:rFonts w:asciiTheme="minorHAnsi" w:eastAsiaTheme="minorHAnsi" w:hAnsiTheme="minorHAnsi" w:cstheme="minorBidi"/>
          <w:i/>
          <w:iCs/>
        </w:rPr>
        <w:t>Phytochemical methods a guide to modern techniques of plant analysis</w:t>
      </w:r>
      <w:r w:rsidRPr="00B15653">
        <w:rPr>
          <w:rFonts w:asciiTheme="minorHAnsi" w:eastAsiaTheme="minorHAnsi" w:hAnsiTheme="minorHAnsi" w:cstheme="minorBidi"/>
        </w:rPr>
        <w:t>. springer science &amp; business media.</w:t>
      </w:r>
    </w:p>
    <w:p w14:paraId="5025A4F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Jonathan, A. A., &amp; Funmilola, A. S. (2014). Nutritional and anti-nutritional composition of </w:t>
      </w:r>
      <w:proofErr w:type="spellStart"/>
      <w:r w:rsidRPr="00234F31">
        <w:rPr>
          <w:rFonts w:asciiTheme="minorHAnsi" w:eastAsiaTheme="minorHAnsi" w:hAnsiTheme="minorHAnsi" w:cstheme="minorBidi"/>
        </w:rPr>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xml:space="preserve"> Benth (</w:t>
      </w:r>
      <w:proofErr w:type="spellStart"/>
      <w:r w:rsidRPr="00234F31">
        <w:rPr>
          <w:rFonts w:asciiTheme="minorHAnsi" w:eastAsiaTheme="minorHAnsi" w:hAnsiTheme="minorHAnsi" w:cstheme="minorBidi"/>
        </w:rPr>
        <w:t>Euphorbiaceae</w:t>
      </w:r>
      <w:proofErr w:type="spellEnd"/>
      <w:r w:rsidRPr="00234F31">
        <w:rPr>
          <w:rFonts w:asciiTheme="minorHAnsi" w:eastAsiaTheme="minorHAnsi" w:hAnsiTheme="minorHAnsi" w:cstheme="minorBidi"/>
        </w:rPr>
        <w:t>) stem bark sample. </w:t>
      </w:r>
      <w:r w:rsidRPr="00234F31">
        <w:rPr>
          <w:rFonts w:asciiTheme="minorHAnsi" w:eastAsiaTheme="minorHAnsi" w:hAnsiTheme="minorHAnsi" w:cstheme="minorBidi"/>
          <w:i/>
          <w:iCs/>
        </w:rPr>
        <w:t>International Journal of Scientific Research in Knowledge</w:t>
      </w:r>
      <w:r w:rsidRPr="00234F31">
        <w:rPr>
          <w:rFonts w:asciiTheme="minorHAnsi" w:eastAsiaTheme="minorHAnsi" w:hAnsiTheme="minorHAnsi" w:cstheme="minorBidi"/>
        </w:rPr>
        <w:t>, </w:t>
      </w:r>
      <w:r w:rsidRPr="00234F31">
        <w:rPr>
          <w:rFonts w:asciiTheme="minorHAnsi" w:eastAsiaTheme="minorHAnsi" w:hAnsiTheme="minorHAnsi" w:cstheme="minorBidi"/>
          <w:i/>
          <w:iCs/>
        </w:rPr>
        <w:t>2</w:t>
      </w:r>
      <w:r w:rsidRPr="00234F31">
        <w:rPr>
          <w:rFonts w:asciiTheme="minorHAnsi" w:eastAsiaTheme="minorHAnsi" w:hAnsiTheme="minorHAnsi" w:cstheme="minorBidi"/>
        </w:rPr>
        <w:t>(2), 92.</w:t>
      </w:r>
    </w:p>
    <w:p w14:paraId="4F35AE75"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Mishra, P., Rafi, Z., Faruqui, T., Mansoor, S., Ahmad, I., Ahmad, I.&amp; Saeed, M. (2024). Exploring the significance and cutting-edge applications of terpenes and terpenoid-derived inorganic nanoparticles. </w:t>
      </w:r>
      <w:r w:rsidRPr="00234F31">
        <w:rPr>
          <w:rFonts w:asciiTheme="minorHAnsi" w:eastAsiaTheme="minorHAnsi" w:hAnsiTheme="minorHAnsi" w:cstheme="minorBidi"/>
          <w:i/>
          <w:iCs/>
        </w:rPr>
        <w:t>Science of Advanced Materials</w:t>
      </w:r>
      <w:r w:rsidRPr="00234F31">
        <w:rPr>
          <w:rFonts w:asciiTheme="minorHAnsi" w:eastAsiaTheme="minorHAnsi" w:hAnsiTheme="minorHAnsi" w:cstheme="minorBidi"/>
        </w:rPr>
        <w:t>, </w:t>
      </w:r>
      <w:r w:rsidRPr="00234F31">
        <w:rPr>
          <w:rFonts w:asciiTheme="minorHAnsi" w:eastAsiaTheme="minorHAnsi" w:hAnsiTheme="minorHAnsi" w:cstheme="minorBidi"/>
          <w:i/>
          <w:iCs/>
        </w:rPr>
        <w:t>16</w:t>
      </w:r>
      <w:r w:rsidRPr="00234F31">
        <w:rPr>
          <w:rFonts w:asciiTheme="minorHAnsi" w:eastAsiaTheme="minorHAnsi" w:hAnsiTheme="minorHAnsi" w:cstheme="minorBidi"/>
        </w:rPr>
        <w:t>(6), 665-681.</w:t>
      </w:r>
    </w:p>
    <w:p w14:paraId="59729079"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Newman, D. J., &amp; Cragg, G. M. (2020). Natural products as sources of new drugs over the nearly four decades from 01/1981 to 09/2019. </w:t>
      </w:r>
      <w:r w:rsidRPr="00234F31">
        <w:rPr>
          <w:rFonts w:asciiTheme="minorHAnsi" w:eastAsiaTheme="minorHAnsi" w:hAnsiTheme="minorHAnsi" w:cstheme="minorBidi"/>
          <w:i/>
          <w:iCs/>
        </w:rPr>
        <w:t>Journal of natural products</w:t>
      </w:r>
      <w:r w:rsidRPr="00234F31">
        <w:rPr>
          <w:rFonts w:asciiTheme="minorHAnsi" w:eastAsiaTheme="minorHAnsi" w:hAnsiTheme="minorHAnsi" w:cstheme="minorBidi"/>
        </w:rPr>
        <w:t>, </w:t>
      </w:r>
      <w:r w:rsidRPr="00234F31">
        <w:rPr>
          <w:rFonts w:asciiTheme="minorHAnsi" w:eastAsiaTheme="minorHAnsi" w:hAnsiTheme="minorHAnsi" w:cstheme="minorBidi"/>
          <w:i/>
          <w:iCs/>
        </w:rPr>
        <w:t>83</w:t>
      </w:r>
      <w:r w:rsidRPr="00234F31">
        <w:rPr>
          <w:rFonts w:asciiTheme="minorHAnsi" w:eastAsiaTheme="minorHAnsi" w:hAnsiTheme="minorHAnsi" w:cstheme="minorBidi"/>
        </w:rPr>
        <w:t>(3), 770-803.</w:t>
      </w:r>
    </w:p>
    <w:p w14:paraId="1B1D6739" w14:textId="77777777" w:rsidR="00E12A2B" w:rsidRPr="00B15653" w:rsidRDefault="00E12A2B" w:rsidP="00B15653">
      <w:pPr>
        <w:ind w:left="720" w:hanging="720"/>
        <w:rPr>
          <w:rFonts w:asciiTheme="minorHAnsi" w:eastAsiaTheme="minorHAnsi" w:hAnsiTheme="minorHAnsi" w:cstheme="minorBidi"/>
        </w:rPr>
      </w:pPr>
      <w:r w:rsidRPr="00B15653">
        <w:rPr>
          <w:rFonts w:asciiTheme="minorHAnsi" w:eastAsiaTheme="minorHAnsi" w:hAnsiTheme="minorHAnsi" w:cstheme="minorBidi"/>
        </w:rPr>
        <w:t xml:space="preserve">Obadoni, B. O., &amp; Ochuko, P. O. (2002). Phytochemical studies and comparative efficacy of the crude extracts of some </w:t>
      </w:r>
      <w:proofErr w:type="spellStart"/>
      <w:r w:rsidRPr="00B15653">
        <w:rPr>
          <w:rFonts w:asciiTheme="minorHAnsi" w:eastAsiaTheme="minorHAnsi" w:hAnsiTheme="minorHAnsi" w:cstheme="minorBidi"/>
        </w:rPr>
        <w:t>haemostatic</w:t>
      </w:r>
      <w:proofErr w:type="spellEnd"/>
      <w:r w:rsidRPr="00B15653">
        <w:rPr>
          <w:rFonts w:asciiTheme="minorHAnsi" w:eastAsiaTheme="minorHAnsi" w:hAnsiTheme="minorHAnsi" w:cstheme="minorBidi"/>
        </w:rPr>
        <w:t xml:space="preserve"> plants in Edo and Delta States of Nigeria. </w:t>
      </w:r>
      <w:r w:rsidRPr="00B15653">
        <w:rPr>
          <w:rFonts w:asciiTheme="minorHAnsi" w:eastAsiaTheme="minorHAnsi" w:hAnsiTheme="minorHAnsi" w:cstheme="minorBidi"/>
          <w:i/>
          <w:iCs/>
        </w:rPr>
        <w:t>Global Journal of pure and applied sciences</w:t>
      </w:r>
      <w:r w:rsidRPr="00B15653">
        <w:rPr>
          <w:rFonts w:asciiTheme="minorHAnsi" w:eastAsiaTheme="minorHAnsi" w:hAnsiTheme="minorHAnsi" w:cstheme="minorBidi"/>
        </w:rPr>
        <w:t>, </w:t>
      </w:r>
      <w:r w:rsidRPr="00B15653">
        <w:rPr>
          <w:rFonts w:asciiTheme="minorHAnsi" w:eastAsiaTheme="minorHAnsi" w:hAnsiTheme="minorHAnsi" w:cstheme="minorBidi"/>
          <w:i/>
          <w:iCs/>
        </w:rPr>
        <w:t>8</w:t>
      </w:r>
      <w:r w:rsidRPr="00B15653">
        <w:rPr>
          <w:rFonts w:asciiTheme="minorHAnsi" w:eastAsiaTheme="minorHAnsi" w:hAnsiTheme="minorHAnsi" w:cstheme="minorBidi"/>
        </w:rPr>
        <w:t>(2), 203-208.</w:t>
      </w:r>
    </w:p>
    <w:p w14:paraId="520DB37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Ojo, B. A., </w:t>
      </w:r>
      <w:proofErr w:type="spellStart"/>
      <w:r w:rsidRPr="00234F31">
        <w:rPr>
          <w:rFonts w:asciiTheme="minorHAnsi" w:eastAsiaTheme="minorHAnsi" w:hAnsiTheme="minorHAnsi" w:cstheme="minorBidi"/>
        </w:rPr>
        <w:t>Adebolu</w:t>
      </w:r>
      <w:proofErr w:type="spellEnd"/>
      <w:r w:rsidRPr="00234F31">
        <w:rPr>
          <w:rFonts w:asciiTheme="minorHAnsi" w:eastAsiaTheme="minorHAnsi" w:hAnsiTheme="minorHAnsi" w:cstheme="minorBidi"/>
        </w:rPr>
        <w:t xml:space="preserve">, T. T., Ogundare, A. O., &amp; Oladejo, B. O. (2022). Phytochemical profile and antioxidant potential of a formulated herbal product from sorghum bicolor linn., curcuma longa linn., </w:t>
      </w:r>
      <w:proofErr w:type="spellStart"/>
      <w:r w:rsidRPr="00234F31">
        <w:rPr>
          <w:rFonts w:asciiTheme="minorHAnsi" w:eastAsiaTheme="minorHAnsi" w:hAnsiTheme="minorHAnsi" w:cstheme="minorBidi"/>
        </w:rPr>
        <w:lastRenderedPageBreak/>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benth</w:t>
      </w:r>
      <w:proofErr w:type="spellEnd"/>
      <w:r w:rsidRPr="00234F31">
        <w:rPr>
          <w:rFonts w:asciiTheme="minorHAnsi" w:eastAsiaTheme="minorHAnsi" w:hAnsiTheme="minorHAnsi" w:cstheme="minorBidi"/>
        </w:rPr>
        <w:t xml:space="preserve"> and honey. </w:t>
      </w:r>
      <w:r w:rsidRPr="00234F31">
        <w:rPr>
          <w:rFonts w:asciiTheme="minorHAnsi" w:eastAsiaTheme="minorHAnsi" w:hAnsiTheme="minorHAnsi" w:cstheme="minorBidi"/>
          <w:i/>
          <w:iCs/>
        </w:rPr>
        <w:t>International Research Journal of Pure and Applied Chemistry</w:t>
      </w:r>
      <w:r w:rsidRPr="00234F31">
        <w:rPr>
          <w:rFonts w:asciiTheme="minorHAnsi" w:eastAsiaTheme="minorHAnsi" w:hAnsiTheme="minorHAnsi" w:cstheme="minorBidi"/>
        </w:rPr>
        <w:t>, </w:t>
      </w:r>
      <w:r w:rsidRPr="00234F31">
        <w:rPr>
          <w:rFonts w:asciiTheme="minorHAnsi" w:eastAsiaTheme="minorHAnsi" w:hAnsiTheme="minorHAnsi" w:cstheme="minorBidi"/>
          <w:i/>
          <w:iCs/>
        </w:rPr>
        <w:t>23</w:t>
      </w:r>
      <w:r w:rsidRPr="00234F31">
        <w:rPr>
          <w:rFonts w:asciiTheme="minorHAnsi" w:eastAsiaTheme="minorHAnsi" w:hAnsiTheme="minorHAnsi" w:cstheme="minorBidi"/>
        </w:rPr>
        <w:t>(5), 45-59.</w:t>
      </w:r>
    </w:p>
    <w:p w14:paraId="72AA1007"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 xml:space="preserve">Okwu, D. E., &amp; </w:t>
      </w:r>
      <w:proofErr w:type="spellStart"/>
      <w:r w:rsidRPr="00E12A2B">
        <w:rPr>
          <w:rFonts w:asciiTheme="minorHAnsi" w:eastAsiaTheme="minorHAnsi" w:hAnsiTheme="minorHAnsi" w:cstheme="minorBidi"/>
        </w:rPr>
        <w:t>Iroabuchi</w:t>
      </w:r>
      <w:proofErr w:type="spellEnd"/>
      <w:r w:rsidRPr="00E12A2B">
        <w:rPr>
          <w:rFonts w:asciiTheme="minorHAnsi" w:eastAsiaTheme="minorHAnsi" w:hAnsiTheme="minorHAnsi" w:cstheme="minorBidi"/>
        </w:rPr>
        <w:t xml:space="preserve">, F. (2009). Phytochemical composition and biological activities of </w:t>
      </w:r>
      <w:proofErr w:type="spellStart"/>
      <w:r w:rsidRPr="00E12A2B">
        <w:rPr>
          <w:rFonts w:asciiTheme="minorHAnsi" w:eastAsiaTheme="minorHAnsi" w:hAnsiTheme="minorHAnsi" w:cstheme="minorBidi"/>
        </w:rPr>
        <w:t>Uvaria</w:t>
      </w:r>
      <w:proofErr w:type="spellEnd"/>
      <w:r w:rsidRPr="00E12A2B">
        <w:rPr>
          <w:rFonts w:asciiTheme="minorHAnsi" w:eastAsiaTheme="minorHAnsi" w:hAnsiTheme="minorHAnsi" w:cstheme="minorBidi"/>
        </w:rPr>
        <w:t xml:space="preserve"> </w:t>
      </w:r>
      <w:proofErr w:type="spellStart"/>
      <w:r w:rsidRPr="00E12A2B">
        <w:rPr>
          <w:rFonts w:asciiTheme="minorHAnsi" w:eastAsiaTheme="minorHAnsi" w:hAnsiTheme="minorHAnsi" w:cstheme="minorBidi"/>
        </w:rPr>
        <w:t>chamae</w:t>
      </w:r>
      <w:proofErr w:type="spellEnd"/>
      <w:r w:rsidRPr="00E12A2B">
        <w:rPr>
          <w:rFonts w:asciiTheme="minorHAnsi" w:eastAsiaTheme="minorHAnsi" w:hAnsiTheme="minorHAnsi" w:cstheme="minorBidi"/>
        </w:rPr>
        <w:t xml:space="preserve"> and </w:t>
      </w:r>
      <w:proofErr w:type="spellStart"/>
      <w:r w:rsidRPr="00E12A2B">
        <w:rPr>
          <w:rFonts w:asciiTheme="minorHAnsi" w:eastAsiaTheme="minorHAnsi" w:hAnsiTheme="minorHAnsi" w:cstheme="minorBidi"/>
        </w:rPr>
        <w:t>Clerodendoron</w:t>
      </w:r>
      <w:proofErr w:type="spellEnd"/>
      <w:r w:rsidRPr="00E12A2B">
        <w:rPr>
          <w:rFonts w:asciiTheme="minorHAnsi" w:eastAsiaTheme="minorHAnsi" w:hAnsiTheme="minorHAnsi" w:cstheme="minorBidi"/>
        </w:rPr>
        <w:t xml:space="preserve"> splendens. </w:t>
      </w:r>
      <w:r w:rsidRPr="00E12A2B">
        <w:rPr>
          <w:rFonts w:asciiTheme="minorHAnsi" w:eastAsiaTheme="minorHAnsi" w:hAnsiTheme="minorHAnsi" w:cstheme="minorBidi"/>
          <w:i/>
          <w:iCs/>
        </w:rPr>
        <w:t>Journal of Chemistry</w:t>
      </w:r>
      <w:r w:rsidRPr="00E12A2B">
        <w:rPr>
          <w:rFonts w:asciiTheme="minorHAnsi" w:eastAsiaTheme="minorHAnsi" w:hAnsiTheme="minorHAnsi" w:cstheme="minorBidi"/>
        </w:rPr>
        <w:t>, </w:t>
      </w:r>
      <w:r w:rsidRPr="00E12A2B">
        <w:rPr>
          <w:rFonts w:asciiTheme="minorHAnsi" w:eastAsiaTheme="minorHAnsi" w:hAnsiTheme="minorHAnsi" w:cstheme="minorBidi"/>
          <w:i/>
          <w:iCs/>
        </w:rPr>
        <w:t>6</w:t>
      </w:r>
      <w:r w:rsidRPr="00E12A2B">
        <w:rPr>
          <w:rFonts w:asciiTheme="minorHAnsi" w:eastAsiaTheme="minorHAnsi" w:hAnsiTheme="minorHAnsi" w:cstheme="minorBidi"/>
        </w:rPr>
        <w:t>(2), 553-560.</w:t>
      </w:r>
    </w:p>
    <w:p w14:paraId="0135C0CD"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Sadeer, N. B., Zengin, G., &amp; </w:t>
      </w:r>
      <w:proofErr w:type="spellStart"/>
      <w:r w:rsidRPr="00234F31">
        <w:rPr>
          <w:rFonts w:asciiTheme="minorHAnsi" w:eastAsiaTheme="minorHAnsi" w:hAnsiTheme="minorHAnsi" w:cstheme="minorBidi"/>
        </w:rPr>
        <w:t>Mahomoodally</w:t>
      </w:r>
      <w:proofErr w:type="spellEnd"/>
      <w:r w:rsidRPr="00234F31">
        <w:rPr>
          <w:rFonts w:asciiTheme="minorHAnsi" w:eastAsiaTheme="minorHAnsi" w:hAnsiTheme="minorHAnsi" w:cstheme="minorBidi"/>
        </w:rPr>
        <w:t>, M. F. (2023). Biotechnological applications of mangrove plants and their isolated compounds in medicine-a mechanistic overview. </w:t>
      </w:r>
      <w:r w:rsidRPr="00234F31">
        <w:rPr>
          <w:rFonts w:asciiTheme="minorHAnsi" w:eastAsiaTheme="minorHAnsi" w:hAnsiTheme="minorHAnsi" w:cstheme="minorBidi"/>
          <w:i/>
          <w:iCs/>
        </w:rPr>
        <w:t>Critical reviews in biotechnology</w:t>
      </w:r>
      <w:r w:rsidRPr="00234F31">
        <w:rPr>
          <w:rFonts w:asciiTheme="minorHAnsi" w:eastAsiaTheme="minorHAnsi" w:hAnsiTheme="minorHAnsi" w:cstheme="minorBidi"/>
        </w:rPr>
        <w:t>, </w:t>
      </w:r>
      <w:r w:rsidRPr="00234F31">
        <w:rPr>
          <w:rFonts w:asciiTheme="minorHAnsi" w:eastAsiaTheme="minorHAnsi" w:hAnsiTheme="minorHAnsi" w:cstheme="minorBidi"/>
          <w:i/>
          <w:iCs/>
        </w:rPr>
        <w:t>43</w:t>
      </w:r>
      <w:r w:rsidRPr="00234F31">
        <w:rPr>
          <w:rFonts w:asciiTheme="minorHAnsi" w:eastAsiaTheme="minorHAnsi" w:hAnsiTheme="minorHAnsi" w:cstheme="minorBidi"/>
        </w:rPr>
        <w:t>(3), 393-414.</w:t>
      </w:r>
    </w:p>
    <w:p w14:paraId="06322D73"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Shen, L., Luo, H., Fan, L., Tian, X., Tang, A., Wu, X. &amp; Su, Z. (2023). Potential immunoregulatory mechanism of plant saponins: a review.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29</w:t>
      </w:r>
      <w:r w:rsidRPr="00234F31">
        <w:rPr>
          <w:rFonts w:asciiTheme="minorHAnsi" w:eastAsiaTheme="minorHAnsi" w:hAnsiTheme="minorHAnsi" w:cstheme="minorBidi"/>
        </w:rPr>
        <w:t>(1), 113.</w:t>
      </w:r>
    </w:p>
    <w:p w14:paraId="4E06585D" w14:textId="77777777" w:rsidR="00E12A2B" w:rsidRPr="00B15653" w:rsidRDefault="00E12A2B" w:rsidP="00B15653">
      <w:pPr>
        <w:ind w:left="720" w:hanging="720"/>
        <w:rPr>
          <w:rFonts w:asciiTheme="minorHAnsi" w:eastAsiaTheme="minorHAnsi" w:hAnsiTheme="minorHAnsi" w:cstheme="minorBidi"/>
        </w:rPr>
      </w:pPr>
      <w:r w:rsidRPr="00B15653">
        <w:rPr>
          <w:rFonts w:asciiTheme="minorHAnsi" w:eastAsiaTheme="minorHAnsi" w:hAnsiTheme="minorHAnsi" w:cstheme="minorBidi"/>
        </w:rPr>
        <w:t xml:space="preserve">Singleton, V. L., </w:t>
      </w:r>
      <w:proofErr w:type="spellStart"/>
      <w:r w:rsidRPr="00B15653">
        <w:rPr>
          <w:rFonts w:asciiTheme="minorHAnsi" w:eastAsiaTheme="minorHAnsi" w:hAnsiTheme="minorHAnsi" w:cstheme="minorBidi"/>
        </w:rPr>
        <w:t>Orthofer</w:t>
      </w:r>
      <w:proofErr w:type="spellEnd"/>
      <w:r w:rsidRPr="00B15653">
        <w:rPr>
          <w:rFonts w:asciiTheme="minorHAnsi" w:eastAsiaTheme="minorHAnsi" w:hAnsiTheme="minorHAnsi" w:cstheme="minorBidi"/>
        </w:rPr>
        <w:t xml:space="preserve">, R., &amp; </w:t>
      </w:r>
      <w:proofErr w:type="spellStart"/>
      <w:r w:rsidRPr="00B15653">
        <w:rPr>
          <w:rFonts w:asciiTheme="minorHAnsi" w:eastAsiaTheme="minorHAnsi" w:hAnsiTheme="minorHAnsi" w:cstheme="minorBidi"/>
        </w:rPr>
        <w:t>Lamuela-Raventós</w:t>
      </w:r>
      <w:proofErr w:type="spellEnd"/>
      <w:r w:rsidRPr="00B15653">
        <w:rPr>
          <w:rFonts w:asciiTheme="minorHAnsi" w:eastAsiaTheme="minorHAnsi" w:hAnsiTheme="minorHAnsi" w:cstheme="minorBidi"/>
        </w:rPr>
        <w:t xml:space="preserve">, R. M. (1999). [14] Analysis of total phenols and other oxidation substrates and antioxidants by means of </w:t>
      </w:r>
      <w:proofErr w:type="spellStart"/>
      <w:r w:rsidRPr="00B15653">
        <w:rPr>
          <w:rFonts w:asciiTheme="minorHAnsi" w:eastAsiaTheme="minorHAnsi" w:hAnsiTheme="minorHAnsi" w:cstheme="minorBidi"/>
        </w:rPr>
        <w:t>folin-ciocalteu</w:t>
      </w:r>
      <w:proofErr w:type="spellEnd"/>
      <w:r w:rsidRPr="00B15653">
        <w:rPr>
          <w:rFonts w:asciiTheme="minorHAnsi" w:eastAsiaTheme="minorHAnsi" w:hAnsiTheme="minorHAnsi" w:cstheme="minorBidi"/>
        </w:rPr>
        <w:t xml:space="preserve"> reagent. In </w:t>
      </w:r>
      <w:r w:rsidRPr="00B15653">
        <w:rPr>
          <w:rFonts w:asciiTheme="minorHAnsi" w:eastAsiaTheme="minorHAnsi" w:hAnsiTheme="minorHAnsi" w:cstheme="minorBidi"/>
          <w:i/>
          <w:iCs/>
        </w:rPr>
        <w:t>Methods in enzymology</w:t>
      </w:r>
      <w:r w:rsidRPr="00B15653">
        <w:rPr>
          <w:rFonts w:asciiTheme="minorHAnsi" w:eastAsiaTheme="minorHAnsi" w:hAnsiTheme="minorHAnsi" w:cstheme="minorBidi"/>
        </w:rPr>
        <w:t> (Vol. 299, pp. 152-178). Academic press.</w:t>
      </w:r>
    </w:p>
    <w:p w14:paraId="6478C6FA"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Uche, M. E., Chinyere, C. G., </w:t>
      </w:r>
      <w:proofErr w:type="spellStart"/>
      <w:r w:rsidRPr="00234F31">
        <w:rPr>
          <w:rFonts w:asciiTheme="minorHAnsi" w:eastAsiaTheme="minorHAnsi" w:hAnsiTheme="minorHAnsi" w:cstheme="minorBidi"/>
        </w:rPr>
        <w:t>Ekweogu</w:t>
      </w:r>
      <w:proofErr w:type="spellEnd"/>
      <w:r w:rsidRPr="00234F31">
        <w:rPr>
          <w:rFonts w:asciiTheme="minorHAnsi" w:eastAsiaTheme="minorHAnsi" w:hAnsiTheme="minorHAnsi" w:cstheme="minorBidi"/>
        </w:rPr>
        <w:t xml:space="preserve">, C. N., Nwankpa, P., &amp; </w:t>
      </w:r>
      <w:proofErr w:type="spellStart"/>
      <w:r w:rsidRPr="00234F31">
        <w:rPr>
          <w:rFonts w:asciiTheme="minorHAnsi" w:eastAsiaTheme="minorHAnsi" w:hAnsiTheme="minorHAnsi" w:cstheme="minorBidi"/>
        </w:rPr>
        <w:t>Ugbogu</w:t>
      </w:r>
      <w:proofErr w:type="spellEnd"/>
      <w:r w:rsidRPr="00234F31">
        <w:rPr>
          <w:rFonts w:asciiTheme="minorHAnsi" w:eastAsiaTheme="minorHAnsi" w:hAnsiTheme="minorHAnsi" w:cstheme="minorBidi"/>
        </w:rPr>
        <w:t xml:space="preserve">, E. A. (2024). Phytochemical analysis, toxicity assessment, and wound healing properties of Emilia </w:t>
      </w:r>
      <w:proofErr w:type="spellStart"/>
      <w:r w:rsidRPr="00234F31">
        <w:rPr>
          <w:rFonts w:asciiTheme="minorHAnsi" w:eastAsiaTheme="minorHAnsi" w:hAnsiTheme="minorHAnsi" w:cstheme="minorBidi"/>
        </w:rPr>
        <w:t>sonchifolia</w:t>
      </w:r>
      <w:proofErr w:type="spellEnd"/>
      <w:r w:rsidRPr="00234F31">
        <w:rPr>
          <w:rFonts w:asciiTheme="minorHAnsi" w:eastAsiaTheme="minorHAnsi" w:hAnsiTheme="minorHAnsi" w:cstheme="minorBidi"/>
        </w:rPr>
        <w:t xml:space="preserve"> L. leaf extract in rats. </w:t>
      </w:r>
      <w:r w:rsidRPr="00234F31">
        <w:rPr>
          <w:rFonts w:asciiTheme="minorHAnsi" w:eastAsiaTheme="minorHAnsi" w:hAnsiTheme="minorHAnsi" w:cstheme="minorBidi"/>
          <w:i/>
          <w:iCs/>
        </w:rPr>
        <w:t>South African Journal of Botany</w:t>
      </w:r>
      <w:r w:rsidRPr="00234F31">
        <w:rPr>
          <w:rFonts w:asciiTheme="minorHAnsi" w:eastAsiaTheme="minorHAnsi" w:hAnsiTheme="minorHAnsi" w:cstheme="minorBidi"/>
        </w:rPr>
        <w:t>, </w:t>
      </w:r>
      <w:r w:rsidRPr="00234F31">
        <w:rPr>
          <w:rFonts w:asciiTheme="minorHAnsi" w:eastAsiaTheme="minorHAnsi" w:hAnsiTheme="minorHAnsi" w:cstheme="minorBidi"/>
          <w:i/>
          <w:iCs/>
        </w:rPr>
        <w:t>172</w:t>
      </w:r>
      <w:r w:rsidRPr="00234F31">
        <w:rPr>
          <w:rFonts w:asciiTheme="minorHAnsi" w:eastAsiaTheme="minorHAnsi" w:hAnsiTheme="minorHAnsi" w:cstheme="minorBidi"/>
        </w:rPr>
        <w:t>, 736-746.</w:t>
      </w:r>
    </w:p>
    <w:p w14:paraId="08764196"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Udeozo, I., Okafor, G., Ike, O., &amp; Eze, E. (2018). The efficacy of Rhizophora racemosa wood: An important study. </w:t>
      </w:r>
      <w:r w:rsidRPr="00234F31">
        <w:rPr>
          <w:rFonts w:asciiTheme="minorHAnsi" w:eastAsiaTheme="minorHAnsi" w:hAnsiTheme="minorHAnsi" w:cstheme="minorBidi"/>
          <w:bCs/>
          <w:i/>
        </w:rPr>
        <w:t>FUW Trends in Science &amp; Technology Journal</w:t>
      </w:r>
      <w:r w:rsidRPr="00234F31">
        <w:rPr>
          <w:rFonts w:asciiTheme="minorHAnsi" w:eastAsiaTheme="minorHAnsi" w:hAnsiTheme="minorHAnsi" w:cstheme="minorBidi"/>
          <w:i/>
          <w:iCs/>
        </w:rPr>
        <w:t xml:space="preserve"> 3</w:t>
      </w:r>
      <w:r w:rsidRPr="00234F31">
        <w:rPr>
          <w:rFonts w:asciiTheme="minorHAnsi" w:eastAsiaTheme="minorHAnsi" w:hAnsiTheme="minorHAnsi" w:cstheme="minorBidi"/>
        </w:rPr>
        <w:t>, 977-980.</w:t>
      </w:r>
    </w:p>
    <w:p w14:paraId="3BBEC606"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Ugwoke, G., </w:t>
      </w:r>
      <w:proofErr w:type="spellStart"/>
      <w:r w:rsidRPr="00234F31">
        <w:rPr>
          <w:rFonts w:asciiTheme="minorHAnsi" w:eastAsiaTheme="minorHAnsi" w:hAnsiTheme="minorHAnsi" w:cstheme="minorBidi"/>
        </w:rPr>
        <w:t>Ikoro</w:t>
      </w:r>
      <w:proofErr w:type="spellEnd"/>
      <w:r w:rsidRPr="00234F31">
        <w:rPr>
          <w:rFonts w:asciiTheme="minorHAnsi" w:eastAsiaTheme="minorHAnsi" w:hAnsiTheme="minorHAnsi" w:cstheme="minorBidi"/>
        </w:rPr>
        <w:t xml:space="preserve">, N., </w:t>
      </w:r>
      <w:proofErr w:type="spellStart"/>
      <w:r w:rsidRPr="00234F31">
        <w:rPr>
          <w:rFonts w:asciiTheme="minorHAnsi" w:eastAsiaTheme="minorHAnsi" w:hAnsiTheme="minorHAnsi" w:cstheme="minorBidi"/>
        </w:rPr>
        <w:t>Esenwah</w:t>
      </w:r>
      <w:proofErr w:type="spellEnd"/>
      <w:r w:rsidRPr="00234F31">
        <w:rPr>
          <w:rFonts w:asciiTheme="minorHAnsi" w:eastAsiaTheme="minorHAnsi" w:hAnsiTheme="minorHAnsi" w:cstheme="minorBidi"/>
        </w:rPr>
        <w:t xml:space="preserve">, E., </w:t>
      </w:r>
      <w:proofErr w:type="spellStart"/>
      <w:r w:rsidRPr="00234F31">
        <w:rPr>
          <w:rFonts w:asciiTheme="minorHAnsi" w:eastAsiaTheme="minorHAnsi" w:hAnsiTheme="minorHAnsi" w:cstheme="minorBidi"/>
        </w:rPr>
        <w:t>Azuamah</w:t>
      </w:r>
      <w:proofErr w:type="spellEnd"/>
      <w:r w:rsidRPr="00234F31">
        <w:rPr>
          <w:rFonts w:asciiTheme="minorHAnsi" w:eastAsiaTheme="minorHAnsi" w:hAnsiTheme="minorHAnsi" w:cstheme="minorBidi"/>
        </w:rPr>
        <w:t xml:space="preserve">, Y. C., </w:t>
      </w:r>
      <w:proofErr w:type="spellStart"/>
      <w:r w:rsidRPr="00234F31">
        <w:rPr>
          <w:rFonts w:asciiTheme="minorHAnsi" w:eastAsiaTheme="minorHAnsi" w:hAnsiTheme="minorHAnsi" w:cstheme="minorBidi"/>
        </w:rPr>
        <w:t>Megwas</w:t>
      </w:r>
      <w:proofErr w:type="spellEnd"/>
      <w:r w:rsidRPr="00234F31">
        <w:rPr>
          <w:rFonts w:asciiTheme="minorHAnsi" w:eastAsiaTheme="minorHAnsi" w:hAnsiTheme="minorHAnsi" w:cstheme="minorBidi"/>
        </w:rPr>
        <w:t xml:space="preserve">, A. U., </w:t>
      </w:r>
      <w:proofErr w:type="spellStart"/>
      <w:r w:rsidRPr="00234F31">
        <w:rPr>
          <w:rFonts w:asciiTheme="minorHAnsi" w:eastAsiaTheme="minorHAnsi" w:hAnsiTheme="minorHAnsi" w:cstheme="minorBidi"/>
        </w:rPr>
        <w:t>Nwakamma</w:t>
      </w:r>
      <w:proofErr w:type="spellEnd"/>
      <w:r w:rsidRPr="00234F31">
        <w:rPr>
          <w:rFonts w:asciiTheme="minorHAnsi" w:eastAsiaTheme="minorHAnsi" w:hAnsiTheme="minorHAnsi" w:cstheme="minorBidi"/>
        </w:rPr>
        <w:t xml:space="preserve">, G. I., ... &amp; </w:t>
      </w:r>
      <w:proofErr w:type="spellStart"/>
      <w:r w:rsidRPr="00234F31">
        <w:rPr>
          <w:rFonts w:asciiTheme="minorHAnsi" w:eastAsiaTheme="minorHAnsi" w:hAnsiTheme="minorHAnsi" w:cstheme="minorBidi"/>
        </w:rPr>
        <w:t>Umunnakwe</w:t>
      </w:r>
      <w:proofErr w:type="spellEnd"/>
      <w:r w:rsidRPr="00234F31">
        <w:rPr>
          <w:rFonts w:asciiTheme="minorHAnsi" w:eastAsiaTheme="minorHAnsi" w:hAnsiTheme="minorHAnsi" w:cstheme="minorBidi"/>
        </w:rPr>
        <w:t xml:space="preserve">, O. L. (2021). Comparative analysis of the antibacterial effects of Emilia </w:t>
      </w:r>
      <w:proofErr w:type="spellStart"/>
      <w:r w:rsidRPr="00234F31">
        <w:rPr>
          <w:rFonts w:asciiTheme="minorHAnsi" w:eastAsiaTheme="minorHAnsi" w:hAnsiTheme="minorHAnsi" w:cstheme="minorBidi"/>
        </w:rPr>
        <w:t>sonchifolia</w:t>
      </w:r>
      <w:proofErr w:type="spellEnd"/>
      <w:r w:rsidRPr="00234F31">
        <w:rPr>
          <w:rFonts w:asciiTheme="minorHAnsi" w:eastAsiaTheme="minorHAnsi" w:hAnsiTheme="minorHAnsi" w:cstheme="minorBidi"/>
        </w:rPr>
        <w:t xml:space="preserve"> (Tassel Flower) and selected antibiotics on Ocular Bacteria, in vitro</w:t>
      </w:r>
      <w:r w:rsidRPr="00234F31">
        <w:rPr>
          <w:rFonts w:asciiTheme="minorHAnsi" w:eastAsiaTheme="minorHAnsi" w:hAnsiTheme="minorHAnsi" w:cstheme="minorBidi"/>
          <w:i/>
        </w:rPr>
        <w:t>.  International Journal of Health Sciences and Research </w:t>
      </w:r>
      <w:r w:rsidRPr="00234F31">
        <w:rPr>
          <w:rFonts w:asciiTheme="minorHAnsi" w:eastAsiaTheme="minorHAnsi" w:hAnsiTheme="minorHAnsi" w:cstheme="minorBidi"/>
          <w:i/>
          <w:iCs/>
        </w:rPr>
        <w:t>11</w:t>
      </w:r>
      <w:r w:rsidRPr="00234F31">
        <w:rPr>
          <w:rFonts w:asciiTheme="minorHAnsi" w:eastAsiaTheme="minorHAnsi" w:hAnsiTheme="minorHAnsi" w:cstheme="minorBidi"/>
        </w:rPr>
        <w:t>, 61-8.</w:t>
      </w:r>
    </w:p>
    <w:p w14:paraId="20BFA64E" w14:textId="77777777" w:rsidR="00E12A2B" w:rsidRPr="00234F31" w:rsidRDefault="00E12A2B" w:rsidP="00234F31">
      <w:pPr>
        <w:ind w:left="720" w:hanging="720"/>
        <w:rPr>
          <w:rFonts w:ascii="Arial" w:eastAsiaTheme="minorHAnsi" w:hAnsi="Arial" w:cs="Arial"/>
          <w:color w:val="222222"/>
          <w:sz w:val="20"/>
          <w:szCs w:val="20"/>
          <w:shd w:val="clear" w:color="auto" w:fill="FFFFFF"/>
        </w:rPr>
      </w:pPr>
      <w:r w:rsidRPr="00234F31">
        <w:rPr>
          <w:rFonts w:ascii="Arial" w:eastAsiaTheme="minorHAnsi" w:hAnsi="Arial" w:cs="Arial"/>
          <w:color w:val="222222"/>
          <w:sz w:val="20"/>
          <w:szCs w:val="20"/>
          <w:shd w:val="clear" w:color="auto" w:fill="FFFFFF"/>
        </w:rPr>
        <w:t>Yadav, G., &amp; Meena, M. (2021). Bioprospecting of endophytes in medicinal plants of Thar Desert: An attractive resource for biopharmaceuticals. </w:t>
      </w:r>
      <w:r w:rsidRPr="00234F31">
        <w:rPr>
          <w:rFonts w:ascii="Arial" w:eastAsiaTheme="minorHAnsi" w:hAnsi="Arial" w:cs="Arial"/>
          <w:i/>
          <w:iCs/>
          <w:color w:val="222222"/>
          <w:sz w:val="20"/>
          <w:szCs w:val="20"/>
          <w:shd w:val="clear" w:color="auto" w:fill="FFFFFF"/>
        </w:rPr>
        <w:t>Biotechnology Reports</w:t>
      </w:r>
      <w:r w:rsidRPr="00234F31">
        <w:rPr>
          <w:rFonts w:ascii="Arial" w:eastAsiaTheme="minorHAnsi" w:hAnsi="Arial" w:cs="Arial"/>
          <w:color w:val="222222"/>
          <w:sz w:val="20"/>
          <w:szCs w:val="20"/>
          <w:shd w:val="clear" w:color="auto" w:fill="FFFFFF"/>
        </w:rPr>
        <w:t>, </w:t>
      </w:r>
      <w:r w:rsidRPr="00234F31">
        <w:rPr>
          <w:rFonts w:ascii="Arial" w:eastAsiaTheme="minorHAnsi" w:hAnsi="Arial" w:cs="Arial"/>
          <w:i/>
          <w:iCs/>
          <w:color w:val="222222"/>
          <w:sz w:val="20"/>
          <w:szCs w:val="20"/>
          <w:shd w:val="clear" w:color="auto" w:fill="FFFFFF"/>
        </w:rPr>
        <w:t>30</w:t>
      </w:r>
      <w:r w:rsidRPr="00234F31">
        <w:rPr>
          <w:rFonts w:ascii="Arial" w:eastAsiaTheme="minorHAnsi" w:hAnsi="Arial" w:cs="Arial"/>
          <w:color w:val="222222"/>
          <w:sz w:val="20"/>
          <w:szCs w:val="20"/>
          <w:shd w:val="clear" w:color="auto" w:fill="FFFFFF"/>
        </w:rPr>
        <w:t>, e00629.</w:t>
      </w:r>
    </w:p>
    <w:p w14:paraId="735BB4CE" w14:textId="77777777" w:rsidR="00E12A2B"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Yan, Y., Li, X., Zhang, C., </w:t>
      </w:r>
      <w:proofErr w:type="spellStart"/>
      <w:r w:rsidRPr="00234F31">
        <w:rPr>
          <w:rFonts w:asciiTheme="minorHAnsi" w:eastAsiaTheme="minorHAnsi" w:hAnsiTheme="minorHAnsi" w:cstheme="minorBidi"/>
        </w:rPr>
        <w:t>Lv</w:t>
      </w:r>
      <w:proofErr w:type="spellEnd"/>
      <w:r w:rsidRPr="00234F31">
        <w:rPr>
          <w:rFonts w:asciiTheme="minorHAnsi" w:eastAsiaTheme="minorHAnsi" w:hAnsiTheme="minorHAnsi" w:cstheme="minorBidi"/>
        </w:rPr>
        <w:t>, L., Gao, B., &amp; Li, M. (2021). Research progress on antibacterial activities and mechanisms of natural alkaloids: A review. </w:t>
      </w:r>
      <w:r w:rsidRPr="00234F31">
        <w:rPr>
          <w:rFonts w:asciiTheme="minorHAnsi" w:eastAsiaTheme="minorHAnsi" w:hAnsiTheme="minorHAnsi" w:cstheme="minorBidi"/>
          <w:i/>
          <w:iCs/>
        </w:rPr>
        <w:t>Antibiotics</w:t>
      </w:r>
      <w:r w:rsidRPr="00234F31">
        <w:rPr>
          <w:rFonts w:asciiTheme="minorHAnsi" w:eastAsiaTheme="minorHAnsi" w:hAnsiTheme="minorHAnsi" w:cstheme="minorBidi"/>
        </w:rPr>
        <w:t>, </w:t>
      </w:r>
      <w:r w:rsidRPr="00234F31">
        <w:rPr>
          <w:rFonts w:asciiTheme="minorHAnsi" w:eastAsiaTheme="minorHAnsi" w:hAnsiTheme="minorHAnsi" w:cstheme="minorBidi"/>
          <w:i/>
          <w:iCs/>
        </w:rPr>
        <w:t>10</w:t>
      </w:r>
      <w:r w:rsidRPr="00234F31">
        <w:rPr>
          <w:rFonts w:asciiTheme="minorHAnsi" w:eastAsiaTheme="minorHAnsi" w:hAnsiTheme="minorHAnsi" w:cstheme="minorBidi"/>
        </w:rPr>
        <w:t>(3), 318.</w:t>
      </w:r>
    </w:p>
    <w:p w14:paraId="20344510"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Yeboah, G. N., Owusu, F. W. A., Archer, M. A., </w:t>
      </w:r>
      <w:proofErr w:type="spellStart"/>
      <w:r w:rsidRPr="00234F31">
        <w:rPr>
          <w:rFonts w:asciiTheme="minorHAnsi" w:eastAsiaTheme="minorHAnsi" w:hAnsiTheme="minorHAnsi" w:cstheme="minorBidi"/>
        </w:rPr>
        <w:t>Kyene</w:t>
      </w:r>
      <w:proofErr w:type="spellEnd"/>
      <w:r w:rsidRPr="00234F31">
        <w:rPr>
          <w:rFonts w:asciiTheme="minorHAnsi" w:eastAsiaTheme="minorHAnsi" w:hAnsiTheme="minorHAnsi" w:cstheme="minorBidi"/>
        </w:rPr>
        <w:t xml:space="preserve">, M. O., </w:t>
      </w:r>
      <w:proofErr w:type="spellStart"/>
      <w:r w:rsidRPr="00234F31">
        <w:rPr>
          <w:rFonts w:asciiTheme="minorHAnsi" w:eastAsiaTheme="minorHAnsi" w:hAnsiTheme="minorHAnsi" w:cstheme="minorBidi"/>
        </w:rPr>
        <w:t>Kumadoh</w:t>
      </w:r>
      <w:proofErr w:type="spellEnd"/>
      <w:r w:rsidRPr="00234F31">
        <w:rPr>
          <w:rFonts w:asciiTheme="minorHAnsi" w:eastAsiaTheme="minorHAnsi" w:hAnsiTheme="minorHAnsi" w:cstheme="minorBidi"/>
        </w:rPr>
        <w:t xml:space="preserve">, D., </w:t>
      </w:r>
      <w:proofErr w:type="spellStart"/>
      <w:r w:rsidRPr="00234F31">
        <w:rPr>
          <w:rFonts w:asciiTheme="minorHAnsi" w:eastAsiaTheme="minorHAnsi" w:hAnsiTheme="minorHAnsi" w:cstheme="minorBidi"/>
        </w:rPr>
        <w:t>Ayertey</w:t>
      </w:r>
      <w:proofErr w:type="spellEnd"/>
      <w:r w:rsidRPr="00234F31">
        <w:rPr>
          <w:rFonts w:asciiTheme="minorHAnsi" w:eastAsiaTheme="minorHAnsi" w:hAnsiTheme="minorHAnsi" w:cstheme="minorBidi"/>
        </w:rPr>
        <w:t xml:space="preserve">, F., ... &amp; Appiah, A. A. (2022). </w:t>
      </w:r>
      <w:proofErr w:type="spellStart"/>
      <w:r w:rsidRPr="00234F31">
        <w:rPr>
          <w:rFonts w:asciiTheme="minorHAnsi" w:eastAsiaTheme="minorHAnsi" w:hAnsiTheme="minorHAnsi" w:cstheme="minorBidi"/>
        </w:rPr>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xml:space="preserve"> Benth.; An ethnomedicinal, phytochemical, pharmacological and toxicological review. </w:t>
      </w:r>
      <w:proofErr w:type="spellStart"/>
      <w:r w:rsidRPr="00234F31">
        <w:rPr>
          <w:rFonts w:asciiTheme="minorHAnsi" w:eastAsiaTheme="minorHAnsi" w:hAnsiTheme="minorHAnsi" w:cstheme="minorBidi"/>
          <w:i/>
          <w:iCs/>
        </w:rPr>
        <w:t>Heliyon</w:t>
      </w:r>
      <w:proofErr w:type="spellEnd"/>
      <w:r w:rsidRPr="00234F31">
        <w:rPr>
          <w:rFonts w:asciiTheme="minorHAnsi" w:eastAsiaTheme="minorHAnsi" w:hAnsiTheme="minorHAnsi" w:cstheme="minorBidi"/>
        </w:rPr>
        <w:t>, </w:t>
      </w:r>
      <w:r w:rsidRPr="00234F31">
        <w:rPr>
          <w:rFonts w:asciiTheme="minorHAnsi" w:eastAsiaTheme="minorHAnsi" w:hAnsiTheme="minorHAnsi" w:cstheme="minorBidi"/>
          <w:i/>
          <w:iCs/>
        </w:rPr>
        <w:t>8</w:t>
      </w:r>
      <w:r w:rsidRPr="00234F31">
        <w:rPr>
          <w:rFonts w:asciiTheme="minorHAnsi" w:eastAsiaTheme="minorHAnsi" w:hAnsiTheme="minorHAnsi" w:cstheme="minorBidi"/>
        </w:rPr>
        <w:t>(8).</w:t>
      </w:r>
    </w:p>
    <w:p w14:paraId="104A44F7"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Zahra, M., Abrahamse, H., &amp; George, B. P. (2024). Flavonoids: antioxidant powerhouses and their role in nanomedicine. </w:t>
      </w:r>
      <w:r w:rsidRPr="00234F31">
        <w:rPr>
          <w:rFonts w:asciiTheme="minorHAnsi" w:eastAsiaTheme="minorHAnsi" w:hAnsiTheme="minorHAnsi" w:cstheme="minorBidi"/>
          <w:i/>
          <w:iCs/>
        </w:rPr>
        <w:t>Antioxidants</w:t>
      </w:r>
      <w:r w:rsidRPr="00234F31">
        <w:rPr>
          <w:rFonts w:asciiTheme="minorHAnsi" w:eastAsiaTheme="minorHAnsi" w:hAnsiTheme="minorHAnsi" w:cstheme="minorBidi"/>
        </w:rPr>
        <w:t>, </w:t>
      </w:r>
      <w:r w:rsidRPr="00234F31">
        <w:rPr>
          <w:rFonts w:asciiTheme="minorHAnsi" w:eastAsiaTheme="minorHAnsi" w:hAnsiTheme="minorHAnsi" w:cstheme="minorBidi"/>
          <w:i/>
          <w:iCs/>
        </w:rPr>
        <w:t>13</w:t>
      </w:r>
      <w:r w:rsidRPr="00234F31">
        <w:rPr>
          <w:rFonts w:asciiTheme="minorHAnsi" w:eastAsiaTheme="minorHAnsi" w:hAnsiTheme="minorHAnsi" w:cstheme="minorBidi"/>
        </w:rPr>
        <w:t>(8), 922.</w:t>
      </w:r>
    </w:p>
    <w:p w14:paraId="0C447C85" w14:textId="77777777" w:rsidR="00E12A2B"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Zayed, A., Abdelkareem, S., Talaat, N., Dayem, D. A., &amp; Farag, M. A. (2025). Tannin in foods: Classification, dietary sources, and processing strategies to minimize anti-nutrient effects. </w:t>
      </w:r>
      <w:r w:rsidRPr="00234F31">
        <w:rPr>
          <w:rFonts w:asciiTheme="minorHAnsi" w:eastAsiaTheme="minorHAnsi" w:hAnsiTheme="minorHAnsi" w:cstheme="minorBidi"/>
          <w:i/>
          <w:iCs/>
        </w:rPr>
        <w:t>Food and Bioprocess Technology</w:t>
      </w:r>
      <w:r w:rsidRPr="00234F31">
        <w:rPr>
          <w:rFonts w:asciiTheme="minorHAnsi" w:eastAsiaTheme="minorHAnsi" w:hAnsiTheme="minorHAnsi" w:cstheme="minorBidi"/>
        </w:rPr>
        <w:t>, </w:t>
      </w:r>
      <w:r w:rsidRPr="00234F31">
        <w:rPr>
          <w:rFonts w:asciiTheme="minorHAnsi" w:eastAsiaTheme="minorHAnsi" w:hAnsiTheme="minorHAnsi" w:cstheme="minorBidi"/>
          <w:i/>
          <w:iCs/>
        </w:rPr>
        <w:t>18</w:t>
      </w:r>
      <w:r w:rsidRPr="00234F31">
        <w:rPr>
          <w:rFonts w:asciiTheme="minorHAnsi" w:eastAsiaTheme="minorHAnsi" w:hAnsiTheme="minorHAnsi" w:cstheme="minorBidi"/>
        </w:rPr>
        <w:t>(11), 9221-9249.</w:t>
      </w:r>
    </w:p>
    <w:p w14:paraId="3A69A40D" w14:textId="77777777" w:rsidR="00B15653" w:rsidRPr="00234F31" w:rsidRDefault="00B15653" w:rsidP="00234F31">
      <w:pPr>
        <w:ind w:left="720" w:hanging="720"/>
        <w:rPr>
          <w:rFonts w:asciiTheme="minorHAnsi" w:eastAsiaTheme="minorHAnsi" w:hAnsiTheme="minorHAnsi" w:cstheme="minorBidi"/>
        </w:rPr>
      </w:pPr>
    </w:p>
    <w:sectPr w:rsidR="00B15653" w:rsidRPr="00234F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67E2" w14:textId="77777777" w:rsidR="00F57E7F" w:rsidRDefault="00F57E7F" w:rsidP="004048C5">
      <w:pPr>
        <w:spacing w:after="0" w:line="240" w:lineRule="auto"/>
      </w:pPr>
      <w:r>
        <w:separator/>
      </w:r>
    </w:p>
  </w:endnote>
  <w:endnote w:type="continuationSeparator" w:id="0">
    <w:p w14:paraId="143AC36C" w14:textId="77777777" w:rsidR="00F57E7F" w:rsidRDefault="00F57E7F" w:rsidP="0040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62C9" w14:textId="77777777" w:rsidR="00DD2C3E" w:rsidRDefault="00DD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B290" w14:textId="77777777" w:rsidR="00DD2C3E" w:rsidRDefault="00DD2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3A18" w14:textId="77777777" w:rsidR="00DD2C3E" w:rsidRDefault="00DD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7979" w14:textId="77777777" w:rsidR="00F57E7F" w:rsidRDefault="00F57E7F" w:rsidP="004048C5">
      <w:pPr>
        <w:spacing w:after="0" w:line="240" w:lineRule="auto"/>
      </w:pPr>
      <w:r>
        <w:separator/>
      </w:r>
    </w:p>
  </w:footnote>
  <w:footnote w:type="continuationSeparator" w:id="0">
    <w:p w14:paraId="4D6558B2" w14:textId="77777777" w:rsidR="00F57E7F" w:rsidRDefault="00F57E7F" w:rsidP="00404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F70D" w14:textId="580884EF" w:rsidR="00DD2C3E" w:rsidRDefault="00000000">
    <w:pPr>
      <w:pStyle w:val="Header"/>
    </w:pPr>
    <w:r>
      <w:rPr>
        <w:noProof/>
      </w:rPr>
      <w:pict w14:anchorId="5F83A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0B7C" w14:textId="3697730B" w:rsidR="00DD2C3E" w:rsidRDefault="00000000">
    <w:pPr>
      <w:pStyle w:val="Header"/>
    </w:pPr>
    <w:r>
      <w:rPr>
        <w:noProof/>
      </w:rPr>
      <w:pict w14:anchorId="060CD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97B3" w14:textId="52498B14" w:rsidR="00DD2C3E" w:rsidRDefault="00000000">
    <w:pPr>
      <w:pStyle w:val="Header"/>
    </w:pPr>
    <w:r>
      <w:rPr>
        <w:noProof/>
      </w:rPr>
      <w:pict w14:anchorId="4B45D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5EE"/>
    <w:multiLevelType w:val="hybridMultilevel"/>
    <w:tmpl w:val="F13A0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D5415"/>
    <w:multiLevelType w:val="hybridMultilevel"/>
    <w:tmpl w:val="724EA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92DF7"/>
    <w:multiLevelType w:val="multilevel"/>
    <w:tmpl w:val="24B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D6DF2"/>
    <w:multiLevelType w:val="hybridMultilevel"/>
    <w:tmpl w:val="FB720564"/>
    <w:lvl w:ilvl="0" w:tplc="04090019">
      <w:start w:val="1"/>
      <w:numFmt w:val="lowerLetter"/>
      <w:lvlText w:val="%1."/>
      <w:lvlJc w:val="left"/>
      <w:pPr>
        <w:ind w:left="720" w:hanging="360"/>
      </w:pPr>
      <w:rPr>
        <w:rFonts w:hint="default"/>
      </w:rPr>
    </w:lvl>
    <w:lvl w:ilvl="1" w:tplc="C3E6EAF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3FD2C684">
      <w:start w:val="1"/>
      <w:numFmt w:val="lowerRoman"/>
      <w:lvlText w:val="%4."/>
      <w:lvlJc w:val="left"/>
      <w:pPr>
        <w:ind w:left="333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F696A"/>
    <w:multiLevelType w:val="hybridMultilevel"/>
    <w:tmpl w:val="B9A6C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255EB"/>
    <w:multiLevelType w:val="hybridMultilevel"/>
    <w:tmpl w:val="32CC2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95FDF"/>
    <w:multiLevelType w:val="multilevel"/>
    <w:tmpl w:val="6774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5930132">
    <w:abstractNumId w:val="3"/>
  </w:num>
  <w:num w:numId="2" w16cid:durableId="309556356">
    <w:abstractNumId w:val="5"/>
  </w:num>
  <w:num w:numId="3" w16cid:durableId="1794133484">
    <w:abstractNumId w:val="1"/>
  </w:num>
  <w:num w:numId="4" w16cid:durableId="1458792719">
    <w:abstractNumId w:val="4"/>
  </w:num>
  <w:num w:numId="5" w16cid:durableId="2090736503">
    <w:abstractNumId w:val="6"/>
  </w:num>
  <w:num w:numId="6" w16cid:durableId="877622853">
    <w:abstractNumId w:val="0"/>
  </w:num>
  <w:num w:numId="7" w16cid:durableId="518663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3E"/>
    <w:rsid w:val="00004A0B"/>
    <w:rsid w:val="00034B2D"/>
    <w:rsid w:val="000A3627"/>
    <w:rsid w:val="000B546C"/>
    <w:rsid w:val="000D4DF7"/>
    <w:rsid w:val="000D57EA"/>
    <w:rsid w:val="000D6E8C"/>
    <w:rsid w:val="000E592C"/>
    <w:rsid w:val="000F4B16"/>
    <w:rsid w:val="001360BF"/>
    <w:rsid w:val="0015299F"/>
    <w:rsid w:val="00180E85"/>
    <w:rsid w:val="00185A1C"/>
    <w:rsid w:val="00191A8A"/>
    <w:rsid w:val="001E473E"/>
    <w:rsid w:val="001F5D6E"/>
    <w:rsid w:val="00234F31"/>
    <w:rsid w:val="002A151A"/>
    <w:rsid w:val="002E5181"/>
    <w:rsid w:val="00307754"/>
    <w:rsid w:val="003209E5"/>
    <w:rsid w:val="00393BE3"/>
    <w:rsid w:val="004048C5"/>
    <w:rsid w:val="004F70AA"/>
    <w:rsid w:val="00540861"/>
    <w:rsid w:val="00561100"/>
    <w:rsid w:val="005A0669"/>
    <w:rsid w:val="005A31B3"/>
    <w:rsid w:val="005C2DC2"/>
    <w:rsid w:val="00625979"/>
    <w:rsid w:val="006513D1"/>
    <w:rsid w:val="00686B92"/>
    <w:rsid w:val="007872E8"/>
    <w:rsid w:val="007B3220"/>
    <w:rsid w:val="008237D4"/>
    <w:rsid w:val="0083559B"/>
    <w:rsid w:val="008462B8"/>
    <w:rsid w:val="0085555A"/>
    <w:rsid w:val="00861CE0"/>
    <w:rsid w:val="008779E8"/>
    <w:rsid w:val="0089005C"/>
    <w:rsid w:val="0089074F"/>
    <w:rsid w:val="008D4048"/>
    <w:rsid w:val="008F3903"/>
    <w:rsid w:val="009132B6"/>
    <w:rsid w:val="0092783B"/>
    <w:rsid w:val="00937476"/>
    <w:rsid w:val="009802F1"/>
    <w:rsid w:val="00996CB4"/>
    <w:rsid w:val="009D0F6E"/>
    <w:rsid w:val="009F1813"/>
    <w:rsid w:val="00A20A90"/>
    <w:rsid w:val="00A27E8C"/>
    <w:rsid w:val="00A7530C"/>
    <w:rsid w:val="00AA2437"/>
    <w:rsid w:val="00AA3649"/>
    <w:rsid w:val="00AE54C4"/>
    <w:rsid w:val="00B15653"/>
    <w:rsid w:val="00B27536"/>
    <w:rsid w:val="00B3300E"/>
    <w:rsid w:val="00B7310A"/>
    <w:rsid w:val="00B93071"/>
    <w:rsid w:val="00BA6F8F"/>
    <w:rsid w:val="00BE0761"/>
    <w:rsid w:val="00C24776"/>
    <w:rsid w:val="00CA367A"/>
    <w:rsid w:val="00CB6833"/>
    <w:rsid w:val="00CD0836"/>
    <w:rsid w:val="00CE0FE2"/>
    <w:rsid w:val="00CE214F"/>
    <w:rsid w:val="00D265AA"/>
    <w:rsid w:val="00D649AF"/>
    <w:rsid w:val="00DA691E"/>
    <w:rsid w:val="00DD2C3E"/>
    <w:rsid w:val="00DE3031"/>
    <w:rsid w:val="00DF2A41"/>
    <w:rsid w:val="00E12A2B"/>
    <w:rsid w:val="00E16EF2"/>
    <w:rsid w:val="00E92E57"/>
    <w:rsid w:val="00EC6EFF"/>
    <w:rsid w:val="00F41DA3"/>
    <w:rsid w:val="00F51A01"/>
    <w:rsid w:val="00F57E7F"/>
    <w:rsid w:val="00FD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4820"/>
  <w15:chartTrackingRefBased/>
  <w15:docId w15:val="{754C9816-826E-49A9-91D4-612E17BB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3E"/>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7D4"/>
    <w:pPr>
      <w:ind w:left="720"/>
      <w:contextualSpacing/>
    </w:pPr>
  </w:style>
  <w:style w:type="paragraph" w:styleId="Header">
    <w:name w:val="header"/>
    <w:basedOn w:val="Normal"/>
    <w:link w:val="HeaderChar"/>
    <w:uiPriority w:val="99"/>
    <w:unhideWhenUsed/>
    <w:rsid w:val="0040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C5"/>
    <w:rPr>
      <w:rFonts w:ascii="Calibri" w:eastAsia="Calibri" w:hAnsi="Calibri" w:cs="Times New Roman"/>
    </w:rPr>
  </w:style>
  <w:style w:type="paragraph" w:styleId="Footer">
    <w:name w:val="footer"/>
    <w:basedOn w:val="Normal"/>
    <w:link w:val="FooterChar"/>
    <w:uiPriority w:val="99"/>
    <w:unhideWhenUsed/>
    <w:rsid w:val="0040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C5"/>
    <w:rPr>
      <w:rFonts w:ascii="Calibri" w:eastAsia="Calibri" w:hAnsi="Calibri" w:cs="Times New Roman"/>
    </w:rPr>
  </w:style>
  <w:style w:type="character" w:styleId="Hyperlink">
    <w:name w:val="Hyperlink"/>
    <w:basedOn w:val="DefaultParagraphFont"/>
    <w:uiPriority w:val="99"/>
    <w:unhideWhenUsed/>
    <w:rsid w:val="005A31B3"/>
    <w:rPr>
      <w:color w:val="0563C1" w:themeColor="hyperlink"/>
      <w:u w:val="single"/>
    </w:rPr>
  </w:style>
  <w:style w:type="character" w:styleId="UnresolvedMention">
    <w:name w:val="Unresolved Mention"/>
    <w:basedOn w:val="DefaultParagraphFont"/>
    <w:uiPriority w:val="99"/>
    <w:semiHidden/>
    <w:unhideWhenUsed/>
    <w:rsid w:val="005A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632">
      <w:bodyDiv w:val="1"/>
      <w:marLeft w:val="0"/>
      <w:marRight w:val="0"/>
      <w:marTop w:val="0"/>
      <w:marBottom w:val="0"/>
      <w:divBdr>
        <w:top w:val="none" w:sz="0" w:space="0" w:color="auto"/>
        <w:left w:val="none" w:sz="0" w:space="0" w:color="auto"/>
        <w:bottom w:val="none" w:sz="0" w:space="0" w:color="auto"/>
        <w:right w:val="none" w:sz="0" w:space="0" w:color="auto"/>
      </w:divBdr>
    </w:div>
    <w:div w:id="416054763">
      <w:bodyDiv w:val="1"/>
      <w:marLeft w:val="0"/>
      <w:marRight w:val="0"/>
      <w:marTop w:val="0"/>
      <w:marBottom w:val="0"/>
      <w:divBdr>
        <w:top w:val="none" w:sz="0" w:space="0" w:color="auto"/>
        <w:left w:val="none" w:sz="0" w:space="0" w:color="auto"/>
        <w:bottom w:val="none" w:sz="0" w:space="0" w:color="auto"/>
        <w:right w:val="none" w:sz="0" w:space="0" w:color="auto"/>
      </w:divBdr>
    </w:div>
    <w:div w:id="548419143">
      <w:bodyDiv w:val="1"/>
      <w:marLeft w:val="0"/>
      <w:marRight w:val="0"/>
      <w:marTop w:val="0"/>
      <w:marBottom w:val="0"/>
      <w:divBdr>
        <w:top w:val="none" w:sz="0" w:space="0" w:color="auto"/>
        <w:left w:val="none" w:sz="0" w:space="0" w:color="auto"/>
        <w:bottom w:val="none" w:sz="0" w:space="0" w:color="auto"/>
        <w:right w:val="none" w:sz="0" w:space="0" w:color="auto"/>
      </w:divBdr>
    </w:div>
    <w:div w:id="688027788">
      <w:bodyDiv w:val="1"/>
      <w:marLeft w:val="0"/>
      <w:marRight w:val="0"/>
      <w:marTop w:val="0"/>
      <w:marBottom w:val="0"/>
      <w:divBdr>
        <w:top w:val="none" w:sz="0" w:space="0" w:color="auto"/>
        <w:left w:val="none" w:sz="0" w:space="0" w:color="auto"/>
        <w:bottom w:val="none" w:sz="0" w:space="0" w:color="auto"/>
        <w:right w:val="none" w:sz="0" w:space="0" w:color="auto"/>
      </w:divBdr>
    </w:div>
    <w:div w:id="842823310">
      <w:bodyDiv w:val="1"/>
      <w:marLeft w:val="0"/>
      <w:marRight w:val="0"/>
      <w:marTop w:val="0"/>
      <w:marBottom w:val="0"/>
      <w:divBdr>
        <w:top w:val="none" w:sz="0" w:space="0" w:color="auto"/>
        <w:left w:val="none" w:sz="0" w:space="0" w:color="auto"/>
        <w:bottom w:val="none" w:sz="0" w:space="0" w:color="auto"/>
        <w:right w:val="none" w:sz="0" w:space="0" w:color="auto"/>
      </w:divBdr>
    </w:div>
    <w:div w:id="908807738">
      <w:bodyDiv w:val="1"/>
      <w:marLeft w:val="0"/>
      <w:marRight w:val="0"/>
      <w:marTop w:val="0"/>
      <w:marBottom w:val="0"/>
      <w:divBdr>
        <w:top w:val="none" w:sz="0" w:space="0" w:color="auto"/>
        <w:left w:val="none" w:sz="0" w:space="0" w:color="auto"/>
        <w:bottom w:val="none" w:sz="0" w:space="0" w:color="auto"/>
        <w:right w:val="none" w:sz="0" w:space="0" w:color="auto"/>
      </w:divBdr>
    </w:div>
    <w:div w:id="1423916845">
      <w:bodyDiv w:val="1"/>
      <w:marLeft w:val="0"/>
      <w:marRight w:val="0"/>
      <w:marTop w:val="0"/>
      <w:marBottom w:val="0"/>
      <w:divBdr>
        <w:top w:val="none" w:sz="0" w:space="0" w:color="auto"/>
        <w:left w:val="none" w:sz="0" w:space="0" w:color="auto"/>
        <w:bottom w:val="none" w:sz="0" w:space="0" w:color="auto"/>
        <w:right w:val="none" w:sz="0" w:space="0" w:color="auto"/>
      </w:divBdr>
    </w:div>
    <w:div w:id="19058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3011</TotalTime>
  <Pages>11</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Samuel Chukwuma</cp:lastModifiedBy>
  <cp:revision>58</cp:revision>
  <dcterms:created xsi:type="dcterms:W3CDTF">2026-03-14T07:00:00Z</dcterms:created>
  <dcterms:modified xsi:type="dcterms:W3CDTF">2026-05-16T07:51:00Z</dcterms:modified>
</cp:coreProperties>
</file>