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E7" w:rsidRPr="00F83DBD" w:rsidRDefault="00730CE7" w:rsidP="00730CE7">
      <w:pPr>
        <w:pStyle w:val="Author"/>
        <w:spacing w:line="240" w:lineRule="auto"/>
        <w:rPr>
          <w:rFonts w:ascii="Arial" w:hAnsi="Arial" w:cs="Arial"/>
          <w:bCs/>
          <w:iCs/>
          <w:color w:val="C00000"/>
          <w:kern w:val="28"/>
          <w:sz w:val="36"/>
        </w:rPr>
      </w:pPr>
      <w:r w:rsidRPr="00F83DBD">
        <w:rPr>
          <w:rFonts w:ascii="Arial" w:hAnsi="Arial" w:cs="Arial"/>
          <w:bCs/>
          <w:iCs/>
          <w:color w:val="C00000"/>
          <w:kern w:val="28"/>
          <w:sz w:val="36"/>
        </w:rPr>
        <w:t xml:space="preserve">Anti-inflammatory Activity, GC-MS Profiling and </w:t>
      </w:r>
      <w:r w:rsidR="0095012C" w:rsidRPr="0095012C">
        <w:rPr>
          <w:rFonts w:ascii="Arial" w:hAnsi="Arial" w:cs="Arial"/>
          <w:bCs/>
          <w:i/>
          <w:iCs/>
          <w:color w:val="C00000"/>
          <w:kern w:val="28"/>
          <w:sz w:val="36"/>
        </w:rPr>
        <w:t>In silico</w:t>
      </w:r>
      <w:r w:rsidRPr="00F83DBD">
        <w:rPr>
          <w:rFonts w:ascii="Arial" w:hAnsi="Arial" w:cs="Arial"/>
          <w:bCs/>
          <w:iCs/>
          <w:color w:val="C00000"/>
          <w:kern w:val="28"/>
          <w:sz w:val="36"/>
        </w:rPr>
        <w:t xml:space="preserve"> ADMET Analysis of </w:t>
      </w:r>
      <w:r w:rsidRPr="00F83DBD">
        <w:rPr>
          <w:rFonts w:ascii="Arial" w:hAnsi="Arial" w:cs="Arial"/>
          <w:bCs/>
          <w:i/>
          <w:iCs/>
          <w:color w:val="C00000"/>
          <w:kern w:val="28"/>
          <w:sz w:val="36"/>
        </w:rPr>
        <w:t>Piper hymenophyllum</w:t>
      </w:r>
      <w:r w:rsidR="001F075E">
        <w:rPr>
          <w:rFonts w:ascii="Arial" w:hAnsi="Arial" w:cs="Arial"/>
          <w:bCs/>
          <w:i/>
          <w:iCs/>
          <w:color w:val="C00000"/>
          <w:kern w:val="28"/>
          <w:sz w:val="36"/>
        </w:rPr>
        <w:t xml:space="preserve"> </w:t>
      </w:r>
      <w:r w:rsidRPr="00F83DBD">
        <w:rPr>
          <w:rFonts w:ascii="Arial" w:hAnsi="Arial" w:cs="Arial"/>
          <w:bCs/>
          <w:iCs/>
          <w:color w:val="C00000"/>
          <w:kern w:val="28"/>
          <w:sz w:val="36"/>
        </w:rPr>
        <w:t>Miq. Extracts as a Candidate for Gastrointestinal Disease Management</w:t>
      </w:r>
    </w:p>
    <w:p w:rsidR="00730CE7" w:rsidRPr="0061235A" w:rsidRDefault="00730CE7" w:rsidP="00730CE7">
      <w:pPr>
        <w:pStyle w:val="Author"/>
        <w:spacing w:line="240" w:lineRule="auto"/>
        <w:jc w:val="left"/>
        <w:rPr>
          <w:rFonts w:ascii="Arial" w:hAnsi="Arial" w:cs="Arial"/>
          <w:bCs/>
          <w:iCs/>
          <w:kern w:val="28"/>
          <w:sz w:val="36"/>
        </w:rPr>
      </w:pPr>
    </w:p>
    <w:bookmarkStart w:id="0" w:name="_GoBack"/>
    <w:bookmarkEnd w:id="0"/>
    <w:p w:rsidR="00730CE7" w:rsidRDefault="00AF51A2" w:rsidP="00730CE7">
      <w:pPr>
        <w:pStyle w:val="Copyright"/>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535.6pt;height:0;mso-position-horizontal-relative:char;mso-position-vertical-relative:line" o:connectortype="straight" strokeweight="1.5pt">
            <w10:wrap type="none"/>
            <w10:anchorlock/>
          </v:shape>
        </w:pict>
      </w:r>
    </w:p>
    <w:p w:rsidR="00B15D67" w:rsidRDefault="00B15D67" w:rsidP="00310037">
      <w:pPr>
        <w:pStyle w:val="Copyright"/>
        <w:spacing w:after="0" w:line="240" w:lineRule="auto"/>
        <w:jc w:val="both"/>
        <w:rPr>
          <w:rFonts w:ascii="Arial" w:hAnsi="Arial" w:cs="Arial"/>
        </w:rPr>
      </w:pPr>
    </w:p>
    <w:p w:rsidR="00B15D67" w:rsidRPr="00E27563" w:rsidRDefault="00B15D67" w:rsidP="00310037">
      <w:pPr>
        <w:pStyle w:val="AbstHead"/>
        <w:spacing w:after="0"/>
        <w:jc w:val="both"/>
        <w:rPr>
          <w:rFonts w:ascii="Arial" w:hAnsi="Arial" w:cs="Arial"/>
          <w:color w:val="002060"/>
        </w:rPr>
      </w:pPr>
      <w:r w:rsidRPr="00E27563">
        <w:rPr>
          <w:rFonts w:ascii="Arial" w:hAnsi="Arial" w:cs="Arial"/>
          <w:color w:val="002060"/>
        </w:rPr>
        <w:t>ABSTRACT</w:t>
      </w:r>
    </w:p>
    <w:p w:rsidR="00B15D67" w:rsidRDefault="00B15D67" w:rsidP="00310037">
      <w:pPr>
        <w:pStyle w:val="AbstHead"/>
        <w:spacing w:after="0"/>
        <w:jc w:val="both"/>
        <w:rPr>
          <w:rFonts w:ascii="Arial" w:hAnsi="Arial" w:cs="Arial"/>
        </w:rPr>
      </w:pPr>
    </w:p>
    <w:p w:rsidR="00406640" w:rsidRPr="00FB3A86" w:rsidRDefault="00B15D67" w:rsidP="004F6C40">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Arial" w:hAnsi="Arial" w:cs="Arial"/>
        </w:rPr>
      </w:pPr>
      <w:r>
        <w:rPr>
          <w:rFonts w:ascii="Times New Roman" w:hAnsi="Times New Roman"/>
          <w:sz w:val="24"/>
          <w:szCs w:val="24"/>
        </w:rPr>
        <w:tab/>
      </w:r>
      <w:r>
        <w:rPr>
          <w:rFonts w:ascii="Arial" w:hAnsi="Arial" w:cs="Arial"/>
        </w:rPr>
        <w:t xml:space="preserve">The </w:t>
      </w:r>
      <w:r>
        <w:rPr>
          <w:rFonts w:ascii="Arial" w:hAnsi="Arial" w:cs="Arial"/>
          <w:i/>
        </w:rPr>
        <w:t>Piper</w:t>
      </w:r>
      <w:r>
        <w:rPr>
          <w:rFonts w:ascii="Arial" w:hAnsi="Arial" w:cs="Arial"/>
        </w:rPr>
        <w:t xml:space="preserve"> genus, within the Piperaceae family, comprises over a thousand species recognized for their significant medicinal properties, especially in gastrointestinal health. This study investigates </w:t>
      </w:r>
      <w:r>
        <w:rPr>
          <w:rFonts w:ascii="Arial" w:hAnsi="Arial" w:cs="Arial"/>
          <w:i/>
        </w:rPr>
        <w:t>Piper hymenophyllum</w:t>
      </w:r>
      <w:r>
        <w:rPr>
          <w:rFonts w:ascii="Arial" w:hAnsi="Arial" w:cs="Arial"/>
        </w:rPr>
        <w:t>, a newly discovered wild species, focusing on its phytochemical profile, bioactivity a</w:t>
      </w:r>
      <w:r w:rsidR="00BD228A">
        <w:rPr>
          <w:rFonts w:ascii="Arial" w:hAnsi="Arial" w:cs="Arial"/>
        </w:rPr>
        <w:t>nd therapeutic value.</w:t>
      </w:r>
      <w:r>
        <w:rPr>
          <w:rFonts w:ascii="Arial" w:hAnsi="Arial" w:cs="Arial"/>
        </w:rPr>
        <w:t xml:space="preserve">GC-MS analysis identified major bioactive compounds such as </w:t>
      </w:r>
      <w:r>
        <w:rPr>
          <w:rFonts w:ascii="Arial" w:hAnsi="Arial" w:cs="Arial"/>
          <w:bCs/>
          <w:lang w:val="en-IN"/>
        </w:rPr>
        <w:t>Phytol</w:t>
      </w:r>
      <w:r>
        <w:rPr>
          <w:rFonts w:ascii="Arial" w:hAnsi="Arial" w:cs="Arial"/>
        </w:rPr>
        <w:t>,</w:t>
      </w:r>
      <w:r>
        <w:rPr>
          <w:rFonts w:ascii="Arial" w:hAnsi="Arial" w:cs="Arial"/>
          <w:bCs/>
          <w:lang w:val="en-IN"/>
        </w:rPr>
        <w:t>Cyclobutane,1,1,2,3,3-pentamethyl-</w:t>
      </w:r>
      <w:r>
        <w:rPr>
          <w:rFonts w:ascii="Arial" w:hAnsi="Arial" w:cs="Arial"/>
        </w:rPr>
        <w:t xml:space="preserve">, </w:t>
      </w:r>
      <w:r>
        <w:rPr>
          <w:rFonts w:ascii="Arial" w:hAnsi="Arial" w:cs="Arial"/>
          <w:bCs/>
          <w:lang w:val="en-IN"/>
        </w:rPr>
        <w:t>n-Hexadecanoic acid</w:t>
      </w:r>
      <w:r>
        <w:rPr>
          <w:rFonts w:ascii="Arial" w:hAnsi="Arial" w:cs="Arial"/>
        </w:rPr>
        <w:t xml:space="preserve">, </w:t>
      </w:r>
      <w:r>
        <w:rPr>
          <w:rFonts w:ascii="Arial" w:hAnsi="Arial" w:cs="Arial"/>
          <w:bCs/>
          <w:lang w:val="en-IN"/>
        </w:rPr>
        <w:t xml:space="preserve">.gamma. Sitosterol, n-Tetracosanol-1, Stigmasterol, </w:t>
      </w:r>
      <w:r>
        <w:rPr>
          <w:rFonts w:ascii="Arial" w:hAnsi="Arial" w:cs="Arial"/>
          <w:bCs/>
        </w:rPr>
        <w:t xml:space="preserve">l-Valine, n-pentafluoropropionyl-, isobutyl ester, </w:t>
      </w:r>
      <w:r>
        <w:rPr>
          <w:rFonts w:ascii="Arial" w:hAnsi="Arial" w:cs="Arial"/>
          <w:bCs/>
          <w:lang w:val="en-IN"/>
        </w:rPr>
        <w:t xml:space="preserve">Octadecanoic acid, 2,3-dihydroxypropyl ester, Octahydroxanthen-1,9-dione, 3,3,7,7, -tetramethyl-10-hexyl, 1- Pentanone, (4- methoxyphenyl) - oxime </w:t>
      </w:r>
      <w:r>
        <w:rPr>
          <w:rFonts w:ascii="Arial" w:hAnsi="Arial" w:cs="Arial"/>
        </w:rPr>
        <w:t xml:space="preserve"> which exhibit potent antioxidant and antimicrobial effects relevant to gastroprotection. The ADMET analysis confirmed favorable pharmacokinetic and safety profiles for these key compounds. Experimental findings demonstrated that extracts of </w:t>
      </w:r>
      <w:r>
        <w:rPr>
          <w:rFonts w:ascii="Arial" w:hAnsi="Arial" w:cs="Arial"/>
          <w:i/>
        </w:rPr>
        <w:t>P. hymenophyllum</w:t>
      </w:r>
      <w:r>
        <w:rPr>
          <w:rFonts w:ascii="Arial" w:hAnsi="Arial" w:cs="Arial"/>
        </w:rPr>
        <w:t>effectively alleviate symptoms of gastrointestinal disorders and display promising anti-Inflammatory Bowel Disease (IBD) activity, indicating its potential as a multi-target natural therapeutic for IBD management.</w:t>
      </w:r>
    </w:p>
    <w:p w:rsidR="00730CE7" w:rsidRPr="00406640" w:rsidRDefault="00406640" w:rsidP="004F6C40">
      <w:pPr>
        <w:pStyle w:val="Body"/>
        <w:spacing w:after="0"/>
        <w:rPr>
          <w:rFonts w:ascii="Arial" w:hAnsi="Arial" w:cs="Arial"/>
          <w:i/>
        </w:rPr>
      </w:pPr>
      <w:r>
        <w:rPr>
          <w:rFonts w:ascii="Arial" w:hAnsi="Arial" w:cs="Arial"/>
          <w:b/>
          <w:i/>
        </w:rPr>
        <w:t>Keywords:</w:t>
      </w:r>
      <w:r>
        <w:rPr>
          <w:rFonts w:ascii="Arial" w:hAnsi="Arial" w:cs="Arial"/>
          <w:i/>
        </w:rPr>
        <w:t xml:space="preserve"> Piper hymenophyllum, </w:t>
      </w:r>
      <w:r>
        <w:rPr>
          <w:rFonts w:ascii="Arial" w:hAnsi="Arial" w:cs="Arial"/>
          <w:i/>
          <w:lang w:val="en-IN"/>
        </w:rPr>
        <w:t>Anti-Inflammatory</w:t>
      </w:r>
      <w:r w:rsidR="00BE22E4">
        <w:rPr>
          <w:rFonts w:ascii="Arial" w:hAnsi="Arial" w:cs="Arial"/>
          <w:i/>
          <w:lang w:val="en-IN"/>
        </w:rPr>
        <w:t>,</w:t>
      </w:r>
      <w:r w:rsidR="00C947CF">
        <w:rPr>
          <w:rFonts w:ascii="Arial" w:hAnsi="Arial" w:cs="Arial"/>
          <w:i/>
          <w:lang w:val="en-IN"/>
        </w:rPr>
        <w:t xml:space="preserve"> </w:t>
      </w:r>
      <w:r>
        <w:rPr>
          <w:rFonts w:ascii="Arial" w:hAnsi="Arial" w:cs="Arial"/>
          <w:i/>
        </w:rPr>
        <w:t>GC-MS studies, In</w:t>
      </w:r>
      <w:r w:rsidR="00C947CF">
        <w:rPr>
          <w:rFonts w:ascii="Arial" w:hAnsi="Arial" w:cs="Arial"/>
          <w:i/>
        </w:rPr>
        <w:t xml:space="preserve"> </w:t>
      </w:r>
      <w:r>
        <w:rPr>
          <w:rFonts w:ascii="Arial" w:hAnsi="Arial" w:cs="Arial"/>
          <w:i/>
        </w:rPr>
        <w:t>silico - ADMET analysis, Gastro</w:t>
      </w:r>
      <w:r w:rsidR="00BE22E4">
        <w:rPr>
          <w:rFonts w:ascii="Arial" w:hAnsi="Arial" w:cs="Arial"/>
          <w:i/>
        </w:rPr>
        <w:t>- intestinal protection,</w:t>
      </w:r>
      <w:r>
        <w:rPr>
          <w:rFonts w:ascii="Arial" w:hAnsi="Arial" w:cs="Arial"/>
          <w:i/>
        </w:rPr>
        <w:t xml:space="preserve"> Anti-IBD.</w:t>
      </w:r>
    </w:p>
    <w:p w:rsidR="00730CE7" w:rsidRPr="00A24E7E" w:rsidRDefault="004F6C40" w:rsidP="004F6C40">
      <w:pPr>
        <w:pStyle w:val="Body"/>
        <w:tabs>
          <w:tab w:val="left" w:pos="4015"/>
        </w:tabs>
        <w:spacing w:after="0"/>
        <w:rPr>
          <w:rFonts w:ascii="Arial" w:hAnsi="Arial" w:cs="Arial"/>
          <w:i/>
        </w:rPr>
      </w:pPr>
      <w:r>
        <w:rPr>
          <w:rFonts w:ascii="Arial" w:hAnsi="Arial" w:cs="Arial"/>
          <w:i/>
        </w:rPr>
        <w:tab/>
      </w:r>
    </w:p>
    <w:p w:rsidR="004F6C40" w:rsidRPr="00310037" w:rsidRDefault="004F6C40" w:rsidP="004F6C40">
      <w:pPr>
        <w:pStyle w:val="AbstHead"/>
        <w:spacing w:after="0"/>
        <w:jc w:val="both"/>
        <w:rPr>
          <w:rFonts w:ascii="Arial" w:hAnsi="Arial" w:cs="Arial"/>
          <w:color w:val="244061" w:themeColor="accent1" w:themeShade="80"/>
        </w:rPr>
      </w:pPr>
      <w:r w:rsidRPr="00310037">
        <w:rPr>
          <w:rFonts w:ascii="Arial" w:hAnsi="Arial" w:cs="Arial"/>
          <w:color w:val="244061" w:themeColor="accent1" w:themeShade="80"/>
        </w:rPr>
        <w:t>1. I</w:t>
      </w:r>
      <w:r w:rsidR="00730CE7" w:rsidRPr="00310037">
        <w:rPr>
          <w:rFonts w:ascii="Arial" w:hAnsi="Arial" w:cs="Arial"/>
          <w:color w:val="244061" w:themeColor="accent1" w:themeShade="80"/>
        </w:rPr>
        <w:t>NTRODUCTION</w:t>
      </w:r>
    </w:p>
    <w:p w:rsidR="00730CE7" w:rsidRPr="004F6C40" w:rsidRDefault="00730CE7" w:rsidP="004F6C40">
      <w:pPr>
        <w:pStyle w:val="AbstHead"/>
        <w:spacing w:after="0"/>
        <w:jc w:val="both"/>
        <w:rPr>
          <w:rFonts w:ascii="Arial" w:hAnsi="Arial" w:cs="Arial"/>
          <w:color w:val="002060"/>
        </w:rPr>
      </w:pPr>
      <w:r w:rsidRPr="004F6C40">
        <w:rPr>
          <w:rFonts w:ascii="Arial" w:hAnsi="Arial" w:cs="Arial"/>
          <w:color w:val="002060"/>
        </w:rPr>
        <w:t xml:space="preserve"> </w:t>
      </w:r>
    </w:p>
    <w:p w:rsidR="006E4D8B" w:rsidRDefault="00730CE7" w:rsidP="004F6C40">
      <w:pPr>
        <w:pStyle w:val="Body"/>
        <w:spacing w:after="0"/>
        <w:rPr>
          <w:rFonts w:ascii="Arial" w:hAnsi="Arial" w:cs="Arial"/>
        </w:rPr>
      </w:pPr>
      <w:r>
        <w:rPr>
          <w:rFonts w:ascii="Arial" w:hAnsi="Arial" w:cs="Arial"/>
        </w:rPr>
        <w:t>The Piperaceae family encompasses over 3,600 species, many of which exhibited diverse pharmacological properties</w:t>
      </w:r>
      <w:r>
        <w:rPr>
          <w:rFonts w:ascii="Arial" w:hAnsi="Arial" w:cs="Arial"/>
          <w:vertAlign w:val="superscript"/>
        </w:rPr>
        <w:t>1,2</w:t>
      </w:r>
      <w:r>
        <w:rPr>
          <w:rFonts w:ascii="Arial" w:hAnsi="Arial" w:cs="Arial"/>
        </w:rPr>
        <w:t xml:space="preserve">. Within this group, the genus </w:t>
      </w:r>
      <w:r>
        <w:rPr>
          <w:rFonts w:ascii="Arial" w:hAnsi="Arial" w:cs="Arial"/>
          <w:i/>
          <w:iCs/>
        </w:rPr>
        <w:t>Piper</w:t>
      </w:r>
      <w:r>
        <w:rPr>
          <w:rFonts w:ascii="Arial" w:hAnsi="Arial" w:cs="Arial"/>
        </w:rPr>
        <w:t xml:space="preserve"> is especially recognized for its traditional and modern therapeutic applications, particularly in managing digestive ailments, inflammation, infections and oxidative stress</w:t>
      </w:r>
      <w:r>
        <w:rPr>
          <w:rFonts w:ascii="Arial" w:hAnsi="Arial" w:cs="Arial"/>
          <w:vertAlign w:val="superscript"/>
        </w:rPr>
        <w:t>3</w:t>
      </w:r>
      <w:r>
        <w:rPr>
          <w:rFonts w:ascii="Arial" w:hAnsi="Arial" w:cs="Arial"/>
        </w:rPr>
        <w:t xml:space="preserve">. Species such as </w:t>
      </w:r>
      <w:r w:rsidR="0095012C" w:rsidRPr="0095012C">
        <w:rPr>
          <w:rFonts w:ascii="Arial" w:hAnsi="Arial" w:cs="Arial"/>
          <w:i/>
          <w:iCs/>
        </w:rPr>
        <w:t xml:space="preserve">Piper nigrum </w:t>
      </w:r>
      <w:r>
        <w:rPr>
          <w:rFonts w:ascii="Arial" w:hAnsi="Arial" w:cs="Arial"/>
        </w:rPr>
        <w:t xml:space="preserve">and </w:t>
      </w:r>
      <w:r w:rsidR="0095012C" w:rsidRPr="0095012C">
        <w:rPr>
          <w:rFonts w:ascii="Arial" w:hAnsi="Arial" w:cs="Arial"/>
          <w:i/>
          <w:iCs/>
        </w:rPr>
        <w:t>Piper longum</w:t>
      </w:r>
      <w:r>
        <w:rPr>
          <w:rFonts w:ascii="Arial" w:hAnsi="Arial" w:cs="Arial"/>
        </w:rPr>
        <w:t xml:space="preserve"> have been well documented for their gastroprotective and anti-inflammatory potentials</w:t>
      </w:r>
      <w:r>
        <w:rPr>
          <w:rFonts w:ascii="Arial" w:hAnsi="Arial" w:cs="Arial"/>
          <w:vertAlign w:val="superscript"/>
        </w:rPr>
        <w:t>4,5</w:t>
      </w:r>
      <w:r>
        <w:rPr>
          <w:rFonts w:ascii="Arial" w:hAnsi="Arial" w:cs="Arial"/>
        </w:rPr>
        <w:t xml:space="preserve">. </w:t>
      </w:r>
    </w:p>
    <w:p w:rsidR="00730CE7" w:rsidRPr="00360ED0" w:rsidRDefault="00730CE7" w:rsidP="00730CE7">
      <w:pPr>
        <w:pStyle w:val="Body"/>
        <w:spacing w:after="0"/>
        <w:rPr>
          <w:rFonts w:ascii="Arial" w:hAnsi="Arial" w:cs="Arial"/>
          <w:vertAlign w:val="superscript"/>
        </w:rPr>
      </w:pPr>
      <w:r>
        <w:rPr>
          <w:rFonts w:ascii="Arial" w:hAnsi="Arial" w:cs="Arial"/>
          <w:i/>
          <w:iCs/>
        </w:rPr>
        <w:t>Piper hymenophyllum</w:t>
      </w:r>
      <w:r>
        <w:rPr>
          <w:rFonts w:ascii="Arial" w:hAnsi="Arial" w:cs="Arial"/>
        </w:rPr>
        <w:t xml:space="preserve">, a recently identified wild species, remains scientifically underexplored. Preliminary evidence suggests that many </w:t>
      </w:r>
      <w:r>
        <w:rPr>
          <w:rFonts w:ascii="Arial" w:hAnsi="Arial" w:cs="Arial"/>
          <w:i/>
          <w:iCs/>
        </w:rPr>
        <w:t>Piper</w:t>
      </w:r>
      <w:r>
        <w:rPr>
          <w:rFonts w:ascii="Arial" w:hAnsi="Arial" w:cs="Arial"/>
        </w:rPr>
        <w:t xml:space="preserve"> species possess unique phytochemicals, which exhibit biological activities relevant to gastrointestinal health, such as antioxidant, anti-ulcer and anti-inflammatory properties</w:t>
      </w:r>
      <w:r>
        <w:rPr>
          <w:rFonts w:ascii="Arial" w:hAnsi="Arial" w:cs="Arial"/>
          <w:vertAlign w:val="superscript"/>
        </w:rPr>
        <w:t>6-8</w:t>
      </w:r>
      <w:r>
        <w:rPr>
          <w:rFonts w:ascii="Arial" w:hAnsi="Arial" w:cs="Arial"/>
        </w:rPr>
        <w:t>. Gastrointestinal disorders such as peptic ulcers and Inflammatory Bowel Disease (IBD) are strongly associated with oxidative stress, dysbiosis and inflammatory cytokine dysregulation</w:t>
      </w:r>
      <w:r>
        <w:rPr>
          <w:rFonts w:ascii="Arial" w:hAnsi="Arial" w:cs="Arial"/>
          <w:vertAlign w:val="superscript"/>
        </w:rPr>
        <w:t>9</w:t>
      </w:r>
      <w:r w:rsidR="001C1780">
        <w:rPr>
          <w:rFonts w:ascii="Arial" w:hAnsi="Arial" w:cs="Arial"/>
          <w:vertAlign w:val="superscript"/>
        </w:rPr>
        <w:t xml:space="preserve">, </w:t>
      </w:r>
      <w:r w:rsidR="001C1780" w:rsidRPr="001C1780">
        <w:rPr>
          <w:rFonts w:ascii="Arial" w:hAnsi="Arial" w:cs="Arial"/>
          <w:vertAlign w:val="superscript"/>
        </w:rPr>
        <w:t>28</w:t>
      </w:r>
      <w:r>
        <w:rPr>
          <w:rFonts w:ascii="Arial" w:hAnsi="Arial" w:cs="Arial"/>
        </w:rPr>
        <w:t>. Therefore, identifying plant-based gastroprotective alternatives remains a significant research priority.</w:t>
      </w:r>
      <w:r w:rsidR="00BD228A">
        <w:rPr>
          <w:rFonts w:ascii="Arial" w:hAnsi="Arial" w:cs="Arial"/>
        </w:rPr>
        <w:t xml:space="preserve"> </w:t>
      </w:r>
      <w:r>
        <w:rPr>
          <w:rFonts w:ascii="Arial" w:hAnsi="Arial" w:cs="Arial"/>
        </w:rPr>
        <w:t>The techniques such as Gas Chromatography Mass Spectrometry (GC–MS) allow detailed profiling of plant metabolites</w:t>
      </w:r>
      <w:r>
        <w:rPr>
          <w:rFonts w:ascii="Arial" w:hAnsi="Arial" w:cs="Arial"/>
          <w:vertAlign w:val="superscript"/>
        </w:rPr>
        <w:t>10</w:t>
      </w:r>
      <w:r>
        <w:rPr>
          <w:rFonts w:ascii="Arial" w:hAnsi="Arial" w:cs="Arial"/>
        </w:rPr>
        <w:t>, while ADME</w:t>
      </w:r>
      <w:r w:rsidR="001C1780">
        <w:rPr>
          <w:rFonts w:ascii="Arial" w:hAnsi="Arial" w:cs="Arial"/>
        </w:rPr>
        <w:t>T</w:t>
      </w:r>
      <w:r>
        <w:rPr>
          <w:rFonts w:ascii="Arial" w:hAnsi="Arial" w:cs="Arial"/>
        </w:rPr>
        <w:t xml:space="preserve"> prediction provide rapid validation for biological potential of the plant’s biocompounds</w:t>
      </w:r>
      <w:r>
        <w:rPr>
          <w:rFonts w:ascii="Arial" w:hAnsi="Arial" w:cs="Arial"/>
          <w:vertAlign w:val="superscript"/>
        </w:rPr>
        <w:t>11</w:t>
      </w:r>
      <w:r>
        <w:rPr>
          <w:rFonts w:ascii="Arial" w:hAnsi="Arial" w:cs="Arial"/>
        </w:rPr>
        <w:t xml:space="preserve">. </w:t>
      </w:r>
    </w:p>
    <w:p w:rsidR="00730CE7" w:rsidRDefault="00730CE7" w:rsidP="00730CE7">
      <w:pPr>
        <w:pStyle w:val="Body"/>
        <w:spacing w:after="0"/>
        <w:rPr>
          <w:rFonts w:ascii="Arial" w:hAnsi="Arial" w:cs="Arial"/>
        </w:rPr>
      </w:pPr>
      <w:r>
        <w:rPr>
          <w:rFonts w:ascii="Arial" w:hAnsi="Arial" w:cs="Arial"/>
        </w:rPr>
        <w:t xml:space="preserve">In this context, the present study aims to comprehensively evaluate </w:t>
      </w:r>
      <w:r>
        <w:rPr>
          <w:rFonts w:ascii="Arial" w:hAnsi="Arial" w:cs="Arial"/>
          <w:i/>
        </w:rPr>
        <w:t>in vitro</w:t>
      </w:r>
      <w:r>
        <w:rPr>
          <w:rFonts w:ascii="Arial" w:hAnsi="Arial" w:cs="Arial"/>
        </w:rPr>
        <w:t xml:space="preserve"> anti- inflammatory properties, GC–MS profiling and </w:t>
      </w:r>
      <w:r>
        <w:rPr>
          <w:rFonts w:ascii="Arial" w:hAnsi="Arial" w:cs="Arial"/>
          <w:i/>
        </w:rPr>
        <w:t xml:space="preserve">insilico </w:t>
      </w:r>
      <w:r>
        <w:rPr>
          <w:rFonts w:ascii="Arial" w:hAnsi="Arial" w:cs="Arial"/>
        </w:rPr>
        <w:t>ADMET analysis of the</w:t>
      </w:r>
      <w:r w:rsidR="00BD228A">
        <w:rPr>
          <w:rFonts w:ascii="Arial" w:hAnsi="Arial" w:cs="Arial"/>
        </w:rPr>
        <w:t xml:space="preserve"> </w:t>
      </w:r>
      <w:r>
        <w:rPr>
          <w:rFonts w:ascii="Arial" w:hAnsi="Arial" w:cs="Arial"/>
        </w:rPr>
        <w:t xml:space="preserve">therapeutic potential of </w:t>
      </w:r>
      <w:r>
        <w:rPr>
          <w:rFonts w:ascii="Arial" w:hAnsi="Arial" w:cs="Arial"/>
          <w:i/>
          <w:iCs/>
        </w:rPr>
        <w:t>P. hymenophyllum</w:t>
      </w:r>
      <w:r>
        <w:rPr>
          <w:rFonts w:ascii="Arial" w:hAnsi="Arial" w:cs="Arial"/>
        </w:rPr>
        <w:t xml:space="preserve"> to determine its gastroprotective and anti-IBD potential.</w:t>
      </w:r>
    </w:p>
    <w:p w:rsidR="00730CE7" w:rsidRPr="00FB3A86" w:rsidRDefault="00730CE7" w:rsidP="00730CE7">
      <w:pPr>
        <w:pStyle w:val="Body"/>
        <w:spacing w:after="0"/>
        <w:rPr>
          <w:rFonts w:ascii="Arial" w:hAnsi="Arial" w:cs="Arial"/>
        </w:rPr>
      </w:pPr>
    </w:p>
    <w:p w:rsidR="00730CE7" w:rsidRPr="00310037" w:rsidRDefault="00730CE7" w:rsidP="00730CE7">
      <w:pPr>
        <w:pStyle w:val="AbstHead"/>
        <w:spacing w:after="0"/>
        <w:jc w:val="both"/>
        <w:rPr>
          <w:rFonts w:ascii="Arial" w:hAnsi="Arial" w:cs="Arial"/>
          <w:color w:val="244061" w:themeColor="accent1" w:themeShade="80"/>
        </w:rPr>
      </w:pPr>
      <w:r w:rsidRPr="00310037">
        <w:rPr>
          <w:rFonts w:ascii="Arial" w:hAnsi="Arial" w:cs="Arial"/>
          <w:color w:val="244061" w:themeColor="accent1" w:themeShade="80"/>
        </w:rPr>
        <w:t>2. methodology</w:t>
      </w:r>
    </w:p>
    <w:p w:rsidR="00E73DE1" w:rsidRDefault="00E73DE1" w:rsidP="00730CE7">
      <w:pPr>
        <w:pStyle w:val="Body"/>
        <w:spacing w:after="0"/>
        <w:rPr>
          <w:rFonts w:ascii="Arial" w:hAnsi="Arial" w:cs="Arial"/>
          <w:b/>
          <w:bCs/>
        </w:rPr>
      </w:pPr>
    </w:p>
    <w:p w:rsidR="00730CE7" w:rsidRPr="00A824CC" w:rsidRDefault="00730CE7" w:rsidP="00730CE7">
      <w:pPr>
        <w:pStyle w:val="Body"/>
        <w:spacing w:after="0"/>
        <w:rPr>
          <w:rFonts w:ascii="Arial" w:hAnsi="Arial" w:cs="Arial"/>
          <w:b/>
          <w:bCs/>
          <w:color w:val="244061" w:themeColor="accent1" w:themeShade="80"/>
        </w:rPr>
      </w:pPr>
      <w:r w:rsidRPr="00A824CC">
        <w:rPr>
          <w:rFonts w:ascii="Arial" w:hAnsi="Arial" w:cs="Arial"/>
          <w:b/>
          <w:bCs/>
          <w:color w:val="244061" w:themeColor="accent1" w:themeShade="80"/>
        </w:rPr>
        <w:t>2.1. Plant Collection, Authentication and Extraction:</w:t>
      </w:r>
    </w:p>
    <w:p w:rsidR="00730CE7" w:rsidRPr="00360ED0" w:rsidRDefault="00730CE7" w:rsidP="00730CE7">
      <w:pPr>
        <w:pStyle w:val="Body"/>
        <w:spacing w:after="0"/>
        <w:rPr>
          <w:rFonts w:ascii="Arial" w:hAnsi="Arial" w:cs="Arial"/>
          <w:lang w:val="en-IN"/>
        </w:rPr>
      </w:pPr>
      <w:r>
        <w:rPr>
          <w:rFonts w:ascii="Arial" w:hAnsi="Arial" w:cs="Arial"/>
        </w:rPr>
        <w:t xml:space="preserve">The Fresh leaves, fruits and stem of </w:t>
      </w:r>
      <w:r>
        <w:rPr>
          <w:rFonts w:ascii="Arial" w:hAnsi="Arial" w:cs="Arial"/>
          <w:i/>
          <w:iCs/>
        </w:rPr>
        <w:t>P. hymenophyllum</w:t>
      </w:r>
      <w:r w:rsidR="000D0E68">
        <w:rPr>
          <w:rFonts w:ascii="Arial" w:hAnsi="Arial" w:cs="Arial"/>
          <w:i/>
          <w:iCs/>
        </w:rPr>
        <w:t xml:space="preserve"> </w:t>
      </w:r>
      <w:r>
        <w:rPr>
          <w:rFonts w:ascii="Arial" w:hAnsi="Arial" w:cs="Arial"/>
        </w:rPr>
        <w:t>were collected from Kotagiri, The Nilgiris, Tamil Nadu, India during March 2023 and their taxonomic identity was validated by the Botanical Survey of India, Southern Circle, Coimbatore</w:t>
      </w:r>
      <w:r w:rsidR="006E4D8B">
        <w:rPr>
          <w:rFonts w:ascii="Arial" w:hAnsi="Arial" w:cs="Arial"/>
        </w:rPr>
        <w:t xml:space="preserve"> </w:t>
      </w:r>
      <w:r w:rsidR="006E4D8B" w:rsidRPr="006E4D8B">
        <w:rPr>
          <w:rFonts w:ascii="Arial" w:hAnsi="Arial" w:cs="Arial"/>
        </w:rPr>
        <w:t>(Voucher specimen deposited at the Department of Bot</w:t>
      </w:r>
      <w:r w:rsidR="006E4D8B">
        <w:rPr>
          <w:rFonts w:ascii="Arial" w:hAnsi="Arial" w:cs="Arial"/>
        </w:rPr>
        <w:t>any, Government Arts College (A</w:t>
      </w:r>
      <w:r w:rsidR="006E4D8B" w:rsidRPr="006E4D8B">
        <w:rPr>
          <w:rFonts w:ascii="Arial" w:hAnsi="Arial" w:cs="Arial"/>
        </w:rPr>
        <w:t>).</w:t>
      </w:r>
      <w:r>
        <w:rPr>
          <w:rFonts w:ascii="Arial" w:hAnsi="Arial" w:cs="Arial"/>
        </w:rPr>
        <w:t xml:space="preserve"> The plant materials were washed, shade-dried and pulverized</w:t>
      </w:r>
      <w:r w:rsidR="006E4D8B">
        <w:rPr>
          <w:rFonts w:ascii="Arial" w:hAnsi="Arial" w:cs="Arial"/>
        </w:rPr>
        <w:t xml:space="preserve"> </w:t>
      </w:r>
      <w:r w:rsidR="006E4D8B" w:rsidRPr="006E4D8B">
        <w:rPr>
          <w:rFonts w:ascii="Arial" w:hAnsi="Arial" w:cs="Arial"/>
        </w:rPr>
        <w:t>to a particle size of ≤0.5 mm using a Wiley Mill (mesh size 40)</w:t>
      </w:r>
      <w:r>
        <w:rPr>
          <w:rFonts w:ascii="Arial" w:hAnsi="Arial" w:cs="Arial"/>
        </w:rPr>
        <w:t xml:space="preserve">. Sequential extraction was done using Soxhlet apparatus with solvents of increasing polarity, petroleum ether, chloroform, ethyl acetate and ethanol. A final aqueous extraction with hot water was done by hot- maceration techniques. These extracts were subjected for </w:t>
      </w:r>
      <w:r>
        <w:rPr>
          <w:rFonts w:ascii="Arial" w:hAnsi="Arial" w:cs="Arial"/>
          <w:i/>
          <w:iCs/>
          <w:lang w:val="en-IN"/>
        </w:rPr>
        <w:t>in vitro</w:t>
      </w:r>
      <w:r>
        <w:rPr>
          <w:rFonts w:ascii="Arial" w:hAnsi="Arial" w:cs="Arial"/>
          <w:lang w:val="en-IN"/>
        </w:rPr>
        <w:t xml:space="preserve"> anti-inflammatory studies for phytochemical properties and also for GC- MS analysis.</w:t>
      </w:r>
    </w:p>
    <w:p w:rsidR="00E73DE1" w:rsidRDefault="00E73DE1" w:rsidP="00730CE7">
      <w:pPr>
        <w:pStyle w:val="Body"/>
        <w:spacing w:after="0"/>
        <w:rPr>
          <w:rFonts w:ascii="Arial" w:hAnsi="Arial" w:cs="Arial"/>
          <w:b/>
        </w:rPr>
      </w:pPr>
    </w:p>
    <w:p w:rsidR="00730CE7" w:rsidRPr="007B0B93" w:rsidRDefault="00730CE7" w:rsidP="00730CE7">
      <w:pPr>
        <w:pStyle w:val="Body"/>
        <w:spacing w:after="0"/>
        <w:rPr>
          <w:rFonts w:ascii="Arial" w:hAnsi="Arial" w:cs="Arial"/>
          <w:b/>
          <w:bCs/>
          <w:color w:val="244061" w:themeColor="accent1" w:themeShade="80"/>
          <w:lang w:val="en-IN"/>
        </w:rPr>
      </w:pPr>
      <w:r w:rsidRPr="007B0B93">
        <w:rPr>
          <w:rFonts w:ascii="Arial" w:hAnsi="Arial" w:cs="Arial"/>
          <w:b/>
          <w:color w:val="244061" w:themeColor="accent1" w:themeShade="80"/>
        </w:rPr>
        <w:t>2.2</w:t>
      </w:r>
      <w:r w:rsidRPr="007B0B93">
        <w:rPr>
          <w:rFonts w:ascii="Arial" w:hAnsi="Arial" w:cs="Arial"/>
          <w:b/>
          <w:bCs/>
          <w:color w:val="244061" w:themeColor="accent1" w:themeShade="80"/>
          <w:lang w:val="en-IN"/>
        </w:rPr>
        <w:t xml:space="preserve">. </w:t>
      </w:r>
      <w:r w:rsidRPr="007B0B93">
        <w:rPr>
          <w:rFonts w:ascii="Arial" w:hAnsi="Arial" w:cs="Arial"/>
          <w:b/>
          <w:i/>
          <w:iCs/>
          <w:color w:val="244061" w:themeColor="accent1" w:themeShade="80"/>
          <w:lang w:val="en-IN"/>
        </w:rPr>
        <w:t>In vitro</w:t>
      </w:r>
      <w:r w:rsidRPr="007B0B93">
        <w:rPr>
          <w:rFonts w:ascii="Arial" w:hAnsi="Arial" w:cs="Arial"/>
          <w:b/>
          <w:color w:val="244061" w:themeColor="accent1" w:themeShade="80"/>
          <w:lang w:val="en-IN"/>
        </w:rPr>
        <w:t xml:space="preserve"> Anti-Inflammatory activity</w:t>
      </w:r>
    </w:p>
    <w:p w:rsidR="00A824CC" w:rsidRDefault="00A824CC" w:rsidP="00730CE7">
      <w:pPr>
        <w:pStyle w:val="Body"/>
        <w:spacing w:after="0"/>
        <w:rPr>
          <w:rFonts w:ascii="Arial" w:hAnsi="Arial" w:cs="Arial"/>
          <w:b/>
          <w:bCs/>
          <w:lang w:val="en-IN"/>
        </w:rPr>
      </w:pPr>
    </w:p>
    <w:p w:rsidR="00730CE7" w:rsidRPr="00360ED0" w:rsidRDefault="00730CE7" w:rsidP="00730CE7">
      <w:pPr>
        <w:pStyle w:val="Body"/>
        <w:spacing w:after="0"/>
        <w:rPr>
          <w:rFonts w:ascii="Arial" w:hAnsi="Arial" w:cs="Arial"/>
          <w:b/>
          <w:bCs/>
          <w:lang w:val="en-IN"/>
        </w:rPr>
      </w:pPr>
      <w:r>
        <w:rPr>
          <w:rFonts w:ascii="Arial" w:hAnsi="Arial" w:cs="Arial"/>
          <w:b/>
          <w:bCs/>
          <w:lang w:val="en-IN"/>
        </w:rPr>
        <w:t>2.2.1. Membrane-Stabilizing assay</w:t>
      </w:r>
    </w:p>
    <w:p w:rsidR="00730CE7" w:rsidRPr="00360ED0" w:rsidRDefault="00730CE7" w:rsidP="00730CE7">
      <w:pPr>
        <w:pStyle w:val="Body"/>
        <w:spacing w:after="0"/>
        <w:rPr>
          <w:rFonts w:ascii="Arial" w:hAnsi="Arial" w:cs="Arial"/>
          <w:lang w:val="en-IN"/>
        </w:rPr>
      </w:pPr>
      <w:r>
        <w:rPr>
          <w:rFonts w:ascii="Arial" w:hAnsi="Arial" w:cs="Arial"/>
          <w:lang w:val="en-IN"/>
        </w:rPr>
        <w:lastRenderedPageBreak/>
        <w:tab/>
        <w:t xml:space="preserve">In this assay, the </w:t>
      </w:r>
      <w:r>
        <w:rPr>
          <w:rFonts w:ascii="Arial" w:hAnsi="Arial" w:cs="Arial"/>
        </w:rPr>
        <w:t>Debnath’s</w:t>
      </w:r>
      <w:r>
        <w:rPr>
          <w:rFonts w:ascii="Arial" w:hAnsi="Arial" w:cs="Arial"/>
          <w:lang w:val="en-IN"/>
        </w:rPr>
        <w:t xml:space="preserve"> method</w:t>
      </w:r>
      <w:r>
        <w:rPr>
          <w:rFonts w:ascii="Arial" w:hAnsi="Arial" w:cs="Arial"/>
          <w:vertAlign w:val="superscript"/>
          <w:lang w:val="en-IN"/>
        </w:rPr>
        <w:t xml:space="preserve">14 </w:t>
      </w:r>
      <w:r>
        <w:rPr>
          <w:rFonts w:ascii="Arial" w:hAnsi="Arial" w:cs="Arial"/>
          <w:lang w:val="en-IN"/>
        </w:rPr>
        <w:t>was followed with slight modifications. Test samples consisted of 0.5 ml of Human Red Blood Cell (HRBC) stock mixed with 4.5 ml of hypotonic solution (0.9% NaCl) containing varying concentrations of bergapten (a furocoumarin used as a test anti-inflammatory compound; 10, 30</w:t>
      </w:r>
      <w:r w:rsidR="00F83DBD">
        <w:rPr>
          <w:rFonts w:ascii="Arial" w:hAnsi="Arial" w:cs="Arial"/>
          <w:lang w:val="en-IN"/>
        </w:rPr>
        <w:t xml:space="preserve"> and</w:t>
      </w:r>
      <w:r>
        <w:rPr>
          <w:rFonts w:ascii="Arial" w:hAnsi="Arial" w:cs="Arial"/>
          <w:lang w:val="en-IN"/>
        </w:rPr>
        <w:t xml:space="preserve"> 100 μg/ml). The positive control consisted of 0.5 ml of HRBC and 4.5 ml of hypotonic solution in varying concentrations (10, 30</w:t>
      </w:r>
      <w:r w:rsidR="00F83DBD">
        <w:rPr>
          <w:rFonts w:ascii="Arial" w:hAnsi="Arial" w:cs="Arial"/>
          <w:lang w:val="en-IN"/>
        </w:rPr>
        <w:t xml:space="preserve"> and</w:t>
      </w:r>
      <w:r>
        <w:rPr>
          <w:rFonts w:ascii="Arial" w:hAnsi="Arial" w:cs="Arial"/>
          <w:lang w:val="en-IN"/>
        </w:rPr>
        <w:t xml:space="preserve"> 100 μg/ml) of diclofenac sodium (standard drug). The negative control sample consisted of 0.5 ml HRBC suspension mixed with 4.5 ml hypotonic solution alone. The experiment was carried out in triplicates. The mixture was incubated for 10 min at room temperature and then centrifuged for 10 min at 3000 rpm. The hemoglobin content of the supernatant was measured spectrophotometrically (UV mini-1240, SHIMADZU) at 540 nm, as described by Drabkin and Austin (1932). </w:t>
      </w:r>
    </w:p>
    <w:p w:rsidR="00E73DE1" w:rsidRDefault="00E73DE1" w:rsidP="00730CE7">
      <w:pPr>
        <w:pStyle w:val="Body"/>
        <w:spacing w:after="0"/>
        <w:rPr>
          <w:rFonts w:ascii="Arial" w:hAnsi="Arial" w:cs="Arial"/>
          <w:b/>
          <w:lang w:val="en-IN"/>
        </w:rPr>
      </w:pPr>
    </w:p>
    <w:p w:rsidR="00730CE7" w:rsidRPr="00360ED0" w:rsidRDefault="00730CE7" w:rsidP="00730CE7">
      <w:pPr>
        <w:pStyle w:val="Body"/>
        <w:spacing w:after="0"/>
        <w:rPr>
          <w:rFonts w:ascii="Arial" w:hAnsi="Arial" w:cs="Arial"/>
          <w:lang w:val="en-IN"/>
        </w:rPr>
      </w:pPr>
      <w:r>
        <w:rPr>
          <w:rFonts w:ascii="Arial" w:hAnsi="Arial" w:cs="Arial"/>
          <w:b/>
          <w:lang w:val="en-IN"/>
        </w:rPr>
        <w:t>2.2.2. Anti-hemolytic activity (</w:t>
      </w:r>
      <w:r>
        <w:rPr>
          <w:rFonts w:ascii="Arial" w:hAnsi="Arial" w:cs="Arial"/>
          <w:b/>
          <w:bCs/>
          <w:lang w:val="en-IN"/>
        </w:rPr>
        <w:t>Heat-Induced Hemolysis</w:t>
      </w:r>
      <w:r>
        <w:rPr>
          <w:rFonts w:ascii="Arial" w:hAnsi="Arial" w:cs="Arial"/>
          <w:b/>
          <w:lang w:val="en-IN"/>
        </w:rPr>
        <w:t>)</w:t>
      </w:r>
    </w:p>
    <w:p w:rsidR="00730CE7" w:rsidRPr="00360ED0" w:rsidRDefault="00730CE7" w:rsidP="00730CE7">
      <w:pPr>
        <w:pStyle w:val="Body"/>
        <w:spacing w:after="0"/>
        <w:rPr>
          <w:rFonts w:ascii="Arial" w:hAnsi="Arial" w:cs="Arial"/>
          <w:lang w:val="en-IN"/>
        </w:rPr>
      </w:pPr>
      <w:r>
        <w:rPr>
          <w:rFonts w:ascii="Arial" w:hAnsi="Arial" w:cs="Arial"/>
          <w:lang w:val="en-IN"/>
        </w:rPr>
        <w:tab/>
        <w:t xml:space="preserve">The </w:t>
      </w:r>
      <w:r>
        <w:rPr>
          <w:rFonts w:ascii="Arial" w:hAnsi="Arial" w:cs="Arial"/>
        </w:rPr>
        <w:t>Shinde</w:t>
      </w:r>
      <w:r>
        <w:rPr>
          <w:rFonts w:ascii="Arial" w:hAnsi="Arial" w:cs="Arial"/>
          <w:lang w:val="en-IN"/>
        </w:rPr>
        <w:t>’s method</w:t>
      </w:r>
      <w:r>
        <w:rPr>
          <w:rFonts w:ascii="Arial" w:hAnsi="Arial" w:cs="Arial"/>
          <w:vertAlign w:val="superscript"/>
          <w:lang w:val="en-IN"/>
        </w:rPr>
        <w:t>15</w:t>
      </w:r>
      <w:r>
        <w:rPr>
          <w:rFonts w:ascii="Arial" w:hAnsi="Arial" w:cs="Arial"/>
          <w:lang w:val="en-IN"/>
        </w:rPr>
        <w:t xml:space="preserve"> had been previously described and slightly modified and followed by </w:t>
      </w:r>
      <w:r>
        <w:rPr>
          <w:rFonts w:ascii="Arial" w:hAnsi="Arial" w:cs="Arial"/>
        </w:rPr>
        <w:t>Henneh’s method</w:t>
      </w:r>
      <w:r>
        <w:rPr>
          <w:rFonts w:ascii="Arial" w:hAnsi="Arial" w:cs="Arial"/>
          <w:vertAlign w:val="superscript"/>
          <w:lang w:val="en-IN"/>
        </w:rPr>
        <w:t xml:space="preserve"> 16</w:t>
      </w:r>
      <w:r>
        <w:rPr>
          <w:rFonts w:ascii="Arial" w:hAnsi="Arial" w:cs="Arial"/>
          <w:lang w:val="en-IN"/>
        </w:rPr>
        <w:t xml:space="preserve">. The reaction mixture (2 ml) consisted of 1.0 ml of 10% HRBC and 1 ml of various plant extracts (1 mg/ml), which was added to each tube and gently mixed. The positive control consisted of 1.0 ml of HRBC and 1.0 ml of various concentrations of diclofenac sodium (10 to 50 μg/ml). The negative control consisted of 1.0 ml of 10% erythrocyte suspension and 1.0 ml of normal saline alone. The experiment was performed in 50 to 250 μg/ml. The resulting solution was heated at 56° C for 30 min and cooled to room temperature and centrifuged at 2500 rpm for 10 min. The supernatant was collected and the absorbance of each solution was measured spectrophotometrically (UV mini 1240, Shimadzu) at 560 nm as an indicator of the degree of haemolysis. </w:t>
      </w:r>
    </w:p>
    <w:p w:rsidR="00DC5EBE" w:rsidRDefault="00DC5EBE" w:rsidP="00730CE7">
      <w:pPr>
        <w:pStyle w:val="Body"/>
        <w:spacing w:after="0"/>
        <w:rPr>
          <w:rFonts w:ascii="Arial" w:hAnsi="Arial" w:cs="Arial"/>
          <w:b/>
          <w:bCs/>
        </w:rPr>
      </w:pPr>
    </w:p>
    <w:p w:rsidR="00730CE7" w:rsidRPr="00360ED0" w:rsidRDefault="006E4D8B" w:rsidP="00730CE7">
      <w:pPr>
        <w:pStyle w:val="Body"/>
        <w:spacing w:after="0"/>
        <w:rPr>
          <w:rFonts w:ascii="Arial" w:hAnsi="Arial" w:cs="Arial"/>
          <w:b/>
          <w:bCs/>
        </w:rPr>
      </w:pPr>
      <w:r>
        <w:rPr>
          <w:rFonts w:ascii="Arial" w:hAnsi="Arial" w:cs="Arial"/>
          <w:b/>
          <w:bCs/>
        </w:rPr>
        <w:t>2.3</w:t>
      </w:r>
      <w:r w:rsidR="00730CE7">
        <w:rPr>
          <w:rFonts w:ascii="Arial" w:hAnsi="Arial" w:cs="Arial"/>
          <w:b/>
          <w:bCs/>
        </w:rPr>
        <w:t xml:space="preserve"> GC–MS Analysis</w:t>
      </w:r>
    </w:p>
    <w:p w:rsidR="00E73DE1" w:rsidRDefault="00E73DE1" w:rsidP="00730CE7">
      <w:pPr>
        <w:pStyle w:val="Body"/>
        <w:spacing w:after="0"/>
        <w:rPr>
          <w:rFonts w:ascii="Arial" w:hAnsi="Arial" w:cs="Arial"/>
          <w:b/>
        </w:rPr>
      </w:pPr>
    </w:p>
    <w:p w:rsidR="00730CE7" w:rsidRPr="00360ED0" w:rsidRDefault="006E4D8B" w:rsidP="00730CE7">
      <w:pPr>
        <w:pStyle w:val="Body"/>
        <w:spacing w:after="0"/>
        <w:rPr>
          <w:rFonts w:ascii="Arial" w:hAnsi="Arial" w:cs="Arial"/>
          <w:b/>
          <w:bCs/>
        </w:rPr>
      </w:pPr>
      <w:r>
        <w:rPr>
          <w:rFonts w:ascii="Arial" w:hAnsi="Arial" w:cs="Arial"/>
          <w:b/>
        </w:rPr>
        <w:t>2.3</w:t>
      </w:r>
      <w:r w:rsidR="00730CE7">
        <w:rPr>
          <w:rFonts w:ascii="Arial" w:hAnsi="Arial" w:cs="Arial"/>
          <w:b/>
        </w:rPr>
        <w:t>.1. Instrument Method:</w:t>
      </w:r>
    </w:p>
    <w:p w:rsidR="00730CE7" w:rsidRPr="00360ED0" w:rsidRDefault="00730CE7" w:rsidP="00730CE7">
      <w:pPr>
        <w:pStyle w:val="Body"/>
        <w:spacing w:after="0"/>
        <w:rPr>
          <w:rFonts w:ascii="Arial" w:hAnsi="Arial" w:cs="Arial"/>
        </w:rPr>
      </w:pPr>
      <w:r>
        <w:rPr>
          <w:rFonts w:ascii="Arial" w:hAnsi="Arial" w:cs="Arial"/>
        </w:rPr>
        <w:t xml:space="preserve">The </w:t>
      </w:r>
      <w:r>
        <w:rPr>
          <w:rFonts w:ascii="Arial" w:hAnsi="Arial" w:cs="Arial"/>
          <w:bCs/>
        </w:rPr>
        <w:t>Agilent 7890B GC system coupled with 5977B MSD</w:t>
      </w:r>
      <w:r>
        <w:rPr>
          <w:rFonts w:ascii="Arial" w:hAnsi="Arial" w:cs="Arial"/>
        </w:rPr>
        <w:t xml:space="preserve"> were engaged and experimented for GC-MS analysis. The instrument was set as follows, Injector port temperature set to 250</w:t>
      </w:r>
      <w:r>
        <w:rPr>
          <w:rFonts w:ascii="Arial" w:hAnsi="Arial" w:cs="Arial"/>
          <w:vertAlign w:val="superscript"/>
        </w:rPr>
        <w:t>o</w:t>
      </w:r>
      <w:r>
        <w:rPr>
          <w:rFonts w:ascii="Arial" w:hAnsi="Arial" w:cs="Arial"/>
        </w:rPr>
        <w:t xml:space="preserve"> C, Interface temperature set as 260</w:t>
      </w:r>
      <w:r>
        <w:rPr>
          <w:rFonts w:ascii="Arial" w:hAnsi="Arial" w:cs="Arial"/>
          <w:vertAlign w:val="superscript"/>
        </w:rPr>
        <w:t>o</w:t>
      </w:r>
      <w:r>
        <w:rPr>
          <w:rFonts w:ascii="Arial" w:hAnsi="Arial" w:cs="Arial"/>
        </w:rPr>
        <w:t xml:space="preserve"> C, source kept at 200</w:t>
      </w:r>
      <w:r>
        <w:rPr>
          <w:rFonts w:ascii="Arial" w:hAnsi="Arial" w:cs="Arial"/>
          <w:vertAlign w:val="superscript"/>
        </w:rPr>
        <w:t>o</w:t>
      </w:r>
      <w:r>
        <w:rPr>
          <w:rFonts w:ascii="Arial" w:hAnsi="Arial" w:cs="Arial"/>
        </w:rPr>
        <w:t>C. The oven temperature programmed as available, 70</w:t>
      </w:r>
      <w:r>
        <w:rPr>
          <w:rFonts w:ascii="Arial" w:hAnsi="Arial" w:cs="Arial"/>
          <w:vertAlign w:val="superscript"/>
        </w:rPr>
        <w:t>o</w:t>
      </w:r>
      <w:r>
        <w:rPr>
          <w:rFonts w:ascii="Arial" w:hAnsi="Arial" w:cs="Arial"/>
        </w:rPr>
        <w:t xml:space="preserve"> C for 2 mins, 160</w:t>
      </w:r>
      <w:r>
        <w:rPr>
          <w:rFonts w:ascii="Arial" w:hAnsi="Arial" w:cs="Arial"/>
          <w:vertAlign w:val="superscript"/>
        </w:rPr>
        <w:t xml:space="preserve">o </w:t>
      </w:r>
      <w:r>
        <w:rPr>
          <w:rFonts w:ascii="Arial" w:hAnsi="Arial" w:cs="Arial"/>
        </w:rPr>
        <w:t>C at 7</w:t>
      </w:r>
      <w:r>
        <w:rPr>
          <w:rFonts w:ascii="Arial" w:hAnsi="Arial" w:cs="Arial"/>
          <w:vertAlign w:val="superscript"/>
        </w:rPr>
        <w:t>o</w:t>
      </w:r>
      <w:r>
        <w:rPr>
          <w:rFonts w:ascii="Arial" w:hAnsi="Arial" w:cs="Arial"/>
        </w:rPr>
        <w:t>C/min, upto 280</w:t>
      </w:r>
      <w:r>
        <w:rPr>
          <w:rFonts w:ascii="Arial" w:hAnsi="Arial" w:cs="Arial"/>
          <w:vertAlign w:val="superscript"/>
        </w:rPr>
        <w:t>o</w:t>
      </w:r>
      <w:r>
        <w:rPr>
          <w:rFonts w:ascii="Arial" w:hAnsi="Arial" w:cs="Arial"/>
        </w:rPr>
        <w:t xml:space="preserve"> C at 10</w:t>
      </w:r>
      <w:r>
        <w:rPr>
          <w:rFonts w:ascii="Arial" w:hAnsi="Arial" w:cs="Arial"/>
          <w:vertAlign w:val="superscript"/>
        </w:rPr>
        <w:t>o</w:t>
      </w:r>
      <w:r>
        <w:rPr>
          <w:rFonts w:ascii="Arial" w:hAnsi="Arial" w:cs="Arial"/>
        </w:rPr>
        <w:t>C/min. Split ratio set as 1:50 and the injector used was splitless mode. The DB-35 MS Non polar column was used whose dimensions were 0.25 mm OD x 0.25 μm ID x 30 meters length procured from Agilent Co., USA. Helium was used as the carrier gas at 1 ml/min. The MS was set to scan from 50 to 650 Da. The source was maintained at 200</w:t>
      </w:r>
      <w:r>
        <w:rPr>
          <w:rFonts w:ascii="Arial" w:hAnsi="Arial" w:cs="Arial"/>
          <w:vertAlign w:val="superscript"/>
        </w:rPr>
        <w:t>o</w:t>
      </w:r>
      <w:r>
        <w:rPr>
          <w:rFonts w:ascii="Arial" w:hAnsi="Arial" w:cs="Arial"/>
        </w:rPr>
        <w:t>C and &lt; 40 motor vacuum pressure. The ionization energy was -70eV. The MS was also having inbuilt pre-filter which reduced the neutral particles. The data system has two inbuilt libraries for searching and matching the spectrum. NIST4 and WILEY9 each contain more than five million references. Only those compounds with spectral fit values equal to or greater than 700 were considered positive identification.</w:t>
      </w:r>
    </w:p>
    <w:p w:rsidR="00E73DE1" w:rsidRDefault="00E73DE1" w:rsidP="00730CE7">
      <w:pPr>
        <w:pStyle w:val="Body"/>
        <w:spacing w:after="0"/>
        <w:rPr>
          <w:rFonts w:ascii="Arial" w:hAnsi="Arial" w:cs="Arial"/>
          <w:b/>
        </w:rPr>
      </w:pPr>
    </w:p>
    <w:p w:rsidR="00730CE7" w:rsidRPr="00360ED0" w:rsidRDefault="006E4D8B" w:rsidP="00730CE7">
      <w:pPr>
        <w:pStyle w:val="Body"/>
        <w:spacing w:after="0"/>
        <w:rPr>
          <w:rFonts w:ascii="Arial" w:hAnsi="Arial" w:cs="Arial"/>
          <w:b/>
        </w:rPr>
      </w:pPr>
      <w:r>
        <w:rPr>
          <w:rFonts w:ascii="Arial" w:hAnsi="Arial" w:cs="Arial"/>
          <w:b/>
        </w:rPr>
        <w:t>2.3</w:t>
      </w:r>
      <w:r w:rsidR="00730CE7">
        <w:rPr>
          <w:rFonts w:ascii="Arial" w:hAnsi="Arial" w:cs="Arial"/>
          <w:b/>
        </w:rPr>
        <w:t>.2. Identification of compounds:</w:t>
      </w:r>
    </w:p>
    <w:p w:rsidR="00730CE7" w:rsidRPr="00360ED0" w:rsidRDefault="00730CE7" w:rsidP="00730CE7">
      <w:pPr>
        <w:pStyle w:val="Body"/>
        <w:spacing w:after="0"/>
        <w:rPr>
          <w:rFonts w:ascii="Arial" w:hAnsi="Arial" w:cs="Arial"/>
        </w:rPr>
      </w:pPr>
      <w:r>
        <w:rPr>
          <w:rFonts w:ascii="Arial" w:hAnsi="Arial" w:cs="Arial"/>
        </w:rPr>
        <w:t>Interpretation of mass spectrum of GC – MS was done using the data base of National Institute Standard and Technology, NIST4 and WILEY9. The spectrum of the known component was compared with the spectrum of the known components stored in the inbuilt library.</w:t>
      </w:r>
    </w:p>
    <w:p w:rsidR="00E73DE1" w:rsidRDefault="00E73DE1" w:rsidP="00730CE7">
      <w:pPr>
        <w:pStyle w:val="Body"/>
        <w:spacing w:after="0"/>
        <w:rPr>
          <w:rFonts w:ascii="Arial" w:hAnsi="Arial" w:cs="Arial"/>
          <w:b/>
          <w:bCs/>
        </w:rPr>
      </w:pPr>
    </w:p>
    <w:p w:rsidR="00730CE7" w:rsidRDefault="00730CE7" w:rsidP="00730CE7">
      <w:pPr>
        <w:pStyle w:val="Body"/>
        <w:spacing w:after="0"/>
        <w:rPr>
          <w:rFonts w:ascii="Arial" w:hAnsi="Arial" w:cs="Arial"/>
          <w:b/>
          <w:bCs/>
          <w:color w:val="244061" w:themeColor="accent1" w:themeShade="80"/>
        </w:rPr>
      </w:pPr>
      <w:r w:rsidRPr="00A824CC">
        <w:rPr>
          <w:rFonts w:ascii="Arial" w:hAnsi="Arial" w:cs="Arial"/>
          <w:b/>
          <w:bCs/>
          <w:color w:val="244061" w:themeColor="accent1" w:themeShade="80"/>
        </w:rPr>
        <w:t>2.</w:t>
      </w:r>
      <w:r w:rsidR="006E4D8B" w:rsidRPr="00A824CC">
        <w:rPr>
          <w:rFonts w:ascii="Arial" w:hAnsi="Arial" w:cs="Arial"/>
          <w:b/>
          <w:bCs/>
          <w:color w:val="244061" w:themeColor="accent1" w:themeShade="80"/>
        </w:rPr>
        <w:t>4</w:t>
      </w:r>
      <w:r w:rsidR="00891282" w:rsidRPr="00A824CC">
        <w:rPr>
          <w:rFonts w:ascii="Arial" w:hAnsi="Arial" w:cs="Arial"/>
          <w:b/>
          <w:bCs/>
          <w:i/>
          <w:color w:val="244061" w:themeColor="accent1" w:themeShade="80"/>
        </w:rPr>
        <w:t>.</w:t>
      </w:r>
      <w:r w:rsidR="00F26472" w:rsidRPr="00A824CC">
        <w:rPr>
          <w:rFonts w:ascii="Arial" w:hAnsi="Arial" w:cs="Arial"/>
          <w:b/>
          <w:bCs/>
          <w:i/>
          <w:color w:val="244061" w:themeColor="accent1" w:themeShade="80"/>
        </w:rPr>
        <w:t xml:space="preserve"> </w:t>
      </w:r>
      <w:r w:rsidR="0095012C" w:rsidRPr="0095012C">
        <w:rPr>
          <w:rFonts w:ascii="Arial" w:hAnsi="Arial" w:cs="Arial"/>
          <w:b/>
          <w:bCs/>
          <w:i/>
          <w:color w:val="244061" w:themeColor="accent1" w:themeShade="80"/>
        </w:rPr>
        <w:t>In silico</w:t>
      </w:r>
      <w:r w:rsidR="000D0E68" w:rsidRPr="00A824CC">
        <w:rPr>
          <w:rFonts w:ascii="Arial" w:hAnsi="Arial" w:cs="Arial"/>
          <w:b/>
          <w:bCs/>
          <w:i/>
          <w:color w:val="244061" w:themeColor="accent1" w:themeShade="80"/>
        </w:rPr>
        <w:t xml:space="preserve"> </w:t>
      </w:r>
      <w:r w:rsidRPr="00A824CC">
        <w:rPr>
          <w:rFonts w:ascii="Arial" w:hAnsi="Arial" w:cs="Arial"/>
          <w:b/>
          <w:bCs/>
          <w:color w:val="244061" w:themeColor="accent1" w:themeShade="80"/>
        </w:rPr>
        <w:t>ADMET Analysis</w:t>
      </w:r>
    </w:p>
    <w:p w:rsidR="00A824CC" w:rsidRPr="00A824CC" w:rsidRDefault="00A824CC" w:rsidP="00730CE7">
      <w:pPr>
        <w:pStyle w:val="Body"/>
        <w:spacing w:after="0"/>
        <w:rPr>
          <w:rFonts w:ascii="Arial" w:hAnsi="Arial" w:cs="Arial"/>
          <w:b/>
          <w:bCs/>
          <w:color w:val="244061" w:themeColor="accent1" w:themeShade="80"/>
        </w:rPr>
      </w:pPr>
    </w:p>
    <w:p w:rsidR="00730CE7" w:rsidRDefault="00045FEF" w:rsidP="00730CE7">
      <w:pPr>
        <w:pStyle w:val="Body"/>
        <w:spacing w:after="0"/>
        <w:rPr>
          <w:rFonts w:ascii="Arial" w:hAnsi="Arial" w:cs="Arial"/>
        </w:rPr>
      </w:pPr>
      <w:r>
        <w:rPr>
          <w:rFonts w:ascii="Arial" w:hAnsi="Arial" w:cs="Arial"/>
        </w:rPr>
        <w:t>The SwissADME web tool</w:t>
      </w:r>
      <w:r w:rsidR="001C1780">
        <w:rPr>
          <w:rFonts w:ascii="Arial" w:hAnsi="Arial" w:cs="Arial"/>
          <w:vertAlign w:val="superscript"/>
        </w:rPr>
        <w:t>11</w:t>
      </w:r>
      <w:r>
        <w:rPr>
          <w:rFonts w:ascii="Arial" w:hAnsi="Arial" w:cs="Arial"/>
        </w:rPr>
        <w:t>(</w:t>
      </w:r>
      <w:r w:rsidR="00730CE7">
        <w:rPr>
          <w:rFonts w:ascii="Arial" w:hAnsi="Arial" w:cs="Arial"/>
        </w:rPr>
        <w:t xml:space="preserve">www.swissadme.ch) was used to evaluate drug-likeness, absorption, distribution, </w:t>
      </w:r>
      <w:r w:rsidR="00882ADA">
        <w:rPr>
          <w:rFonts w:ascii="Arial" w:hAnsi="Arial" w:cs="Arial"/>
        </w:rPr>
        <w:t>metabolism and</w:t>
      </w:r>
      <w:r w:rsidR="00730CE7">
        <w:rPr>
          <w:rFonts w:ascii="Arial" w:hAnsi="Arial" w:cs="Arial"/>
        </w:rPr>
        <w:t xml:space="preserve"> excretion and toxicity </w:t>
      </w:r>
      <w:r w:rsidR="00882ADA">
        <w:rPr>
          <w:rFonts w:ascii="Arial" w:hAnsi="Arial" w:cs="Arial"/>
        </w:rPr>
        <w:t>studies, the ProTox web tool was used. The ADMET</w:t>
      </w:r>
      <w:r w:rsidR="00730CE7">
        <w:rPr>
          <w:rFonts w:ascii="Arial" w:hAnsi="Arial" w:cs="Arial"/>
        </w:rPr>
        <w:t xml:space="preserve"> profiles of the lead compounds identified by GC-MS analysis.</w:t>
      </w:r>
    </w:p>
    <w:p w:rsidR="006E4D8B" w:rsidRDefault="006E4D8B" w:rsidP="006E4D8B">
      <w:pPr>
        <w:pStyle w:val="Body"/>
        <w:spacing w:after="0"/>
        <w:rPr>
          <w:rFonts w:ascii="Arial" w:hAnsi="Arial" w:cs="Arial"/>
        </w:rPr>
      </w:pPr>
    </w:p>
    <w:p w:rsidR="00F26472" w:rsidRDefault="006E4D8B" w:rsidP="00F26472">
      <w:pPr>
        <w:spacing w:after="0" w:line="240" w:lineRule="auto"/>
        <w:rPr>
          <w:rFonts w:ascii="Arial" w:eastAsia="Arial" w:hAnsi="Arial" w:cs="Arial"/>
          <w:b/>
          <w:color w:val="244061" w:themeColor="accent1" w:themeShade="80"/>
          <w:sz w:val="20"/>
          <w:szCs w:val="20"/>
        </w:rPr>
      </w:pPr>
      <w:r w:rsidRPr="00A824CC">
        <w:rPr>
          <w:rFonts w:ascii="Arial" w:hAnsi="Arial" w:cs="Arial"/>
          <w:b/>
          <w:color w:val="244061" w:themeColor="accent1" w:themeShade="80"/>
          <w:sz w:val="20"/>
          <w:szCs w:val="20"/>
        </w:rPr>
        <w:t xml:space="preserve">2.5. </w:t>
      </w:r>
      <w:r w:rsidRPr="00A824CC">
        <w:rPr>
          <w:rFonts w:ascii="Arial" w:eastAsia="Arial" w:hAnsi="Arial" w:cs="Arial"/>
          <w:b/>
          <w:color w:val="244061" w:themeColor="accent1" w:themeShade="80"/>
          <w:sz w:val="20"/>
          <w:szCs w:val="20"/>
        </w:rPr>
        <w:t>Statistical Analysis</w:t>
      </w:r>
    </w:p>
    <w:p w:rsidR="00A824CC" w:rsidRPr="00A824CC" w:rsidRDefault="00A824CC" w:rsidP="0095012C">
      <w:pPr>
        <w:spacing w:after="0" w:line="240" w:lineRule="auto"/>
        <w:jc w:val="both"/>
        <w:rPr>
          <w:rFonts w:ascii="Arial" w:hAnsi="Arial" w:cs="Arial"/>
          <w:b/>
          <w:color w:val="244061" w:themeColor="accent1" w:themeShade="80"/>
          <w:sz w:val="20"/>
          <w:szCs w:val="20"/>
        </w:rPr>
      </w:pPr>
    </w:p>
    <w:p w:rsidR="00F26472" w:rsidRPr="00F26472" w:rsidRDefault="006E4D8B" w:rsidP="0095012C">
      <w:pPr>
        <w:spacing w:after="0" w:line="240" w:lineRule="auto"/>
        <w:jc w:val="both"/>
        <w:rPr>
          <w:rFonts w:ascii="Arial" w:hAnsi="Arial" w:cs="Arial"/>
          <w:b/>
          <w:sz w:val="20"/>
          <w:szCs w:val="20"/>
        </w:rPr>
      </w:pPr>
      <w:r w:rsidRPr="00F26472">
        <w:rPr>
          <w:rFonts w:ascii="Arial" w:eastAsia="Times New Roman" w:hAnsi="Arial" w:cs="Arial"/>
          <w:sz w:val="20"/>
          <w:szCs w:val="20"/>
        </w:rPr>
        <w:t xml:space="preserve">All experiments were conducted in triplicate and results are expressed as mean ± standard deviation (SD). Data were subjected to one-way analysis of variance (ANOVA) followed by Duncan's multiple range test (DMRT) for pairwise comparisons. A significance threshold of </w:t>
      </w:r>
      <w:r w:rsidRPr="00F26472">
        <w:rPr>
          <w:rFonts w:ascii="Arial" w:eastAsia="Times New Roman" w:hAnsi="Arial" w:cs="Arial"/>
          <w:i/>
          <w:iCs/>
          <w:sz w:val="20"/>
          <w:szCs w:val="20"/>
        </w:rPr>
        <w:t>p</w:t>
      </w:r>
      <w:r w:rsidRPr="00F26472">
        <w:rPr>
          <w:rFonts w:ascii="Arial" w:eastAsia="Times New Roman" w:hAnsi="Arial" w:cs="Arial"/>
          <w:sz w:val="20"/>
          <w:szCs w:val="20"/>
        </w:rPr>
        <w:t>&lt; 0.05 was applied throughout. Statistical analyses were performed using SPSS Statistics version 26.0 (IBM Corp., Armonk, NY, USA). IC</w:t>
      </w:r>
      <w:r w:rsidRPr="00F26472">
        <w:rPr>
          <w:rFonts w:eastAsia="Times New Roman" w:cs="Arial"/>
          <w:sz w:val="20"/>
          <w:szCs w:val="20"/>
        </w:rPr>
        <w:t>₅₀</w:t>
      </w:r>
      <w:r w:rsidRPr="00F26472">
        <w:rPr>
          <w:rFonts w:ascii="Arial" w:eastAsia="Times New Roman" w:hAnsi="Arial" w:cs="Arial"/>
          <w:sz w:val="20"/>
          <w:szCs w:val="20"/>
        </w:rPr>
        <w:t xml:space="preserve"> values for the heat-induced hemolysis assay were calculated using non-linear regression analysis with GraphPad Prism version 9.0 (GraphPad Software, San Diego, CA, USA).</w:t>
      </w:r>
    </w:p>
    <w:p w:rsidR="00A824CC" w:rsidRDefault="00A824CC" w:rsidP="0095012C">
      <w:pPr>
        <w:pStyle w:val="Body"/>
        <w:spacing w:after="0"/>
        <w:rPr>
          <w:rFonts w:ascii="Arial" w:eastAsia="Arial" w:hAnsi="Arial" w:cs="Arial"/>
          <w:b/>
          <w:bCs/>
          <w:color w:val="244061" w:themeColor="accent1" w:themeShade="80"/>
          <w:sz w:val="22"/>
        </w:rPr>
      </w:pPr>
    </w:p>
    <w:p w:rsidR="00F26472" w:rsidRPr="00D76777" w:rsidRDefault="00F26472" w:rsidP="0095012C">
      <w:pPr>
        <w:pStyle w:val="Body"/>
        <w:spacing w:after="0"/>
        <w:rPr>
          <w:rFonts w:ascii="Arial" w:eastAsia="Arial" w:hAnsi="Arial" w:cs="Arial"/>
          <w:b/>
          <w:bCs/>
          <w:color w:val="244061" w:themeColor="accent1" w:themeShade="80"/>
          <w:sz w:val="22"/>
        </w:rPr>
      </w:pPr>
      <w:r w:rsidRPr="00D76777">
        <w:rPr>
          <w:rFonts w:ascii="Arial" w:eastAsia="Arial" w:hAnsi="Arial" w:cs="Arial"/>
          <w:b/>
          <w:bCs/>
          <w:color w:val="244061" w:themeColor="accent1" w:themeShade="80"/>
          <w:sz w:val="22"/>
        </w:rPr>
        <w:t>3. RESULTS</w:t>
      </w:r>
    </w:p>
    <w:p w:rsidR="007B0B93" w:rsidRPr="007B0B93" w:rsidRDefault="007B0B93" w:rsidP="0095012C">
      <w:pPr>
        <w:pStyle w:val="Body"/>
        <w:spacing w:after="0"/>
        <w:rPr>
          <w:rFonts w:ascii="Arial" w:hAnsi="Arial" w:cs="Arial"/>
          <w:b/>
          <w:bCs/>
          <w:color w:val="244061" w:themeColor="accent1" w:themeShade="80"/>
          <w:sz w:val="22"/>
        </w:rPr>
      </w:pPr>
    </w:p>
    <w:p w:rsidR="00F26472" w:rsidRDefault="00F26472" w:rsidP="0095012C">
      <w:pPr>
        <w:pStyle w:val="Body"/>
        <w:spacing w:after="0"/>
        <w:rPr>
          <w:rFonts w:ascii="Arial" w:eastAsia="Arial" w:hAnsi="Arial" w:cs="Arial"/>
          <w:b/>
          <w:bCs/>
          <w:i/>
          <w:color w:val="244061" w:themeColor="accent1" w:themeShade="80"/>
        </w:rPr>
      </w:pPr>
      <w:r w:rsidRPr="00A824CC">
        <w:rPr>
          <w:rFonts w:ascii="Arial" w:eastAsia="Arial" w:hAnsi="Arial" w:cs="Arial"/>
          <w:b/>
          <w:bCs/>
          <w:color w:val="244061" w:themeColor="accent1" w:themeShade="80"/>
        </w:rPr>
        <w:t xml:space="preserve">3.1. Anti-inflammatory Activity of </w:t>
      </w:r>
      <w:r w:rsidRPr="00A824CC">
        <w:rPr>
          <w:rFonts w:ascii="Arial" w:eastAsia="Arial" w:hAnsi="Arial" w:cs="Arial"/>
          <w:b/>
          <w:bCs/>
          <w:i/>
          <w:color w:val="244061" w:themeColor="accent1" w:themeShade="80"/>
        </w:rPr>
        <w:t>Piper hymenophyllum</w:t>
      </w:r>
    </w:p>
    <w:p w:rsidR="00A824CC" w:rsidRPr="00A824CC" w:rsidRDefault="00A824CC" w:rsidP="0095012C">
      <w:pPr>
        <w:pStyle w:val="Body"/>
        <w:spacing w:after="0"/>
        <w:rPr>
          <w:rFonts w:ascii="Arial" w:hAnsi="Arial" w:cs="Arial"/>
          <w:b/>
          <w:bCs/>
          <w:color w:val="244061" w:themeColor="accent1" w:themeShade="80"/>
        </w:rPr>
      </w:pPr>
    </w:p>
    <w:p w:rsidR="00F26472" w:rsidRPr="00F26472" w:rsidRDefault="00F26472" w:rsidP="0095012C">
      <w:pPr>
        <w:pStyle w:val="Body"/>
        <w:spacing w:after="0"/>
        <w:rPr>
          <w:rFonts w:ascii="Arial" w:hAnsi="Arial" w:cs="Arial"/>
        </w:rPr>
      </w:pPr>
      <w:r w:rsidRPr="00F26472">
        <w:rPr>
          <w:rFonts w:ascii="Arial" w:hAnsi="Arial" w:cs="Arial"/>
        </w:rPr>
        <w:t xml:space="preserve">Inflammation is a complex biological response involving cellular signaling pathways, oxidative stress and membrane destabilization. The anti-inflammatory potential of </w:t>
      </w:r>
      <w:r w:rsidRPr="00F26472">
        <w:rPr>
          <w:rFonts w:ascii="Arial" w:hAnsi="Arial" w:cs="Arial"/>
          <w:i/>
          <w:iCs/>
        </w:rPr>
        <w:t>P. hymenophyllum</w:t>
      </w:r>
      <w:r w:rsidRPr="00F26472">
        <w:rPr>
          <w:rFonts w:ascii="Arial" w:hAnsi="Arial" w:cs="Arial"/>
        </w:rPr>
        <w:t xml:space="preserve"> was evaluated using the membrane stabilization assay and heat-induced hemolysis assay, both well-established </w:t>
      </w:r>
      <w:r w:rsidRPr="00F26472">
        <w:rPr>
          <w:rFonts w:ascii="Arial" w:hAnsi="Arial" w:cs="Arial"/>
          <w:i/>
        </w:rPr>
        <w:t>in vitro</w:t>
      </w:r>
      <w:r w:rsidRPr="00F26472">
        <w:rPr>
          <w:rFonts w:ascii="Arial" w:hAnsi="Arial" w:cs="Arial"/>
        </w:rPr>
        <w:t xml:space="preserve"> models for screening anti-inflammatory agents.</w:t>
      </w:r>
    </w:p>
    <w:p w:rsidR="00F26472" w:rsidRPr="00F26472" w:rsidRDefault="00F26472" w:rsidP="0095012C">
      <w:pPr>
        <w:pStyle w:val="Body"/>
        <w:spacing w:after="0"/>
        <w:rPr>
          <w:rFonts w:ascii="Arial" w:hAnsi="Arial" w:cs="Arial"/>
        </w:rPr>
      </w:pPr>
      <w:r w:rsidRPr="00F26472">
        <w:rPr>
          <w:rFonts w:ascii="Arial" w:hAnsi="Arial" w:cs="Arial"/>
          <w:b/>
          <w:bCs/>
        </w:rPr>
        <w:lastRenderedPageBreak/>
        <w:t xml:space="preserve">Membrane Stabilization Assay. </w:t>
      </w:r>
      <w:r w:rsidRPr="00F26472">
        <w:rPr>
          <w:rFonts w:ascii="Arial" w:hAnsi="Arial" w:cs="Arial"/>
        </w:rPr>
        <w:t xml:space="preserve">The erythrocyte membrane stabilization method is premised on the fact that the HRBC membrane resembles the lysosomal membrane; stabilization of the HRBC membrane implies inhibition of inflammatory mediator release. In the present study, all extracts of </w:t>
      </w:r>
      <w:r w:rsidRPr="00F26472">
        <w:rPr>
          <w:rFonts w:ascii="Arial" w:hAnsi="Arial" w:cs="Arial"/>
          <w:i/>
          <w:iCs/>
        </w:rPr>
        <w:t>P. hymenophyllum</w:t>
      </w:r>
      <w:r w:rsidRPr="00F26472">
        <w:rPr>
          <w:rFonts w:ascii="Arial" w:hAnsi="Arial" w:cs="Arial"/>
        </w:rPr>
        <w:t xml:space="preserve"> exhibited varying degrees of membrane stabilization ranging from 20.33% to 71.98% inhibition. The ethyl acetate extract of leaf demonstrated the highest inhibition (71.98 ± 0.89%), comparable to diclofenac sodium (82.41 ± 1.35%). This activity is attributed to the semi-polar phytoconstituents flavonoids, phenolics, sterols and terpenoids </w:t>
      </w:r>
      <w:r>
        <w:rPr>
          <w:rFonts w:ascii="Arial" w:hAnsi="Arial" w:cs="Arial"/>
        </w:rPr>
        <w:t xml:space="preserve"> </w:t>
      </w:r>
      <w:r w:rsidRPr="00F26472">
        <w:rPr>
          <w:rFonts w:ascii="Arial" w:hAnsi="Arial" w:cs="Arial"/>
        </w:rPr>
        <w:t>enriched in the ethyl acetate fraction. These findings align with reports that plant-derived phenolics and terpenoids stabilize lysosomal membranes and inhibit the release of prostaglandins and cytokines</w:t>
      </w:r>
      <w:r w:rsidRPr="00F26472">
        <w:rPr>
          <w:rFonts w:ascii="Arial" w:hAnsi="Arial" w:cs="Arial"/>
          <w:vertAlign w:val="superscript"/>
        </w:rPr>
        <w:t>17,18</w:t>
      </w:r>
      <w:r w:rsidRPr="00F26472">
        <w:rPr>
          <w:rFonts w:ascii="Arial" w:hAnsi="Arial" w:cs="Arial"/>
        </w:rPr>
        <w:t xml:space="preserve"> (Table 1).</w:t>
      </w:r>
    </w:p>
    <w:p w:rsidR="00F26472" w:rsidRPr="00F26472" w:rsidRDefault="00F26472" w:rsidP="00F26472">
      <w:pPr>
        <w:pStyle w:val="Body"/>
        <w:spacing w:after="0"/>
        <w:rPr>
          <w:rFonts w:ascii="Arial" w:hAnsi="Arial" w:cs="Arial"/>
          <w:b/>
        </w:rPr>
      </w:pPr>
      <w:r w:rsidRPr="00F26472">
        <w:rPr>
          <w:rFonts w:ascii="Arial" w:hAnsi="Arial" w:cs="Arial"/>
          <w:b/>
          <w:bCs/>
        </w:rPr>
        <w:t xml:space="preserve">Heat-Induced Hemolysis Assay. </w:t>
      </w:r>
      <w:r w:rsidRPr="00F26472">
        <w:rPr>
          <w:rFonts w:ascii="Arial" w:hAnsi="Arial" w:cs="Arial"/>
        </w:rPr>
        <w:t xml:space="preserve">The heat-induced hemolysis assay further confirmed the anti-inflammatory potential of </w:t>
      </w:r>
      <w:r w:rsidRPr="00F26472">
        <w:rPr>
          <w:rFonts w:ascii="Arial" w:hAnsi="Arial" w:cs="Arial"/>
          <w:i/>
          <w:iCs/>
        </w:rPr>
        <w:t>P. hymenophyllum</w:t>
      </w:r>
      <w:r w:rsidRPr="00F26472">
        <w:rPr>
          <w:rFonts w:ascii="Arial" w:hAnsi="Arial" w:cs="Arial"/>
        </w:rPr>
        <w:t>. IC</w:t>
      </w:r>
      <w:r w:rsidRPr="00F26472">
        <w:rPr>
          <w:rFonts w:ascii="Cambria Math" w:hAnsi="Cambria Math" w:cs="Cambria Math"/>
        </w:rPr>
        <w:t>₅₀</w:t>
      </w:r>
      <w:r w:rsidRPr="00F26472">
        <w:rPr>
          <w:rFonts w:ascii="Arial" w:hAnsi="Arial" w:cs="Arial"/>
        </w:rPr>
        <w:t xml:space="preserve"> values ranged from 23.68 µg/mL to 187.81 µg/mL, demonstrating a dose-dependent inhibitory effect. The ethyl acetate leaf extract exhibited the lowest IC</w:t>
      </w:r>
      <w:r w:rsidRPr="00F26472">
        <w:rPr>
          <w:rFonts w:ascii="Cambria Math" w:hAnsi="Cambria Math" w:cs="Cambria Math"/>
        </w:rPr>
        <w:t>₅₀</w:t>
      </w:r>
      <w:r w:rsidRPr="00F26472">
        <w:rPr>
          <w:rFonts w:ascii="Arial" w:hAnsi="Arial" w:cs="Arial"/>
        </w:rPr>
        <w:t xml:space="preserve"> (23.68 µg/mL), closely comparable to diclofenac sodium (17.92 µg/mL). The strong inhibition of hemolysis suggests membrane protein stabilization, reduction of oxidative damage and inhibition of inflammatory enzyme activity. This aligns with reports that plant-derived sterols and fatty acids reduce membrane permeability and inhibit COX and LOX pathways</w:t>
      </w:r>
      <w:r w:rsidRPr="00F26472">
        <w:rPr>
          <w:rFonts w:ascii="Arial" w:hAnsi="Arial" w:cs="Arial"/>
          <w:vertAlign w:val="superscript"/>
        </w:rPr>
        <w:t>29</w:t>
      </w:r>
      <w:r w:rsidRPr="00F26472">
        <w:rPr>
          <w:rFonts w:ascii="Arial" w:hAnsi="Arial" w:cs="Arial"/>
        </w:rPr>
        <w:t>, thereby suppressing inflammation</w:t>
      </w:r>
      <w:r w:rsidRPr="00F26472">
        <w:rPr>
          <w:rFonts w:ascii="Arial" w:hAnsi="Arial" w:cs="Arial"/>
          <w:vertAlign w:val="superscript"/>
        </w:rPr>
        <w:t>19</w:t>
      </w:r>
      <w:r w:rsidRPr="00F26472">
        <w:rPr>
          <w:rFonts w:ascii="Arial" w:hAnsi="Arial" w:cs="Arial"/>
        </w:rPr>
        <w:t xml:space="preserve"> (Table 1).</w:t>
      </w:r>
    </w:p>
    <w:p w:rsidR="00F26472" w:rsidRDefault="00F26472" w:rsidP="00F26472">
      <w:pPr>
        <w:pStyle w:val="Body"/>
        <w:spacing w:after="0"/>
        <w:rPr>
          <w:rFonts w:ascii="Arial" w:hAnsi="Arial" w:cs="Arial"/>
        </w:rPr>
      </w:pPr>
      <w:r w:rsidRPr="00F26472">
        <w:rPr>
          <w:rFonts w:ascii="Arial" w:hAnsi="Arial" w:cs="Arial"/>
          <w:b/>
          <w:bCs/>
        </w:rPr>
        <w:t xml:space="preserve">Comparative Analysis (Leaf vs Fruit vs Stem). </w:t>
      </w:r>
      <w:r w:rsidRPr="00F26472">
        <w:rPr>
          <w:rFonts w:ascii="Arial" w:hAnsi="Arial" w:cs="Arial"/>
        </w:rPr>
        <w:t>Among the different plant parts evaluated, leaf extracts demonstrated the highest anti-inflammatory activity, followed by fruit and stem extracts. Ethyl acetate fractions consistently exhibited superior biological activity across all plant parts, indicating greater concentration of bioactive semi-polar compounds in the leaves. With reference to previously reported antioxidant activities</w:t>
      </w:r>
      <w:r w:rsidRPr="00F26472">
        <w:rPr>
          <w:rFonts w:ascii="Arial" w:hAnsi="Arial" w:cs="Arial"/>
          <w:vertAlign w:val="superscript"/>
        </w:rPr>
        <w:t>12</w:t>
      </w:r>
      <w:r w:rsidRPr="00F26472">
        <w:rPr>
          <w:rFonts w:ascii="Arial" w:hAnsi="Arial" w:cs="Arial"/>
        </w:rPr>
        <w:t xml:space="preserve"> and phytochemical profiles, the ethyl acetate extracts of leaf and fruit outperformed other fractions. Consequently, these two extracts were selected for GC–MS profiling and </w:t>
      </w:r>
      <w:r w:rsidR="0095012C" w:rsidRPr="0095012C">
        <w:rPr>
          <w:rFonts w:ascii="Arial" w:hAnsi="Arial" w:cs="Arial"/>
          <w:i/>
        </w:rPr>
        <w:t>in silico</w:t>
      </w:r>
      <w:r w:rsidRPr="00F26472">
        <w:rPr>
          <w:rFonts w:ascii="Arial" w:hAnsi="Arial" w:cs="Arial"/>
        </w:rPr>
        <w:t xml:space="preserve"> ADMET studies.</w:t>
      </w:r>
    </w:p>
    <w:p w:rsidR="0095012C" w:rsidRPr="00F26472" w:rsidRDefault="0095012C" w:rsidP="00F26472">
      <w:pPr>
        <w:pStyle w:val="Body"/>
        <w:spacing w:after="0"/>
        <w:rPr>
          <w:rFonts w:ascii="Arial" w:hAnsi="Arial" w:cs="Arial"/>
          <w:b/>
        </w:rPr>
      </w:pPr>
    </w:p>
    <w:p w:rsidR="00F01F6F" w:rsidRPr="00360ED0" w:rsidRDefault="00F01F6F" w:rsidP="00F01F6F">
      <w:pPr>
        <w:pStyle w:val="Body"/>
        <w:spacing w:after="0"/>
        <w:rPr>
          <w:rFonts w:ascii="Arial" w:hAnsi="Arial" w:cs="Arial"/>
          <w:b/>
          <w:bCs/>
        </w:rPr>
      </w:pPr>
      <w:r>
        <w:rPr>
          <w:rFonts w:ascii="Arial" w:hAnsi="Arial" w:cs="Arial"/>
          <w:b/>
          <w:bCs/>
        </w:rPr>
        <w:t xml:space="preserve">Table 1: Anti- inflammatory assays of </w:t>
      </w:r>
      <w:r>
        <w:rPr>
          <w:rFonts w:ascii="Arial" w:hAnsi="Arial" w:cs="Arial"/>
          <w:b/>
          <w:bCs/>
          <w:i/>
        </w:rPr>
        <w:t>Piper hymenophyllum</w:t>
      </w:r>
      <w:r>
        <w:rPr>
          <w:rFonts w:ascii="Arial" w:hAnsi="Arial" w:cs="Arial"/>
          <w:b/>
          <w:bCs/>
        </w:rPr>
        <w:t xml:space="preserve"> leaf, fruit and stem:</w:t>
      </w:r>
    </w:p>
    <w:tbl>
      <w:tblPr>
        <w:tblStyle w:val="TableGrid"/>
        <w:tblpPr w:leftFromText="180" w:rightFromText="180" w:vertAnchor="text" w:horzAnchor="margin" w:tblpXSpec="center" w:tblpY="187"/>
        <w:tblW w:w="4424" w:type="pct"/>
        <w:tblLayout w:type="fixed"/>
        <w:tblLook w:val="04A0"/>
      </w:tblPr>
      <w:tblGrid>
        <w:gridCol w:w="1241"/>
        <w:gridCol w:w="2129"/>
        <w:gridCol w:w="2977"/>
        <w:gridCol w:w="3400"/>
      </w:tblGrid>
      <w:tr w:rsidR="00F01F6F" w:rsidRPr="008D4F35" w:rsidTr="002D33B2">
        <w:trPr>
          <w:trHeight w:val="559"/>
        </w:trPr>
        <w:tc>
          <w:tcPr>
            <w:tcW w:w="637" w:type="pc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Samples</w:t>
            </w:r>
          </w:p>
        </w:tc>
        <w:tc>
          <w:tcPr>
            <w:tcW w:w="1092" w:type="pc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Extracts</w:t>
            </w:r>
          </w:p>
        </w:tc>
        <w:tc>
          <w:tcPr>
            <w:tcW w:w="1527" w:type="pc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Membrane Stabilizing Assay</w:t>
            </w:r>
          </w:p>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 of Inhibition)</w:t>
            </w:r>
          </w:p>
        </w:tc>
        <w:tc>
          <w:tcPr>
            <w:tcW w:w="1745" w:type="pct"/>
            <w:vAlign w:val="center"/>
          </w:tcPr>
          <w:p w:rsidR="00F01F6F" w:rsidRPr="008D4F35" w:rsidRDefault="00F01F6F" w:rsidP="002D33B2">
            <w:pPr>
              <w:pStyle w:val="Body"/>
              <w:spacing w:after="0"/>
              <w:rPr>
                <w:rFonts w:ascii="Arial" w:hAnsi="Arial" w:cs="Arial"/>
                <w:b/>
                <w:bCs/>
                <w:color w:val="002060"/>
                <w:lang w:val="en-IN"/>
              </w:rPr>
            </w:pPr>
            <w:r w:rsidRPr="008D4F35">
              <w:rPr>
                <w:rFonts w:ascii="Arial" w:hAnsi="Arial" w:cs="Arial"/>
                <w:b/>
                <w:bCs/>
                <w:color w:val="002060"/>
                <w:lang w:val="en-IN"/>
              </w:rPr>
              <w:t xml:space="preserve">  Heat induced hemolysis Assay </w:t>
            </w:r>
          </w:p>
          <w:p w:rsidR="00F01F6F" w:rsidRPr="008D4F35" w:rsidRDefault="00F01F6F" w:rsidP="002D33B2">
            <w:pPr>
              <w:pStyle w:val="Body"/>
              <w:spacing w:after="0"/>
              <w:rPr>
                <w:rFonts w:ascii="Arial" w:hAnsi="Arial" w:cs="Arial"/>
                <w:b/>
                <w:color w:val="002060"/>
              </w:rPr>
            </w:pPr>
            <w:r w:rsidRPr="008D4F35">
              <w:rPr>
                <w:rFonts w:ascii="Arial" w:hAnsi="Arial" w:cs="Arial"/>
                <w:b/>
                <w:bCs/>
                <w:color w:val="002060"/>
                <w:lang w:val="en-IN"/>
              </w:rPr>
              <w:t xml:space="preserve">(  IC50 µg/mL) </w:t>
            </w:r>
          </w:p>
        </w:tc>
      </w:tr>
      <w:tr w:rsidR="00F01F6F" w:rsidRPr="00A84EA5" w:rsidTr="002D33B2">
        <w:trPr>
          <w:trHeight w:val="25"/>
        </w:trPr>
        <w:tc>
          <w:tcPr>
            <w:tcW w:w="637" w:type="pct"/>
            <w:vMerge w:val="restar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Leaf</w:t>
            </w: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Petroleum Ether</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41.71± </w:t>
            </w:r>
            <w:r>
              <w:rPr>
                <w:rFonts w:ascii="Arial" w:hAnsi="Arial" w:cs="Arial"/>
              </w:rPr>
              <w:t>0.33</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170.85</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Chloroform</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45.83 ± </w:t>
            </w:r>
            <w:r>
              <w:rPr>
                <w:rFonts w:ascii="Arial" w:hAnsi="Arial" w:cs="Arial"/>
              </w:rPr>
              <w:t>0.57</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129.02</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Ethyl- acetate</w:t>
            </w:r>
          </w:p>
        </w:tc>
        <w:tc>
          <w:tcPr>
            <w:tcW w:w="1527" w:type="pct"/>
          </w:tcPr>
          <w:p w:rsidR="00F01F6F" w:rsidRPr="00A84EA5" w:rsidRDefault="00F01F6F" w:rsidP="002D33B2">
            <w:pPr>
              <w:pStyle w:val="Body"/>
              <w:spacing w:after="0"/>
              <w:rPr>
                <w:rFonts w:ascii="Arial" w:hAnsi="Arial" w:cs="Arial"/>
                <w:b/>
                <w:bCs/>
                <w:vertAlign w:val="superscript"/>
              </w:rPr>
            </w:pPr>
            <w:r>
              <w:rPr>
                <w:rFonts w:ascii="Arial" w:hAnsi="Arial" w:cs="Arial"/>
                <w:b/>
                <w:bCs/>
              </w:rPr>
              <w:t xml:space="preserve">71.98 ± </w:t>
            </w:r>
            <w:r>
              <w:rPr>
                <w:rFonts w:ascii="Arial" w:hAnsi="Arial" w:cs="Arial"/>
                <w:b/>
              </w:rPr>
              <w:t>0.89</w:t>
            </w:r>
            <w:r>
              <w:rPr>
                <w:rFonts w:ascii="Arial" w:hAnsi="Arial" w:cs="Arial"/>
                <w:b/>
                <w:vertAlign w:val="superscript"/>
              </w:rPr>
              <w:t>b</w:t>
            </w:r>
          </w:p>
        </w:tc>
        <w:tc>
          <w:tcPr>
            <w:tcW w:w="1745" w:type="pct"/>
          </w:tcPr>
          <w:p w:rsidR="00F01F6F" w:rsidRPr="00A84EA5" w:rsidRDefault="00F01F6F" w:rsidP="002D33B2">
            <w:pPr>
              <w:pStyle w:val="Body"/>
              <w:spacing w:after="0"/>
              <w:rPr>
                <w:rFonts w:ascii="Arial" w:hAnsi="Arial" w:cs="Arial"/>
                <w:b/>
                <w:bCs/>
              </w:rPr>
            </w:pPr>
            <w:r>
              <w:rPr>
                <w:rFonts w:ascii="Arial" w:hAnsi="Arial" w:cs="Arial"/>
                <w:b/>
                <w:bCs/>
              </w:rPr>
              <w:t>23.68</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Ethanol</w:t>
            </w:r>
          </w:p>
        </w:tc>
        <w:tc>
          <w:tcPr>
            <w:tcW w:w="1527" w:type="pct"/>
          </w:tcPr>
          <w:p w:rsidR="00F01F6F" w:rsidRPr="00A84EA5" w:rsidRDefault="00F01F6F" w:rsidP="002D33B2">
            <w:pPr>
              <w:pStyle w:val="Body"/>
              <w:spacing w:after="0"/>
              <w:rPr>
                <w:rFonts w:ascii="Arial" w:hAnsi="Arial" w:cs="Arial"/>
                <w:bCs/>
                <w:vertAlign w:val="superscript"/>
              </w:rPr>
            </w:pPr>
            <w:r>
              <w:rPr>
                <w:rFonts w:ascii="Arial" w:hAnsi="Arial" w:cs="Arial"/>
                <w:bCs/>
              </w:rPr>
              <w:t xml:space="preserve">55.74 ± </w:t>
            </w:r>
            <w:r>
              <w:rPr>
                <w:rFonts w:ascii="Arial" w:hAnsi="Arial" w:cs="Arial"/>
              </w:rPr>
              <w:t>0.58</w:t>
            </w:r>
            <w:r>
              <w:rPr>
                <w:rFonts w:ascii="Arial" w:hAnsi="Arial" w:cs="Arial"/>
                <w:vertAlign w:val="superscript"/>
              </w:rPr>
              <w:t>c</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57.1</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Aqueous</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51.54 ± 0.8</w:t>
            </w:r>
            <w:r>
              <w:rPr>
                <w:rFonts w:ascii="Arial" w:hAnsi="Arial" w:cs="Arial"/>
                <w:vertAlign w:val="superscript"/>
              </w:rPr>
              <w:t>d</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46.73</w:t>
            </w:r>
          </w:p>
        </w:tc>
      </w:tr>
      <w:tr w:rsidR="00F01F6F" w:rsidRPr="00A84EA5" w:rsidTr="002D33B2">
        <w:trPr>
          <w:trHeight w:val="43"/>
        </w:trPr>
        <w:tc>
          <w:tcPr>
            <w:tcW w:w="637" w:type="pct"/>
            <w:vMerge w:val="restar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Fruit</w:t>
            </w: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Petroleum Ether</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20.33 ± </w:t>
            </w:r>
            <w:r>
              <w:rPr>
                <w:rFonts w:ascii="Arial" w:hAnsi="Arial" w:cs="Arial"/>
              </w:rPr>
              <w:t>0.33</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187.81</w:t>
            </w:r>
          </w:p>
        </w:tc>
      </w:tr>
      <w:tr w:rsidR="00F01F6F" w:rsidRPr="00A84EA5" w:rsidTr="002D33B2">
        <w:trPr>
          <w:trHeight w:val="24"/>
        </w:trPr>
        <w:tc>
          <w:tcPr>
            <w:tcW w:w="637" w:type="pct"/>
            <w:vMerge/>
            <w:vAlign w:val="center"/>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Chloroform</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26.52 ± 0.48</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158.3</w:t>
            </w:r>
          </w:p>
        </w:tc>
      </w:tr>
      <w:tr w:rsidR="00F01F6F" w:rsidRPr="00A84EA5" w:rsidTr="002D33B2">
        <w:trPr>
          <w:trHeight w:val="24"/>
        </w:trPr>
        <w:tc>
          <w:tcPr>
            <w:tcW w:w="637" w:type="pct"/>
            <w:vMerge/>
            <w:vAlign w:val="center"/>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Ethyl- acetate</w:t>
            </w:r>
          </w:p>
        </w:tc>
        <w:tc>
          <w:tcPr>
            <w:tcW w:w="1527" w:type="pct"/>
          </w:tcPr>
          <w:p w:rsidR="00F01F6F" w:rsidRPr="00A84EA5" w:rsidRDefault="00F01F6F" w:rsidP="002D33B2">
            <w:pPr>
              <w:pStyle w:val="Body"/>
              <w:spacing w:after="0"/>
              <w:rPr>
                <w:rFonts w:ascii="Arial" w:hAnsi="Arial" w:cs="Arial"/>
                <w:bCs/>
                <w:vertAlign w:val="superscript"/>
              </w:rPr>
            </w:pPr>
            <w:r>
              <w:rPr>
                <w:rFonts w:ascii="Arial" w:hAnsi="Arial" w:cs="Arial"/>
                <w:bCs/>
              </w:rPr>
              <w:t xml:space="preserve">60.45 ± </w:t>
            </w:r>
            <w:r>
              <w:rPr>
                <w:rFonts w:ascii="Arial" w:hAnsi="Arial" w:cs="Arial"/>
              </w:rPr>
              <w:t>1.05</w:t>
            </w:r>
            <w:r>
              <w:rPr>
                <w:rFonts w:ascii="Arial" w:hAnsi="Arial" w:cs="Arial"/>
                <w:vertAlign w:val="superscript"/>
              </w:rPr>
              <w:t>c</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47.29</w:t>
            </w:r>
          </w:p>
        </w:tc>
      </w:tr>
      <w:tr w:rsidR="00F01F6F" w:rsidRPr="00A84EA5" w:rsidTr="002D33B2">
        <w:trPr>
          <w:trHeight w:val="24"/>
        </w:trPr>
        <w:tc>
          <w:tcPr>
            <w:tcW w:w="637" w:type="pct"/>
            <w:vMerge/>
            <w:vAlign w:val="center"/>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Ethanol</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55.2 ± </w:t>
            </w:r>
            <w:r>
              <w:rPr>
                <w:rFonts w:ascii="Arial" w:hAnsi="Arial" w:cs="Arial"/>
              </w:rPr>
              <w:t>1.29</w:t>
            </w:r>
            <w:r>
              <w:rPr>
                <w:rFonts w:ascii="Arial" w:hAnsi="Arial" w:cs="Arial"/>
                <w:vertAlign w:val="superscript"/>
              </w:rPr>
              <w:t>c</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71.81</w:t>
            </w:r>
          </w:p>
        </w:tc>
      </w:tr>
      <w:tr w:rsidR="00F01F6F" w:rsidRPr="00A84EA5" w:rsidTr="002D33B2">
        <w:trPr>
          <w:trHeight w:val="24"/>
        </w:trPr>
        <w:tc>
          <w:tcPr>
            <w:tcW w:w="637" w:type="pct"/>
            <w:vMerge/>
            <w:vAlign w:val="center"/>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Aqueous</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44.72 ± </w:t>
            </w:r>
            <w:r>
              <w:rPr>
                <w:rFonts w:ascii="Arial" w:hAnsi="Arial" w:cs="Arial"/>
              </w:rPr>
              <w:t>1.28</w:t>
            </w:r>
          </w:p>
        </w:tc>
        <w:tc>
          <w:tcPr>
            <w:tcW w:w="1745" w:type="pct"/>
          </w:tcPr>
          <w:p w:rsidR="00F01F6F" w:rsidRPr="00A84EA5" w:rsidRDefault="00F01F6F" w:rsidP="002D33B2">
            <w:pPr>
              <w:pStyle w:val="Body"/>
              <w:spacing w:after="0"/>
              <w:rPr>
                <w:rFonts w:ascii="Arial" w:hAnsi="Arial" w:cs="Arial"/>
              </w:rPr>
            </w:pPr>
            <w:r>
              <w:rPr>
                <w:rFonts w:ascii="Arial" w:hAnsi="Arial" w:cs="Arial"/>
                <w:bCs/>
              </w:rPr>
              <w:t>86.26</w:t>
            </w:r>
          </w:p>
        </w:tc>
      </w:tr>
      <w:tr w:rsidR="00F01F6F" w:rsidRPr="00A84EA5" w:rsidTr="002D33B2">
        <w:trPr>
          <w:trHeight w:val="259"/>
        </w:trPr>
        <w:tc>
          <w:tcPr>
            <w:tcW w:w="637" w:type="pct"/>
            <w:vMerge w:val="restar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Stem</w:t>
            </w: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Petroleum Ether</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22.47 ± </w:t>
            </w:r>
            <w:r>
              <w:rPr>
                <w:rFonts w:ascii="Arial" w:hAnsi="Arial" w:cs="Arial"/>
              </w:rPr>
              <w:t>0.33</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117.32</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Chloroform</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32.22 ± </w:t>
            </w:r>
            <w:r>
              <w:rPr>
                <w:rFonts w:ascii="Arial" w:hAnsi="Arial" w:cs="Arial"/>
              </w:rPr>
              <w:t>1.21</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89.25</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Ethyl- acetate</w:t>
            </w:r>
          </w:p>
        </w:tc>
        <w:tc>
          <w:tcPr>
            <w:tcW w:w="1527" w:type="pct"/>
          </w:tcPr>
          <w:p w:rsidR="00F01F6F" w:rsidRPr="00A84EA5" w:rsidRDefault="00F01F6F" w:rsidP="002D33B2">
            <w:pPr>
              <w:pStyle w:val="Body"/>
              <w:spacing w:after="0"/>
              <w:rPr>
                <w:rFonts w:ascii="Arial" w:hAnsi="Arial" w:cs="Arial"/>
                <w:bCs/>
                <w:vertAlign w:val="superscript"/>
              </w:rPr>
            </w:pPr>
            <w:r>
              <w:rPr>
                <w:rFonts w:ascii="Arial" w:hAnsi="Arial" w:cs="Arial"/>
                <w:bCs/>
              </w:rPr>
              <w:t xml:space="preserve">66.86 ± </w:t>
            </w:r>
            <w:r>
              <w:rPr>
                <w:rFonts w:ascii="Arial" w:hAnsi="Arial" w:cs="Arial"/>
              </w:rPr>
              <w:t>1.25</w:t>
            </w:r>
            <w:r>
              <w:rPr>
                <w:rFonts w:ascii="Arial" w:hAnsi="Arial" w:cs="Arial"/>
                <w:vertAlign w:val="superscript"/>
              </w:rPr>
              <w:t>b</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66.4</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Ethanol</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49.5 ± </w:t>
            </w:r>
            <w:r>
              <w:rPr>
                <w:rFonts w:ascii="Arial" w:hAnsi="Arial" w:cs="Arial"/>
              </w:rPr>
              <w:t>1.18</w:t>
            </w:r>
            <w:r>
              <w:rPr>
                <w:rFonts w:ascii="Arial" w:hAnsi="Arial" w:cs="Arial"/>
                <w:vertAlign w:val="superscript"/>
              </w:rPr>
              <w:t>d</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81.52</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Aqueous</w:t>
            </w:r>
          </w:p>
        </w:tc>
        <w:tc>
          <w:tcPr>
            <w:tcW w:w="1527" w:type="pct"/>
          </w:tcPr>
          <w:p w:rsidR="00F01F6F" w:rsidRPr="00A84EA5" w:rsidRDefault="00F01F6F" w:rsidP="002D33B2">
            <w:pPr>
              <w:pStyle w:val="Body"/>
              <w:spacing w:after="0"/>
              <w:rPr>
                <w:rFonts w:ascii="Arial" w:hAnsi="Arial" w:cs="Arial"/>
              </w:rPr>
            </w:pPr>
            <w:r>
              <w:rPr>
                <w:rFonts w:ascii="Arial" w:hAnsi="Arial" w:cs="Arial"/>
                <w:bCs/>
              </w:rPr>
              <w:t>56.12 ±</w:t>
            </w:r>
            <w:r>
              <w:rPr>
                <w:rFonts w:ascii="Arial" w:hAnsi="Arial" w:cs="Arial"/>
              </w:rPr>
              <w:t>0.61</w:t>
            </w:r>
            <w:r>
              <w:rPr>
                <w:rFonts w:ascii="Arial" w:hAnsi="Arial" w:cs="Arial"/>
                <w:vertAlign w:val="superscript"/>
              </w:rPr>
              <w:t>c</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69.01</w:t>
            </w:r>
          </w:p>
        </w:tc>
      </w:tr>
      <w:tr w:rsidR="00F01F6F" w:rsidRPr="00A84EA5" w:rsidTr="002D33B2">
        <w:trPr>
          <w:trHeight w:val="24"/>
        </w:trPr>
        <w:tc>
          <w:tcPr>
            <w:tcW w:w="1729" w:type="pct"/>
            <w:gridSpan w:val="2"/>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Standard ( Diclofenac)</w:t>
            </w:r>
          </w:p>
        </w:tc>
        <w:tc>
          <w:tcPr>
            <w:tcW w:w="1527" w:type="pct"/>
            <w:vAlign w:val="center"/>
          </w:tcPr>
          <w:p w:rsidR="00F01F6F" w:rsidRPr="00A84EA5" w:rsidRDefault="00F01F6F" w:rsidP="002D33B2">
            <w:pPr>
              <w:pStyle w:val="Body"/>
              <w:spacing w:after="0"/>
              <w:rPr>
                <w:rFonts w:ascii="Arial" w:hAnsi="Arial" w:cs="Arial"/>
                <w:b/>
                <w:vertAlign w:val="superscript"/>
              </w:rPr>
            </w:pPr>
            <w:r>
              <w:rPr>
                <w:rFonts w:ascii="Arial" w:hAnsi="Arial" w:cs="Arial"/>
                <w:b/>
              </w:rPr>
              <w:t xml:space="preserve">82.41 </w:t>
            </w:r>
            <w:r>
              <w:rPr>
                <w:rFonts w:ascii="Arial" w:hAnsi="Arial" w:cs="Arial"/>
                <w:b/>
                <w:bCs/>
              </w:rPr>
              <w:t>± 1.35</w:t>
            </w:r>
            <w:r>
              <w:rPr>
                <w:rFonts w:ascii="Arial" w:hAnsi="Arial" w:cs="Arial"/>
                <w:b/>
                <w:bCs/>
                <w:vertAlign w:val="superscript"/>
              </w:rPr>
              <w:t>a</w:t>
            </w:r>
          </w:p>
        </w:tc>
        <w:tc>
          <w:tcPr>
            <w:tcW w:w="1745" w:type="pct"/>
            <w:vAlign w:val="center"/>
          </w:tcPr>
          <w:p w:rsidR="00F01F6F" w:rsidRPr="00A84EA5" w:rsidRDefault="00F01F6F" w:rsidP="002D33B2">
            <w:pPr>
              <w:pStyle w:val="Body"/>
              <w:spacing w:after="0"/>
              <w:rPr>
                <w:rFonts w:ascii="Arial" w:hAnsi="Arial" w:cs="Arial"/>
                <w:b/>
              </w:rPr>
            </w:pPr>
            <w:r>
              <w:rPr>
                <w:rFonts w:ascii="Arial" w:hAnsi="Arial" w:cs="Arial"/>
                <w:b/>
              </w:rPr>
              <w:t>17.92</w:t>
            </w:r>
          </w:p>
        </w:tc>
      </w:tr>
    </w:tbl>
    <w:p w:rsidR="00F01F6F" w:rsidRDefault="00F01F6F" w:rsidP="00F01F6F">
      <w:pPr>
        <w:pStyle w:val="Body"/>
        <w:spacing w:after="0"/>
        <w:rPr>
          <w:rFonts w:ascii="Arial" w:hAnsi="Arial" w:cs="Arial"/>
          <w:i/>
        </w:rPr>
      </w:pPr>
    </w:p>
    <w:p w:rsidR="00F01F6F" w:rsidRPr="00360ED0" w:rsidRDefault="00F01F6F" w:rsidP="00F01F6F">
      <w:pPr>
        <w:pStyle w:val="Body"/>
        <w:spacing w:after="0"/>
        <w:rPr>
          <w:rFonts w:ascii="Arial" w:hAnsi="Arial" w:cs="Arial"/>
          <w:i/>
        </w:rPr>
      </w:pPr>
      <w:r>
        <w:rPr>
          <w:rFonts w:ascii="Arial" w:hAnsi="Arial" w:cs="Arial"/>
          <w:i/>
        </w:rPr>
        <w:t>Values are mean of triplicate determination</w:t>
      </w:r>
    </w:p>
    <w:p w:rsidR="00E73DE1" w:rsidRPr="001E6B70" w:rsidRDefault="00F01F6F" w:rsidP="001E6B70">
      <w:pPr>
        <w:pStyle w:val="Body"/>
        <w:spacing w:after="0"/>
        <w:rPr>
          <w:rFonts w:ascii="Arial" w:hAnsi="Arial" w:cs="Arial"/>
          <w:i/>
        </w:rPr>
      </w:pPr>
      <w:r>
        <w:rPr>
          <w:rFonts w:ascii="Arial" w:hAnsi="Arial" w:cs="Arial"/>
          <w:i/>
        </w:rPr>
        <w:t xml:space="preserve">Statistically significant at p &lt; 0.05 where </w:t>
      </w:r>
      <w:r>
        <w:rPr>
          <w:rFonts w:ascii="Arial" w:hAnsi="Arial" w:cs="Arial"/>
          <w:i/>
          <w:vertAlign w:val="superscript"/>
        </w:rPr>
        <w:t xml:space="preserve">a </w:t>
      </w:r>
      <w:r>
        <w:rPr>
          <w:rFonts w:ascii="Arial" w:hAnsi="Arial" w:cs="Arial"/>
          <w:i/>
        </w:rPr>
        <w:t>&gt;</w:t>
      </w:r>
      <w:r>
        <w:rPr>
          <w:rFonts w:ascii="Arial" w:hAnsi="Arial" w:cs="Arial"/>
          <w:i/>
          <w:vertAlign w:val="superscript"/>
        </w:rPr>
        <w:t xml:space="preserve">b </w:t>
      </w:r>
      <w:r>
        <w:rPr>
          <w:rFonts w:ascii="Arial" w:hAnsi="Arial" w:cs="Arial"/>
          <w:i/>
        </w:rPr>
        <w:t>&gt;</w:t>
      </w:r>
      <w:r>
        <w:rPr>
          <w:rFonts w:ascii="Arial" w:hAnsi="Arial" w:cs="Arial"/>
          <w:i/>
          <w:vertAlign w:val="superscript"/>
        </w:rPr>
        <w:t xml:space="preserve">c </w:t>
      </w:r>
      <w:r>
        <w:rPr>
          <w:rFonts w:ascii="Arial" w:hAnsi="Arial" w:cs="Arial"/>
          <w:i/>
        </w:rPr>
        <w:t>&gt;</w:t>
      </w:r>
      <w:r>
        <w:rPr>
          <w:rFonts w:ascii="Arial" w:hAnsi="Arial" w:cs="Arial"/>
          <w:i/>
          <w:vertAlign w:val="superscript"/>
        </w:rPr>
        <w:t>d</w:t>
      </w:r>
      <w:r>
        <w:rPr>
          <w:rFonts w:ascii="Arial" w:hAnsi="Arial" w:cs="Arial"/>
          <w:i/>
        </w:rPr>
        <w:t xml:space="preserve"> in Membrane Stabilizing Assay column.</w:t>
      </w:r>
    </w:p>
    <w:p w:rsidR="00406640" w:rsidRDefault="00406640" w:rsidP="001E6B70">
      <w:pPr>
        <w:spacing w:after="0" w:line="240" w:lineRule="auto"/>
        <w:jc w:val="both"/>
        <w:outlineLvl w:val="2"/>
        <w:rPr>
          <w:rFonts w:ascii="Arial" w:eastAsia="Times New Roman" w:hAnsi="Arial" w:cs="Arial"/>
          <w:b/>
          <w:bCs/>
          <w:sz w:val="20"/>
          <w:szCs w:val="20"/>
        </w:rPr>
      </w:pPr>
    </w:p>
    <w:p w:rsidR="00F26472" w:rsidRDefault="00F26472" w:rsidP="00F26472">
      <w:pPr>
        <w:spacing w:after="0" w:line="240" w:lineRule="auto"/>
        <w:jc w:val="both"/>
        <w:rPr>
          <w:rFonts w:ascii="Arial" w:eastAsia="Times New Roman" w:hAnsi="Arial" w:cs="Arial"/>
          <w:b/>
          <w:bCs/>
          <w:color w:val="244061" w:themeColor="accent1" w:themeShade="80"/>
          <w:sz w:val="20"/>
          <w:szCs w:val="20"/>
        </w:rPr>
      </w:pPr>
      <w:r w:rsidRPr="00A824CC">
        <w:rPr>
          <w:rFonts w:ascii="Arial" w:eastAsia="Times New Roman" w:hAnsi="Arial" w:cs="Arial"/>
          <w:b/>
          <w:bCs/>
          <w:color w:val="244061" w:themeColor="accent1" w:themeShade="80"/>
          <w:sz w:val="20"/>
          <w:szCs w:val="20"/>
        </w:rPr>
        <w:t>3.2. GC–MS Profiling of Bioactive Compounds</w:t>
      </w:r>
    </w:p>
    <w:p w:rsidR="00A824CC" w:rsidRPr="00A824CC" w:rsidRDefault="00A824CC" w:rsidP="00F26472">
      <w:pPr>
        <w:spacing w:after="0" w:line="240" w:lineRule="auto"/>
        <w:jc w:val="both"/>
        <w:rPr>
          <w:rFonts w:ascii="Arial" w:eastAsia="Times New Roman" w:hAnsi="Arial" w:cs="Arial"/>
          <w:b/>
          <w:bCs/>
          <w:color w:val="244061" w:themeColor="accent1" w:themeShade="80"/>
          <w:sz w:val="20"/>
          <w:szCs w:val="20"/>
        </w:rPr>
      </w:pPr>
    </w:p>
    <w:p w:rsidR="00F26472" w:rsidRPr="00F26472" w:rsidRDefault="00F26472" w:rsidP="00F26472">
      <w:pPr>
        <w:spacing w:after="0" w:line="240" w:lineRule="auto"/>
        <w:jc w:val="both"/>
        <w:rPr>
          <w:rFonts w:ascii="Arial" w:eastAsia="Times New Roman" w:hAnsi="Arial" w:cs="Arial"/>
          <w:bCs/>
          <w:sz w:val="20"/>
          <w:szCs w:val="20"/>
        </w:rPr>
      </w:pPr>
      <w:r w:rsidRPr="00F26472">
        <w:rPr>
          <w:rFonts w:ascii="Arial" w:eastAsia="Times New Roman" w:hAnsi="Arial" w:cs="Arial"/>
          <w:bCs/>
          <w:sz w:val="20"/>
          <w:szCs w:val="20"/>
        </w:rPr>
        <w:t xml:space="preserve">GC–MS analysis revealed a rich and diverse phytochemical composition in the ethyl acetate extracts of </w:t>
      </w:r>
      <w:r w:rsidRPr="00F26472">
        <w:rPr>
          <w:rFonts w:ascii="Arial" w:eastAsia="Times New Roman" w:hAnsi="Arial" w:cs="Arial"/>
          <w:bCs/>
          <w:i/>
          <w:iCs/>
          <w:sz w:val="20"/>
          <w:szCs w:val="20"/>
        </w:rPr>
        <w:t>P. hymenophyllum</w:t>
      </w:r>
      <w:r w:rsidRPr="00F26472">
        <w:rPr>
          <w:rFonts w:ascii="Arial" w:eastAsia="Times New Roman" w:hAnsi="Arial" w:cs="Arial"/>
          <w:bCs/>
          <w:sz w:val="20"/>
          <w:szCs w:val="20"/>
        </w:rPr>
        <w:t>, with 46 compounds identified in the leaf extract and 43 compounds in the fruit extract. The identified compounds belong to several chemical classes, including fatty acids, sterols, terpenoids, amino acid derivatives and xanthene derivatives, collectively reflecting the broad phytochemical richness of this species.</w:t>
      </w:r>
    </w:p>
    <w:p w:rsidR="00F26472" w:rsidRDefault="00F26472" w:rsidP="00A824CC">
      <w:pPr>
        <w:spacing w:after="0" w:line="240" w:lineRule="auto"/>
        <w:jc w:val="both"/>
        <w:rPr>
          <w:rFonts w:ascii="Arial" w:eastAsia="Times New Roman" w:hAnsi="Arial" w:cs="Arial"/>
          <w:b/>
          <w:bCs/>
          <w:sz w:val="20"/>
          <w:szCs w:val="20"/>
        </w:rPr>
      </w:pPr>
      <w:r w:rsidRPr="00F26472">
        <w:rPr>
          <w:rFonts w:ascii="Arial" w:eastAsia="Times New Roman" w:hAnsi="Arial" w:cs="Arial"/>
          <w:bCs/>
          <w:sz w:val="20"/>
          <w:szCs w:val="20"/>
        </w:rPr>
        <w:t>Phytol was identified as one of the major compounds based on its significant peak area. This diterpene alcohol is recognized for its antioxidant activity, anti-inflammatory effects and gastroprotective properties, particularly through reduction of pro-inflammatory cytokines TNF-α and IL-6, which are critically implicated in IBD pathogenesis</w:t>
      </w:r>
      <w:r w:rsidRPr="00F26472">
        <w:rPr>
          <w:rFonts w:ascii="Arial" w:eastAsia="Times New Roman" w:hAnsi="Arial" w:cs="Arial"/>
          <w:bCs/>
          <w:sz w:val="20"/>
          <w:szCs w:val="20"/>
          <w:vertAlign w:val="superscript"/>
        </w:rPr>
        <w:t>20,22</w:t>
      </w:r>
      <w:r w:rsidRPr="00F26472">
        <w:rPr>
          <w:rFonts w:ascii="Arial" w:eastAsia="Times New Roman" w:hAnsi="Arial" w:cs="Arial"/>
          <w:bCs/>
          <w:sz w:val="20"/>
          <w:szCs w:val="20"/>
        </w:rPr>
        <w:t>. n-Hexadecanoic acid (palmitic acid) contributes to membrane stabilization and anti-inflammatory modulation by inhibiting lipid peroxidation and suppressing inflammatory enzyme activity</w:t>
      </w:r>
      <w:r w:rsidRPr="00F26472">
        <w:rPr>
          <w:rFonts w:ascii="Arial" w:eastAsia="Times New Roman" w:hAnsi="Arial" w:cs="Arial"/>
          <w:bCs/>
          <w:sz w:val="20"/>
          <w:szCs w:val="20"/>
          <w:vertAlign w:val="superscript"/>
        </w:rPr>
        <w:t>23</w:t>
      </w:r>
      <w:r w:rsidRPr="00F26472">
        <w:rPr>
          <w:rFonts w:ascii="Arial" w:eastAsia="Times New Roman" w:hAnsi="Arial" w:cs="Arial"/>
          <w:bCs/>
          <w:sz w:val="20"/>
          <w:szCs w:val="20"/>
        </w:rPr>
        <w:t>. γ-Sitosterol and stigmasterol, well-characterized phytosterols, exhibit anti-ulcer and anti-inflammatory effects by inhibiting the NF-κB signaling pathway</w:t>
      </w:r>
      <w:r w:rsidRPr="00F26472">
        <w:rPr>
          <w:rFonts w:ascii="Arial" w:eastAsia="Times New Roman" w:hAnsi="Arial" w:cs="Arial"/>
          <w:bCs/>
          <w:sz w:val="20"/>
          <w:szCs w:val="20"/>
          <w:vertAlign w:val="superscript"/>
        </w:rPr>
        <w:t>24,25</w:t>
      </w:r>
      <w:r w:rsidRPr="00F26472">
        <w:rPr>
          <w:rFonts w:ascii="Arial" w:eastAsia="Times New Roman" w:hAnsi="Arial" w:cs="Arial"/>
          <w:bCs/>
          <w:sz w:val="20"/>
          <w:szCs w:val="20"/>
        </w:rPr>
        <w:t>. n-Tetracosanol-1 confers antioxidant and mucosal protective effects, while octadecanoic acid derivatives and xanthene derivatives contribute anti-inflammatory activity and mucosal barrier enhancement</w:t>
      </w:r>
      <w:r w:rsidR="001E6B70">
        <w:rPr>
          <w:rFonts w:ascii="Arial" w:eastAsia="Times New Roman" w:hAnsi="Arial" w:cs="Arial"/>
          <w:sz w:val="20"/>
          <w:szCs w:val="20"/>
        </w:rPr>
        <w:t xml:space="preserve"> (</w:t>
      </w:r>
      <w:r w:rsidR="001E6B70">
        <w:rPr>
          <w:rFonts w:ascii="Arial" w:hAnsi="Arial" w:cs="Arial"/>
          <w:bCs/>
          <w:sz w:val="20"/>
          <w:szCs w:val="20"/>
          <w:lang w:val="en-IN"/>
        </w:rPr>
        <w:t>Table 2).</w:t>
      </w:r>
    </w:p>
    <w:p w:rsidR="00A824CC" w:rsidRPr="00A824CC" w:rsidRDefault="00A824CC" w:rsidP="00A824CC">
      <w:pPr>
        <w:spacing w:after="0" w:line="240" w:lineRule="auto"/>
        <w:jc w:val="both"/>
        <w:rPr>
          <w:rFonts w:ascii="Arial" w:eastAsia="Times New Roman" w:hAnsi="Arial" w:cs="Arial"/>
          <w:b/>
          <w:bCs/>
          <w:sz w:val="20"/>
          <w:szCs w:val="20"/>
        </w:rPr>
      </w:pPr>
    </w:p>
    <w:p w:rsidR="00AD4874" w:rsidRPr="007B0B93" w:rsidRDefault="00AD4874" w:rsidP="007B0B93">
      <w:pPr>
        <w:tabs>
          <w:tab w:val="left" w:pos="1140"/>
        </w:tabs>
        <w:spacing w:after="0"/>
        <w:rPr>
          <w:rFonts w:ascii="Arial" w:hAnsi="Arial" w:cs="Arial"/>
          <w:b/>
          <w:bCs/>
          <w:sz w:val="20"/>
          <w:lang w:val="en-IN"/>
        </w:rPr>
      </w:pPr>
      <w:r w:rsidRPr="007B0B93">
        <w:rPr>
          <w:rFonts w:ascii="Arial" w:hAnsi="Arial" w:cs="Arial"/>
          <w:b/>
          <w:bCs/>
          <w:sz w:val="20"/>
          <w:lang w:val="en-IN"/>
        </w:rPr>
        <w:lastRenderedPageBreak/>
        <w:t xml:space="preserve">Table 2: GC- MS Interpretation and studies of </w:t>
      </w:r>
      <w:r w:rsidRPr="007B0B93">
        <w:rPr>
          <w:rFonts w:ascii="Arial" w:hAnsi="Arial" w:cs="Arial"/>
          <w:b/>
          <w:bCs/>
          <w:i/>
          <w:sz w:val="20"/>
          <w:lang w:val="en-IN"/>
        </w:rPr>
        <w:t>P.hymenophyllum</w:t>
      </w:r>
      <w:r w:rsidRPr="007B0B93">
        <w:rPr>
          <w:rFonts w:ascii="Arial" w:hAnsi="Arial" w:cs="Arial"/>
          <w:b/>
          <w:bCs/>
          <w:sz w:val="20"/>
          <w:lang w:val="en-IN"/>
        </w:rPr>
        <w:t xml:space="preserve"> leaf and fruit ethyl- acetate extracts: </w:t>
      </w:r>
    </w:p>
    <w:tbl>
      <w:tblPr>
        <w:tblStyle w:val="TableGrid"/>
        <w:tblW w:w="9474" w:type="dxa"/>
        <w:jc w:val="center"/>
        <w:tblLook w:val="0000"/>
      </w:tblPr>
      <w:tblGrid>
        <w:gridCol w:w="672"/>
        <w:gridCol w:w="2096"/>
        <w:gridCol w:w="717"/>
        <w:gridCol w:w="1287"/>
        <w:gridCol w:w="572"/>
        <w:gridCol w:w="728"/>
        <w:gridCol w:w="1740"/>
        <w:gridCol w:w="1662"/>
      </w:tblGrid>
      <w:tr w:rsidR="00452AEC" w:rsidRPr="00452AEC" w:rsidTr="00BD228A">
        <w:trPr>
          <w:jc w:val="center"/>
        </w:trPr>
        <w:tc>
          <w:tcPr>
            <w:tcW w:w="672" w:type="dxa"/>
          </w:tcPr>
          <w:p w:rsidR="00452AEC" w:rsidRPr="00452AEC" w:rsidRDefault="00452AEC" w:rsidP="007B0B93">
            <w:pPr>
              <w:jc w:val="center"/>
              <w:rPr>
                <w:rFonts w:ascii="Arial" w:hAnsi="Arial" w:cs="Arial"/>
                <w:sz w:val="20"/>
                <w:szCs w:val="20"/>
              </w:rPr>
            </w:pPr>
            <w:r w:rsidRPr="00452AEC">
              <w:rPr>
                <w:rFonts w:ascii="Arial" w:eastAsia="Arial" w:hAnsi="Arial" w:cs="Arial"/>
                <w:b/>
                <w:bCs/>
                <w:sz w:val="20"/>
                <w:szCs w:val="20"/>
              </w:rPr>
              <w:t>S.No</w:t>
            </w:r>
          </w:p>
        </w:tc>
        <w:tc>
          <w:tcPr>
            <w:tcW w:w="2096" w:type="dxa"/>
          </w:tcPr>
          <w:p w:rsidR="00452AEC" w:rsidRPr="00452AEC" w:rsidRDefault="00452AEC" w:rsidP="00C947CF">
            <w:pPr>
              <w:jc w:val="center"/>
              <w:rPr>
                <w:rFonts w:ascii="Arial" w:hAnsi="Arial" w:cs="Arial"/>
                <w:sz w:val="20"/>
                <w:szCs w:val="20"/>
              </w:rPr>
            </w:pPr>
            <w:r w:rsidRPr="00452AEC">
              <w:rPr>
                <w:rFonts w:ascii="Arial" w:eastAsia="Arial" w:hAnsi="Arial" w:cs="Arial"/>
                <w:b/>
                <w:bCs/>
                <w:sz w:val="20"/>
                <w:szCs w:val="20"/>
              </w:rPr>
              <w:t>Compound Name</w:t>
            </w:r>
          </w:p>
        </w:tc>
        <w:tc>
          <w:tcPr>
            <w:tcW w:w="717" w:type="dxa"/>
          </w:tcPr>
          <w:p w:rsidR="00452AEC" w:rsidRPr="00452AEC" w:rsidRDefault="00452AEC" w:rsidP="00C947CF">
            <w:pPr>
              <w:jc w:val="center"/>
              <w:rPr>
                <w:rFonts w:ascii="Arial" w:hAnsi="Arial" w:cs="Arial"/>
                <w:sz w:val="20"/>
                <w:szCs w:val="20"/>
              </w:rPr>
            </w:pPr>
            <w:r w:rsidRPr="00452AEC">
              <w:rPr>
                <w:rFonts w:ascii="Arial" w:eastAsia="Arial" w:hAnsi="Arial" w:cs="Arial"/>
                <w:b/>
                <w:bCs/>
                <w:sz w:val="20"/>
                <w:szCs w:val="20"/>
              </w:rPr>
              <w:t>RT (min)</w:t>
            </w:r>
          </w:p>
        </w:tc>
        <w:tc>
          <w:tcPr>
            <w:tcW w:w="1287" w:type="dxa"/>
          </w:tcPr>
          <w:p w:rsidR="00452AEC" w:rsidRPr="00452AEC" w:rsidRDefault="00452AEC" w:rsidP="00C947CF">
            <w:pPr>
              <w:jc w:val="center"/>
              <w:rPr>
                <w:rFonts w:ascii="Arial" w:hAnsi="Arial" w:cs="Arial"/>
                <w:sz w:val="20"/>
                <w:szCs w:val="20"/>
              </w:rPr>
            </w:pPr>
            <w:r w:rsidRPr="00452AEC">
              <w:rPr>
                <w:rFonts w:ascii="Arial" w:eastAsia="Arial" w:hAnsi="Arial" w:cs="Arial"/>
                <w:b/>
                <w:bCs/>
                <w:sz w:val="20"/>
                <w:szCs w:val="20"/>
              </w:rPr>
              <w:t>Mol. Formula</w:t>
            </w:r>
          </w:p>
        </w:tc>
        <w:tc>
          <w:tcPr>
            <w:tcW w:w="572" w:type="dxa"/>
          </w:tcPr>
          <w:p w:rsidR="00452AEC" w:rsidRPr="00452AEC" w:rsidRDefault="00452AEC" w:rsidP="00C947CF">
            <w:pPr>
              <w:jc w:val="center"/>
              <w:rPr>
                <w:rFonts w:ascii="Arial" w:hAnsi="Arial" w:cs="Arial"/>
                <w:sz w:val="20"/>
                <w:szCs w:val="20"/>
              </w:rPr>
            </w:pPr>
            <w:r w:rsidRPr="00452AEC">
              <w:rPr>
                <w:rFonts w:ascii="Arial" w:eastAsia="Arial" w:hAnsi="Arial" w:cs="Arial"/>
                <w:b/>
                <w:bCs/>
                <w:sz w:val="20"/>
                <w:szCs w:val="20"/>
              </w:rPr>
              <w:t>MW</w:t>
            </w:r>
          </w:p>
        </w:tc>
        <w:tc>
          <w:tcPr>
            <w:tcW w:w="728" w:type="dxa"/>
          </w:tcPr>
          <w:p w:rsidR="00452AEC" w:rsidRPr="00452AEC" w:rsidRDefault="00452AEC" w:rsidP="00C947CF">
            <w:pPr>
              <w:jc w:val="center"/>
              <w:rPr>
                <w:rFonts w:ascii="Arial" w:hAnsi="Arial" w:cs="Arial"/>
                <w:sz w:val="20"/>
                <w:szCs w:val="20"/>
              </w:rPr>
            </w:pPr>
            <w:r w:rsidRPr="00452AEC">
              <w:rPr>
                <w:rFonts w:ascii="Arial" w:eastAsia="Arial" w:hAnsi="Arial" w:cs="Arial"/>
                <w:b/>
                <w:bCs/>
                <w:sz w:val="20"/>
                <w:szCs w:val="20"/>
              </w:rPr>
              <w:t>Peak Area %</w:t>
            </w:r>
          </w:p>
        </w:tc>
        <w:tc>
          <w:tcPr>
            <w:tcW w:w="1740" w:type="dxa"/>
          </w:tcPr>
          <w:p w:rsidR="00452AEC" w:rsidRPr="00452AEC" w:rsidRDefault="00452AEC" w:rsidP="00C947CF">
            <w:pPr>
              <w:jc w:val="center"/>
              <w:rPr>
                <w:rFonts w:ascii="Arial" w:hAnsi="Arial" w:cs="Arial"/>
                <w:sz w:val="20"/>
                <w:szCs w:val="20"/>
              </w:rPr>
            </w:pPr>
            <w:r w:rsidRPr="00452AEC">
              <w:rPr>
                <w:rFonts w:ascii="Arial" w:eastAsia="Arial" w:hAnsi="Arial" w:cs="Arial"/>
                <w:b/>
                <w:bCs/>
                <w:sz w:val="20"/>
                <w:szCs w:val="20"/>
              </w:rPr>
              <w:t>Biological Activities</w:t>
            </w:r>
          </w:p>
        </w:tc>
        <w:tc>
          <w:tcPr>
            <w:tcW w:w="1662" w:type="dxa"/>
          </w:tcPr>
          <w:p w:rsidR="00452AEC" w:rsidRPr="00452AEC" w:rsidRDefault="00452AEC" w:rsidP="00C947CF">
            <w:pPr>
              <w:jc w:val="center"/>
              <w:rPr>
                <w:rFonts w:ascii="Arial" w:hAnsi="Arial" w:cs="Arial"/>
                <w:sz w:val="20"/>
                <w:szCs w:val="20"/>
              </w:rPr>
            </w:pPr>
            <w:r w:rsidRPr="00452AEC">
              <w:rPr>
                <w:rFonts w:ascii="Arial" w:eastAsia="Arial" w:hAnsi="Arial" w:cs="Arial"/>
                <w:b/>
                <w:bCs/>
                <w:sz w:val="20"/>
                <w:szCs w:val="20"/>
              </w:rPr>
              <w:t>References</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1</w:t>
            </w:r>
          </w:p>
        </w:tc>
        <w:tc>
          <w:tcPr>
            <w:tcW w:w="2096" w:type="dxa"/>
          </w:tcPr>
          <w:p w:rsidR="00452AEC" w:rsidRPr="00452AEC" w:rsidRDefault="00452AEC" w:rsidP="00C947CF">
            <w:pPr>
              <w:rPr>
                <w:rFonts w:ascii="Arial" w:eastAsia="Times New Roman" w:hAnsi="Arial" w:cs="Arial"/>
                <w:sz w:val="20"/>
                <w:szCs w:val="20"/>
              </w:rPr>
            </w:pPr>
            <w:r w:rsidRPr="00452AEC">
              <w:rPr>
                <w:rFonts w:ascii="Arial" w:eastAsia="Times New Roman" w:hAnsi="Arial" w:cs="Arial"/>
                <w:sz w:val="20"/>
                <w:szCs w:val="20"/>
              </w:rPr>
              <w:t>Phytol</w:t>
            </w:r>
          </w:p>
          <w:p w:rsidR="00452AEC" w:rsidRPr="00452AEC" w:rsidRDefault="00452AEC" w:rsidP="00C947CF">
            <w:pPr>
              <w:rPr>
                <w:rFonts w:ascii="Arial" w:hAnsi="Arial" w:cs="Arial"/>
                <w:sz w:val="20"/>
                <w:szCs w:val="20"/>
              </w:rPr>
            </w:pP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27.43</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₂₀</w:t>
            </w:r>
            <w:r w:rsidRPr="00452AEC">
              <w:rPr>
                <w:rFonts w:ascii="Arial" w:eastAsia="Times New Roman" w:hAnsi="Arial" w:cs="Arial"/>
                <w:sz w:val="20"/>
                <w:szCs w:val="20"/>
              </w:rPr>
              <w:t>H</w:t>
            </w:r>
            <w:r w:rsidRPr="00452AEC">
              <w:rPr>
                <w:rFonts w:ascii="Times New Roman" w:eastAsia="Times New Roman" w:hAnsi="Times New Roman" w:cs="Arial"/>
                <w:sz w:val="20"/>
                <w:szCs w:val="20"/>
              </w:rPr>
              <w:t>₄₀</w:t>
            </w:r>
            <w:r w:rsidRPr="00452AEC">
              <w:rPr>
                <w:rFonts w:ascii="Arial" w:eastAsia="Times New Roman" w:hAnsi="Arial" w:cs="Arial"/>
                <w:sz w:val="20"/>
                <w:szCs w:val="20"/>
              </w:rPr>
              <w:t>O</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296</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100%</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Antioxidant, Antibacterial, Antiseptic, Antidiarrheal, Anticarcinogenic, Antiviral; Anti-inflammatory (reduces TNF-α and IL-6); Gastroprotective</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Silva et al. (2020)¹⁸; Alinejad-Mofrad et al. (2023)²⁶</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2</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Cyclobutane, 1,1,2,3,3-pentamethyl-</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3.19</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₉</w:t>
            </w:r>
            <w:r w:rsidRPr="00452AEC">
              <w:rPr>
                <w:rFonts w:ascii="Arial" w:eastAsia="Times New Roman" w:hAnsi="Arial" w:cs="Arial"/>
                <w:sz w:val="20"/>
                <w:szCs w:val="20"/>
              </w:rPr>
              <w:t>H</w:t>
            </w:r>
            <w:r w:rsidRPr="00452AEC">
              <w:rPr>
                <w:rFonts w:ascii="Times New Roman" w:eastAsia="Times New Roman" w:hAnsi="Times New Roman" w:cs="Arial"/>
                <w:sz w:val="20"/>
                <w:szCs w:val="20"/>
              </w:rPr>
              <w:t>₁₈</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126</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50%</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Gastrointestinal motility stimulant, Gastritis treatment, Gastricsin inhibitor, Gastric antisecretory</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NIST/WILEY spectral database match (fit ≥700)</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n-Hexadecanoic acid (Palmitic acid)</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25.70</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₁₆</w:t>
            </w:r>
            <w:r w:rsidRPr="00452AEC">
              <w:rPr>
                <w:rFonts w:ascii="Arial" w:eastAsia="Times New Roman" w:hAnsi="Arial" w:cs="Arial"/>
                <w:sz w:val="20"/>
                <w:szCs w:val="20"/>
              </w:rPr>
              <w:t>H</w:t>
            </w:r>
            <w:r w:rsidRPr="00452AEC">
              <w:rPr>
                <w:rFonts w:ascii="Times New Roman" w:eastAsia="Times New Roman" w:hAnsi="Times New Roman" w:cs="Arial"/>
                <w:sz w:val="20"/>
                <w:szCs w:val="20"/>
              </w:rPr>
              <w:t>₃₂</w:t>
            </w:r>
            <w:r w:rsidRPr="00452AEC">
              <w:rPr>
                <w:rFonts w:ascii="Arial" w:eastAsia="Times New Roman" w:hAnsi="Arial" w:cs="Arial"/>
                <w:sz w:val="20"/>
                <w:szCs w:val="20"/>
              </w:rPr>
              <w:t>O</w:t>
            </w:r>
            <w:r w:rsidRPr="00452AEC">
              <w:rPr>
                <w:rFonts w:ascii="Times New Roman" w:eastAsia="Times New Roman" w:hAnsi="Times New Roman" w:cs="Arial"/>
                <w:sz w:val="20"/>
                <w:szCs w:val="20"/>
              </w:rPr>
              <w:t>₂</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256</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48%</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Gastritis treatment, Antioxidant, Nematicide, Antiandrogenic, Membrane stabilizing, COX pathway inhibition</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Vennila et al. (2023); Kaur et al. (2023)²⁷</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4</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n-Tetracosanol-1</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30.18</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₂₄</w:t>
            </w:r>
            <w:r w:rsidRPr="00452AEC">
              <w:rPr>
                <w:rFonts w:ascii="Arial" w:eastAsia="Times New Roman" w:hAnsi="Arial" w:cs="Arial"/>
                <w:sz w:val="20"/>
                <w:szCs w:val="20"/>
              </w:rPr>
              <w:t>H</w:t>
            </w:r>
            <w:r w:rsidRPr="00452AEC">
              <w:rPr>
                <w:rFonts w:ascii="Times New Roman" w:eastAsia="Times New Roman" w:hAnsi="Times New Roman" w:cs="Arial"/>
                <w:sz w:val="20"/>
                <w:szCs w:val="20"/>
              </w:rPr>
              <w:t>₅₀</w:t>
            </w:r>
            <w:r w:rsidRPr="00452AEC">
              <w:rPr>
                <w:rFonts w:ascii="Arial" w:eastAsia="Times New Roman" w:hAnsi="Arial" w:cs="Arial"/>
                <w:sz w:val="20"/>
                <w:szCs w:val="20"/>
              </w:rPr>
              <w:t>O</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354</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44%</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Antioxidant, Antibacterial, Antifungal, Anticancer, Antimutagenic, Wound healing, Mucosal protective</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Makhafola et al. (2017)</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5</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γ-Sitosterol</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32.44</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₂₉</w:t>
            </w:r>
            <w:r w:rsidRPr="00452AEC">
              <w:rPr>
                <w:rFonts w:ascii="Arial" w:eastAsia="Times New Roman" w:hAnsi="Arial" w:cs="Arial"/>
                <w:sz w:val="20"/>
                <w:szCs w:val="20"/>
              </w:rPr>
              <w:t>H</w:t>
            </w:r>
            <w:r w:rsidRPr="00452AEC">
              <w:rPr>
                <w:rFonts w:ascii="Times New Roman" w:eastAsia="Times New Roman" w:hAnsi="Times New Roman" w:cs="Arial"/>
                <w:sz w:val="20"/>
                <w:szCs w:val="20"/>
              </w:rPr>
              <w:t>₅₀</w:t>
            </w:r>
            <w:r w:rsidRPr="00452AEC">
              <w:rPr>
                <w:rFonts w:ascii="Arial" w:eastAsia="Times New Roman" w:hAnsi="Arial" w:cs="Arial"/>
                <w:sz w:val="20"/>
                <w:szCs w:val="20"/>
              </w:rPr>
              <w:t>O</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414</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43%</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Gastritis treatment, Gastricsin inhibitor, Anti-SARS-CoV-2, Antiviral, NF-κB pathway inhibition</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Loizou et al. (2010)²⁴; Pharmacognosy Research (2022)</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6</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Stigmasterol</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30.76</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₂₉</w:t>
            </w:r>
            <w:r w:rsidRPr="00452AEC">
              <w:rPr>
                <w:rFonts w:ascii="Arial" w:eastAsia="Times New Roman" w:hAnsi="Arial" w:cs="Arial"/>
                <w:sz w:val="20"/>
                <w:szCs w:val="20"/>
              </w:rPr>
              <w:t>H</w:t>
            </w:r>
            <w:r w:rsidRPr="00452AEC">
              <w:rPr>
                <w:rFonts w:ascii="Times New Roman" w:eastAsia="Times New Roman" w:hAnsi="Times New Roman" w:cs="Arial"/>
                <w:sz w:val="20"/>
                <w:szCs w:val="20"/>
              </w:rPr>
              <w:t>₄₈</w:t>
            </w:r>
            <w:r w:rsidRPr="00452AEC">
              <w:rPr>
                <w:rFonts w:ascii="Arial" w:eastAsia="Times New Roman" w:hAnsi="Arial" w:cs="Arial"/>
                <w:sz w:val="20"/>
                <w:szCs w:val="20"/>
              </w:rPr>
              <w:t>O</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412</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78%</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Antifungal, Antiparasitic, Gastritis treatment, Anti-inflammatory, Prostaglandin-mediated cytoprotection</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Chaturvedi (2011)²⁵; Antioxidants (2022)</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7</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L-Valine, n-pentafluoropropionyl-, isobutyl ester</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32.63</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₁₂</w:t>
            </w:r>
            <w:r w:rsidRPr="00452AEC">
              <w:rPr>
                <w:rFonts w:ascii="Arial" w:eastAsia="Times New Roman" w:hAnsi="Arial" w:cs="Arial"/>
                <w:sz w:val="20"/>
                <w:szCs w:val="20"/>
              </w:rPr>
              <w:t>H</w:t>
            </w:r>
            <w:r w:rsidRPr="00452AEC">
              <w:rPr>
                <w:rFonts w:ascii="Times New Roman" w:eastAsia="Times New Roman" w:hAnsi="Times New Roman" w:cs="Arial"/>
                <w:sz w:val="20"/>
                <w:szCs w:val="20"/>
              </w:rPr>
              <w:t>₁₈</w:t>
            </w:r>
            <w:r w:rsidRPr="00452AEC">
              <w:rPr>
                <w:rFonts w:ascii="Arial" w:eastAsia="Times New Roman" w:hAnsi="Arial" w:cs="Arial"/>
                <w:sz w:val="20"/>
                <w:szCs w:val="20"/>
              </w:rPr>
              <w:t>F</w:t>
            </w:r>
            <w:r w:rsidRPr="00452AEC">
              <w:rPr>
                <w:rFonts w:ascii="Times New Roman" w:eastAsia="Times New Roman" w:hAnsi="Times New Roman" w:cs="Arial"/>
                <w:sz w:val="20"/>
                <w:szCs w:val="20"/>
              </w:rPr>
              <w:t>₅</w:t>
            </w:r>
            <w:r w:rsidRPr="00452AEC">
              <w:rPr>
                <w:rFonts w:ascii="Arial" w:eastAsia="Times New Roman" w:hAnsi="Arial" w:cs="Arial"/>
                <w:sz w:val="20"/>
                <w:szCs w:val="20"/>
              </w:rPr>
              <w:t>NO</w:t>
            </w:r>
            <w:r w:rsidRPr="00452AEC">
              <w:rPr>
                <w:rFonts w:ascii="Times New Roman" w:eastAsia="Times New Roman" w:hAnsi="Times New Roman" w:cs="Arial"/>
                <w:sz w:val="20"/>
                <w:szCs w:val="20"/>
              </w:rPr>
              <w:t>₃</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319</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100%</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 xml:space="preserve">Gastrin-releasing peptide antagonist, Gastritis treatment, Antioxidant, </w:t>
            </w:r>
            <w:r w:rsidRPr="00452AEC">
              <w:rPr>
                <w:rFonts w:ascii="Arial" w:eastAsia="Times New Roman" w:hAnsi="Arial" w:cs="Arial"/>
                <w:sz w:val="20"/>
                <w:szCs w:val="20"/>
              </w:rPr>
              <w:lastRenderedPageBreak/>
              <w:t>Antimicrobial, Human protein synthesis</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lastRenderedPageBreak/>
              <w:t>Plant Physiol. (1981); Ren et al. (2022)²⁸</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lastRenderedPageBreak/>
              <w:t>8</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Octadecanoic acid, 2,3-dihydroxypropyl ester (Glyceryl stearate)</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32.91</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₂₁</w:t>
            </w:r>
            <w:r w:rsidRPr="00452AEC">
              <w:rPr>
                <w:rFonts w:ascii="Arial" w:eastAsia="Times New Roman" w:hAnsi="Arial" w:cs="Arial"/>
                <w:sz w:val="20"/>
                <w:szCs w:val="20"/>
              </w:rPr>
              <w:t>H</w:t>
            </w:r>
            <w:r w:rsidRPr="00452AEC">
              <w:rPr>
                <w:rFonts w:ascii="Times New Roman" w:eastAsia="Times New Roman" w:hAnsi="Times New Roman" w:cs="Arial"/>
                <w:sz w:val="20"/>
                <w:szCs w:val="20"/>
              </w:rPr>
              <w:t>₄₂</w:t>
            </w:r>
            <w:r w:rsidRPr="00452AEC">
              <w:rPr>
                <w:rFonts w:ascii="Arial" w:eastAsia="Times New Roman" w:hAnsi="Arial" w:cs="Arial"/>
                <w:sz w:val="20"/>
                <w:szCs w:val="20"/>
              </w:rPr>
              <w:t>O</w:t>
            </w:r>
            <w:r w:rsidRPr="00452AEC">
              <w:rPr>
                <w:rFonts w:ascii="Times New Roman" w:eastAsia="Times New Roman" w:hAnsi="Times New Roman" w:cs="Arial"/>
                <w:sz w:val="20"/>
                <w:szCs w:val="20"/>
              </w:rPr>
              <w:t>₄</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358</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100%</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Anti-inflammatory, Anticancer, Antimicrobial, Mucosal barrier protection, Acid back-diffusion prevention</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Toxicology Reports (2024)</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9</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Octahydroxanthen-1,9-dione, 3,3,7,7-tetramethyl-10-hexyl-</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34.10</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₂₃</w:t>
            </w:r>
            <w:r w:rsidRPr="00452AEC">
              <w:rPr>
                <w:rFonts w:ascii="Arial" w:eastAsia="Times New Roman" w:hAnsi="Arial" w:cs="Arial"/>
                <w:sz w:val="20"/>
                <w:szCs w:val="20"/>
              </w:rPr>
              <w:t>H</w:t>
            </w:r>
            <w:r w:rsidRPr="00452AEC">
              <w:rPr>
                <w:rFonts w:ascii="Times New Roman" w:eastAsia="Times New Roman" w:hAnsi="Times New Roman" w:cs="Arial"/>
                <w:sz w:val="20"/>
                <w:szCs w:val="20"/>
              </w:rPr>
              <w:t>₃₄</w:t>
            </w:r>
            <w:r w:rsidRPr="00452AEC">
              <w:rPr>
                <w:rFonts w:ascii="Arial" w:eastAsia="Times New Roman" w:hAnsi="Arial" w:cs="Arial"/>
                <w:sz w:val="20"/>
                <w:szCs w:val="20"/>
              </w:rPr>
              <w:t>O</w:t>
            </w:r>
            <w:r w:rsidRPr="00452AEC">
              <w:rPr>
                <w:rFonts w:ascii="Times New Roman" w:eastAsia="Times New Roman" w:hAnsi="Times New Roman" w:cs="Arial"/>
                <w:sz w:val="20"/>
                <w:szCs w:val="20"/>
              </w:rPr>
              <w:t>₃</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358</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67%</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Anticancer, Antioxidant, Antimicrobial, Anti-inflammatory, Antiplasmodial, Anti-ulcerative</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Molbank (2016, M884)</w:t>
            </w:r>
          </w:p>
        </w:tc>
      </w:tr>
      <w:tr w:rsidR="00452AEC" w:rsidRPr="00452AEC" w:rsidTr="00BD228A">
        <w:trPr>
          <w:jc w:val="center"/>
        </w:trPr>
        <w:tc>
          <w:tcPr>
            <w:tcW w:w="6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10</w:t>
            </w:r>
          </w:p>
        </w:tc>
        <w:tc>
          <w:tcPr>
            <w:tcW w:w="2096"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1-Pentanone, (4-methoxyphenyl)-oxime</w:t>
            </w:r>
          </w:p>
        </w:tc>
        <w:tc>
          <w:tcPr>
            <w:tcW w:w="71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32.37</w:t>
            </w:r>
          </w:p>
        </w:tc>
        <w:tc>
          <w:tcPr>
            <w:tcW w:w="1287"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C</w:t>
            </w:r>
            <w:r w:rsidRPr="00452AEC">
              <w:rPr>
                <w:rFonts w:ascii="Times New Roman" w:eastAsia="Times New Roman" w:hAnsi="Times New Roman" w:cs="Arial"/>
                <w:sz w:val="20"/>
                <w:szCs w:val="20"/>
              </w:rPr>
              <w:t>₁₂</w:t>
            </w:r>
            <w:r w:rsidRPr="00452AEC">
              <w:rPr>
                <w:rFonts w:ascii="Arial" w:eastAsia="Times New Roman" w:hAnsi="Arial" w:cs="Arial"/>
                <w:sz w:val="20"/>
                <w:szCs w:val="20"/>
              </w:rPr>
              <w:t>H</w:t>
            </w:r>
            <w:r w:rsidRPr="00452AEC">
              <w:rPr>
                <w:rFonts w:ascii="Times New Roman" w:eastAsia="Times New Roman" w:hAnsi="Times New Roman" w:cs="Arial"/>
                <w:sz w:val="20"/>
                <w:szCs w:val="20"/>
              </w:rPr>
              <w:t>₁₇</w:t>
            </w:r>
            <w:r w:rsidRPr="00452AEC">
              <w:rPr>
                <w:rFonts w:ascii="Arial" w:eastAsia="Times New Roman" w:hAnsi="Arial" w:cs="Arial"/>
                <w:sz w:val="20"/>
                <w:szCs w:val="20"/>
              </w:rPr>
              <w:t>NO</w:t>
            </w:r>
            <w:r w:rsidRPr="00452AEC">
              <w:rPr>
                <w:rFonts w:ascii="Times New Roman" w:eastAsia="Times New Roman" w:hAnsi="Times New Roman" w:cs="Arial"/>
                <w:sz w:val="20"/>
                <w:szCs w:val="20"/>
              </w:rPr>
              <w:t>₂</w:t>
            </w:r>
          </w:p>
        </w:tc>
        <w:tc>
          <w:tcPr>
            <w:tcW w:w="57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207</w:t>
            </w:r>
          </w:p>
        </w:tc>
        <w:tc>
          <w:tcPr>
            <w:tcW w:w="728"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53%</w:t>
            </w:r>
          </w:p>
        </w:tc>
        <w:tc>
          <w:tcPr>
            <w:tcW w:w="1740"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Gastritis treatment, Gastricsin inhibitor, Antioxidant, Membrane stabilizing</w:t>
            </w:r>
          </w:p>
        </w:tc>
        <w:tc>
          <w:tcPr>
            <w:tcW w:w="1662" w:type="dxa"/>
          </w:tcPr>
          <w:p w:rsidR="00452AEC" w:rsidRPr="00452AEC" w:rsidRDefault="00452AEC" w:rsidP="00C947CF">
            <w:pPr>
              <w:rPr>
                <w:rFonts w:ascii="Arial" w:hAnsi="Arial" w:cs="Arial"/>
                <w:sz w:val="20"/>
                <w:szCs w:val="20"/>
              </w:rPr>
            </w:pPr>
            <w:r w:rsidRPr="00452AEC">
              <w:rPr>
                <w:rFonts w:ascii="Arial" w:eastAsia="Times New Roman" w:hAnsi="Arial" w:cs="Arial"/>
                <w:sz w:val="20"/>
                <w:szCs w:val="20"/>
              </w:rPr>
              <w:t>NIST/WILEY spectral database match (fit ≥700)</w:t>
            </w:r>
          </w:p>
        </w:tc>
      </w:tr>
    </w:tbl>
    <w:p w:rsidR="00452AEC" w:rsidRPr="00452AEC" w:rsidRDefault="00452AEC" w:rsidP="00452AEC">
      <w:pPr>
        <w:spacing w:after="0" w:line="240" w:lineRule="auto"/>
        <w:jc w:val="both"/>
        <w:rPr>
          <w:rFonts w:ascii="Arial" w:eastAsia="Times New Roman" w:hAnsi="Arial" w:cs="Arial"/>
          <w:bCs/>
          <w:sz w:val="20"/>
          <w:szCs w:val="20"/>
        </w:rPr>
      </w:pPr>
      <w:r w:rsidRPr="00452AEC">
        <w:rPr>
          <w:rFonts w:ascii="Arial" w:eastAsia="Times New Roman" w:hAnsi="Arial" w:cs="Arial"/>
          <w:bCs/>
          <w:i/>
          <w:iCs/>
          <w:sz w:val="20"/>
          <w:szCs w:val="20"/>
        </w:rPr>
        <w:t>RT = Retention time; MW = Molecular weight. References provided for all compounds; spectral database matches (NIST4/WILEY9, fit ≥700) used where primary literature not available.</w:t>
      </w:r>
    </w:p>
    <w:p w:rsidR="00452AEC" w:rsidRDefault="00452AEC" w:rsidP="001E6B70">
      <w:pPr>
        <w:spacing w:after="0" w:line="240" w:lineRule="auto"/>
        <w:jc w:val="both"/>
        <w:rPr>
          <w:rFonts w:ascii="Arial" w:eastAsia="Times New Roman" w:hAnsi="Arial" w:cs="Arial"/>
          <w:b/>
          <w:bCs/>
          <w:sz w:val="20"/>
          <w:szCs w:val="20"/>
        </w:rPr>
      </w:pPr>
    </w:p>
    <w:p w:rsidR="00452AEC" w:rsidRDefault="00452AEC" w:rsidP="00452AEC">
      <w:pPr>
        <w:spacing w:after="0" w:line="240" w:lineRule="auto"/>
        <w:jc w:val="both"/>
        <w:rPr>
          <w:rFonts w:ascii="Arial" w:eastAsia="Times New Roman" w:hAnsi="Arial" w:cs="Arial"/>
          <w:b/>
          <w:bCs/>
          <w:color w:val="244061" w:themeColor="accent1" w:themeShade="80"/>
          <w:sz w:val="20"/>
          <w:szCs w:val="20"/>
        </w:rPr>
      </w:pPr>
      <w:r w:rsidRPr="00A824CC">
        <w:rPr>
          <w:rFonts w:ascii="Arial" w:eastAsia="Times New Roman" w:hAnsi="Arial" w:cs="Arial"/>
          <w:b/>
          <w:bCs/>
          <w:color w:val="244061" w:themeColor="accent1" w:themeShade="80"/>
          <w:sz w:val="20"/>
          <w:szCs w:val="20"/>
        </w:rPr>
        <w:t>3.3</w:t>
      </w:r>
      <w:r w:rsidRPr="00A824CC">
        <w:rPr>
          <w:rFonts w:ascii="Arial" w:eastAsia="Times New Roman" w:hAnsi="Arial" w:cs="Arial"/>
          <w:b/>
          <w:bCs/>
          <w:i/>
          <w:color w:val="244061" w:themeColor="accent1" w:themeShade="80"/>
          <w:sz w:val="20"/>
          <w:szCs w:val="20"/>
        </w:rPr>
        <w:t xml:space="preserve">. </w:t>
      </w:r>
      <w:r w:rsidR="0095012C" w:rsidRPr="0095012C">
        <w:rPr>
          <w:rFonts w:ascii="Arial" w:eastAsia="Times New Roman" w:hAnsi="Arial" w:cs="Arial"/>
          <w:b/>
          <w:bCs/>
          <w:i/>
          <w:color w:val="244061" w:themeColor="accent1" w:themeShade="80"/>
          <w:sz w:val="20"/>
          <w:szCs w:val="20"/>
        </w:rPr>
        <w:t>In silico</w:t>
      </w:r>
      <w:r w:rsidRPr="00A824CC">
        <w:rPr>
          <w:rFonts w:ascii="Arial" w:eastAsia="Times New Roman" w:hAnsi="Arial" w:cs="Arial"/>
          <w:b/>
          <w:bCs/>
          <w:color w:val="244061" w:themeColor="accent1" w:themeShade="80"/>
          <w:sz w:val="20"/>
          <w:szCs w:val="20"/>
        </w:rPr>
        <w:t xml:space="preserve"> ADMET Analysis and Pharmacokinetic Evaluation</w:t>
      </w:r>
    </w:p>
    <w:p w:rsidR="00A824CC" w:rsidRPr="00A824CC" w:rsidRDefault="00A824CC" w:rsidP="00452AEC">
      <w:pPr>
        <w:spacing w:after="0" w:line="240" w:lineRule="auto"/>
        <w:jc w:val="both"/>
        <w:rPr>
          <w:rFonts w:ascii="Arial" w:eastAsia="Times New Roman" w:hAnsi="Arial" w:cs="Arial"/>
          <w:b/>
          <w:bCs/>
          <w:color w:val="244061" w:themeColor="accent1" w:themeShade="80"/>
          <w:sz w:val="20"/>
          <w:szCs w:val="20"/>
        </w:rPr>
      </w:pPr>
    </w:p>
    <w:p w:rsidR="00452AEC" w:rsidRPr="00452AEC" w:rsidRDefault="0095012C" w:rsidP="00452AEC">
      <w:pPr>
        <w:spacing w:after="0" w:line="240" w:lineRule="auto"/>
        <w:jc w:val="both"/>
        <w:rPr>
          <w:rFonts w:ascii="Arial" w:eastAsia="Times New Roman" w:hAnsi="Arial" w:cs="Arial"/>
          <w:bCs/>
          <w:sz w:val="20"/>
          <w:szCs w:val="20"/>
        </w:rPr>
      </w:pPr>
      <w:r w:rsidRPr="0095012C">
        <w:rPr>
          <w:rFonts w:ascii="Arial" w:eastAsia="Times New Roman" w:hAnsi="Arial" w:cs="Arial"/>
          <w:bCs/>
          <w:i/>
          <w:sz w:val="20"/>
          <w:szCs w:val="20"/>
        </w:rPr>
        <w:t>In silico</w:t>
      </w:r>
      <w:r w:rsidR="00452AEC" w:rsidRPr="00452AEC">
        <w:rPr>
          <w:rFonts w:ascii="Arial" w:eastAsia="Times New Roman" w:hAnsi="Arial" w:cs="Arial"/>
          <w:bCs/>
          <w:sz w:val="20"/>
          <w:szCs w:val="20"/>
        </w:rPr>
        <w:t xml:space="preserve"> SwissADME (Absorption, Distribution, Metabolism, Excretion and Toxicity) analysis was performed to assess the drug-likeness and therapeutic feasibility of the bioactive compounds identified in </w:t>
      </w:r>
      <w:r w:rsidR="00452AEC" w:rsidRPr="00452AEC">
        <w:rPr>
          <w:rFonts w:ascii="Arial" w:eastAsia="Times New Roman" w:hAnsi="Arial" w:cs="Arial"/>
          <w:bCs/>
          <w:i/>
          <w:iCs/>
          <w:sz w:val="20"/>
          <w:szCs w:val="20"/>
        </w:rPr>
        <w:t>P. hymenophyllum</w:t>
      </w:r>
      <w:r w:rsidR="00452AEC" w:rsidRPr="00452AEC">
        <w:rPr>
          <w:rFonts w:ascii="Arial" w:eastAsia="Times New Roman" w:hAnsi="Arial" w:cs="Arial"/>
          <w:bCs/>
          <w:sz w:val="20"/>
          <w:szCs w:val="20"/>
        </w:rPr>
        <w:t xml:space="preserve"> extracts</w:t>
      </w:r>
      <w:r w:rsidR="00452AEC" w:rsidRPr="00452AEC">
        <w:rPr>
          <w:rFonts w:ascii="Arial" w:eastAsia="Times New Roman" w:hAnsi="Arial" w:cs="Arial"/>
          <w:bCs/>
          <w:sz w:val="20"/>
          <w:szCs w:val="20"/>
          <w:vertAlign w:val="superscript"/>
        </w:rPr>
        <w:t>11</w:t>
      </w:r>
      <w:r w:rsidR="00BF4566">
        <w:rPr>
          <w:rFonts w:ascii="Arial" w:eastAsia="Times New Roman" w:hAnsi="Arial" w:cs="Arial"/>
          <w:bCs/>
          <w:sz w:val="20"/>
          <w:szCs w:val="20"/>
          <w:vertAlign w:val="superscript"/>
        </w:rPr>
        <w:t xml:space="preserve"> </w:t>
      </w:r>
      <w:r w:rsidR="00452AEC">
        <w:rPr>
          <w:rFonts w:ascii="Arial" w:eastAsia="Times New Roman" w:hAnsi="Arial" w:cs="Arial"/>
          <w:bCs/>
          <w:sz w:val="20"/>
          <w:szCs w:val="20"/>
        </w:rPr>
        <w:t>(Table 3)</w:t>
      </w:r>
      <w:r w:rsidR="00BD228A">
        <w:rPr>
          <w:rFonts w:ascii="Arial" w:eastAsia="Times New Roman" w:hAnsi="Arial" w:cs="Arial"/>
          <w:bCs/>
          <w:sz w:val="20"/>
          <w:szCs w:val="20"/>
        </w:rPr>
        <w:t>.</w:t>
      </w:r>
    </w:p>
    <w:p w:rsidR="00452AEC" w:rsidRPr="00452AEC" w:rsidRDefault="00452AEC" w:rsidP="00452AEC">
      <w:pPr>
        <w:spacing w:after="0" w:line="240" w:lineRule="auto"/>
        <w:jc w:val="both"/>
        <w:rPr>
          <w:rFonts w:ascii="Arial" w:eastAsia="Times New Roman" w:hAnsi="Arial" w:cs="Arial"/>
          <w:b/>
          <w:bCs/>
          <w:sz w:val="20"/>
          <w:szCs w:val="20"/>
        </w:rPr>
      </w:pPr>
      <w:r w:rsidRPr="00452AEC">
        <w:rPr>
          <w:rFonts w:ascii="Arial" w:eastAsia="Times New Roman" w:hAnsi="Arial" w:cs="Arial"/>
          <w:b/>
          <w:bCs/>
          <w:sz w:val="20"/>
          <w:szCs w:val="20"/>
        </w:rPr>
        <w:t>Lip</w:t>
      </w:r>
      <w:r w:rsidR="00BF4566">
        <w:rPr>
          <w:rFonts w:ascii="Arial" w:eastAsia="Times New Roman" w:hAnsi="Arial" w:cs="Arial"/>
          <w:b/>
          <w:bCs/>
          <w:sz w:val="20"/>
          <w:szCs w:val="20"/>
        </w:rPr>
        <w:t>inski's Rule of Five compliance:</w:t>
      </w:r>
      <w:r w:rsidRPr="00452AEC">
        <w:rPr>
          <w:rFonts w:ascii="Arial" w:eastAsia="Times New Roman" w:hAnsi="Arial" w:cs="Arial"/>
          <w:b/>
          <w:bCs/>
          <w:sz w:val="20"/>
          <w:szCs w:val="20"/>
        </w:rPr>
        <w:t xml:space="preserve"> </w:t>
      </w:r>
      <w:r w:rsidRPr="00452AEC">
        <w:rPr>
          <w:rFonts w:ascii="Arial" w:eastAsia="Times New Roman" w:hAnsi="Arial" w:cs="Arial"/>
          <w:bCs/>
          <w:sz w:val="20"/>
          <w:szCs w:val="20"/>
        </w:rPr>
        <w:t>The majority of identified compounds complied with Lipinski's Rule of Five, indicating good oral bioavailability. A few compounds showed minor violations related to high molecular weight or logP values, which is common for naturally occurring phytochemicals and does not necessarily preclude therapeutic utility.</w:t>
      </w:r>
    </w:p>
    <w:p w:rsidR="00452AEC" w:rsidRPr="00452AEC" w:rsidRDefault="00452AEC" w:rsidP="00452AEC">
      <w:pPr>
        <w:spacing w:after="0" w:line="240" w:lineRule="auto"/>
        <w:jc w:val="both"/>
        <w:rPr>
          <w:rFonts w:ascii="Arial" w:eastAsia="Times New Roman" w:hAnsi="Arial" w:cs="Arial"/>
          <w:b/>
          <w:bCs/>
          <w:sz w:val="20"/>
          <w:szCs w:val="20"/>
        </w:rPr>
      </w:pPr>
      <w:r w:rsidRPr="00452AEC">
        <w:rPr>
          <w:rFonts w:ascii="Arial" w:eastAsia="Times New Roman" w:hAnsi="Arial" w:cs="Arial"/>
          <w:b/>
          <w:bCs/>
          <w:sz w:val="20"/>
          <w:szCs w:val="20"/>
        </w:rPr>
        <w:t>Gastrointestinal absorption</w:t>
      </w:r>
      <w:r w:rsidR="00BF4566">
        <w:rPr>
          <w:rFonts w:ascii="Arial" w:eastAsia="Times New Roman" w:hAnsi="Arial" w:cs="Arial"/>
          <w:b/>
          <w:bCs/>
          <w:sz w:val="20"/>
          <w:szCs w:val="20"/>
        </w:rPr>
        <w:t>:</w:t>
      </w:r>
      <w:r w:rsidRPr="00452AEC">
        <w:rPr>
          <w:rFonts w:ascii="Arial" w:eastAsia="Times New Roman" w:hAnsi="Arial" w:cs="Arial"/>
          <w:bCs/>
          <w:sz w:val="20"/>
          <w:szCs w:val="20"/>
        </w:rPr>
        <w:t xml:space="preserve"> Most compounds demonstrated high to moderate gastrointestinal absorption, which is critical for anti-IBD therapeutics requiring effective intestinal absorption for adequate local and systemic drug concentrations.</w:t>
      </w:r>
    </w:p>
    <w:p w:rsidR="00452AEC" w:rsidRPr="00452AEC" w:rsidRDefault="00BF4566" w:rsidP="00452AEC">
      <w:pPr>
        <w:spacing w:after="0" w:line="240" w:lineRule="auto"/>
        <w:jc w:val="both"/>
        <w:rPr>
          <w:rFonts w:ascii="Arial" w:eastAsia="Times New Roman" w:hAnsi="Arial" w:cs="Arial"/>
          <w:bCs/>
          <w:sz w:val="20"/>
          <w:szCs w:val="20"/>
        </w:rPr>
      </w:pPr>
      <w:r>
        <w:rPr>
          <w:rFonts w:ascii="Arial" w:eastAsia="Times New Roman" w:hAnsi="Arial" w:cs="Arial"/>
          <w:b/>
          <w:bCs/>
          <w:sz w:val="20"/>
          <w:szCs w:val="20"/>
        </w:rPr>
        <w:t>Cytochrome P450 interaction:</w:t>
      </w:r>
      <w:r w:rsidR="00452AEC" w:rsidRPr="00452AEC">
        <w:rPr>
          <w:rFonts w:ascii="Arial" w:eastAsia="Times New Roman" w:hAnsi="Arial" w:cs="Arial"/>
          <w:b/>
          <w:bCs/>
          <w:sz w:val="20"/>
          <w:szCs w:val="20"/>
        </w:rPr>
        <w:t xml:space="preserve"> </w:t>
      </w:r>
      <w:r w:rsidR="00452AEC" w:rsidRPr="00452AEC">
        <w:rPr>
          <w:rFonts w:ascii="Arial" w:eastAsia="Times New Roman" w:hAnsi="Arial" w:cs="Arial"/>
          <w:bCs/>
          <w:sz w:val="20"/>
          <w:szCs w:val="20"/>
        </w:rPr>
        <w:t>Compounds showed minimal inhibition of CYP450 enzymes, suggesting low risk of drug–drug interactions and better metabolic stability, a favorable property for clinical use.</w:t>
      </w:r>
    </w:p>
    <w:p w:rsidR="00452AEC" w:rsidRPr="00452AEC" w:rsidRDefault="00BF4566" w:rsidP="00452AEC">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Toxicity profile:</w:t>
      </w:r>
      <w:r w:rsidR="00452AEC" w:rsidRPr="00452AEC">
        <w:rPr>
          <w:rFonts w:ascii="Arial" w:eastAsia="Times New Roman" w:hAnsi="Arial" w:cs="Arial"/>
          <w:b/>
          <w:bCs/>
          <w:sz w:val="20"/>
          <w:szCs w:val="20"/>
        </w:rPr>
        <w:t xml:space="preserve"> </w:t>
      </w:r>
      <w:r w:rsidR="0095012C" w:rsidRPr="0095012C">
        <w:rPr>
          <w:rFonts w:ascii="Arial" w:eastAsia="Times New Roman" w:hAnsi="Arial" w:cs="Arial"/>
          <w:bCs/>
          <w:i/>
          <w:sz w:val="20"/>
          <w:szCs w:val="20"/>
        </w:rPr>
        <w:t>In silico</w:t>
      </w:r>
      <w:r w:rsidR="00452AEC" w:rsidRPr="00452AEC">
        <w:rPr>
          <w:rFonts w:ascii="Arial" w:eastAsia="Times New Roman" w:hAnsi="Arial" w:cs="Arial"/>
          <w:bCs/>
          <w:sz w:val="20"/>
          <w:szCs w:val="20"/>
        </w:rPr>
        <w:t xml:space="preserve"> toxicity predictions indicated that all evaluated compounds are non-mutagenic and non-carcinogenic, substantially enhancing their candidacy as natural drug leads for further preclinical and clinical investigation.</w:t>
      </w:r>
    </w:p>
    <w:p w:rsidR="00BF687D" w:rsidRDefault="00BF687D" w:rsidP="009C29D9">
      <w:pPr>
        <w:spacing w:after="0" w:line="240" w:lineRule="auto"/>
        <w:jc w:val="both"/>
        <w:rPr>
          <w:rFonts w:ascii="Arial" w:eastAsia="Times New Roman" w:hAnsi="Arial" w:cs="Arial"/>
          <w:sz w:val="20"/>
          <w:szCs w:val="20"/>
        </w:rPr>
      </w:pPr>
    </w:p>
    <w:p w:rsidR="00BF687D" w:rsidRPr="00BF687D" w:rsidRDefault="00BF687D" w:rsidP="00BF687D">
      <w:pPr>
        <w:spacing w:after="0" w:line="240" w:lineRule="auto"/>
        <w:jc w:val="both"/>
        <w:rPr>
          <w:rFonts w:ascii="Arial" w:eastAsia="Times New Roman" w:hAnsi="Arial" w:cs="Arial"/>
          <w:b/>
          <w:sz w:val="20"/>
          <w:szCs w:val="20"/>
        </w:rPr>
      </w:pPr>
      <w:r w:rsidRPr="00BF687D">
        <w:rPr>
          <w:rFonts w:ascii="Arial" w:eastAsia="Times New Roman" w:hAnsi="Arial" w:cs="Arial"/>
          <w:b/>
          <w:sz w:val="20"/>
          <w:szCs w:val="20"/>
        </w:rPr>
        <w:t xml:space="preserve">Table 3: The </w:t>
      </w:r>
      <w:r w:rsidRPr="00BF687D">
        <w:rPr>
          <w:rFonts w:ascii="Arial" w:eastAsia="Times New Roman" w:hAnsi="Arial" w:cs="Arial"/>
          <w:b/>
          <w:i/>
          <w:sz w:val="20"/>
          <w:szCs w:val="20"/>
        </w:rPr>
        <w:t>Insilico</w:t>
      </w:r>
      <w:r w:rsidRPr="00BF687D">
        <w:rPr>
          <w:rFonts w:ascii="Arial" w:eastAsia="Times New Roman" w:hAnsi="Arial" w:cs="Arial"/>
          <w:b/>
          <w:sz w:val="20"/>
          <w:szCs w:val="20"/>
        </w:rPr>
        <w:t xml:space="preserve"> ADMET analysis of major compounds in ethyl acetate extracts of </w:t>
      </w:r>
      <w:r w:rsidRPr="00BF687D">
        <w:rPr>
          <w:rFonts w:ascii="Arial" w:eastAsia="Times New Roman" w:hAnsi="Arial" w:cs="Arial"/>
          <w:b/>
          <w:i/>
          <w:sz w:val="20"/>
          <w:szCs w:val="20"/>
        </w:rPr>
        <w:t>Piper hymenophyllum</w:t>
      </w:r>
      <w:r w:rsidRPr="00BF687D">
        <w:rPr>
          <w:rFonts w:ascii="Arial" w:eastAsia="Times New Roman" w:hAnsi="Arial" w:cs="Arial"/>
          <w:b/>
          <w:sz w:val="20"/>
          <w:szCs w:val="20"/>
        </w:rPr>
        <w:t xml:space="preserve"> leaf and fruit:</w:t>
      </w:r>
    </w:p>
    <w:tbl>
      <w:tblPr>
        <w:tblStyle w:val="TableGrid"/>
        <w:tblW w:w="0" w:type="auto"/>
        <w:tblLayout w:type="fixed"/>
        <w:tblLook w:val="0000"/>
      </w:tblPr>
      <w:tblGrid>
        <w:gridCol w:w="1554"/>
        <w:gridCol w:w="810"/>
        <w:gridCol w:w="975"/>
        <w:gridCol w:w="872"/>
        <w:gridCol w:w="1022"/>
        <w:gridCol w:w="856"/>
        <w:gridCol w:w="1390"/>
        <w:gridCol w:w="1560"/>
        <w:gridCol w:w="1977"/>
      </w:tblGrid>
      <w:tr w:rsidR="00452AEC" w:rsidRPr="00452AEC" w:rsidTr="00BF4566">
        <w:tc>
          <w:tcPr>
            <w:tcW w:w="1554"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Compound Name</w:t>
            </w:r>
          </w:p>
        </w:tc>
        <w:tc>
          <w:tcPr>
            <w:tcW w:w="810"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Lipinski Rule</w:t>
            </w:r>
          </w:p>
        </w:tc>
        <w:tc>
          <w:tcPr>
            <w:tcW w:w="975"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GI Absorption</w:t>
            </w:r>
          </w:p>
        </w:tc>
        <w:tc>
          <w:tcPr>
            <w:tcW w:w="872"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P-gp Substrate</w:t>
            </w:r>
          </w:p>
        </w:tc>
        <w:tc>
          <w:tcPr>
            <w:tcW w:w="1022"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CYP450 Interactions</w:t>
            </w:r>
          </w:p>
        </w:tc>
        <w:tc>
          <w:tcPr>
            <w:tcW w:w="856"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Water Solubility</w:t>
            </w:r>
          </w:p>
        </w:tc>
        <w:tc>
          <w:tcPr>
            <w:tcW w:w="1390"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Toxicity (Mutagenicity/Carcinogenicity)</w:t>
            </w:r>
          </w:p>
        </w:tc>
        <w:tc>
          <w:tcPr>
            <w:tcW w:w="1560"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Overall PK Behaviour</w:t>
            </w:r>
          </w:p>
        </w:tc>
        <w:tc>
          <w:tcPr>
            <w:tcW w:w="1977" w:type="dxa"/>
          </w:tcPr>
          <w:p w:rsidR="00452AEC" w:rsidRPr="00452AEC" w:rsidRDefault="00452AEC" w:rsidP="00452AEC">
            <w:pPr>
              <w:jc w:val="center"/>
              <w:rPr>
                <w:rFonts w:ascii="Arial" w:hAnsi="Arial" w:cs="Arial"/>
                <w:sz w:val="16"/>
                <w:szCs w:val="16"/>
              </w:rPr>
            </w:pPr>
            <w:r w:rsidRPr="00452AEC">
              <w:rPr>
                <w:rFonts w:ascii="Arial" w:eastAsia="Arial" w:hAnsi="Arial" w:cs="Arial"/>
                <w:b/>
                <w:bCs/>
                <w:sz w:val="16"/>
                <w:szCs w:val="16"/>
              </w:rPr>
              <w:t>Gastroprotective/Anti-IBD Evidence</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Phytol</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Pass (1 violation – high logP)</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High</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Minimal</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Low</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Good oral absorption; safe</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Reduces gastric lesions via antioxidant and anti-inflammatory mechanisms; suppresses TNF-α and IL-6²⁰'²⁶</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Cyclobutane, 1,1,2,3,3-pentamethyl-</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Pass</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Moderate</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None predicted</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Low</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Favorable stability and distribution</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Membrane-stabilizing lipid-derived compound; limits oxidative mucosal injury</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n-Hexadecanoic acid (Palmitic acid)</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Pass</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Moderate</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Weak CYP2C9 inhibition</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Poor</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Acceptable PK; low toxicity</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Gastroprotection via ulcer index reduction, mucosal membrane stabilization and COX inhibition²³</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γ-Sitosterol</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 xml:space="preserve">1–2 </w:t>
            </w:r>
            <w:r w:rsidRPr="00452AEC">
              <w:rPr>
                <w:rFonts w:ascii="Arial" w:eastAsia="Times New Roman" w:hAnsi="Arial" w:cs="Arial"/>
                <w:sz w:val="16"/>
                <w:szCs w:val="16"/>
              </w:rPr>
              <w:lastRenderedPageBreak/>
              <w:t>violations (MW, logP)</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lastRenderedPageBreak/>
              <w:t>Low</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 xml:space="preserve">Weak </w:t>
            </w:r>
            <w:r w:rsidRPr="00452AEC">
              <w:rPr>
                <w:rFonts w:ascii="Arial" w:eastAsia="Times New Roman" w:hAnsi="Arial" w:cs="Arial"/>
                <w:sz w:val="16"/>
                <w:szCs w:val="16"/>
              </w:rPr>
              <w:lastRenderedPageBreak/>
              <w:t>binding</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lastRenderedPageBreak/>
              <w:t xml:space="preserve">Very </w:t>
            </w:r>
            <w:r w:rsidRPr="00452AEC">
              <w:rPr>
                <w:rFonts w:ascii="Arial" w:eastAsia="Times New Roman" w:hAnsi="Arial" w:cs="Arial"/>
                <w:sz w:val="16"/>
                <w:szCs w:val="16"/>
              </w:rPr>
              <w:lastRenderedPageBreak/>
              <w:t>Low</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lastRenderedPageBreak/>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 xml:space="preserve">Poor solubility; </w:t>
            </w:r>
            <w:r w:rsidRPr="00452AEC">
              <w:rPr>
                <w:rFonts w:ascii="Arial" w:eastAsia="Times New Roman" w:hAnsi="Arial" w:cs="Arial"/>
                <w:sz w:val="16"/>
                <w:szCs w:val="16"/>
              </w:rPr>
              <w:lastRenderedPageBreak/>
              <w:t>safe</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lastRenderedPageBreak/>
              <w:t xml:space="preserve">Strong anti-inflammatory </w:t>
            </w:r>
            <w:r w:rsidRPr="00452AEC">
              <w:rPr>
                <w:rFonts w:ascii="Arial" w:eastAsia="Times New Roman" w:hAnsi="Arial" w:cs="Arial"/>
                <w:sz w:val="16"/>
                <w:szCs w:val="16"/>
              </w:rPr>
              <w:lastRenderedPageBreak/>
              <w:t>and antiulcer; reduces gastric acidity; suppresses NF-κB²⁴</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lastRenderedPageBreak/>
              <w:t>n-Tetracosanol-1</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1 violation (MW)</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Moderate</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None</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Poor</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Stable; safe</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Enhances mucus integrity; reduces lipid peroxidation; protects gastric mucosa</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Stigmasterol</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1–2 violations (logP)</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Low</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Minimal</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Very Low</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Safe; limited absorption</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Antioxidant, anti-inflammatory; enhances prostaglandin-mediated cytoprotection²⁵</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L-Valine, n-pentafluoropropionyl-, isobutyl ester</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Pass</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High</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None</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Moderate</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Excellent absorption; good PK</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Amino-acid derivatives support mucosal healing; enhance nitric oxide generation and epithelial regeneration²⁸</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Octadecanoic acid, 2,3-dihydroxypropyl ester (Glyceryl stearate)</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Pass</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Moderate</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Weak CYP interactions</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Low</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Good oral safety</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Protects mucosal barrier; reduces ulceration by preventing acid back-diffusion</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Octahydroxanthen-1,9-dione, 3,3,7,7-tetramethyl-10-hexyl-</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Pass</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Moderate</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None</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Poor</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Favorable PK; safe</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Xanthenone derivatives: anti-inflammatory, ROS-scavenging and mucosal-protective actions</w:t>
            </w:r>
          </w:p>
        </w:tc>
      </w:tr>
      <w:tr w:rsidR="00452AEC" w:rsidRPr="00452AEC" w:rsidTr="00BF4566">
        <w:tc>
          <w:tcPr>
            <w:tcW w:w="1554"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1-Pentanone, (4-methoxyphenyl)-oxime</w:t>
            </w:r>
          </w:p>
        </w:tc>
        <w:tc>
          <w:tcPr>
            <w:tcW w:w="81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Pass</w:t>
            </w:r>
          </w:p>
        </w:tc>
        <w:tc>
          <w:tcPr>
            <w:tcW w:w="975"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High</w:t>
            </w:r>
          </w:p>
        </w:tc>
        <w:tc>
          <w:tcPr>
            <w:tcW w:w="87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w:t>
            </w:r>
          </w:p>
        </w:tc>
        <w:tc>
          <w:tcPr>
            <w:tcW w:w="1022"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None</w:t>
            </w:r>
          </w:p>
        </w:tc>
        <w:tc>
          <w:tcPr>
            <w:tcW w:w="856"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Good</w:t>
            </w:r>
          </w:p>
        </w:tc>
        <w:tc>
          <w:tcPr>
            <w:tcW w:w="139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Non-toxic</w:t>
            </w:r>
          </w:p>
        </w:tc>
        <w:tc>
          <w:tcPr>
            <w:tcW w:w="1560"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Good oral absorption</w:t>
            </w:r>
          </w:p>
        </w:tc>
        <w:tc>
          <w:tcPr>
            <w:tcW w:w="1977" w:type="dxa"/>
          </w:tcPr>
          <w:p w:rsidR="00452AEC" w:rsidRPr="00452AEC" w:rsidRDefault="00452AEC" w:rsidP="00452AEC">
            <w:pPr>
              <w:rPr>
                <w:rFonts w:ascii="Arial" w:hAnsi="Arial" w:cs="Arial"/>
                <w:sz w:val="16"/>
                <w:szCs w:val="16"/>
              </w:rPr>
            </w:pPr>
            <w:r w:rsidRPr="00452AEC">
              <w:rPr>
                <w:rFonts w:ascii="Arial" w:eastAsia="Times New Roman" w:hAnsi="Arial" w:cs="Arial"/>
                <w:sz w:val="16"/>
                <w:szCs w:val="16"/>
              </w:rPr>
              <w:t>Antioxidant and membrane-stabilizing effects conducive to gastroprotection</w:t>
            </w:r>
          </w:p>
        </w:tc>
      </w:tr>
    </w:tbl>
    <w:p w:rsidR="00D76777" w:rsidRDefault="00D76777" w:rsidP="00452AEC">
      <w:pPr>
        <w:spacing w:after="0" w:line="240" w:lineRule="auto"/>
        <w:jc w:val="both"/>
        <w:rPr>
          <w:rFonts w:ascii="Arial" w:eastAsia="Times New Roman" w:hAnsi="Arial" w:cs="Arial"/>
          <w:bCs/>
          <w:i/>
          <w:iCs/>
          <w:sz w:val="20"/>
          <w:szCs w:val="20"/>
        </w:rPr>
      </w:pPr>
    </w:p>
    <w:p w:rsidR="00452AEC" w:rsidRPr="00452AEC" w:rsidRDefault="00452AEC" w:rsidP="00452AEC">
      <w:pPr>
        <w:spacing w:after="0" w:line="240" w:lineRule="auto"/>
        <w:jc w:val="both"/>
        <w:rPr>
          <w:rFonts w:ascii="Arial" w:eastAsia="Times New Roman" w:hAnsi="Arial" w:cs="Arial"/>
          <w:bCs/>
          <w:sz w:val="20"/>
          <w:szCs w:val="20"/>
        </w:rPr>
      </w:pPr>
      <w:r w:rsidRPr="00452AEC">
        <w:rPr>
          <w:rFonts w:ascii="Arial" w:eastAsia="Times New Roman" w:hAnsi="Arial" w:cs="Arial"/>
          <w:bCs/>
          <w:i/>
          <w:iCs/>
          <w:sz w:val="20"/>
          <w:szCs w:val="20"/>
        </w:rPr>
        <w:t>PK = Pharmacokinetics; GI = Gastrointestinal; P-gp = P-glycoprotein; CYP = Cytochrome P450. ADMET analysis performed using SwissADME (www.swissadme.ch) and ProTox web tools.</w:t>
      </w:r>
    </w:p>
    <w:p w:rsidR="00406640" w:rsidRPr="00456D7C" w:rsidRDefault="00406640" w:rsidP="00456D7C">
      <w:pPr>
        <w:spacing w:after="0" w:line="240" w:lineRule="auto"/>
        <w:rPr>
          <w:rFonts w:ascii="Arial" w:eastAsia="Times New Roman" w:hAnsi="Arial" w:cs="Arial"/>
        </w:rPr>
      </w:pPr>
    </w:p>
    <w:p w:rsidR="00452AEC" w:rsidRPr="00BD228A" w:rsidRDefault="00452AEC" w:rsidP="00BD228A">
      <w:pPr>
        <w:spacing w:after="0" w:line="240" w:lineRule="auto"/>
        <w:jc w:val="both"/>
        <w:rPr>
          <w:rFonts w:ascii="Arial" w:eastAsia="Arial" w:hAnsi="Arial" w:cs="Arial"/>
          <w:b/>
          <w:color w:val="244061" w:themeColor="accent1" w:themeShade="80"/>
          <w:szCs w:val="20"/>
        </w:rPr>
      </w:pPr>
      <w:r w:rsidRPr="00BD228A">
        <w:rPr>
          <w:rFonts w:ascii="Arial" w:eastAsia="Arial" w:hAnsi="Arial" w:cs="Arial"/>
          <w:b/>
          <w:color w:val="244061" w:themeColor="accent1" w:themeShade="80"/>
          <w:szCs w:val="20"/>
        </w:rPr>
        <w:t>4. DISCUSSION</w:t>
      </w:r>
    </w:p>
    <w:p w:rsidR="00A824CC" w:rsidRPr="00BD228A" w:rsidRDefault="00A824CC" w:rsidP="00BD228A">
      <w:pPr>
        <w:spacing w:after="0" w:line="240" w:lineRule="auto"/>
        <w:jc w:val="both"/>
        <w:rPr>
          <w:rFonts w:ascii="Arial" w:hAnsi="Arial" w:cs="Arial"/>
          <w:b/>
          <w:color w:val="244061" w:themeColor="accent1" w:themeShade="80"/>
          <w:sz w:val="20"/>
          <w:szCs w:val="20"/>
        </w:rPr>
      </w:pPr>
    </w:p>
    <w:p w:rsidR="00452AEC" w:rsidRPr="00BD228A" w:rsidRDefault="00452AEC" w:rsidP="00BD228A">
      <w:pPr>
        <w:spacing w:after="0" w:line="240" w:lineRule="auto"/>
        <w:jc w:val="both"/>
        <w:rPr>
          <w:rFonts w:ascii="Arial" w:eastAsia="Arial" w:hAnsi="Arial" w:cs="Arial"/>
          <w:b/>
          <w:color w:val="244061" w:themeColor="accent1" w:themeShade="80"/>
          <w:sz w:val="20"/>
          <w:szCs w:val="20"/>
        </w:rPr>
      </w:pPr>
      <w:r w:rsidRPr="00BD228A">
        <w:rPr>
          <w:rFonts w:ascii="Arial" w:eastAsia="Arial" w:hAnsi="Arial" w:cs="Arial"/>
          <w:b/>
          <w:color w:val="244061" w:themeColor="accent1" w:themeShade="80"/>
          <w:sz w:val="20"/>
          <w:szCs w:val="20"/>
        </w:rPr>
        <w:t>4.1. Interpretation of Anti-inflammatory Findings</w:t>
      </w:r>
    </w:p>
    <w:p w:rsidR="00A824CC" w:rsidRPr="00BD228A" w:rsidRDefault="00A824CC" w:rsidP="00BD228A">
      <w:pPr>
        <w:spacing w:after="0" w:line="240" w:lineRule="auto"/>
        <w:jc w:val="both"/>
        <w:rPr>
          <w:rFonts w:ascii="Arial" w:hAnsi="Arial" w:cs="Arial"/>
          <w:b/>
          <w:color w:val="244061" w:themeColor="accent1" w:themeShade="80"/>
          <w:sz w:val="20"/>
          <w:szCs w:val="20"/>
        </w:rPr>
      </w:pPr>
    </w:p>
    <w:p w:rsidR="00A824CC" w:rsidRDefault="00452AEC" w:rsidP="00D76777">
      <w:pPr>
        <w:spacing w:after="0" w:line="240" w:lineRule="auto"/>
        <w:jc w:val="both"/>
        <w:rPr>
          <w:rFonts w:ascii="Arial" w:eastAsia="Arial Unicode MS" w:hAnsi="Arial" w:cs="Arial"/>
          <w:sz w:val="20"/>
          <w:szCs w:val="20"/>
        </w:rPr>
      </w:pPr>
      <w:r w:rsidRPr="00BD228A">
        <w:rPr>
          <w:rFonts w:ascii="Arial" w:eastAsia="Arial Unicode MS" w:hAnsi="Arial" w:cs="Arial"/>
          <w:sz w:val="20"/>
          <w:szCs w:val="20"/>
        </w:rPr>
        <w:t xml:space="preserve">The present study demonstrates significant anti-inflammatory activity in </w:t>
      </w:r>
      <w:r w:rsidRPr="00BD228A">
        <w:rPr>
          <w:rFonts w:ascii="Arial" w:eastAsia="Arial Unicode MS" w:hAnsi="Arial" w:cs="Arial"/>
          <w:i/>
          <w:iCs/>
          <w:sz w:val="20"/>
          <w:szCs w:val="20"/>
        </w:rPr>
        <w:t>P. hymenophyllum</w:t>
      </w:r>
      <w:r w:rsidRPr="00BD228A">
        <w:rPr>
          <w:rFonts w:ascii="Arial" w:eastAsia="Arial Unicode MS" w:hAnsi="Arial" w:cs="Arial"/>
          <w:sz w:val="20"/>
          <w:szCs w:val="20"/>
        </w:rPr>
        <w:t xml:space="preserve"> extracts, with the ethyl acetate leaf fraction showing the highest potency in both the membrane stabilization (71.98 ± 0.89% inhibition) and heat-induced hemolysis (IC</w:t>
      </w:r>
      <w:r w:rsidRPr="00BD228A">
        <w:rPr>
          <w:rFonts w:ascii="Arial" w:eastAsia="Arial Unicode MS" w:hAnsi="Arial Unicode MS" w:cs="Arial"/>
          <w:sz w:val="20"/>
          <w:szCs w:val="20"/>
        </w:rPr>
        <w:t>₅₀</w:t>
      </w:r>
      <w:r w:rsidRPr="00BD228A">
        <w:rPr>
          <w:rFonts w:ascii="Arial" w:eastAsia="Arial Unicode MS" w:hAnsi="Arial" w:cs="Arial"/>
          <w:sz w:val="20"/>
          <w:szCs w:val="20"/>
        </w:rPr>
        <w:t xml:space="preserve"> = 23.68 µg/mL) assays. These values closely approach those of the r</w:t>
      </w:r>
      <w:r w:rsidR="00D76777">
        <w:rPr>
          <w:rFonts w:ascii="Arial" w:eastAsia="Arial Unicode MS" w:hAnsi="Arial" w:cs="Arial"/>
          <w:sz w:val="20"/>
          <w:szCs w:val="20"/>
        </w:rPr>
        <w:t xml:space="preserve">eference drug diclofenac sodium </w:t>
      </w:r>
      <w:r w:rsidRPr="00BD228A">
        <w:rPr>
          <w:rFonts w:ascii="Arial" w:eastAsia="Arial Unicode MS" w:hAnsi="Arial" w:cs="Arial"/>
          <w:sz w:val="20"/>
          <w:szCs w:val="20"/>
        </w:rPr>
        <w:t>(82.41 ± 1.35%; IC</w:t>
      </w:r>
      <w:r w:rsidRPr="00BD228A">
        <w:rPr>
          <w:rFonts w:ascii="Arial" w:eastAsia="Arial Unicode MS" w:hAnsi="Arial Unicode MS" w:cs="Arial"/>
          <w:sz w:val="20"/>
          <w:szCs w:val="20"/>
        </w:rPr>
        <w:t>₅₀</w:t>
      </w:r>
      <w:r w:rsidRPr="00BD228A">
        <w:rPr>
          <w:rFonts w:ascii="Arial" w:eastAsia="Arial Unicode MS" w:hAnsi="Arial" w:cs="Arial"/>
          <w:sz w:val="20"/>
          <w:szCs w:val="20"/>
        </w:rPr>
        <w:t xml:space="preserve"> = 17.92 µg/mL), suggesting considerable therapeutic relevance. The superior performance of the ethyl acetate fraction aligns with established knowledge that semi-polar solvents efficiently extract phenolics, flavonoids and terpenoids </w:t>
      </w:r>
      <w:r w:rsidR="00456D7C" w:rsidRPr="00BD228A">
        <w:rPr>
          <w:rFonts w:ascii="Arial" w:eastAsia="Arial Unicode MS" w:hAnsi="Arial" w:cs="Arial"/>
          <w:sz w:val="20"/>
          <w:szCs w:val="20"/>
        </w:rPr>
        <w:t xml:space="preserve"> </w:t>
      </w:r>
      <w:r w:rsidRPr="00BD228A">
        <w:rPr>
          <w:rFonts w:ascii="Arial" w:eastAsia="Arial Unicode MS" w:hAnsi="Arial" w:cs="Arial"/>
          <w:sz w:val="20"/>
          <w:szCs w:val="20"/>
        </w:rPr>
        <w:t>compound classes well-recognized for their membrane-stabilizing and anti-inflammatory properties</w:t>
      </w:r>
      <w:r w:rsidRPr="00BD228A">
        <w:rPr>
          <w:rFonts w:ascii="Arial" w:eastAsia="Arial Unicode MS" w:hAnsi="Arial" w:cs="Arial"/>
          <w:sz w:val="20"/>
          <w:szCs w:val="20"/>
          <w:vertAlign w:val="superscript"/>
        </w:rPr>
        <w:t>17,18</w:t>
      </w:r>
      <w:r w:rsidRPr="00BD228A">
        <w:rPr>
          <w:rFonts w:ascii="Arial" w:eastAsia="Arial Unicode MS" w:hAnsi="Arial" w:cs="Arial"/>
          <w:sz w:val="20"/>
          <w:szCs w:val="20"/>
        </w:rPr>
        <w:t>.</w:t>
      </w:r>
      <w:r w:rsidR="00D76777">
        <w:rPr>
          <w:rFonts w:ascii="Arial" w:eastAsia="Arial Unicode MS" w:hAnsi="Arial" w:cs="Arial"/>
          <w:sz w:val="20"/>
          <w:szCs w:val="20"/>
        </w:rPr>
        <w:t xml:space="preserve"> </w:t>
      </w:r>
      <w:r w:rsidRPr="00BD228A">
        <w:rPr>
          <w:rFonts w:ascii="Arial" w:eastAsia="Arial Unicode MS" w:hAnsi="Arial" w:cs="Arial"/>
          <w:sz w:val="20"/>
          <w:szCs w:val="20"/>
        </w:rPr>
        <w:t xml:space="preserve">The potency hierarchy observed </w:t>
      </w:r>
      <w:r w:rsidR="00456D7C" w:rsidRPr="00BD228A">
        <w:rPr>
          <w:rFonts w:ascii="Arial" w:eastAsia="Arial Unicode MS" w:hAnsi="Arial" w:cs="Arial"/>
          <w:sz w:val="20"/>
          <w:szCs w:val="20"/>
        </w:rPr>
        <w:t xml:space="preserve"> </w:t>
      </w:r>
      <w:r w:rsidRPr="00BD228A">
        <w:rPr>
          <w:rFonts w:ascii="Arial" w:eastAsia="Arial Unicode MS" w:hAnsi="Arial" w:cs="Arial"/>
          <w:sz w:val="20"/>
          <w:szCs w:val="20"/>
        </w:rPr>
        <w:t xml:space="preserve">ethyl acetate &gt; ethanol &gt; aqueous &gt; chloroform &gt; petroleum ether </w:t>
      </w:r>
      <w:r w:rsidR="00456D7C" w:rsidRPr="00BD228A">
        <w:rPr>
          <w:rFonts w:ascii="Arial" w:eastAsia="Arial Unicode MS" w:hAnsi="Arial" w:cs="Arial"/>
          <w:sz w:val="20"/>
          <w:szCs w:val="20"/>
        </w:rPr>
        <w:t xml:space="preserve"> </w:t>
      </w:r>
      <w:r w:rsidRPr="00BD228A">
        <w:rPr>
          <w:rFonts w:ascii="Arial" w:eastAsia="Arial Unicode MS" w:hAnsi="Arial" w:cs="Arial"/>
          <w:sz w:val="20"/>
          <w:szCs w:val="20"/>
        </w:rPr>
        <w:t xml:space="preserve">is consistent with findings in other </w:t>
      </w:r>
      <w:r w:rsidRPr="00BD228A">
        <w:rPr>
          <w:rFonts w:ascii="Arial" w:eastAsia="Arial Unicode MS" w:hAnsi="Arial" w:cs="Arial"/>
          <w:i/>
          <w:iCs/>
          <w:sz w:val="20"/>
          <w:szCs w:val="20"/>
        </w:rPr>
        <w:t>Piper</w:t>
      </w:r>
      <w:r w:rsidRPr="00BD228A">
        <w:rPr>
          <w:rFonts w:ascii="Arial" w:eastAsia="Arial Unicode MS" w:hAnsi="Arial" w:cs="Arial"/>
          <w:sz w:val="20"/>
          <w:szCs w:val="20"/>
        </w:rPr>
        <w:t xml:space="preserve"> species. Studies on </w:t>
      </w:r>
      <w:r w:rsidR="0095012C" w:rsidRPr="00BD228A">
        <w:rPr>
          <w:rFonts w:ascii="Arial" w:eastAsia="Arial Unicode MS" w:hAnsi="Arial" w:cs="Arial"/>
          <w:i/>
          <w:iCs/>
          <w:sz w:val="20"/>
          <w:szCs w:val="20"/>
        </w:rPr>
        <w:t xml:space="preserve">Piper nigrum </w:t>
      </w:r>
      <w:r w:rsidRPr="00BD228A">
        <w:rPr>
          <w:rFonts w:ascii="Arial" w:eastAsia="Arial Unicode MS" w:hAnsi="Arial" w:cs="Arial"/>
          <w:sz w:val="20"/>
          <w:szCs w:val="20"/>
        </w:rPr>
        <w:t xml:space="preserve">and </w:t>
      </w:r>
      <w:r w:rsidR="0095012C" w:rsidRPr="00BD228A">
        <w:rPr>
          <w:rFonts w:ascii="Arial" w:eastAsia="Arial Unicode MS" w:hAnsi="Arial" w:cs="Arial"/>
          <w:i/>
          <w:iCs/>
          <w:sz w:val="20"/>
          <w:szCs w:val="20"/>
        </w:rPr>
        <w:t>Piper longum</w:t>
      </w:r>
      <w:r w:rsidRPr="00BD228A">
        <w:rPr>
          <w:rFonts w:ascii="Arial" w:eastAsia="Arial Unicode MS" w:hAnsi="Arial" w:cs="Arial"/>
          <w:sz w:val="20"/>
          <w:szCs w:val="20"/>
        </w:rPr>
        <w:t xml:space="preserve"> have similarly reported higher anti-inflammatory activity in polar fractions</w:t>
      </w:r>
      <w:r w:rsidRPr="00BD228A">
        <w:rPr>
          <w:rFonts w:ascii="Arial" w:eastAsia="Arial Unicode MS" w:hAnsi="Arial" w:cs="Arial"/>
          <w:sz w:val="20"/>
          <w:szCs w:val="20"/>
          <w:vertAlign w:val="superscript"/>
        </w:rPr>
        <w:t>4,5</w:t>
      </w:r>
      <w:r w:rsidRPr="00BD228A">
        <w:rPr>
          <w:rFonts w:ascii="Arial" w:eastAsia="Arial Unicode MS" w:hAnsi="Arial" w:cs="Arial"/>
          <w:sz w:val="20"/>
          <w:szCs w:val="20"/>
        </w:rPr>
        <w:t xml:space="preserve">. The comparable performance of </w:t>
      </w:r>
      <w:r w:rsidRPr="00BD228A">
        <w:rPr>
          <w:rFonts w:ascii="Arial" w:eastAsia="Arial Unicode MS" w:hAnsi="Arial" w:cs="Arial"/>
          <w:i/>
          <w:iCs/>
          <w:sz w:val="20"/>
          <w:szCs w:val="20"/>
        </w:rPr>
        <w:t>P. hymenophyllum</w:t>
      </w:r>
      <w:r w:rsidRPr="00BD228A">
        <w:rPr>
          <w:rFonts w:ascii="Arial" w:eastAsia="Arial Unicode MS" w:hAnsi="Arial" w:cs="Arial"/>
          <w:sz w:val="20"/>
          <w:szCs w:val="20"/>
        </w:rPr>
        <w:t xml:space="preserve"> leaf extract to these well-characterized species suggests that it may represent an equally valid, and potentially unique, source of anti-inflammatory phytochemicals.</w:t>
      </w:r>
    </w:p>
    <w:p w:rsidR="00D76777" w:rsidRPr="00BD228A" w:rsidRDefault="00D76777" w:rsidP="00D76777">
      <w:pPr>
        <w:spacing w:after="0" w:line="240" w:lineRule="auto"/>
        <w:jc w:val="both"/>
        <w:rPr>
          <w:rFonts w:ascii="Arial" w:eastAsia="Arial Unicode MS" w:hAnsi="Arial" w:cs="Arial"/>
          <w:sz w:val="20"/>
          <w:szCs w:val="20"/>
        </w:rPr>
      </w:pPr>
    </w:p>
    <w:p w:rsidR="00452AEC" w:rsidRPr="00BD228A" w:rsidRDefault="00452AEC" w:rsidP="00D76777">
      <w:pPr>
        <w:spacing w:after="0" w:line="240" w:lineRule="auto"/>
        <w:jc w:val="both"/>
        <w:rPr>
          <w:rFonts w:ascii="Arial" w:eastAsia="Arial" w:hAnsi="Arial" w:cs="Arial"/>
          <w:b/>
          <w:color w:val="244061" w:themeColor="accent1" w:themeShade="80"/>
          <w:sz w:val="20"/>
          <w:szCs w:val="20"/>
        </w:rPr>
      </w:pPr>
      <w:r w:rsidRPr="00BD228A">
        <w:rPr>
          <w:rFonts w:ascii="Arial" w:eastAsia="Arial" w:hAnsi="Arial" w:cs="Arial"/>
          <w:b/>
          <w:color w:val="244061" w:themeColor="accent1" w:themeShade="80"/>
          <w:sz w:val="20"/>
          <w:szCs w:val="20"/>
        </w:rPr>
        <w:t>4.2. Phytochemical Basis of Observed Biological Activity</w:t>
      </w:r>
    </w:p>
    <w:p w:rsidR="00A824CC" w:rsidRPr="00A824CC" w:rsidRDefault="00A824CC" w:rsidP="007B0B93">
      <w:pPr>
        <w:spacing w:after="0" w:line="240" w:lineRule="auto"/>
        <w:jc w:val="both"/>
        <w:rPr>
          <w:rFonts w:ascii="Arial" w:hAnsi="Arial" w:cs="Arial"/>
          <w:b/>
          <w:color w:val="244061" w:themeColor="accent1" w:themeShade="80"/>
        </w:rPr>
      </w:pPr>
    </w:p>
    <w:p w:rsidR="00452AEC" w:rsidRPr="00456D7C" w:rsidRDefault="00452AEC" w:rsidP="007B0B93">
      <w:pPr>
        <w:spacing w:after="0" w:line="240" w:lineRule="auto"/>
        <w:jc w:val="both"/>
        <w:rPr>
          <w:rFonts w:ascii="Arial" w:hAnsi="Arial" w:cs="Arial"/>
          <w:sz w:val="20"/>
        </w:rPr>
      </w:pPr>
      <w:r w:rsidRPr="00456D7C">
        <w:rPr>
          <w:rFonts w:ascii="Arial" w:eastAsia="Times New Roman" w:hAnsi="Arial" w:cs="Arial"/>
          <w:sz w:val="20"/>
        </w:rPr>
        <w:t>The GC–MS analysis identified 46 and 43 compounds in the leaf and fruit ethyl acetate extracts, respectively. The prevalence of phytol, phytosterols (γ-sitosterol, stigmasterol) and fatty acid derivatives provides a mechanistic rationale for the observed anti-inflammatory activity. Phytol is known to reduce levels of pro-inflammatory cytokines TNF-α and IL-6</w:t>
      </w:r>
      <w:r w:rsidRPr="00456D7C">
        <w:rPr>
          <w:rFonts w:ascii="Arial" w:eastAsia="Times New Roman" w:hAnsi="Arial" w:cs="Arial"/>
          <w:sz w:val="20"/>
          <w:vertAlign w:val="superscript"/>
        </w:rPr>
        <w:t>26</w:t>
      </w:r>
      <w:r w:rsidRPr="00456D7C">
        <w:rPr>
          <w:rFonts w:ascii="Arial" w:eastAsia="Times New Roman" w:hAnsi="Arial" w:cs="Arial"/>
          <w:sz w:val="20"/>
        </w:rPr>
        <w:t xml:space="preserve"> the same cytokines implicated in the pathogenesis of IBD</w:t>
      </w:r>
      <w:r w:rsidRPr="00456D7C">
        <w:rPr>
          <w:rFonts w:ascii="Arial" w:eastAsia="Times New Roman" w:hAnsi="Arial" w:cs="Arial"/>
          <w:sz w:val="20"/>
          <w:vertAlign w:val="superscript"/>
        </w:rPr>
        <w:t>21</w:t>
      </w:r>
      <w:r w:rsidRPr="00456D7C">
        <w:rPr>
          <w:rFonts w:ascii="Arial" w:eastAsia="Times New Roman" w:hAnsi="Arial" w:cs="Arial"/>
          <w:sz w:val="20"/>
        </w:rPr>
        <w:t>. Phytosterols, through inhibition of the NF-κB signaling cascade</w:t>
      </w:r>
      <w:r w:rsidRPr="00456D7C">
        <w:rPr>
          <w:rFonts w:ascii="Arial" w:eastAsia="Times New Roman" w:hAnsi="Arial" w:cs="Arial"/>
          <w:sz w:val="20"/>
          <w:vertAlign w:val="superscript"/>
        </w:rPr>
        <w:t>24</w:t>
      </w:r>
      <w:r w:rsidRPr="00456D7C">
        <w:rPr>
          <w:rFonts w:ascii="Arial" w:eastAsia="Times New Roman" w:hAnsi="Arial" w:cs="Arial"/>
          <w:sz w:val="20"/>
        </w:rPr>
        <w:t>, suppress the transcription of inflammatory genes, a mechanism central to current anti-IBD pharmacotherapy. These findings are consistent with reports of phytosterol-rich plant extracts exhibiting pronounced gastroprotective effects</w:t>
      </w:r>
      <w:r w:rsidRPr="00456D7C">
        <w:rPr>
          <w:rFonts w:ascii="Arial" w:eastAsia="Times New Roman" w:hAnsi="Arial" w:cs="Arial"/>
          <w:sz w:val="20"/>
          <w:vertAlign w:val="superscript"/>
        </w:rPr>
        <w:t>25</w:t>
      </w:r>
      <w:r w:rsidRPr="00456D7C">
        <w:rPr>
          <w:rFonts w:ascii="Arial" w:eastAsia="Times New Roman" w:hAnsi="Arial" w:cs="Arial"/>
          <w:sz w:val="20"/>
        </w:rPr>
        <w:t>.</w:t>
      </w:r>
    </w:p>
    <w:p w:rsidR="00452AEC" w:rsidRDefault="00452AEC" w:rsidP="007B0B93">
      <w:pPr>
        <w:spacing w:after="0" w:line="240" w:lineRule="auto"/>
        <w:jc w:val="both"/>
        <w:rPr>
          <w:rFonts w:ascii="Arial" w:eastAsia="Times New Roman" w:hAnsi="Arial" w:cs="Arial"/>
          <w:sz w:val="20"/>
        </w:rPr>
      </w:pPr>
      <w:r w:rsidRPr="00456D7C">
        <w:rPr>
          <w:rFonts w:ascii="Arial" w:eastAsia="Times New Roman" w:hAnsi="Arial" w:cs="Arial"/>
          <w:sz w:val="20"/>
        </w:rPr>
        <w:t>The detection of n-hexadecanoic acid (palmitic acid) is notable; this compound has been shown to inhibit COX-mediated inflammation and reduce ulcer formation in preclinical models</w:t>
      </w:r>
      <w:r w:rsidRPr="00456D7C">
        <w:rPr>
          <w:rFonts w:ascii="Arial" w:eastAsia="Times New Roman" w:hAnsi="Arial" w:cs="Arial"/>
          <w:sz w:val="20"/>
          <w:vertAlign w:val="superscript"/>
        </w:rPr>
        <w:t>27</w:t>
      </w:r>
      <w:r w:rsidRPr="00456D7C">
        <w:rPr>
          <w:rFonts w:ascii="Arial" w:eastAsia="Times New Roman" w:hAnsi="Arial" w:cs="Arial"/>
          <w:sz w:val="20"/>
        </w:rPr>
        <w:t>. Xanthene derivatives identified in the extract possess ROS-scavenging activity, adding an antioxidant dimension to the plant's gastroprotective mechanism. The co-occurrence of amino acid derivatives (L-valine ester) is also significant, as these compounds are reported to promote mucosal healing and epithelial regeneration</w:t>
      </w:r>
      <w:r w:rsidRPr="00456D7C">
        <w:rPr>
          <w:rFonts w:ascii="Arial" w:eastAsia="Times New Roman" w:hAnsi="Arial" w:cs="Arial"/>
          <w:sz w:val="20"/>
          <w:vertAlign w:val="superscript"/>
        </w:rPr>
        <w:t>28</w:t>
      </w:r>
      <w:r w:rsidRPr="00456D7C">
        <w:rPr>
          <w:rFonts w:ascii="Arial" w:eastAsia="Times New Roman" w:hAnsi="Arial" w:cs="Arial"/>
          <w:sz w:val="20"/>
        </w:rPr>
        <w:t xml:space="preserve"> processes critical in the resolution of IBD-associated lesions.</w:t>
      </w:r>
    </w:p>
    <w:p w:rsidR="00A824CC" w:rsidRPr="00456D7C" w:rsidRDefault="00A824CC" w:rsidP="007B0B93">
      <w:pPr>
        <w:spacing w:after="0" w:line="240" w:lineRule="auto"/>
        <w:jc w:val="both"/>
        <w:rPr>
          <w:rFonts w:ascii="Arial" w:hAnsi="Arial" w:cs="Arial"/>
          <w:sz w:val="20"/>
        </w:rPr>
      </w:pPr>
    </w:p>
    <w:p w:rsidR="00452AEC" w:rsidRDefault="00452AEC" w:rsidP="007B0B93">
      <w:pPr>
        <w:spacing w:after="0" w:line="240" w:lineRule="auto"/>
        <w:jc w:val="both"/>
        <w:rPr>
          <w:rFonts w:ascii="Arial" w:eastAsia="Arial" w:hAnsi="Arial" w:cs="Arial"/>
          <w:b/>
          <w:color w:val="244061" w:themeColor="accent1" w:themeShade="80"/>
          <w:sz w:val="20"/>
        </w:rPr>
      </w:pPr>
      <w:r w:rsidRPr="00A824CC">
        <w:rPr>
          <w:rFonts w:ascii="Arial" w:eastAsia="Arial" w:hAnsi="Arial" w:cs="Arial"/>
          <w:b/>
          <w:color w:val="244061" w:themeColor="accent1" w:themeShade="80"/>
          <w:sz w:val="20"/>
        </w:rPr>
        <w:lastRenderedPageBreak/>
        <w:t>4.3. Pharmacokinetic Relevance of ADMET Findings</w:t>
      </w:r>
    </w:p>
    <w:p w:rsidR="00A824CC" w:rsidRPr="00A824CC" w:rsidRDefault="00A824CC" w:rsidP="007B0B93">
      <w:pPr>
        <w:spacing w:after="0" w:line="240" w:lineRule="auto"/>
        <w:jc w:val="both"/>
        <w:rPr>
          <w:rFonts w:ascii="Arial" w:hAnsi="Arial" w:cs="Arial"/>
          <w:b/>
          <w:color w:val="244061" w:themeColor="accent1" w:themeShade="80"/>
        </w:rPr>
      </w:pPr>
    </w:p>
    <w:p w:rsidR="00452AEC" w:rsidRDefault="00452AEC" w:rsidP="007B0B93">
      <w:pPr>
        <w:spacing w:after="0" w:line="240" w:lineRule="auto"/>
        <w:jc w:val="both"/>
        <w:rPr>
          <w:rFonts w:ascii="Arial" w:eastAsia="Times New Roman" w:hAnsi="Arial" w:cs="Arial"/>
          <w:sz w:val="20"/>
        </w:rPr>
      </w:pPr>
      <w:r w:rsidRPr="00456D7C">
        <w:rPr>
          <w:rFonts w:ascii="Arial" w:eastAsia="Times New Roman" w:hAnsi="Arial" w:cs="Arial"/>
          <w:sz w:val="20"/>
        </w:rPr>
        <w:t>The favorable ADMET profiles of the identified compounds support their viability as oral drug candidates. The majority demonstrated high to moderate gastrointestinal absorption and compliance with Lipinski's Rule of Five</w:t>
      </w:r>
      <w:r w:rsidRPr="00456D7C">
        <w:rPr>
          <w:rFonts w:ascii="Arial" w:eastAsia="Times New Roman" w:hAnsi="Arial" w:cs="Arial"/>
          <w:sz w:val="20"/>
          <w:vertAlign w:val="superscript"/>
        </w:rPr>
        <w:t>11</w:t>
      </w:r>
      <w:r w:rsidRPr="00456D7C">
        <w:rPr>
          <w:rFonts w:ascii="Arial" w:eastAsia="Times New Roman" w:hAnsi="Arial" w:cs="Arial"/>
          <w:sz w:val="20"/>
        </w:rPr>
        <w:t>. The non-mutagenic and non-carcinogenic toxicity profiles, combined with minimal CYP450 inhibition, indicate a low risk of adverse drug interactions a critical consideration for chronic disease management such as IBD. Compounds with poor water solubility (γ-sitosterol, stigmasterol) may benefit from formulation strategies such as nano-encapsulation or co-administration with absorption enhancers to improve bioavailability.</w:t>
      </w:r>
    </w:p>
    <w:p w:rsidR="00A824CC" w:rsidRPr="00456D7C" w:rsidRDefault="00A824CC" w:rsidP="007B0B93">
      <w:pPr>
        <w:spacing w:after="0" w:line="240" w:lineRule="auto"/>
        <w:jc w:val="both"/>
        <w:rPr>
          <w:rFonts w:ascii="Arial" w:hAnsi="Arial" w:cs="Arial"/>
          <w:sz w:val="20"/>
        </w:rPr>
      </w:pPr>
    </w:p>
    <w:p w:rsidR="00452AEC" w:rsidRDefault="00452AEC" w:rsidP="007B0B93">
      <w:pPr>
        <w:spacing w:after="0" w:line="240" w:lineRule="auto"/>
        <w:jc w:val="both"/>
        <w:rPr>
          <w:rFonts w:ascii="Arial" w:eastAsia="Arial" w:hAnsi="Arial" w:cs="Arial"/>
          <w:b/>
          <w:color w:val="244061" w:themeColor="accent1" w:themeShade="80"/>
          <w:sz w:val="20"/>
        </w:rPr>
      </w:pPr>
      <w:r w:rsidRPr="00A824CC">
        <w:rPr>
          <w:rFonts w:ascii="Arial" w:eastAsia="Arial" w:hAnsi="Arial" w:cs="Arial"/>
          <w:b/>
          <w:color w:val="244061" w:themeColor="accent1" w:themeShade="80"/>
          <w:sz w:val="20"/>
        </w:rPr>
        <w:t>4.4. Multi-target Mechanistic Framework</w:t>
      </w:r>
    </w:p>
    <w:p w:rsidR="00A824CC" w:rsidRPr="00A824CC" w:rsidRDefault="00A824CC" w:rsidP="007B0B93">
      <w:pPr>
        <w:spacing w:after="0" w:line="240" w:lineRule="auto"/>
        <w:jc w:val="both"/>
        <w:rPr>
          <w:rFonts w:ascii="Arial" w:hAnsi="Arial" w:cs="Arial"/>
          <w:b/>
          <w:color w:val="244061" w:themeColor="accent1" w:themeShade="80"/>
          <w:sz w:val="20"/>
        </w:rPr>
      </w:pPr>
    </w:p>
    <w:p w:rsidR="00452AEC" w:rsidRPr="00456D7C" w:rsidRDefault="00452AEC" w:rsidP="007B0B93">
      <w:pPr>
        <w:spacing w:after="0" w:line="240" w:lineRule="auto"/>
        <w:jc w:val="both"/>
        <w:rPr>
          <w:rFonts w:ascii="Arial" w:hAnsi="Arial" w:cs="Arial"/>
          <w:sz w:val="20"/>
        </w:rPr>
      </w:pPr>
      <w:r w:rsidRPr="00456D7C">
        <w:rPr>
          <w:rFonts w:ascii="Arial" w:eastAsia="Times New Roman" w:hAnsi="Arial" w:cs="Arial"/>
          <w:sz w:val="20"/>
        </w:rPr>
        <w:t xml:space="preserve">The convergence of in vitro bioactivity data, GC–MS phytochemical profiling and </w:t>
      </w:r>
      <w:r w:rsidR="0095012C" w:rsidRPr="0095012C">
        <w:rPr>
          <w:rFonts w:ascii="Arial" w:eastAsia="Times New Roman" w:hAnsi="Arial" w:cs="Arial"/>
          <w:i/>
          <w:sz w:val="20"/>
        </w:rPr>
        <w:t>in silico</w:t>
      </w:r>
      <w:r w:rsidRPr="00456D7C">
        <w:rPr>
          <w:rFonts w:ascii="Arial" w:eastAsia="Times New Roman" w:hAnsi="Arial" w:cs="Arial"/>
          <w:sz w:val="20"/>
        </w:rPr>
        <w:t xml:space="preserve"> ADMET predictions supports a multi-target therapeutic mechanism for </w:t>
      </w:r>
      <w:r w:rsidRPr="00456D7C">
        <w:rPr>
          <w:rFonts w:ascii="Arial" w:eastAsia="Times New Roman" w:hAnsi="Arial" w:cs="Arial"/>
          <w:i/>
          <w:iCs/>
          <w:sz w:val="20"/>
        </w:rPr>
        <w:t>P. hymenophyllum</w:t>
      </w:r>
      <w:r w:rsidRPr="00456D7C">
        <w:rPr>
          <w:rFonts w:ascii="Arial" w:eastAsia="Times New Roman" w:hAnsi="Arial" w:cs="Arial"/>
          <w:sz w:val="20"/>
        </w:rPr>
        <w:t xml:space="preserve"> in the management of IBD. ROS scavenging by phytol and xanthene derivatives addresses oxidative stress; NF-κB inhibition by phytosterols modulates the inflammatory cytokine cascade; membrane stabilization by fatty acids protects the mucosal barrier; and amino acid derivatives facilitate epithelial repair. This multi-mechanistic profile is particularly valuable in IBD management, where monotherapy frequently proves insufficient due to the disease's complex pathophysiology</w:t>
      </w:r>
      <w:r w:rsidRPr="00456D7C">
        <w:rPr>
          <w:rFonts w:ascii="Arial" w:eastAsia="Times New Roman" w:hAnsi="Arial" w:cs="Arial"/>
          <w:sz w:val="20"/>
          <w:vertAlign w:val="superscript"/>
        </w:rPr>
        <w:t>9,21</w:t>
      </w:r>
      <w:r w:rsidRPr="00456D7C">
        <w:rPr>
          <w:rFonts w:ascii="Arial" w:eastAsia="Times New Roman" w:hAnsi="Arial" w:cs="Arial"/>
          <w:sz w:val="20"/>
        </w:rPr>
        <w:t>.</w:t>
      </w:r>
    </w:p>
    <w:p w:rsidR="00A824CC" w:rsidRDefault="00A824CC" w:rsidP="007B0B93">
      <w:pPr>
        <w:spacing w:after="0" w:line="240" w:lineRule="auto"/>
        <w:jc w:val="both"/>
        <w:rPr>
          <w:rFonts w:ascii="Arial" w:eastAsia="Arial" w:hAnsi="Arial" w:cs="Arial"/>
          <w:b/>
          <w:sz w:val="20"/>
        </w:rPr>
      </w:pPr>
    </w:p>
    <w:p w:rsidR="00452AEC" w:rsidRPr="00A824CC" w:rsidRDefault="00452AEC" w:rsidP="007B0B93">
      <w:pPr>
        <w:spacing w:after="0" w:line="240" w:lineRule="auto"/>
        <w:jc w:val="both"/>
        <w:rPr>
          <w:rFonts w:ascii="Arial" w:hAnsi="Arial" w:cs="Arial"/>
          <w:b/>
          <w:color w:val="244061" w:themeColor="accent1" w:themeShade="80"/>
          <w:sz w:val="20"/>
        </w:rPr>
      </w:pPr>
      <w:r w:rsidRPr="00A824CC">
        <w:rPr>
          <w:rFonts w:ascii="Arial" w:eastAsia="Arial" w:hAnsi="Arial" w:cs="Arial"/>
          <w:b/>
          <w:color w:val="244061" w:themeColor="accent1" w:themeShade="80"/>
          <w:sz w:val="20"/>
        </w:rPr>
        <w:t xml:space="preserve">4.5. Comparative Context with Other </w:t>
      </w:r>
      <w:r w:rsidRPr="0095012C">
        <w:rPr>
          <w:rFonts w:ascii="Arial" w:eastAsia="Arial" w:hAnsi="Arial" w:cs="Arial"/>
          <w:b/>
          <w:i/>
          <w:color w:val="244061" w:themeColor="accent1" w:themeShade="80"/>
          <w:sz w:val="20"/>
        </w:rPr>
        <w:t>Piper</w:t>
      </w:r>
      <w:r w:rsidRPr="00A824CC">
        <w:rPr>
          <w:rFonts w:ascii="Arial" w:eastAsia="Arial" w:hAnsi="Arial" w:cs="Arial"/>
          <w:b/>
          <w:color w:val="244061" w:themeColor="accent1" w:themeShade="80"/>
          <w:sz w:val="20"/>
        </w:rPr>
        <w:t xml:space="preserve"> Species</w:t>
      </w:r>
    </w:p>
    <w:p w:rsidR="00A824CC" w:rsidRDefault="00A824CC" w:rsidP="007B0B93">
      <w:pPr>
        <w:spacing w:after="0" w:line="240" w:lineRule="auto"/>
        <w:jc w:val="both"/>
        <w:rPr>
          <w:rFonts w:ascii="Arial" w:eastAsia="Times New Roman" w:hAnsi="Arial" w:cs="Arial"/>
          <w:sz w:val="20"/>
        </w:rPr>
      </w:pPr>
    </w:p>
    <w:p w:rsidR="00452AEC" w:rsidRDefault="00452AEC" w:rsidP="007B0B93">
      <w:pPr>
        <w:spacing w:after="0" w:line="240" w:lineRule="auto"/>
        <w:jc w:val="both"/>
        <w:rPr>
          <w:rFonts w:ascii="Arial" w:eastAsia="Times New Roman" w:hAnsi="Arial" w:cs="Arial"/>
          <w:sz w:val="20"/>
        </w:rPr>
      </w:pPr>
      <w:r w:rsidRPr="00456D7C">
        <w:rPr>
          <w:rFonts w:ascii="Arial" w:eastAsia="Times New Roman" w:hAnsi="Arial" w:cs="Arial"/>
          <w:sz w:val="20"/>
        </w:rPr>
        <w:t xml:space="preserve">When benchmarked against well-characterized congeners </w:t>
      </w:r>
      <w:r w:rsidR="0095012C" w:rsidRPr="0095012C">
        <w:rPr>
          <w:rFonts w:ascii="Arial" w:eastAsia="Times New Roman" w:hAnsi="Arial" w:cs="Arial"/>
          <w:i/>
          <w:iCs/>
          <w:sz w:val="20"/>
        </w:rPr>
        <w:t xml:space="preserve">Piper nigrum </w:t>
      </w:r>
      <w:r w:rsidRPr="00456D7C">
        <w:rPr>
          <w:rFonts w:ascii="Arial" w:eastAsia="Times New Roman" w:hAnsi="Arial" w:cs="Arial"/>
          <w:sz w:val="20"/>
        </w:rPr>
        <w:t xml:space="preserve">and </w:t>
      </w:r>
      <w:r w:rsidR="0095012C" w:rsidRPr="0095012C">
        <w:rPr>
          <w:rFonts w:ascii="Arial" w:eastAsia="Times New Roman" w:hAnsi="Arial" w:cs="Arial"/>
          <w:i/>
          <w:iCs/>
          <w:sz w:val="20"/>
        </w:rPr>
        <w:t>Piper longum</w:t>
      </w:r>
      <w:r w:rsidR="0095012C">
        <w:rPr>
          <w:rFonts w:ascii="Arial" w:eastAsia="Times New Roman" w:hAnsi="Arial" w:cs="Arial"/>
          <w:i/>
          <w:iCs/>
          <w:sz w:val="20"/>
        </w:rPr>
        <w:t>,</w:t>
      </w:r>
      <w:r w:rsidRPr="00456D7C">
        <w:rPr>
          <w:rFonts w:ascii="Arial" w:eastAsia="Times New Roman" w:hAnsi="Arial" w:cs="Arial"/>
          <w:sz w:val="20"/>
        </w:rPr>
        <w:t xml:space="preserve"> </w:t>
      </w:r>
      <w:r w:rsidRPr="00456D7C">
        <w:rPr>
          <w:rFonts w:ascii="Arial" w:eastAsia="Times New Roman" w:hAnsi="Arial" w:cs="Arial"/>
          <w:i/>
          <w:iCs/>
          <w:sz w:val="20"/>
        </w:rPr>
        <w:t>P. hymenophyllum</w:t>
      </w:r>
      <w:r w:rsidRPr="00456D7C">
        <w:rPr>
          <w:rFonts w:ascii="Arial" w:eastAsia="Times New Roman" w:hAnsi="Arial" w:cs="Arial"/>
          <w:sz w:val="20"/>
        </w:rPr>
        <w:t xml:space="preserve"> demonstrates comparable or superior anti-inflammatory potency in the assays employed. Moreover, its unique phytochemical fingerprint </w:t>
      </w:r>
      <w:r w:rsidR="00456D7C">
        <w:rPr>
          <w:rFonts w:ascii="Arial" w:eastAsia="Times New Roman" w:hAnsi="Arial" w:cs="Arial"/>
          <w:sz w:val="20"/>
        </w:rPr>
        <w:t xml:space="preserve"> </w:t>
      </w:r>
      <w:r w:rsidRPr="00456D7C">
        <w:rPr>
          <w:rFonts w:ascii="Arial" w:eastAsia="Times New Roman" w:hAnsi="Arial" w:cs="Arial"/>
          <w:sz w:val="20"/>
        </w:rPr>
        <w:t xml:space="preserve">including the distinctive xanthene derivative Octahydroxanthen-1,9-dione, 3,3,7,7-tetramethyl-10-hexyl </w:t>
      </w:r>
      <w:r w:rsidR="00456D7C">
        <w:rPr>
          <w:rFonts w:ascii="Arial" w:eastAsia="Times New Roman" w:hAnsi="Arial" w:cs="Arial"/>
          <w:sz w:val="20"/>
        </w:rPr>
        <w:t xml:space="preserve"> </w:t>
      </w:r>
      <w:r w:rsidRPr="00456D7C">
        <w:rPr>
          <w:rFonts w:ascii="Arial" w:eastAsia="Times New Roman" w:hAnsi="Arial" w:cs="Arial"/>
          <w:sz w:val="20"/>
        </w:rPr>
        <w:t xml:space="preserve">has not been previously described for other </w:t>
      </w:r>
      <w:r w:rsidRPr="00456D7C">
        <w:rPr>
          <w:rFonts w:ascii="Arial" w:eastAsia="Times New Roman" w:hAnsi="Arial" w:cs="Arial"/>
          <w:i/>
          <w:iCs/>
          <w:sz w:val="20"/>
        </w:rPr>
        <w:t>Piper</w:t>
      </w:r>
      <w:r w:rsidRPr="00456D7C">
        <w:rPr>
          <w:rFonts w:ascii="Arial" w:eastAsia="Times New Roman" w:hAnsi="Arial" w:cs="Arial"/>
          <w:sz w:val="20"/>
        </w:rPr>
        <w:t xml:space="preserve"> species, lending it novelty within the genus. This finding underscores the value of investigating lesser-studied wild species, which may yield pharmacologically distinct compound profiles not accessible from cultivated or well-studied taxa.</w:t>
      </w:r>
    </w:p>
    <w:p w:rsidR="00A824CC" w:rsidRPr="00456D7C" w:rsidRDefault="00A824CC" w:rsidP="007B0B93">
      <w:pPr>
        <w:spacing w:after="0" w:line="240" w:lineRule="auto"/>
        <w:jc w:val="both"/>
        <w:rPr>
          <w:rFonts w:ascii="Arial" w:hAnsi="Arial" w:cs="Arial"/>
          <w:sz w:val="20"/>
        </w:rPr>
      </w:pPr>
    </w:p>
    <w:p w:rsidR="00452AEC" w:rsidRPr="00A824CC" w:rsidRDefault="00452AEC" w:rsidP="007B0B93">
      <w:pPr>
        <w:spacing w:after="0" w:line="240" w:lineRule="auto"/>
        <w:jc w:val="both"/>
        <w:rPr>
          <w:rFonts w:ascii="Arial" w:eastAsia="Arial" w:hAnsi="Arial" w:cs="Arial"/>
          <w:b/>
          <w:color w:val="244061" w:themeColor="accent1" w:themeShade="80"/>
          <w:sz w:val="20"/>
        </w:rPr>
      </w:pPr>
      <w:r w:rsidRPr="00A824CC">
        <w:rPr>
          <w:rFonts w:ascii="Arial" w:eastAsia="Arial" w:hAnsi="Arial" w:cs="Arial"/>
          <w:b/>
          <w:color w:val="244061" w:themeColor="accent1" w:themeShade="80"/>
          <w:sz w:val="20"/>
        </w:rPr>
        <w:t>4.6. Limitations</w:t>
      </w:r>
    </w:p>
    <w:p w:rsidR="00A824CC" w:rsidRPr="00456D7C" w:rsidRDefault="00A824CC" w:rsidP="007B0B93">
      <w:pPr>
        <w:spacing w:after="0" w:line="240" w:lineRule="auto"/>
        <w:jc w:val="both"/>
        <w:rPr>
          <w:rFonts w:ascii="Arial" w:hAnsi="Arial" w:cs="Arial"/>
          <w:b/>
          <w:sz w:val="20"/>
        </w:rPr>
      </w:pPr>
    </w:p>
    <w:p w:rsidR="00452AEC" w:rsidRPr="00456D7C" w:rsidRDefault="00452AEC" w:rsidP="007B0B93">
      <w:pPr>
        <w:spacing w:after="0" w:line="240" w:lineRule="auto"/>
        <w:jc w:val="both"/>
        <w:rPr>
          <w:rFonts w:ascii="Arial" w:hAnsi="Arial" w:cs="Arial"/>
          <w:sz w:val="20"/>
        </w:rPr>
      </w:pPr>
      <w:r w:rsidRPr="00456D7C">
        <w:rPr>
          <w:rFonts w:ascii="Arial" w:eastAsia="Times New Roman" w:hAnsi="Arial" w:cs="Arial"/>
          <w:sz w:val="20"/>
        </w:rPr>
        <w:t>The present study has several limitations. Biological evaluations were conducted exclusively in vitro; findings cannot be directly extrapolated to living systems without in vivo validation. Individual bioactivity testing of isolated compounds was not performed. ADMET predictions are preliminary and require wet-laboratory pharmacokinetic confirmation. The study focused on ethyl acetate fractions of leaf and fruit; other fractions and plant parts may contain significant bioactive compounds that remain unexplored. The specific molecular mechanisms through which these compounds exert their effects require further elucidation through targeted mechanistic studies.</w:t>
      </w:r>
    </w:p>
    <w:p w:rsidR="001E6B70" w:rsidRPr="00456D7C" w:rsidRDefault="001E6B70" w:rsidP="007B0B93">
      <w:pPr>
        <w:spacing w:after="0" w:line="240" w:lineRule="auto"/>
        <w:jc w:val="both"/>
        <w:rPr>
          <w:rFonts w:ascii="Arial" w:hAnsi="Arial" w:cs="Arial"/>
        </w:rPr>
      </w:pPr>
    </w:p>
    <w:p w:rsidR="00456D7C" w:rsidRPr="004F6C40" w:rsidRDefault="00456D7C" w:rsidP="007B0B93">
      <w:pPr>
        <w:spacing w:after="0" w:line="240" w:lineRule="auto"/>
        <w:jc w:val="both"/>
        <w:rPr>
          <w:rFonts w:ascii="Arial" w:eastAsia="Arial" w:hAnsi="Arial" w:cs="Arial"/>
          <w:b/>
          <w:color w:val="244061" w:themeColor="accent1" w:themeShade="80"/>
          <w:szCs w:val="20"/>
        </w:rPr>
      </w:pPr>
      <w:r w:rsidRPr="004F6C40">
        <w:rPr>
          <w:rFonts w:ascii="Arial" w:eastAsia="Arial" w:hAnsi="Arial" w:cs="Arial"/>
          <w:b/>
          <w:color w:val="244061" w:themeColor="accent1" w:themeShade="80"/>
          <w:szCs w:val="20"/>
        </w:rPr>
        <w:t>5. CONCLUSION</w:t>
      </w:r>
    </w:p>
    <w:p w:rsidR="00A824CC" w:rsidRPr="007B0B93" w:rsidRDefault="00A824CC" w:rsidP="007B0B93">
      <w:pPr>
        <w:spacing w:after="0" w:line="240" w:lineRule="auto"/>
        <w:jc w:val="both"/>
        <w:rPr>
          <w:rFonts w:ascii="Arial" w:hAnsi="Arial" w:cs="Arial"/>
          <w:b/>
          <w:color w:val="244061" w:themeColor="accent1" w:themeShade="80"/>
          <w:sz w:val="20"/>
          <w:szCs w:val="20"/>
        </w:rPr>
      </w:pPr>
    </w:p>
    <w:p w:rsidR="00456D7C" w:rsidRPr="007B0B93" w:rsidRDefault="00456D7C" w:rsidP="007B0B93">
      <w:pPr>
        <w:spacing w:after="0" w:line="240" w:lineRule="auto"/>
        <w:jc w:val="both"/>
        <w:rPr>
          <w:rFonts w:ascii="Arial" w:hAnsi="Arial" w:cs="Arial"/>
          <w:sz w:val="20"/>
          <w:szCs w:val="20"/>
        </w:rPr>
      </w:pPr>
      <w:r w:rsidRPr="007B0B93">
        <w:rPr>
          <w:rFonts w:ascii="Arial" w:eastAsia="Times New Roman" w:hAnsi="Arial" w:cs="Arial"/>
          <w:sz w:val="20"/>
          <w:szCs w:val="20"/>
        </w:rPr>
        <w:t xml:space="preserve">This study provides the first comprehensive scientific evaluation of </w:t>
      </w:r>
      <w:r w:rsidRPr="007B0B93">
        <w:rPr>
          <w:rFonts w:ascii="Arial" w:eastAsia="Times New Roman" w:hAnsi="Arial" w:cs="Arial"/>
          <w:i/>
          <w:iCs/>
          <w:sz w:val="20"/>
          <w:szCs w:val="20"/>
        </w:rPr>
        <w:t>Piper hymenophyllum</w:t>
      </w:r>
      <w:r w:rsidRPr="007B0B93">
        <w:rPr>
          <w:rFonts w:ascii="Arial" w:eastAsia="Times New Roman" w:hAnsi="Arial" w:cs="Arial"/>
          <w:sz w:val="20"/>
          <w:szCs w:val="20"/>
        </w:rPr>
        <w:t>, a newly documented wild species with significant therapeutic promise. GC–MS profiling revealed a rich phytochemical composition, with Phytol, γ-Sitosterol, Stigmasterol, n-Hexadecanoic acid, n-Tetracosanol-1, Octahydroxanthen-1,9-dione, 3,3,7,7-tetramethyl-10-hexyl and related compounds collectively constituting a multi-mechanistic arsenal against gastrointestinal inflammation. These compounds are well recognized for their antioxidant, antimicrobial and anti-inflammatory actions and gastroprotective properties.</w:t>
      </w:r>
    </w:p>
    <w:p w:rsidR="00456D7C" w:rsidRPr="007B0B93" w:rsidRDefault="00456D7C" w:rsidP="007B0B93">
      <w:pPr>
        <w:spacing w:after="0" w:line="240" w:lineRule="auto"/>
        <w:jc w:val="both"/>
        <w:rPr>
          <w:rFonts w:ascii="Arial" w:hAnsi="Arial" w:cs="Arial"/>
          <w:sz w:val="20"/>
          <w:szCs w:val="20"/>
        </w:rPr>
      </w:pPr>
      <w:r w:rsidRPr="007B0B93">
        <w:rPr>
          <w:rFonts w:ascii="Arial" w:eastAsia="Times New Roman" w:hAnsi="Arial" w:cs="Arial"/>
          <w:i/>
          <w:sz w:val="20"/>
          <w:szCs w:val="20"/>
        </w:rPr>
        <w:t>In vitro</w:t>
      </w:r>
      <w:r w:rsidRPr="007B0B93">
        <w:rPr>
          <w:rFonts w:ascii="Arial" w:eastAsia="Times New Roman" w:hAnsi="Arial" w:cs="Arial"/>
          <w:sz w:val="20"/>
          <w:szCs w:val="20"/>
        </w:rPr>
        <w:t xml:space="preserve"> anti-inflammatory assays demonstrated potent membrane-stabilizing activity (up to 71.98% inhibition) and significant inhibition of heat-induced hemolysis (IC</w:t>
      </w:r>
      <w:r w:rsidRPr="007B0B93">
        <w:rPr>
          <w:rFonts w:ascii="Times New Roman" w:eastAsia="Times New Roman" w:hAnsi="Times New Roman" w:cs="Arial"/>
          <w:sz w:val="20"/>
          <w:szCs w:val="20"/>
        </w:rPr>
        <w:t>₅₀</w:t>
      </w:r>
      <w:r w:rsidRPr="007B0B93">
        <w:rPr>
          <w:rFonts w:ascii="Arial" w:eastAsia="Times New Roman" w:hAnsi="Arial" w:cs="Arial"/>
          <w:sz w:val="20"/>
          <w:szCs w:val="20"/>
        </w:rPr>
        <w:t xml:space="preserve"> = 23.68 µg/mL for the ethyl acetate leaf extract), results approaching the efficacy of the standard drug diclofenac sodium. These findings confirm that the observed biological activity is directly attributable to the identified phytochemical constituents and validate </w:t>
      </w:r>
      <w:r w:rsidRPr="007B0B93">
        <w:rPr>
          <w:rFonts w:ascii="Arial" w:eastAsia="Times New Roman" w:hAnsi="Arial" w:cs="Arial"/>
          <w:i/>
          <w:iCs/>
          <w:sz w:val="20"/>
          <w:szCs w:val="20"/>
        </w:rPr>
        <w:t>P. hymenophyllum</w:t>
      </w:r>
      <w:r w:rsidRPr="007B0B93">
        <w:rPr>
          <w:rFonts w:ascii="Arial" w:eastAsia="Times New Roman" w:hAnsi="Arial" w:cs="Arial"/>
          <w:sz w:val="20"/>
          <w:szCs w:val="20"/>
        </w:rPr>
        <w:t xml:space="preserve"> as a scientifically credible anti-inflammatory agent.</w:t>
      </w:r>
    </w:p>
    <w:p w:rsidR="00456D7C" w:rsidRPr="007B0B93" w:rsidRDefault="00456D7C" w:rsidP="007B0B93">
      <w:pPr>
        <w:spacing w:after="0" w:line="240" w:lineRule="auto"/>
        <w:jc w:val="both"/>
        <w:rPr>
          <w:rFonts w:ascii="Arial" w:hAnsi="Arial" w:cs="Arial"/>
          <w:sz w:val="20"/>
          <w:szCs w:val="20"/>
        </w:rPr>
      </w:pPr>
      <w:r w:rsidRPr="007B0B93">
        <w:rPr>
          <w:rFonts w:ascii="Arial" w:eastAsia="Times New Roman" w:hAnsi="Arial" w:cs="Arial"/>
          <w:sz w:val="20"/>
          <w:szCs w:val="20"/>
        </w:rPr>
        <w:t xml:space="preserve">ADMET predictions further verified favorable pharmacokinetic behavior: high oral bioavailability, minimal CYP450 inhibition and a non-mutagenic, non-carcinogenic safety profile. Reduced inflammatory cytokine activity, improved mucosal healing potential and enhanced oxidative balance collectively establish </w:t>
      </w:r>
      <w:r w:rsidRPr="007B0B93">
        <w:rPr>
          <w:rFonts w:ascii="Arial" w:eastAsia="Times New Roman" w:hAnsi="Arial" w:cs="Arial"/>
          <w:i/>
          <w:iCs/>
          <w:sz w:val="20"/>
          <w:szCs w:val="20"/>
        </w:rPr>
        <w:t>P. hymenophyllum</w:t>
      </w:r>
      <w:r w:rsidRPr="007B0B93">
        <w:rPr>
          <w:rFonts w:ascii="Arial" w:eastAsia="Times New Roman" w:hAnsi="Arial" w:cs="Arial"/>
          <w:sz w:val="20"/>
          <w:szCs w:val="20"/>
        </w:rPr>
        <w:t xml:space="preserve"> as a promising natural candidate for managing gastrointestinal diseases, particularly Inflammatory Bowel Disease.</w:t>
      </w:r>
    </w:p>
    <w:p w:rsidR="00456D7C" w:rsidRPr="007B0B93" w:rsidRDefault="00456D7C" w:rsidP="007B0B93">
      <w:pPr>
        <w:spacing w:after="0" w:line="240" w:lineRule="auto"/>
        <w:jc w:val="both"/>
        <w:rPr>
          <w:rFonts w:ascii="Arial" w:hAnsi="Arial" w:cs="Arial"/>
          <w:sz w:val="20"/>
          <w:szCs w:val="20"/>
        </w:rPr>
      </w:pPr>
      <w:r w:rsidRPr="007B0B93">
        <w:rPr>
          <w:rFonts w:ascii="Arial" w:eastAsia="Times New Roman" w:hAnsi="Arial" w:cs="Arial"/>
          <w:sz w:val="20"/>
          <w:szCs w:val="20"/>
        </w:rPr>
        <w:t xml:space="preserve">Based on these findings, </w:t>
      </w:r>
      <w:r w:rsidRPr="007B0B93">
        <w:rPr>
          <w:rFonts w:ascii="Arial" w:eastAsia="Times New Roman" w:hAnsi="Arial" w:cs="Arial"/>
          <w:i/>
          <w:iCs/>
          <w:sz w:val="20"/>
          <w:szCs w:val="20"/>
        </w:rPr>
        <w:t>P. hymenophyllum</w:t>
      </w:r>
      <w:r w:rsidRPr="007B0B93">
        <w:rPr>
          <w:rFonts w:ascii="Arial" w:eastAsia="Times New Roman" w:hAnsi="Arial" w:cs="Arial"/>
          <w:sz w:val="20"/>
          <w:szCs w:val="20"/>
        </w:rPr>
        <w:t xml:space="preserve"> ethyl acetate extracts show strong potential for application in several areas: (i) development of standardized herbal formulations for IBD and peptic ulcer management; (ii) use as a functional food ingredient or nutraceutical supplement for individuals with chronic gastrointestinal disorders; (iii) incorporation into novel drug delivery systems (e.g., phytosome or nano-encapsulated formulations) to improve the bioavailability of poorly soluble phytosterols; and (iv) as a lead source for isolation and structural optimization of individual bioactive compounds  particularly phytol and xanthene derivatives for development of semi-synthetic anti-IBD agents.</w:t>
      </w:r>
    </w:p>
    <w:p w:rsidR="00456D7C" w:rsidRPr="007B0B93" w:rsidRDefault="00456D7C" w:rsidP="007B0B93">
      <w:pPr>
        <w:spacing w:after="0" w:line="240" w:lineRule="auto"/>
        <w:jc w:val="both"/>
        <w:rPr>
          <w:rFonts w:ascii="Arial" w:hAnsi="Arial" w:cs="Arial"/>
          <w:sz w:val="20"/>
          <w:szCs w:val="20"/>
        </w:rPr>
      </w:pPr>
      <w:r w:rsidRPr="007B0B93">
        <w:rPr>
          <w:rFonts w:ascii="Arial" w:eastAsia="Times New Roman" w:hAnsi="Arial" w:cs="Arial"/>
          <w:sz w:val="20"/>
          <w:szCs w:val="20"/>
        </w:rPr>
        <w:t>Further work involving in vivo animal studies and clinical evaluations is strongly recommended to validate the folkloric and traditional applications of this species and to advance it toward standardized plant-based therapeutic development.</w:t>
      </w:r>
    </w:p>
    <w:p w:rsidR="00730CE7" w:rsidRPr="007B0B93" w:rsidRDefault="00730CE7" w:rsidP="007B0B93">
      <w:pPr>
        <w:spacing w:after="0" w:line="240" w:lineRule="auto"/>
        <w:jc w:val="both"/>
        <w:rPr>
          <w:rFonts w:ascii="Arial" w:hAnsi="Arial" w:cs="Arial"/>
          <w:sz w:val="20"/>
          <w:szCs w:val="20"/>
        </w:rPr>
      </w:pPr>
    </w:p>
    <w:p w:rsidR="00730CE7" w:rsidRPr="00E27563" w:rsidRDefault="00730CE7" w:rsidP="007B0B93">
      <w:pPr>
        <w:pStyle w:val="AcknHead"/>
        <w:spacing w:after="0"/>
        <w:jc w:val="both"/>
        <w:rPr>
          <w:rFonts w:ascii="Arial" w:hAnsi="Arial" w:cs="Arial"/>
          <w:color w:val="002060"/>
        </w:rPr>
      </w:pPr>
      <w:r w:rsidRPr="00E27563">
        <w:rPr>
          <w:rFonts w:ascii="Arial" w:hAnsi="Arial" w:cs="Arial"/>
          <w:color w:val="002060"/>
        </w:rPr>
        <w:t>AcknowledgEments</w:t>
      </w:r>
    </w:p>
    <w:p w:rsidR="00730CE7" w:rsidRPr="00FB3A86" w:rsidRDefault="00730CE7" w:rsidP="00730CE7">
      <w:pPr>
        <w:pStyle w:val="AcknHead"/>
        <w:spacing w:after="0"/>
        <w:jc w:val="both"/>
        <w:rPr>
          <w:rFonts w:ascii="Arial" w:hAnsi="Arial" w:cs="Arial"/>
        </w:rPr>
      </w:pPr>
    </w:p>
    <w:p w:rsidR="0066650B" w:rsidRDefault="0066650B" w:rsidP="0066650B">
      <w:pPr>
        <w:pStyle w:val="Body"/>
        <w:spacing w:after="0"/>
        <w:rPr>
          <w:rFonts w:ascii="Arial" w:hAnsi="Arial" w:cs="Arial"/>
        </w:rPr>
      </w:pPr>
      <w:r>
        <w:rPr>
          <w:rFonts w:ascii="Arial" w:hAnsi="Arial" w:cs="Arial"/>
        </w:rPr>
        <w:t>The authors express sincere gratitude to the Botanical Survey of India (BSI), Southern Regional Centre, Coimbatore for species authentication and to the Department of Botany, Government Arts Coll</w:t>
      </w:r>
      <w:r w:rsidR="00045FEF">
        <w:rPr>
          <w:rFonts w:ascii="Arial" w:hAnsi="Arial" w:cs="Arial"/>
        </w:rPr>
        <w:t>ege (A) for voucher deposition.</w:t>
      </w:r>
      <w:r w:rsidR="00660028">
        <w:rPr>
          <w:rFonts w:ascii="Arial" w:hAnsi="Arial" w:cs="Arial"/>
        </w:rPr>
        <w:t xml:space="preserve"> </w:t>
      </w:r>
      <w:r>
        <w:rPr>
          <w:rFonts w:ascii="Arial" w:hAnsi="Arial" w:cs="Arial"/>
        </w:rPr>
        <w:t xml:space="preserve">The authors used the data base of National Institute Standard and Technology, NIST4 and WILEY9 for Interpretation of mass spectrum of GC – MS studies.  </w:t>
      </w:r>
    </w:p>
    <w:p w:rsidR="00E27563" w:rsidRPr="0066650B" w:rsidRDefault="00E27563" w:rsidP="0066650B">
      <w:pPr>
        <w:pStyle w:val="Body"/>
        <w:spacing w:after="0"/>
        <w:rPr>
          <w:rFonts w:ascii="Arial" w:hAnsi="Arial" w:cs="Arial"/>
        </w:rPr>
      </w:pPr>
    </w:p>
    <w:p w:rsidR="00730CE7" w:rsidRPr="00E27563" w:rsidRDefault="00730CE7" w:rsidP="00730CE7">
      <w:pPr>
        <w:pStyle w:val="ReferHead"/>
        <w:spacing w:after="0"/>
        <w:jc w:val="both"/>
        <w:rPr>
          <w:rFonts w:ascii="Arial" w:hAnsi="Arial" w:cs="Arial"/>
          <w:bCs/>
          <w:color w:val="002060"/>
        </w:rPr>
      </w:pPr>
      <w:r w:rsidRPr="00E27563">
        <w:rPr>
          <w:rFonts w:ascii="Arial" w:hAnsi="Arial" w:cs="Arial"/>
          <w:bCs/>
          <w:color w:val="002060"/>
        </w:rPr>
        <w:t>Competing interests</w:t>
      </w:r>
    </w:p>
    <w:p w:rsidR="00730CE7" w:rsidRPr="00786D36" w:rsidRDefault="00730CE7" w:rsidP="00730CE7">
      <w:pPr>
        <w:pStyle w:val="ReferHead"/>
        <w:spacing w:after="0"/>
        <w:jc w:val="both"/>
        <w:rPr>
          <w:rFonts w:ascii="Arial" w:hAnsi="Arial" w:cs="Arial"/>
        </w:rPr>
      </w:pPr>
    </w:p>
    <w:p w:rsidR="00730CE7" w:rsidRPr="0066650B" w:rsidRDefault="00730CE7" w:rsidP="00730CE7">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rsidR="00730CE7" w:rsidRDefault="00730CE7" w:rsidP="00730CE7">
      <w:pPr>
        <w:pStyle w:val="ReferHead"/>
        <w:spacing w:after="0"/>
        <w:jc w:val="both"/>
        <w:rPr>
          <w:rFonts w:ascii="Arial" w:hAnsi="Arial" w:cs="Arial"/>
          <w:b w:val="0"/>
          <w:caps w:val="0"/>
          <w:sz w:val="20"/>
        </w:rPr>
      </w:pPr>
    </w:p>
    <w:p w:rsidR="00730CE7" w:rsidRPr="00E27563" w:rsidRDefault="00730CE7" w:rsidP="00730CE7">
      <w:pPr>
        <w:pStyle w:val="ReferHead"/>
        <w:spacing w:after="0"/>
        <w:jc w:val="both"/>
        <w:rPr>
          <w:rFonts w:ascii="Arial" w:hAnsi="Arial" w:cs="Arial"/>
          <w:bCs/>
          <w:color w:val="002060"/>
        </w:rPr>
      </w:pPr>
      <w:r w:rsidRPr="00E27563">
        <w:rPr>
          <w:rFonts w:ascii="Arial" w:hAnsi="Arial" w:cs="Arial"/>
          <w:bCs/>
          <w:color w:val="002060"/>
        </w:rPr>
        <w:t>Authors’ Contributions</w:t>
      </w:r>
    </w:p>
    <w:p w:rsidR="00730CE7" w:rsidRPr="00371FB6" w:rsidRDefault="00730CE7" w:rsidP="00730CE7">
      <w:pPr>
        <w:pStyle w:val="ReferHead"/>
        <w:spacing w:after="0"/>
        <w:jc w:val="both"/>
        <w:rPr>
          <w:rFonts w:ascii="Arial" w:hAnsi="Arial" w:cs="Arial"/>
          <w:bCs/>
        </w:rPr>
      </w:pPr>
    </w:p>
    <w:p w:rsidR="00882ADA" w:rsidRPr="00F41E64" w:rsidRDefault="00730CE7" w:rsidP="00730CE7">
      <w:pPr>
        <w:pStyle w:val="ReferHead"/>
        <w:spacing w:after="0"/>
        <w:jc w:val="both"/>
        <w:rPr>
          <w:rFonts w:ascii="Arial" w:hAnsi="Arial" w:cs="Arial"/>
          <w:b w:val="0"/>
          <w:caps w:val="0"/>
          <w:sz w:val="20"/>
        </w:rPr>
      </w:pPr>
      <w:r>
        <w:rPr>
          <w:rFonts w:ascii="Arial" w:hAnsi="Arial" w:cs="Arial"/>
          <w:b w:val="0"/>
          <w:caps w:val="0"/>
          <w:sz w:val="20"/>
        </w:rPr>
        <w:t>Authors may use the following wordings for this section:“ ‘Author A’ designed the study, performed the</w:t>
      </w:r>
      <w:r w:rsidR="00BF687D">
        <w:rPr>
          <w:rFonts w:ascii="Arial" w:hAnsi="Arial" w:cs="Arial"/>
          <w:b w:val="0"/>
          <w:caps w:val="0"/>
          <w:sz w:val="20"/>
        </w:rPr>
        <w:t xml:space="preserve"> experimental studies,</w:t>
      </w:r>
      <w:r>
        <w:rPr>
          <w:rFonts w:ascii="Arial" w:hAnsi="Arial" w:cs="Arial"/>
          <w:b w:val="0"/>
          <w:caps w:val="0"/>
          <w:sz w:val="20"/>
        </w:rPr>
        <w:t xml:space="preserve"> statistical analysis, wrote the protocol</w:t>
      </w:r>
      <w:r w:rsidR="00F83DBD">
        <w:rPr>
          <w:rFonts w:ascii="Arial" w:hAnsi="Arial" w:cs="Arial"/>
          <w:b w:val="0"/>
          <w:caps w:val="0"/>
          <w:sz w:val="20"/>
        </w:rPr>
        <w:t xml:space="preserve"> and</w:t>
      </w:r>
      <w:r>
        <w:rPr>
          <w:rFonts w:ascii="Arial" w:hAnsi="Arial" w:cs="Arial"/>
          <w:b w:val="0"/>
          <w:caps w:val="0"/>
          <w:sz w:val="20"/>
        </w:rPr>
        <w:t xml:space="preserve"> wrote the first draft of the manuscript. ‘Author B’ managed the analyses of the study and managed the literature searches and </w:t>
      </w:r>
      <w:r w:rsidR="00BF687D">
        <w:rPr>
          <w:rFonts w:ascii="Arial" w:hAnsi="Arial" w:cs="Arial"/>
          <w:b w:val="0"/>
          <w:caps w:val="0"/>
          <w:sz w:val="20"/>
        </w:rPr>
        <w:t>the remaining</w:t>
      </w:r>
      <w:r>
        <w:rPr>
          <w:rFonts w:ascii="Arial" w:hAnsi="Arial" w:cs="Arial"/>
          <w:b w:val="0"/>
          <w:caps w:val="0"/>
          <w:sz w:val="20"/>
        </w:rPr>
        <w:t xml:space="preserve"> authors read and approved the final manuscript.”</w:t>
      </w:r>
    </w:p>
    <w:p w:rsidR="00882ADA" w:rsidRDefault="00882ADA" w:rsidP="00730CE7">
      <w:pPr>
        <w:pStyle w:val="ReferHead"/>
        <w:spacing w:after="0"/>
        <w:jc w:val="both"/>
        <w:rPr>
          <w:rFonts w:ascii="Arial" w:hAnsi="Arial" w:cs="Arial"/>
        </w:rPr>
      </w:pPr>
    </w:p>
    <w:p w:rsidR="00730CE7" w:rsidRPr="00E27563" w:rsidRDefault="00730CE7" w:rsidP="00730CE7">
      <w:pPr>
        <w:pStyle w:val="ReferHead"/>
        <w:spacing w:after="0"/>
        <w:jc w:val="both"/>
        <w:rPr>
          <w:rFonts w:ascii="Arial" w:hAnsi="Arial" w:cs="Arial"/>
          <w:color w:val="002060"/>
        </w:rPr>
      </w:pPr>
      <w:r w:rsidRPr="00E27563">
        <w:rPr>
          <w:rFonts w:ascii="Arial" w:hAnsi="Arial" w:cs="Arial"/>
          <w:color w:val="002060"/>
        </w:rPr>
        <w:t>References</w:t>
      </w:r>
    </w:p>
    <w:p w:rsidR="00730CE7" w:rsidRPr="00FB3A86" w:rsidRDefault="00730CE7" w:rsidP="00730CE7">
      <w:pPr>
        <w:pStyle w:val="ReferHead"/>
        <w:spacing w:after="0"/>
        <w:jc w:val="both"/>
        <w:rPr>
          <w:rFonts w:ascii="Arial" w:hAnsi="Arial" w:cs="Arial"/>
        </w:rPr>
      </w:pPr>
    </w:p>
    <w:p w:rsidR="0066650B" w:rsidRPr="0066650B" w:rsidRDefault="0066650B" w:rsidP="00882ADA">
      <w:pPr>
        <w:pStyle w:val="Body"/>
        <w:numPr>
          <w:ilvl w:val="0"/>
          <w:numId w:val="4"/>
        </w:numPr>
        <w:spacing w:after="0"/>
      </w:pPr>
      <w:r>
        <w:t xml:space="preserve">Parmar VS, Jain R, Singh A. Phytochemistry of the genus </w:t>
      </w:r>
      <w:r w:rsidRPr="00882ADA">
        <w:rPr>
          <w:i/>
          <w:iCs/>
        </w:rPr>
        <w:t>Piper</w:t>
      </w:r>
      <w:r>
        <w:t xml:space="preserve">. </w:t>
      </w:r>
      <w:r w:rsidRPr="00882ADA">
        <w:rPr>
          <w:i/>
          <w:iCs/>
        </w:rPr>
        <w:t>Phytochemistry.</w:t>
      </w:r>
      <w:r>
        <w:t xml:space="preserve"> 1997; 46(4):597–673.</w:t>
      </w:r>
    </w:p>
    <w:p w:rsidR="0066650B" w:rsidRPr="0066650B" w:rsidRDefault="0066650B" w:rsidP="0066650B">
      <w:pPr>
        <w:pStyle w:val="Body"/>
        <w:numPr>
          <w:ilvl w:val="0"/>
          <w:numId w:val="4"/>
        </w:numPr>
        <w:spacing w:after="0"/>
      </w:pPr>
      <w:r>
        <w:t xml:space="preserve">Quijano-Abril MA, Callejas R, Miranda-Esquivel DR. The Piperaceae family: A review of taxonomy and distribution. </w:t>
      </w:r>
      <w:r>
        <w:rPr>
          <w:i/>
          <w:iCs/>
        </w:rPr>
        <w:t>Botanical Review.</w:t>
      </w:r>
      <w:r>
        <w:t xml:space="preserve"> 2006; 72(1):1–29.</w:t>
      </w:r>
    </w:p>
    <w:p w:rsidR="0066650B" w:rsidRPr="0066650B" w:rsidRDefault="0066650B" w:rsidP="0066650B">
      <w:pPr>
        <w:pStyle w:val="Body"/>
        <w:numPr>
          <w:ilvl w:val="0"/>
          <w:numId w:val="4"/>
        </w:numPr>
        <w:spacing w:after="0"/>
      </w:pPr>
      <w:r>
        <w:t xml:space="preserve">Srinivasan K. Black pepper and its pungent principle piperine: diverse physiological effects. </w:t>
      </w:r>
      <w:r>
        <w:rPr>
          <w:i/>
          <w:iCs/>
        </w:rPr>
        <w:t>Critical Reviews in Food Science and Nutrition.</w:t>
      </w:r>
      <w:r>
        <w:t xml:space="preserve"> 2007; 47(8):735–748.</w:t>
      </w:r>
    </w:p>
    <w:p w:rsidR="0066650B" w:rsidRPr="0066650B" w:rsidRDefault="0066650B" w:rsidP="0066650B">
      <w:pPr>
        <w:pStyle w:val="Body"/>
        <w:numPr>
          <w:ilvl w:val="0"/>
          <w:numId w:val="4"/>
        </w:numPr>
        <w:spacing w:after="0"/>
      </w:pPr>
      <w:r>
        <w:t xml:space="preserve">Meghwal M, Goswami TK. </w:t>
      </w:r>
      <w:r w:rsidR="0095012C" w:rsidRPr="0095012C">
        <w:rPr>
          <w:i/>
        </w:rPr>
        <w:t xml:space="preserve">Piper nigrum </w:t>
      </w:r>
      <w:r>
        <w:t xml:space="preserve">and its therapeutic potential: A review. </w:t>
      </w:r>
      <w:r>
        <w:rPr>
          <w:i/>
          <w:iCs/>
        </w:rPr>
        <w:t>International Journal of Pharmaceutical Sciences Review and Research.</w:t>
      </w:r>
      <w:r>
        <w:t xml:space="preserve"> 2013; 23(1):10–15.</w:t>
      </w:r>
    </w:p>
    <w:p w:rsidR="0066650B" w:rsidRPr="0066650B" w:rsidRDefault="0066650B" w:rsidP="0066650B">
      <w:pPr>
        <w:pStyle w:val="Body"/>
        <w:numPr>
          <w:ilvl w:val="0"/>
          <w:numId w:val="4"/>
        </w:numPr>
        <w:spacing w:after="0"/>
      </w:pPr>
      <w:r>
        <w:t xml:space="preserve">Khajuria A, Thusu N, Zutshi U. Piperine modulates gastrointestinal permeability and improves drug absorption. </w:t>
      </w:r>
      <w:r>
        <w:rPr>
          <w:i/>
          <w:iCs/>
        </w:rPr>
        <w:t>Journal of Ethnopharmacology.</w:t>
      </w:r>
      <w:r>
        <w:t xml:space="preserve"> 2010; 128(2):311–314.</w:t>
      </w:r>
    </w:p>
    <w:p w:rsidR="0066650B" w:rsidRPr="0066650B" w:rsidRDefault="0066650B" w:rsidP="0066650B">
      <w:pPr>
        <w:pStyle w:val="Body"/>
        <w:numPr>
          <w:ilvl w:val="0"/>
          <w:numId w:val="4"/>
        </w:numPr>
        <w:spacing w:after="0"/>
      </w:pPr>
      <w:r>
        <w:t xml:space="preserve">Teixeira F, Sousa D, Marques S, </w:t>
      </w:r>
      <w:r>
        <w:rPr>
          <w:i/>
        </w:rPr>
        <w:t>et al</w:t>
      </w:r>
      <w:r>
        <w:t xml:space="preserve">. Terpenoids in medicinal plants: Chemical and pharmacological significance. </w:t>
      </w:r>
      <w:r>
        <w:rPr>
          <w:i/>
          <w:iCs/>
        </w:rPr>
        <w:t>Molecules.</w:t>
      </w:r>
      <w:r>
        <w:t xml:space="preserve"> 2020; 25(22):5243.</w:t>
      </w:r>
    </w:p>
    <w:p w:rsidR="0066650B" w:rsidRPr="0066650B" w:rsidRDefault="0066650B" w:rsidP="0066650B">
      <w:pPr>
        <w:pStyle w:val="Body"/>
        <w:numPr>
          <w:ilvl w:val="0"/>
          <w:numId w:val="4"/>
        </w:numPr>
        <w:spacing w:after="0"/>
      </w:pPr>
      <w:r>
        <w:t xml:space="preserve">Rahman S, Carter P, Bhattarai N. A comprehensive review on anti-inflammatory effects of monoterpenes. </w:t>
      </w:r>
      <w:r>
        <w:rPr>
          <w:i/>
          <w:iCs/>
        </w:rPr>
        <w:t>Frontiers in Pharmacology.</w:t>
      </w:r>
      <w:r>
        <w:t xml:space="preserve"> 2021; 12:614551.</w:t>
      </w:r>
    </w:p>
    <w:p w:rsidR="0066650B" w:rsidRPr="0066650B" w:rsidRDefault="0066650B" w:rsidP="0066650B">
      <w:pPr>
        <w:pStyle w:val="Body"/>
        <w:numPr>
          <w:ilvl w:val="0"/>
          <w:numId w:val="4"/>
        </w:numPr>
        <w:spacing w:after="0"/>
      </w:pPr>
      <w:r>
        <w:t xml:space="preserve">Othman F, Moin S, Abdullah N. Role of plant-based extracts in ulcer healing. </w:t>
      </w:r>
      <w:r>
        <w:rPr>
          <w:i/>
          <w:iCs/>
        </w:rPr>
        <w:t>Journal of Medicinal Plants Research.</w:t>
      </w:r>
      <w:r>
        <w:t xml:space="preserve"> 2019; 13(13):303–313.</w:t>
      </w:r>
    </w:p>
    <w:p w:rsidR="0066650B" w:rsidRPr="0066650B" w:rsidRDefault="0066650B" w:rsidP="0066650B">
      <w:pPr>
        <w:pStyle w:val="Body"/>
        <w:numPr>
          <w:ilvl w:val="0"/>
          <w:numId w:val="4"/>
        </w:numPr>
        <w:spacing w:after="0"/>
      </w:pPr>
      <w:r>
        <w:t xml:space="preserve">Wallace JL. Mechanisms of protection and healing in the gastrointestinal tract. </w:t>
      </w:r>
      <w:r>
        <w:rPr>
          <w:i/>
          <w:iCs/>
        </w:rPr>
        <w:t>American Journal of Medicine.</w:t>
      </w:r>
      <w:r>
        <w:t xml:space="preserve"> 2001; 110(Suppl 1):S19–S23.</w:t>
      </w:r>
    </w:p>
    <w:p w:rsidR="0066650B" w:rsidRPr="0066650B" w:rsidRDefault="0066650B" w:rsidP="0066650B">
      <w:pPr>
        <w:pStyle w:val="Body"/>
        <w:numPr>
          <w:ilvl w:val="0"/>
          <w:numId w:val="4"/>
        </w:numPr>
        <w:spacing w:after="0"/>
      </w:pPr>
      <w:r>
        <w:t xml:space="preserve">Sparkman OD, Penton ZE, Kitson FG. </w:t>
      </w:r>
      <w:r>
        <w:rPr>
          <w:i/>
          <w:iCs/>
        </w:rPr>
        <w:t>Gas Chromatography–Mass Spectrometry: Essentials and Applications.</w:t>
      </w:r>
      <w:r>
        <w:t xml:space="preserve"> Wiley-VCH; 2011. 3rd ed.</w:t>
      </w:r>
    </w:p>
    <w:p w:rsidR="0066650B" w:rsidRPr="0066650B" w:rsidRDefault="0066650B" w:rsidP="0066650B">
      <w:pPr>
        <w:pStyle w:val="Body"/>
        <w:numPr>
          <w:ilvl w:val="0"/>
          <w:numId w:val="4"/>
        </w:numPr>
        <w:spacing w:after="0"/>
      </w:pPr>
      <w:r>
        <w:t>Daina A, Michielin O, Zoete V. Swiss</w:t>
      </w:r>
      <w:r w:rsidR="008D4F35">
        <w:t>ADME</w:t>
      </w:r>
      <w:r>
        <w:t xml:space="preserve">: A free tool to evaluate pharmacokinetics and drug-likeness. </w:t>
      </w:r>
      <w:r>
        <w:rPr>
          <w:i/>
          <w:iCs/>
        </w:rPr>
        <w:t>Scientific Reports.</w:t>
      </w:r>
      <w:r>
        <w:t xml:space="preserve"> 2017; 7:42717.</w:t>
      </w:r>
    </w:p>
    <w:p w:rsidR="0066650B" w:rsidRPr="0066650B" w:rsidRDefault="0066650B" w:rsidP="0066650B">
      <w:pPr>
        <w:pStyle w:val="Body"/>
        <w:numPr>
          <w:ilvl w:val="0"/>
          <w:numId w:val="4"/>
        </w:numPr>
        <w:spacing w:after="0"/>
      </w:pPr>
      <w:r>
        <w:t xml:space="preserve">Narmathasri J, Deepa MA, Pradheeba M, Vasukipridharshini G, Narthanaa S, Magi G, Pugalenthi M. </w:t>
      </w:r>
      <w:r>
        <w:rPr>
          <w:bCs/>
        </w:rPr>
        <w:t xml:space="preserve">Investigation of Phytochemicals and Antioxidant Properties of </w:t>
      </w:r>
      <w:r>
        <w:rPr>
          <w:bCs/>
          <w:i/>
          <w:iCs/>
        </w:rPr>
        <w:t>Piper hymenophyllum</w:t>
      </w:r>
      <w:r>
        <w:rPr>
          <w:bCs/>
        </w:rPr>
        <w:t xml:space="preserve">Miq. </w:t>
      </w:r>
      <w:r>
        <w:t xml:space="preserve"> International Journal of Pharmaceutical Drug Design, 2025; 2(10): 01-08. </w:t>
      </w:r>
    </w:p>
    <w:p w:rsidR="0066650B" w:rsidRPr="0066650B" w:rsidRDefault="0066650B" w:rsidP="0066650B">
      <w:pPr>
        <w:pStyle w:val="Body"/>
        <w:numPr>
          <w:ilvl w:val="0"/>
          <w:numId w:val="4"/>
        </w:numPr>
        <w:spacing w:after="0"/>
      </w:pPr>
      <w:r>
        <w:t>Balasubramaniam V. Survey and documentation of commercially sold medicinal plants in local markets of Velliangiri Hills (Poondi), Coimbatore District, Tamil Nadu, India. International Journal of Recent Advances in Multidisciplinary Research, 2015; 2(12):1047-1055.</w:t>
      </w:r>
    </w:p>
    <w:p w:rsidR="0066650B" w:rsidRPr="0066650B" w:rsidRDefault="0066650B" w:rsidP="0066650B">
      <w:pPr>
        <w:pStyle w:val="Body"/>
        <w:numPr>
          <w:ilvl w:val="0"/>
          <w:numId w:val="4"/>
        </w:numPr>
        <w:spacing w:after="0"/>
      </w:pPr>
      <w:r>
        <w:t xml:space="preserve">Debnath, P. C., Das, A., Islam, A., Islam, M. A., Hassan, M. M., &amp; Uddin, S. M. G. (2013). Membrane stabilization–A possible mechanism of action for the anti-inflammatory activity of a Bangladeshi medicinal plant: </w:t>
      </w:r>
      <w:r>
        <w:rPr>
          <w:i/>
        </w:rPr>
        <w:t>Erioglossumrubiginosum</w:t>
      </w:r>
      <w:r>
        <w:t xml:space="preserve"> (Bara Harina). </w:t>
      </w:r>
      <w:r>
        <w:rPr>
          <w:i/>
          <w:iCs/>
        </w:rPr>
        <w:t>Pharmacognosy Journal</w:t>
      </w:r>
      <w:r>
        <w:t>, </w:t>
      </w:r>
      <w:r>
        <w:rPr>
          <w:i/>
          <w:iCs/>
        </w:rPr>
        <w:t>5</w:t>
      </w:r>
      <w:r>
        <w:t>(3), 104-107.</w:t>
      </w:r>
    </w:p>
    <w:p w:rsidR="0066650B" w:rsidRPr="0066650B" w:rsidRDefault="0066650B" w:rsidP="0066650B">
      <w:pPr>
        <w:pStyle w:val="Body"/>
        <w:numPr>
          <w:ilvl w:val="0"/>
          <w:numId w:val="4"/>
        </w:numPr>
        <w:spacing w:after="0"/>
      </w:pPr>
      <w:r>
        <w:t xml:space="preserve">Shinde, U. A., Phadke, A. S., Nair, A. M., Mungantiwar, A. A., Dikshit, V. J., &amp; Saraf, M. N. (1999). Studies on the anti-inflammatory and analgesic activity of </w:t>
      </w:r>
      <w:r>
        <w:rPr>
          <w:i/>
        </w:rPr>
        <w:t>Cedrusdeodara</w:t>
      </w:r>
      <w:r>
        <w:t xml:space="preserve"> (Roxb.) Loud. wood oil. </w:t>
      </w:r>
      <w:r>
        <w:rPr>
          <w:i/>
          <w:iCs/>
        </w:rPr>
        <w:t>Journal of Ethnopharmacology</w:t>
      </w:r>
      <w:r>
        <w:t>, </w:t>
      </w:r>
      <w:r>
        <w:rPr>
          <w:i/>
          <w:iCs/>
        </w:rPr>
        <w:t>65</w:t>
      </w:r>
      <w:r>
        <w:t>(1), 21-27.</w:t>
      </w:r>
    </w:p>
    <w:p w:rsidR="001344DD" w:rsidRPr="009C29D9" w:rsidRDefault="0066650B" w:rsidP="0030517F">
      <w:pPr>
        <w:pStyle w:val="Body"/>
        <w:numPr>
          <w:ilvl w:val="0"/>
          <w:numId w:val="4"/>
        </w:numPr>
        <w:spacing w:after="0"/>
        <w:rPr>
          <w:rFonts w:ascii="Arial" w:hAnsi="Arial" w:cs="Arial"/>
        </w:rPr>
      </w:pPr>
      <w:r>
        <w:t xml:space="preserve">Henneh, I., Akrofi, R., Ameyaw, E., Konja, D., Owusu, G., Abane, B and Tayman, F. (2018). Stem bark extract of </w:t>
      </w:r>
      <w:r>
        <w:rPr>
          <w:i/>
        </w:rPr>
        <w:t>Sterculiasetigera</w:t>
      </w:r>
      <w:r>
        <w:t xml:space="preserve">Delile exhibits anti-inflammatory properties through membrane stabilization, inhibition of protein </w:t>
      </w:r>
      <w:r>
        <w:rPr>
          <w:rFonts w:ascii="Arial" w:hAnsi="Arial" w:cs="Arial"/>
        </w:rPr>
        <w:t>denaturation and prostaglandin E2 activity. </w:t>
      </w:r>
      <w:r>
        <w:rPr>
          <w:rFonts w:ascii="Arial" w:hAnsi="Arial" w:cs="Arial"/>
          <w:i/>
          <w:iCs/>
        </w:rPr>
        <w:t>Journal of Pharmaceutical Research International</w:t>
      </w:r>
      <w:r>
        <w:rPr>
          <w:rFonts w:ascii="Arial" w:hAnsi="Arial" w:cs="Arial"/>
        </w:rPr>
        <w:t>, </w:t>
      </w:r>
      <w:r>
        <w:rPr>
          <w:rFonts w:ascii="Arial" w:hAnsi="Arial" w:cs="Arial"/>
          <w:i/>
          <w:iCs/>
        </w:rPr>
        <w:t>22</w:t>
      </w:r>
      <w:r>
        <w:rPr>
          <w:rFonts w:ascii="Arial" w:hAnsi="Arial" w:cs="Arial"/>
        </w:rPr>
        <w:t>(5), 1-11.</w:t>
      </w:r>
    </w:p>
    <w:p w:rsidR="00674BD8" w:rsidRPr="009C29D9" w:rsidRDefault="00674BD8" w:rsidP="001344DD">
      <w:pPr>
        <w:pStyle w:val="ListParagraph"/>
        <w:numPr>
          <w:ilvl w:val="0"/>
          <w:numId w:val="4"/>
        </w:numPr>
        <w:spacing w:after="0" w:line="240" w:lineRule="auto"/>
        <w:rPr>
          <w:rFonts w:ascii="Arial" w:eastAsia="Times New Roman" w:hAnsi="Arial" w:cs="Arial"/>
          <w:sz w:val="20"/>
          <w:szCs w:val="20"/>
        </w:rPr>
      </w:pPr>
      <w:r>
        <w:rPr>
          <w:rFonts w:ascii="Arial" w:eastAsia="Times New Roman" w:hAnsi="Arial" w:cs="Arial"/>
          <w:sz w:val="20"/>
          <w:szCs w:val="20"/>
        </w:rPr>
        <w:t xml:space="preserve">Saha, P., Rahman, F. I., Hussain, F., Rahman, S. M. A., &amp; Rahman, M. M. (2022). Antimicrobial diterpenes: Recent development from natural sources. </w:t>
      </w:r>
      <w:r>
        <w:rPr>
          <w:rFonts w:ascii="Arial" w:eastAsia="Times New Roman" w:hAnsi="Arial" w:cs="Arial"/>
          <w:i/>
          <w:iCs/>
          <w:sz w:val="20"/>
          <w:szCs w:val="20"/>
        </w:rPr>
        <w:t>Frontiers in Pharmacology</w:t>
      </w:r>
      <w:r>
        <w:rPr>
          <w:rFonts w:ascii="Arial" w:eastAsia="Times New Roman" w:hAnsi="Arial" w:cs="Arial"/>
          <w:sz w:val="20"/>
          <w:szCs w:val="20"/>
        </w:rPr>
        <w:t xml:space="preserve">, </w:t>
      </w:r>
      <w:r>
        <w:rPr>
          <w:rFonts w:ascii="Arial" w:eastAsia="Times New Roman" w:hAnsi="Arial" w:cs="Arial"/>
          <w:i/>
          <w:iCs/>
          <w:sz w:val="20"/>
          <w:szCs w:val="20"/>
        </w:rPr>
        <w:t>12</w:t>
      </w:r>
      <w:r>
        <w:rPr>
          <w:rFonts w:ascii="Arial" w:eastAsia="Times New Roman" w:hAnsi="Arial" w:cs="Arial"/>
          <w:sz w:val="20"/>
          <w:szCs w:val="20"/>
        </w:rPr>
        <w:t xml:space="preserve">, 820312. </w:t>
      </w:r>
    </w:p>
    <w:p w:rsidR="00674BD8" w:rsidRPr="009C29D9" w:rsidRDefault="00674BD8" w:rsidP="001344DD">
      <w:pPr>
        <w:pStyle w:val="Body"/>
        <w:numPr>
          <w:ilvl w:val="0"/>
          <w:numId w:val="4"/>
        </w:numPr>
        <w:spacing w:after="0"/>
        <w:rPr>
          <w:rFonts w:ascii="Arial" w:hAnsi="Arial" w:cs="Arial"/>
        </w:rPr>
      </w:pPr>
      <w:r>
        <w:rPr>
          <w:rFonts w:ascii="Arial" w:hAnsi="Arial" w:cs="Arial"/>
        </w:rPr>
        <w:lastRenderedPageBreak/>
        <w:t xml:space="preserve">Silva, R. O., Sousa, F. B. M., Damasceno, S. R. B., Carvalho, N. S., Silva, V. G., Oliveira, F. R. M. A., Sousa, D. P., Aragão, K. S., Barbosa, A. L. R., Freitas, R. M., &amp; Medeiros, J. V. R. (2020). Phytol, a diterpene alcohol, exhibits anti-inflammatory and gastroprotective effects. </w:t>
      </w:r>
      <w:r>
        <w:rPr>
          <w:rStyle w:val="Emphasis"/>
          <w:rFonts w:ascii="Arial" w:hAnsi="Arial" w:cs="Arial"/>
        </w:rPr>
        <w:t>Food and Chemical Toxicology</w:t>
      </w:r>
      <w:r>
        <w:rPr>
          <w:rFonts w:ascii="Arial" w:hAnsi="Arial" w:cs="Arial"/>
        </w:rPr>
        <w:t xml:space="preserve">, </w:t>
      </w:r>
      <w:r>
        <w:rPr>
          <w:rStyle w:val="Emphasis"/>
          <w:rFonts w:ascii="Arial" w:hAnsi="Arial" w:cs="Arial"/>
        </w:rPr>
        <w:t>143</w:t>
      </w:r>
      <w:r>
        <w:rPr>
          <w:rFonts w:ascii="Arial" w:hAnsi="Arial" w:cs="Arial"/>
        </w:rPr>
        <w:t xml:space="preserve">, 111570. </w:t>
      </w:r>
    </w:p>
    <w:p w:rsidR="00674BD8" w:rsidRPr="009C29D9" w:rsidRDefault="00776DA2" w:rsidP="001344DD">
      <w:pPr>
        <w:pStyle w:val="Body"/>
        <w:numPr>
          <w:ilvl w:val="0"/>
          <w:numId w:val="4"/>
        </w:numPr>
        <w:spacing w:after="0"/>
        <w:rPr>
          <w:rFonts w:ascii="Arial" w:hAnsi="Arial" w:cs="Arial"/>
        </w:rPr>
      </w:pPr>
      <w:r>
        <w:rPr>
          <w:rFonts w:ascii="Arial" w:hAnsi="Arial" w:cs="Arial"/>
        </w:rPr>
        <w:t xml:space="preserve">Gupta, N., Morya, S. (2022). Bioactive and pharmacological characterization of Chenopodium quinoa, Sorghum bicolor and </w:t>
      </w:r>
      <w:r>
        <w:rPr>
          <w:rFonts w:ascii="Arial" w:hAnsi="Arial" w:cs="Arial"/>
          <w:i/>
        </w:rPr>
        <w:t>Linumusitassimum</w:t>
      </w:r>
      <w:r>
        <w:rPr>
          <w:rFonts w:ascii="Arial" w:hAnsi="Arial" w:cs="Arial"/>
        </w:rPr>
        <w:t>: A review. </w:t>
      </w:r>
      <w:r>
        <w:rPr>
          <w:rFonts w:ascii="Arial" w:hAnsi="Arial" w:cs="Arial"/>
          <w:i/>
          <w:iCs/>
        </w:rPr>
        <w:t>Journal of Applied &amp; Natural Science</w:t>
      </w:r>
      <w:r>
        <w:rPr>
          <w:rFonts w:ascii="Arial" w:hAnsi="Arial" w:cs="Arial"/>
        </w:rPr>
        <w:t>, </w:t>
      </w:r>
      <w:r>
        <w:rPr>
          <w:rFonts w:ascii="Arial" w:hAnsi="Arial" w:cs="Arial"/>
          <w:i/>
          <w:iCs/>
        </w:rPr>
        <w:t>14</w:t>
      </w:r>
      <w:r>
        <w:rPr>
          <w:rFonts w:ascii="Arial" w:hAnsi="Arial" w:cs="Arial"/>
        </w:rPr>
        <w:t xml:space="preserve">(3). </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Drabkin DL, Austin JH. Spectrophotometric studies II. Preparations from washed blood cells; nitric oxide haemoglobin and sulphaemoglobin. </w:t>
      </w:r>
      <w:r>
        <w:rPr>
          <w:rFonts w:ascii="Arial" w:hAnsi="Arial" w:cs="Arial"/>
          <w:i/>
          <w:iCs/>
        </w:rPr>
        <w:t>Journal of Biological Chemistry.</w:t>
      </w:r>
      <w:r>
        <w:rPr>
          <w:rFonts w:ascii="Arial" w:hAnsi="Arial" w:cs="Arial"/>
        </w:rPr>
        <w:t xml:space="preserve"> 1932; 98(2):719–733.</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Pang Z, Chen J, Wang T, Gao C, Li Z, Guo L, Xu J, Wu Y. Linking gut microbiota to inflammatory bowel disease pathogenesis. </w:t>
      </w:r>
      <w:r>
        <w:rPr>
          <w:rFonts w:ascii="Arial" w:hAnsi="Arial" w:cs="Arial"/>
          <w:i/>
          <w:iCs/>
        </w:rPr>
        <w:t>Frontiers in Immunology.</w:t>
      </w:r>
      <w:r>
        <w:rPr>
          <w:rFonts w:ascii="Arial" w:hAnsi="Arial" w:cs="Arial"/>
        </w:rPr>
        <w:t xml:space="preserve"> 2022; 13:883905.</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Okwu MU, Olley M, Akpoka AO, Izevbuwa OE. Methicillin-resistant </w:t>
      </w:r>
      <w:r>
        <w:rPr>
          <w:rFonts w:ascii="Arial" w:hAnsi="Arial" w:cs="Arial"/>
          <w:i/>
        </w:rPr>
        <w:t>Staphylococcus aureus</w:t>
      </w:r>
      <w:r>
        <w:rPr>
          <w:rFonts w:ascii="Arial" w:hAnsi="Arial" w:cs="Arial"/>
        </w:rPr>
        <w:t xml:space="preserve"> (MRSA) and anti-MRSA plants: A review. </w:t>
      </w:r>
      <w:r>
        <w:rPr>
          <w:rFonts w:ascii="Arial" w:hAnsi="Arial" w:cs="Arial"/>
          <w:i/>
          <w:iCs/>
        </w:rPr>
        <w:t>AIMS Microbiology.</w:t>
      </w:r>
      <w:r>
        <w:rPr>
          <w:rFonts w:ascii="Arial" w:hAnsi="Arial" w:cs="Arial"/>
        </w:rPr>
        <w:t xml:space="preserve"> 2019; 5(3):274–290.</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Ayeleso TB, Matumba MG, Mukwevho E. Oleanolic acid and its derivatives: Biological activities and therapeutic potential in chronic diseases. </w:t>
      </w:r>
      <w:r>
        <w:rPr>
          <w:rFonts w:ascii="Arial" w:hAnsi="Arial" w:cs="Arial"/>
          <w:i/>
          <w:iCs/>
        </w:rPr>
        <w:t>Molecules.</w:t>
      </w:r>
      <w:r>
        <w:rPr>
          <w:rFonts w:ascii="Arial" w:hAnsi="Arial" w:cs="Arial"/>
        </w:rPr>
        <w:t xml:space="preserve"> 2017; 22(11):1915.</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Loizou S, Lekakis I, Chrousos GP, Moutsatsou P. Beta-sitosterol exhibits anti-inflammatory activity in human aortic endothelial cells. </w:t>
      </w:r>
      <w:r>
        <w:rPr>
          <w:rFonts w:ascii="Arial" w:hAnsi="Arial" w:cs="Arial"/>
          <w:i/>
          <w:iCs/>
        </w:rPr>
        <w:t>Molecular Nutrition and Food Research.</w:t>
      </w:r>
      <w:r>
        <w:rPr>
          <w:rFonts w:ascii="Arial" w:hAnsi="Arial" w:cs="Arial"/>
        </w:rPr>
        <w:t xml:space="preserve"> 2010; 54(4):551–558.</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Chaturvedi P. Antifungal activity of stigmasterol from </w:t>
      </w:r>
      <w:r>
        <w:rPr>
          <w:rFonts w:ascii="Arial" w:hAnsi="Arial" w:cs="Arial"/>
          <w:i/>
        </w:rPr>
        <w:t>Cajanuscajan</w:t>
      </w:r>
      <w:r>
        <w:rPr>
          <w:rFonts w:ascii="Arial" w:hAnsi="Arial" w:cs="Arial"/>
        </w:rPr>
        <w:t xml:space="preserve"> leaves. </w:t>
      </w:r>
      <w:r>
        <w:rPr>
          <w:rFonts w:ascii="Arial" w:hAnsi="Arial" w:cs="Arial"/>
          <w:i/>
          <w:iCs/>
        </w:rPr>
        <w:t>Journal of Herbs, Spices and Medicinal Plants.</w:t>
      </w:r>
      <w:r>
        <w:rPr>
          <w:rFonts w:ascii="Arial" w:hAnsi="Arial" w:cs="Arial"/>
        </w:rPr>
        <w:t xml:space="preserve"> 2011; 17(1):18–26.</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Alinejad-Mofrad S, Fard MH, Saadatnia G. Phytol and its derivatives as promising anti-oxidant and anti-inflammatory agents: Review of recent advances. </w:t>
      </w:r>
      <w:r>
        <w:rPr>
          <w:rFonts w:ascii="Arial" w:hAnsi="Arial" w:cs="Arial"/>
          <w:i/>
          <w:iCs/>
        </w:rPr>
        <w:t>Natural Product Research.</w:t>
      </w:r>
      <w:r>
        <w:rPr>
          <w:rFonts w:ascii="Arial" w:hAnsi="Arial" w:cs="Arial"/>
        </w:rPr>
        <w:t xml:space="preserve"> 2023; 37(14):2415–2430.</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Kaur R, Sharma M, Kaur G. Hexadecanoic acid and its biological potential: Antioxidant, anti-inflammatory and antimicrobial properties. </w:t>
      </w:r>
      <w:r>
        <w:rPr>
          <w:rFonts w:ascii="Arial" w:hAnsi="Arial" w:cs="Arial"/>
          <w:i/>
          <w:iCs/>
        </w:rPr>
        <w:t>Journal of Ethnopharmacology.</w:t>
      </w:r>
      <w:r>
        <w:rPr>
          <w:rFonts w:ascii="Arial" w:hAnsi="Arial" w:cs="Arial"/>
        </w:rPr>
        <w:t xml:space="preserve"> 2023; 302:115867.</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Ren J, Shi Q, Tang Y, Gu M, Fan X. Amino acid derivatives and their role in mucosal healing and epithelial regeneration in gastrointestinal disease. </w:t>
      </w:r>
      <w:r>
        <w:rPr>
          <w:rFonts w:ascii="Arial" w:hAnsi="Arial" w:cs="Arial"/>
          <w:i/>
          <w:iCs/>
        </w:rPr>
        <w:t>Biomedicine and Pharmacotherapy.</w:t>
      </w:r>
      <w:r>
        <w:rPr>
          <w:rFonts w:ascii="Arial" w:hAnsi="Arial" w:cs="Arial"/>
        </w:rPr>
        <w:t xml:space="preserve"> 2022; 153:113321.</w:t>
      </w:r>
    </w:p>
    <w:p w:rsidR="0030517F" w:rsidRPr="00882ADA" w:rsidRDefault="0066650B" w:rsidP="00882ADA">
      <w:pPr>
        <w:pStyle w:val="Body"/>
        <w:numPr>
          <w:ilvl w:val="0"/>
          <w:numId w:val="4"/>
        </w:numPr>
        <w:spacing w:after="0"/>
        <w:rPr>
          <w:rFonts w:ascii="Arial" w:hAnsi="Arial" w:cs="Arial"/>
        </w:rPr>
      </w:pPr>
      <w:r>
        <w:rPr>
          <w:rFonts w:ascii="Arial" w:hAnsi="Arial" w:cs="Arial"/>
        </w:rPr>
        <w:t xml:space="preserve">Calder PC. Omega-3 fatty acids and inflammatory processes: Nutritional and pharmacological importance. </w:t>
      </w:r>
      <w:r>
        <w:rPr>
          <w:rFonts w:ascii="Arial" w:hAnsi="Arial" w:cs="Arial"/>
          <w:i/>
          <w:iCs/>
        </w:rPr>
        <w:t>Nutrients.</w:t>
      </w:r>
      <w:r>
        <w:rPr>
          <w:rFonts w:ascii="Arial" w:hAnsi="Arial" w:cs="Arial"/>
        </w:rPr>
        <w:t xml:space="preserve"> 2020; 12(5):1385.</w:t>
      </w:r>
    </w:p>
    <w:sectPr w:rsidR="0030517F" w:rsidRPr="00882ADA" w:rsidSect="00406640">
      <w:footerReference w:type="default" r:id="rId8"/>
      <w:pgSz w:w="12240" w:h="15840" w:code="1"/>
      <w:pgMar w:top="720" w:right="720" w:bottom="720" w:left="72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C3F" w:rsidRDefault="001B0C3F" w:rsidP="00C704DB">
      <w:pPr>
        <w:spacing w:after="0" w:line="240" w:lineRule="auto"/>
      </w:pPr>
      <w:r>
        <w:separator/>
      </w:r>
    </w:p>
  </w:endnote>
  <w:endnote w:type="continuationSeparator" w:id="1">
    <w:p w:rsidR="001B0C3F" w:rsidRDefault="001B0C3F" w:rsidP="00C70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7CF" w:rsidRPr="00C37E61" w:rsidRDefault="00C947CF" w:rsidP="002D3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C3F" w:rsidRDefault="001B0C3F" w:rsidP="00C704DB">
      <w:pPr>
        <w:spacing w:after="0" w:line="240" w:lineRule="auto"/>
      </w:pPr>
      <w:r>
        <w:separator/>
      </w:r>
    </w:p>
  </w:footnote>
  <w:footnote w:type="continuationSeparator" w:id="1">
    <w:p w:rsidR="001B0C3F" w:rsidRDefault="001B0C3F" w:rsidP="00C70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46F1"/>
    <w:multiLevelType w:val="multilevel"/>
    <w:tmpl w:val="9CB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C245B"/>
    <w:multiLevelType w:val="multilevel"/>
    <w:tmpl w:val="DAE05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96C2A"/>
    <w:multiLevelType w:val="multilevel"/>
    <w:tmpl w:val="92B6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34138"/>
    <w:multiLevelType w:val="multilevel"/>
    <w:tmpl w:val="7C04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23490"/>
    <w:multiLevelType w:val="multilevel"/>
    <w:tmpl w:val="5372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2D5B61"/>
    <w:multiLevelType w:val="multilevel"/>
    <w:tmpl w:val="BD2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D8718A"/>
    <w:multiLevelType w:val="multilevel"/>
    <w:tmpl w:val="190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B2F36"/>
    <w:multiLevelType w:val="multilevel"/>
    <w:tmpl w:val="CD2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AD4BB2"/>
    <w:multiLevelType w:val="hybridMultilevel"/>
    <w:tmpl w:val="9FD67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43426"/>
    <w:multiLevelType w:val="multilevel"/>
    <w:tmpl w:val="AD4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4A5DCB"/>
    <w:multiLevelType w:val="multilevel"/>
    <w:tmpl w:val="00D0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235022"/>
    <w:multiLevelType w:val="multilevel"/>
    <w:tmpl w:val="C970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AB5EB1"/>
    <w:multiLevelType w:val="multilevel"/>
    <w:tmpl w:val="E84C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B5A4E"/>
    <w:multiLevelType w:val="multilevel"/>
    <w:tmpl w:val="543E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6315B"/>
    <w:multiLevelType w:val="multilevel"/>
    <w:tmpl w:val="5D9C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9B0A0F"/>
    <w:multiLevelType w:val="multilevel"/>
    <w:tmpl w:val="3D5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1F7CF5"/>
    <w:multiLevelType w:val="multilevel"/>
    <w:tmpl w:val="2C366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E0310C"/>
    <w:multiLevelType w:val="multilevel"/>
    <w:tmpl w:val="9530C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933B2F"/>
    <w:multiLevelType w:val="multilevel"/>
    <w:tmpl w:val="7374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52203"/>
    <w:multiLevelType w:val="multilevel"/>
    <w:tmpl w:val="ECE2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7E0796"/>
    <w:multiLevelType w:val="hybridMultilevel"/>
    <w:tmpl w:val="2C10C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FBB06C2"/>
    <w:multiLevelType w:val="multilevel"/>
    <w:tmpl w:val="D308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D26476"/>
    <w:multiLevelType w:val="multilevel"/>
    <w:tmpl w:val="88D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097463"/>
    <w:multiLevelType w:val="multilevel"/>
    <w:tmpl w:val="9DC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E05286"/>
    <w:multiLevelType w:val="multilevel"/>
    <w:tmpl w:val="582636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6150FB"/>
    <w:multiLevelType w:val="multilevel"/>
    <w:tmpl w:val="0CCC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0D4CD9"/>
    <w:multiLevelType w:val="multilevel"/>
    <w:tmpl w:val="AB8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1F0961"/>
    <w:multiLevelType w:val="multilevel"/>
    <w:tmpl w:val="1B0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9D4FF1"/>
    <w:multiLevelType w:val="multilevel"/>
    <w:tmpl w:val="4164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A83F79"/>
    <w:multiLevelType w:val="multilevel"/>
    <w:tmpl w:val="70C0EEB2"/>
    <w:lvl w:ilvl="0">
      <w:start w:val="3"/>
      <w:numFmt w:val="decimal"/>
      <w:lvlText w:val="%1"/>
      <w:lvlJc w:val="left"/>
      <w:pPr>
        <w:ind w:left="480" w:hanging="480"/>
      </w:pPr>
      <w:rPr>
        <w:rFonts w:hint="default"/>
        <w:sz w:val="24"/>
      </w:rPr>
    </w:lvl>
    <w:lvl w:ilvl="1">
      <w:start w:val="2"/>
      <w:numFmt w:val="decimal"/>
      <w:lvlText w:val="%1.%2"/>
      <w:lvlJc w:val="left"/>
      <w:pPr>
        <w:ind w:left="480" w:hanging="480"/>
      </w:pPr>
      <w:rPr>
        <w:rFonts w:hint="default"/>
        <w:sz w:val="24"/>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0">
    <w:nsid w:val="6A062760"/>
    <w:multiLevelType w:val="multilevel"/>
    <w:tmpl w:val="979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AB4929"/>
    <w:multiLevelType w:val="multilevel"/>
    <w:tmpl w:val="EDE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nsid w:val="78FD5104"/>
    <w:multiLevelType w:val="multilevel"/>
    <w:tmpl w:val="BB1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816339"/>
    <w:multiLevelType w:val="multilevel"/>
    <w:tmpl w:val="847A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860B14"/>
    <w:multiLevelType w:val="hybridMultilevel"/>
    <w:tmpl w:val="B702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0"/>
  </w:num>
  <w:num w:numId="3">
    <w:abstractNumId w:val="5"/>
  </w:num>
  <w:num w:numId="4">
    <w:abstractNumId w:val="21"/>
  </w:num>
  <w:num w:numId="5">
    <w:abstractNumId w:val="11"/>
  </w:num>
  <w:num w:numId="6">
    <w:abstractNumId w:val="34"/>
  </w:num>
  <w:num w:numId="7">
    <w:abstractNumId w:val="22"/>
  </w:num>
  <w:num w:numId="8">
    <w:abstractNumId w:val="0"/>
  </w:num>
  <w:num w:numId="9">
    <w:abstractNumId w:val="30"/>
  </w:num>
  <w:num w:numId="10">
    <w:abstractNumId w:val="33"/>
  </w:num>
  <w:num w:numId="11">
    <w:abstractNumId w:val="3"/>
  </w:num>
  <w:num w:numId="12">
    <w:abstractNumId w:val="23"/>
  </w:num>
  <w:num w:numId="13">
    <w:abstractNumId w:val="10"/>
  </w:num>
  <w:num w:numId="14">
    <w:abstractNumId w:val="27"/>
  </w:num>
  <w:num w:numId="15">
    <w:abstractNumId w:val="7"/>
  </w:num>
  <w:num w:numId="16">
    <w:abstractNumId w:val="6"/>
  </w:num>
  <w:num w:numId="17">
    <w:abstractNumId w:val="13"/>
  </w:num>
  <w:num w:numId="18">
    <w:abstractNumId w:val="26"/>
  </w:num>
  <w:num w:numId="19">
    <w:abstractNumId w:val="4"/>
  </w:num>
  <w:num w:numId="20">
    <w:abstractNumId w:val="14"/>
  </w:num>
  <w:num w:numId="21">
    <w:abstractNumId w:val="15"/>
  </w:num>
  <w:num w:numId="22">
    <w:abstractNumId w:val="19"/>
  </w:num>
  <w:num w:numId="23">
    <w:abstractNumId w:val="25"/>
  </w:num>
  <w:num w:numId="24">
    <w:abstractNumId w:val="18"/>
  </w:num>
  <w:num w:numId="25">
    <w:abstractNumId w:val="9"/>
  </w:num>
  <w:num w:numId="26">
    <w:abstractNumId w:val="31"/>
  </w:num>
  <w:num w:numId="27">
    <w:abstractNumId w:val="12"/>
  </w:num>
  <w:num w:numId="28">
    <w:abstractNumId w:val="2"/>
  </w:num>
  <w:num w:numId="29">
    <w:abstractNumId w:val="28"/>
  </w:num>
  <w:num w:numId="30">
    <w:abstractNumId w:val="17"/>
  </w:num>
  <w:num w:numId="31">
    <w:abstractNumId w:val="1"/>
  </w:num>
  <w:num w:numId="32">
    <w:abstractNumId w:val="16"/>
  </w:num>
  <w:num w:numId="33">
    <w:abstractNumId w:val="24"/>
  </w:num>
  <w:num w:numId="34">
    <w:abstractNumId w:val="29"/>
  </w:num>
  <w:num w:numId="35">
    <w:abstractNumId w:val="8"/>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30CE7"/>
    <w:rsid w:val="00031986"/>
    <w:rsid w:val="00045FEF"/>
    <w:rsid w:val="00080963"/>
    <w:rsid w:val="000815B3"/>
    <w:rsid w:val="000D0E68"/>
    <w:rsid w:val="00122935"/>
    <w:rsid w:val="00130AEF"/>
    <w:rsid w:val="001344DD"/>
    <w:rsid w:val="001B0C3F"/>
    <w:rsid w:val="001B4E55"/>
    <w:rsid w:val="001C1780"/>
    <w:rsid w:val="001E6B70"/>
    <w:rsid w:val="001F075E"/>
    <w:rsid w:val="00206CBE"/>
    <w:rsid w:val="00263494"/>
    <w:rsid w:val="002B1781"/>
    <w:rsid w:val="002D33B2"/>
    <w:rsid w:val="0030517F"/>
    <w:rsid w:val="00310037"/>
    <w:rsid w:val="00311A5A"/>
    <w:rsid w:val="003B3BD5"/>
    <w:rsid w:val="003C701F"/>
    <w:rsid w:val="00406640"/>
    <w:rsid w:val="004144D2"/>
    <w:rsid w:val="00452AEC"/>
    <w:rsid w:val="00456D7C"/>
    <w:rsid w:val="004641FB"/>
    <w:rsid w:val="004776B3"/>
    <w:rsid w:val="004D7C93"/>
    <w:rsid w:val="004F6C40"/>
    <w:rsid w:val="004F722F"/>
    <w:rsid w:val="00554764"/>
    <w:rsid w:val="005573D9"/>
    <w:rsid w:val="00576008"/>
    <w:rsid w:val="005830AF"/>
    <w:rsid w:val="00660028"/>
    <w:rsid w:val="0066650B"/>
    <w:rsid w:val="00674BD8"/>
    <w:rsid w:val="006824E9"/>
    <w:rsid w:val="00697BEA"/>
    <w:rsid w:val="006E4D8B"/>
    <w:rsid w:val="006F1FF6"/>
    <w:rsid w:val="007238A4"/>
    <w:rsid w:val="00730CE7"/>
    <w:rsid w:val="0076763E"/>
    <w:rsid w:val="00776DA2"/>
    <w:rsid w:val="007A31A7"/>
    <w:rsid w:val="007B0B93"/>
    <w:rsid w:val="008342CF"/>
    <w:rsid w:val="00882ADA"/>
    <w:rsid w:val="00884FCE"/>
    <w:rsid w:val="00891282"/>
    <w:rsid w:val="008A1E67"/>
    <w:rsid w:val="008B4797"/>
    <w:rsid w:val="008D4F35"/>
    <w:rsid w:val="00905555"/>
    <w:rsid w:val="00914A7F"/>
    <w:rsid w:val="00935AD4"/>
    <w:rsid w:val="0095012C"/>
    <w:rsid w:val="009A068F"/>
    <w:rsid w:val="009C29D9"/>
    <w:rsid w:val="00A20486"/>
    <w:rsid w:val="00A35037"/>
    <w:rsid w:val="00A3660D"/>
    <w:rsid w:val="00A5160F"/>
    <w:rsid w:val="00A824CC"/>
    <w:rsid w:val="00A84EA5"/>
    <w:rsid w:val="00A876F5"/>
    <w:rsid w:val="00AD4874"/>
    <w:rsid w:val="00AE7ACF"/>
    <w:rsid w:val="00AF51A2"/>
    <w:rsid w:val="00B15D67"/>
    <w:rsid w:val="00B16ADA"/>
    <w:rsid w:val="00B23856"/>
    <w:rsid w:val="00B4624F"/>
    <w:rsid w:val="00B761A8"/>
    <w:rsid w:val="00BB0886"/>
    <w:rsid w:val="00BD228A"/>
    <w:rsid w:val="00BE22E4"/>
    <w:rsid w:val="00BF4566"/>
    <w:rsid w:val="00BF687D"/>
    <w:rsid w:val="00C704DB"/>
    <w:rsid w:val="00C904C2"/>
    <w:rsid w:val="00C947CF"/>
    <w:rsid w:val="00CD24C0"/>
    <w:rsid w:val="00CD7ED9"/>
    <w:rsid w:val="00D76777"/>
    <w:rsid w:val="00DC5EBE"/>
    <w:rsid w:val="00E27563"/>
    <w:rsid w:val="00E73DE1"/>
    <w:rsid w:val="00EF12D6"/>
    <w:rsid w:val="00F01F6F"/>
    <w:rsid w:val="00F26472"/>
    <w:rsid w:val="00F41E64"/>
    <w:rsid w:val="00F83DBD"/>
    <w:rsid w:val="00F901C8"/>
    <w:rsid w:val="00FB3AC4"/>
    <w:rsid w:val="00FE44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DB"/>
  </w:style>
  <w:style w:type="paragraph" w:styleId="Heading1">
    <w:name w:val="heading 1"/>
    <w:basedOn w:val="Normal"/>
    <w:next w:val="Normal"/>
    <w:link w:val="Heading1Char"/>
    <w:uiPriority w:val="9"/>
    <w:qFormat/>
    <w:rsid w:val="00206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90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0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01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30CE7"/>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30CE7"/>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730CE7"/>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730CE7"/>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730CE7"/>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730CE7"/>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730CE7"/>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730CE7"/>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730CE7"/>
    <w:pPr>
      <w:spacing w:after="960" w:line="200" w:lineRule="exact"/>
    </w:pPr>
    <w:rPr>
      <w:rFonts w:ascii="Helvetica" w:eastAsia="Times New Roman" w:hAnsi="Helvetica" w:cs="Times New Roman"/>
      <w:sz w:val="16"/>
      <w:szCs w:val="20"/>
    </w:rPr>
  </w:style>
  <w:style w:type="paragraph" w:customStyle="1" w:styleId="Reference">
    <w:name w:val="Reference"/>
    <w:basedOn w:val="Body"/>
    <w:rsid w:val="00730CE7"/>
    <w:pPr>
      <w:numPr>
        <w:numId w:val="1"/>
      </w:numPr>
      <w:spacing w:after="0" w:line="240" w:lineRule="exact"/>
    </w:pPr>
  </w:style>
  <w:style w:type="paragraph" w:customStyle="1" w:styleId="Head1">
    <w:name w:val="Head1"/>
    <w:basedOn w:val="Normal"/>
    <w:rsid w:val="00730CE7"/>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730CE7"/>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730CE7"/>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730CE7"/>
    <w:rPr>
      <w:rFonts w:ascii="Helvetica" w:eastAsia="Times New Roman" w:hAnsi="Helvetica" w:cs="Times New Roman"/>
      <w:sz w:val="20"/>
      <w:szCs w:val="20"/>
    </w:rPr>
  </w:style>
  <w:style w:type="paragraph" w:styleId="Header">
    <w:name w:val="header"/>
    <w:basedOn w:val="Normal"/>
    <w:link w:val="HeaderChar"/>
    <w:rsid w:val="00730CE7"/>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730CE7"/>
    <w:rPr>
      <w:rFonts w:ascii="Helvetica" w:eastAsia="Times New Roman" w:hAnsi="Helvetica" w:cs="Times New Roman"/>
      <w:sz w:val="20"/>
      <w:szCs w:val="20"/>
    </w:rPr>
  </w:style>
  <w:style w:type="character" w:styleId="Hyperlink">
    <w:name w:val="Hyperlink"/>
    <w:basedOn w:val="DefaultParagraphFont"/>
    <w:rsid w:val="00730CE7"/>
    <w:rPr>
      <w:color w:val="FF0080"/>
      <w:u w:val="single"/>
    </w:rPr>
  </w:style>
  <w:style w:type="table" w:styleId="TableGrid">
    <w:name w:val="Table Grid"/>
    <w:basedOn w:val="TableNormal"/>
    <w:uiPriority w:val="59"/>
    <w:rsid w:val="00730CE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rsid w:val="00730CE7"/>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730CE7"/>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730CE7"/>
  </w:style>
  <w:style w:type="character" w:customStyle="1" w:styleId="Heading2Char">
    <w:name w:val="Heading 2 Char"/>
    <w:basedOn w:val="DefaultParagraphFont"/>
    <w:link w:val="Heading2"/>
    <w:uiPriority w:val="9"/>
    <w:rsid w:val="00F901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01C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01C8"/>
    <w:rPr>
      <w:rFonts w:ascii="Times New Roman" w:eastAsia="Times New Roman" w:hAnsi="Times New Roman" w:cs="Times New Roman"/>
      <w:b/>
      <w:bCs/>
      <w:sz w:val="24"/>
      <w:szCs w:val="24"/>
    </w:rPr>
  </w:style>
  <w:style w:type="character" w:styleId="Strong">
    <w:name w:val="Strong"/>
    <w:basedOn w:val="DefaultParagraphFont"/>
    <w:uiPriority w:val="22"/>
    <w:qFormat/>
    <w:rsid w:val="00F901C8"/>
    <w:rPr>
      <w:b/>
      <w:bCs/>
    </w:rPr>
  </w:style>
  <w:style w:type="character" w:styleId="Emphasis">
    <w:name w:val="Emphasis"/>
    <w:basedOn w:val="DefaultParagraphFont"/>
    <w:uiPriority w:val="20"/>
    <w:qFormat/>
    <w:rsid w:val="00F901C8"/>
    <w:rPr>
      <w:i/>
      <w:iCs/>
    </w:rPr>
  </w:style>
  <w:style w:type="paragraph" w:styleId="NormalWeb">
    <w:name w:val="Normal (Web)"/>
    <w:basedOn w:val="Normal"/>
    <w:uiPriority w:val="99"/>
    <w:semiHidden/>
    <w:unhideWhenUsed/>
    <w:rsid w:val="00F901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44DD"/>
    <w:pPr>
      <w:ind w:left="720"/>
      <w:contextualSpacing/>
    </w:pPr>
  </w:style>
  <w:style w:type="character" w:customStyle="1" w:styleId="Heading1Char">
    <w:name w:val="Heading 1 Char"/>
    <w:basedOn w:val="DefaultParagraphFont"/>
    <w:link w:val="Heading1"/>
    <w:uiPriority w:val="9"/>
    <w:rsid w:val="00206CB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600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7666665">
      <w:bodyDiv w:val="1"/>
      <w:marLeft w:val="0"/>
      <w:marRight w:val="0"/>
      <w:marTop w:val="0"/>
      <w:marBottom w:val="0"/>
      <w:divBdr>
        <w:top w:val="none" w:sz="0" w:space="0" w:color="auto"/>
        <w:left w:val="none" w:sz="0" w:space="0" w:color="auto"/>
        <w:bottom w:val="none" w:sz="0" w:space="0" w:color="auto"/>
        <w:right w:val="none" w:sz="0" w:space="0" w:color="auto"/>
      </w:divBdr>
    </w:div>
    <w:div w:id="354817164">
      <w:bodyDiv w:val="1"/>
      <w:marLeft w:val="0"/>
      <w:marRight w:val="0"/>
      <w:marTop w:val="0"/>
      <w:marBottom w:val="0"/>
      <w:divBdr>
        <w:top w:val="none" w:sz="0" w:space="0" w:color="auto"/>
        <w:left w:val="none" w:sz="0" w:space="0" w:color="auto"/>
        <w:bottom w:val="none" w:sz="0" w:space="0" w:color="auto"/>
        <w:right w:val="none" w:sz="0" w:space="0" w:color="auto"/>
      </w:divBdr>
    </w:div>
    <w:div w:id="406535037">
      <w:bodyDiv w:val="1"/>
      <w:marLeft w:val="0"/>
      <w:marRight w:val="0"/>
      <w:marTop w:val="0"/>
      <w:marBottom w:val="0"/>
      <w:divBdr>
        <w:top w:val="none" w:sz="0" w:space="0" w:color="auto"/>
        <w:left w:val="none" w:sz="0" w:space="0" w:color="auto"/>
        <w:bottom w:val="none" w:sz="0" w:space="0" w:color="auto"/>
        <w:right w:val="none" w:sz="0" w:space="0" w:color="auto"/>
      </w:divBdr>
    </w:div>
    <w:div w:id="16816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5EBB5-9D60-4C85-BF09-24910A41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4991</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56</cp:revision>
  <dcterms:created xsi:type="dcterms:W3CDTF">2026-03-25T09:06:00Z</dcterms:created>
  <dcterms:modified xsi:type="dcterms:W3CDTF">2026-05-09T10:24:00Z</dcterms:modified>
</cp:coreProperties>
</file>