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chart3.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4.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5.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6.xml" ContentType="application/vnd.openxmlformats-officedocument.drawingml.chart+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9186E2" w14:textId="0D713972" w:rsidR="00BF1860" w:rsidRPr="009D7C89" w:rsidRDefault="00BF1860" w:rsidP="009D7C89">
      <w:pPr>
        <w:spacing w:line="240" w:lineRule="auto"/>
        <w:jc w:val="center"/>
        <w:rPr>
          <w:rFonts w:ascii="Times New Roman" w:hAnsi="Times New Roman" w:cs="Times New Roman"/>
        </w:rPr>
      </w:pPr>
      <w:r w:rsidRPr="009D7C89">
        <w:rPr>
          <w:rFonts w:ascii="Times New Roman" w:hAnsi="Times New Roman" w:cs="Times New Roman"/>
          <w:b/>
          <w:sz w:val="28"/>
          <w:szCs w:val="28"/>
        </w:rPr>
        <w:t>Air Quality and Microbial Contamination of Hospital Environments in Warri and Its Environs</w:t>
      </w:r>
    </w:p>
    <w:p w14:paraId="76C9E543" w14:textId="3A6D31E1" w:rsidR="008E3723" w:rsidRDefault="008E3723" w:rsidP="00BF1860">
      <w:pPr>
        <w:spacing w:line="240" w:lineRule="auto"/>
        <w:rPr>
          <w:rFonts w:ascii="Times New Roman" w:hAnsi="Times New Roman" w:cs="Times New Roman"/>
          <w:iCs/>
          <w:sz w:val="20"/>
          <w:szCs w:val="20"/>
        </w:rPr>
      </w:pPr>
    </w:p>
    <w:p w14:paraId="0A1F4601" w14:textId="77777777" w:rsidR="008E3723" w:rsidRDefault="008E3723" w:rsidP="00BF1860">
      <w:pPr>
        <w:spacing w:line="240" w:lineRule="auto"/>
        <w:rPr>
          <w:rFonts w:ascii="Times New Roman" w:hAnsi="Times New Roman" w:cs="Times New Roman"/>
          <w:iCs/>
          <w:sz w:val="20"/>
          <w:szCs w:val="20"/>
        </w:rPr>
      </w:pPr>
    </w:p>
    <w:p w14:paraId="0925FC7C" w14:textId="77777777" w:rsidR="009D7C89" w:rsidRPr="00C135E6" w:rsidRDefault="009D7C89" w:rsidP="009D7C89">
      <w:pPr>
        <w:spacing w:line="240" w:lineRule="auto"/>
        <w:ind w:right="-30"/>
        <w:jc w:val="center"/>
        <w:rPr>
          <w:rFonts w:ascii="Times New Roman" w:hAnsi="Times New Roman"/>
          <w:b/>
          <w:i/>
          <w:iCs/>
        </w:rPr>
      </w:pPr>
      <w:r w:rsidRPr="00A51DA8">
        <w:rPr>
          <w:rFonts w:ascii="Times New Roman" w:hAnsi="Times New Roman"/>
          <w:b/>
        </w:rPr>
        <w:t>ABSTRACT</w:t>
      </w:r>
    </w:p>
    <w:p w14:paraId="1153CBC2" w14:textId="77777777" w:rsidR="009D7C89" w:rsidRPr="009D7C89" w:rsidRDefault="009D7C89" w:rsidP="009D7C89">
      <w:pPr>
        <w:spacing w:before="240" w:line="240" w:lineRule="auto"/>
        <w:ind w:right="-30"/>
        <w:contextualSpacing/>
        <w:jc w:val="both"/>
        <w:rPr>
          <w:rFonts w:ascii="Times New Roman" w:hAnsi="Times New Roman" w:cs="Times New Roman"/>
          <w:sz w:val="24"/>
          <w:szCs w:val="24"/>
        </w:rPr>
      </w:pPr>
      <w:r w:rsidRPr="009D7C89">
        <w:rPr>
          <w:rFonts w:ascii="Times New Roman" w:hAnsi="Times New Roman" w:cs="Times New Roman"/>
          <w:sz w:val="24"/>
          <w:szCs w:val="24"/>
        </w:rPr>
        <w:t>The quality of air in healthcare environments has become a major public health concern globally, particularly as it relates to the transmission of airborne diseases and hospital-acquired infections (HAIs). The study assessed the microbial contamination and air quality of selected hospital environments in Warri and its environs, with a focus on identifying the types and concentrations of airborne microorganisms, to determine their compliance with World Health Organization (WHO), National Environmental Standards and Regulations Enforcement Agency (NESREA), and Standards Organization of Nigeria (SON) guidelines. Airborne pollutants such as particulate matters (PM2.5 and PM10), carbon dioxide (CO</w:t>
      </w:r>
      <w:r w:rsidRPr="009D7C89">
        <w:rPr>
          <w:rFonts w:ascii="Times New Roman" w:hAnsi="Times New Roman" w:cs="Times New Roman"/>
          <w:sz w:val="24"/>
          <w:szCs w:val="24"/>
          <w:vertAlign w:val="subscript"/>
        </w:rPr>
        <w:t>2</w:t>
      </w:r>
      <w:r w:rsidRPr="009D7C89">
        <w:rPr>
          <w:rFonts w:ascii="Times New Roman" w:hAnsi="Times New Roman" w:cs="Times New Roman"/>
          <w:sz w:val="24"/>
          <w:szCs w:val="24"/>
        </w:rPr>
        <w:t>), volatile organic compounds (VOCs), methane (CH</w:t>
      </w:r>
      <w:r w:rsidRPr="009D7C89">
        <w:rPr>
          <w:rFonts w:ascii="Times New Roman" w:hAnsi="Times New Roman" w:cs="Times New Roman"/>
          <w:sz w:val="24"/>
          <w:szCs w:val="24"/>
          <w:vertAlign w:val="subscript"/>
        </w:rPr>
        <w:t>4</w:t>
      </w:r>
      <w:r w:rsidRPr="009D7C89">
        <w:rPr>
          <w:rFonts w:ascii="Times New Roman" w:hAnsi="Times New Roman" w:cs="Times New Roman"/>
          <w:sz w:val="24"/>
          <w:szCs w:val="24"/>
        </w:rPr>
        <w:t xml:space="preserve">), and microbial contaminants were measured using </w:t>
      </w:r>
      <w:proofErr w:type="spellStart"/>
      <w:r w:rsidRPr="009D7C89">
        <w:rPr>
          <w:rFonts w:ascii="Times New Roman" w:hAnsi="Times New Roman" w:cs="Times New Roman"/>
          <w:sz w:val="24"/>
          <w:szCs w:val="24"/>
        </w:rPr>
        <w:t>Aeroqual</w:t>
      </w:r>
      <w:proofErr w:type="spellEnd"/>
      <w:r w:rsidRPr="009D7C89">
        <w:rPr>
          <w:rFonts w:ascii="Times New Roman" w:hAnsi="Times New Roman" w:cs="Times New Roman"/>
          <w:sz w:val="24"/>
          <w:szCs w:val="24"/>
        </w:rPr>
        <w:t xml:space="preserve"> Series 500 monitors and passive culture plate exposure respectively. Results revealed elevated indoor temperatures (29.1°C–32.8°C) and poor ventilation in several departments, especially administrative and emergency units, which corresponded with higher pollutant levels. Hazardous levels of methane (up to 4381 ppm) and VOCs (up to 9458 ppm) were detected, far exceeding recommended indoor limits. Bacterial and fungal analyses identified </w:t>
      </w:r>
      <w:r w:rsidRPr="009D7C89">
        <w:rPr>
          <w:rStyle w:val="Emphasis"/>
          <w:rFonts w:ascii="Times New Roman" w:hAnsi="Times New Roman" w:cs="Times New Roman"/>
          <w:sz w:val="24"/>
          <w:szCs w:val="24"/>
        </w:rPr>
        <w:t xml:space="preserve">Bacillus </w:t>
      </w:r>
      <w:r w:rsidRPr="004B4AA3">
        <w:rPr>
          <w:rStyle w:val="Emphasis"/>
          <w:rFonts w:ascii="Times New Roman" w:hAnsi="Times New Roman" w:cs="Times New Roman"/>
          <w:i w:val="0"/>
          <w:sz w:val="24"/>
          <w:szCs w:val="24"/>
        </w:rPr>
        <w:t>spp</w:t>
      </w:r>
      <w:r w:rsidRPr="009D7C89">
        <w:rPr>
          <w:rStyle w:val="Emphasis"/>
          <w:rFonts w:ascii="Times New Roman" w:hAnsi="Times New Roman" w:cs="Times New Roman"/>
          <w:sz w:val="24"/>
          <w:szCs w:val="24"/>
        </w:rPr>
        <w:t>.</w:t>
      </w:r>
      <w:r w:rsidRPr="009D7C89">
        <w:rPr>
          <w:rFonts w:ascii="Times New Roman" w:hAnsi="Times New Roman" w:cs="Times New Roman"/>
          <w:sz w:val="24"/>
          <w:szCs w:val="24"/>
        </w:rPr>
        <w:t xml:space="preserve">, </w:t>
      </w:r>
      <w:r w:rsidRPr="009D7C89">
        <w:rPr>
          <w:rStyle w:val="Emphasis"/>
          <w:rFonts w:ascii="Times New Roman" w:hAnsi="Times New Roman" w:cs="Times New Roman"/>
          <w:sz w:val="24"/>
          <w:szCs w:val="24"/>
        </w:rPr>
        <w:t>Staphylococcus aureus</w:t>
      </w:r>
      <w:r w:rsidRPr="009D7C89">
        <w:rPr>
          <w:rFonts w:ascii="Times New Roman" w:hAnsi="Times New Roman" w:cs="Times New Roman"/>
          <w:sz w:val="24"/>
          <w:szCs w:val="24"/>
        </w:rPr>
        <w:t xml:space="preserve">, </w:t>
      </w:r>
      <w:r w:rsidRPr="009D7C89">
        <w:rPr>
          <w:rStyle w:val="Emphasis"/>
          <w:rFonts w:ascii="Times New Roman" w:hAnsi="Times New Roman" w:cs="Times New Roman"/>
          <w:sz w:val="24"/>
          <w:szCs w:val="24"/>
        </w:rPr>
        <w:t>Proteus mirabilis</w:t>
      </w:r>
      <w:r w:rsidRPr="009D7C89">
        <w:rPr>
          <w:rFonts w:ascii="Times New Roman" w:hAnsi="Times New Roman" w:cs="Times New Roman"/>
          <w:sz w:val="24"/>
          <w:szCs w:val="24"/>
        </w:rPr>
        <w:t xml:space="preserve">, </w:t>
      </w:r>
      <w:r w:rsidRPr="009D7C89">
        <w:rPr>
          <w:rStyle w:val="Emphasis"/>
          <w:rFonts w:ascii="Times New Roman" w:hAnsi="Times New Roman" w:cs="Times New Roman"/>
          <w:sz w:val="24"/>
          <w:szCs w:val="24"/>
        </w:rPr>
        <w:t xml:space="preserve">Enterobacter </w:t>
      </w:r>
      <w:r w:rsidRPr="004B4AA3">
        <w:rPr>
          <w:rStyle w:val="Emphasis"/>
          <w:rFonts w:ascii="Times New Roman" w:hAnsi="Times New Roman" w:cs="Times New Roman"/>
          <w:i w:val="0"/>
          <w:sz w:val="24"/>
          <w:szCs w:val="24"/>
        </w:rPr>
        <w:t>spp</w:t>
      </w:r>
      <w:r w:rsidRPr="009D7C89">
        <w:rPr>
          <w:rStyle w:val="Emphasis"/>
          <w:rFonts w:ascii="Times New Roman" w:hAnsi="Times New Roman" w:cs="Times New Roman"/>
          <w:sz w:val="24"/>
          <w:szCs w:val="24"/>
        </w:rPr>
        <w:t>.</w:t>
      </w:r>
      <w:r w:rsidRPr="009D7C89">
        <w:rPr>
          <w:rFonts w:ascii="Times New Roman" w:hAnsi="Times New Roman" w:cs="Times New Roman"/>
          <w:sz w:val="24"/>
          <w:szCs w:val="24"/>
        </w:rPr>
        <w:t xml:space="preserve">, and airborne fungi such as </w:t>
      </w:r>
      <w:r w:rsidRPr="009D7C89">
        <w:rPr>
          <w:rStyle w:val="Emphasis"/>
          <w:rFonts w:ascii="Times New Roman" w:hAnsi="Times New Roman" w:cs="Times New Roman"/>
          <w:sz w:val="24"/>
          <w:szCs w:val="24"/>
        </w:rPr>
        <w:t xml:space="preserve">Aspergillus </w:t>
      </w:r>
      <w:proofErr w:type="spellStart"/>
      <w:r w:rsidRPr="009D7C89">
        <w:rPr>
          <w:rStyle w:val="Emphasis"/>
          <w:rFonts w:ascii="Times New Roman" w:hAnsi="Times New Roman" w:cs="Times New Roman"/>
          <w:sz w:val="24"/>
          <w:szCs w:val="24"/>
        </w:rPr>
        <w:t>niger</w:t>
      </w:r>
      <w:proofErr w:type="spellEnd"/>
      <w:r w:rsidRPr="009D7C89">
        <w:rPr>
          <w:rFonts w:ascii="Times New Roman" w:hAnsi="Times New Roman" w:cs="Times New Roman"/>
          <w:sz w:val="24"/>
          <w:szCs w:val="24"/>
        </w:rPr>
        <w:t xml:space="preserve">, </w:t>
      </w:r>
      <w:r w:rsidRPr="009D7C89">
        <w:rPr>
          <w:rStyle w:val="Emphasis"/>
          <w:rFonts w:ascii="Times New Roman" w:hAnsi="Times New Roman" w:cs="Times New Roman"/>
          <w:sz w:val="24"/>
          <w:szCs w:val="24"/>
        </w:rPr>
        <w:t xml:space="preserve">Alternaria </w:t>
      </w:r>
      <w:r w:rsidRPr="004B4AA3">
        <w:rPr>
          <w:rStyle w:val="Emphasis"/>
          <w:rFonts w:ascii="Times New Roman" w:hAnsi="Times New Roman" w:cs="Times New Roman"/>
          <w:i w:val="0"/>
          <w:sz w:val="24"/>
          <w:szCs w:val="24"/>
        </w:rPr>
        <w:t>spp</w:t>
      </w:r>
      <w:r w:rsidRPr="009D7C89">
        <w:rPr>
          <w:rStyle w:val="Emphasis"/>
          <w:rFonts w:ascii="Times New Roman" w:hAnsi="Times New Roman" w:cs="Times New Roman"/>
          <w:sz w:val="24"/>
          <w:szCs w:val="24"/>
        </w:rPr>
        <w:t>.</w:t>
      </w:r>
      <w:r w:rsidRPr="009D7C89">
        <w:rPr>
          <w:rFonts w:ascii="Times New Roman" w:hAnsi="Times New Roman" w:cs="Times New Roman"/>
          <w:sz w:val="24"/>
          <w:szCs w:val="24"/>
        </w:rPr>
        <w:t xml:space="preserve">, and </w:t>
      </w:r>
      <w:r w:rsidRPr="009D7C89">
        <w:rPr>
          <w:rStyle w:val="Emphasis"/>
          <w:rFonts w:ascii="Times New Roman" w:hAnsi="Times New Roman" w:cs="Times New Roman"/>
          <w:sz w:val="24"/>
          <w:szCs w:val="24"/>
        </w:rPr>
        <w:t xml:space="preserve">Rhizopus </w:t>
      </w:r>
      <w:r w:rsidRPr="004B4AA3">
        <w:rPr>
          <w:rStyle w:val="Emphasis"/>
          <w:rFonts w:ascii="Times New Roman" w:hAnsi="Times New Roman" w:cs="Times New Roman"/>
          <w:i w:val="0"/>
          <w:sz w:val="24"/>
          <w:szCs w:val="24"/>
        </w:rPr>
        <w:t>spp</w:t>
      </w:r>
      <w:r w:rsidRPr="009D7C89">
        <w:rPr>
          <w:rStyle w:val="Emphasis"/>
          <w:rFonts w:ascii="Times New Roman" w:hAnsi="Times New Roman" w:cs="Times New Roman"/>
          <w:sz w:val="24"/>
          <w:szCs w:val="24"/>
        </w:rPr>
        <w:t>.</w:t>
      </w:r>
      <w:r w:rsidRPr="009D7C89">
        <w:rPr>
          <w:rFonts w:ascii="Times New Roman" w:hAnsi="Times New Roman" w:cs="Times New Roman"/>
          <w:sz w:val="24"/>
          <w:szCs w:val="24"/>
        </w:rPr>
        <w:t xml:space="preserve"> The study established a positive correlation between poor indoor air quality indicators and elevated microbial loads, suggesting a significant risk for hospital-acquired infections (HAIs). These findings highlight the urgent need for continuous air monitoring, improved Heating, Ventilation and Air Conditioning (HVAC) systems, and targeted interventions such as High-Efficiency Particulate Air (HEPA) filtration and microbial surveillance, particularly in high-risk zones.</w:t>
      </w:r>
    </w:p>
    <w:p w14:paraId="56BC997B" w14:textId="77777777" w:rsidR="009D7C89" w:rsidRDefault="009D7C89" w:rsidP="009D7C89">
      <w:pPr>
        <w:spacing w:before="240" w:line="240" w:lineRule="auto"/>
        <w:ind w:right="-30"/>
        <w:contextualSpacing/>
        <w:jc w:val="both"/>
        <w:rPr>
          <w:sz w:val="20"/>
          <w:szCs w:val="20"/>
        </w:rPr>
      </w:pPr>
    </w:p>
    <w:p w14:paraId="1B6A6A7F" w14:textId="5B679F3F" w:rsidR="009D7C89" w:rsidRPr="009D7C89" w:rsidRDefault="009D7C89" w:rsidP="009D7C89">
      <w:pPr>
        <w:spacing w:after="160" w:line="259" w:lineRule="auto"/>
        <w:rPr>
          <w:rFonts w:ascii="Times New Roman" w:hAnsi="Times New Roman" w:cs="Times New Roman"/>
          <w:sz w:val="24"/>
          <w:szCs w:val="24"/>
        </w:rPr>
      </w:pPr>
      <w:r w:rsidRPr="009D7C89">
        <w:rPr>
          <w:rFonts w:ascii="Times New Roman" w:hAnsi="Times New Roman" w:cs="Times New Roman"/>
          <w:b/>
          <w:sz w:val="24"/>
          <w:szCs w:val="24"/>
        </w:rPr>
        <w:t>Keywords:</w:t>
      </w:r>
      <w:r>
        <w:rPr>
          <w:rFonts w:ascii="Times New Roman" w:hAnsi="Times New Roman" w:cs="Times New Roman"/>
          <w:sz w:val="20"/>
          <w:szCs w:val="20"/>
        </w:rPr>
        <w:t xml:space="preserve"> </w:t>
      </w:r>
      <w:r w:rsidRPr="009D7C89">
        <w:rPr>
          <w:rFonts w:ascii="Times New Roman" w:hAnsi="Times New Roman" w:cs="Times New Roman"/>
          <w:b/>
          <w:bCs/>
          <w:sz w:val="24"/>
          <w:szCs w:val="24"/>
        </w:rPr>
        <w:t>Indoor Air Quality (IAQ)</w:t>
      </w:r>
      <w:r w:rsidRPr="009D7C89">
        <w:rPr>
          <w:rFonts w:ascii="Times New Roman" w:hAnsi="Times New Roman" w:cs="Times New Roman"/>
          <w:sz w:val="24"/>
          <w:szCs w:val="24"/>
        </w:rPr>
        <w:t xml:space="preserve">, </w:t>
      </w:r>
      <w:r w:rsidRPr="009D7C89">
        <w:rPr>
          <w:rFonts w:ascii="Times New Roman" w:hAnsi="Times New Roman" w:cs="Times New Roman"/>
          <w:b/>
          <w:bCs/>
          <w:sz w:val="24"/>
          <w:szCs w:val="24"/>
        </w:rPr>
        <w:t>Microbial Contamination</w:t>
      </w:r>
      <w:r w:rsidRPr="009D7C89">
        <w:rPr>
          <w:rFonts w:ascii="Times New Roman" w:hAnsi="Times New Roman" w:cs="Times New Roman"/>
          <w:sz w:val="24"/>
          <w:szCs w:val="24"/>
        </w:rPr>
        <w:t xml:space="preserve">, </w:t>
      </w:r>
      <w:r w:rsidRPr="009D7C89">
        <w:rPr>
          <w:rFonts w:ascii="Times New Roman" w:hAnsi="Times New Roman" w:cs="Times New Roman"/>
          <w:b/>
          <w:bCs/>
          <w:sz w:val="24"/>
          <w:szCs w:val="24"/>
        </w:rPr>
        <w:t>Hospital Environments</w:t>
      </w:r>
      <w:r w:rsidRPr="009D7C89">
        <w:rPr>
          <w:rFonts w:ascii="Times New Roman" w:hAnsi="Times New Roman" w:cs="Times New Roman"/>
          <w:sz w:val="24"/>
          <w:szCs w:val="24"/>
        </w:rPr>
        <w:t xml:space="preserve">, </w:t>
      </w:r>
      <w:r w:rsidRPr="009D7C89">
        <w:rPr>
          <w:rFonts w:ascii="Times New Roman" w:hAnsi="Times New Roman" w:cs="Times New Roman"/>
          <w:b/>
          <w:bCs/>
          <w:sz w:val="24"/>
          <w:szCs w:val="24"/>
        </w:rPr>
        <w:t>Airborne Pathogens</w:t>
      </w:r>
      <w:r w:rsidRPr="009D7C89">
        <w:rPr>
          <w:rFonts w:ascii="Times New Roman" w:hAnsi="Times New Roman" w:cs="Times New Roman"/>
          <w:sz w:val="24"/>
          <w:szCs w:val="24"/>
        </w:rPr>
        <w:t xml:space="preserve">, </w:t>
      </w:r>
      <w:r w:rsidRPr="009D7C89">
        <w:rPr>
          <w:rFonts w:ascii="Times New Roman" w:hAnsi="Times New Roman" w:cs="Times New Roman"/>
          <w:b/>
          <w:bCs/>
          <w:sz w:val="24"/>
          <w:szCs w:val="24"/>
        </w:rPr>
        <w:t>Hospital-Acquired Infections (HAIs)</w:t>
      </w:r>
      <w:r w:rsidRPr="009D7C89">
        <w:rPr>
          <w:rFonts w:ascii="Times New Roman" w:hAnsi="Times New Roman" w:cs="Times New Roman"/>
          <w:sz w:val="24"/>
          <w:szCs w:val="24"/>
        </w:rPr>
        <w:t xml:space="preserve">, </w:t>
      </w:r>
      <w:r w:rsidRPr="009D7C89">
        <w:rPr>
          <w:rFonts w:ascii="Times New Roman" w:hAnsi="Times New Roman" w:cs="Times New Roman"/>
          <w:b/>
          <w:bCs/>
          <w:sz w:val="24"/>
          <w:szCs w:val="24"/>
        </w:rPr>
        <w:t>Bioaerosols</w:t>
      </w:r>
    </w:p>
    <w:p w14:paraId="0E111E2B" w14:textId="0F307D7B" w:rsidR="00BF1860" w:rsidRPr="009D7C89" w:rsidRDefault="00BF1860" w:rsidP="009D7C89">
      <w:pPr>
        <w:pStyle w:val="western"/>
        <w:spacing w:before="0" w:beforeAutospacing="0" w:after="0"/>
        <w:rPr>
          <w:bCs/>
          <w:iCs/>
          <w:sz w:val="22"/>
          <w:szCs w:val="22"/>
        </w:rPr>
      </w:pPr>
    </w:p>
    <w:p w14:paraId="41BF15D0" w14:textId="77777777" w:rsidR="00BF1860" w:rsidRDefault="00BF1860" w:rsidP="00BF1860">
      <w:pPr>
        <w:autoSpaceDE w:val="0"/>
        <w:autoSpaceDN w:val="0"/>
        <w:adjustRightInd w:val="0"/>
        <w:spacing w:after="0" w:line="240" w:lineRule="auto"/>
        <w:jc w:val="both"/>
        <w:rPr>
          <w:rFonts w:ascii="Times New Roman" w:hAnsi="Times New Roman" w:cs="Times New Roman"/>
          <w:b/>
          <w:color w:val="131413"/>
          <w:sz w:val="24"/>
          <w:szCs w:val="24"/>
        </w:rPr>
      </w:pPr>
    </w:p>
    <w:p w14:paraId="5AB49D42" w14:textId="77777777" w:rsidR="00BF1860" w:rsidRPr="00D608A3" w:rsidRDefault="00BF1860" w:rsidP="00BF1860">
      <w:pPr>
        <w:autoSpaceDE w:val="0"/>
        <w:autoSpaceDN w:val="0"/>
        <w:adjustRightInd w:val="0"/>
        <w:spacing w:line="240" w:lineRule="auto"/>
        <w:jc w:val="both"/>
        <w:rPr>
          <w:rFonts w:ascii="Times New Roman" w:hAnsi="Times New Roman" w:cs="Times New Roman"/>
          <w:b/>
          <w:color w:val="131413"/>
          <w:sz w:val="24"/>
          <w:szCs w:val="24"/>
        </w:rPr>
      </w:pPr>
      <w:r w:rsidRPr="00D608A3">
        <w:rPr>
          <w:rFonts w:ascii="Times New Roman" w:hAnsi="Times New Roman" w:cs="Times New Roman"/>
          <w:b/>
          <w:color w:val="131413"/>
          <w:sz w:val="24"/>
          <w:szCs w:val="24"/>
        </w:rPr>
        <w:t>Introductio</w:t>
      </w:r>
      <w:r>
        <w:rPr>
          <w:rFonts w:ascii="Times New Roman" w:hAnsi="Times New Roman" w:cs="Times New Roman"/>
          <w:b/>
          <w:color w:val="131413"/>
          <w:sz w:val="24"/>
          <w:szCs w:val="24"/>
        </w:rPr>
        <w:t>n</w:t>
      </w:r>
    </w:p>
    <w:p w14:paraId="5E01DEDE" w14:textId="3907C294" w:rsidR="00453FEF" w:rsidRPr="00695F16" w:rsidRDefault="00453FEF" w:rsidP="00453FEF">
      <w:pPr>
        <w:pStyle w:val="NormalWeb"/>
        <w:spacing w:before="240" w:beforeAutospacing="0" w:after="0" w:afterAutospacing="0"/>
        <w:jc w:val="both"/>
        <w:rPr>
          <w:sz w:val="22"/>
          <w:szCs w:val="22"/>
        </w:rPr>
      </w:pPr>
      <w:r w:rsidRPr="00695F16">
        <w:rPr>
          <w:sz w:val="22"/>
          <w:szCs w:val="22"/>
        </w:rPr>
        <w:t>Indoor air quality (IAQ) in hospitals plays a central role in protecting patients, visitors, and healthcare workers from airborne pollutants and infectious agents. Hospitals differ from typical indoor environments because they host highly vulnerable individuals, including the elderly, surgical patients, newborns, and immunocompromised persons, all of whom are at heightened risk of airborne infections (Humphreys &amp; Coleman, 2020). The hospital environment often contains a mixture of pollutants such as particulate matter (PM</w:t>
      </w:r>
      <w:r w:rsidR="009D7C89" w:rsidRPr="00695F16">
        <w:rPr>
          <w:rFonts w:ascii="Cambria Math" w:hAnsi="Cambria Math" w:cs="Cambria Math"/>
          <w:sz w:val="22"/>
          <w:szCs w:val="22"/>
        </w:rPr>
        <w:t>₂</w:t>
      </w:r>
      <w:r w:rsidR="009D7C89" w:rsidRPr="00695F16">
        <w:rPr>
          <w:sz w:val="22"/>
          <w:szCs w:val="22"/>
        </w:rPr>
        <w:t>.</w:t>
      </w:r>
      <w:r w:rsidR="009D7C89" w:rsidRPr="00695F16">
        <w:rPr>
          <w:rFonts w:ascii="Cambria Math" w:hAnsi="Cambria Math" w:cs="Cambria Math"/>
          <w:sz w:val="22"/>
          <w:szCs w:val="22"/>
        </w:rPr>
        <w:t xml:space="preserve"> ₅</w:t>
      </w:r>
      <w:r w:rsidRPr="00695F16">
        <w:rPr>
          <w:sz w:val="22"/>
          <w:szCs w:val="22"/>
        </w:rPr>
        <w:t xml:space="preserve"> and PM</w:t>
      </w:r>
      <w:r w:rsidRPr="00695F16">
        <w:rPr>
          <w:rFonts w:ascii="Cambria Math" w:hAnsi="Cambria Math" w:cs="Cambria Math"/>
          <w:sz w:val="22"/>
          <w:szCs w:val="22"/>
        </w:rPr>
        <w:t>₁₀</w:t>
      </w:r>
      <w:r w:rsidRPr="00695F16">
        <w:rPr>
          <w:sz w:val="22"/>
          <w:szCs w:val="22"/>
        </w:rPr>
        <w:t>), volatile organic compounds (VOCs), and biological contaminants like bacteria, viruses, and fungal spores. These pollutants originate from outdoor air, cleaning agents, medical procedures, ventilation systems, and building materials (D’Alessandro et al., 2020). Fine particulate matter, especially PM</w:t>
      </w:r>
      <w:r w:rsidR="009D7C89" w:rsidRPr="00695F16">
        <w:rPr>
          <w:rFonts w:ascii="Cambria Math" w:hAnsi="Cambria Math" w:cs="Cambria Math"/>
          <w:sz w:val="22"/>
          <w:szCs w:val="22"/>
        </w:rPr>
        <w:t>₂</w:t>
      </w:r>
      <w:r w:rsidR="009D7C89" w:rsidRPr="00695F16">
        <w:rPr>
          <w:sz w:val="22"/>
          <w:szCs w:val="22"/>
        </w:rPr>
        <w:t>.</w:t>
      </w:r>
      <w:r w:rsidR="009D7C89" w:rsidRPr="00695F16">
        <w:rPr>
          <w:rFonts w:ascii="Cambria Math" w:hAnsi="Cambria Math" w:cs="Cambria Math"/>
          <w:sz w:val="22"/>
          <w:szCs w:val="22"/>
        </w:rPr>
        <w:t xml:space="preserve"> ₅</w:t>
      </w:r>
      <w:r w:rsidRPr="00695F16">
        <w:rPr>
          <w:sz w:val="22"/>
          <w:szCs w:val="22"/>
        </w:rPr>
        <w:t>, can carry pathogens deep into the lungs and enhance the risk of respiratory infections, while VOCs, though non-infectious, may irritate the respiratory tract and suppress immune defenses, increasing susceptibility to opportunistic infections (Li et al., 2007</w:t>
      </w:r>
      <w:r w:rsidR="002043B8">
        <w:rPr>
          <w:sz w:val="22"/>
          <w:szCs w:val="22"/>
        </w:rPr>
        <w:t>)</w:t>
      </w:r>
    </w:p>
    <w:p w14:paraId="08CFC816" w14:textId="77777777" w:rsidR="00453FEF" w:rsidRPr="00695F16" w:rsidRDefault="00453FEF" w:rsidP="00453FEF">
      <w:pPr>
        <w:pStyle w:val="NormalWeb"/>
        <w:spacing w:before="240" w:beforeAutospacing="0" w:after="0" w:afterAutospacing="0"/>
        <w:jc w:val="both"/>
        <w:rPr>
          <w:sz w:val="22"/>
          <w:szCs w:val="22"/>
        </w:rPr>
      </w:pPr>
      <w:r w:rsidRPr="00695F16">
        <w:rPr>
          <w:sz w:val="22"/>
          <w:szCs w:val="22"/>
        </w:rPr>
        <w:t xml:space="preserve">Bioaerosols produced through coughing, sneezing, talking, and aerosol-generating procedures can remain suspended in the air for long periods. These airborne microorganisms contribute substantially to hospital-acquired infections (HAIs), especially in crowded or poorly ventilated zones (Otter et al., 2021). Studies frequently detect </w:t>
      </w:r>
      <w:r w:rsidRPr="00695F16">
        <w:rPr>
          <w:rStyle w:val="Emphasis"/>
          <w:rFonts w:eastAsiaTheme="majorEastAsia"/>
          <w:sz w:val="22"/>
          <w:szCs w:val="22"/>
        </w:rPr>
        <w:t>Staphylococcus aureus</w:t>
      </w:r>
      <w:r w:rsidRPr="00695F16">
        <w:rPr>
          <w:sz w:val="22"/>
          <w:szCs w:val="22"/>
        </w:rPr>
        <w:t xml:space="preserve">, </w:t>
      </w:r>
      <w:r w:rsidRPr="00695F16">
        <w:rPr>
          <w:rStyle w:val="Emphasis"/>
          <w:rFonts w:eastAsiaTheme="majorEastAsia"/>
          <w:sz w:val="22"/>
          <w:szCs w:val="22"/>
        </w:rPr>
        <w:t>Pseudomonas aeruginosa</w:t>
      </w:r>
      <w:r w:rsidRPr="00695F16">
        <w:rPr>
          <w:sz w:val="22"/>
          <w:szCs w:val="22"/>
        </w:rPr>
        <w:t xml:space="preserve">, and </w:t>
      </w:r>
      <w:r w:rsidRPr="00695F16">
        <w:rPr>
          <w:rStyle w:val="Emphasis"/>
          <w:rFonts w:eastAsiaTheme="majorEastAsia"/>
          <w:sz w:val="22"/>
          <w:szCs w:val="22"/>
        </w:rPr>
        <w:t>Aspergillus fumigatus</w:t>
      </w:r>
      <w:r w:rsidRPr="00695F16">
        <w:rPr>
          <w:sz w:val="22"/>
          <w:szCs w:val="22"/>
        </w:rPr>
        <w:t xml:space="preserve"> in hospital settings, particularly in areas with inadequate </w:t>
      </w:r>
      <w:r w:rsidRPr="00695F16">
        <w:rPr>
          <w:sz w:val="22"/>
          <w:szCs w:val="22"/>
        </w:rPr>
        <w:lastRenderedPageBreak/>
        <w:t>ventilation or high patient traffic. These pathogens can remain viable in indoor air, settle on surfaces, and contaminate medical equipment, posing significant health risks to patients recovering from surgery or those with weakened immunity (Kowalski, 2021).</w:t>
      </w:r>
    </w:p>
    <w:p w14:paraId="263BBAE0" w14:textId="77777777" w:rsidR="00453FEF" w:rsidRPr="00695F16" w:rsidRDefault="00453FEF" w:rsidP="00453FEF">
      <w:pPr>
        <w:pStyle w:val="NormalWeb"/>
        <w:spacing w:before="240" w:beforeAutospacing="0" w:after="0" w:afterAutospacing="0"/>
        <w:jc w:val="both"/>
        <w:rPr>
          <w:sz w:val="22"/>
          <w:szCs w:val="22"/>
        </w:rPr>
      </w:pPr>
      <w:r w:rsidRPr="00695F16">
        <w:rPr>
          <w:sz w:val="22"/>
          <w:szCs w:val="22"/>
        </w:rPr>
        <w:t xml:space="preserve">Critical environments such as Intensive Care Units (ICUs), surgical theatres, Neonatal Intensive Care Units (NICUs), hematology wards, and transplant units require especially stringent air quality management. These units contain large numbers of immunocompromised individuals for whom even low concentrations of airborne pathogens can result in severe and potentially life-threatening infections. Airborne transmission has been implicated in outbreaks of diseases such as tuberculosis, influenza, invasive aspergillosis, and COVID-19, underscoring the need for robust air management systems (Beggs, 2022). Documented cases show that contaminated air ducts, inadequate filtration, and construction activities can introduce fungal spores into hospital air, triggering outbreaks of invasive aspergillosis particularly in hematology and oncology wards where patient immune defenses are significantly weakened (Eames </w:t>
      </w:r>
      <w:r w:rsidRPr="002043B8">
        <w:rPr>
          <w:i/>
          <w:iCs/>
          <w:sz w:val="22"/>
          <w:szCs w:val="22"/>
        </w:rPr>
        <w:t>et al</w:t>
      </w:r>
      <w:r w:rsidRPr="00695F16">
        <w:rPr>
          <w:sz w:val="22"/>
          <w:szCs w:val="22"/>
        </w:rPr>
        <w:t>., 2020; WHO, 2023).</w:t>
      </w:r>
    </w:p>
    <w:p w14:paraId="5C7CF6C5" w14:textId="77777777" w:rsidR="00453FEF" w:rsidRPr="00695F16" w:rsidRDefault="00453FEF" w:rsidP="00453FEF">
      <w:pPr>
        <w:pStyle w:val="NormalWeb"/>
        <w:spacing w:before="240" w:beforeAutospacing="0" w:after="0" w:afterAutospacing="0"/>
        <w:jc w:val="both"/>
        <w:rPr>
          <w:sz w:val="22"/>
          <w:szCs w:val="22"/>
        </w:rPr>
      </w:pPr>
      <w:r w:rsidRPr="00695F16">
        <w:rPr>
          <w:sz w:val="22"/>
          <w:szCs w:val="22"/>
        </w:rPr>
        <w:t xml:space="preserve">Construction and renovation activities pose a unique threat by releasing dust and </w:t>
      </w:r>
      <w:r w:rsidRPr="00695F16">
        <w:rPr>
          <w:rStyle w:val="Emphasis"/>
          <w:rFonts w:eastAsiaTheme="majorEastAsia"/>
          <w:sz w:val="22"/>
          <w:szCs w:val="22"/>
        </w:rPr>
        <w:t>Aspergillus</w:t>
      </w:r>
      <w:r w:rsidRPr="00695F16">
        <w:rPr>
          <w:sz w:val="22"/>
          <w:szCs w:val="22"/>
        </w:rPr>
        <w:t xml:space="preserve"> spores into the air. Without proper containment measures, these spores can infiltrate clinical areas and cause fatal fungal infections among vulnerable patients, especially those undergoing chemotherapy or stem cell transplantation (Beggs, 2022). Such events have prompted hospitals to adopt stricter infection-control measures, including HEPA-filtered ventilation systems, physical barriers, negative-pressure isolation rooms, and careful monitoring of airflow during building maintenance and construction (Azimi &amp; Stephens, 2013).</w:t>
      </w:r>
    </w:p>
    <w:p w14:paraId="4113C3C6" w14:textId="5EA416AC" w:rsidR="00453FEF" w:rsidRPr="00695F16" w:rsidRDefault="00453FEF" w:rsidP="00453FEF">
      <w:pPr>
        <w:pStyle w:val="NormalWeb"/>
        <w:spacing w:before="240" w:beforeAutospacing="0" w:after="0" w:afterAutospacing="0"/>
        <w:jc w:val="both"/>
        <w:rPr>
          <w:sz w:val="22"/>
          <w:szCs w:val="22"/>
        </w:rPr>
      </w:pPr>
      <w:r w:rsidRPr="00695F16">
        <w:rPr>
          <w:sz w:val="22"/>
          <w:szCs w:val="22"/>
        </w:rPr>
        <w:t xml:space="preserve">Maintaining good IAQ is therefore fundamental to infection-prevention practices. Clean hospital air reduces airborne pathogen loads and supports other infection-control strategies such as proper hand hygiene, sterilization of medical equipment, and routine surface disinfection (Otter </w:t>
      </w:r>
      <w:r w:rsidRPr="002043B8">
        <w:rPr>
          <w:i/>
          <w:iCs/>
          <w:sz w:val="22"/>
          <w:szCs w:val="22"/>
        </w:rPr>
        <w:t>et al.,</w:t>
      </w:r>
      <w:r w:rsidRPr="00695F16">
        <w:rPr>
          <w:sz w:val="22"/>
          <w:szCs w:val="22"/>
        </w:rPr>
        <w:t xml:space="preserve"> 2021). </w:t>
      </w:r>
      <w:proofErr w:type="spellStart"/>
      <w:r w:rsidR="004C781F">
        <w:rPr>
          <w:sz w:val="22"/>
          <w:szCs w:val="22"/>
        </w:rPr>
        <w:t>Sorouri</w:t>
      </w:r>
      <w:proofErr w:type="spellEnd"/>
      <w:r w:rsidR="004C781F">
        <w:rPr>
          <w:sz w:val="22"/>
          <w:szCs w:val="22"/>
        </w:rPr>
        <w:t xml:space="preserve"> et al</w:t>
      </w:r>
      <w:r w:rsidR="00C05671">
        <w:rPr>
          <w:sz w:val="22"/>
          <w:szCs w:val="22"/>
        </w:rPr>
        <w:t>.</w:t>
      </w:r>
      <w:r w:rsidR="004C781F">
        <w:rPr>
          <w:sz w:val="22"/>
          <w:szCs w:val="22"/>
        </w:rPr>
        <w:t xml:space="preserve"> (2025) </w:t>
      </w:r>
      <w:r w:rsidR="00206EB7">
        <w:rPr>
          <w:sz w:val="22"/>
          <w:szCs w:val="22"/>
        </w:rPr>
        <w:t>considered</w:t>
      </w:r>
      <w:r w:rsidR="004C781F">
        <w:rPr>
          <w:sz w:val="22"/>
          <w:szCs w:val="22"/>
        </w:rPr>
        <w:t xml:space="preserve"> hospital air pollution as a </w:t>
      </w:r>
      <w:r w:rsidR="009004C6">
        <w:rPr>
          <w:sz w:val="22"/>
          <w:szCs w:val="22"/>
        </w:rPr>
        <w:t>serious</w:t>
      </w:r>
      <w:r w:rsidR="004C781F">
        <w:rPr>
          <w:sz w:val="22"/>
          <w:szCs w:val="22"/>
        </w:rPr>
        <w:t xml:space="preserve"> public health emergency because </w:t>
      </w:r>
      <w:r w:rsidR="009004C6">
        <w:rPr>
          <w:sz w:val="22"/>
          <w:szCs w:val="22"/>
        </w:rPr>
        <w:t>exposure</w:t>
      </w:r>
      <w:r w:rsidR="00C05671">
        <w:rPr>
          <w:sz w:val="22"/>
          <w:szCs w:val="22"/>
        </w:rPr>
        <w:t xml:space="preserve"> affects both patient </w:t>
      </w:r>
      <w:r w:rsidR="009004C6">
        <w:rPr>
          <w:sz w:val="22"/>
          <w:szCs w:val="22"/>
        </w:rPr>
        <w:t>results</w:t>
      </w:r>
      <w:r w:rsidR="00C05671">
        <w:rPr>
          <w:sz w:val="22"/>
          <w:szCs w:val="22"/>
        </w:rPr>
        <w:t xml:space="preserve"> and staff productivity. Air pollution in hospitals can compromise respiratory health, worsen asthma, increase cardiovascular stress, trigger allergies and facilitate airborne transmission of infectious diseases. </w:t>
      </w:r>
      <w:r w:rsidRPr="00695F16">
        <w:rPr>
          <w:sz w:val="22"/>
          <w:szCs w:val="22"/>
        </w:rPr>
        <w:t xml:space="preserve">Effective air quality management includes adequate ventilation, air filtration with HEPA filters, pressure zoning (positive pressure for operating rooms and negative pressure for isolation rooms), and continuous monitoring of airborne contaminants (Azimi &amp; Stephens, 2013). Maintaining optimal temperature and humidity also enhances patient comfort and reduces microbial growth, contributing further to patient safety (D’Alessandro </w:t>
      </w:r>
      <w:r w:rsidRPr="00531D71">
        <w:rPr>
          <w:i/>
          <w:iCs/>
          <w:sz w:val="22"/>
          <w:szCs w:val="22"/>
        </w:rPr>
        <w:t>et al.,</w:t>
      </w:r>
      <w:r w:rsidRPr="00695F16">
        <w:rPr>
          <w:sz w:val="22"/>
          <w:szCs w:val="22"/>
        </w:rPr>
        <w:t xml:space="preserve"> 2020).</w:t>
      </w:r>
    </w:p>
    <w:p w14:paraId="2E4A6576" w14:textId="7AF59973" w:rsidR="00453FEF" w:rsidRPr="00695F16" w:rsidRDefault="00453FEF" w:rsidP="00453FEF">
      <w:pPr>
        <w:pStyle w:val="NormalWeb"/>
        <w:spacing w:before="240" w:beforeAutospacing="0" w:after="0" w:afterAutospacing="0"/>
        <w:jc w:val="both"/>
        <w:rPr>
          <w:sz w:val="22"/>
          <w:szCs w:val="22"/>
        </w:rPr>
      </w:pPr>
      <w:r w:rsidRPr="00695F16">
        <w:rPr>
          <w:sz w:val="22"/>
          <w:szCs w:val="22"/>
        </w:rPr>
        <w:t xml:space="preserve">Poor indoor air quality is associated with increased rates of hospital-acquired infections such as ventilator-associated pneumonia, surgical site infections, and invasive fungal diseases, all of which increase treatment costs, prolong hospital stays, and elevate morbidity. Improving IAQ has been shown to reduce infection rates, promote faster recovery, and lower overall healthcare expenditures. According to the World Health Organization, comprehensive infection-prevention strategies including environmental interventions like enhanced air management can reduce hospital-acquired infections by up to 70% (WHO, 2023). </w:t>
      </w:r>
      <w:r w:rsidR="00CD236C">
        <w:rPr>
          <w:sz w:val="22"/>
          <w:szCs w:val="22"/>
        </w:rPr>
        <w:t xml:space="preserve">Also, </w:t>
      </w:r>
      <w:proofErr w:type="gramStart"/>
      <w:r w:rsidR="00CD236C">
        <w:rPr>
          <w:sz w:val="22"/>
          <w:szCs w:val="22"/>
        </w:rPr>
        <w:t>An</w:t>
      </w:r>
      <w:proofErr w:type="gramEnd"/>
      <w:r w:rsidR="00CD236C">
        <w:rPr>
          <w:sz w:val="22"/>
          <w:szCs w:val="22"/>
        </w:rPr>
        <w:t xml:space="preserve"> et al.</w:t>
      </w:r>
      <w:r w:rsidR="001A1CFE">
        <w:rPr>
          <w:sz w:val="22"/>
          <w:szCs w:val="22"/>
        </w:rPr>
        <w:t xml:space="preserve"> </w:t>
      </w:r>
      <w:r w:rsidR="00CD236C">
        <w:rPr>
          <w:sz w:val="22"/>
          <w:szCs w:val="22"/>
        </w:rPr>
        <w:t xml:space="preserve">(2025) proved that air purifiers are also valuable tools for reducing airborne infection risk and protecting patients when strategically deployed. </w:t>
      </w:r>
      <w:r w:rsidRPr="00695F16">
        <w:rPr>
          <w:sz w:val="22"/>
          <w:szCs w:val="22"/>
        </w:rPr>
        <w:t>Thus, investing in</w:t>
      </w:r>
      <w:r w:rsidRPr="00887EF5">
        <w:rPr>
          <w:bCs/>
          <w:sz w:val="22"/>
          <w:szCs w:val="22"/>
        </w:rPr>
        <w:t>-door</w:t>
      </w:r>
      <w:r w:rsidRPr="00695F16">
        <w:rPr>
          <w:sz w:val="22"/>
          <w:szCs w:val="22"/>
        </w:rPr>
        <w:t xml:space="preserve"> hospital air quality is not only a preventive health measure but also an economically sound strategy that strengthens the overall quality of healthcare delivery (Humphreys &amp; Coleman, 2020).</w:t>
      </w:r>
    </w:p>
    <w:p w14:paraId="60DF3B4E" w14:textId="6EF307B5" w:rsidR="00887EF5" w:rsidRDefault="00887EF5" w:rsidP="00947A12">
      <w:pPr>
        <w:pStyle w:val="Heading3"/>
        <w:spacing w:line="240" w:lineRule="auto"/>
        <w:jc w:val="both"/>
        <w:rPr>
          <w:rFonts w:ascii="Times New Roman" w:eastAsia="Times New Roman" w:hAnsi="Times New Roman" w:cs="Times New Roman"/>
          <w:b w:val="0"/>
          <w:bCs w:val="0"/>
          <w:color w:val="auto"/>
          <w:lang w:eastAsia="en-GB"/>
        </w:rPr>
      </w:pPr>
      <w:r w:rsidRPr="00887EF5">
        <w:rPr>
          <w:rFonts w:ascii="Times New Roman" w:eastAsia="Times New Roman" w:hAnsi="Times New Roman" w:cs="Times New Roman"/>
          <w:b w:val="0"/>
          <w:bCs w:val="0"/>
          <w:color w:val="auto"/>
          <w:lang w:eastAsia="en-GB"/>
        </w:rPr>
        <w:t>The main aim of this study was to investigate the quality of indoor air and associated microbial contaminants in selected hospitals in Warri and its environs to evaluate compliance with regulatory standards and mitigate the risk of hospital-acquired infections.</w:t>
      </w:r>
    </w:p>
    <w:p w14:paraId="1C97CFDE" w14:textId="4DB62CBD" w:rsidR="00D21EB2" w:rsidRDefault="00D21EB2" w:rsidP="00947A12">
      <w:pPr>
        <w:pStyle w:val="Heading3"/>
        <w:spacing w:line="240" w:lineRule="auto"/>
        <w:jc w:val="both"/>
        <w:rPr>
          <w:rFonts w:ascii="Times New Roman" w:hAnsi="Times New Roman" w:cs="Times New Roman"/>
          <w:color w:val="000000" w:themeColor="text1"/>
          <w:sz w:val="24"/>
          <w:szCs w:val="24"/>
        </w:rPr>
      </w:pPr>
      <w:r w:rsidRPr="00695F16">
        <w:rPr>
          <w:rFonts w:ascii="Times New Roman" w:hAnsi="Times New Roman" w:cs="Times New Roman"/>
          <w:color w:val="000000" w:themeColor="text1"/>
          <w:sz w:val="24"/>
          <w:szCs w:val="24"/>
        </w:rPr>
        <w:t>Materials and Methods</w:t>
      </w:r>
    </w:p>
    <w:p w14:paraId="070E4B0C" w14:textId="77777777" w:rsidR="00D21EB2" w:rsidRPr="00C936DD" w:rsidRDefault="00D21EB2" w:rsidP="00D21EB2">
      <w:pPr>
        <w:spacing w:after="0" w:line="240" w:lineRule="auto"/>
        <w:rPr>
          <w:rFonts w:ascii="Times New Roman" w:hAnsi="Times New Roman" w:cs="Times New Roman"/>
        </w:rPr>
      </w:pPr>
    </w:p>
    <w:p w14:paraId="5894FA12" w14:textId="77777777" w:rsidR="007B4397" w:rsidRDefault="00D21EB2" w:rsidP="007B4397">
      <w:pPr>
        <w:spacing w:line="240" w:lineRule="auto"/>
        <w:rPr>
          <w:rFonts w:ascii="Times New Roman" w:hAnsi="Times New Roman" w:cs="Times New Roman"/>
          <w:b/>
        </w:rPr>
      </w:pPr>
      <w:r w:rsidRPr="00DE57DE">
        <w:rPr>
          <w:rFonts w:ascii="Times New Roman" w:hAnsi="Times New Roman" w:cs="Times New Roman"/>
          <w:b/>
        </w:rPr>
        <w:t>Study Area</w:t>
      </w:r>
    </w:p>
    <w:p w14:paraId="682C2CFB" w14:textId="63071A0E" w:rsidR="00DE57DE" w:rsidRPr="007B4397" w:rsidRDefault="007B4397" w:rsidP="007B4397">
      <w:pPr>
        <w:spacing w:line="240" w:lineRule="auto"/>
        <w:jc w:val="both"/>
        <w:rPr>
          <w:rFonts w:ascii="Times New Roman" w:hAnsi="Times New Roman" w:cs="Times New Roman"/>
        </w:rPr>
      </w:pPr>
      <w:r w:rsidRPr="007B4397">
        <w:rPr>
          <w:rFonts w:ascii="Times New Roman" w:eastAsia="Times New Roman" w:hAnsi="Times New Roman" w:cs="Times New Roman"/>
        </w:rPr>
        <w:t xml:space="preserve">This study was done on three major hospitals in Warri and its surroundings. These facilities have been selected due to their central deployment in healthcare delivery to the people, and the high number of patients served daily that might </w:t>
      </w:r>
      <w:r w:rsidRPr="007B4397">
        <w:rPr>
          <w:rFonts w:ascii="Times New Roman" w:eastAsia="Times New Roman" w:hAnsi="Times New Roman" w:cs="Times New Roman"/>
        </w:rPr>
        <w:lastRenderedPageBreak/>
        <w:t xml:space="preserve">lead to indoor air pollution. The hospitals chosen included Hospitals 1 (Agbarho), Hospital 2 (Ekpan) and Hospital 3 (Warri). In every hospital, microbial plate exposure and indoor air quality monitoring were carried out in the strategically chosen locations in wards, outpatient waiting areas, and main entrances, provided they were accessible. These sites were chosen because they were representative of high traffic and clinically relevant places where airborne contamination is likely to take place. </w:t>
      </w:r>
      <w:r w:rsidR="00DE57DE" w:rsidRPr="007B4397">
        <w:rPr>
          <w:rFonts w:ascii="Times New Roman" w:eastAsia="Times New Roman" w:hAnsi="Times New Roman" w:cs="Times New Roman"/>
        </w:rPr>
        <w:t>Three (3) departments were selected from each hospital, resulting in a total of nine departments assessed for indoor air quality in this study</w:t>
      </w:r>
      <w:r w:rsidRPr="007B4397">
        <w:rPr>
          <w:rFonts w:ascii="Times New Roman" w:eastAsia="Times New Roman" w:hAnsi="Times New Roman" w:cs="Times New Roman"/>
        </w:rPr>
        <w:t>.</w:t>
      </w:r>
    </w:p>
    <w:p w14:paraId="1382899B" w14:textId="158812E8" w:rsidR="00D21EB2" w:rsidRPr="00695F16" w:rsidRDefault="00D21EB2" w:rsidP="00D21EB2">
      <w:pPr>
        <w:pStyle w:val="Heading3"/>
        <w:spacing w:line="240" w:lineRule="auto"/>
        <w:jc w:val="both"/>
        <w:rPr>
          <w:rFonts w:ascii="Times New Roman" w:hAnsi="Times New Roman" w:cs="Times New Roman"/>
          <w:b w:val="0"/>
          <w:bCs w:val="0"/>
          <w:color w:val="000000" w:themeColor="text1"/>
        </w:rPr>
      </w:pPr>
      <w:r w:rsidRPr="00695F16">
        <w:rPr>
          <w:rFonts w:ascii="Times New Roman" w:hAnsi="Times New Roman" w:cs="Times New Roman"/>
          <w:color w:val="000000" w:themeColor="text1"/>
        </w:rPr>
        <w:t xml:space="preserve">Sample collection </w:t>
      </w:r>
    </w:p>
    <w:p w14:paraId="11E5C705" w14:textId="01482101" w:rsidR="00D21EB2" w:rsidRPr="00695F16" w:rsidRDefault="00D21EB2" w:rsidP="00D21EB2">
      <w:pPr>
        <w:spacing w:before="200" w:after="0" w:line="240" w:lineRule="auto"/>
        <w:jc w:val="both"/>
        <w:rPr>
          <w:rFonts w:ascii="Times New Roman" w:eastAsia="Times New Roman" w:hAnsi="Times New Roman" w:cs="Times New Roman"/>
          <w:color w:val="000000" w:themeColor="text1"/>
        </w:rPr>
      </w:pPr>
      <w:r w:rsidRPr="00695F16">
        <w:rPr>
          <w:rFonts w:ascii="Times New Roman" w:eastAsia="Times New Roman" w:hAnsi="Times New Roman" w:cs="Times New Roman"/>
          <w:color w:val="000000" w:themeColor="text1"/>
        </w:rPr>
        <w:t xml:space="preserve">Air quality analysis was carried out using the </w:t>
      </w:r>
      <w:proofErr w:type="spellStart"/>
      <w:r w:rsidRPr="00695F16">
        <w:rPr>
          <w:rFonts w:ascii="Times New Roman" w:eastAsia="Times New Roman" w:hAnsi="Times New Roman" w:cs="Times New Roman"/>
          <w:bCs/>
          <w:color w:val="000000" w:themeColor="text1"/>
        </w:rPr>
        <w:t>Aeroqual</w:t>
      </w:r>
      <w:proofErr w:type="spellEnd"/>
      <w:r w:rsidRPr="00695F16">
        <w:rPr>
          <w:rFonts w:ascii="Times New Roman" w:eastAsia="Times New Roman" w:hAnsi="Times New Roman" w:cs="Times New Roman"/>
          <w:bCs/>
          <w:color w:val="000000" w:themeColor="text1"/>
        </w:rPr>
        <w:t xml:space="preserve"> Series 500 portable air quality monitor</w:t>
      </w:r>
      <w:r w:rsidRPr="00695F16">
        <w:rPr>
          <w:rFonts w:ascii="Times New Roman" w:eastAsia="Times New Roman" w:hAnsi="Times New Roman" w:cs="Times New Roman"/>
          <w:color w:val="000000" w:themeColor="text1"/>
        </w:rPr>
        <w:t xml:space="preserve">, while </w:t>
      </w:r>
      <w:r w:rsidRPr="00695F16">
        <w:rPr>
          <w:rFonts w:ascii="Times New Roman" w:eastAsia="Times New Roman" w:hAnsi="Times New Roman" w:cs="Times New Roman"/>
          <w:bCs/>
          <w:color w:val="000000" w:themeColor="text1"/>
        </w:rPr>
        <w:t>microbial air sampling</w:t>
      </w:r>
      <w:r w:rsidRPr="00695F16">
        <w:rPr>
          <w:rFonts w:ascii="Times New Roman" w:eastAsia="Times New Roman" w:hAnsi="Times New Roman" w:cs="Times New Roman"/>
          <w:color w:val="000000" w:themeColor="text1"/>
        </w:rPr>
        <w:t xml:space="preserve"> was conducted </w:t>
      </w:r>
      <w:r w:rsidRPr="00695F16">
        <w:rPr>
          <w:rFonts w:ascii="Times New Roman" w:hAnsi="Times New Roman" w:cs="Times New Roman"/>
          <w:color w:val="000000" w:themeColor="text1"/>
        </w:rPr>
        <w:t>using</w:t>
      </w:r>
      <w:r w:rsidRPr="00695F16">
        <w:rPr>
          <w:rFonts w:ascii="Times New Roman" w:eastAsia="Times New Roman" w:hAnsi="Times New Roman" w:cs="Times New Roman"/>
          <w:color w:val="000000" w:themeColor="text1"/>
        </w:rPr>
        <w:t xml:space="preserve"> </w:t>
      </w:r>
      <w:r>
        <w:rPr>
          <w:rFonts w:ascii="Times New Roman" w:eastAsia="Times New Roman" w:hAnsi="Times New Roman" w:cs="Times New Roman"/>
          <w:color w:val="000000" w:themeColor="text1"/>
        </w:rPr>
        <w:t xml:space="preserve">nutrient agar and </w:t>
      </w:r>
      <w:proofErr w:type="spellStart"/>
      <w:r>
        <w:rPr>
          <w:rFonts w:ascii="Times New Roman" w:eastAsia="Times New Roman" w:hAnsi="Times New Roman" w:cs="Times New Roman"/>
          <w:color w:val="000000" w:themeColor="text1"/>
        </w:rPr>
        <w:t>S</w:t>
      </w:r>
      <w:r w:rsidRPr="00695F16">
        <w:rPr>
          <w:rFonts w:ascii="Times New Roman" w:eastAsia="Times New Roman" w:hAnsi="Times New Roman" w:cs="Times New Roman"/>
          <w:color w:val="000000" w:themeColor="text1"/>
        </w:rPr>
        <w:t>abouraud</w:t>
      </w:r>
      <w:proofErr w:type="spellEnd"/>
      <w:r w:rsidRPr="00695F16">
        <w:rPr>
          <w:rFonts w:ascii="Times New Roman" w:eastAsia="Times New Roman" w:hAnsi="Times New Roman" w:cs="Times New Roman"/>
          <w:color w:val="000000" w:themeColor="text1"/>
        </w:rPr>
        <w:t xml:space="preserve"> dextrose agar that were freshly prepared aseptically in the laboratory prior to field deployment. Agar plates were exposed to air at selected locations for 30 minutes to allow passive sedimentation of airborne microorganisms</w:t>
      </w:r>
      <w:r>
        <w:rPr>
          <w:rFonts w:ascii="Times New Roman" w:eastAsia="Times New Roman" w:hAnsi="Times New Roman" w:cs="Times New Roman"/>
          <w:color w:val="000000" w:themeColor="text1"/>
        </w:rPr>
        <w:t>.</w:t>
      </w:r>
      <w:r w:rsidRPr="00695F16">
        <w:rPr>
          <w:rFonts w:ascii="Times New Roman" w:eastAsia="Times New Roman" w:hAnsi="Times New Roman" w:cs="Times New Roman"/>
          <w:color w:val="000000" w:themeColor="text1"/>
        </w:rPr>
        <w:t xml:space="preserve"> </w:t>
      </w:r>
      <w:r w:rsidRPr="00DE57DE">
        <w:rPr>
          <w:rFonts w:ascii="Times New Roman" w:eastAsia="Times New Roman" w:hAnsi="Times New Roman" w:cs="Times New Roman"/>
        </w:rPr>
        <w:t>After the 30 minutes</w:t>
      </w:r>
      <w:r w:rsidRPr="00695F16">
        <w:rPr>
          <w:rFonts w:ascii="Times New Roman" w:eastAsia="Times New Roman" w:hAnsi="Times New Roman" w:cs="Times New Roman"/>
          <w:color w:val="FF0000"/>
        </w:rPr>
        <w:t xml:space="preserve"> </w:t>
      </w:r>
      <w:r w:rsidRPr="00695F16">
        <w:rPr>
          <w:rFonts w:ascii="Times New Roman" w:eastAsia="Times New Roman" w:hAnsi="Times New Roman" w:cs="Times New Roman"/>
          <w:color w:val="000000" w:themeColor="text1"/>
        </w:rPr>
        <w:t>exposure</w:t>
      </w:r>
      <w:r w:rsidRPr="00DE57DE">
        <w:rPr>
          <w:rFonts w:ascii="Times New Roman" w:eastAsia="Times New Roman" w:hAnsi="Times New Roman" w:cs="Times New Roman"/>
        </w:rPr>
        <w:t xml:space="preserve">, the Agar plates were taken to the laboratory for microbial analyses. Analyses of air quality parameters were done </w:t>
      </w:r>
      <w:r w:rsidRPr="004B4AA3">
        <w:rPr>
          <w:rFonts w:ascii="Times New Roman" w:eastAsia="Times New Roman" w:hAnsi="Times New Roman" w:cs="Times New Roman"/>
          <w:iCs/>
        </w:rPr>
        <w:t>in-situ</w:t>
      </w:r>
      <w:r w:rsidRPr="00DE57DE">
        <w:rPr>
          <w:rFonts w:ascii="Times New Roman" w:eastAsia="Times New Roman" w:hAnsi="Times New Roman" w:cs="Times New Roman"/>
        </w:rPr>
        <w:t>. These complementary methods were designed to assess both the chemical and biological components of air quality</w:t>
      </w:r>
      <w:r w:rsidRPr="00695F16">
        <w:rPr>
          <w:rFonts w:ascii="Times New Roman" w:eastAsia="Times New Roman" w:hAnsi="Times New Roman" w:cs="Times New Roman"/>
          <w:color w:val="000000" w:themeColor="text1"/>
        </w:rPr>
        <w:t xml:space="preserve"> within three selected hospitals within Warri and its environments</w:t>
      </w:r>
    </w:p>
    <w:p w14:paraId="3710B7C6" w14:textId="77777777" w:rsidR="00D21EB2" w:rsidRPr="00695F16" w:rsidRDefault="00D21EB2" w:rsidP="00D21EB2">
      <w:pPr>
        <w:pStyle w:val="Heading3"/>
        <w:spacing w:line="240" w:lineRule="auto"/>
        <w:jc w:val="both"/>
        <w:rPr>
          <w:rFonts w:ascii="Times New Roman" w:hAnsi="Times New Roman" w:cs="Times New Roman"/>
          <w:b w:val="0"/>
          <w:bCs w:val="0"/>
          <w:color w:val="000000" w:themeColor="text1"/>
        </w:rPr>
      </w:pPr>
      <w:r w:rsidRPr="00695F16">
        <w:rPr>
          <w:rFonts w:ascii="Times New Roman" w:hAnsi="Times New Roman" w:cs="Times New Roman"/>
          <w:color w:val="000000" w:themeColor="text1"/>
        </w:rPr>
        <w:t>Microbial Analyses</w:t>
      </w:r>
    </w:p>
    <w:p w14:paraId="1A9C038F" w14:textId="77777777" w:rsidR="008B17BA" w:rsidRPr="00A66E7B" w:rsidRDefault="008B17BA" w:rsidP="008B17BA">
      <w:pPr>
        <w:spacing w:after="160" w:line="259" w:lineRule="auto"/>
        <w:jc w:val="both"/>
      </w:pPr>
      <w:r w:rsidRPr="00A66E7B">
        <w:rPr>
          <w:rFonts w:ascii="Times New Roman" w:hAnsi="Times New Roman" w:cs="Times New Roman"/>
        </w:rPr>
        <w:t xml:space="preserve">Air samples were collected using the passive sedimentation (settle plate) method, involving a 30-minute exposure of freshly prepared Nutrient Agar (NA) and Sabouraud Dextrose Agar (SDA) plates. Following exposure, the Nutrient Agar plates were incubated at </w:t>
      </w:r>
      <w:r w:rsidRPr="007B4397">
        <w:rPr>
          <w:rFonts w:ascii="Times New Roman" w:hAnsi="Times New Roman" w:cs="Times New Roman"/>
        </w:rPr>
        <w:t>37 °C for 24–48 hours</w:t>
      </w:r>
      <w:r w:rsidRPr="00A66E7B">
        <w:rPr>
          <w:rFonts w:ascii="Times New Roman" w:hAnsi="Times New Roman" w:cs="Times New Roman"/>
        </w:rPr>
        <w:t xml:space="preserve"> for the enumeration of total bacterial counts, while the Sabouraud Dextrose Agar plates were incubated at </w:t>
      </w:r>
      <w:r w:rsidRPr="007B4397">
        <w:rPr>
          <w:rFonts w:ascii="Times New Roman" w:hAnsi="Times New Roman" w:cs="Times New Roman"/>
        </w:rPr>
        <w:t>25–28 °C for 3–7</w:t>
      </w:r>
      <w:r w:rsidRPr="00A66E7B">
        <w:rPr>
          <w:rFonts w:ascii="Times New Roman" w:hAnsi="Times New Roman" w:cs="Times New Roman"/>
          <w:b/>
          <w:bCs/>
        </w:rPr>
        <w:t xml:space="preserve"> days</w:t>
      </w:r>
      <w:r w:rsidRPr="00A66E7B">
        <w:rPr>
          <w:rFonts w:ascii="Times New Roman" w:hAnsi="Times New Roman" w:cs="Times New Roman"/>
        </w:rPr>
        <w:t xml:space="preserve"> for fungal growth. (Alemayehu et al., 2022; Okafor et al., 2021). The microbial loads were subsequently determined using standard microbiological procedures for total bacterial and fungal counts, respectively</w:t>
      </w:r>
      <w:r w:rsidRPr="00A66E7B">
        <w:t>.</w:t>
      </w:r>
    </w:p>
    <w:p w14:paraId="657E5845" w14:textId="77777777" w:rsidR="00D21EB2" w:rsidRPr="00695F16" w:rsidRDefault="00D21EB2" w:rsidP="00D21EB2">
      <w:pPr>
        <w:pStyle w:val="Heading4"/>
        <w:spacing w:line="240" w:lineRule="auto"/>
        <w:jc w:val="both"/>
        <w:rPr>
          <w:rFonts w:ascii="Times New Roman" w:hAnsi="Times New Roman" w:cs="Times New Roman"/>
          <w:i w:val="0"/>
          <w:color w:val="000000" w:themeColor="text1"/>
        </w:rPr>
      </w:pPr>
      <w:r w:rsidRPr="00695F16">
        <w:rPr>
          <w:rFonts w:ascii="Times New Roman" w:hAnsi="Times New Roman" w:cs="Times New Roman"/>
          <w:i w:val="0"/>
          <w:color w:val="000000" w:themeColor="text1"/>
        </w:rPr>
        <w:t>Bacteria</w:t>
      </w:r>
      <w:r>
        <w:rPr>
          <w:rFonts w:ascii="Times New Roman" w:hAnsi="Times New Roman" w:cs="Times New Roman"/>
          <w:i w:val="0"/>
          <w:color w:val="000000" w:themeColor="text1"/>
        </w:rPr>
        <w:t>l</w:t>
      </w:r>
      <w:r w:rsidRPr="00695F16">
        <w:rPr>
          <w:rFonts w:ascii="Times New Roman" w:hAnsi="Times New Roman" w:cs="Times New Roman"/>
          <w:i w:val="0"/>
          <w:color w:val="000000" w:themeColor="text1"/>
        </w:rPr>
        <w:t xml:space="preserve"> Identification </w:t>
      </w:r>
    </w:p>
    <w:p w14:paraId="3B0D496D" w14:textId="4EB6BB11" w:rsidR="00D21EB2" w:rsidRPr="00695F16" w:rsidRDefault="00D21EB2" w:rsidP="00D21EB2">
      <w:pPr>
        <w:autoSpaceDE w:val="0"/>
        <w:autoSpaceDN w:val="0"/>
        <w:adjustRightInd w:val="0"/>
        <w:spacing w:before="200" w:after="0" w:line="240" w:lineRule="auto"/>
        <w:jc w:val="both"/>
        <w:rPr>
          <w:rFonts w:ascii="Times New Roman" w:hAnsi="Times New Roman" w:cs="Times New Roman"/>
          <w:color w:val="000000" w:themeColor="text1"/>
        </w:rPr>
      </w:pPr>
      <w:r w:rsidRPr="00695F16">
        <w:rPr>
          <w:rFonts w:ascii="Times New Roman" w:hAnsi="Times New Roman" w:cs="Times New Roman"/>
          <w:color w:val="000000" w:themeColor="text1"/>
        </w:rPr>
        <w:t xml:space="preserve">The identification of the isolates was based on the various physiological and biochemical tests carried out </w:t>
      </w:r>
      <w:r w:rsidR="007B4397">
        <w:rPr>
          <w:rFonts w:ascii="Times New Roman" w:hAnsi="Times New Roman" w:cs="Times New Roman"/>
          <w:color w:val="000000" w:themeColor="text1"/>
        </w:rPr>
        <w:t>u</w:t>
      </w:r>
      <w:r w:rsidRPr="00695F16">
        <w:rPr>
          <w:rFonts w:ascii="Times New Roman" w:hAnsi="Times New Roman" w:cs="Times New Roman"/>
          <w:color w:val="000000" w:themeColor="text1"/>
        </w:rPr>
        <w:t>sing Bergey</w:t>
      </w:r>
      <w:r w:rsidRPr="00695F16">
        <w:rPr>
          <w:rFonts w:ascii="Times New Roman" w:eastAsia="TimesNewRoman" w:hAnsi="Times New Roman" w:cs="Times New Roman"/>
          <w:color w:val="000000" w:themeColor="text1"/>
        </w:rPr>
        <w:t>’</w:t>
      </w:r>
      <w:r w:rsidRPr="00695F16">
        <w:rPr>
          <w:rFonts w:ascii="Times New Roman" w:hAnsi="Times New Roman" w:cs="Times New Roman"/>
          <w:color w:val="000000" w:themeColor="text1"/>
        </w:rPr>
        <w:t xml:space="preserve">s Manual of Systemic </w:t>
      </w:r>
      <w:r w:rsidRPr="001E40F3">
        <w:rPr>
          <w:rFonts w:ascii="Times New Roman" w:hAnsi="Times New Roman" w:cs="Times New Roman"/>
        </w:rPr>
        <w:t>Bacteriology</w:t>
      </w:r>
      <w:r w:rsidR="00CB5385" w:rsidRPr="001E40F3">
        <w:rPr>
          <w:rFonts w:ascii="Times New Roman" w:hAnsi="Times New Roman" w:cs="Times New Roman"/>
        </w:rPr>
        <w:t xml:space="preserve"> </w:t>
      </w:r>
      <w:r w:rsidR="001E40F3" w:rsidRPr="001E40F3">
        <w:rPr>
          <w:rFonts w:ascii="Times New Roman" w:hAnsi="Times New Roman" w:cs="Times New Roman"/>
        </w:rPr>
        <w:t>(Haider et al., 2022)</w:t>
      </w:r>
      <w:r w:rsidRPr="001E40F3">
        <w:rPr>
          <w:rFonts w:ascii="Times New Roman" w:hAnsi="Times New Roman" w:cs="Times New Roman"/>
        </w:rPr>
        <w:t xml:space="preserve">. </w:t>
      </w:r>
    </w:p>
    <w:p w14:paraId="07C6A5D4" w14:textId="77777777" w:rsidR="00D21EB2" w:rsidRPr="00695F16" w:rsidRDefault="00D21EB2" w:rsidP="00D21EB2">
      <w:pPr>
        <w:pStyle w:val="Heading4"/>
        <w:spacing w:line="240" w:lineRule="auto"/>
        <w:jc w:val="both"/>
        <w:rPr>
          <w:rFonts w:ascii="Times New Roman" w:hAnsi="Times New Roman" w:cs="Times New Roman"/>
          <w:i w:val="0"/>
          <w:color w:val="000000" w:themeColor="text1"/>
        </w:rPr>
      </w:pPr>
      <w:r w:rsidRPr="00695F16">
        <w:rPr>
          <w:rFonts w:ascii="Times New Roman" w:hAnsi="Times New Roman" w:cs="Times New Roman"/>
          <w:i w:val="0"/>
          <w:color w:val="000000" w:themeColor="text1"/>
        </w:rPr>
        <w:t>Fungal Identification</w:t>
      </w:r>
    </w:p>
    <w:p w14:paraId="0D0F7E72" w14:textId="18E2EDC6" w:rsidR="00862DB8" w:rsidRPr="00862DB8" w:rsidRDefault="00862DB8" w:rsidP="00862DB8">
      <w:pPr>
        <w:rPr>
          <w:rFonts w:ascii="Times New Roman" w:hAnsi="Times New Roman" w:cs="Times New Roman"/>
        </w:rPr>
      </w:pPr>
      <w:r>
        <w:rPr>
          <w:rFonts w:ascii="Times New Roman" w:hAnsi="Times New Roman" w:cs="Times New Roman"/>
        </w:rPr>
        <w:t>T</w:t>
      </w:r>
      <w:r w:rsidRPr="00862DB8">
        <w:rPr>
          <w:rFonts w:ascii="Times New Roman" w:hAnsi="Times New Roman" w:cs="Times New Roman"/>
        </w:rPr>
        <w:t>he fungi were evaluated based on their airborne concentration (cfu/m³), the diversity of fungal species isolated, their spatial distribution across various hospital departments, and their level of compliance with WHO recommended standards for indoor air quality. (Shi et al., 2025; World Health Organization, 2009)</w:t>
      </w:r>
    </w:p>
    <w:p w14:paraId="73FC4021" w14:textId="77777777" w:rsidR="00D21EB2" w:rsidRPr="00695F16" w:rsidRDefault="00D21EB2" w:rsidP="00D21EB2">
      <w:pPr>
        <w:pStyle w:val="Heading3"/>
        <w:spacing w:line="240" w:lineRule="auto"/>
        <w:jc w:val="both"/>
        <w:rPr>
          <w:rFonts w:ascii="Times New Roman" w:hAnsi="Times New Roman" w:cs="Times New Roman"/>
          <w:b w:val="0"/>
          <w:color w:val="000000" w:themeColor="text1"/>
        </w:rPr>
      </w:pPr>
      <w:r w:rsidRPr="00695F16">
        <w:rPr>
          <w:rStyle w:val="Strong"/>
          <w:rFonts w:ascii="Times New Roman" w:hAnsi="Times New Roman" w:cs="Times New Roman"/>
          <w:b/>
          <w:color w:val="000000" w:themeColor="text1"/>
        </w:rPr>
        <w:t xml:space="preserve">Procedure for Operating the </w:t>
      </w:r>
      <w:proofErr w:type="spellStart"/>
      <w:r w:rsidRPr="00695F16">
        <w:rPr>
          <w:rStyle w:val="Strong"/>
          <w:rFonts w:ascii="Times New Roman" w:hAnsi="Times New Roman" w:cs="Times New Roman"/>
          <w:b/>
          <w:color w:val="000000" w:themeColor="text1"/>
        </w:rPr>
        <w:t>Aeroqual</w:t>
      </w:r>
      <w:proofErr w:type="spellEnd"/>
      <w:r w:rsidRPr="00695F16">
        <w:rPr>
          <w:rStyle w:val="Strong"/>
          <w:rFonts w:ascii="Times New Roman" w:hAnsi="Times New Roman" w:cs="Times New Roman"/>
          <w:b/>
          <w:color w:val="000000" w:themeColor="text1"/>
        </w:rPr>
        <w:t xml:space="preserve"> Air Quality Monitoring Equipment</w:t>
      </w:r>
    </w:p>
    <w:p w14:paraId="6D755F52" w14:textId="515C577B" w:rsidR="00862DB8" w:rsidRDefault="00D21EB2" w:rsidP="00D21EB2">
      <w:pPr>
        <w:spacing w:before="200" w:after="0" w:line="240" w:lineRule="auto"/>
        <w:jc w:val="both"/>
        <w:rPr>
          <w:rFonts w:ascii="Times New Roman" w:eastAsia="Times New Roman" w:hAnsi="Times New Roman" w:cs="Times New Roman"/>
          <w:b/>
          <w:bCs/>
          <w:color w:val="000000" w:themeColor="text1"/>
        </w:rPr>
      </w:pPr>
      <w:r w:rsidRPr="00695F16">
        <w:rPr>
          <w:rFonts w:ascii="Times New Roman" w:eastAsia="Times New Roman" w:hAnsi="Times New Roman" w:cs="Times New Roman"/>
          <w:color w:val="000000" w:themeColor="text1"/>
        </w:rPr>
        <w:t xml:space="preserve">The air quality measurements focused on key airborne pollutants, including </w:t>
      </w:r>
      <w:r w:rsidRPr="00695F16">
        <w:rPr>
          <w:rFonts w:ascii="Times New Roman" w:eastAsia="Times New Roman" w:hAnsi="Times New Roman" w:cs="Times New Roman"/>
          <w:bCs/>
          <w:color w:val="000000" w:themeColor="text1"/>
        </w:rPr>
        <w:t>particulate matter (PM2.5 and PM10)</w:t>
      </w:r>
      <w:r w:rsidRPr="00695F16">
        <w:rPr>
          <w:rFonts w:ascii="Times New Roman" w:eastAsia="Times New Roman" w:hAnsi="Times New Roman" w:cs="Times New Roman"/>
          <w:color w:val="000000" w:themeColor="text1"/>
        </w:rPr>
        <w:t xml:space="preserve"> and </w:t>
      </w:r>
      <w:r w:rsidRPr="00695F16">
        <w:rPr>
          <w:rFonts w:ascii="Times New Roman" w:eastAsia="Times New Roman" w:hAnsi="Times New Roman" w:cs="Times New Roman"/>
          <w:bCs/>
          <w:color w:val="000000" w:themeColor="text1"/>
        </w:rPr>
        <w:t>gaseous pollutants</w:t>
      </w:r>
      <w:r w:rsidRPr="00695F16">
        <w:rPr>
          <w:rFonts w:ascii="Times New Roman" w:eastAsia="Times New Roman" w:hAnsi="Times New Roman" w:cs="Times New Roman"/>
          <w:color w:val="000000" w:themeColor="text1"/>
        </w:rPr>
        <w:t xml:space="preserve"> such as </w:t>
      </w:r>
      <w:r w:rsidRPr="00695F16">
        <w:rPr>
          <w:rFonts w:ascii="Times New Roman" w:eastAsia="Times New Roman" w:hAnsi="Times New Roman" w:cs="Times New Roman"/>
          <w:bCs/>
          <w:color w:val="000000" w:themeColor="text1"/>
        </w:rPr>
        <w:t>ozone (O</w:t>
      </w:r>
      <w:r w:rsidRPr="00695F16">
        <w:rPr>
          <w:rFonts w:ascii="Times New Roman" w:eastAsia="Times New Roman" w:hAnsi="Times New Roman" w:cs="Times New Roman"/>
          <w:bCs/>
          <w:color w:val="000000" w:themeColor="text1"/>
          <w:vertAlign w:val="subscript"/>
        </w:rPr>
        <w:t>3</w:t>
      </w:r>
      <w:r w:rsidRPr="00695F16">
        <w:rPr>
          <w:rFonts w:ascii="Times New Roman" w:eastAsia="Times New Roman" w:hAnsi="Times New Roman" w:cs="Times New Roman"/>
          <w:bCs/>
          <w:color w:val="000000" w:themeColor="text1"/>
        </w:rPr>
        <w:t>), nitrogen dioxide (NO</w:t>
      </w:r>
      <w:r w:rsidRPr="00695F16">
        <w:rPr>
          <w:rFonts w:ascii="Times New Roman" w:eastAsia="Times New Roman" w:hAnsi="Times New Roman" w:cs="Times New Roman"/>
          <w:bCs/>
          <w:color w:val="000000" w:themeColor="text1"/>
          <w:vertAlign w:val="subscript"/>
        </w:rPr>
        <w:t>2</w:t>
      </w:r>
      <w:r w:rsidRPr="00695F16">
        <w:rPr>
          <w:rFonts w:ascii="Times New Roman" w:eastAsia="Times New Roman" w:hAnsi="Times New Roman" w:cs="Times New Roman"/>
          <w:bCs/>
          <w:color w:val="000000" w:themeColor="text1"/>
        </w:rPr>
        <w:t>), and volatile organic compounds (VOCs)</w:t>
      </w:r>
      <w:r w:rsidRPr="00695F16">
        <w:rPr>
          <w:rFonts w:ascii="Times New Roman" w:eastAsia="Times New Roman" w:hAnsi="Times New Roman" w:cs="Times New Roman"/>
          <w:color w:val="000000" w:themeColor="text1"/>
        </w:rPr>
        <w:t xml:space="preserve">, depending on the sensor heads deployed. </w:t>
      </w:r>
      <w:r w:rsidR="00862DB8">
        <w:rPr>
          <w:rFonts w:ascii="Times New Roman" w:eastAsia="Times New Roman" w:hAnsi="Times New Roman" w:cs="Times New Roman"/>
          <w:color w:val="000000" w:themeColor="text1"/>
        </w:rPr>
        <w:t>T</w:t>
      </w:r>
      <w:r w:rsidR="00862DB8" w:rsidRPr="00862DB8">
        <w:rPr>
          <w:rFonts w:ascii="Times New Roman" w:eastAsia="Times New Roman" w:hAnsi="Times New Roman" w:cs="Times New Roman"/>
          <w:color w:val="000000" w:themeColor="text1"/>
        </w:rPr>
        <w:t xml:space="preserve">he </w:t>
      </w:r>
      <w:proofErr w:type="spellStart"/>
      <w:r w:rsidR="00862DB8" w:rsidRPr="00862DB8">
        <w:rPr>
          <w:rFonts w:ascii="Times New Roman" w:eastAsia="Times New Roman" w:hAnsi="Times New Roman" w:cs="Times New Roman"/>
          <w:color w:val="000000" w:themeColor="text1"/>
        </w:rPr>
        <w:t>Aeroqual</w:t>
      </w:r>
      <w:proofErr w:type="spellEnd"/>
      <w:r w:rsidR="00862DB8" w:rsidRPr="00862DB8">
        <w:rPr>
          <w:rFonts w:ascii="Times New Roman" w:eastAsia="Times New Roman" w:hAnsi="Times New Roman" w:cs="Times New Roman"/>
          <w:color w:val="000000" w:themeColor="text1"/>
        </w:rPr>
        <w:t xml:space="preserve"> Series 500 was calibrated according to the manufacturer’s specifications prior to each sampling session, and data were logged at predetermined intervals for later analysis (</w:t>
      </w:r>
      <w:proofErr w:type="spellStart"/>
      <w:r w:rsidR="00862DB8" w:rsidRPr="00862DB8">
        <w:rPr>
          <w:rFonts w:ascii="Times New Roman" w:eastAsia="Times New Roman" w:hAnsi="Times New Roman" w:cs="Times New Roman"/>
          <w:color w:val="000000" w:themeColor="text1"/>
        </w:rPr>
        <w:t>Aeroqual</w:t>
      </w:r>
      <w:proofErr w:type="spellEnd"/>
      <w:r w:rsidR="00862DB8" w:rsidRPr="00862DB8">
        <w:rPr>
          <w:rFonts w:ascii="Times New Roman" w:eastAsia="Times New Roman" w:hAnsi="Times New Roman" w:cs="Times New Roman"/>
          <w:color w:val="000000" w:themeColor="text1"/>
        </w:rPr>
        <w:t xml:space="preserve"> Ltd., 2021</w:t>
      </w:r>
      <w:r w:rsidR="00862DB8">
        <w:rPr>
          <w:rFonts w:ascii="Times New Roman" w:eastAsia="Times New Roman" w:hAnsi="Times New Roman" w:cs="Times New Roman"/>
          <w:color w:val="000000" w:themeColor="text1"/>
        </w:rPr>
        <w:t xml:space="preserve">; </w:t>
      </w:r>
      <w:r w:rsidR="00862DB8" w:rsidRPr="00862DB8">
        <w:rPr>
          <w:rFonts w:ascii="Times New Roman" w:eastAsia="Times New Roman" w:hAnsi="Times New Roman" w:cs="Times New Roman"/>
          <w:color w:val="000000" w:themeColor="text1"/>
        </w:rPr>
        <w:t>Lin et al., 2015)</w:t>
      </w:r>
      <w:r w:rsidR="00862DB8" w:rsidRPr="00862DB8">
        <w:rPr>
          <w:rFonts w:ascii="Times New Roman" w:eastAsia="Times New Roman" w:hAnsi="Times New Roman" w:cs="Times New Roman"/>
          <w:b/>
          <w:bCs/>
          <w:color w:val="000000" w:themeColor="text1"/>
        </w:rPr>
        <w:t xml:space="preserve"> </w:t>
      </w:r>
    </w:p>
    <w:p w14:paraId="0A032943" w14:textId="77777777" w:rsidR="00CB6D2B" w:rsidRDefault="00D21EB2" w:rsidP="00CB6D2B">
      <w:pPr>
        <w:spacing w:before="200" w:after="0" w:line="240" w:lineRule="auto"/>
        <w:jc w:val="both"/>
        <w:rPr>
          <w:rFonts w:ascii="Times New Roman" w:hAnsi="Times New Roman" w:cs="Times New Roman"/>
          <w:b/>
          <w:bCs/>
          <w:color w:val="000000" w:themeColor="text1"/>
        </w:rPr>
      </w:pPr>
      <w:r w:rsidRPr="00695F16">
        <w:rPr>
          <w:rFonts w:ascii="Times New Roman" w:hAnsi="Times New Roman" w:cs="Times New Roman"/>
          <w:b/>
          <w:bCs/>
          <w:color w:val="000000" w:themeColor="text1"/>
        </w:rPr>
        <w:t>Statistical analysis</w:t>
      </w:r>
      <w:bookmarkStart w:id="0" w:name="_Toc213643489"/>
    </w:p>
    <w:p w14:paraId="799873FB" w14:textId="18FE1777" w:rsidR="00CB6D2B" w:rsidRPr="00CB6D2B" w:rsidRDefault="00CB6D2B" w:rsidP="00CB6D2B">
      <w:pPr>
        <w:spacing w:before="200" w:after="0" w:line="240" w:lineRule="auto"/>
        <w:jc w:val="both"/>
        <w:rPr>
          <w:rFonts w:ascii="Times New Roman" w:eastAsia="Times New Roman" w:hAnsi="Times New Roman" w:cs="Times New Roman"/>
          <w:color w:val="000000" w:themeColor="text1"/>
        </w:rPr>
      </w:pPr>
      <w:r w:rsidRPr="00CB6D2B">
        <w:rPr>
          <w:rFonts w:ascii="Times New Roman" w:hAnsi="Times New Roman" w:cs="Times New Roman"/>
          <w:color w:val="000000" w:themeColor="text1"/>
        </w:rPr>
        <w:t xml:space="preserve">The collected data were analyzed through descriptive statistics, mean and standard deviation, to provide the summary of concentrations of pollutants in various sampling points. The findings were further compared by comparing the measured values to WHO/NESREA/SON permissible limits to determine compliance as well as spatial variation across hospital settings. </w:t>
      </w:r>
    </w:p>
    <w:p w14:paraId="42B75D02" w14:textId="77777777" w:rsidR="000A56A0" w:rsidRDefault="00D21EB2" w:rsidP="000A56A0">
      <w:pPr>
        <w:pStyle w:val="Heading2"/>
        <w:spacing w:line="240" w:lineRule="auto"/>
        <w:jc w:val="both"/>
        <w:rPr>
          <w:rFonts w:ascii="Times New Roman" w:hAnsi="Times New Roman" w:cs="Times New Roman"/>
          <w:color w:val="000000" w:themeColor="text1"/>
          <w:sz w:val="22"/>
          <w:szCs w:val="22"/>
          <w:lang w:eastAsia="en-GB"/>
        </w:rPr>
      </w:pPr>
      <w:r w:rsidRPr="00505D21">
        <w:rPr>
          <w:rFonts w:ascii="Times New Roman" w:hAnsi="Times New Roman" w:cs="Times New Roman"/>
          <w:color w:val="000000" w:themeColor="text1"/>
          <w:sz w:val="24"/>
          <w:szCs w:val="24"/>
        </w:rPr>
        <w:lastRenderedPageBreak/>
        <w:t>Result</w:t>
      </w:r>
      <w:r>
        <w:rPr>
          <w:rFonts w:ascii="Times New Roman" w:hAnsi="Times New Roman" w:cs="Times New Roman"/>
          <w:color w:val="000000" w:themeColor="text1"/>
          <w:sz w:val="24"/>
          <w:szCs w:val="24"/>
        </w:rPr>
        <w:t>s</w:t>
      </w:r>
      <w:r w:rsidRPr="00695F16">
        <w:rPr>
          <w:rFonts w:ascii="Times New Roman" w:hAnsi="Times New Roman" w:cs="Times New Roman"/>
          <w:color w:val="000000" w:themeColor="text1"/>
          <w:sz w:val="22"/>
          <w:szCs w:val="22"/>
        </w:rPr>
        <w:t xml:space="preserve"> </w:t>
      </w:r>
      <w:bookmarkEnd w:id="0"/>
      <w:r w:rsidR="000A56A0">
        <w:rPr>
          <w:rFonts w:ascii="Times New Roman" w:hAnsi="Times New Roman" w:cs="Times New Roman"/>
          <w:color w:val="000000" w:themeColor="text1"/>
          <w:sz w:val="22"/>
          <w:szCs w:val="22"/>
        </w:rPr>
        <w:t xml:space="preserve">and </w:t>
      </w:r>
      <w:r w:rsidR="000A56A0" w:rsidRPr="00695F16">
        <w:rPr>
          <w:rFonts w:ascii="Times New Roman" w:hAnsi="Times New Roman" w:cs="Times New Roman"/>
          <w:color w:val="000000" w:themeColor="text1"/>
          <w:sz w:val="22"/>
          <w:szCs w:val="22"/>
          <w:lang w:eastAsia="en-GB"/>
        </w:rPr>
        <w:t>Discussion</w:t>
      </w:r>
    </w:p>
    <w:p w14:paraId="1316535D" w14:textId="0F77E4C7" w:rsidR="00D21EB2" w:rsidRPr="00695F16" w:rsidRDefault="00D21EB2" w:rsidP="00947A12">
      <w:pPr>
        <w:pStyle w:val="Heading2"/>
        <w:spacing w:line="240" w:lineRule="auto"/>
        <w:jc w:val="both"/>
        <w:rPr>
          <w:rFonts w:ascii="Times New Roman" w:hAnsi="Times New Roman" w:cs="Times New Roman"/>
          <w:color w:val="000000" w:themeColor="text1"/>
          <w:sz w:val="22"/>
          <w:szCs w:val="22"/>
        </w:rPr>
      </w:pPr>
    </w:p>
    <w:p w14:paraId="5A88D187" w14:textId="6CA10A77" w:rsidR="00D21EB2" w:rsidRPr="00695F16" w:rsidRDefault="00D21EB2" w:rsidP="00900888">
      <w:pPr>
        <w:spacing w:before="240" w:after="0" w:line="240" w:lineRule="auto"/>
        <w:jc w:val="both"/>
        <w:rPr>
          <w:rFonts w:ascii="Times New Roman" w:hAnsi="Times New Roman" w:cs="Times New Roman"/>
          <w:color w:val="000000" w:themeColor="text1"/>
        </w:rPr>
      </w:pPr>
      <w:r w:rsidRPr="00695F16">
        <w:rPr>
          <w:rFonts w:ascii="Times New Roman" w:hAnsi="Times New Roman" w:cs="Times New Roman"/>
          <w:color w:val="000000" w:themeColor="text1"/>
          <w:lang w:eastAsia="en-GB"/>
        </w:rPr>
        <w:t>The air quality assessment conducted across three hospitals in Delta State revealed notable variations in the concentration of major gaseous pollutants and volatile organic compounds (VOCs), as well as microclimatic factors such as temperature and wind speed.</w:t>
      </w:r>
      <w:r w:rsidRPr="00695F16">
        <w:rPr>
          <w:rFonts w:ascii="Times New Roman" w:hAnsi="Times New Roman" w:cs="Times New Roman"/>
          <w:b/>
          <w:color w:val="000000" w:themeColor="text1"/>
        </w:rPr>
        <w:t xml:space="preserve"> </w:t>
      </w:r>
      <w:r w:rsidRPr="00695F16">
        <w:rPr>
          <w:rFonts w:ascii="Times New Roman" w:hAnsi="Times New Roman" w:cs="Times New Roman"/>
          <w:color w:val="000000" w:themeColor="text1"/>
          <w:lang w:eastAsia="en-GB"/>
        </w:rPr>
        <w:t>Table</w:t>
      </w:r>
      <w:r w:rsidR="00015513">
        <w:rPr>
          <w:rFonts w:ascii="Times New Roman" w:hAnsi="Times New Roman" w:cs="Times New Roman"/>
          <w:color w:val="000000" w:themeColor="text1"/>
          <w:lang w:eastAsia="en-GB"/>
        </w:rPr>
        <w:t xml:space="preserve"> </w:t>
      </w:r>
      <w:r w:rsidR="00393D97" w:rsidRPr="00695F16">
        <w:rPr>
          <w:rFonts w:ascii="Times New Roman" w:hAnsi="Times New Roman" w:cs="Times New Roman"/>
          <w:color w:val="000000" w:themeColor="text1"/>
          <w:lang w:eastAsia="en-GB"/>
        </w:rPr>
        <w:t>1 shows</w:t>
      </w:r>
      <w:r w:rsidR="00015513" w:rsidRPr="00015513">
        <w:rPr>
          <w:rFonts w:ascii="Times New Roman" w:hAnsi="Times New Roman" w:cs="Times New Roman"/>
          <w:b/>
          <w:color w:val="FF0000"/>
          <w:lang w:eastAsia="en-GB"/>
        </w:rPr>
        <w:t xml:space="preserve"> </w:t>
      </w:r>
      <w:r w:rsidRPr="00695F16">
        <w:rPr>
          <w:rFonts w:ascii="Times New Roman" w:hAnsi="Times New Roman" w:cs="Times New Roman"/>
          <w:bCs/>
          <w:color w:val="000000" w:themeColor="text1"/>
          <w:lang w:eastAsia="en-GB"/>
        </w:rPr>
        <w:t xml:space="preserve">measured air quality parameters in various departments </w:t>
      </w:r>
      <w:r w:rsidR="00627D32" w:rsidRPr="00695F16">
        <w:rPr>
          <w:rFonts w:ascii="Times New Roman" w:hAnsi="Times New Roman" w:cs="Times New Roman"/>
          <w:bCs/>
          <w:color w:val="000000" w:themeColor="text1"/>
          <w:lang w:eastAsia="en-GB"/>
        </w:rPr>
        <w:t xml:space="preserve">of </w:t>
      </w:r>
      <w:r w:rsidR="00627D32">
        <w:rPr>
          <w:rFonts w:ascii="Times New Roman" w:hAnsi="Times New Roman" w:cs="Times New Roman"/>
          <w:bCs/>
          <w:color w:val="000000" w:themeColor="text1"/>
          <w:lang w:eastAsia="en-GB"/>
        </w:rPr>
        <w:t>three</w:t>
      </w:r>
      <w:r w:rsidR="003C3772">
        <w:rPr>
          <w:rFonts w:ascii="Times New Roman" w:hAnsi="Times New Roman" w:cs="Times New Roman"/>
          <w:bCs/>
          <w:color w:val="000000" w:themeColor="text1"/>
          <w:lang w:eastAsia="en-GB"/>
        </w:rPr>
        <w:t xml:space="preserve"> </w:t>
      </w:r>
      <w:r w:rsidRPr="00695F16">
        <w:rPr>
          <w:rFonts w:ascii="Times New Roman" w:hAnsi="Times New Roman" w:cs="Times New Roman"/>
          <w:bCs/>
          <w:color w:val="000000" w:themeColor="text1"/>
          <w:lang w:eastAsia="en-GB"/>
        </w:rPr>
        <w:t xml:space="preserve">selected hospitals in </w:t>
      </w:r>
      <w:r w:rsidR="003C3772">
        <w:rPr>
          <w:rFonts w:ascii="Times New Roman" w:hAnsi="Times New Roman" w:cs="Times New Roman"/>
          <w:bCs/>
          <w:color w:val="000000" w:themeColor="text1"/>
          <w:lang w:eastAsia="en-GB"/>
        </w:rPr>
        <w:t>Warri and environs</w:t>
      </w:r>
      <w:r w:rsidRPr="00695F16">
        <w:rPr>
          <w:rFonts w:ascii="Times New Roman" w:hAnsi="Times New Roman" w:cs="Times New Roman"/>
          <w:bCs/>
          <w:color w:val="000000" w:themeColor="text1"/>
          <w:lang w:eastAsia="en-GB"/>
        </w:rPr>
        <w:t xml:space="preserve"> in comparison with WHO/NESRA/SON acceptable limits.</w:t>
      </w:r>
      <w:bookmarkStart w:id="1" w:name="_Toc213374074"/>
      <w:r w:rsidRPr="00695F16">
        <w:rPr>
          <w:rFonts w:ascii="Times New Roman" w:hAnsi="Times New Roman" w:cs="Times New Roman"/>
          <w:bCs/>
          <w:color w:val="000000" w:themeColor="text1"/>
          <w:lang w:eastAsia="en-GB"/>
        </w:rPr>
        <w:t xml:space="preserve"> </w:t>
      </w:r>
      <w:r w:rsidRPr="00695F16">
        <w:rPr>
          <w:rFonts w:ascii="Times New Roman" w:hAnsi="Times New Roman" w:cs="Times New Roman"/>
          <w:color w:val="000000" w:themeColor="text1"/>
        </w:rPr>
        <w:t xml:space="preserve">Figures 1, 2, and 3 are charts showing the air quality readings at </w:t>
      </w:r>
      <w:r w:rsidR="00015513" w:rsidRPr="00393D97">
        <w:rPr>
          <w:rFonts w:ascii="Times New Roman" w:hAnsi="Times New Roman" w:cs="Times New Roman"/>
          <w:bCs/>
        </w:rPr>
        <w:t>the</w:t>
      </w:r>
      <w:r w:rsidR="00015513">
        <w:rPr>
          <w:rFonts w:ascii="Times New Roman" w:hAnsi="Times New Roman" w:cs="Times New Roman"/>
          <w:color w:val="000000" w:themeColor="text1"/>
        </w:rPr>
        <w:t xml:space="preserve"> </w:t>
      </w:r>
      <w:r w:rsidRPr="00695F16">
        <w:rPr>
          <w:rFonts w:ascii="Times New Roman" w:hAnsi="Times New Roman" w:cs="Times New Roman"/>
          <w:color w:val="000000" w:themeColor="text1"/>
        </w:rPr>
        <w:t>different hospital</w:t>
      </w:r>
      <w:bookmarkEnd w:id="1"/>
      <w:r w:rsidRPr="00695F16">
        <w:rPr>
          <w:rFonts w:ascii="Times New Roman" w:hAnsi="Times New Roman" w:cs="Times New Roman"/>
          <w:color w:val="000000" w:themeColor="text1"/>
        </w:rPr>
        <w:t>s</w:t>
      </w:r>
      <w:r w:rsidR="00B173E4">
        <w:rPr>
          <w:rFonts w:ascii="Times New Roman" w:hAnsi="Times New Roman" w:cs="Times New Roman"/>
          <w:color w:val="000000" w:themeColor="text1"/>
        </w:rPr>
        <w:t>.</w:t>
      </w:r>
    </w:p>
    <w:p w14:paraId="4DDB1177" w14:textId="77777777" w:rsidR="00D21EB2" w:rsidRPr="00695F16" w:rsidRDefault="00D21EB2" w:rsidP="00D21EB2">
      <w:pPr>
        <w:spacing w:after="0" w:line="240" w:lineRule="auto"/>
        <w:jc w:val="both"/>
        <w:rPr>
          <w:rFonts w:ascii="Times New Roman" w:hAnsi="Times New Roman" w:cs="Times New Roman"/>
          <w:color w:val="000000" w:themeColor="text1"/>
          <w:lang w:eastAsia="en-GB"/>
        </w:rPr>
        <w:sectPr w:rsidR="00D21EB2" w:rsidRPr="00695F16" w:rsidSect="009D7C89">
          <w:headerReference w:type="even" r:id="rId8"/>
          <w:headerReference w:type="default" r:id="rId9"/>
          <w:footerReference w:type="even" r:id="rId10"/>
          <w:footerReference w:type="default" r:id="rId11"/>
          <w:headerReference w:type="first" r:id="rId12"/>
          <w:footerReference w:type="first" r:id="rId13"/>
          <w:pgSz w:w="12240" w:h="15840"/>
          <w:pgMar w:top="1440" w:right="900" w:bottom="1134" w:left="900" w:header="706" w:footer="706" w:gutter="0"/>
          <w:cols w:space="708"/>
          <w:docGrid w:linePitch="360"/>
        </w:sectPr>
      </w:pPr>
    </w:p>
    <w:p w14:paraId="6839F1DF" w14:textId="7B3E60CB" w:rsidR="00D21EB2" w:rsidRDefault="00D21EB2" w:rsidP="00D21EB2">
      <w:pPr>
        <w:spacing w:before="200" w:after="0" w:line="240" w:lineRule="auto"/>
        <w:jc w:val="both"/>
        <w:rPr>
          <w:rFonts w:ascii="Times New Roman" w:eastAsia="Times New Roman" w:hAnsi="Times New Roman" w:cs="Times New Roman"/>
          <w:b/>
          <w:bCs/>
          <w:color w:val="000000" w:themeColor="text1"/>
        </w:rPr>
      </w:pPr>
      <w:r w:rsidRPr="00695F16">
        <w:rPr>
          <w:rFonts w:ascii="Times New Roman" w:hAnsi="Times New Roman" w:cs="Times New Roman"/>
          <w:b/>
          <w:color w:val="000000" w:themeColor="text1"/>
        </w:rPr>
        <w:lastRenderedPageBreak/>
        <w:t>Table</w:t>
      </w:r>
      <w:r w:rsidR="00245F6D">
        <w:rPr>
          <w:rFonts w:ascii="Times New Roman" w:hAnsi="Times New Roman" w:cs="Times New Roman"/>
          <w:b/>
          <w:color w:val="000000" w:themeColor="text1"/>
        </w:rPr>
        <w:t xml:space="preserve"> </w:t>
      </w:r>
      <w:r w:rsidRPr="00695F16">
        <w:rPr>
          <w:rFonts w:ascii="Times New Roman" w:hAnsi="Times New Roman" w:cs="Times New Roman"/>
          <w:b/>
          <w:color w:val="000000" w:themeColor="text1"/>
        </w:rPr>
        <w:t>1:</w:t>
      </w:r>
      <w:r w:rsidRPr="00695F16">
        <w:rPr>
          <w:rFonts w:ascii="Times New Roman" w:eastAsia="Calibri" w:hAnsi="Times New Roman" w:cs="Times New Roman"/>
          <w:b/>
          <w:color w:val="000000" w:themeColor="text1"/>
        </w:rPr>
        <w:t xml:space="preserve"> </w:t>
      </w:r>
      <w:r w:rsidRPr="00695F16">
        <w:rPr>
          <w:rFonts w:ascii="Times New Roman" w:eastAsia="Times New Roman" w:hAnsi="Times New Roman" w:cs="Times New Roman"/>
          <w:b/>
          <w:bCs/>
          <w:color w:val="000000" w:themeColor="text1"/>
        </w:rPr>
        <w:t xml:space="preserve">Measured Air Quality Parameters in Various Departments of </w:t>
      </w:r>
      <w:r w:rsidR="00393D97">
        <w:rPr>
          <w:rFonts w:ascii="Times New Roman" w:eastAsia="Times New Roman" w:hAnsi="Times New Roman" w:cs="Times New Roman"/>
          <w:b/>
          <w:bCs/>
          <w:color w:val="000000" w:themeColor="text1"/>
        </w:rPr>
        <w:t>Three Selected</w:t>
      </w:r>
      <w:r w:rsidRPr="00695F16">
        <w:rPr>
          <w:rFonts w:ascii="Times New Roman" w:eastAsia="Times New Roman" w:hAnsi="Times New Roman" w:cs="Times New Roman"/>
          <w:b/>
          <w:bCs/>
          <w:color w:val="000000" w:themeColor="text1"/>
        </w:rPr>
        <w:t xml:space="preserve"> Hospitals</w:t>
      </w:r>
      <w:r>
        <w:rPr>
          <w:rFonts w:ascii="Times New Roman" w:eastAsia="Times New Roman" w:hAnsi="Times New Roman" w:cs="Times New Roman"/>
          <w:b/>
          <w:bCs/>
          <w:color w:val="000000" w:themeColor="text1"/>
        </w:rPr>
        <w:t xml:space="preserve"> in Delta State in C</w:t>
      </w:r>
      <w:r w:rsidRPr="00695F16">
        <w:rPr>
          <w:rFonts w:ascii="Times New Roman" w:eastAsia="Times New Roman" w:hAnsi="Times New Roman" w:cs="Times New Roman"/>
          <w:b/>
          <w:bCs/>
          <w:color w:val="000000" w:themeColor="text1"/>
        </w:rPr>
        <w:t>omparison with WHO/NESRA/SON Acceptable Limits</w:t>
      </w:r>
    </w:p>
    <w:p w14:paraId="1200EA95" w14:textId="77777777" w:rsidR="00D21EB2" w:rsidRDefault="00D21EB2" w:rsidP="00D21EB2">
      <w:pPr>
        <w:spacing w:before="200" w:after="0" w:line="240" w:lineRule="auto"/>
        <w:jc w:val="both"/>
        <w:rPr>
          <w:rFonts w:ascii="Times New Roman" w:eastAsia="Times New Roman" w:hAnsi="Times New Roman" w:cs="Times New Roman"/>
          <w:b/>
          <w:bCs/>
          <w:color w:val="000000" w:themeColor="text1"/>
        </w:rPr>
      </w:pPr>
    </w:p>
    <w:tbl>
      <w:tblPr>
        <w:tblStyle w:val="TableGrid"/>
        <w:tblW w:w="14708" w:type="dxa"/>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45"/>
        <w:gridCol w:w="1650"/>
        <w:gridCol w:w="1338"/>
        <w:gridCol w:w="1219"/>
        <w:gridCol w:w="1224"/>
        <w:gridCol w:w="1183"/>
        <w:gridCol w:w="1416"/>
        <w:gridCol w:w="1450"/>
        <w:gridCol w:w="1183"/>
        <w:gridCol w:w="1416"/>
        <w:gridCol w:w="1184"/>
      </w:tblGrid>
      <w:tr w:rsidR="00D21EB2" w:rsidRPr="00505D21" w14:paraId="5D9C3AED" w14:textId="77777777" w:rsidTr="00D659F0">
        <w:trPr>
          <w:trHeight w:val="262"/>
          <w:jc w:val="center"/>
        </w:trPr>
        <w:tc>
          <w:tcPr>
            <w:tcW w:w="1445" w:type="dxa"/>
            <w:tcBorders>
              <w:top w:val="single" w:sz="4" w:space="0" w:color="auto"/>
              <w:bottom w:val="single" w:sz="4" w:space="0" w:color="auto"/>
            </w:tcBorders>
            <w:noWrap/>
            <w:hideMark/>
          </w:tcPr>
          <w:p w14:paraId="4833FF30" w14:textId="77777777" w:rsidR="00D21EB2" w:rsidRPr="00505D21" w:rsidRDefault="00D21EB2" w:rsidP="00D659F0">
            <w:pPr>
              <w:spacing w:before="200"/>
              <w:rPr>
                <w:rFonts w:ascii="Times New Roman" w:eastAsia="Times New Roman" w:hAnsi="Times New Roman" w:cs="Times New Roman"/>
                <w:b/>
                <w:bCs/>
                <w:color w:val="000000" w:themeColor="text1"/>
                <w:sz w:val="20"/>
                <w:szCs w:val="20"/>
                <w:lang w:eastAsia="en-GB"/>
              </w:rPr>
            </w:pPr>
            <w:r w:rsidRPr="00505D21">
              <w:rPr>
                <w:rFonts w:ascii="Times New Roman" w:eastAsia="Times New Roman" w:hAnsi="Times New Roman" w:cs="Times New Roman"/>
                <w:b/>
                <w:bCs/>
                <w:color w:val="000000" w:themeColor="text1"/>
                <w:sz w:val="20"/>
                <w:szCs w:val="20"/>
                <w:lang w:eastAsia="en-GB"/>
              </w:rPr>
              <w:t>Parameter</w:t>
            </w:r>
          </w:p>
        </w:tc>
        <w:tc>
          <w:tcPr>
            <w:tcW w:w="1650" w:type="dxa"/>
            <w:tcBorders>
              <w:top w:val="single" w:sz="4" w:space="0" w:color="auto"/>
              <w:bottom w:val="single" w:sz="4" w:space="0" w:color="auto"/>
            </w:tcBorders>
            <w:noWrap/>
            <w:hideMark/>
          </w:tcPr>
          <w:p w14:paraId="0DD1C2F6" w14:textId="77777777" w:rsidR="00D21EB2" w:rsidRPr="00505D21" w:rsidRDefault="00D21EB2" w:rsidP="00D659F0">
            <w:pPr>
              <w:spacing w:before="200"/>
              <w:jc w:val="center"/>
              <w:rPr>
                <w:rFonts w:ascii="Times New Roman" w:eastAsia="Times New Roman" w:hAnsi="Times New Roman" w:cs="Times New Roman"/>
                <w:b/>
                <w:bCs/>
                <w:color w:val="000000" w:themeColor="text1"/>
                <w:sz w:val="20"/>
                <w:szCs w:val="20"/>
                <w:lang w:eastAsia="en-GB"/>
              </w:rPr>
            </w:pPr>
            <w:r w:rsidRPr="00505D21">
              <w:rPr>
                <w:rFonts w:ascii="Times New Roman" w:eastAsia="Times New Roman" w:hAnsi="Times New Roman" w:cs="Times New Roman"/>
                <w:b/>
                <w:bCs/>
                <w:color w:val="000000" w:themeColor="text1"/>
                <w:sz w:val="20"/>
                <w:szCs w:val="20"/>
                <w:lang w:eastAsia="en-GB"/>
              </w:rPr>
              <w:t>WHO/NESREA/ SON</w:t>
            </w:r>
          </w:p>
        </w:tc>
        <w:tc>
          <w:tcPr>
            <w:tcW w:w="1338" w:type="dxa"/>
            <w:tcBorders>
              <w:top w:val="single" w:sz="4" w:space="0" w:color="auto"/>
              <w:bottom w:val="single" w:sz="4" w:space="0" w:color="auto"/>
            </w:tcBorders>
            <w:noWrap/>
            <w:hideMark/>
          </w:tcPr>
          <w:p w14:paraId="433107C5" w14:textId="1BC4ABCA" w:rsidR="00D21EB2" w:rsidRPr="00505D21" w:rsidRDefault="006C632C" w:rsidP="00D659F0">
            <w:pPr>
              <w:spacing w:before="200"/>
              <w:rPr>
                <w:rFonts w:ascii="Times New Roman" w:eastAsia="Times New Roman" w:hAnsi="Times New Roman" w:cs="Times New Roman"/>
                <w:b/>
                <w:bCs/>
                <w:color w:val="000000" w:themeColor="text1"/>
                <w:sz w:val="20"/>
                <w:szCs w:val="20"/>
                <w:lang w:eastAsia="en-GB"/>
              </w:rPr>
            </w:pPr>
            <w:r>
              <w:rPr>
                <w:rFonts w:ascii="Times New Roman" w:eastAsia="Times New Roman" w:hAnsi="Times New Roman" w:cs="Times New Roman"/>
                <w:b/>
                <w:bCs/>
                <w:color w:val="000000" w:themeColor="text1"/>
                <w:sz w:val="20"/>
                <w:szCs w:val="20"/>
                <w:lang w:eastAsia="en-GB"/>
              </w:rPr>
              <w:t xml:space="preserve">Hospital </w:t>
            </w:r>
            <w:r w:rsidRPr="00505D21">
              <w:rPr>
                <w:rFonts w:ascii="Times New Roman" w:eastAsia="Times New Roman" w:hAnsi="Times New Roman" w:cs="Times New Roman"/>
                <w:b/>
                <w:bCs/>
                <w:color w:val="000000" w:themeColor="text1"/>
                <w:sz w:val="20"/>
                <w:szCs w:val="20"/>
                <w:lang w:eastAsia="en-GB"/>
              </w:rPr>
              <w:t>1</w:t>
            </w:r>
            <w:r w:rsidR="00D21EB2" w:rsidRPr="00505D21">
              <w:rPr>
                <w:rFonts w:ascii="Times New Roman" w:eastAsia="Times New Roman" w:hAnsi="Times New Roman" w:cs="Times New Roman"/>
                <w:b/>
                <w:bCs/>
                <w:color w:val="000000" w:themeColor="text1"/>
                <w:sz w:val="20"/>
                <w:szCs w:val="20"/>
                <w:lang w:eastAsia="en-GB"/>
              </w:rPr>
              <w:t xml:space="preserve"> Card/Record</w:t>
            </w:r>
          </w:p>
        </w:tc>
        <w:tc>
          <w:tcPr>
            <w:tcW w:w="1219" w:type="dxa"/>
            <w:tcBorders>
              <w:top w:val="single" w:sz="4" w:space="0" w:color="auto"/>
              <w:bottom w:val="single" w:sz="4" w:space="0" w:color="auto"/>
            </w:tcBorders>
            <w:noWrap/>
            <w:hideMark/>
          </w:tcPr>
          <w:p w14:paraId="4B03F771" w14:textId="18FEE471" w:rsidR="00D21EB2" w:rsidRPr="00505D21" w:rsidRDefault="006637DF" w:rsidP="00D659F0">
            <w:pPr>
              <w:spacing w:before="200"/>
              <w:rPr>
                <w:rFonts w:ascii="Times New Roman" w:eastAsia="Times New Roman" w:hAnsi="Times New Roman" w:cs="Times New Roman"/>
                <w:b/>
                <w:bCs/>
                <w:color w:val="000000" w:themeColor="text1"/>
                <w:sz w:val="20"/>
                <w:szCs w:val="20"/>
                <w:lang w:eastAsia="en-GB"/>
              </w:rPr>
            </w:pPr>
            <w:r>
              <w:rPr>
                <w:rFonts w:ascii="Times New Roman" w:eastAsia="Times New Roman" w:hAnsi="Times New Roman" w:cs="Times New Roman"/>
                <w:b/>
                <w:bCs/>
                <w:color w:val="000000" w:themeColor="text1"/>
                <w:sz w:val="20"/>
                <w:szCs w:val="20"/>
                <w:lang w:eastAsia="en-GB"/>
              </w:rPr>
              <w:t>Hospital</w:t>
            </w:r>
            <w:r w:rsidR="00D21EB2" w:rsidRPr="00505D21">
              <w:rPr>
                <w:rFonts w:ascii="Times New Roman" w:eastAsia="Times New Roman" w:hAnsi="Times New Roman" w:cs="Times New Roman"/>
                <w:b/>
                <w:bCs/>
                <w:color w:val="000000" w:themeColor="text1"/>
                <w:sz w:val="20"/>
                <w:szCs w:val="20"/>
                <w:lang w:eastAsia="en-GB"/>
              </w:rPr>
              <w:t xml:space="preserve"> 1 Antenatal</w:t>
            </w:r>
          </w:p>
        </w:tc>
        <w:tc>
          <w:tcPr>
            <w:tcW w:w="1224" w:type="dxa"/>
            <w:tcBorders>
              <w:top w:val="single" w:sz="4" w:space="0" w:color="auto"/>
              <w:bottom w:val="single" w:sz="4" w:space="0" w:color="auto"/>
            </w:tcBorders>
            <w:noWrap/>
            <w:hideMark/>
          </w:tcPr>
          <w:p w14:paraId="723892F3" w14:textId="307A6169" w:rsidR="00D21EB2" w:rsidRPr="00505D21" w:rsidRDefault="006637DF" w:rsidP="00D659F0">
            <w:pPr>
              <w:spacing w:before="200"/>
              <w:rPr>
                <w:rFonts w:ascii="Times New Roman" w:eastAsia="Times New Roman" w:hAnsi="Times New Roman" w:cs="Times New Roman"/>
                <w:b/>
                <w:bCs/>
                <w:color w:val="000000" w:themeColor="text1"/>
                <w:sz w:val="20"/>
                <w:szCs w:val="20"/>
                <w:lang w:eastAsia="en-GB"/>
              </w:rPr>
            </w:pPr>
            <w:r>
              <w:rPr>
                <w:rFonts w:ascii="Times New Roman" w:eastAsia="Times New Roman" w:hAnsi="Times New Roman" w:cs="Times New Roman"/>
                <w:b/>
                <w:bCs/>
                <w:color w:val="000000" w:themeColor="text1"/>
                <w:sz w:val="20"/>
                <w:szCs w:val="20"/>
                <w:lang w:eastAsia="en-GB"/>
              </w:rPr>
              <w:t>Hospital</w:t>
            </w:r>
            <w:r w:rsidR="00D21EB2" w:rsidRPr="00505D21">
              <w:rPr>
                <w:rFonts w:ascii="Times New Roman" w:eastAsia="Times New Roman" w:hAnsi="Times New Roman" w:cs="Times New Roman"/>
                <w:b/>
                <w:bCs/>
                <w:color w:val="000000" w:themeColor="text1"/>
                <w:sz w:val="20"/>
                <w:szCs w:val="20"/>
                <w:lang w:eastAsia="en-GB"/>
              </w:rPr>
              <w:t xml:space="preserve"> 1 Female ward</w:t>
            </w:r>
          </w:p>
        </w:tc>
        <w:tc>
          <w:tcPr>
            <w:tcW w:w="1183" w:type="dxa"/>
            <w:tcBorders>
              <w:top w:val="single" w:sz="4" w:space="0" w:color="auto"/>
              <w:bottom w:val="single" w:sz="4" w:space="0" w:color="auto"/>
            </w:tcBorders>
            <w:noWrap/>
            <w:hideMark/>
          </w:tcPr>
          <w:p w14:paraId="7F6A5980" w14:textId="7BBEFB35" w:rsidR="00D21EB2" w:rsidRPr="00505D21" w:rsidRDefault="006637DF" w:rsidP="00D659F0">
            <w:pPr>
              <w:spacing w:before="200"/>
              <w:rPr>
                <w:rFonts w:ascii="Times New Roman" w:eastAsia="Times New Roman" w:hAnsi="Times New Roman" w:cs="Times New Roman"/>
                <w:b/>
                <w:bCs/>
                <w:color w:val="000000" w:themeColor="text1"/>
                <w:sz w:val="20"/>
                <w:szCs w:val="20"/>
                <w:lang w:eastAsia="en-GB"/>
              </w:rPr>
            </w:pPr>
            <w:r>
              <w:rPr>
                <w:rFonts w:ascii="Times New Roman" w:eastAsia="Times New Roman" w:hAnsi="Times New Roman" w:cs="Times New Roman"/>
                <w:b/>
                <w:bCs/>
                <w:color w:val="000000" w:themeColor="text1"/>
                <w:sz w:val="20"/>
                <w:szCs w:val="20"/>
                <w:lang w:eastAsia="en-GB"/>
              </w:rPr>
              <w:t>Hospital</w:t>
            </w:r>
            <w:r w:rsidR="00D21EB2" w:rsidRPr="00505D21">
              <w:rPr>
                <w:rFonts w:ascii="Times New Roman" w:eastAsia="Times New Roman" w:hAnsi="Times New Roman" w:cs="Times New Roman"/>
                <w:b/>
                <w:bCs/>
                <w:color w:val="000000" w:themeColor="text1"/>
                <w:sz w:val="20"/>
                <w:szCs w:val="20"/>
                <w:lang w:eastAsia="en-GB"/>
              </w:rPr>
              <w:t xml:space="preserve"> 2 Ultrasound</w:t>
            </w:r>
          </w:p>
        </w:tc>
        <w:tc>
          <w:tcPr>
            <w:tcW w:w="1416" w:type="dxa"/>
            <w:tcBorders>
              <w:top w:val="single" w:sz="4" w:space="0" w:color="auto"/>
              <w:bottom w:val="single" w:sz="4" w:space="0" w:color="auto"/>
            </w:tcBorders>
            <w:noWrap/>
            <w:hideMark/>
          </w:tcPr>
          <w:p w14:paraId="2DF892FD" w14:textId="7364576E" w:rsidR="00D21EB2" w:rsidRPr="00505D21" w:rsidRDefault="006C632C" w:rsidP="00D659F0">
            <w:pPr>
              <w:spacing w:before="200"/>
              <w:rPr>
                <w:rFonts w:ascii="Times New Roman" w:eastAsia="Times New Roman" w:hAnsi="Times New Roman" w:cs="Times New Roman"/>
                <w:b/>
                <w:bCs/>
                <w:color w:val="000000" w:themeColor="text1"/>
                <w:sz w:val="20"/>
                <w:szCs w:val="20"/>
                <w:lang w:eastAsia="en-GB"/>
              </w:rPr>
            </w:pPr>
            <w:r>
              <w:rPr>
                <w:rFonts w:ascii="Times New Roman" w:eastAsia="Times New Roman" w:hAnsi="Times New Roman" w:cs="Times New Roman"/>
                <w:b/>
                <w:bCs/>
                <w:color w:val="000000" w:themeColor="text1"/>
                <w:sz w:val="20"/>
                <w:szCs w:val="20"/>
                <w:lang w:eastAsia="en-GB"/>
              </w:rPr>
              <w:t xml:space="preserve">Hospital </w:t>
            </w:r>
            <w:r w:rsidRPr="00505D21">
              <w:rPr>
                <w:rFonts w:ascii="Times New Roman" w:eastAsia="Times New Roman" w:hAnsi="Times New Roman" w:cs="Times New Roman"/>
                <w:b/>
                <w:bCs/>
                <w:color w:val="000000" w:themeColor="text1"/>
                <w:sz w:val="20"/>
                <w:szCs w:val="20"/>
                <w:lang w:eastAsia="en-GB"/>
              </w:rPr>
              <w:t>2</w:t>
            </w:r>
            <w:r w:rsidR="00D21EB2" w:rsidRPr="00505D21">
              <w:rPr>
                <w:rFonts w:ascii="Times New Roman" w:eastAsia="Times New Roman" w:hAnsi="Times New Roman" w:cs="Times New Roman"/>
                <w:b/>
                <w:bCs/>
                <w:color w:val="000000" w:themeColor="text1"/>
                <w:sz w:val="20"/>
                <w:szCs w:val="20"/>
                <w:lang w:eastAsia="en-GB"/>
              </w:rPr>
              <w:t xml:space="preserve"> Card/Records</w:t>
            </w:r>
          </w:p>
        </w:tc>
        <w:tc>
          <w:tcPr>
            <w:tcW w:w="1450" w:type="dxa"/>
            <w:tcBorders>
              <w:top w:val="single" w:sz="4" w:space="0" w:color="auto"/>
              <w:bottom w:val="single" w:sz="4" w:space="0" w:color="auto"/>
            </w:tcBorders>
            <w:noWrap/>
            <w:hideMark/>
          </w:tcPr>
          <w:p w14:paraId="342BC7C2" w14:textId="6CE86762" w:rsidR="00D21EB2" w:rsidRPr="00505D21" w:rsidRDefault="006637DF" w:rsidP="00D659F0">
            <w:pPr>
              <w:spacing w:before="200"/>
              <w:rPr>
                <w:rFonts w:ascii="Times New Roman" w:eastAsia="Times New Roman" w:hAnsi="Times New Roman" w:cs="Times New Roman"/>
                <w:b/>
                <w:bCs/>
                <w:color w:val="000000" w:themeColor="text1"/>
                <w:sz w:val="20"/>
                <w:szCs w:val="20"/>
                <w:lang w:eastAsia="en-GB"/>
              </w:rPr>
            </w:pPr>
            <w:r>
              <w:rPr>
                <w:rFonts w:ascii="Times New Roman" w:eastAsia="Times New Roman" w:hAnsi="Times New Roman" w:cs="Times New Roman"/>
                <w:b/>
                <w:bCs/>
                <w:color w:val="000000" w:themeColor="text1"/>
                <w:sz w:val="20"/>
                <w:szCs w:val="20"/>
                <w:lang w:eastAsia="en-GB"/>
              </w:rPr>
              <w:t>Hospital</w:t>
            </w:r>
            <w:r w:rsidR="00D21EB2" w:rsidRPr="00505D21">
              <w:rPr>
                <w:rFonts w:ascii="Times New Roman" w:eastAsia="Times New Roman" w:hAnsi="Times New Roman" w:cs="Times New Roman"/>
                <w:b/>
                <w:bCs/>
                <w:color w:val="000000" w:themeColor="text1"/>
                <w:sz w:val="20"/>
                <w:szCs w:val="20"/>
                <w:lang w:eastAsia="en-GB"/>
              </w:rPr>
              <w:t xml:space="preserve"> 2 Physiotherapy</w:t>
            </w:r>
          </w:p>
        </w:tc>
        <w:tc>
          <w:tcPr>
            <w:tcW w:w="1183" w:type="dxa"/>
            <w:tcBorders>
              <w:top w:val="single" w:sz="4" w:space="0" w:color="auto"/>
              <w:bottom w:val="single" w:sz="4" w:space="0" w:color="auto"/>
            </w:tcBorders>
            <w:noWrap/>
            <w:hideMark/>
          </w:tcPr>
          <w:p w14:paraId="0E9B1AC5" w14:textId="33F6BAAA" w:rsidR="00D21EB2" w:rsidRPr="00505D21" w:rsidRDefault="00E337FE" w:rsidP="00D659F0">
            <w:pPr>
              <w:spacing w:before="200"/>
              <w:rPr>
                <w:rFonts w:ascii="Times New Roman" w:eastAsia="Times New Roman" w:hAnsi="Times New Roman" w:cs="Times New Roman"/>
                <w:b/>
                <w:bCs/>
                <w:color w:val="000000" w:themeColor="text1"/>
                <w:sz w:val="20"/>
                <w:szCs w:val="20"/>
                <w:lang w:eastAsia="en-GB"/>
              </w:rPr>
            </w:pPr>
            <w:r>
              <w:rPr>
                <w:rFonts w:ascii="Times New Roman" w:eastAsia="Times New Roman" w:hAnsi="Times New Roman" w:cs="Times New Roman"/>
                <w:b/>
                <w:bCs/>
                <w:color w:val="000000" w:themeColor="text1"/>
                <w:sz w:val="20"/>
                <w:szCs w:val="20"/>
                <w:lang w:eastAsia="en-GB"/>
              </w:rPr>
              <w:t>Hospital</w:t>
            </w:r>
            <w:r w:rsidR="00D21EB2" w:rsidRPr="00505D21">
              <w:rPr>
                <w:rFonts w:ascii="Times New Roman" w:eastAsia="Times New Roman" w:hAnsi="Times New Roman" w:cs="Times New Roman"/>
                <w:b/>
                <w:bCs/>
                <w:color w:val="000000" w:themeColor="text1"/>
                <w:sz w:val="20"/>
                <w:szCs w:val="20"/>
                <w:lang w:eastAsia="en-GB"/>
              </w:rPr>
              <w:t xml:space="preserve"> 3 Emergency</w:t>
            </w:r>
          </w:p>
        </w:tc>
        <w:tc>
          <w:tcPr>
            <w:tcW w:w="1411" w:type="dxa"/>
            <w:tcBorders>
              <w:top w:val="single" w:sz="4" w:space="0" w:color="auto"/>
              <w:bottom w:val="single" w:sz="4" w:space="0" w:color="auto"/>
            </w:tcBorders>
          </w:tcPr>
          <w:p w14:paraId="6F5EC15E" w14:textId="5F2775E3" w:rsidR="00D21EB2" w:rsidRPr="00505D21" w:rsidRDefault="00E337FE" w:rsidP="00D659F0">
            <w:pPr>
              <w:spacing w:before="200"/>
              <w:rPr>
                <w:rFonts w:ascii="Times New Roman" w:eastAsia="Times New Roman" w:hAnsi="Times New Roman" w:cs="Times New Roman"/>
                <w:b/>
                <w:bCs/>
                <w:color w:val="000000" w:themeColor="text1"/>
                <w:sz w:val="20"/>
                <w:szCs w:val="20"/>
                <w:lang w:eastAsia="en-GB"/>
              </w:rPr>
            </w:pPr>
            <w:r>
              <w:rPr>
                <w:rFonts w:ascii="Times New Roman" w:eastAsia="Times New Roman" w:hAnsi="Times New Roman" w:cs="Times New Roman"/>
                <w:b/>
                <w:bCs/>
                <w:color w:val="000000" w:themeColor="text1"/>
                <w:sz w:val="20"/>
                <w:szCs w:val="20"/>
                <w:lang w:eastAsia="en-GB"/>
              </w:rPr>
              <w:t>Hospital</w:t>
            </w:r>
            <w:r w:rsidR="00D21EB2" w:rsidRPr="00505D21">
              <w:rPr>
                <w:rFonts w:ascii="Times New Roman" w:eastAsia="Times New Roman" w:hAnsi="Times New Roman" w:cs="Times New Roman"/>
                <w:b/>
                <w:bCs/>
                <w:color w:val="000000" w:themeColor="text1"/>
                <w:sz w:val="20"/>
                <w:szCs w:val="20"/>
                <w:lang w:eastAsia="en-GB"/>
              </w:rPr>
              <w:t xml:space="preserve"> 3 Card/Records</w:t>
            </w:r>
          </w:p>
        </w:tc>
        <w:tc>
          <w:tcPr>
            <w:tcW w:w="1189" w:type="dxa"/>
            <w:tcBorders>
              <w:top w:val="single" w:sz="4" w:space="0" w:color="auto"/>
              <w:bottom w:val="single" w:sz="4" w:space="0" w:color="auto"/>
            </w:tcBorders>
          </w:tcPr>
          <w:p w14:paraId="212D3022" w14:textId="13DC1496" w:rsidR="00D21EB2" w:rsidRPr="00505D21" w:rsidRDefault="00E337FE" w:rsidP="00D659F0">
            <w:pPr>
              <w:spacing w:before="200"/>
              <w:rPr>
                <w:rFonts w:ascii="Times New Roman" w:eastAsia="Times New Roman" w:hAnsi="Times New Roman" w:cs="Times New Roman"/>
                <w:b/>
                <w:bCs/>
                <w:color w:val="000000" w:themeColor="text1"/>
                <w:sz w:val="20"/>
                <w:szCs w:val="20"/>
                <w:lang w:eastAsia="en-GB"/>
              </w:rPr>
            </w:pPr>
            <w:r>
              <w:rPr>
                <w:rFonts w:ascii="Times New Roman" w:eastAsia="Times New Roman" w:hAnsi="Times New Roman" w:cs="Times New Roman"/>
                <w:b/>
                <w:bCs/>
                <w:color w:val="000000" w:themeColor="text1"/>
                <w:sz w:val="20"/>
                <w:szCs w:val="20"/>
                <w:lang w:eastAsia="en-GB"/>
              </w:rPr>
              <w:t>Hospital</w:t>
            </w:r>
            <w:r w:rsidR="00D21EB2" w:rsidRPr="00505D21">
              <w:rPr>
                <w:rFonts w:ascii="Times New Roman" w:eastAsia="Times New Roman" w:hAnsi="Times New Roman" w:cs="Times New Roman"/>
                <w:b/>
                <w:bCs/>
                <w:color w:val="000000" w:themeColor="text1"/>
                <w:sz w:val="20"/>
                <w:szCs w:val="20"/>
                <w:lang w:eastAsia="en-GB"/>
              </w:rPr>
              <w:t xml:space="preserve"> 3 Female Ward</w:t>
            </w:r>
          </w:p>
        </w:tc>
      </w:tr>
      <w:tr w:rsidR="00D21EB2" w:rsidRPr="00505D21" w14:paraId="14ACA6C8" w14:textId="77777777" w:rsidTr="00D659F0">
        <w:trPr>
          <w:trHeight w:val="262"/>
          <w:jc w:val="center"/>
        </w:trPr>
        <w:tc>
          <w:tcPr>
            <w:tcW w:w="1445" w:type="dxa"/>
            <w:tcBorders>
              <w:top w:val="single" w:sz="4" w:space="0" w:color="auto"/>
            </w:tcBorders>
            <w:noWrap/>
            <w:hideMark/>
          </w:tcPr>
          <w:p w14:paraId="4D8D873D" w14:textId="77777777" w:rsidR="00D21EB2" w:rsidRPr="00505D21" w:rsidRDefault="00D21EB2" w:rsidP="00D659F0">
            <w:pPr>
              <w:spacing w:before="200"/>
              <w:rPr>
                <w:rFonts w:ascii="Times New Roman" w:eastAsia="Times New Roman" w:hAnsi="Times New Roman" w:cs="Times New Roman"/>
                <w:color w:val="000000" w:themeColor="text1"/>
                <w:sz w:val="20"/>
                <w:szCs w:val="20"/>
                <w:lang w:eastAsia="en-GB"/>
              </w:rPr>
            </w:pPr>
            <w:r w:rsidRPr="00505D21">
              <w:rPr>
                <w:rFonts w:ascii="Times New Roman" w:eastAsia="Times New Roman" w:hAnsi="Times New Roman" w:cs="Times New Roman"/>
                <w:color w:val="000000" w:themeColor="text1"/>
                <w:sz w:val="20"/>
                <w:szCs w:val="20"/>
                <w:lang w:eastAsia="en-GB"/>
              </w:rPr>
              <w:t>Temp (°C)</w:t>
            </w:r>
          </w:p>
        </w:tc>
        <w:tc>
          <w:tcPr>
            <w:tcW w:w="1650" w:type="dxa"/>
            <w:tcBorders>
              <w:top w:val="single" w:sz="4" w:space="0" w:color="auto"/>
            </w:tcBorders>
            <w:noWrap/>
            <w:hideMark/>
          </w:tcPr>
          <w:p w14:paraId="498A13A4" w14:textId="77777777" w:rsidR="00D21EB2" w:rsidRPr="00505D21" w:rsidRDefault="00D21EB2" w:rsidP="00D659F0">
            <w:pPr>
              <w:spacing w:before="200"/>
              <w:ind w:firstLine="432"/>
              <w:rPr>
                <w:rFonts w:ascii="Times New Roman" w:eastAsia="Times New Roman" w:hAnsi="Times New Roman" w:cs="Times New Roman"/>
                <w:color w:val="000000" w:themeColor="text1"/>
                <w:sz w:val="20"/>
                <w:szCs w:val="20"/>
                <w:lang w:eastAsia="en-GB"/>
              </w:rPr>
            </w:pPr>
            <w:r w:rsidRPr="00505D21">
              <w:rPr>
                <w:rFonts w:ascii="Times New Roman" w:eastAsia="Times New Roman" w:hAnsi="Times New Roman" w:cs="Times New Roman"/>
                <w:color w:val="000000" w:themeColor="text1"/>
                <w:sz w:val="20"/>
                <w:szCs w:val="20"/>
                <w:lang w:eastAsia="en-GB"/>
              </w:rPr>
              <w:t>18–24</w:t>
            </w:r>
          </w:p>
        </w:tc>
        <w:tc>
          <w:tcPr>
            <w:tcW w:w="1338" w:type="dxa"/>
            <w:tcBorders>
              <w:top w:val="single" w:sz="4" w:space="0" w:color="auto"/>
            </w:tcBorders>
            <w:noWrap/>
            <w:hideMark/>
          </w:tcPr>
          <w:p w14:paraId="5120444F" w14:textId="77777777" w:rsidR="00D21EB2" w:rsidRPr="00505D21" w:rsidRDefault="00D21EB2" w:rsidP="00D659F0">
            <w:pPr>
              <w:spacing w:before="200"/>
              <w:rPr>
                <w:rFonts w:ascii="Times New Roman" w:eastAsia="Times New Roman" w:hAnsi="Times New Roman" w:cs="Times New Roman"/>
                <w:color w:val="000000" w:themeColor="text1"/>
                <w:sz w:val="20"/>
                <w:szCs w:val="20"/>
                <w:lang w:eastAsia="en-GB"/>
              </w:rPr>
            </w:pPr>
            <w:r w:rsidRPr="00505D21">
              <w:rPr>
                <w:rFonts w:ascii="Times New Roman" w:eastAsia="Times New Roman" w:hAnsi="Times New Roman" w:cs="Times New Roman"/>
                <w:color w:val="000000" w:themeColor="text1"/>
                <w:sz w:val="20"/>
                <w:szCs w:val="20"/>
                <w:lang w:eastAsia="en-GB"/>
              </w:rPr>
              <w:t>29. 1± 0.49</w:t>
            </w:r>
          </w:p>
        </w:tc>
        <w:tc>
          <w:tcPr>
            <w:tcW w:w="1219" w:type="dxa"/>
            <w:tcBorders>
              <w:top w:val="single" w:sz="4" w:space="0" w:color="auto"/>
            </w:tcBorders>
            <w:noWrap/>
            <w:hideMark/>
          </w:tcPr>
          <w:p w14:paraId="5DE95A59" w14:textId="77777777" w:rsidR="00D21EB2" w:rsidRPr="00505D21" w:rsidRDefault="00D21EB2" w:rsidP="00D659F0">
            <w:pPr>
              <w:spacing w:before="200"/>
              <w:rPr>
                <w:rFonts w:ascii="Times New Roman" w:eastAsia="Times New Roman" w:hAnsi="Times New Roman" w:cs="Times New Roman"/>
                <w:color w:val="000000" w:themeColor="text1"/>
                <w:sz w:val="20"/>
                <w:szCs w:val="20"/>
                <w:lang w:eastAsia="en-GB"/>
              </w:rPr>
            </w:pPr>
            <w:r w:rsidRPr="00505D21">
              <w:rPr>
                <w:rFonts w:ascii="Times New Roman" w:eastAsia="Times New Roman" w:hAnsi="Times New Roman" w:cs="Times New Roman"/>
                <w:color w:val="000000" w:themeColor="text1"/>
                <w:sz w:val="20"/>
                <w:szCs w:val="20"/>
                <w:lang w:eastAsia="en-GB"/>
              </w:rPr>
              <w:t>29.5±0.44</w:t>
            </w:r>
          </w:p>
        </w:tc>
        <w:tc>
          <w:tcPr>
            <w:tcW w:w="1224" w:type="dxa"/>
            <w:tcBorders>
              <w:top w:val="single" w:sz="4" w:space="0" w:color="auto"/>
            </w:tcBorders>
            <w:noWrap/>
            <w:hideMark/>
          </w:tcPr>
          <w:p w14:paraId="5C3BE564" w14:textId="77777777" w:rsidR="00D21EB2" w:rsidRPr="00505D21" w:rsidRDefault="00D21EB2" w:rsidP="00D659F0">
            <w:pPr>
              <w:spacing w:before="200"/>
              <w:rPr>
                <w:rFonts w:ascii="Times New Roman" w:eastAsia="Times New Roman" w:hAnsi="Times New Roman" w:cs="Times New Roman"/>
                <w:color w:val="000000" w:themeColor="text1"/>
                <w:sz w:val="20"/>
                <w:szCs w:val="20"/>
                <w:lang w:eastAsia="en-GB"/>
              </w:rPr>
            </w:pPr>
            <w:r w:rsidRPr="00505D21">
              <w:rPr>
                <w:rFonts w:ascii="Times New Roman" w:eastAsia="Times New Roman" w:hAnsi="Times New Roman" w:cs="Times New Roman"/>
                <w:color w:val="000000" w:themeColor="text1"/>
                <w:sz w:val="20"/>
                <w:szCs w:val="20"/>
                <w:lang w:eastAsia="en-GB"/>
              </w:rPr>
              <w:t>29.6 ± 0.71</w:t>
            </w:r>
          </w:p>
        </w:tc>
        <w:tc>
          <w:tcPr>
            <w:tcW w:w="1183" w:type="dxa"/>
            <w:tcBorders>
              <w:top w:val="single" w:sz="4" w:space="0" w:color="auto"/>
            </w:tcBorders>
            <w:noWrap/>
            <w:hideMark/>
          </w:tcPr>
          <w:p w14:paraId="00DC1E19" w14:textId="77777777" w:rsidR="00D21EB2" w:rsidRPr="00505D21" w:rsidRDefault="00D21EB2" w:rsidP="00D659F0">
            <w:pPr>
              <w:spacing w:before="200"/>
              <w:rPr>
                <w:rFonts w:ascii="Times New Roman" w:eastAsia="Times New Roman" w:hAnsi="Times New Roman" w:cs="Times New Roman"/>
                <w:color w:val="000000" w:themeColor="text1"/>
                <w:sz w:val="20"/>
                <w:szCs w:val="20"/>
                <w:lang w:eastAsia="en-GB"/>
              </w:rPr>
            </w:pPr>
            <w:r w:rsidRPr="00505D21">
              <w:rPr>
                <w:rFonts w:ascii="Times New Roman" w:eastAsia="Times New Roman" w:hAnsi="Times New Roman" w:cs="Times New Roman"/>
                <w:color w:val="000000" w:themeColor="text1"/>
                <w:sz w:val="20"/>
                <w:szCs w:val="20"/>
                <w:lang w:eastAsia="en-GB"/>
              </w:rPr>
              <w:t>31.2 ± 0.88</w:t>
            </w:r>
          </w:p>
        </w:tc>
        <w:tc>
          <w:tcPr>
            <w:tcW w:w="1416" w:type="dxa"/>
            <w:tcBorders>
              <w:top w:val="single" w:sz="4" w:space="0" w:color="auto"/>
            </w:tcBorders>
            <w:noWrap/>
            <w:hideMark/>
          </w:tcPr>
          <w:p w14:paraId="177B66B9" w14:textId="77777777" w:rsidR="00D21EB2" w:rsidRPr="00505D21" w:rsidRDefault="00D21EB2" w:rsidP="00D659F0">
            <w:pPr>
              <w:spacing w:before="200"/>
              <w:rPr>
                <w:rFonts w:ascii="Times New Roman" w:eastAsia="Times New Roman" w:hAnsi="Times New Roman" w:cs="Times New Roman"/>
                <w:color w:val="000000" w:themeColor="text1"/>
                <w:sz w:val="20"/>
                <w:szCs w:val="20"/>
                <w:lang w:eastAsia="en-GB"/>
              </w:rPr>
            </w:pPr>
            <w:r w:rsidRPr="00505D21">
              <w:rPr>
                <w:rFonts w:ascii="Times New Roman" w:eastAsia="Times New Roman" w:hAnsi="Times New Roman" w:cs="Times New Roman"/>
                <w:color w:val="000000" w:themeColor="text1"/>
                <w:sz w:val="20"/>
                <w:szCs w:val="20"/>
                <w:lang w:eastAsia="en-GB"/>
              </w:rPr>
              <w:t>32.1 ± 0.68</w:t>
            </w:r>
          </w:p>
        </w:tc>
        <w:tc>
          <w:tcPr>
            <w:tcW w:w="1450" w:type="dxa"/>
            <w:tcBorders>
              <w:top w:val="single" w:sz="4" w:space="0" w:color="auto"/>
            </w:tcBorders>
            <w:noWrap/>
            <w:hideMark/>
          </w:tcPr>
          <w:p w14:paraId="74207F2D" w14:textId="77777777" w:rsidR="00D21EB2" w:rsidRPr="00505D21" w:rsidRDefault="00D21EB2" w:rsidP="00D659F0">
            <w:pPr>
              <w:spacing w:before="200"/>
              <w:rPr>
                <w:rFonts w:ascii="Times New Roman" w:eastAsia="Times New Roman" w:hAnsi="Times New Roman" w:cs="Times New Roman"/>
                <w:color w:val="000000" w:themeColor="text1"/>
                <w:sz w:val="20"/>
                <w:szCs w:val="20"/>
                <w:lang w:eastAsia="en-GB"/>
              </w:rPr>
            </w:pPr>
            <w:r w:rsidRPr="00505D21">
              <w:rPr>
                <w:rFonts w:ascii="Times New Roman" w:eastAsia="Times New Roman" w:hAnsi="Times New Roman" w:cs="Times New Roman"/>
                <w:color w:val="000000" w:themeColor="text1"/>
                <w:sz w:val="20"/>
                <w:szCs w:val="20"/>
                <w:lang w:eastAsia="en-GB"/>
              </w:rPr>
              <w:t>32.4 ± 0.32</w:t>
            </w:r>
          </w:p>
        </w:tc>
        <w:tc>
          <w:tcPr>
            <w:tcW w:w="1183" w:type="dxa"/>
            <w:tcBorders>
              <w:top w:val="single" w:sz="4" w:space="0" w:color="auto"/>
            </w:tcBorders>
            <w:noWrap/>
            <w:hideMark/>
          </w:tcPr>
          <w:p w14:paraId="1DBBE0FE" w14:textId="77777777" w:rsidR="00D21EB2" w:rsidRPr="00505D21" w:rsidRDefault="00D21EB2" w:rsidP="00D659F0">
            <w:pPr>
              <w:spacing w:before="200"/>
              <w:rPr>
                <w:rFonts w:ascii="Times New Roman" w:eastAsia="Times New Roman" w:hAnsi="Times New Roman" w:cs="Times New Roman"/>
                <w:color w:val="000000" w:themeColor="text1"/>
                <w:sz w:val="20"/>
                <w:szCs w:val="20"/>
                <w:lang w:eastAsia="en-GB"/>
              </w:rPr>
            </w:pPr>
            <w:r w:rsidRPr="00505D21">
              <w:rPr>
                <w:rFonts w:ascii="Times New Roman" w:eastAsia="Times New Roman" w:hAnsi="Times New Roman" w:cs="Times New Roman"/>
                <w:color w:val="000000" w:themeColor="text1"/>
                <w:sz w:val="20"/>
                <w:szCs w:val="20"/>
                <w:lang w:eastAsia="en-GB"/>
              </w:rPr>
              <w:t>32.5±0.30</w:t>
            </w:r>
          </w:p>
        </w:tc>
        <w:tc>
          <w:tcPr>
            <w:tcW w:w="1411" w:type="dxa"/>
            <w:tcBorders>
              <w:top w:val="single" w:sz="4" w:space="0" w:color="auto"/>
            </w:tcBorders>
          </w:tcPr>
          <w:p w14:paraId="4BB320E7" w14:textId="77777777" w:rsidR="00D21EB2" w:rsidRPr="00505D21" w:rsidRDefault="00D21EB2" w:rsidP="00D659F0">
            <w:pPr>
              <w:spacing w:before="200"/>
              <w:rPr>
                <w:rFonts w:ascii="Times New Roman" w:eastAsia="Times New Roman" w:hAnsi="Times New Roman" w:cs="Times New Roman"/>
                <w:color w:val="000000" w:themeColor="text1"/>
                <w:sz w:val="20"/>
                <w:szCs w:val="20"/>
                <w:lang w:eastAsia="en-GB"/>
              </w:rPr>
            </w:pPr>
            <w:r w:rsidRPr="00505D21">
              <w:rPr>
                <w:rFonts w:ascii="Times New Roman" w:eastAsia="Times New Roman" w:hAnsi="Times New Roman" w:cs="Times New Roman"/>
                <w:color w:val="000000" w:themeColor="text1"/>
                <w:sz w:val="20"/>
                <w:szCs w:val="20"/>
                <w:lang w:eastAsia="en-GB"/>
              </w:rPr>
              <w:t>31.1± 0.21</w:t>
            </w:r>
          </w:p>
        </w:tc>
        <w:tc>
          <w:tcPr>
            <w:tcW w:w="1189" w:type="dxa"/>
            <w:tcBorders>
              <w:top w:val="single" w:sz="4" w:space="0" w:color="auto"/>
            </w:tcBorders>
          </w:tcPr>
          <w:p w14:paraId="32021356" w14:textId="77777777" w:rsidR="00D21EB2" w:rsidRPr="00505D21" w:rsidRDefault="00D21EB2" w:rsidP="00D659F0">
            <w:pPr>
              <w:spacing w:before="200"/>
              <w:rPr>
                <w:rFonts w:ascii="Times New Roman" w:eastAsia="Times New Roman" w:hAnsi="Times New Roman" w:cs="Times New Roman"/>
                <w:color w:val="000000" w:themeColor="text1"/>
                <w:sz w:val="20"/>
                <w:szCs w:val="20"/>
                <w:lang w:eastAsia="en-GB"/>
              </w:rPr>
            </w:pPr>
            <w:r w:rsidRPr="00505D21">
              <w:rPr>
                <w:rFonts w:ascii="Times New Roman" w:eastAsia="Times New Roman" w:hAnsi="Times New Roman" w:cs="Times New Roman"/>
                <w:color w:val="000000" w:themeColor="text1"/>
                <w:sz w:val="20"/>
                <w:szCs w:val="20"/>
                <w:lang w:eastAsia="en-GB"/>
              </w:rPr>
              <w:t>32.8±0.56</w:t>
            </w:r>
          </w:p>
        </w:tc>
      </w:tr>
      <w:tr w:rsidR="00D21EB2" w:rsidRPr="00505D21" w14:paraId="02FDC327" w14:textId="77777777" w:rsidTr="00D659F0">
        <w:trPr>
          <w:trHeight w:val="262"/>
          <w:jc w:val="center"/>
        </w:trPr>
        <w:tc>
          <w:tcPr>
            <w:tcW w:w="1445" w:type="dxa"/>
            <w:noWrap/>
            <w:hideMark/>
          </w:tcPr>
          <w:p w14:paraId="3E8706A5" w14:textId="77777777" w:rsidR="00D21EB2" w:rsidRPr="00505D21" w:rsidRDefault="00D21EB2" w:rsidP="00D659F0">
            <w:pPr>
              <w:spacing w:before="200"/>
              <w:rPr>
                <w:rFonts w:ascii="Times New Roman" w:eastAsia="Times New Roman" w:hAnsi="Times New Roman" w:cs="Times New Roman"/>
                <w:color w:val="000000" w:themeColor="text1"/>
                <w:sz w:val="20"/>
                <w:szCs w:val="20"/>
                <w:lang w:eastAsia="en-GB"/>
              </w:rPr>
            </w:pPr>
            <w:r w:rsidRPr="00505D21">
              <w:rPr>
                <w:rFonts w:ascii="Times New Roman" w:eastAsia="Times New Roman" w:hAnsi="Times New Roman" w:cs="Times New Roman"/>
                <w:color w:val="000000" w:themeColor="text1"/>
                <w:sz w:val="20"/>
                <w:szCs w:val="20"/>
                <w:lang w:eastAsia="en-GB"/>
              </w:rPr>
              <w:t>Wind Speed (mph)</w:t>
            </w:r>
          </w:p>
          <w:p w14:paraId="5D16C66D" w14:textId="77777777" w:rsidR="00D21EB2" w:rsidRPr="00505D21" w:rsidRDefault="00D21EB2" w:rsidP="00D659F0">
            <w:pPr>
              <w:rPr>
                <w:rFonts w:ascii="Times New Roman" w:eastAsia="Times New Roman" w:hAnsi="Times New Roman" w:cs="Times New Roman"/>
                <w:color w:val="000000" w:themeColor="text1"/>
                <w:sz w:val="20"/>
                <w:szCs w:val="20"/>
                <w:lang w:eastAsia="en-GB"/>
              </w:rPr>
            </w:pPr>
            <w:r w:rsidRPr="00505D21">
              <w:rPr>
                <w:rFonts w:ascii="Times New Roman" w:eastAsia="Times New Roman" w:hAnsi="Times New Roman" w:cs="Times New Roman"/>
                <w:color w:val="000000" w:themeColor="text1"/>
                <w:sz w:val="20"/>
                <w:szCs w:val="20"/>
                <w:lang w:eastAsia="en-GB"/>
              </w:rPr>
              <w:t>PM2.5 (ug/m</w:t>
            </w:r>
            <w:r w:rsidRPr="00505D21">
              <w:rPr>
                <w:rFonts w:ascii="Times New Roman" w:eastAsia="Times New Roman" w:hAnsi="Times New Roman" w:cs="Times New Roman"/>
                <w:color w:val="000000" w:themeColor="text1"/>
                <w:sz w:val="20"/>
                <w:szCs w:val="20"/>
                <w:vertAlign w:val="superscript"/>
                <w:lang w:eastAsia="en-GB"/>
              </w:rPr>
              <w:t>3</w:t>
            </w:r>
            <w:r w:rsidRPr="00505D21">
              <w:rPr>
                <w:rFonts w:ascii="Times New Roman" w:eastAsia="Times New Roman" w:hAnsi="Times New Roman" w:cs="Times New Roman"/>
                <w:color w:val="000000" w:themeColor="text1"/>
                <w:sz w:val="20"/>
                <w:szCs w:val="20"/>
                <w:lang w:eastAsia="en-GB"/>
              </w:rPr>
              <w:t>)</w:t>
            </w:r>
          </w:p>
          <w:p w14:paraId="4DC71F4F" w14:textId="77777777" w:rsidR="00D21EB2" w:rsidRPr="00505D21" w:rsidRDefault="00D21EB2" w:rsidP="00D659F0">
            <w:pPr>
              <w:spacing w:before="200"/>
              <w:rPr>
                <w:rFonts w:ascii="Times New Roman" w:eastAsia="Times New Roman" w:hAnsi="Times New Roman" w:cs="Times New Roman"/>
                <w:color w:val="000000" w:themeColor="text1"/>
                <w:sz w:val="20"/>
                <w:szCs w:val="20"/>
                <w:lang w:eastAsia="en-GB"/>
              </w:rPr>
            </w:pPr>
            <w:r w:rsidRPr="00505D21">
              <w:rPr>
                <w:rFonts w:ascii="Times New Roman" w:eastAsia="Times New Roman" w:hAnsi="Times New Roman" w:cs="Times New Roman"/>
                <w:color w:val="000000" w:themeColor="text1"/>
                <w:sz w:val="20"/>
                <w:szCs w:val="20"/>
                <w:lang w:eastAsia="en-GB"/>
              </w:rPr>
              <w:t>PM10 (ug/m</w:t>
            </w:r>
            <w:r w:rsidRPr="00505D21">
              <w:rPr>
                <w:rFonts w:ascii="Times New Roman" w:eastAsia="Times New Roman" w:hAnsi="Times New Roman" w:cs="Times New Roman"/>
                <w:color w:val="000000" w:themeColor="text1"/>
                <w:sz w:val="20"/>
                <w:szCs w:val="20"/>
                <w:vertAlign w:val="superscript"/>
                <w:lang w:eastAsia="en-GB"/>
              </w:rPr>
              <w:t>3</w:t>
            </w:r>
            <w:r w:rsidRPr="00505D21">
              <w:rPr>
                <w:rFonts w:ascii="Times New Roman" w:eastAsia="Times New Roman" w:hAnsi="Times New Roman" w:cs="Times New Roman"/>
                <w:color w:val="000000" w:themeColor="text1"/>
                <w:sz w:val="20"/>
                <w:szCs w:val="20"/>
                <w:lang w:eastAsia="en-GB"/>
              </w:rPr>
              <w:t>)</w:t>
            </w:r>
          </w:p>
        </w:tc>
        <w:tc>
          <w:tcPr>
            <w:tcW w:w="1650" w:type="dxa"/>
            <w:noWrap/>
            <w:hideMark/>
          </w:tcPr>
          <w:p w14:paraId="6B090020" w14:textId="77777777" w:rsidR="00D21EB2" w:rsidRPr="00505D21" w:rsidRDefault="00D21EB2" w:rsidP="00D659F0">
            <w:pPr>
              <w:spacing w:before="200"/>
              <w:ind w:firstLine="432"/>
              <w:rPr>
                <w:rFonts w:ascii="Times New Roman" w:eastAsia="Times New Roman" w:hAnsi="Times New Roman" w:cs="Times New Roman"/>
                <w:color w:val="000000" w:themeColor="text1"/>
                <w:sz w:val="20"/>
                <w:szCs w:val="20"/>
                <w:lang w:eastAsia="en-GB"/>
              </w:rPr>
            </w:pPr>
            <w:r w:rsidRPr="00505D21">
              <w:rPr>
                <w:rFonts w:ascii="Times New Roman" w:eastAsia="Times New Roman" w:hAnsi="Times New Roman" w:cs="Times New Roman"/>
                <w:color w:val="000000" w:themeColor="text1"/>
                <w:sz w:val="20"/>
                <w:szCs w:val="20"/>
                <w:lang w:eastAsia="en-GB"/>
              </w:rPr>
              <w:t>—</w:t>
            </w:r>
          </w:p>
          <w:p w14:paraId="5356B114" w14:textId="77777777" w:rsidR="00D21EB2" w:rsidRPr="00505D21" w:rsidRDefault="00D21EB2" w:rsidP="00D659F0">
            <w:pPr>
              <w:spacing w:before="200"/>
              <w:ind w:firstLine="432"/>
              <w:rPr>
                <w:rFonts w:ascii="Times New Roman" w:eastAsia="Times New Roman" w:hAnsi="Times New Roman" w:cs="Times New Roman"/>
                <w:color w:val="000000" w:themeColor="text1"/>
                <w:sz w:val="20"/>
                <w:szCs w:val="20"/>
                <w:lang w:eastAsia="en-GB"/>
              </w:rPr>
            </w:pPr>
            <w:r w:rsidRPr="00505D21">
              <w:rPr>
                <w:rFonts w:ascii="Times New Roman" w:eastAsia="Times New Roman" w:hAnsi="Times New Roman" w:cs="Times New Roman"/>
                <w:color w:val="000000" w:themeColor="text1"/>
                <w:sz w:val="20"/>
                <w:szCs w:val="20"/>
                <w:lang w:eastAsia="en-GB"/>
              </w:rPr>
              <w:t>15</w:t>
            </w:r>
          </w:p>
          <w:p w14:paraId="3FD42402" w14:textId="77777777" w:rsidR="00D21EB2" w:rsidRPr="00505D21" w:rsidRDefault="00D21EB2" w:rsidP="00D659F0">
            <w:pPr>
              <w:spacing w:before="200"/>
              <w:ind w:firstLine="432"/>
              <w:rPr>
                <w:rFonts w:ascii="Times New Roman" w:eastAsia="Times New Roman" w:hAnsi="Times New Roman" w:cs="Times New Roman"/>
                <w:color w:val="000000" w:themeColor="text1"/>
                <w:sz w:val="20"/>
                <w:szCs w:val="20"/>
                <w:lang w:eastAsia="en-GB"/>
              </w:rPr>
            </w:pPr>
            <w:r w:rsidRPr="00505D21">
              <w:rPr>
                <w:rFonts w:ascii="Times New Roman" w:eastAsia="Times New Roman" w:hAnsi="Times New Roman" w:cs="Times New Roman"/>
                <w:color w:val="000000" w:themeColor="text1"/>
                <w:sz w:val="20"/>
                <w:szCs w:val="20"/>
                <w:lang w:eastAsia="en-GB"/>
              </w:rPr>
              <w:t xml:space="preserve">45 </w:t>
            </w:r>
          </w:p>
        </w:tc>
        <w:tc>
          <w:tcPr>
            <w:tcW w:w="1338" w:type="dxa"/>
            <w:noWrap/>
            <w:hideMark/>
          </w:tcPr>
          <w:p w14:paraId="48762F1A" w14:textId="77777777" w:rsidR="00D21EB2" w:rsidRPr="00505D21" w:rsidRDefault="00D21EB2" w:rsidP="00D659F0">
            <w:pPr>
              <w:spacing w:before="200"/>
              <w:rPr>
                <w:rFonts w:ascii="Times New Roman" w:eastAsia="Times New Roman" w:hAnsi="Times New Roman" w:cs="Times New Roman"/>
                <w:color w:val="000000" w:themeColor="text1"/>
                <w:sz w:val="20"/>
                <w:szCs w:val="20"/>
                <w:lang w:eastAsia="en-GB"/>
              </w:rPr>
            </w:pPr>
            <w:r w:rsidRPr="00505D21">
              <w:rPr>
                <w:rFonts w:ascii="Times New Roman" w:eastAsia="Times New Roman" w:hAnsi="Times New Roman" w:cs="Times New Roman"/>
                <w:color w:val="000000" w:themeColor="text1"/>
                <w:sz w:val="20"/>
                <w:szCs w:val="20"/>
                <w:lang w:eastAsia="en-GB"/>
              </w:rPr>
              <w:t>0 .2 ± 0.00</w:t>
            </w:r>
          </w:p>
          <w:p w14:paraId="78F9D222" w14:textId="77777777" w:rsidR="00D21EB2" w:rsidRPr="00505D21" w:rsidRDefault="00D21EB2" w:rsidP="00D659F0">
            <w:pPr>
              <w:spacing w:before="200"/>
              <w:rPr>
                <w:rFonts w:ascii="Times New Roman" w:eastAsia="Times New Roman" w:hAnsi="Times New Roman" w:cs="Times New Roman"/>
                <w:color w:val="000000" w:themeColor="text1"/>
                <w:sz w:val="20"/>
                <w:szCs w:val="20"/>
                <w:lang w:eastAsia="en-GB"/>
              </w:rPr>
            </w:pPr>
            <w:r w:rsidRPr="00505D21">
              <w:rPr>
                <w:rFonts w:ascii="Times New Roman" w:eastAsia="Times New Roman" w:hAnsi="Times New Roman" w:cs="Times New Roman"/>
                <w:color w:val="000000" w:themeColor="text1"/>
                <w:sz w:val="20"/>
                <w:szCs w:val="20"/>
                <w:lang w:eastAsia="en-GB"/>
              </w:rPr>
              <w:t>30.7</w:t>
            </w:r>
          </w:p>
          <w:p w14:paraId="22FF4C74" w14:textId="77777777" w:rsidR="00D21EB2" w:rsidRPr="00505D21" w:rsidRDefault="00D21EB2" w:rsidP="00D659F0">
            <w:pPr>
              <w:spacing w:before="200"/>
              <w:rPr>
                <w:rFonts w:ascii="Times New Roman" w:eastAsia="Times New Roman" w:hAnsi="Times New Roman" w:cs="Times New Roman"/>
                <w:color w:val="000000" w:themeColor="text1"/>
                <w:sz w:val="20"/>
                <w:szCs w:val="20"/>
                <w:lang w:eastAsia="en-GB"/>
              </w:rPr>
            </w:pPr>
            <w:r w:rsidRPr="00505D21">
              <w:rPr>
                <w:rFonts w:ascii="Times New Roman" w:eastAsia="Times New Roman" w:hAnsi="Times New Roman" w:cs="Times New Roman"/>
                <w:color w:val="000000" w:themeColor="text1"/>
                <w:sz w:val="20"/>
                <w:szCs w:val="20"/>
                <w:lang w:eastAsia="en-GB"/>
              </w:rPr>
              <w:t>46.3</w:t>
            </w:r>
          </w:p>
        </w:tc>
        <w:tc>
          <w:tcPr>
            <w:tcW w:w="1219" w:type="dxa"/>
            <w:noWrap/>
            <w:hideMark/>
          </w:tcPr>
          <w:p w14:paraId="3724B969" w14:textId="77777777" w:rsidR="00D21EB2" w:rsidRPr="00505D21" w:rsidRDefault="00D21EB2" w:rsidP="00D659F0">
            <w:pPr>
              <w:spacing w:before="200"/>
              <w:rPr>
                <w:rFonts w:ascii="Times New Roman" w:eastAsia="Times New Roman" w:hAnsi="Times New Roman" w:cs="Times New Roman"/>
                <w:color w:val="000000" w:themeColor="text1"/>
                <w:sz w:val="20"/>
                <w:szCs w:val="20"/>
                <w:lang w:eastAsia="en-GB"/>
              </w:rPr>
            </w:pPr>
            <w:r w:rsidRPr="00505D21">
              <w:rPr>
                <w:rFonts w:ascii="Times New Roman" w:eastAsia="Times New Roman" w:hAnsi="Times New Roman" w:cs="Times New Roman"/>
                <w:color w:val="000000" w:themeColor="text1"/>
                <w:sz w:val="20"/>
                <w:szCs w:val="20"/>
                <w:lang w:eastAsia="en-GB"/>
              </w:rPr>
              <w:t>0.0 ± 0.0</w:t>
            </w:r>
          </w:p>
          <w:p w14:paraId="16E9BEA0" w14:textId="77777777" w:rsidR="00D21EB2" w:rsidRPr="00505D21" w:rsidRDefault="00D21EB2" w:rsidP="00D659F0">
            <w:pPr>
              <w:spacing w:before="200"/>
              <w:rPr>
                <w:rFonts w:ascii="Times New Roman" w:eastAsia="Times New Roman" w:hAnsi="Times New Roman" w:cs="Times New Roman"/>
                <w:color w:val="000000" w:themeColor="text1"/>
                <w:sz w:val="20"/>
                <w:szCs w:val="20"/>
                <w:lang w:eastAsia="en-GB"/>
              </w:rPr>
            </w:pPr>
            <w:r w:rsidRPr="00505D21">
              <w:rPr>
                <w:rFonts w:ascii="Times New Roman" w:eastAsia="Times New Roman" w:hAnsi="Times New Roman" w:cs="Times New Roman"/>
                <w:color w:val="000000" w:themeColor="text1"/>
                <w:sz w:val="20"/>
                <w:szCs w:val="20"/>
                <w:lang w:eastAsia="en-GB"/>
              </w:rPr>
              <w:t>28.8</w:t>
            </w:r>
          </w:p>
          <w:p w14:paraId="2042AC8F" w14:textId="77777777" w:rsidR="00D21EB2" w:rsidRPr="00505D21" w:rsidRDefault="00D21EB2" w:rsidP="00D659F0">
            <w:pPr>
              <w:spacing w:before="200"/>
              <w:rPr>
                <w:rFonts w:ascii="Times New Roman" w:eastAsia="Times New Roman" w:hAnsi="Times New Roman" w:cs="Times New Roman"/>
                <w:color w:val="000000" w:themeColor="text1"/>
                <w:sz w:val="20"/>
                <w:szCs w:val="20"/>
                <w:lang w:eastAsia="en-GB"/>
              </w:rPr>
            </w:pPr>
            <w:r w:rsidRPr="00505D21">
              <w:rPr>
                <w:rFonts w:ascii="Times New Roman" w:eastAsia="Times New Roman" w:hAnsi="Times New Roman" w:cs="Times New Roman"/>
                <w:color w:val="000000" w:themeColor="text1"/>
                <w:sz w:val="20"/>
                <w:szCs w:val="20"/>
                <w:lang w:eastAsia="en-GB"/>
              </w:rPr>
              <w:t>48.3</w:t>
            </w:r>
          </w:p>
        </w:tc>
        <w:tc>
          <w:tcPr>
            <w:tcW w:w="1224" w:type="dxa"/>
            <w:noWrap/>
            <w:hideMark/>
          </w:tcPr>
          <w:p w14:paraId="38E2B8C6" w14:textId="77777777" w:rsidR="00D21EB2" w:rsidRPr="00505D21" w:rsidRDefault="00D21EB2" w:rsidP="00D659F0">
            <w:pPr>
              <w:spacing w:before="200"/>
              <w:rPr>
                <w:rFonts w:ascii="Times New Roman" w:eastAsia="Times New Roman" w:hAnsi="Times New Roman" w:cs="Times New Roman"/>
                <w:color w:val="000000" w:themeColor="text1"/>
                <w:sz w:val="20"/>
                <w:szCs w:val="20"/>
                <w:lang w:eastAsia="en-GB"/>
              </w:rPr>
            </w:pPr>
            <w:r w:rsidRPr="00505D21">
              <w:rPr>
                <w:rFonts w:ascii="Times New Roman" w:eastAsia="Times New Roman" w:hAnsi="Times New Roman" w:cs="Times New Roman"/>
                <w:color w:val="000000" w:themeColor="text1"/>
                <w:sz w:val="20"/>
                <w:szCs w:val="20"/>
                <w:lang w:eastAsia="en-GB"/>
              </w:rPr>
              <w:t>0.0± 0.0</w:t>
            </w:r>
          </w:p>
          <w:p w14:paraId="6CD76110" w14:textId="77777777" w:rsidR="00D21EB2" w:rsidRPr="00505D21" w:rsidRDefault="00D21EB2" w:rsidP="00D659F0">
            <w:pPr>
              <w:spacing w:before="200"/>
              <w:rPr>
                <w:rFonts w:ascii="Times New Roman" w:eastAsia="Times New Roman" w:hAnsi="Times New Roman" w:cs="Times New Roman"/>
                <w:color w:val="000000" w:themeColor="text1"/>
                <w:sz w:val="20"/>
                <w:szCs w:val="20"/>
                <w:lang w:eastAsia="en-GB"/>
              </w:rPr>
            </w:pPr>
            <w:r w:rsidRPr="00505D21">
              <w:rPr>
                <w:rFonts w:ascii="Times New Roman" w:eastAsia="Times New Roman" w:hAnsi="Times New Roman" w:cs="Times New Roman"/>
                <w:color w:val="000000" w:themeColor="text1"/>
                <w:sz w:val="20"/>
                <w:szCs w:val="20"/>
                <w:lang w:eastAsia="en-GB"/>
              </w:rPr>
              <w:t>29.8</w:t>
            </w:r>
          </w:p>
          <w:p w14:paraId="1DB39A8D" w14:textId="77777777" w:rsidR="00D21EB2" w:rsidRPr="00505D21" w:rsidRDefault="00D21EB2" w:rsidP="00D659F0">
            <w:pPr>
              <w:spacing w:before="200"/>
              <w:rPr>
                <w:rFonts w:ascii="Times New Roman" w:eastAsia="Times New Roman" w:hAnsi="Times New Roman" w:cs="Times New Roman"/>
                <w:color w:val="000000" w:themeColor="text1"/>
                <w:sz w:val="20"/>
                <w:szCs w:val="20"/>
                <w:lang w:eastAsia="en-GB"/>
              </w:rPr>
            </w:pPr>
            <w:r w:rsidRPr="00505D21">
              <w:rPr>
                <w:rFonts w:ascii="Times New Roman" w:eastAsia="Times New Roman" w:hAnsi="Times New Roman" w:cs="Times New Roman"/>
                <w:color w:val="000000" w:themeColor="text1"/>
                <w:sz w:val="20"/>
                <w:szCs w:val="20"/>
                <w:lang w:eastAsia="en-GB"/>
              </w:rPr>
              <w:t>51.8</w:t>
            </w:r>
          </w:p>
        </w:tc>
        <w:tc>
          <w:tcPr>
            <w:tcW w:w="1183" w:type="dxa"/>
            <w:noWrap/>
            <w:hideMark/>
          </w:tcPr>
          <w:p w14:paraId="0E3CD0E4" w14:textId="77777777" w:rsidR="00D21EB2" w:rsidRPr="00505D21" w:rsidRDefault="00D21EB2" w:rsidP="00D659F0">
            <w:pPr>
              <w:spacing w:before="200"/>
              <w:rPr>
                <w:rFonts w:ascii="Times New Roman" w:eastAsia="Times New Roman" w:hAnsi="Times New Roman" w:cs="Times New Roman"/>
                <w:color w:val="000000" w:themeColor="text1"/>
                <w:sz w:val="20"/>
                <w:szCs w:val="20"/>
                <w:lang w:eastAsia="en-GB"/>
              </w:rPr>
            </w:pPr>
            <w:r w:rsidRPr="00505D21">
              <w:rPr>
                <w:rFonts w:ascii="Times New Roman" w:eastAsia="Times New Roman" w:hAnsi="Times New Roman" w:cs="Times New Roman"/>
                <w:color w:val="000000" w:themeColor="text1"/>
                <w:sz w:val="20"/>
                <w:szCs w:val="20"/>
                <w:lang w:eastAsia="en-GB"/>
              </w:rPr>
              <w:t>0.0± 0.0</w:t>
            </w:r>
          </w:p>
          <w:p w14:paraId="4E26811C" w14:textId="77777777" w:rsidR="00D21EB2" w:rsidRPr="00505D21" w:rsidRDefault="00D21EB2" w:rsidP="00D659F0">
            <w:pPr>
              <w:spacing w:before="200"/>
              <w:rPr>
                <w:rFonts w:ascii="Times New Roman" w:eastAsia="Times New Roman" w:hAnsi="Times New Roman" w:cs="Times New Roman"/>
                <w:color w:val="000000" w:themeColor="text1"/>
                <w:sz w:val="20"/>
                <w:szCs w:val="20"/>
                <w:lang w:eastAsia="en-GB"/>
              </w:rPr>
            </w:pPr>
            <w:r w:rsidRPr="00505D21">
              <w:rPr>
                <w:rFonts w:ascii="Times New Roman" w:eastAsia="Times New Roman" w:hAnsi="Times New Roman" w:cs="Times New Roman"/>
                <w:color w:val="000000" w:themeColor="text1"/>
                <w:sz w:val="20"/>
                <w:szCs w:val="20"/>
                <w:lang w:eastAsia="en-GB"/>
              </w:rPr>
              <w:t>29.1</w:t>
            </w:r>
          </w:p>
          <w:p w14:paraId="3633F78C" w14:textId="77777777" w:rsidR="00D21EB2" w:rsidRPr="00505D21" w:rsidRDefault="00D21EB2" w:rsidP="00D659F0">
            <w:pPr>
              <w:spacing w:before="200"/>
              <w:rPr>
                <w:rFonts w:ascii="Times New Roman" w:eastAsia="Times New Roman" w:hAnsi="Times New Roman" w:cs="Times New Roman"/>
                <w:color w:val="000000" w:themeColor="text1"/>
                <w:sz w:val="20"/>
                <w:szCs w:val="20"/>
                <w:lang w:eastAsia="en-GB"/>
              </w:rPr>
            </w:pPr>
            <w:r w:rsidRPr="00505D21">
              <w:rPr>
                <w:rFonts w:ascii="Times New Roman" w:eastAsia="Times New Roman" w:hAnsi="Times New Roman" w:cs="Times New Roman"/>
                <w:color w:val="000000" w:themeColor="text1"/>
                <w:sz w:val="20"/>
                <w:szCs w:val="20"/>
                <w:lang w:eastAsia="en-GB"/>
              </w:rPr>
              <w:t>50.3</w:t>
            </w:r>
          </w:p>
        </w:tc>
        <w:tc>
          <w:tcPr>
            <w:tcW w:w="1416" w:type="dxa"/>
            <w:noWrap/>
            <w:hideMark/>
          </w:tcPr>
          <w:p w14:paraId="02AC90AD" w14:textId="77777777" w:rsidR="00D21EB2" w:rsidRPr="00505D21" w:rsidRDefault="00D21EB2" w:rsidP="00D659F0">
            <w:pPr>
              <w:spacing w:before="200"/>
              <w:rPr>
                <w:rFonts w:ascii="Times New Roman" w:eastAsia="Times New Roman" w:hAnsi="Times New Roman" w:cs="Times New Roman"/>
                <w:color w:val="000000" w:themeColor="text1"/>
                <w:sz w:val="20"/>
                <w:szCs w:val="20"/>
                <w:lang w:eastAsia="en-GB"/>
              </w:rPr>
            </w:pPr>
            <w:r w:rsidRPr="00505D21">
              <w:rPr>
                <w:rFonts w:ascii="Times New Roman" w:eastAsia="Times New Roman" w:hAnsi="Times New Roman" w:cs="Times New Roman"/>
                <w:color w:val="000000" w:themeColor="text1"/>
                <w:sz w:val="20"/>
                <w:szCs w:val="20"/>
                <w:lang w:eastAsia="en-GB"/>
              </w:rPr>
              <w:t>5.8 ± 0.09</w:t>
            </w:r>
          </w:p>
          <w:p w14:paraId="3136F605" w14:textId="77777777" w:rsidR="00D21EB2" w:rsidRPr="00505D21" w:rsidRDefault="00D21EB2" w:rsidP="00D659F0">
            <w:pPr>
              <w:spacing w:before="200"/>
              <w:rPr>
                <w:rFonts w:ascii="Times New Roman" w:eastAsia="Times New Roman" w:hAnsi="Times New Roman" w:cs="Times New Roman"/>
                <w:color w:val="000000" w:themeColor="text1"/>
                <w:sz w:val="20"/>
                <w:szCs w:val="20"/>
                <w:lang w:eastAsia="en-GB"/>
              </w:rPr>
            </w:pPr>
            <w:r w:rsidRPr="00505D21">
              <w:rPr>
                <w:rFonts w:ascii="Times New Roman" w:eastAsia="Times New Roman" w:hAnsi="Times New Roman" w:cs="Times New Roman"/>
                <w:color w:val="000000" w:themeColor="text1"/>
                <w:sz w:val="20"/>
                <w:szCs w:val="20"/>
                <w:lang w:eastAsia="en-GB"/>
              </w:rPr>
              <w:t>28.8</w:t>
            </w:r>
          </w:p>
          <w:p w14:paraId="2488E800" w14:textId="77777777" w:rsidR="00D21EB2" w:rsidRPr="00505D21" w:rsidRDefault="00D21EB2" w:rsidP="00D659F0">
            <w:pPr>
              <w:spacing w:before="200"/>
              <w:rPr>
                <w:rFonts w:ascii="Times New Roman" w:eastAsia="Times New Roman" w:hAnsi="Times New Roman" w:cs="Times New Roman"/>
                <w:color w:val="000000" w:themeColor="text1"/>
                <w:sz w:val="20"/>
                <w:szCs w:val="20"/>
                <w:lang w:eastAsia="en-GB"/>
              </w:rPr>
            </w:pPr>
            <w:r w:rsidRPr="00505D21">
              <w:rPr>
                <w:rFonts w:ascii="Times New Roman" w:eastAsia="Times New Roman" w:hAnsi="Times New Roman" w:cs="Times New Roman"/>
                <w:color w:val="000000" w:themeColor="text1"/>
                <w:sz w:val="20"/>
                <w:szCs w:val="20"/>
                <w:lang w:eastAsia="en-GB"/>
              </w:rPr>
              <w:t>48.8</w:t>
            </w:r>
          </w:p>
        </w:tc>
        <w:tc>
          <w:tcPr>
            <w:tcW w:w="1450" w:type="dxa"/>
            <w:noWrap/>
            <w:hideMark/>
          </w:tcPr>
          <w:p w14:paraId="33390BBC" w14:textId="77777777" w:rsidR="00D21EB2" w:rsidRPr="00505D21" w:rsidRDefault="00D21EB2" w:rsidP="00D659F0">
            <w:pPr>
              <w:spacing w:before="200"/>
              <w:rPr>
                <w:rFonts w:ascii="Times New Roman" w:eastAsia="Times New Roman" w:hAnsi="Times New Roman" w:cs="Times New Roman"/>
                <w:color w:val="000000" w:themeColor="text1"/>
                <w:sz w:val="20"/>
                <w:szCs w:val="20"/>
                <w:lang w:eastAsia="en-GB"/>
              </w:rPr>
            </w:pPr>
            <w:r w:rsidRPr="00505D21">
              <w:rPr>
                <w:rFonts w:ascii="Times New Roman" w:eastAsia="Times New Roman" w:hAnsi="Times New Roman" w:cs="Times New Roman"/>
                <w:color w:val="000000" w:themeColor="text1"/>
                <w:sz w:val="20"/>
                <w:szCs w:val="20"/>
                <w:lang w:eastAsia="en-GB"/>
              </w:rPr>
              <w:t>4.6± 0.02</w:t>
            </w:r>
          </w:p>
          <w:p w14:paraId="2E840CEE" w14:textId="77777777" w:rsidR="00D21EB2" w:rsidRPr="00505D21" w:rsidRDefault="00D21EB2" w:rsidP="00D659F0">
            <w:pPr>
              <w:spacing w:before="200"/>
              <w:rPr>
                <w:rFonts w:ascii="Times New Roman" w:eastAsia="Times New Roman" w:hAnsi="Times New Roman" w:cs="Times New Roman"/>
                <w:color w:val="000000" w:themeColor="text1"/>
                <w:sz w:val="20"/>
                <w:szCs w:val="20"/>
                <w:lang w:eastAsia="en-GB"/>
              </w:rPr>
            </w:pPr>
            <w:r w:rsidRPr="00505D21">
              <w:rPr>
                <w:rFonts w:ascii="Times New Roman" w:eastAsia="Times New Roman" w:hAnsi="Times New Roman" w:cs="Times New Roman"/>
                <w:color w:val="000000" w:themeColor="text1"/>
                <w:sz w:val="20"/>
                <w:szCs w:val="20"/>
                <w:lang w:eastAsia="en-GB"/>
              </w:rPr>
              <w:t>29.5</w:t>
            </w:r>
          </w:p>
          <w:p w14:paraId="1AF0D3F0" w14:textId="77777777" w:rsidR="00D21EB2" w:rsidRPr="00505D21" w:rsidRDefault="00D21EB2" w:rsidP="00D659F0">
            <w:pPr>
              <w:spacing w:before="200"/>
              <w:rPr>
                <w:rFonts w:ascii="Times New Roman" w:eastAsia="Times New Roman" w:hAnsi="Times New Roman" w:cs="Times New Roman"/>
                <w:color w:val="000000" w:themeColor="text1"/>
                <w:sz w:val="20"/>
                <w:szCs w:val="20"/>
                <w:lang w:eastAsia="en-GB"/>
              </w:rPr>
            </w:pPr>
            <w:r w:rsidRPr="00505D21">
              <w:rPr>
                <w:rFonts w:ascii="Times New Roman" w:eastAsia="Times New Roman" w:hAnsi="Times New Roman" w:cs="Times New Roman"/>
                <w:color w:val="000000" w:themeColor="text1"/>
                <w:sz w:val="20"/>
                <w:szCs w:val="20"/>
                <w:lang w:eastAsia="en-GB"/>
              </w:rPr>
              <w:t>47.5</w:t>
            </w:r>
          </w:p>
        </w:tc>
        <w:tc>
          <w:tcPr>
            <w:tcW w:w="1183" w:type="dxa"/>
            <w:noWrap/>
            <w:hideMark/>
          </w:tcPr>
          <w:p w14:paraId="23FF70FC" w14:textId="77777777" w:rsidR="00D21EB2" w:rsidRPr="00505D21" w:rsidRDefault="00D21EB2" w:rsidP="00D659F0">
            <w:pPr>
              <w:spacing w:before="200"/>
              <w:rPr>
                <w:rFonts w:ascii="Times New Roman" w:eastAsia="Times New Roman" w:hAnsi="Times New Roman" w:cs="Times New Roman"/>
                <w:color w:val="000000" w:themeColor="text1"/>
                <w:sz w:val="20"/>
                <w:szCs w:val="20"/>
                <w:lang w:eastAsia="en-GB"/>
              </w:rPr>
            </w:pPr>
            <w:r w:rsidRPr="00505D21">
              <w:rPr>
                <w:rFonts w:ascii="Times New Roman" w:eastAsia="Times New Roman" w:hAnsi="Times New Roman" w:cs="Times New Roman"/>
                <w:color w:val="000000" w:themeColor="text1"/>
                <w:sz w:val="20"/>
                <w:szCs w:val="20"/>
                <w:lang w:eastAsia="en-GB"/>
              </w:rPr>
              <w:t>0.8± 0.014</w:t>
            </w:r>
          </w:p>
          <w:p w14:paraId="199E4260" w14:textId="77777777" w:rsidR="00D21EB2" w:rsidRPr="00505D21" w:rsidRDefault="00D21EB2" w:rsidP="00D659F0">
            <w:pPr>
              <w:spacing w:before="200"/>
              <w:rPr>
                <w:rFonts w:ascii="Times New Roman" w:eastAsia="Times New Roman" w:hAnsi="Times New Roman" w:cs="Times New Roman"/>
                <w:color w:val="000000" w:themeColor="text1"/>
                <w:sz w:val="20"/>
                <w:szCs w:val="20"/>
                <w:lang w:eastAsia="en-GB"/>
              </w:rPr>
            </w:pPr>
            <w:r w:rsidRPr="00505D21">
              <w:rPr>
                <w:rFonts w:ascii="Times New Roman" w:eastAsia="Times New Roman" w:hAnsi="Times New Roman" w:cs="Times New Roman"/>
                <w:color w:val="000000" w:themeColor="text1"/>
                <w:sz w:val="20"/>
                <w:szCs w:val="20"/>
                <w:lang w:eastAsia="en-GB"/>
              </w:rPr>
              <w:t>19.0</w:t>
            </w:r>
          </w:p>
          <w:p w14:paraId="676513A5" w14:textId="77777777" w:rsidR="00D21EB2" w:rsidRPr="00505D21" w:rsidRDefault="00D21EB2" w:rsidP="00D659F0">
            <w:pPr>
              <w:spacing w:before="200"/>
              <w:rPr>
                <w:rFonts w:ascii="Times New Roman" w:eastAsia="Times New Roman" w:hAnsi="Times New Roman" w:cs="Times New Roman"/>
                <w:color w:val="000000" w:themeColor="text1"/>
                <w:sz w:val="20"/>
                <w:szCs w:val="20"/>
                <w:lang w:eastAsia="en-GB"/>
              </w:rPr>
            </w:pPr>
            <w:r w:rsidRPr="00505D21">
              <w:rPr>
                <w:rFonts w:ascii="Times New Roman" w:eastAsia="Times New Roman" w:hAnsi="Times New Roman" w:cs="Times New Roman"/>
                <w:color w:val="000000" w:themeColor="text1"/>
                <w:sz w:val="20"/>
                <w:szCs w:val="20"/>
                <w:lang w:eastAsia="en-GB"/>
              </w:rPr>
              <w:t>31.1</w:t>
            </w:r>
          </w:p>
        </w:tc>
        <w:tc>
          <w:tcPr>
            <w:tcW w:w="1411" w:type="dxa"/>
          </w:tcPr>
          <w:p w14:paraId="2BAF98AE" w14:textId="77777777" w:rsidR="00D21EB2" w:rsidRPr="00505D21" w:rsidRDefault="00D21EB2" w:rsidP="00D659F0">
            <w:pPr>
              <w:spacing w:before="200"/>
              <w:rPr>
                <w:rFonts w:ascii="Times New Roman" w:eastAsia="Times New Roman" w:hAnsi="Times New Roman" w:cs="Times New Roman"/>
                <w:color w:val="000000" w:themeColor="text1"/>
                <w:sz w:val="20"/>
                <w:szCs w:val="20"/>
                <w:lang w:eastAsia="en-GB"/>
              </w:rPr>
            </w:pPr>
            <w:r w:rsidRPr="00505D21">
              <w:rPr>
                <w:rFonts w:ascii="Times New Roman" w:eastAsia="Times New Roman" w:hAnsi="Times New Roman" w:cs="Times New Roman"/>
                <w:color w:val="000000" w:themeColor="text1"/>
                <w:sz w:val="20"/>
                <w:szCs w:val="20"/>
                <w:lang w:eastAsia="en-GB"/>
              </w:rPr>
              <w:t>0.0 ± 0.0</w:t>
            </w:r>
          </w:p>
          <w:p w14:paraId="0A8108BB" w14:textId="77777777" w:rsidR="00D21EB2" w:rsidRPr="00505D21" w:rsidRDefault="00D21EB2" w:rsidP="00D659F0">
            <w:pPr>
              <w:spacing w:before="200"/>
              <w:rPr>
                <w:rFonts w:ascii="Times New Roman" w:eastAsia="Times New Roman" w:hAnsi="Times New Roman" w:cs="Times New Roman"/>
                <w:color w:val="000000" w:themeColor="text1"/>
                <w:sz w:val="20"/>
                <w:szCs w:val="20"/>
                <w:lang w:eastAsia="en-GB"/>
              </w:rPr>
            </w:pPr>
            <w:r w:rsidRPr="00505D21">
              <w:rPr>
                <w:rFonts w:ascii="Times New Roman" w:eastAsia="Times New Roman" w:hAnsi="Times New Roman" w:cs="Times New Roman"/>
                <w:color w:val="000000" w:themeColor="text1"/>
                <w:sz w:val="20"/>
                <w:szCs w:val="20"/>
                <w:lang w:eastAsia="en-GB"/>
              </w:rPr>
              <w:t>17.8</w:t>
            </w:r>
          </w:p>
          <w:p w14:paraId="1338A648" w14:textId="77777777" w:rsidR="00D21EB2" w:rsidRPr="00505D21" w:rsidRDefault="00D21EB2" w:rsidP="00D659F0">
            <w:pPr>
              <w:spacing w:before="200"/>
              <w:rPr>
                <w:rFonts w:ascii="Times New Roman" w:eastAsia="Times New Roman" w:hAnsi="Times New Roman" w:cs="Times New Roman"/>
                <w:color w:val="000000" w:themeColor="text1"/>
                <w:sz w:val="20"/>
                <w:szCs w:val="20"/>
                <w:lang w:eastAsia="en-GB"/>
              </w:rPr>
            </w:pPr>
            <w:r w:rsidRPr="00505D21">
              <w:rPr>
                <w:rFonts w:ascii="Times New Roman" w:eastAsia="Times New Roman" w:hAnsi="Times New Roman" w:cs="Times New Roman"/>
                <w:color w:val="000000" w:themeColor="text1"/>
                <w:sz w:val="20"/>
                <w:szCs w:val="20"/>
                <w:lang w:eastAsia="en-GB"/>
              </w:rPr>
              <w:t>27.1</w:t>
            </w:r>
          </w:p>
        </w:tc>
        <w:tc>
          <w:tcPr>
            <w:tcW w:w="1189" w:type="dxa"/>
          </w:tcPr>
          <w:p w14:paraId="7F4FE268" w14:textId="77777777" w:rsidR="00D21EB2" w:rsidRPr="00505D21" w:rsidRDefault="00D21EB2" w:rsidP="00D659F0">
            <w:pPr>
              <w:spacing w:before="200"/>
              <w:rPr>
                <w:rFonts w:ascii="Times New Roman" w:eastAsia="Times New Roman" w:hAnsi="Times New Roman" w:cs="Times New Roman"/>
                <w:color w:val="000000" w:themeColor="text1"/>
                <w:sz w:val="20"/>
                <w:szCs w:val="20"/>
                <w:lang w:eastAsia="en-GB"/>
              </w:rPr>
            </w:pPr>
            <w:r w:rsidRPr="00505D21">
              <w:rPr>
                <w:rFonts w:ascii="Times New Roman" w:eastAsia="Times New Roman" w:hAnsi="Times New Roman" w:cs="Times New Roman"/>
                <w:color w:val="000000" w:themeColor="text1"/>
                <w:sz w:val="20"/>
                <w:szCs w:val="20"/>
                <w:lang w:eastAsia="en-GB"/>
              </w:rPr>
              <w:t>0.0±0.0</w:t>
            </w:r>
          </w:p>
          <w:p w14:paraId="36ADB036" w14:textId="77777777" w:rsidR="00D21EB2" w:rsidRPr="00505D21" w:rsidRDefault="00D21EB2" w:rsidP="00D659F0">
            <w:pPr>
              <w:spacing w:before="200"/>
              <w:rPr>
                <w:rFonts w:ascii="Times New Roman" w:eastAsia="Times New Roman" w:hAnsi="Times New Roman" w:cs="Times New Roman"/>
                <w:color w:val="000000" w:themeColor="text1"/>
                <w:sz w:val="20"/>
                <w:szCs w:val="20"/>
                <w:lang w:eastAsia="en-GB"/>
              </w:rPr>
            </w:pPr>
            <w:r w:rsidRPr="00505D21">
              <w:rPr>
                <w:rFonts w:ascii="Times New Roman" w:eastAsia="Times New Roman" w:hAnsi="Times New Roman" w:cs="Times New Roman"/>
                <w:color w:val="000000" w:themeColor="text1"/>
                <w:sz w:val="20"/>
                <w:szCs w:val="20"/>
                <w:lang w:eastAsia="en-GB"/>
              </w:rPr>
              <w:t>18.8</w:t>
            </w:r>
          </w:p>
          <w:p w14:paraId="404DC7FB" w14:textId="77777777" w:rsidR="00D21EB2" w:rsidRPr="00505D21" w:rsidRDefault="00D21EB2" w:rsidP="00D659F0">
            <w:pPr>
              <w:spacing w:before="200"/>
              <w:rPr>
                <w:rFonts w:ascii="Times New Roman" w:eastAsia="Times New Roman" w:hAnsi="Times New Roman" w:cs="Times New Roman"/>
                <w:color w:val="000000" w:themeColor="text1"/>
                <w:sz w:val="20"/>
                <w:szCs w:val="20"/>
                <w:lang w:eastAsia="en-GB"/>
              </w:rPr>
            </w:pPr>
            <w:r w:rsidRPr="00505D21">
              <w:rPr>
                <w:rFonts w:ascii="Times New Roman" w:eastAsia="Times New Roman" w:hAnsi="Times New Roman" w:cs="Times New Roman"/>
                <w:color w:val="000000" w:themeColor="text1"/>
                <w:sz w:val="20"/>
                <w:szCs w:val="20"/>
                <w:lang w:eastAsia="en-GB"/>
              </w:rPr>
              <w:t>31.8</w:t>
            </w:r>
          </w:p>
        </w:tc>
      </w:tr>
      <w:tr w:rsidR="00D21EB2" w:rsidRPr="00505D21" w14:paraId="152550D6" w14:textId="77777777" w:rsidTr="00D659F0">
        <w:trPr>
          <w:trHeight w:val="316"/>
          <w:jc w:val="center"/>
        </w:trPr>
        <w:tc>
          <w:tcPr>
            <w:tcW w:w="1445" w:type="dxa"/>
            <w:noWrap/>
            <w:hideMark/>
          </w:tcPr>
          <w:p w14:paraId="5C344FE9" w14:textId="77777777" w:rsidR="00D21EB2" w:rsidRPr="00505D21" w:rsidRDefault="00D21EB2" w:rsidP="00D659F0">
            <w:pPr>
              <w:spacing w:before="200"/>
              <w:rPr>
                <w:rFonts w:ascii="Times New Roman" w:eastAsia="Times New Roman" w:hAnsi="Times New Roman" w:cs="Times New Roman"/>
                <w:color w:val="000000" w:themeColor="text1"/>
                <w:sz w:val="20"/>
                <w:szCs w:val="20"/>
                <w:lang w:eastAsia="en-GB"/>
              </w:rPr>
            </w:pPr>
            <w:bookmarkStart w:id="2" w:name="_Hlk226768611"/>
            <w:r w:rsidRPr="00505D21">
              <w:rPr>
                <w:rFonts w:ascii="Times New Roman" w:eastAsia="Times New Roman" w:hAnsi="Times New Roman" w:cs="Times New Roman"/>
                <w:color w:val="000000" w:themeColor="text1"/>
                <w:sz w:val="20"/>
                <w:szCs w:val="20"/>
                <w:lang w:eastAsia="en-GB"/>
              </w:rPr>
              <w:t>NO2 (ppm)</w:t>
            </w:r>
          </w:p>
        </w:tc>
        <w:tc>
          <w:tcPr>
            <w:tcW w:w="1650" w:type="dxa"/>
            <w:noWrap/>
            <w:hideMark/>
          </w:tcPr>
          <w:p w14:paraId="5DEA85F2" w14:textId="77777777" w:rsidR="00D21EB2" w:rsidRPr="00505D21" w:rsidRDefault="00D21EB2" w:rsidP="00D659F0">
            <w:pPr>
              <w:spacing w:before="200"/>
              <w:ind w:firstLine="432"/>
              <w:rPr>
                <w:rFonts w:ascii="Times New Roman" w:eastAsia="Times New Roman" w:hAnsi="Times New Roman" w:cs="Times New Roman"/>
                <w:color w:val="000000" w:themeColor="text1"/>
                <w:sz w:val="20"/>
                <w:szCs w:val="20"/>
                <w:lang w:eastAsia="en-GB"/>
              </w:rPr>
            </w:pPr>
            <w:r w:rsidRPr="00505D21">
              <w:rPr>
                <w:rFonts w:ascii="Times New Roman" w:eastAsia="Times New Roman" w:hAnsi="Times New Roman" w:cs="Times New Roman"/>
                <w:color w:val="000000" w:themeColor="text1"/>
                <w:sz w:val="20"/>
                <w:szCs w:val="20"/>
                <w:lang w:eastAsia="en-GB"/>
              </w:rPr>
              <w:t>0.04</w:t>
            </w:r>
          </w:p>
        </w:tc>
        <w:tc>
          <w:tcPr>
            <w:tcW w:w="1338" w:type="dxa"/>
            <w:noWrap/>
            <w:hideMark/>
          </w:tcPr>
          <w:p w14:paraId="09217FC4" w14:textId="77777777" w:rsidR="00D21EB2" w:rsidRPr="00505D21" w:rsidRDefault="00D21EB2" w:rsidP="00D659F0">
            <w:pPr>
              <w:spacing w:before="200"/>
              <w:rPr>
                <w:rFonts w:ascii="Times New Roman" w:eastAsia="Times New Roman" w:hAnsi="Times New Roman" w:cs="Times New Roman"/>
                <w:color w:val="000000" w:themeColor="text1"/>
                <w:sz w:val="20"/>
                <w:szCs w:val="20"/>
                <w:lang w:eastAsia="en-GB"/>
              </w:rPr>
            </w:pPr>
            <w:r w:rsidRPr="00505D21">
              <w:rPr>
                <w:rFonts w:ascii="Times New Roman" w:eastAsia="Times New Roman" w:hAnsi="Times New Roman" w:cs="Times New Roman"/>
                <w:color w:val="000000" w:themeColor="text1"/>
                <w:sz w:val="20"/>
                <w:szCs w:val="20"/>
                <w:lang w:eastAsia="en-GB"/>
              </w:rPr>
              <w:t>0.015 ± 0.0</w:t>
            </w:r>
          </w:p>
        </w:tc>
        <w:tc>
          <w:tcPr>
            <w:tcW w:w="1219" w:type="dxa"/>
            <w:noWrap/>
            <w:hideMark/>
          </w:tcPr>
          <w:p w14:paraId="652F366D" w14:textId="77777777" w:rsidR="00D21EB2" w:rsidRPr="00505D21" w:rsidRDefault="00D21EB2" w:rsidP="00D659F0">
            <w:pPr>
              <w:spacing w:before="200"/>
              <w:rPr>
                <w:rFonts w:ascii="Times New Roman" w:eastAsia="Times New Roman" w:hAnsi="Times New Roman" w:cs="Times New Roman"/>
                <w:color w:val="000000" w:themeColor="text1"/>
                <w:sz w:val="20"/>
                <w:szCs w:val="20"/>
                <w:lang w:eastAsia="en-GB"/>
              </w:rPr>
            </w:pPr>
            <w:r w:rsidRPr="00505D21">
              <w:rPr>
                <w:rFonts w:ascii="Times New Roman" w:eastAsia="Times New Roman" w:hAnsi="Times New Roman" w:cs="Times New Roman"/>
                <w:color w:val="000000" w:themeColor="text1"/>
                <w:sz w:val="20"/>
                <w:szCs w:val="20"/>
                <w:lang w:eastAsia="en-GB"/>
              </w:rPr>
              <w:t>0.019 ± 0.0</w:t>
            </w:r>
          </w:p>
        </w:tc>
        <w:tc>
          <w:tcPr>
            <w:tcW w:w="1224" w:type="dxa"/>
            <w:noWrap/>
            <w:hideMark/>
          </w:tcPr>
          <w:p w14:paraId="5F47E497" w14:textId="77777777" w:rsidR="00D21EB2" w:rsidRPr="00505D21" w:rsidRDefault="00D21EB2" w:rsidP="00D659F0">
            <w:pPr>
              <w:spacing w:before="200"/>
              <w:rPr>
                <w:rFonts w:ascii="Times New Roman" w:eastAsia="Times New Roman" w:hAnsi="Times New Roman" w:cs="Times New Roman"/>
                <w:color w:val="000000" w:themeColor="text1"/>
                <w:sz w:val="20"/>
                <w:szCs w:val="20"/>
                <w:lang w:eastAsia="en-GB"/>
              </w:rPr>
            </w:pPr>
            <w:r w:rsidRPr="00505D21">
              <w:rPr>
                <w:rFonts w:ascii="Times New Roman" w:eastAsia="Times New Roman" w:hAnsi="Times New Roman" w:cs="Times New Roman"/>
                <w:color w:val="000000" w:themeColor="text1"/>
                <w:sz w:val="20"/>
                <w:szCs w:val="20"/>
                <w:lang w:eastAsia="en-GB"/>
              </w:rPr>
              <w:t>0.018± 0.0</w:t>
            </w:r>
          </w:p>
        </w:tc>
        <w:tc>
          <w:tcPr>
            <w:tcW w:w="1183" w:type="dxa"/>
            <w:noWrap/>
            <w:hideMark/>
          </w:tcPr>
          <w:p w14:paraId="64194B65" w14:textId="77777777" w:rsidR="00D21EB2" w:rsidRPr="00505D21" w:rsidRDefault="00D21EB2" w:rsidP="00D659F0">
            <w:pPr>
              <w:spacing w:before="200"/>
              <w:rPr>
                <w:rFonts w:ascii="Times New Roman" w:eastAsia="Times New Roman" w:hAnsi="Times New Roman" w:cs="Times New Roman"/>
                <w:color w:val="000000" w:themeColor="text1"/>
                <w:sz w:val="20"/>
                <w:szCs w:val="20"/>
                <w:lang w:eastAsia="en-GB"/>
              </w:rPr>
            </w:pPr>
            <w:r w:rsidRPr="00505D21">
              <w:rPr>
                <w:rFonts w:ascii="Times New Roman" w:eastAsia="Times New Roman" w:hAnsi="Times New Roman" w:cs="Times New Roman"/>
                <w:color w:val="000000" w:themeColor="text1"/>
                <w:sz w:val="20"/>
                <w:szCs w:val="20"/>
                <w:lang w:eastAsia="en-GB"/>
              </w:rPr>
              <w:t>0.012± 0.0</w:t>
            </w:r>
          </w:p>
        </w:tc>
        <w:tc>
          <w:tcPr>
            <w:tcW w:w="1416" w:type="dxa"/>
            <w:noWrap/>
            <w:hideMark/>
          </w:tcPr>
          <w:p w14:paraId="396E5A07" w14:textId="77777777" w:rsidR="00D21EB2" w:rsidRPr="00505D21" w:rsidRDefault="00D21EB2" w:rsidP="00D659F0">
            <w:pPr>
              <w:spacing w:before="200"/>
              <w:rPr>
                <w:rFonts w:ascii="Times New Roman" w:eastAsia="Times New Roman" w:hAnsi="Times New Roman" w:cs="Times New Roman"/>
                <w:color w:val="000000" w:themeColor="text1"/>
                <w:sz w:val="20"/>
                <w:szCs w:val="20"/>
                <w:lang w:eastAsia="en-GB"/>
              </w:rPr>
            </w:pPr>
            <w:r w:rsidRPr="00505D21">
              <w:rPr>
                <w:rFonts w:ascii="Times New Roman" w:eastAsia="Times New Roman" w:hAnsi="Times New Roman" w:cs="Times New Roman"/>
                <w:color w:val="000000" w:themeColor="text1"/>
                <w:sz w:val="20"/>
                <w:szCs w:val="20"/>
                <w:lang w:eastAsia="en-GB"/>
              </w:rPr>
              <w:t>0.0± 0.0</w:t>
            </w:r>
          </w:p>
        </w:tc>
        <w:tc>
          <w:tcPr>
            <w:tcW w:w="1450" w:type="dxa"/>
            <w:noWrap/>
            <w:hideMark/>
          </w:tcPr>
          <w:p w14:paraId="59808D71" w14:textId="77777777" w:rsidR="00D21EB2" w:rsidRPr="00505D21" w:rsidRDefault="00D21EB2" w:rsidP="00D659F0">
            <w:pPr>
              <w:spacing w:before="200"/>
              <w:rPr>
                <w:rFonts w:ascii="Times New Roman" w:eastAsia="Times New Roman" w:hAnsi="Times New Roman" w:cs="Times New Roman"/>
                <w:color w:val="000000" w:themeColor="text1"/>
                <w:sz w:val="20"/>
                <w:szCs w:val="20"/>
                <w:lang w:eastAsia="en-GB"/>
              </w:rPr>
            </w:pPr>
            <w:r w:rsidRPr="00505D21">
              <w:rPr>
                <w:rFonts w:ascii="Times New Roman" w:eastAsia="Times New Roman" w:hAnsi="Times New Roman" w:cs="Times New Roman"/>
                <w:color w:val="000000" w:themeColor="text1"/>
                <w:sz w:val="20"/>
                <w:szCs w:val="20"/>
                <w:lang w:eastAsia="en-GB"/>
              </w:rPr>
              <w:t>0.0± 0.0</w:t>
            </w:r>
          </w:p>
        </w:tc>
        <w:tc>
          <w:tcPr>
            <w:tcW w:w="1183" w:type="dxa"/>
            <w:noWrap/>
            <w:hideMark/>
          </w:tcPr>
          <w:p w14:paraId="33BF0C28" w14:textId="77777777" w:rsidR="00D21EB2" w:rsidRPr="00505D21" w:rsidRDefault="00D21EB2" w:rsidP="00D659F0">
            <w:pPr>
              <w:spacing w:before="200"/>
              <w:rPr>
                <w:rFonts w:ascii="Times New Roman" w:eastAsia="Times New Roman" w:hAnsi="Times New Roman" w:cs="Times New Roman"/>
                <w:color w:val="000000" w:themeColor="text1"/>
                <w:sz w:val="20"/>
                <w:szCs w:val="20"/>
                <w:lang w:eastAsia="en-GB"/>
              </w:rPr>
            </w:pPr>
            <w:proofErr w:type="gramStart"/>
            <w:r w:rsidRPr="00505D21">
              <w:rPr>
                <w:rFonts w:ascii="Times New Roman" w:eastAsia="Times New Roman" w:hAnsi="Times New Roman" w:cs="Times New Roman"/>
                <w:color w:val="000000" w:themeColor="text1"/>
                <w:sz w:val="20"/>
                <w:szCs w:val="20"/>
                <w:lang w:eastAsia="en-GB"/>
              </w:rPr>
              <w:t>0.034  ±</w:t>
            </w:r>
            <w:proofErr w:type="gramEnd"/>
            <w:r w:rsidRPr="00505D21">
              <w:rPr>
                <w:rFonts w:ascii="Times New Roman" w:eastAsia="Times New Roman" w:hAnsi="Times New Roman" w:cs="Times New Roman"/>
                <w:color w:val="000000" w:themeColor="text1"/>
                <w:sz w:val="20"/>
                <w:szCs w:val="20"/>
                <w:lang w:eastAsia="en-GB"/>
              </w:rPr>
              <w:t xml:space="preserve"> 0.0</w:t>
            </w:r>
          </w:p>
        </w:tc>
        <w:tc>
          <w:tcPr>
            <w:tcW w:w="1411" w:type="dxa"/>
          </w:tcPr>
          <w:p w14:paraId="434227C8" w14:textId="77777777" w:rsidR="00D21EB2" w:rsidRPr="00505D21" w:rsidRDefault="00D21EB2" w:rsidP="00D659F0">
            <w:pPr>
              <w:spacing w:before="200"/>
              <w:rPr>
                <w:rFonts w:ascii="Times New Roman" w:eastAsia="Times New Roman" w:hAnsi="Times New Roman" w:cs="Times New Roman"/>
                <w:color w:val="000000" w:themeColor="text1"/>
                <w:sz w:val="20"/>
                <w:szCs w:val="20"/>
                <w:lang w:eastAsia="en-GB"/>
              </w:rPr>
            </w:pPr>
            <w:r w:rsidRPr="00505D21">
              <w:rPr>
                <w:rFonts w:ascii="Times New Roman" w:eastAsia="Times New Roman" w:hAnsi="Times New Roman" w:cs="Times New Roman"/>
                <w:color w:val="000000" w:themeColor="text1"/>
                <w:sz w:val="20"/>
                <w:szCs w:val="20"/>
                <w:lang w:eastAsia="en-GB"/>
              </w:rPr>
              <w:t>0.021 ± 0.001</w:t>
            </w:r>
          </w:p>
        </w:tc>
        <w:tc>
          <w:tcPr>
            <w:tcW w:w="1189" w:type="dxa"/>
          </w:tcPr>
          <w:p w14:paraId="5BFD07E9" w14:textId="77777777" w:rsidR="00D21EB2" w:rsidRPr="00505D21" w:rsidRDefault="00D21EB2" w:rsidP="00D659F0">
            <w:pPr>
              <w:spacing w:before="200"/>
              <w:rPr>
                <w:rFonts w:ascii="Times New Roman" w:eastAsia="Times New Roman" w:hAnsi="Times New Roman" w:cs="Times New Roman"/>
                <w:color w:val="000000" w:themeColor="text1"/>
                <w:sz w:val="20"/>
                <w:szCs w:val="20"/>
                <w:lang w:eastAsia="en-GB"/>
              </w:rPr>
            </w:pPr>
            <w:r w:rsidRPr="00505D21">
              <w:rPr>
                <w:rFonts w:ascii="Times New Roman" w:eastAsia="Times New Roman" w:hAnsi="Times New Roman" w:cs="Times New Roman"/>
                <w:color w:val="000000" w:themeColor="text1"/>
                <w:sz w:val="20"/>
                <w:szCs w:val="20"/>
                <w:lang w:eastAsia="en-GB"/>
              </w:rPr>
              <w:t>0.012±0.0</w:t>
            </w:r>
          </w:p>
        </w:tc>
      </w:tr>
      <w:tr w:rsidR="00D21EB2" w:rsidRPr="00505D21" w14:paraId="0E936163" w14:textId="77777777" w:rsidTr="00D659F0">
        <w:trPr>
          <w:trHeight w:val="262"/>
          <w:jc w:val="center"/>
        </w:trPr>
        <w:tc>
          <w:tcPr>
            <w:tcW w:w="1445" w:type="dxa"/>
            <w:noWrap/>
            <w:hideMark/>
          </w:tcPr>
          <w:p w14:paraId="539AD764" w14:textId="77777777" w:rsidR="00D21EB2" w:rsidRPr="00505D21" w:rsidRDefault="00D21EB2" w:rsidP="00D659F0">
            <w:pPr>
              <w:spacing w:before="200"/>
              <w:rPr>
                <w:rFonts w:ascii="Times New Roman" w:eastAsia="Times New Roman" w:hAnsi="Times New Roman" w:cs="Times New Roman"/>
                <w:color w:val="000000" w:themeColor="text1"/>
                <w:sz w:val="20"/>
                <w:szCs w:val="20"/>
                <w:lang w:eastAsia="en-GB"/>
              </w:rPr>
            </w:pPr>
            <w:r w:rsidRPr="00505D21">
              <w:rPr>
                <w:rFonts w:ascii="Times New Roman" w:eastAsia="Times New Roman" w:hAnsi="Times New Roman" w:cs="Times New Roman"/>
                <w:color w:val="000000" w:themeColor="text1"/>
                <w:sz w:val="20"/>
                <w:szCs w:val="20"/>
                <w:lang w:eastAsia="en-GB"/>
              </w:rPr>
              <w:t>SO2 (ppm)</w:t>
            </w:r>
          </w:p>
        </w:tc>
        <w:tc>
          <w:tcPr>
            <w:tcW w:w="1650" w:type="dxa"/>
            <w:noWrap/>
            <w:hideMark/>
          </w:tcPr>
          <w:p w14:paraId="7645F343" w14:textId="77777777" w:rsidR="00D21EB2" w:rsidRPr="00505D21" w:rsidRDefault="00D21EB2" w:rsidP="00D659F0">
            <w:pPr>
              <w:spacing w:before="200"/>
              <w:ind w:firstLine="432"/>
              <w:rPr>
                <w:rFonts w:ascii="Times New Roman" w:eastAsia="Times New Roman" w:hAnsi="Times New Roman" w:cs="Times New Roman"/>
                <w:color w:val="000000" w:themeColor="text1"/>
                <w:sz w:val="20"/>
                <w:szCs w:val="20"/>
                <w:lang w:eastAsia="en-GB"/>
              </w:rPr>
            </w:pPr>
            <w:r w:rsidRPr="00505D21">
              <w:rPr>
                <w:rFonts w:ascii="Times New Roman" w:eastAsia="Times New Roman" w:hAnsi="Times New Roman" w:cs="Times New Roman"/>
                <w:color w:val="000000" w:themeColor="text1"/>
                <w:sz w:val="20"/>
                <w:szCs w:val="20"/>
                <w:lang w:eastAsia="en-GB"/>
              </w:rPr>
              <w:t>0.05</w:t>
            </w:r>
          </w:p>
        </w:tc>
        <w:tc>
          <w:tcPr>
            <w:tcW w:w="1338" w:type="dxa"/>
            <w:noWrap/>
            <w:hideMark/>
          </w:tcPr>
          <w:p w14:paraId="74924CAB" w14:textId="77777777" w:rsidR="00D21EB2" w:rsidRPr="00505D21" w:rsidRDefault="00D21EB2" w:rsidP="00D659F0">
            <w:pPr>
              <w:spacing w:before="200"/>
              <w:rPr>
                <w:rFonts w:ascii="Times New Roman" w:eastAsia="Times New Roman" w:hAnsi="Times New Roman" w:cs="Times New Roman"/>
                <w:color w:val="000000" w:themeColor="text1"/>
                <w:sz w:val="20"/>
                <w:szCs w:val="20"/>
                <w:lang w:eastAsia="en-GB"/>
              </w:rPr>
            </w:pPr>
            <w:r w:rsidRPr="00505D21">
              <w:rPr>
                <w:rFonts w:ascii="Times New Roman" w:eastAsia="Times New Roman" w:hAnsi="Times New Roman" w:cs="Times New Roman"/>
                <w:color w:val="000000" w:themeColor="text1"/>
                <w:sz w:val="20"/>
                <w:szCs w:val="20"/>
                <w:lang w:eastAsia="en-GB"/>
              </w:rPr>
              <w:t>0.0 ± 0.0</w:t>
            </w:r>
          </w:p>
        </w:tc>
        <w:tc>
          <w:tcPr>
            <w:tcW w:w="1219" w:type="dxa"/>
            <w:noWrap/>
            <w:hideMark/>
          </w:tcPr>
          <w:p w14:paraId="2B943BBA" w14:textId="77777777" w:rsidR="00D21EB2" w:rsidRPr="00505D21" w:rsidRDefault="00D21EB2" w:rsidP="00D659F0">
            <w:pPr>
              <w:spacing w:before="200"/>
              <w:rPr>
                <w:rFonts w:ascii="Times New Roman" w:eastAsia="Times New Roman" w:hAnsi="Times New Roman" w:cs="Times New Roman"/>
                <w:color w:val="000000" w:themeColor="text1"/>
                <w:sz w:val="20"/>
                <w:szCs w:val="20"/>
                <w:lang w:eastAsia="en-GB"/>
              </w:rPr>
            </w:pPr>
            <w:r w:rsidRPr="00505D21">
              <w:rPr>
                <w:rFonts w:ascii="Times New Roman" w:eastAsia="Times New Roman" w:hAnsi="Times New Roman" w:cs="Times New Roman"/>
                <w:color w:val="000000" w:themeColor="text1"/>
                <w:sz w:val="20"/>
                <w:szCs w:val="20"/>
                <w:lang w:eastAsia="en-GB"/>
              </w:rPr>
              <w:t>0.0 ± 0.0</w:t>
            </w:r>
          </w:p>
        </w:tc>
        <w:tc>
          <w:tcPr>
            <w:tcW w:w="1224" w:type="dxa"/>
            <w:noWrap/>
            <w:hideMark/>
          </w:tcPr>
          <w:p w14:paraId="70C40EEE" w14:textId="77777777" w:rsidR="00D21EB2" w:rsidRPr="00505D21" w:rsidRDefault="00D21EB2" w:rsidP="00D659F0">
            <w:pPr>
              <w:spacing w:before="200"/>
              <w:rPr>
                <w:rFonts w:ascii="Times New Roman" w:eastAsia="Times New Roman" w:hAnsi="Times New Roman" w:cs="Times New Roman"/>
                <w:color w:val="000000" w:themeColor="text1"/>
                <w:sz w:val="20"/>
                <w:szCs w:val="20"/>
                <w:lang w:eastAsia="en-GB"/>
              </w:rPr>
            </w:pPr>
            <w:r w:rsidRPr="00505D21">
              <w:rPr>
                <w:rFonts w:ascii="Times New Roman" w:eastAsia="Times New Roman" w:hAnsi="Times New Roman" w:cs="Times New Roman"/>
                <w:color w:val="000000" w:themeColor="text1"/>
                <w:sz w:val="20"/>
                <w:szCs w:val="20"/>
                <w:lang w:eastAsia="en-GB"/>
              </w:rPr>
              <w:t>0.0 ± 0.0</w:t>
            </w:r>
          </w:p>
        </w:tc>
        <w:tc>
          <w:tcPr>
            <w:tcW w:w="1183" w:type="dxa"/>
            <w:noWrap/>
            <w:hideMark/>
          </w:tcPr>
          <w:p w14:paraId="2C7DC1CA" w14:textId="77777777" w:rsidR="00D21EB2" w:rsidRPr="00505D21" w:rsidRDefault="00D21EB2" w:rsidP="00D659F0">
            <w:pPr>
              <w:spacing w:before="200"/>
              <w:rPr>
                <w:rFonts w:ascii="Times New Roman" w:eastAsia="Times New Roman" w:hAnsi="Times New Roman" w:cs="Times New Roman"/>
                <w:color w:val="000000" w:themeColor="text1"/>
                <w:sz w:val="20"/>
                <w:szCs w:val="20"/>
                <w:lang w:eastAsia="en-GB"/>
              </w:rPr>
            </w:pPr>
            <w:r w:rsidRPr="00505D21">
              <w:rPr>
                <w:rFonts w:ascii="Times New Roman" w:eastAsia="Times New Roman" w:hAnsi="Times New Roman" w:cs="Times New Roman"/>
                <w:color w:val="000000" w:themeColor="text1"/>
                <w:sz w:val="20"/>
                <w:szCs w:val="20"/>
                <w:lang w:eastAsia="en-GB"/>
              </w:rPr>
              <w:t>0.0 ± 0.0</w:t>
            </w:r>
          </w:p>
        </w:tc>
        <w:tc>
          <w:tcPr>
            <w:tcW w:w="1416" w:type="dxa"/>
            <w:noWrap/>
            <w:hideMark/>
          </w:tcPr>
          <w:p w14:paraId="6F8029A3" w14:textId="77777777" w:rsidR="00D21EB2" w:rsidRPr="00505D21" w:rsidRDefault="00D21EB2" w:rsidP="00D659F0">
            <w:pPr>
              <w:spacing w:before="200"/>
              <w:rPr>
                <w:rFonts w:ascii="Times New Roman" w:eastAsia="Times New Roman" w:hAnsi="Times New Roman" w:cs="Times New Roman"/>
                <w:color w:val="000000" w:themeColor="text1"/>
                <w:sz w:val="20"/>
                <w:szCs w:val="20"/>
                <w:lang w:eastAsia="en-GB"/>
              </w:rPr>
            </w:pPr>
            <w:r w:rsidRPr="00505D21">
              <w:rPr>
                <w:rFonts w:ascii="Times New Roman" w:eastAsia="Times New Roman" w:hAnsi="Times New Roman" w:cs="Times New Roman"/>
                <w:color w:val="000000" w:themeColor="text1"/>
                <w:sz w:val="20"/>
                <w:szCs w:val="20"/>
                <w:lang w:eastAsia="en-GB"/>
              </w:rPr>
              <w:t>0.0 ± 0.0</w:t>
            </w:r>
          </w:p>
        </w:tc>
        <w:tc>
          <w:tcPr>
            <w:tcW w:w="1450" w:type="dxa"/>
            <w:noWrap/>
            <w:hideMark/>
          </w:tcPr>
          <w:p w14:paraId="22CA4874" w14:textId="77777777" w:rsidR="00D21EB2" w:rsidRPr="00505D21" w:rsidRDefault="00D21EB2" w:rsidP="00D659F0">
            <w:pPr>
              <w:spacing w:before="200"/>
              <w:rPr>
                <w:rFonts w:ascii="Times New Roman" w:eastAsia="Times New Roman" w:hAnsi="Times New Roman" w:cs="Times New Roman"/>
                <w:color w:val="000000" w:themeColor="text1"/>
                <w:sz w:val="20"/>
                <w:szCs w:val="20"/>
                <w:lang w:eastAsia="en-GB"/>
              </w:rPr>
            </w:pPr>
            <w:r w:rsidRPr="00505D21">
              <w:rPr>
                <w:rFonts w:ascii="Times New Roman" w:eastAsia="Times New Roman" w:hAnsi="Times New Roman" w:cs="Times New Roman"/>
                <w:color w:val="000000" w:themeColor="text1"/>
                <w:sz w:val="20"/>
                <w:szCs w:val="20"/>
                <w:lang w:eastAsia="en-GB"/>
              </w:rPr>
              <w:t>0.0± 0.0</w:t>
            </w:r>
          </w:p>
        </w:tc>
        <w:tc>
          <w:tcPr>
            <w:tcW w:w="1183" w:type="dxa"/>
            <w:noWrap/>
            <w:hideMark/>
          </w:tcPr>
          <w:p w14:paraId="454A55E5" w14:textId="77777777" w:rsidR="00D21EB2" w:rsidRPr="00505D21" w:rsidRDefault="00D21EB2" w:rsidP="00D659F0">
            <w:pPr>
              <w:spacing w:before="200"/>
              <w:rPr>
                <w:rFonts w:ascii="Times New Roman" w:eastAsia="Times New Roman" w:hAnsi="Times New Roman" w:cs="Times New Roman"/>
                <w:color w:val="000000" w:themeColor="text1"/>
                <w:sz w:val="20"/>
                <w:szCs w:val="20"/>
                <w:lang w:eastAsia="en-GB"/>
              </w:rPr>
            </w:pPr>
            <w:r w:rsidRPr="00505D21">
              <w:rPr>
                <w:rFonts w:ascii="Times New Roman" w:eastAsia="Times New Roman" w:hAnsi="Times New Roman" w:cs="Times New Roman"/>
                <w:color w:val="000000" w:themeColor="text1"/>
                <w:sz w:val="20"/>
                <w:szCs w:val="20"/>
                <w:lang w:eastAsia="en-GB"/>
              </w:rPr>
              <w:t>0.0 ± 0.0</w:t>
            </w:r>
          </w:p>
        </w:tc>
        <w:tc>
          <w:tcPr>
            <w:tcW w:w="1411" w:type="dxa"/>
          </w:tcPr>
          <w:p w14:paraId="4FCDFE2B" w14:textId="77777777" w:rsidR="00D21EB2" w:rsidRPr="00505D21" w:rsidRDefault="00D21EB2" w:rsidP="00D659F0">
            <w:pPr>
              <w:spacing w:before="200"/>
              <w:rPr>
                <w:rFonts w:ascii="Times New Roman" w:eastAsia="Times New Roman" w:hAnsi="Times New Roman" w:cs="Times New Roman"/>
                <w:color w:val="000000" w:themeColor="text1"/>
                <w:sz w:val="20"/>
                <w:szCs w:val="20"/>
                <w:lang w:eastAsia="en-GB"/>
              </w:rPr>
            </w:pPr>
            <w:r w:rsidRPr="00505D21">
              <w:rPr>
                <w:rFonts w:ascii="Times New Roman" w:eastAsia="Times New Roman" w:hAnsi="Times New Roman" w:cs="Times New Roman"/>
                <w:color w:val="000000" w:themeColor="text1"/>
                <w:sz w:val="20"/>
                <w:szCs w:val="20"/>
                <w:lang w:eastAsia="en-GB"/>
              </w:rPr>
              <w:t>0.0 ± 0.0</w:t>
            </w:r>
          </w:p>
        </w:tc>
        <w:tc>
          <w:tcPr>
            <w:tcW w:w="1189" w:type="dxa"/>
          </w:tcPr>
          <w:p w14:paraId="2C9C9881" w14:textId="77777777" w:rsidR="00D21EB2" w:rsidRPr="00505D21" w:rsidRDefault="00D21EB2" w:rsidP="00D659F0">
            <w:pPr>
              <w:spacing w:before="200"/>
              <w:rPr>
                <w:rFonts w:ascii="Times New Roman" w:eastAsia="Times New Roman" w:hAnsi="Times New Roman" w:cs="Times New Roman"/>
                <w:color w:val="000000" w:themeColor="text1"/>
                <w:sz w:val="20"/>
                <w:szCs w:val="20"/>
                <w:lang w:eastAsia="en-GB"/>
              </w:rPr>
            </w:pPr>
            <w:r w:rsidRPr="00505D21">
              <w:rPr>
                <w:rFonts w:ascii="Times New Roman" w:eastAsia="Times New Roman" w:hAnsi="Times New Roman" w:cs="Times New Roman"/>
                <w:color w:val="000000" w:themeColor="text1"/>
                <w:sz w:val="20"/>
                <w:szCs w:val="20"/>
                <w:lang w:eastAsia="en-GB"/>
              </w:rPr>
              <w:t>0.0 ± 0.0</w:t>
            </w:r>
          </w:p>
        </w:tc>
      </w:tr>
      <w:tr w:rsidR="00D21EB2" w:rsidRPr="00505D21" w14:paraId="179C0AEB" w14:textId="77777777" w:rsidTr="00D659F0">
        <w:trPr>
          <w:trHeight w:val="262"/>
          <w:jc w:val="center"/>
        </w:trPr>
        <w:tc>
          <w:tcPr>
            <w:tcW w:w="1445" w:type="dxa"/>
            <w:noWrap/>
            <w:hideMark/>
          </w:tcPr>
          <w:p w14:paraId="470BC23F" w14:textId="77777777" w:rsidR="00D21EB2" w:rsidRPr="00505D21" w:rsidRDefault="00D21EB2" w:rsidP="00D659F0">
            <w:pPr>
              <w:spacing w:before="200"/>
              <w:rPr>
                <w:rFonts w:ascii="Times New Roman" w:eastAsia="Times New Roman" w:hAnsi="Times New Roman" w:cs="Times New Roman"/>
                <w:color w:val="000000" w:themeColor="text1"/>
                <w:sz w:val="20"/>
                <w:szCs w:val="20"/>
                <w:lang w:eastAsia="en-GB"/>
              </w:rPr>
            </w:pPr>
            <w:r w:rsidRPr="00505D21">
              <w:rPr>
                <w:rFonts w:ascii="Times New Roman" w:eastAsia="Times New Roman" w:hAnsi="Times New Roman" w:cs="Times New Roman"/>
                <w:color w:val="000000" w:themeColor="text1"/>
                <w:sz w:val="20"/>
                <w:szCs w:val="20"/>
                <w:lang w:eastAsia="en-GB"/>
              </w:rPr>
              <w:t>CH4 (ppm)</w:t>
            </w:r>
          </w:p>
        </w:tc>
        <w:tc>
          <w:tcPr>
            <w:tcW w:w="1650" w:type="dxa"/>
            <w:noWrap/>
            <w:hideMark/>
          </w:tcPr>
          <w:p w14:paraId="2927B5F7" w14:textId="77777777" w:rsidR="00D21EB2" w:rsidRPr="00505D21" w:rsidRDefault="00D21EB2" w:rsidP="00D659F0">
            <w:pPr>
              <w:spacing w:before="200"/>
              <w:ind w:firstLine="432"/>
              <w:rPr>
                <w:rFonts w:ascii="Times New Roman" w:eastAsia="Times New Roman" w:hAnsi="Times New Roman" w:cs="Times New Roman"/>
                <w:color w:val="000000" w:themeColor="text1"/>
                <w:sz w:val="20"/>
                <w:szCs w:val="20"/>
                <w:lang w:eastAsia="en-GB"/>
              </w:rPr>
            </w:pPr>
            <w:r w:rsidRPr="00505D21">
              <w:rPr>
                <w:rFonts w:ascii="Times New Roman" w:eastAsia="Times New Roman" w:hAnsi="Times New Roman" w:cs="Times New Roman"/>
                <w:color w:val="000000" w:themeColor="text1"/>
                <w:sz w:val="20"/>
                <w:szCs w:val="20"/>
                <w:lang w:eastAsia="en-GB"/>
              </w:rPr>
              <w:t>10</w:t>
            </w:r>
          </w:p>
        </w:tc>
        <w:tc>
          <w:tcPr>
            <w:tcW w:w="1338" w:type="dxa"/>
            <w:noWrap/>
            <w:hideMark/>
          </w:tcPr>
          <w:p w14:paraId="737C9EB7" w14:textId="77777777" w:rsidR="00D21EB2" w:rsidRPr="00505D21" w:rsidRDefault="00D21EB2" w:rsidP="00D659F0">
            <w:pPr>
              <w:spacing w:before="200"/>
              <w:rPr>
                <w:rFonts w:ascii="Times New Roman" w:eastAsia="Times New Roman" w:hAnsi="Times New Roman" w:cs="Times New Roman"/>
                <w:color w:val="000000" w:themeColor="text1"/>
                <w:sz w:val="20"/>
                <w:szCs w:val="20"/>
                <w:lang w:eastAsia="en-GB"/>
              </w:rPr>
            </w:pPr>
            <w:r w:rsidRPr="00505D21">
              <w:rPr>
                <w:rFonts w:ascii="Times New Roman" w:eastAsia="Times New Roman" w:hAnsi="Times New Roman" w:cs="Times New Roman"/>
                <w:color w:val="000000" w:themeColor="text1"/>
                <w:sz w:val="20"/>
                <w:szCs w:val="20"/>
                <w:lang w:eastAsia="en-GB"/>
              </w:rPr>
              <w:t>2.87 ± 0.1</w:t>
            </w:r>
          </w:p>
        </w:tc>
        <w:tc>
          <w:tcPr>
            <w:tcW w:w="1219" w:type="dxa"/>
            <w:noWrap/>
            <w:hideMark/>
          </w:tcPr>
          <w:p w14:paraId="0EE1D875" w14:textId="77777777" w:rsidR="00D21EB2" w:rsidRPr="00505D21" w:rsidRDefault="00D21EB2" w:rsidP="00D659F0">
            <w:pPr>
              <w:spacing w:before="200"/>
              <w:rPr>
                <w:rFonts w:ascii="Times New Roman" w:eastAsia="Times New Roman" w:hAnsi="Times New Roman" w:cs="Times New Roman"/>
                <w:color w:val="000000" w:themeColor="text1"/>
                <w:sz w:val="20"/>
                <w:szCs w:val="20"/>
                <w:lang w:eastAsia="en-GB"/>
              </w:rPr>
            </w:pPr>
            <w:r w:rsidRPr="00505D21">
              <w:rPr>
                <w:rFonts w:ascii="Times New Roman" w:eastAsia="Times New Roman" w:hAnsi="Times New Roman" w:cs="Times New Roman"/>
                <w:color w:val="000000" w:themeColor="text1"/>
                <w:sz w:val="20"/>
                <w:szCs w:val="20"/>
                <w:lang w:eastAsia="en-GB"/>
              </w:rPr>
              <w:t>5.99 ± 0.1</w:t>
            </w:r>
          </w:p>
        </w:tc>
        <w:tc>
          <w:tcPr>
            <w:tcW w:w="1224" w:type="dxa"/>
            <w:noWrap/>
            <w:hideMark/>
          </w:tcPr>
          <w:p w14:paraId="0939AB4B" w14:textId="77777777" w:rsidR="00D21EB2" w:rsidRPr="00505D21" w:rsidRDefault="00D21EB2" w:rsidP="00D659F0">
            <w:pPr>
              <w:spacing w:before="200"/>
              <w:rPr>
                <w:rFonts w:ascii="Times New Roman" w:eastAsia="Times New Roman" w:hAnsi="Times New Roman" w:cs="Times New Roman"/>
                <w:color w:val="000000" w:themeColor="text1"/>
                <w:sz w:val="20"/>
                <w:szCs w:val="20"/>
                <w:lang w:eastAsia="en-GB"/>
              </w:rPr>
            </w:pPr>
            <w:r w:rsidRPr="00505D21">
              <w:rPr>
                <w:rFonts w:ascii="Times New Roman" w:eastAsia="Times New Roman" w:hAnsi="Times New Roman" w:cs="Times New Roman"/>
                <w:color w:val="000000" w:themeColor="text1"/>
                <w:sz w:val="20"/>
                <w:szCs w:val="20"/>
                <w:lang w:eastAsia="en-GB"/>
              </w:rPr>
              <w:t>2.08 ± 0.1</w:t>
            </w:r>
          </w:p>
        </w:tc>
        <w:tc>
          <w:tcPr>
            <w:tcW w:w="1183" w:type="dxa"/>
            <w:noWrap/>
            <w:hideMark/>
          </w:tcPr>
          <w:p w14:paraId="046D04DC" w14:textId="77777777" w:rsidR="00D21EB2" w:rsidRPr="00505D21" w:rsidRDefault="00D21EB2" w:rsidP="00D659F0">
            <w:pPr>
              <w:spacing w:before="200"/>
              <w:rPr>
                <w:rFonts w:ascii="Times New Roman" w:eastAsia="Times New Roman" w:hAnsi="Times New Roman" w:cs="Times New Roman"/>
                <w:color w:val="000000" w:themeColor="text1"/>
                <w:sz w:val="20"/>
                <w:szCs w:val="20"/>
                <w:lang w:eastAsia="en-GB"/>
              </w:rPr>
            </w:pPr>
            <w:r w:rsidRPr="00505D21">
              <w:rPr>
                <w:rFonts w:ascii="Times New Roman" w:eastAsia="Times New Roman" w:hAnsi="Times New Roman" w:cs="Times New Roman"/>
                <w:color w:val="000000" w:themeColor="text1"/>
                <w:sz w:val="20"/>
                <w:szCs w:val="20"/>
                <w:lang w:eastAsia="en-GB"/>
              </w:rPr>
              <w:t>3.69± 0.1</w:t>
            </w:r>
          </w:p>
        </w:tc>
        <w:tc>
          <w:tcPr>
            <w:tcW w:w="1416" w:type="dxa"/>
            <w:noWrap/>
            <w:hideMark/>
          </w:tcPr>
          <w:p w14:paraId="656030A1" w14:textId="77777777" w:rsidR="00D21EB2" w:rsidRPr="00505D21" w:rsidRDefault="00D21EB2" w:rsidP="00D659F0">
            <w:pPr>
              <w:spacing w:before="200"/>
              <w:rPr>
                <w:rFonts w:ascii="Times New Roman" w:eastAsia="Times New Roman" w:hAnsi="Times New Roman" w:cs="Times New Roman"/>
                <w:color w:val="000000" w:themeColor="text1"/>
                <w:sz w:val="20"/>
                <w:szCs w:val="20"/>
                <w:lang w:eastAsia="en-GB"/>
              </w:rPr>
            </w:pPr>
            <w:r w:rsidRPr="00505D21">
              <w:rPr>
                <w:rFonts w:ascii="Times New Roman" w:eastAsia="Times New Roman" w:hAnsi="Times New Roman" w:cs="Times New Roman"/>
                <w:color w:val="000000" w:themeColor="text1"/>
                <w:sz w:val="20"/>
                <w:szCs w:val="20"/>
                <w:lang w:eastAsia="en-GB"/>
              </w:rPr>
              <w:t>2.44 ± 0.1</w:t>
            </w:r>
          </w:p>
        </w:tc>
        <w:tc>
          <w:tcPr>
            <w:tcW w:w="1450" w:type="dxa"/>
            <w:noWrap/>
            <w:hideMark/>
          </w:tcPr>
          <w:p w14:paraId="36367FFC" w14:textId="77777777" w:rsidR="00D21EB2" w:rsidRPr="00505D21" w:rsidRDefault="00D21EB2" w:rsidP="00D659F0">
            <w:pPr>
              <w:spacing w:before="200"/>
              <w:rPr>
                <w:rFonts w:ascii="Times New Roman" w:eastAsia="Times New Roman" w:hAnsi="Times New Roman" w:cs="Times New Roman"/>
                <w:color w:val="000000" w:themeColor="text1"/>
                <w:sz w:val="20"/>
                <w:szCs w:val="20"/>
                <w:lang w:eastAsia="en-GB"/>
              </w:rPr>
            </w:pPr>
            <w:r w:rsidRPr="00505D21">
              <w:rPr>
                <w:rFonts w:ascii="Times New Roman" w:eastAsia="Times New Roman" w:hAnsi="Times New Roman" w:cs="Times New Roman"/>
                <w:color w:val="000000" w:themeColor="text1"/>
                <w:sz w:val="20"/>
                <w:szCs w:val="20"/>
                <w:lang w:eastAsia="en-GB"/>
              </w:rPr>
              <w:t>2.53 ± 0.1</w:t>
            </w:r>
          </w:p>
        </w:tc>
        <w:tc>
          <w:tcPr>
            <w:tcW w:w="1183" w:type="dxa"/>
            <w:noWrap/>
            <w:hideMark/>
          </w:tcPr>
          <w:p w14:paraId="63D8A4CF" w14:textId="77777777" w:rsidR="00D21EB2" w:rsidRPr="00505D21" w:rsidRDefault="00D21EB2" w:rsidP="00D659F0">
            <w:pPr>
              <w:spacing w:before="200"/>
              <w:rPr>
                <w:rFonts w:ascii="Times New Roman" w:eastAsia="Times New Roman" w:hAnsi="Times New Roman" w:cs="Times New Roman"/>
                <w:color w:val="000000" w:themeColor="text1"/>
                <w:sz w:val="20"/>
                <w:szCs w:val="20"/>
                <w:lang w:eastAsia="en-GB"/>
              </w:rPr>
            </w:pPr>
            <w:r w:rsidRPr="00505D21">
              <w:rPr>
                <w:rFonts w:ascii="Times New Roman" w:eastAsia="Times New Roman" w:hAnsi="Times New Roman" w:cs="Times New Roman"/>
                <w:color w:val="000000" w:themeColor="text1"/>
                <w:sz w:val="20"/>
                <w:szCs w:val="20"/>
                <w:lang w:eastAsia="en-GB"/>
              </w:rPr>
              <w:t>3491 ± 76.8</w:t>
            </w:r>
          </w:p>
        </w:tc>
        <w:tc>
          <w:tcPr>
            <w:tcW w:w="1411" w:type="dxa"/>
          </w:tcPr>
          <w:p w14:paraId="0937973B" w14:textId="77777777" w:rsidR="00D21EB2" w:rsidRPr="00505D21" w:rsidRDefault="00D21EB2" w:rsidP="00D659F0">
            <w:pPr>
              <w:spacing w:before="200"/>
              <w:rPr>
                <w:rFonts w:ascii="Times New Roman" w:eastAsia="Times New Roman" w:hAnsi="Times New Roman" w:cs="Times New Roman"/>
                <w:color w:val="000000" w:themeColor="text1"/>
                <w:sz w:val="20"/>
                <w:szCs w:val="20"/>
                <w:lang w:eastAsia="en-GB"/>
              </w:rPr>
            </w:pPr>
            <w:r w:rsidRPr="00505D21">
              <w:rPr>
                <w:rFonts w:ascii="Times New Roman" w:eastAsia="Times New Roman" w:hAnsi="Times New Roman" w:cs="Times New Roman"/>
                <w:color w:val="000000" w:themeColor="text1"/>
                <w:sz w:val="20"/>
                <w:szCs w:val="20"/>
                <w:lang w:eastAsia="en-GB"/>
              </w:rPr>
              <w:t>2593 ± 41.9</w:t>
            </w:r>
          </w:p>
        </w:tc>
        <w:tc>
          <w:tcPr>
            <w:tcW w:w="1189" w:type="dxa"/>
          </w:tcPr>
          <w:p w14:paraId="34B179D7" w14:textId="77777777" w:rsidR="00D21EB2" w:rsidRPr="00505D21" w:rsidRDefault="00D21EB2" w:rsidP="00D659F0">
            <w:pPr>
              <w:spacing w:before="200"/>
              <w:rPr>
                <w:rFonts w:ascii="Times New Roman" w:eastAsia="Times New Roman" w:hAnsi="Times New Roman" w:cs="Times New Roman"/>
                <w:color w:val="000000" w:themeColor="text1"/>
                <w:sz w:val="20"/>
                <w:szCs w:val="20"/>
                <w:lang w:eastAsia="en-GB"/>
              </w:rPr>
            </w:pPr>
            <w:r w:rsidRPr="00505D21">
              <w:rPr>
                <w:rFonts w:ascii="Times New Roman" w:eastAsia="Times New Roman" w:hAnsi="Times New Roman" w:cs="Times New Roman"/>
                <w:color w:val="000000" w:themeColor="text1"/>
                <w:sz w:val="20"/>
                <w:szCs w:val="20"/>
                <w:lang w:eastAsia="en-GB"/>
              </w:rPr>
              <w:t>4381±60.1</w:t>
            </w:r>
          </w:p>
        </w:tc>
      </w:tr>
      <w:tr w:rsidR="00D21EB2" w:rsidRPr="00505D21" w14:paraId="348796CA" w14:textId="77777777" w:rsidTr="00D659F0">
        <w:trPr>
          <w:trHeight w:val="262"/>
          <w:jc w:val="center"/>
        </w:trPr>
        <w:tc>
          <w:tcPr>
            <w:tcW w:w="1445" w:type="dxa"/>
            <w:noWrap/>
            <w:hideMark/>
          </w:tcPr>
          <w:p w14:paraId="585B9CBB" w14:textId="77777777" w:rsidR="00D21EB2" w:rsidRPr="00505D21" w:rsidRDefault="00D21EB2" w:rsidP="00D659F0">
            <w:pPr>
              <w:spacing w:before="200"/>
              <w:rPr>
                <w:rFonts w:ascii="Times New Roman" w:eastAsia="Times New Roman" w:hAnsi="Times New Roman" w:cs="Times New Roman"/>
                <w:color w:val="000000" w:themeColor="text1"/>
                <w:sz w:val="20"/>
                <w:szCs w:val="20"/>
                <w:lang w:eastAsia="en-GB"/>
              </w:rPr>
            </w:pPr>
            <w:r w:rsidRPr="00505D21">
              <w:rPr>
                <w:rFonts w:ascii="Times New Roman" w:eastAsia="Times New Roman" w:hAnsi="Times New Roman" w:cs="Times New Roman"/>
                <w:color w:val="000000" w:themeColor="text1"/>
                <w:sz w:val="20"/>
                <w:szCs w:val="20"/>
                <w:lang w:eastAsia="en-GB"/>
              </w:rPr>
              <w:t>H2S (ppm)</w:t>
            </w:r>
          </w:p>
        </w:tc>
        <w:tc>
          <w:tcPr>
            <w:tcW w:w="1650" w:type="dxa"/>
            <w:noWrap/>
            <w:hideMark/>
          </w:tcPr>
          <w:p w14:paraId="4D989716" w14:textId="77777777" w:rsidR="00D21EB2" w:rsidRPr="00505D21" w:rsidRDefault="00D21EB2" w:rsidP="00D659F0">
            <w:pPr>
              <w:spacing w:before="200"/>
              <w:ind w:firstLine="432"/>
              <w:rPr>
                <w:rFonts w:ascii="Times New Roman" w:eastAsia="Times New Roman" w:hAnsi="Times New Roman" w:cs="Times New Roman"/>
                <w:color w:val="000000" w:themeColor="text1"/>
                <w:sz w:val="20"/>
                <w:szCs w:val="20"/>
                <w:lang w:eastAsia="en-GB"/>
              </w:rPr>
            </w:pPr>
            <w:r w:rsidRPr="00505D21">
              <w:rPr>
                <w:rFonts w:ascii="Times New Roman" w:eastAsia="Times New Roman" w:hAnsi="Times New Roman" w:cs="Times New Roman"/>
                <w:color w:val="000000" w:themeColor="text1"/>
                <w:sz w:val="20"/>
                <w:szCs w:val="20"/>
                <w:lang w:eastAsia="en-GB"/>
              </w:rPr>
              <w:t>0.008</w:t>
            </w:r>
          </w:p>
        </w:tc>
        <w:tc>
          <w:tcPr>
            <w:tcW w:w="1338" w:type="dxa"/>
            <w:noWrap/>
            <w:hideMark/>
          </w:tcPr>
          <w:p w14:paraId="71E90912" w14:textId="77777777" w:rsidR="00D21EB2" w:rsidRPr="00505D21" w:rsidRDefault="00D21EB2" w:rsidP="00D659F0">
            <w:pPr>
              <w:spacing w:before="200"/>
              <w:rPr>
                <w:rFonts w:ascii="Times New Roman" w:eastAsia="Times New Roman" w:hAnsi="Times New Roman" w:cs="Times New Roman"/>
                <w:color w:val="000000" w:themeColor="text1"/>
                <w:sz w:val="20"/>
                <w:szCs w:val="20"/>
                <w:lang w:eastAsia="en-GB"/>
              </w:rPr>
            </w:pPr>
            <w:r w:rsidRPr="00505D21">
              <w:rPr>
                <w:rFonts w:ascii="Times New Roman" w:eastAsia="Times New Roman" w:hAnsi="Times New Roman" w:cs="Times New Roman"/>
                <w:color w:val="000000" w:themeColor="text1"/>
                <w:sz w:val="20"/>
                <w:szCs w:val="20"/>
                <w:lang w:eastAsia="en-GB"/>
              </w:rPr>
              <w:t>0.31 ± 0.00</w:t>
            </w:r>
          </w:p>
        </w:tc>
        <w:tc>
          <w:tcPr>
            <w:tcW w:w="1219" w:type="dxa"/>
            <w:noWrap/>
            <w:hideMark/>
          </w:tcPr>
          <w:p w14:paraId="140DEED4" w14:textId="77777777" w:rsidR="00D21EB2" w:rsidRPr="00505D21" w:rsidRDefault="00D21EB2" w:rsidP="00D659F0">
            <w:pPr>
              <w:spacing w:before="200"/>
              <w:rPr>
                <w:rFonts w:ascii="Times New Roman" w:eastAsia="Times New Roman" w:hAnsi="Times New Roman" w:cs="Times New Roman"/>
                <w:color w:val="000000" w:themeColor="text1"/>
                <w:sz w:val="20"/>
                <w:szCs w:val="20"/>
                <w:lang w:eastAsia="en-GB"/>
              </w:rPr>
            </w:pPr>
            <w:r w:rsidRPr="00505D21">
              <w:rPr>
                <w:rFonts w:ascii="Times New Roman" w:eastAsia="Times New Roman" w:hAnsi="Times New Roman" w:cs="Times New Roman"/>
                <w:color w:val="000000" w:themeColor="text1"/>
                <w:sz w:val="20"/>
                <w:szCs w:val="20"/>
                <w:lang w:eastAsia="en-GB"/>
              </w:rPr>
              <w:t>0.0 ± 0.0</w:t>
            </w:r>
          </w:p>
        </w:tc>
        <w:tc>
          <w:tcPr>
            <w:tcW w:w="1224" w:type="dxa"/>
            <w:noWrap/>
            <w:hideMark/>
          </w:tcPr>
          <w:p w14:paraId="758FF515" w14:textId="77777777" w:rsidR="00D21EB2" w:rsidRPr="00505D21" w:rsidRDefault="00D21EB2" w:rsidP="00D659F0">
            <w:pPr>
              <w:spacing w:before="200"/>
              <w:rPr>
                <w:rFonts w:ascii="Times New Roman" w:eastAsia="Times New Roman" w:hAnsi="Times New Roman" w:cs="Times New Roman"/>
                <w:color w:val="000000" w:themeColor="text1"/>
                <w:sz w:val="20"/>
                <w:szCs w:val="20"/>
                <w:lang w:eastAsia="en-GB"/>
              </w:rPr>
            </w:pPr>
            <w:r w:rsidRPr="00505D21">
              <w:rPr>
                <w:rFonts w:ascii="Times New Roman" w:eastAsia="Times New Roman" w:hAnsi="Times New Roman" w:cs="Times New Roman"/>
                <w:color w:val="000000" w:themeColor="text1"/>
                <w:sz w:val="20"/>
                <w:szCs w:val="20"/>
                <w:lang w:eastAsia="en-GB"/>
              </w:rPr>
              <w:t>0.0 ± 0.0</w:t>
            </w:r>
          </w:p>
        </w:tc>
        <w:tc>
          <w:tcPr>
            <w:tcW w:w="1183" w:type="dxa"/>
            <w:noWrap/>
            <w:hideMark/>
          </w:tcPr>
          <w:p w14:paraId="2EBA1E11" w14:textId="77777777" w:rsidR="00D21EB2" w:rsidRPr="00505D21" w:rsidRDefault="00D21EB2" w:rsidP="00D659F0">
            <w:pPr>
              <w:spacing w:before="200"/>
              <w:rPr>
                <w:rFonts w:ascii="Times New Roman" w:eastAsia="Times New Roman" w:hAnsi="Times New Roman" w:cs="Times New Roman"/>
                <w:color w:val="000000" w:themeColor="text1"/>
                <w:sz w:val="20"/>
                <w:szCs w:val="20"/>
                <w:lang w:eastAsia="en-GB"/>
              </w:rPr>
            </w:pPr>
            <w:r w:rsidRPr="00505D21">
              <w:rPr>
                <w:rFonts w:ascii="Times New Roman" w:eastAsia="Times New Roman" w:hAnsi="Times New Roman" w:cs="Times New Roman"/>
                <w:color w:val="000000" w:themeColor="text1"/>
                <w:sz w:val="20"/>
                <w:szCs w:val="20"/>
                <w:lang w:eastAsia="en-GB"/>
              </w:rPr>
              <w:t>0.77 ± 0.00</w:t>
            </w:r>
          </w:p>
        </w:tc>
        <w:tc>
          <w:tcPr>
            <w:tcW w:w="1416" w:type="dxa"/>
            <w:noWrap/>
            <w:hideMark/>
          </w:tcPr>
          <w:p w14:paraId="35203A55" w14:textId="77777777" w:rsidR="00D21EB2" w:rsidRPr="00505D21" w:rsidRDefault="00D21EB2" w:rsidP="00D659F0">
            <w:pPr>
              <w:spacing w:before="200"/>
              <w:rPr>
                <w:rFonts w:ascii="Times New Roman" w:eastAsia="Times New Roman" w:hAnsi="Times New Roman" w:cs="Times New Roman"/>
                <w:color w:val="000000" w:themeColor="text1"/>
                <w:sz w:val="20"/>
                <w:szCs w:val="20"/>
                <w:lang w:eastAsia="en-GB"/>
              </w:rPr>
            </w:pPr>
            <w:r w:rsidRPr="00505D21">
              <w:rPr>
                <w:rFonts w:ascii="Times New Roman" w:eastAsia="Times New Roman" w:hAnsi="Times New Roman" w:cs="Times New Roman"/>
                <w:color w:val="000000" w:themeColor="text1"/>
                <w:sz w:val="20"/>
                <w:szCs w:val="20"/>
                <w:lang w:eastAsia="en-GB"/>
              </w:rPr>
              <w:t>0.26 ± 0.00</w:t>
            </w:r>
          </w:p>
        </w:tc>
        <w:tc>
          <w:tcPr>
            <w:tcW w:w="1450" w:type="dxa"/>
            <w:noWrap/>
            <w:hideMark/>
          </w:tcPr>
          <w:p w14:paraId="306AA5A6" w14:textId="77777777" w:rsidR="00D21EB2" w:rsidRPr="00505D21" w:rsidRDefault="00D21EB2" w:rsidP="00D659F0">
            <w:pPr>
              <w:spacing w:before="200"/>
              <w:rPr>
                <w:rFonts w:ascii="Times New Roman" w:eastAsia="Times New Roman" w:hAnsi="Times New Roman" w:cs="Times New Roman"/>
                <w:color w:val="000000" w:themeColor="text1"/>
                <w:sz w:val="20"/>
                <w:szCs w:val="20"/>
                <w:lang w:eastAsia="en-GB"/>
              </w:rPr>
            </w:pPr>
            <w:r w:rsidRPr="00505D21">
              <w:rPr>
                <w:rFonts w:ascii="Times New Roman" w:eastAsia="Times New Roman" w:hAnsi="Times New Roman" w:cs="Times New Roman"/>
                <w:color w:val="000000" w:themeColor="text1"/>
                <w:sz w:val="20"/>
                <w:szCs w:val="20"/>
                <w:lang w:eastAsia="en-GB"/>
              </w:rPr>
              <w:t>0.0 ± 0.0</w:t>
            </w:r>
          </w:p>
        </w:tc>
        <w:tc>
          <w:tcPr>
            <w:tcW w:w="1183" w:type="dxa"/>
            <w:noWrap/>
            <w:hideMark/>
          </w:tcPr>
          <w:p w14:paraId="066191D2" w14:textId="77777777" w:rsidR="00D21EB2" w:rsidRPr="00505D21" w:rsidRDefault="00D21EB2" w:rsidP="00D659F0">
            <w:pPr>
              <w:spacing w:before="200"/>
              <w:rPr>
                <w:rFonts w:ascii="Times New Roman" w:eastAsia="Times New Roman" w:hAnsi="Times New Roman" w:cs="Times New Roman"/>
                <w:color w:val="000000" w:themeColor="text1"/>
                <w:sz w:val="20"/>
                <w:szCs w:val="20"/>
                <w:lang w:eastAsia="en-GB"/>
              </w:rPr>
            </w:pPr>
            <w:r w:rsidRPr="00505D21">
              <w:rPr>
                <w:rFonts w:ascii="Times New Roman" w:eastAsia="Times New Roman" w:hAnsi="Times New Roman" w:cs="Times New Roman"/>
                <w:color w:val="000000" w:themeColor="text1"/>
                <w:sz w:val="20"/>
                <w:szCs w:val="20"/>
                <w:lang w:eastAsia="en-GB"/>
              </w:rPr>
              <w:t>0.0 ± 0.0</w:t>
            </w:r>
          </w:p>
        </w:tc>
        <w:tc>
          <w:tcPr>
            <w:tcW w:w="1411" w:type="dxa"/>
          </w:tcPr>
          <w:p w14:paraId="6823E7D3" w14:textId="77777777" w:rsidR="00D21EB2" w:rsidRPr="00505D21" w:rsidRDefault="00D21EB2" w:rsidP="00D659F0">
            <w:pPr>
              <w:spacing w:before="200"/>
              <w:rPr>
                <w:rFonts w:ascii="Times New Roman" w:eastAsia="Times New Roman" w:hAnsi="Times New Roman" w:cs="Times New Roman"/>
                <w:color w:val="000000" w:themeColor="text1"/>
                <w:sz w:val="20"/>
                <w:szCs w:val="20"/>
                <w:lang w:eastAsia="en-GB"/>
              </w:rPr>
            </w:pPr>
            <w:r w:rsidRPr="00505D21">
              <w:rPr>
                <w:rFonts w:ascii="Times New Roman" w:eastAsia="Times New Roman" w:hAnsi="Times New Roman" w:cs="Times New Roman"/>
                <w:color w:val="000000" w:themeColor="text1"/>
                <w:sz w:val="20"/>
                <w:szCs w:val="20"/>
                <w:lang w:eastAsia="en-GB"/>
              </w:rPr>
              <w:t>0.0 ± 0.0</w:t>
            </w:r>
          </w:p>
        </w:tc>
        <w:tc>
          <w:tcPr>
            <w:tcW w:w="1189" w:type="dxa"/>
          </w:tcPr>
          <w:p w14:paraId="44816EE1" w14:textId="77777777" w:rsidR="00D21EB2" w:rsidRPr="00505D21" w:rsidRDefault="00D21EB2" w:rsidP="00D659F0">
            <w:pPr>
              <w:spacing w:before="200"/>
              <w:rPr>
                <w:rFonts w:ascii="Times New Roman" w:eastAsia="Times New Roman" w:hAnsi="Times New Roman" w:cs="Times New Roman"/>
                <w:color w:val="000000" w:themeColor="text1"/>
                <w:sz w:val="20"/>
                <w:szCs w:val="20"/>
                <w:lang w:eastAsia="en-GB"/>
              </w:rPr>
            </w:pPr>
            <w:r w:rsidRPr="00505D21">
              <w:rPr>
                <w:rFonts w:ascii="Times New Roman" w:eastAsia="Times New Roman" w:hAnsi="Times New Roman" w:cs="Times New Roman"/>
                <w:color w:val="000000" w:themeColor="text1"/>
                <w:sz w:val="20"/>
                <w:szCs w:val="20"/>
                <w:lang w:eastAsia="en-GB"/>
              </w:rPr>
              <w:t>0.0 ± 0.0</w:t>
            </w:r>
          </w:p>
        </w:tc>
      </w:tr>
      <w:tr w:rsidR="00D21EB2" w:rsidRPr="00505D21" w14:paraId="2A7B12DE" w14:textId="77777777" w:rsidTr="00D659F0">
        <w:trPr>
          <w:trHeight w:val="262"/>
          <w:jc w:val="center"/>
        </w:trPr>
        <w:tc>
          <w:tcPr>
            <w:tcW w:w="1445" w:type="dxa"/>
            <w:noWrap/>
            <w:hideMark/>
          </w:tcPr>
          <w:p w14:paraId="50B0902F" w14:textId="77777777" w:rsidR="00D21EB2" w:rsidRPr="00505D21" w:rsidRDefault="00D21EB2" w:rsidP="00D659F0">
            <w:pPr>
              <w:spacing w:before="200"/>
              <w:rPr>
                <w:rFonts w:ascii="Times New Roman" w:eastAsia="Times New Roman" w:hAnsi="Times New Roman" w:cs="Times New Roman"/>
                <w:color w:val="000000" w:themeColor="text1"/>
                <w:sz w:val="20"/>
                <w:szCs w:val="20"/>
                <w:lang w:eastAsia="en-GB"/>
              </w:rPr>
            </w:pPr>
            <w:r w:rsidRPr="00505D21">
              <w:rPr>
                <w:rFonts w:ascii="Times New Roman" w:eastAsia="Times New Roman" w:hAnsi="Times New Roman" w:cs="Times New Roman"/>
                <w:color w:val="000000" w:themeColor="text1"/>
                <w:sz w:val="20"/>
                <w:szCs w:val="20"/>
                <w:lang w:eastAsia="en-GB"/>
              </w:rPr>
              <w:t>CO (ppm)</w:t>
            </w:r>
          </w:p>
        </w:tc>
        <w:tc>
          <w:tcPr>
            <w:tcW w:w="1650" w:type="dxa"/>
            <w:noWrap/>
            <w:hideMark/>
          </w:tcPr>
          <w:p w14:paraId="20983BE2" w14:textId="77777777" w:rsidR="00D21EB2" w:rsidRPr="00505D21" w:rsidRDefault="00D21EB2" w:rsidP="00D659F0">
            <w:pPr>
              <w:spacing w:before="200"/>
              <w:ind w:firstLine="432"/>
              <w:rPr>
                <w:rFonts w:ascii="Times New Roman" w:eastAsia="Times New Roman" w:hAnsi="Times New Roman" w:cs="Times New Roman"/>
                <w:color w:val="000000" w:themeColor="text1"/>
                <w:sz w:val="20"/>
                <w:szCs w:val="20"/>
                <w:lang w:eastAsia="en-GB"/>
              </w:rPr>
            </w:pPr>
            <w:r w:rsidRPr="00505D21">
              <w:rPr>
                <w:rFonts w:ascii="Times New Roman" w:eastAsia="Times New Roman" w:hAnsi="Times New Roman" w:cs="Times New Roman"/>
                <w:color w:val="000000" w:themeColor="text1"/>
                <w:sz w:val="20"/>
                <w:szCs w:val="20"/>
                <w:lang w:eastAsia="en-GB"/>
              </w:rPr>
              <w:t>10</w:t>
            </w:r>
          </w:p>
        </w:tc>
        <w:tc>
          <w:tcPr>
            <w:tcW w:w="1338" w:type="dxa"/>
            <w:noWrap/>
            <w:hideMark/>
          </w:tcPr>
          <w:p w14:paraId="0B3E1AA8" w14:textId="77777777" w:rsidR="00D21EB2" w:rsidRPr="00505D21" w:rsidRDefault="00D21EB2" w:rsidP="00D659F0">
            <w:pPr>
              <w:spacing w:before="200"/>
              <w:rPr>
                <w:rFonts w:ascii="Times New Roman" w:eastAsia="Times New Roman" w:hAnsi="Times New Roman" w:cs="Times New Roman"/>
                <w:color w:val="000000" w:themeColor="text1"/>
                <w:sz w:val="20"/>
                <w:szCs w:val="20"/>
                <w:lang w:eastAsia="en-GB"/>
              </w:rPr>
            </w:pPr>
            <w:r w:rsidRPr="00505D21">
              <w:rPr>
                <w:rFonts w:ascii="Times New Roman" w:eastAsia="Times New Roman" w:hAnsi="Times New Roman" w:cs="Times New Roman"/>
                <w:color w:val="000000" w:themeColor="text1"/>
                <w:sz w:val="20"/>
                <w:szCs w:val="20"/>
                <w:lang w:eastAsia="en-GB"/>
              </w:rPr>
              <w:t>1.5 ± 0.02</w:t>
            </w:r>
          </w:p>
        </w:tc>
        <w:tc>
          <w:tcPr>
            <w:tcW w:w="1219" w:type="dxa"/>
            <w:noWrap/>
            <w:hideMark/>
          </w:tcPr>
          <w:p w14:paraId="6891526E" w14:textId="77777777" w:rsidR="00D21EB2" w:rsidRPr="00505D21" w:rsidRDefault="00D21EB2" w:rsidP="00D659F0">
            <w:pPr>
              <w:spacing w:before="200"/>
              <w:rPr>
                <w:rFonts w:ascii="Times New Roman" w:eastAsia="Times New Roman" w:hAnsi="Times New Roman" w:cs="Times New Roman"/>
                <w:color w:val="000000" w:themeColor="text1"/>
                <w:sz w:val="20"/>
                <w:szCs w:val="20"/>
                <w:lang w:eastAsia="en-GB"/>
              </w:rPr>
            </w:pPr>
            <w:r w:rsidRPr="00505D21">
              <w:rPr>
                <w:rFonts w:ascii="Times New Roman" w:eastAsia="Times New Roman" w:hAnsi="Times New Roman" w:cs="Times New Roman"/>
                <w:color w:val="000000" w:themeColor="text1"/>
                <w:sz w:val="20"/>
                <w:szCs w:val="20"/>
                <w:lang w:eastAsia="en-GB"/>
              </w:rPr>
              <w:t>1.2 ± 0.02</w:t>
            </w:r>
          </w:p>
        </w:tc>
        <w:tc>
          <w:tcPr>
            <w:tcW w:w="1224" w:type="dxa"/>
            <w:noWrap/>
            <w:hideMark/>
          </w:tcPr>
          <w:p w14:paraId="2A143708" w14:textId="77777777" w:rsidR="00D21EB2" w:rsidRPr="00505D21" w:rsidRDefault="00D21EB2" w:rsidP="00D659F0">
            <w:pPr>
              <w:spacing w:before="200"/>
              <w:rPr>
                <w:rFonts w:ascii="Times New Roman" w:eastAsia="Times New Roman" w:hAnsi="Times New Roman" w:cs="Times New Roman"/>
                <w:color w:val="000000" w:themeColor="text1"/>
                <w:sz w:val="20"/>
                <w:szCs w:val="20"/>
                <w:lang w:eastAsia="en-GB"/>
              </w:rPr>
            </w:pPr>
            <w:r w:rsidRPr="00505D21">
              <w:rPr>
                <w:rFonts w:ascii="Times New Roman" w:eastAsia="Times New Roman" w:hAnsi="Times New Roman" w:cs="Times New Roman"/>
                <w:color w:val="000000" w:themeColor="text1"/>
                <w:sz w:val="20"/>
                <w:szCs w:val="20"/>
                <w:lang w:eastAsia="en-GB"/>
              </w:rPr>
              <w:t>1.2± 0.02</w:t>
            </w:r>
          </w:p>
        </w:tc>
        <w:tc>
          <w:tcPr>
            <w:tcW w:w="1183" w:type="dxa"/>
            <w:noWrap/>
            <w:hideMark/>
          </w:tcPr>
          <w:p w14:paraId="648FE50D" w14:textId="77777777" w:rsidR="00D21EB2" w:rsidRPr="00505D21" w:rsidRDefault="00D21EB2" w:rsidP="00D659F0">
            <w:pPr>
              <w:spacing w:before="200"/>
              <w:rPr>
                <w:rFonts w:ascii="Times New Roman" w:eastAsia="Times New Roman" w:hAnsi="Times New Roman" w:cs="Times New Roman"/>
                <w:color w:val="000000" w:themeColor="text1"/>
                <w:sz w:val="20"/>
                <w:szCs w:val="20"/>
                <w:lang w:eastAsia="en-GB"/>
              </w:rPr>
            </w:pPr>
            <w:r w:rsidRPr="00505D21">
              <w:rPr>
                <w:rFonts w:ascii="Times New Roman" w:eastAsia="Times New Roman" w:hAnsi="Times New Roman" w:cs="Times New Roman"/>
                <w:color w:val="000000" w:themeColor="text1"/>
                <w:sz w:val="20"/>
                <w:szCs w:val="20"/>
                <w:lang w:eastAsia="en-GB"/>
              </w:rPr>
              <w:t>0. 6± 0.00</w:t>
            </w:r>
          </w:p>
        </w:tc>
        <w:tc>
          <w:tcPr>
            <w:tcW w:w="1416" w:type="dxa"/>
            <w:noWrap/>
            <w:hideMark/>
          </w:tcPr>
          <w:p w14:paraId="7F5317EF" w14:textId="77777777" w:rsidR="00D21EB2" w:rsidRPr="00505D21" w:rsidRDefault="00D21EB2" w:rsidP="00D659F0">
            <w:pPr>
              <w:spacing w:before="200"/>
              <w:rPr>
                <w:rFonts w:ascii="Times New Roman" w:eastAsia="Times New Roman" w:hAnsi="Times New Roman" w:cs="Times New Roman"/>
                <w:color w:val="000000" w:themeColor="text1"/>
                <w:sz w:val="20"/>
                <w:szCs w:val="20"/>
                <w:lang w:eastAsia="en-GB"/>
              </w:rPr>
            </w:pPr>
            <w:r w:rsidRPr="00505D21">
              <w:rPr>
                <w:rFonts w:ascii="Times New Roman" w:eastAsia="Times New Roman" w:hAnsi="Times New Roman" w:cs="Times New Roman"/>
                <w:color w:val="000000" w:themeColor="text1"/>
                <w:sz w:val="20"/>
                <w:szCs w:val="20"/>
                <w:lang w:eastAsia="en-GB"/>
              </w:rPr>
              <w:t>1.72± 0.01</w:t>
            </w:r>
          </w:p>
        </w:tc>
        <w:tc>
          <w:tcPr>
            <w:tcW w:w="1450" w:type="dxa"/>
            <w:noWrap/>
            <w:hideMark/>
          </w:tcPr>
          <w:p w14:paraId="31CA2176" w14:textId="77777777" w:rsidR="00D21EB2" w:rsidRPr="00505D21" w:rsidRDefault="00D21EB2" w:rsidP="00D659F0">
            <w:pPr>
              <w:spacing w:before="200"/>
              <w:rPr>
                <w:rFonts w:ascii="Times New Roman" w:eastAsia="Times New Roman" w:hAnsi="Times New Roman" w:cs="Times New Roman"/>
                <w:color w:val="000000" w:themeColor="text1"/>
                <w:sz w:val="20"/>
                <w:szCs w:val="20"/>
                <w:lang w:eastAsia="en-GB"/>
              </w:rPr>
            </w:pPr>
            <w:r w:rsidRPr="00505D21">
              <w:rPr>
                <w:rFonts w:ascii="Times New Roman" w:eastAsia="Times New Roman" w:hAnsi="Times New Roman" w:cs="Times New Roman"/>
                <w:color w:val="000000" w:themeColor="text1"/>
                <w:sz w:val="20"/>
                <w:szCs w:val="20"/>
                <w:lang w:eastAsia="en-GB"/>
              </w:rPr>
              <w:t>0.6 ± 0.01</w:t>
            </w:r>
          </w:p>
        </w:tc>
        <w:tc>
          <w:tcPr>
            <w:tcW w:w="1183" w:type="dxa"/>
            <w:noWrap/>
            <w:hideMark/>
          </w:tcPr>
          <w:p w14:paraId="32728C9A" w14:textId="77777777" w:rsidR="00D21EB2" w:rsidRPr="00505D21" w:rsidRDefault="00D21EB2" w:rsidP="00D659F0">
            <w:pPr>
              <w:spacing w:before="200"/>
              <w:rPr>
                <w:rFonts w:ascii="Times New Roman" w:eastAsia="Times New Roman" w:hAnsi="Times New Roman" w:cs="Times New Roman"/>
                <w:color w:val="000000" w:themeColor="text1"/>
                <w:sz w:val="20"/>
                <w:szCs w:val="20"/>
                <w:lang w:eastAsia="en-GB"/>
              </w:rPr>
            </w:pPr>
            <w:r w:rsidRPr="00505D21">
              <w:rPr>
                <w:rFonts w:ascii="Times New Roman" w:eastAsia="Times New Roman" w:hAnsi="Times New Roman" w:cs="Times New Roman"/>
                <w:color w:val="000000" w:themeColor="text1"/>
                <w:sz w:val="20"/>
                <w:szCs w:val="20"/>
                <w:lang w:eastAsia="en-GB"/>
              </w:rPr>
              <w:t>1.7 ± 0.012</w:t>
            </w:r>
          </w:p>
        </w:tc>
        <w:tc>
          <w:tcPr>
            <w:tcW w:w="1411" w:type="dxa"/>
          </w:tcPr>
          <w:p w14:paraId="6F88B686" w14:textId="77777777" w:rsidR="00D21EB2" w:rsidRPr="00505D21" w:rsidRDefault="00D21EB2" w:rsidP="00D659F0">
            <w:pPr>
              <w:spacing w:before="200"/>
              <w:rPr>
                <w:rFonts w:ascii="Times New Roman" w:eastAsia="Times New Roman" w:hAnsi="Times New Roman" w:cs="Times New Roman"/>
                <w:color w:val="000000" w:themeColor="text1"/>
                <w:sz w:val="20"/>
                <w:szCs w:val="20"/>
                <w:lang w:eastAsia="en-GB"/>
              </w:rPr>
            </w:pPr>
            <w:r w:rsidRPr="00505D21">
              <w:rPr>
                <w:rFonts w:ascii="Times New Roman" w:eastAsia="Times New Roman" w:hAnsi="Times New Roman" w:cs="Times New Roman"/>
                <w:color w:val="000000" w:themeColor="text1"/>
                <w:sz w:val="20"/>
                <w:szCs w:val="20"/>
                <w:lang w:eastAsia="en-GB"/>
              </w:rPr>
              <w:t>1.5 ± 0.031</w:t>
            </w:r>
          </w:p>
        </w:tc>
        <w:tc>
          <w:tcPr>
            <w:tcW w:w="1189" w:type="dxa"/>
          </w:tcPr>
          <w:p w14:paraId="6ACF36ED" w14:textId="77777777" w:rsidR="00D21EB2" w:rsidRPr="00505D21" w:rsidRDefault="00D21EB2" w:rsidP="00D659F0">
            <w:pPr>
              <w:spacing w:before="200"/>
              <w:rPr>
                <w:rFonts w:ascii="Times New Roman" w:eastAsia="Times New Roman" w:hAnsi="Times New Roman" w:cs="Times New Roman"/>
                <w:color w:val="000000" w:themeColor="text1"/>
                <w:sz w:val="20"/>
                <w:szCs w:val="20"/>
                <w:lang w:eastAsia="en-GB"/>
              </w:rPr>
            </w:pPr>
            <w:r w:rsidRPr="00505D21">
              <w:rPr>
                <w:rFonts w:ascii="Times New Roman" w:eastAsia="Times New Roman" w:hAnsi="Times New Roman" w:cs="Times New Roman"/>
                <w:color w:val="000000" w:themeColor="text1"/>
                <w:sz w:val="20"/>
                <w:szCs w:val="20"/>
                <w:lang w:eastAsia="en-GB"/>
              </w:rPr>
              <w:t>1.2 ± 0.02</w:t>
            </w:r>
          </w:p>
        </w:tc>
      </w:tr>
      <w:tr w:rsidR="00D21EB2" w:rsidRPr="00505D21" w14:paraId="49858E44" w14:textId="77777777" w:rsidTr="00D659F0">
        <w:trPr>
          <w:trHeight w:val="262"/>
          <w:jc w:val="center"/>
        </w:trPr>
        <w:tc>
          <w:tcPr>
            <w:tcW w:w="1445" w:type="dxa"/>
            <w:noWrap/>
            <w:hideMark/>
          </w:tcPr>
          <w:p w14:paraId="4E8F905C" w14:textId="77777777" w:rsidR="00D21EB2" w:rsidRPr="00505D21" w:rsidRDefault="00D21EB2" w:rsidP="00D659F0">
            <w:pPr>
              <w:spacing w:before="200" w:line="480" w:lineRule="auto"/>
              <w:rPr>
                <w:rFonts w:ascii="Times New Roman" w:eastAsia="Times New Roman" w:hAnsi="Times New Roman" w:cs="Times New Roman"/>
                <w:color w:val="000000" w:themeColor="text1"/>
                <w:sz w:val="20"/>
                <w:szCs w:val="20"/>
                <w:lang w:eastAsia="en-GB"/>
              </w:rPr>
            </w:pPr>
            <w:r w:rsidRPr="00505D21">
              <w:rPr>
                <w:rFonts w:ascii="Times New Roman" w:eastAsia="Times New Roman" w:hAnsi="Times New Roman" w:cs="Times New Roman"/>
                <w:color w:val="000000" w:themeColor="text1"/>
                <w:sz w:val="20"/>
                <w:szCs w:val="20"/>
                <w:lang w:eastAsia="en-GB"/>
              </w:rPr>
              <w:t>VOC (ppm)</w:t>
            </w:r>
          </w:p>
        </w:tc>
        <w:tc>
          <w:tcPr>
            <w:tcW w:w="1650" w:type="dxa"/>
            <w:noWrap/>
            <w:hideMark/>
          </w:tcPr>
          <w:p w14:paraId="74A1FEB9" w14:textId="77777777" w:rsidR="00D21EB2" w:rsidRPr="00505D21" w:rsidRDefault="00D21EB2" w:rsidP="00D659F0">
            <w:pPr>
              <w:spacing w:before="200" w:line="480" w:lineRule="auto"/>
              <w:ind w:firstLine="432"/>
              <w:rPr>
                <w:rFonts w:ascii="Times New Roman" w:eastAsia="Times New Roman" w:hAnsi="Times New Roman" w:cs="Times New Roman"/>
                <w:color w:val="000000" w:themeColor="text1"/>
                <w:sz w:val="20"/>
                <w:szCs w:val="20"/>
                <w:lang w:eastAsia="en-GB"/>
              </w:rPr>
            </w:pPr>
            <w:r w:rsidRPr="00505D21">
              <w:rPr>
                <w:rFonts w:ascii="Times New Roman" w:eastAsia="Times New Roman" w:hAnsi="Times New Roman" w:cs="Times New Roman"/>
                <w:color w:val="000000" w:themeColor="text1"/>
                <w:sz w:val="20"/>
                <w:szCs w:val="20"/>
                <w:lang w:eastAsia="en-GB"/>
              </w:rPr>
              <w:t>600</w:t>
            </w:r>
          </w:p>
        </w:tc>
        <w:tc>
          <w:tcPr>
            <w:tcW w:w="1338" w:type="dxa"/>
            <w:noWrap/>
            <w:hideMark/>
          </w:tcPr>
          <w:p w14:paraId="05B5EF3B" w14:textId="77777777" w:rsidR="00D21EB2" w:rsidRPr="00505D21" w:rsidRDefault="00D21EB2" w:rsidP="00D659F0">
            <w:pPr>
              <w:spacing w:before="200" w:line="480" w:lineRule="auto"/>
              <w:rPr>
                <w:rFonts w:ascii="Times New Roman" w:eastAsia="Times New Roman" w:hAnsi="Times New Roman" w:cs="Times New Roman"/>
                <w:color w:val="000000" w:themeColor="text1"/>
                <w:sz w:val="20"/>
                <w:szCs w:val="20"/>
                <w:lang w:eastAsia="en-GB"/>
              </w:rPr>
            </w:pPr>
            <w:r w:rsidRPr="00505D21">
              <w:rPr>
                <w:rFonts w:ascii="Times New Roman" w:eastAsia="Times New Roman" w:hAnsi="Times New Roman" w:cs="Times New Roman"/>
                <w:color w:val="000000" w:themeColor="text1"/>
                <w:sz w:val="20"/>
                <w:szCs w:val="20"/>
                <w:lang w:eastAsia="en-GB"/>
              </w:rPr>
              <w:t>9458 ± 87.5</w:t>
            </w:r>
          </w:p>
        </w:tc>
        <w:tc>
          <w:tcPr>
            <w:tcW w:w="1219" w:type="dxa"/>
            <w:noWrap/>
            <w:hideMark/>
          </w:tcPr>
          <w:p w14:paraId="2FA74CD4" w14:textId="77777777" w:rsidR="00D21EB2" w:rsidRPr="00505D21" w:rsidRDefault="00D21EB2" w:rsidP="00D659F0">
            <w:pPr>
              <w:spacing w:before="200" w:line="480" w:lineRule="auto"/>
              <w:rPr>
                <w:rFonts w:ascii="Times New Roman" w:eastAsia="Times New Roman" w:hAnsi="Times New Roman" w:cs="Times New Roman"/>
                <w:color w:val="000000" w:themeColor="text1"/>
                <w:sz w:val="20"/>
                <w:szCs w:val="20"/>
                <w:lang w:eastAsia="en-GB"/>
              </w:rPr>
            </w:pPr>
            <w:r w:rsidRPr="00505D21">
              <w:rPr>
                <w:rFonts w:ascii="Times New Roman" w:eastAsia="Times New Roman" w:hAnsi="Times New Roman" w:cs="Times New Roman"/>
                <w:color w:val="000000" w:themeColor="text1"/>
                <w:sz w:val="20"/>
                <w:szCs w:val="20"/>
                <w:lang w:eastAsia="en-GB"/>
              </w:rPr>
              <w:t>1804±50.1</w:t>
            </w:r>
          </w:p>
        </w:tc>
        <w:tc>
          <w:tcPr>
            <w:tcW w:w="1224" w:type="dxa"/>
            <w:noWrap/>
            <w:hideMark/>
          </w:tcPr>
          <w:p w14:paraId="403B22CE" w14:textId="77777777" w:rsidR="00D21EB2" w:rsidRPr="00505D21" w:rsidRDefault="00D21EB2" w:rsidP="00D659F0">
            <w:pPr>
              <w:spacing w:before="200" w:line="480" w:lineRule="auto"/>
              <w:rPr>
                <w:rFonts w:ascii="Times New Roman" w:eastAsia="Times New Roman" w:hAnsi="Times New Roman" w:cs="Times New Roman"/>
                <w:color w:val="000000" w:themeColor="text1"/>
                <w:sz w:val="20"/>
                <w:szCs w:val="20"/>
                <w:lang w:eastAsia="en-GB"/>
              </w:rPr>
            </w:pPr>
            <w:r w:rsidRPr="00505D21">
              <w:rPr>
                <w:rFonts w:ascii="Times New Roman" w:eastAsia="Times New Roman" w:hAnsi="Times New Roman" w:cs="Times New Roman"/>
                <w:color w:val="000000" w:themeColor="text1"/>
                <w:sz w:val="20"/>
                <w:szCs w:val="20"/>
                <w:lang w:eastAsia="en-GB"/>
              </w:rPr>
              <w:t>1890 ± 16.1</w:t>
            </w:r>
          </w:p>
        </w:tc>
        <w:tc>
          <w:tcPr>
            <w:tcW w:w="1183" w:type="dxa"/>
            <w:noWrap/>
            <w:hideMark/>
          </w:tcPr>
          <w:p w14:paraId="37B2FEBF" w14:textId="77777777" w:rsidR="00D21EB2" w:rsidRPr="00505D21" w:rsidRDefault="00D21EB2" w:rsidP="00D659F0">
            <w:pPr>
              <w:spacing w:before="200" w:line="480" w:lineRule="auto"/>
              <w:rPr>
                <w:rFonts w:ascii="Times New Roman" w:eastAsia="Times New Roman" w:hAnsi="Times New Roman" w:cs="Times New Roman"/>
                <w:color w:val="000000" w:themeColor="text1"/>
                <w:sz w:val="20"/>
                <w:szCs w:val="20"/>
                <w:lang w:eastAsia="en-GB"/>
              </w:rPr>
            </w:pPr>
            <w:r w:rsidRPr="00505D21">
              <w:rPr>
                <w:rFonts w:ascii="Times New Roman" w:eastAsia="Times New Roman" w:hAnsi="Times New Roman" w:cs="Times New Roman"/>
                <w:color w:val="000000" w:themeColor="text1"/>
                <w:sz w:val="20"/>
                <w:szCs w:val="20"/>
                <w:lang w:eastAsia="en-GB"/>
              </w:rPr>
              <w:t>1756±43.2</w:t>
            </w:r>
          </w:p>
        </w:tc>
        <w:tc>
          <w:tcPr>
            <w:tcW w:w="1416" w:type="dxa"/>
            <w:noWrap/>
            <w:hideMark/>
          </w:tcPr>
          <w:p w14:paraId="68E3AAEB" w14:textId="77777777" w:rsidR="00D21EB2" w:rsidRPr="00505D21" w:rsidRDefault="00D21EB2" w:rsidP="00D659F0">
            <w:pPr>
              <w:spacing w:before="200" w:line="480" w:lineRule="auto"/>
              <w:rPr>
                <w:rFonts w:ascii="Times New Roman" w:eastAsia="Times New Roman" w:hAnsi="Times New Roman" w:cs="Times New Roman"/>
                <w:color w:val="000000" w:themeColor="text1"/>
                <w:sz w:val="20"/>
                <w:szCs w:val="20"/>
                <w:lang w:eastAsia="en-GB"/>
              </w:rPr>
            </w:pPr>
            <w:r w:rsidRPr="00505D21">
              <w:rPr>
                <w:rFonts w:ascii="Times New Roman" w:eastAsia="Times New Roman" w:hAnsi="Times New Roman" w:cs="Times New Roman"/>
                <w:color w:val="000000" w:themeColor="text1"/>
                <w:sz w:val="20"/>
                <w:szCs w:val="20"/>
                <w:lang w:eastAsia="en-GB"/>
              </w:rPr>
              <w:t>1771 ± 19.4</w:t>
            </w:r>
          </w:p>
        </w:tc>
        <w:tc>
          <w:tcPr>
            <w:tcW w:w="1450" w:type="dxa"/>
            <w:noWrap/>
            <w:hideMark/>
          </w:tcPr>
          <w:p w14:paraId="0120E8CB" w14:textId="77777777" w:rsidR="00D21EB2" w:rsidRPr="00505D21" w:rsidRDefault="00D21EB2" w:rsidP="00D659F0">
            <w:pPr>
              <w:spacing w:before="200" w:line="480" w:lineRule="auto"/>
              <w:rPr>
                <w:rFonts w:ascii="Times New Roman" w:eastAsia="Times New Roman" w:hAnsi="Times New Roman" w:cs="Times New Roman"/>
                <w:color w:val="000000" w:themeColor="text1"/>
                <w:sz w:val="20"/>
                <w:szCs w:val="20"/>
                <w:lang w:eastAsia="en-GB"/>
              </w:rPr>
            </w:pPr>
            <w:r w:rsidRPr="00505D21">
              <w:rPr>
                <w:rFonts w:ascii="Times New Roman" w:eastAsia="Times New Roman" w:hAnsi="Times New Roman" w:cs="Times New Roman"/>
                <w:color w:val="000000" w:themeColor="text1"/>
                <w:sz w:val="20"/>
                <w:szCs w:val="20"/>
                <w:lang w:eastAsia="en-GB"/>
              </w:rPr>
              <w:t>1958 ± 39.4</w:t>
            </w:r>
          </w:p>
        </w:tc>
        <w:tc>
          <w:tcPr>
            <w:tcW w:w="1183" w:type="dxa"/>
            <w:noWrap/>
            <w:hideMark/>
          </w:tcPr>
          <w:p w14:paraId="668F6B0B" w14:textId="77777777" w:rsidR="00D21EB2" w:rsidRPr="00505D21" w:rsidRDefault="00D21EB2" w:rsidP="00D659F0">
            <w:pPr>
              <w:spacing w:before="200" w:line="480" w:lineRule="auto"/>
              <w:rPr>
                <w:rFonts w:ascii="Times New Roman" w:eastAsia="Times New Roman" w:hAnsi="Times New Roman" w:cs="Times New Roman"/>
                <w:color w:val="000000" w:themeColor="text1"/>
                <w:sz w:val="20"/>
                <w:szCs w:val="20"/>
                <w:lang w:eastAsia="en-GB"/>
              </w:rPr>
            </w:pPr>
            <w:r w:rsidRPr="00505D21">
              <w:rPr>
                <w:rFonts w:ascii="Times New Roman" w:eastAsia="Times New Roman" w:hAnsi="Times New Roman" w:cs="Times New Roman"/>
                <w:color w:val="000000" w:themeColor="text1"/>
                <w:sz w:val="20"/>
                <w:szCs w:val="20"/>
                <w:lang w:eastAsia="en-GB"/>
              </w:rPr>
              <w:t>2 731± 20.5</w:t>
            </w:r>
          </w:p>
        </w:tc>
        <w:tc>
          <w:tcPr>
            <w:tcW w:w="1411" w:type="dxa"/>
          </w:tcPr>
          <w:p w14:paraId="270A60C9" w14:textId="77777777" w:rsidR="00D21EB2" w:rsidRPr="00505D21" w:rsidRDefault="00D21EB2" w:rsidP="00D659F0">
            <w:pPr>
              <w:spacing w:before="200" w:line="480" w:lineRule="auto"/>
              <w:rPr>
                <w:rFonts w:ascii="Times New Roman" w:eastAsia="Times New Roman" w:hAnsi="Times New Roman" w:cs="Times New Roman"/>
                <w:color w:val="000000" w:themeColor="text1"/>
                <w:sz w:val="20"/>
                <w:szCs w:val="20"/>
                <w:lang w:eastAsia="en-GB"/>
              </w:rPr>
            </w:pPr>
            <w:r w:rsidRPr="00505D21">
              <w:rPr>
                <w:rFonts w:ascii="Times New Roman" w:eastAsia="Times New Roman" w:hAnsi="Times New Roman" w:cs="Times New Roman"/>
                <w:color w:val="000000" w:themeColor="text1"/>
                <w:sz w:val="20"/>
                <w:szCs w:val="20"/>
                <w:lang w:eastAsia="en-GB"/>
              </w:rPr>
              <w:t>1791 ± 29.4</w:t>
            </w:r>
          </w:p>
        </w:tc>
        <w:tc>
          <w:tcPr>
            <w:tcW w:w="1189" w:type="dxa"/>
          </w:tcPr>
          <w:p w14:paraId="542FD184" w14:textId="77777777" w:rsidR="00D21EB2" w:rsidRPr="00505D21" w:rsidRDefault="00D21EB2" w:rsidP="00D659F0">
            <w:pPr>
              <w:spacing w:before="200" w:line="480" w:lineRule="auto"/>
              <w:rPr>
                <w:rFonts w:ascii="Times New Roman" w:eastAsia="Times New Roman" w:hAnsi="Times New Roman" w:cs="Times New Roman"/>
                <w:color w:val="000000" w:themeColor="text1"/>
                <w:sz w:val="20"/>
                <w:szCs w:val="20"/>
                <w:lang w:eastAsia="en-GB"/>
              </w:rPr>
            </w:pPr>
            <w:r w:rsidRPr="00505D21">
              <w:rPr>
                <w:rFonts w:ascii="Times New Roman" w:eastAsia="Times New Roman" w:hAnsi="Times New Roman" w:cs="Times New Roman"/>
                <w:color w:val="000000" w:themeColor="text1"/>
                <w:sz w:val="20"/>
                <w:szCs w:val="20"/>
                <w:lang w:eastAsia="en-GB"/>
              </w:rPr>
              <w:t>2982 ± 38.8</w:t>
            </w:r>
          </w:p>
        </w:tc>
      </w:tr>
    </w:tbl>
    <w:p w14:paraId="23AFB453" w14:textId="77777777" w:rsidR="00D21EB2" w:rsidRDefault="00D21EB2" w:rsidP="00D21EB2">
      <w:pPr>
        <w:spacing w:before="200" w:line="240" w:lineRule="auto"/>
        <w:jc w:val="both"/>
        <w:rPr>
          <w:rFonts w:ascii="Times New Roman" w:eastAsia="Times New Roman" w:hAnsi="Times New Roman" w:cs="Times New Roman"/>
          <w:color w:val="000000" w:themeColor="text1"/>
          <w:sz w:val="20"/>
          <w:szCs w:val="20"/>
          <w:lang w:eastAsia="en-GB"/>
        </w:rPr>
      </w:pPr>
      <w:bookmarkStart w:id="3" w:name="_Hlk227809392"/>
      <w:bookmarkEnd w:id="2"/>
      <w:r w:rsidRPr="005B187D">
        <w:rPr>
          <w:rFonts w:ascii="Times New Roman" w:eastAsia="Times New Roman" w:hAnsi="Times New Roman" w:cs="Times New Roman"/>
          <w:color w:val="000000" w:themeColor="text1"/>
          <w:sz w:val="20"/>
          <w:szCs w:val="20"/>
        </w:rPr>
        <w:t xml:space="preserve">Note: All values are expressed as mean </w:t>
      </w:r>
      <w:r w:rsidRPr="005B187D">
        <w:rPr>
          <w:rFonts w:ascii="Times New Roman" w:eastAsia="Times New Roman" w:hAnsi="Times New Roman" w:cs="Times New Roman"/>
          <w:color w:val="000000" w:themeColor="text1"/>
          <w:sz w:val="20"/>
          <w:szCs w:val="20"/>
          <w:lang w:eastAsia="en-GB"/>
        </w:rPr>
        <w:t>± standard error.</w:t>
      </w:r>
    </w:p>
    <w:p w14:paraId="668EE1D7" w14:textId="677B2E99" w:rsidR="00393D97" w:rsidRPr="00393D97" w:rsidRDefault="00393D97" w:rsidP="00393D97">
      <w:pPr>
        <w:spacing w:before="200" w:line="240" w:lineRule="auto"/>
        <w:jc w:val="both"/>
        <w:rPr>
          <w:rFonts w:ascii="Times New Roman" w:eastAsia="Times New Roman" w:hAnsi="Times New Roman" w:cs="Times New Roman"/>
          <w:color w:val="000000" w:themeColor="text1"/>
          <w:lang w:eastAsia="en-GB"/>
        </w:rPr>
      </w:pPr>
      <w:r w:rsidRPr="00393D97">
        <w:rPr>
          <w:rFonts w:ascii="Times New Roman" w:eastAsia="Times New Roman" w:hAnsi="Times New Roman" w:cs="Times New Roman"/>
          <w:color w:val="000000" w:themeColor="text1"/>
          <w:lang w:eastAsia="en-GB"/>
        </w:rPr>
        <w:t xml:space="preserve">The results show that temperature values across all </w:t>
      </w:r>
      <w:proofErr w:type="gramStart"/>
      <w:r w:rsidR="009D7C89">
        <w:rPr>
          <w:rFonts w:ascii="Times New Roman" w:eastAsia="Times New Roman" w:hAnsi="Times New Roman" w:cs="Times New Roman"/>
          <w:color w:val="000000" w:themeColor="text1"/>
          <w:lang w:eastAsia="en-GB"/>
        </w:rPr>
        <w:t>three hospital</w:t>
      </w:r>
      <w:proofErr w:type="gramEnd"/>
      <w:r w:rsidR="00C449CC" w:rsidRPr="00393D97">
        <w:rPr>
          <w:rFonts w:ascii="Times New Roman" w:eastAsia="Times New Roman" w:hAnsi="Times New Roman" w:cs="Times New Roman"/>
          <w:color w:val="000000" w:themeColor="text1"/>
          <w:lang w:eastAsia="en-GB"/>
        </w:rPr>
        <w:t xml:space="preserve"> ranged</w:t>
      </w:r>
      <w:r w:rsidRPr="00393D97">
        <w:rPr>
          <w:rFonts w:ascii="Times New Roman" w:eastAsia="Times New Roman" w:hAnsi="Times New Roman" w:cs="Times New Roman"/>
          <w:color w:val="000000" w:themeColor="text1"/>
          <w:lang w:eastAsia="en-GB"/>
        </w:rPr>
        <w:t xml:space="preserve"> from 29.1 ± 0.49°C to 32.8 ± 0.56°C, which are above the WHO/NESREA/SON standard of 18–24°C. PM2.5 ranged from 0.0 to 5.8 µg/m³ and PM10 from 27.1 to 51.8 µg/m³, with some locations exceeding recommended limits. NO₂ levels ranged from 0.0 to 0.034 ppm, while SO₂ was not detected in all locations. CH₄ varied widely from 2.08 ± 0.1 to 4381 ± 60.1 ppm, H₂S from 0.0 to 0.77 ± 0.00 ppm, CO from 0.6 ± 0.00 to 1.72 ± 0.01 ppm, and VOCs from 1756 ± 43.2 to 9458 ± 87.5 ppm across the sampled hospital environments.</w:t>
      </w:r>
    </w:p>
    <w:bookmarkEnd w:id="3"/>
    <w:p w14:paraId="07477C57" w14:textId="77777777" w:rsidR="00393D97" w:rsidRDefault="00393D97" w:rsidP="00D21EB2">
      <w:pPr>
        <w:spacing w:before="200" w:line="240" w:lineRule="auto"/>
        <w:jc w:val="both"/>
        <w:rPr>
          <w:rFonts w:ascii="Times New Roman" w:eastAsia="Times New Roman" w:hAnsi="Times New Roman" w:cs="Times New Roman"/>
          <w:color w:val="000000" w:themeColor="text1"/>
          <w:sz w:val="20"/>
          <w:szCs w:val="20"/>
          <w:lang w:eastAsia="en-GB"/>
        </w:rPr>
      </w:pPr>
    </w:p>
    <w:p w14:paraId="26A5A407" w14:textId="77777777" w:rsidR="00D21EB2" w:rsidRDefault="00D21EB2" w:rsidP="00D21EB2">
      <w:pPr>
        <w:spacing w:before="200" w:after="0" w:line="240" w:lineRule="auto"/>
        <w:jc w:val="both"/>
        <w:rPr>
          <w:rFonts w:ascii="Times New Roman" w:eastAsia="Times New Roman" w:hAnsi="Times New Roman" w:cs="Times New Roman"/>
          <w:color w:val="000000" w:themeColor="text1"/>
          <w:sz w:val="20"/>
          <w:szCs w:val="20"/>
          <w:lang w:eastAsia="en-GB"/>
        </w:rPr>
      </w:pPr>
    </w:p>
    <w:p w14:paraId="3B926C25" w14:textId="77777777" w:rsidR="00D21EB2" w:rsidRDefault="00D21EB2" w:rsidP="00D21EB2">
      <w:pPr>
        <w:spacing w:before="200" w:after="0" w:line="240" w:lineRule="auto"/>
        <w:jc w:val="both"/>
        <w:rPr>
          <w:rFonts w:ascii="Times New Roman" w:eastAsia="Times New Roman" w:hAnsi="Times New Roman" w:cs="Times New Roman"/>
          <w:color w:val="000000" w:themeColor="text1"/>
          <w:sz w:val="20"/>
          <w:szCs w:val="20"/>
          <w:lang w:eastAsia="en-GB"/>
        </w:rPr>
      </w:pPr>
    </w:p>
    <w:p w14:paraId="7B4BABD8" w14:textId="77777777" w:rsidR="00D21EB2" w:rsidRDefault="00D21EB2" w:rsidP="00D21EB2">
      <w:pPr>
        <w:spacing w:before="200" w:after="0" w:line="240" w:lineRule="auto"/>
        <w:jc w:val="both"/>
        <w:rPr>
          <w:rFonts w:ascii="Times New Roman" w:eastAsia="Times New Roman" w:hAnsi="Times New Roman" w:cs="Times New Roman"/>
          <w:color w:val="000000" w:themeColor="text1"/>
          <w:sz w:val="20"/>
          <w:szCs w:val="20"/>
          <w:lang w:eastAsia="en-GB"/>
        </w:rPr>
      </w:pPr>
    </w:p>
    <w:p w14:paraId="210C6698" w14:textId="77777777" w:rsidR="00D21EB2" w:rsidRDefault="00D21EB2" w:rsidP="00D21EB2">
      <w:pPr>
        <w:spacing w:before="200" w:after="0" w:line="240" w:lineRule="auto"/>
        <w:jc w:val="both"/>
        <w:rPr>
          <w:rFonts w:ascii="Times New Roman" w:eastAsia="Times New Roman" w:hAnsi="Times New Roman" w:cs="Times New Roman"/>
          <w:color w:val="000000" w:themeColor="text1"/>
          <w:sz w:val="20"/>
          <w:szCs w:val="20"/>
          <w:lang w:eastAsia="en-GB"/>
        </w:rPr>
        <w:sectPr w:rsidR="00D21EB2" w:rsidSect="00D659F0">
          <w:pgSz w:w="15840" w:h="12240" w:orient="landscape"/>
          <w:pgMar w:top="1440" w:right="810" w:bottom="1440" w:left="1080" w:header="706" w:footer="706" w:gutter="0"/>
          <w:cols w:space="708"/>
          <w:docGrid w:linePitch="360"/>
        </w:sectPr>
      </w:pPr>
    </w:p>
    <w:p w14:paraId="73C8A910" w14:textId="551F71A6" w:rsidR="00D21EB2" w:rsidRPr="00695F16" w:rsidRDefault="000C4B6E" w:rsidP="000C4B6E">
      <w:pPr>
        <w:spacing w:before="200" w:line="240" w:lineRule="auto"/>
        <w:jc w:val="center"/>
        <w:rPr>
          <w:rFonts w:ascii="Times New Roman" w:hAnsi="Times New Roman" w:cs="Times New Roman"/>
          <w:color w:val="000000" w:themeColor="text1"/>
        </w:rPr>
      </w:pPr>
      <w:bookmarkStart w:id="4" w:name="_Toc213643492"/>
      <w:r>
        <w:rPr>
          <w:noProof/>
        </w:rPr>
        <w:lastRenderedPageBreak/>
        <w:drawing>
          <wp:inline distT="0" distB="0" distL="0" distR="0" wp14:anchorId="3257E125" wp14:editId="066777EE">
            <wp:extent cx="5915770" cy="2798859"/>
            <wp:effectExtent l="0" t="0" r="8890" b="1905"/>
            <wp:docPr id="67666787" name="Chart 1">
              <a:extLst xmlns:a="http://schemas.openxmlformats.org/drawingml/2006/main">
                <a:ext uri="{FF2B5EF4-FFF2-40B4-BE49-F238E27FC236}">
                  <a16:creationId xmlns:a16="http://schemas.microsoft.com/office/drawing/2014/main" id="{7C621F35-11BA-6C0E-0AB5-144783923CE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740AAE77" w14:textId="2E123450" w:rsidR="00D21EB2" w:rsidRPr="00695F16" w:rsidRDefault="00D21EB2" w:rsidP="00B173E4">
      <w:pPr>
        <w:pStyle w:val="FIG"/>
        <w:spacing w:before="200" w:after="0"/>
        <w:rPr>
          <w:color w:val="000000" w:themeColor="text1"/>
          <w:sz w:val="22"/>
          <w:szCs w:val="22"/>
        </w:rPr>
      </w:pPr>
      <w:bookmarkStart w:id="5" w:name="_Toc213374075"/>
      <w:r w:rsidRPr="00695F16">
        <w:rPr>
          <w:color w:val="000000" w:themeColor="text1"/>
          <w:sz w:val="22"/>
          <w:szCs w:val="22"/>
        </w:rPr>
        <w:t xml:space="preserve">Figure 1: Chart </w:t>
      </w:r>
      <w:r w:rsidR="004A6E70">
        <w:rPr>
          <w:color w:val="000000" w:themeColor="text1"/>
          <w:sz w:val="22"/>
          <w:szCs w:val="22"/>
        </w:rPr>
        <w:t>S</w:t>
      </w:r>
      <w:r w:rsidRPr="00695F16">
        <w:rPr>
          <w:color w:val="000000" w:themeColor="text1"/>
          <w:sz w:val="22"/>
          <w:szCs w:val="22"/>
        </w:rPr>
        <w:t xml:space="preserve">howing the </w:t>
      </w:r>
      <w:r w:rsidR="004A6E70">
        <w:rPr>
          <w:color w:val="000000" w:themeColor="text1"/>
          <w:sz w:val="22"/>
          <w:szCs w:val="22"/>
        </w:rPr>
        <w:t>A</w:t>
      </w:r>
      <w:r w:rsidRPr="00695F16">
        <w:rPr>
          <w:color w:val="000000" w:themeColor="text1"/>
          <w:sz w:val="22"/>
          <w:szCs w:val="22"/>
        </w:rPr>
        <w:t xml:space="preserve">ir </w:t>
      </w:r>
      <w:r w:rsidR="004A6E70">
        <w:rPr>
          <w:color w:val="000000" w:themeColor="text1"/>
          <w:sz w:val="22"/>
          <w:szCs w:val="22"/>
        </w:rPr>
        <w:t>Q</w:t>
      </w:r>
      <w:r w:rsidRPr="00695F16">
        <w:rPr>
          <w:color w:val="000000" w:themeColor="text1"/>
          <w:sz w:val="22"/>
          <w:szCs w:val="22"/>
        </w:rPr>
        <w:t xml:space="preserve">uality </w:t>
      </w:r>
      <w:r w:rsidR="004A6E70">
        <w:rPr>
          <w:color w:val="000000" w:themeColor="text1"/>
          <w:sz w:val="22"/>
          <w:szCs w:val="22"/>
        </w:rPr>
        <w:t>R</w:t>
      </w:r>
      <w:r w:rsidRPr="00695F16">
        <w:rPr>
          <w:color w:val="000000" w:themeColor="text1"/>
          <w:sz w:val="22"/>
          <w:szCs w:val="22"/>
        </w:rPr>
        <w:t xml:space="preserve">eadings at </w:t>
      </w:r>
      <w:r w:rsidR="000C4B6E">
        <w:rPr>
          <w:color w:val="000000" w:themeColor="text1"/>
          <w:sz w:val="22"/>
          <w:szCs w:val="22"/>
        </w:rPr>
        <w:t>H</w:t>
      </w:r>
      <w:r w:rsidRPr="00695F16">
        <w:rPr>
          <w:color w:val="000000" w:themeColor="text1"/>
          <w:sz w:val="22"/>
          <w:szCs w:val="22"/>
        </w:rPr>
        <w:t>ospital</w:t>
      </w:r>
      <w:bookmarkEnd w:id="5"/>
      <w:r w:rsidR="000C4B6E">
        <w:rPr>
          <w:color w:val="000000" w:themeColor="text1"/>
          <w:sz w:val="22"/>
          <w:szCs w:val="22"/>
        </w:rPr>
        <w:t xml:space="preserve"> 1</w:t>
      </w:r>
    </w:p>
    <w:p w14:paraId="57660E7D" w14:textId="77777777" w:rsidR="00D21EB2" w:rsidRPr="00695F16" w:rsidRDefault="00D21EB2" w:rsidP="000C4B6E">
      <w:pPr>
        <w:pStyle w:val="FIG"/>
        <w:spacing w:before="200"/>
        <w:rPr>
          <w:color w:val="000000" w:themeColor="text1"/>
          <w:sz w:val="22"/>
          <w:szCs w:val="22"/>
        </w:rPr>
      </w:pPr>
      <w:r w:rsidRPr="00695F16">
        <w:rPr>
          <w:noProof/>
          <w:color w:val="000000" w:themeColor="text1"/>
          <w:sz w:val="22"/>
          <w:szCs w:val="22"/>
        </w:rPr>
        <w:drawing>
          <wp:inline distT="0" distB="0" distL="0" distR="0" wp14:anchorId="69AC5244" wp14:editId="1A3E508D">
            <wp:extent cx="5676405" cy="2755076"/>
            <wp:effectExtent l="0" t="0" r="635" b="7620"/>
            <wp:docPr id="33"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0146A915" w14:textId="57B5AEB4" w:rsidR="00D21EB2" w:rsidRPr="00695F16" w:rsidRDefault="00D21EB2" w:rsidP="000C4B6E">
      <w:pPr>
        <w:pStyle w:val="FIG"/>
        <w:spacing w:before="200" w:after="0"/>
        <w:rPr>
          <w:color w:val="000000" w:themeColor="text1"/>
          <w:sz w:val="22"/>
          <w:szCs w:val="22"/>
        </w:rPr>
      </w:pPr>
      <w:r w:rsidRPr="00695F16">
        <w:rPr>
          <w:color w:val="000000" w:themeColor="text1"/>
          <w:sz w:val="22"/>
          <w:szCs w:val="22"/>
        </w:rPr>
        <w:t xml:space="preserve">Figure 2: Chart </w:t>
      </w:r>
      <w:r w:rsidR="004A6E70">
        <w:rPr>
          <w:color w:val="000000" w:themeColor="text1"/>
          <w:sz w:val="22"/>
          <w:szCs w:val="22"/>
        </w:rPr>
        <w:t>S</w:t>
      </w:r>
      <w:r w:rsidRPr="00695F16">
        <w:rPr>
          <w:color w:val="000000" w:themeColor="text1"/>
          <w:sz w:val="22"/>
          <w:szCs w:val="22"/>
        </w:rPr>
        <w:t>howing the</w:t>
      </w:r>
      <w:r w:rsidR="000C4B6E">
        <w:rPr>
          <w:color w:val="000000" w:themeColor="text1"/>
          <w:sz w:val="22"/>
          <w:szCs w:val="22"/>
        </w:rPr>
        <w:t xml:space="preserve"> </w:t>
      </w:r>
      <w:r w:rsidR="003B622D">
        <w:rPr>
          <w:color w:val="000000" w:themeColor="text1"/>
          <w:sz w:val="22"/>
          <w:szCs w:val="22"/>
        </w:rPr>
        <w:t>P</w:t>
      </w:r>
      <w:r w:rsidR="000C4B6E">
        <w:rPr>
          <w:color w:val="000000" w:themeColor="text1"/>
          <w:sz w:val="22"/>
          <w:szCs w:val="22"/>
        </w:rPr>
        <w:t xml:space="preserve">articulate </w:t>
      </w:r>
      <w:r w:rsidR="003B622D">
        <w:rPr>
          <w:color w:val="000000" w:themeColor="text1"/>
          <w:sz w:val="22"/>
          <w:szCs w:val="22"/>
        </w:rPr>
        <w:t>M</w:t>
      </w:r>
      <w:r w:rsidR="000C4B6E">
        <w:rPr>
          <w:color w:val="000000" w:themeColor="text1"/>
          <w:sz w:val="22"/>
          <w:szCs w:val="22"/>
        </w:rPr>
        <w:t>atter</w:t>
      </w:r>
      <w:r w:rsidRPr="00695F16">
        <w:rPr>
          <w:color w:val="000000" w:themeColor="text1"/>
          <w:sz w:val="22"/>
          <w:szCs w:val="22"/>
        </w:rPr>
        <w:t xml:space="preserve"> </w:t>
      </w:r>
      <w:r w:rsidR="003B622D">
        <w:rPr>
          <w:color w:val="000000" w:themeColor="text1"/>
          <w:sz w:val="22"/>
          <w:szCs w:val="22"/>
        </w:rPr>
        <w:t>R</w:t>
      </w:r>
      <w:r w:rsidRPr="00695F16">
        <w:rPr>
          <w:color w:val="000000" w:themeColor="text1"/>
          <w:sz w:val="22"/>
          <w:szCs w:val="22"/>
        </w:rPr>
        <w:t xml:space="preserve">eadings at </w:t>
      </w:r>
      <w:r w:rsidR="000C4B6E">
        <w:rPr>
          <w:color w:val="000000" w:themeColor="text1"/>
          <w:sz w:val="22"/>
          <w:szCs w:val="22"/>
        </w:rPr>
        <w:t>H</w:t>
      </w:r>
      <w:r w:rsidRPr="00695F16">
        <w:rPr>
          <w:color w:val="000000" w:themeColor="text1"/>
          <w:sz w:val="22"/>
          <w:szCs w:val="22"/>
        </w:rPr>
        <w:t>ospital</w:t>
      </w:r>
      <w:r w:rsidR="000C4B6E">
        <w:rPr>
          <w:color w:val="000000" w:themeColor="text1"/>
          <w:sz w:val="22"/>
          <w:szCs w:val="22"/>
        </w:rPr>
        <w:t xml:space="preserve"> 1</w:t>
      </w:r>
    </w:p>
    <w:p w14:paraId="58738978" w14:textId="77777777" w:rsidR="00D21EB2" w:rsidRPr="00695F16" w:rsidRDefault="00D21EB2" w:rsidP="000C4B6E">
      <w:pPr>
        <w:spacing w:before="200" w:after="0" w:line="240" w:lineRule="auto"/>
        <w:jc w:val="center"/>
        <w:rPr>
          <w:rFonts w:ascii="Times New Roman" w:hAnsi="Times New Roman" w:cs="Times New Roman"/>
          <w:color w:val="000000" w:themeColor="text1"/>
        </w:rPr>
      </w:pPr>
    </w:p>
    <w:p w14:paraId="636DB465" w14:textId="2A959623" w:rsidR="00D21EB2" w:rsidRPr="00695F16" w:rsidRDefault="00531D71" w:rsidP="00531D71">
      <w:pPr>
        <w:spacing w:before="200" w:line="240" w:lineRule="auto"/>
        <w:jc w:val="center"/>
        <w:rPr>
          <w:rFonts w:ascii="Times New Roman" w:hAnsi="Times New Roman" w:cs="Times New Roman"/>
          <w:color w:val="000000" w:themeColor="text1"/>
        </w:rPr>
      </w:pPr>
      <w:r>
        <w:rPr>
          <w:noProof/>
        </w:rPr>
        <w:lastRenderedPageBreak/>
        <w:drawing>
          <wp:inline distT="0" distB="0" distL="0" distR="0" wp14:anchorId="47AD9009" wp14:editId="2AA1059D">
            <wp:extent cx="4572000" cy="2743200"/>
            <wp:effectExtent l="0" t="0" r="0" b="0"/>
            <wp:docPr id="445281880" name="Chart 1">
              <a:extLst xmlns:a="http://schemas.openxmlformats.org/drawingml/2006/main">
                <a:ext uri="{FF2B5EF4-FFF2-40B4-BE49-F238E27FC236}">
                  <a16:creationId xmlns:a16="http://schemas.microsoft.com/office/drawing/2014/main" id="{FBA3C613-C010-E1A7-A698-868E1D28258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02AE6927" w14:textId="0C0B097E" w:rsidR="00D21EB2" w:rsidRPr="00695F16" w:rsidRDefault="00D21EB2" w:rsidP="003C3772">
      <w:pPr>
        <w:pStyle w:val="FIG"/>
        <w:spacing w:before="200" w:after="0"/>
        <w:rPr>
          <w:color w:val="000000" w:themeColor="text1"/>
          <w:sz w:val="22"/>
          <w:szCs w:val="22"/>
        </w:rPr>
      </w:pPr>
      <w:bookmarkStart w:id="6" w:name="_Toc213374076"/>
      <w:r w:rsidRPr="00695F16">
        <w:rPr>
          <w:color w:val="000000" w:themeColor="text1"/>
          <w:sz w:val="22"/>
          <w:szCs w:val="22"/>
        </w:rPr>
        <w:t xml:space="preserve">Figure 3:  Chart </w:t>
      </w:r>
      <w:r w:rsidR="004A6E70">
        <w:rPr>
          <w:color w:val="000000" w:themeColor="text1"/>
          <w:sz w:val="22"/>
          <w:szCs w:val="22"/>
        </w:rPr>
        <w:t>S</w:t>
      </w:r>
      <w:r w:rsidRPr="00695F16">
        <w:rPr>
          <w:color w:val="000000" w:themeColor="text1"/>
          <w:sz w:val="22"/>
          <w:szCs w:val="22"/>
        </w:rPr>
        <w:t xml:space="preserve">howing the </w:t>
      </w:r>
      <w:r w:rsidR="004A6E70">
        <w:rPr>
          <w:color w:val="000000" w:themeColor="text1"/>
          <w:sz w:val="22"/>
          <w:szCs w:val="22"/>
        </w:rPr>
        <w:t>A</w:t>
      </w:r>
      <w:r w:rsidRPr="00695F16">
        <w:rPr>
          <w:color w:val="000000" w:themeColor="text1"/>
          <w:sz w:val="22"/>
          <w:szCs w:val="22"/>
        </w:rPr>
        <w:t xml:space="preserve">ir </w:t>
      </w:r>
      <w:r w:rsidR="004A6E70">
        <w:rPr>
          <w:color w:val="000000" w:themeColor="text1"/>
          <w:sz w:val="22"/>
          <w:szCs w:val="22"/>
        </w:rPr>
        <w:t>Q</w:t>
      </w:r>
      <w:r w:rsidRPr="00695F16">
        <w:rPr>
          <w:color w:val="000000" w:themeColor="text1"/>
          <w:sz w:val="22"/>
          <w:szCs w:val="22"/>
        </w:rPr>
        <w:t xml:space="preserve">uality </w:t>
      </w:r>
      <w:r w:rsidR="004A6E70">
        <w:rPr>
          <w:color w:val="000000" w:themeColor="text1"/>
          <w:sz w:val="22"/>
          <w:szCs w:val="22"/>
        </w:rPr>
        <w:t>R</w:t>
      </w:r>
      <w:r w:rsidRPr="00695F16">
        <w:rPr>
          <w:color w:val="000000" w:themeColor="text1"/>
          <w:sz w:val="22"/>
          <w:szCs w:val="22"/>
        </w:rPr>
        <w:t xml:space="preserve">eadings </w:t>
      </w:r>
      <w:bookmarkEnd w:id="6"/>
      <w:r w:rsidR="00F4329D" w:rsidRPr="00695F16">
        <w:rPr>
          <w:color w:val="000000" w:themeColor="text1"/>
          <w:sz w:val="22"/>
          <w:szCs w:val="22"/>
        </w:rPr>
        <w:t>at Hospital</w:t>
      </w:r>
      <w:r w:rsidR="003C3772">
        <w:rPr>
          <w:color w:val="000000" w:themeColor="text1"/>
          <w:sz w:val="22"/>
          <w:szCs w:val="22"/>
        </w:rPr>
        <w:t xml:space="preserve"> 2</w:t>
      </w:r>
    </w:p>
    <w:p w14:paraId="7804A434" w14:textId="700E4DB6" w:rsidR="00D659F0" w:rsidRPr="00D659F0" w:rsidRDefault="00D659F0" w:rsidP="00D659F0">
      <w:pPr>
        <w:pStyle w:val="FIG"/>
        <w:spacing w:before="200" w:after="0"/>
        <w:jc w:val="both"/>
        <w:rPr>
          <w:color w:val="FF0000"/>
          <w:sz w:val="22"/>
          <w:szCs w:val="22"/>
        </w:rPr>
      </w:pPr>
    </w:p>
    <w:p w14:paraId="651C5115" w14:textId="77777777" w:rsidR="00D21EB2" w:rsidRPr="00695F16" w:rsidRDefault="00D21EB2" w:rsidP="00D21EB2">
      <w:pPr>
        <w:pStyle w:val="FIG"/>
        <w:spacing w:before="200" w:after="0"/>
        <w:jc w:val="both"/>
        <w:rPr>
          <w:color w:val="000000" w:themeColor="text1"/>
          <w:sz w:val="22"/>
          <w:szCs w:val="22"/>
        </w:rPr>
      </w:pPr>
    </w:p>
    <w:p w14:paraId="0A5F7CA8" w14:textId="219FD71B" w:rsidR="00D21EB2" w:rsidRPr="00695F16" w:rsidRDefault="003B622D" w:rsidP="00531D71">
      <w:pPr>
        <w:pStyle w:val="FIG"/>
        <w:spacing w:before="200"/>
        <w:rPr>
          <w:color w:val="000000" w:themeColor="text1"/>
          <w:sz w:val="22"/>
          <w:szCs w:val="22"/>
        </w:rPr>
      </w:pPr>
      <w:r>
        <w:rPr>
          <w:noProof/>
        </w:rPr>
        <w:drawing>
          <wp:inline distT="0" distB="0" distL="0" distR="0" wp14:anchorId="0C0BF5C9" wp14:editId="7CEF2795">
            <wp:extent cx="4572000" cy="2743200"/>
            <wp:effectExtent l="0" t="0" r="0" b="0"/>
            <wp:docPr id="982263437" name="Chart 1">
              <a:extLst xmlns:a="http://schemas.openxmlformats.org/drawingml/2006/main">
                <a:ext uri="{FF2B5EF4-FFF2-40B4-BE49-F238E27FC236}">
                  <a16:creationId xmlns:a16="http://schemas.microsoft.com/office/drawing/2014/main" id="{FF1115D4-9669-6426-AA88-9BD598CBCB9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75A61401" w14:textId="084F44B4" w:rsidR="003B622D" w:rsidRPr="00695F16" w:rsidRDefault="00D21EB2" w:rsidP="003B622D">
      <w:pPr>
        <w:pStyle w:val="FIG"/>
        <w:spacing w:before="200" w:after="0"/>
        <w:rPr>
          <w:color w:val="000000" w:themeColor="text1"/>
          <w:sz w:val="22"/>
          <w:szCs w:val="22"/>
        </w:rPr>
      </w:pPr>
      <w:r w:rsidRPr="00695F16">
        <w:rPr>
          <w:color w:val="000000" w:themeColor="text1"/>
          <w:sz w:val="22"/>
          <w:szCs w:val="22"/>
        </w:rPr>
        <w:t xml:space="preserve">Figure 4:  </w:t>
      </w:r>
      <w:r w:rsidR="003B622D" w:rsidRPr="00695F16">
        <w:rPr>
          <w:color w:val="000000" w:themeColor="text1"/>
          <w:sz w:val="22"/>
          <w:szCs w:val="22"/>
        </w:rPr>
        <w:t xml:space="preserve">Chart </w:t>
      </w:r>
      <w:r w:rsidR="003B622D">
        <w:rPr>
          <w:color w:val="000000" w:themeColor="text1"/>
          <w:sz w:val="22"/>
          <w:szCs w:val="22"/>
        </w:rPr>
        <w:t>S</w:t>
      </w:r>
      <w:r w:rsidR="003B622D" w:rsidRPr="00695F16">
        <w:rPr>
          <w:color w:val="000000" w:themeColor="text1"/>
          <w:sz w:val="22"/>
          <w:szCs w:val="22"/>
        </w:rPr>
        <w:t>howing the</w:t>
      </w:r>
      <w:r w:rsidR="003B622D">
        <w:rPr>
          <w:color w:val="000000" w:themeColor="text1"/>
          <w:sz w:val="22"/>
          <w:szCs w:val="22"/>
        </w:rPr>
        <w:t xml:space="preserve"> Particulate Matter</w:t>
      </w:r>
      <w:r w:rsidR="003B622D" w:rsidRPr="00695F16">
        <w:rPr>
          <w:color w:val="000000" w:themeColor="text1"/>
          <w:sz w:val="22"/>
          <w:szCs w:val="22"/>
        </w:rPr>
        <w:t xml:space="preserve"> </w:t>
      </w:r>
      <w:r w:rsidR="003B622D">
        <w:rPr>
          <w:color w:val="000000" w:themeColor="text1"/>
          <w:sz w:val="22"/>
          <w:szCs w:val="22"/>
        </w:rPr>
        <w:t>R</w:t>
      </w:r>
      <w:r w:rsidR="003B622D" w:rsidRPr="00695F16">
        <w:rPr>
          <w:color w:val="000000" w:themeColor="text1"/>
          <w:sz w:val="22"/>
          <w:szCs w:val="22"/>
        </w:rPr>
        <w:t xml:space="preserve">eadings at </w:t>
      </w:r>
      <w:r w:rsidR="003B622D">
        <w:rPr>
          <w:color w:val="000000" w:themeColor="text1"/>
          <w:sz w:val="22"/>
          <w:szCs w:val="22"/>
        </w:rPr>
        <w:t>H</w:t>
      </w:r>
      <w:r w:rsidR="003B622D" w:rsidRPr="00695F16">
        <w:rPr>
          <w:color w:val="000000" w:themeColor="text1"/>
          <w:sz w:val="22"/>
          <w:szCs w:val="22"/>
        </w:rPr>
        <w:t>ospital</w:t>
      </w:r>
      <w:r w:rsidR="003B622D">
        <w:rPr>
          <w:color w:val="000000" w:themeColor="text1"/>
          <w:sz w:val="22"/>
          <w:szCs w:val="22"/>
        </w:rPr>
        <w:t xml:space="preserve"> 2</w:t>
      </w:r>
    </w:p>
    <w:p w14:paraId="0C3DED56" w14:textId="7F5A5FC6" w:rsidR="00D21EB2" w:rsidRDefault="00D21EB2" w:rsidP="00D21EB2">
      <w:pPr>
        <w:pStyle w:val="FIG"/>
        <w:spacing w:before="200" w:after="0"/>
        <w:jc w:val="both"/>
        <w:rPr>
          <w:color w:val="000000" w:themeColor="text1"/>
          <w:sz w:val="22"/>
          <w:szCs w:val="22"/>
        </w:rPr>
      </w:pPr>
    </w:p>
    <w:p w14:paraId="5333F3E4" w14:textId="2C71E08D" w:rsidR="00D21EB2" w:rsidRPr="00695F16" w:rsidRDefault="00531D71" w:rsidP="00531D71">
      <w:pPr>
        <w:spacing w:before="200" w:line="240" w:lineRule="auto"/>
        <w:jc w:val="center"/>
        <w:rPr>
          <w:rFonts w:ascii="Times New Roman" w:hAnsi="Times New Roman" w:cs="Times New Roman"/>
          <w:color w:val="000000" w:themeColor="text1"/>
        </w:rPr>
      </w:pPr>
      <w:r>
        <w:rPr>
          <w:noProof/>
        </w:rPr>
        <w:lastRenderedPageBreak/>
        <w:drawing>
          <wp:inline distT="0" distB="0" distL="0" distR="0" wp14:anchorId="27C0493B" wp14:editId="7E929167">
            <wp:extent cx="4572000" cy="2743200"/>
            <wp:effectExtent l="0" t="0" r="0" b="0"/>
            <wp:docPr id="625570418" name="Chart 1">
              <a:extLst xmlns:a="http://schemas.openxmlformats.org/drawingml/2006/main">
                <a:ext uri="{FF2B5EF4-FFF2-40B4-BE49-F238E27FC236}">
                  <a16:creationId xmlns:a16="http://schemas.microsoft.com/office/drawing/2014/main" id="{B545BC33-71C9-4EBE-5258-BFF8DA7DA0B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0B204155" w14:textId="0A32C49B" w:rsidR="00D21EB2" w:rsidRPr="00695F16" w:rsidRDefault="00D21EB2" w:rsidP="00531D71">
      <w:pPr>
        <w:pStyle w:val="FIG"/>
        <w:spacing w:before="200" w:after="0"/>
        <w:rPr>
          <w:color w:val="000000" w:themeColor="text1"/>
          <w:sz w:val="22"/>
          <w:szCs w:val="22"/>
        </w:rPr>
      </w:pPr>
      <w:bookmarkStart w:id="7" w:name="_Toc213374077"/>
      <w:r w:rsidRPr="00695F16">
        <w:rPr>
          <w:color w:val="000000" w:themeColor="text1"/>
          <w:sz w:val="22"/>
          <w:szCs w:val="22"/>
        </w:rPr>
        <w:t xml:space="preserve">Figure 5:  Chart </w:t>
      </w:r>
      <w:r w:rsidR="004A6E70">
        <w:rPr>
          <w:color w:val="000000" w:themeColor="text1"/>
          <w:sz w:val="22"/>
          <w:szCs w:val="22"/>
        </w:rPr>
        <w:t>S</w:t>
      </w:r>
      <w:r w:rsidRPr="00695F16">
        <w:rPr>
          <w:color w:val="000000" w:themeColor="text1"/>
          <w:sz w:val="22"/>
          <w:szCs w:val="22"/>
        </w:rPr>
        <w:t xml:space="preserve">howing the </w:t>
      </w:r>
      <w:r w:rsidR="004A6E70">
        <w:rPr>
          <w:color w:val="000000" w:themeColor="text1"/>
          <w:sz w:val="22"/>
          <w:szCs w:val="22"/>
        </w:rPr>
        <w:t>A</w:t>
      </w:r>
      <w:r w:rsidRPr="00695F16">
        <w:rPr>
          <w:color w:val="000000" w:themeColor="text1"/>
          <w:sz w:val="22"/>
          <w:szCs w:val="22"/>
        </w:rPr>
        <w:t xml:space="preserve">ir </w:t>
      </w:r>
      <w:r w:rsidR="004A6E70">
        <w:rPr>
          <w:color w:val="000000" w:themeColor="text1"/>
          <w:sz w:val="22"/>
          <w:szCs w:val="22"/>
        </w:rPr>
        <w:t>Q</w:t>
      </w:r>
      <w:r w:rsidRPr="00695F16">
        <w:rPr>
          <w:color w:val="000000" w:themeColor="text1"/>
          <w:sz w:val="22"/>
          <w:szCs w:val="22"/>
        </w:rPr>
        <w:t xml:space="preserve">uality </w:t>
      </w:r>
      <w:r w:rsidR="004A6E70">
        <w:rPr>
          <w:color w:val="000000" w:themeColor="text1"/>
          <w:sz w:val="22"/>
          <w:szCs w:val="22"/>
        </w:rPr>
        <w:t>R</w:t>
      </w:r>
      <w:r w:rsidRPr="00695F16">
        <w:rPr>
          <w:color w:val="000000" w:themeColor="text1"/>
          <w:sz w:val="22"/>
          <w:szCs w:val="22"/>
        </w:rPr>
        <w:t xml:space="preserve">eadings </w:t>
      </w:r>
      <w:bookmarkEnd w:id="7"/>
      <w:r w:rsidR="004A6E70" w:rsidRPr="00695F16">
        <w:rPr>
          <w:color w:val="000000" w:themeColor="text1"/>
          <w:sz w:val="22"/>
          <w:szCs w:val="22"/>
        </w:rPr>
        <w:t>at Hospital</w:t>
      </w:r>
      <w:r w:rsidR="004A6E70">
        <w:rPr>
          <w:color w:val="000000" w:themeColor="text1"/>
          <w:sz w:val="22"/>
          <w:szCs w:val="22"/>
        </w:rPr>
        <w:t xml:space="preserve"> 3</w:t>
      </w:r>
    </w:p>
    <w:p w14:paraId="6F7702A3" w14:textId="43C395CD" w:rsidR="006525D4" w:rsidRPr="00D659F0" w:rsidRDefault="006525D4" w:rsidP="006525D4">
      <w:pPr>
        <w:pStyle w:val="FIG"/>
        <w:spacing w:before="200" w:after="0"/>
        <w:jc w:val="both"/>
        <w:rPr>
          <w:color w:val="FF0000"/>
          <w:sz w:val="22"/>
          <w:szCs w:val="22"/>
        </w:rPr>
      </w:pPr>
    </w:p>
    <w:p w14:paraId="43AD2039" w14:textId="77777777" w:rsidR="00D21EB2" w:rsidRPr="00695F16" w:rsidRDefault="00D21EB2" w:rsidP="00B35722">
      <w:pPr>
        <w:pStyle w:val="FIG"/>
        <w:spacing w:before="200"/>
        <w:rPr>
          <w:color w:val="000000" w:themeColor="text1"/>
          <w:sz w:val="22"/>
          <w:szCs w:val="22"/>
        </w:rPr>
      </w:pPr>
      <w:r w:rsidRPr="00695F16">
        <w:rPr>
          <w:noProof/>
          <w:color w:val="000000" w:themeColor="text1"/>
          <w:sz w:val="22"/>
          <w:szCs w:val="22"/>
        </w:rPr>
        <w:drawing>
          <wp:inline distT="0" distB="0" distL="0" distR="0" wp14:anchorId="5E44731F" wp14:editId="57E12A1B">
            <wp:extent cx="5486400" cy="2743200"/>
            <wp:effectExtent l="0" t="0" r="0" b="0"/>
            <wp:docPr id="37"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67FFDF4E" w14:textId="6EE33FB1" w:rsidR="00B35722" w:rsidRPr="00695F16" w:rsidRDefault="00D21EB2" w:rsidP="00B35722">
      <w:pPr>
        <w:pStyle w:val="FIG"/>
        <w:spacing w:before="200" w:after="0"/>
        <w:rPr>
          <w:color w:val="000000" w:themeColor="text1"/>
          <w:sz w:val="22"/>
          <w:szCs w:val="22"/>
        </w:rPr>
      </w:pPr>
      <w:bookmarkStart w:id="8" w:name="_Toc206395540"/>
      <w:r w:rsidRPr="00695F16">
        <w:rPr>
          <w:color w:val="000000" w:themeColor="text1"/>
          <w:sz w:val="22"/>
          <w:szCs w:val="22"/>
        </w:rPr>
        <w:t xml:space="preserve">Figure 6:  </w:t>
      </w:r>
      <w:r w:rsidR="00B35722" w:rsidRPr="00695F16">
        <w:rPr>
          <w:color w:val="000000" w:themeColor="text1"/>
          <w:sz w:val="22"/>
          <w:szCs w:val="22"/>
        </w:rPr>
        <w:t xml:space="preserve">Chart </w:t>
      </w:r>
      <w:r w:rsidR="004A6E70">
        <w:rPr>
          <w:color w:val="000000" w:themeColor="text1"/>
          <w:sz w:val="22"/>
          <w:szCs w:val="22"/>
        </w:rPr>
        <w:t>S</w:t>
      </w:r>
      <w:r w:rsidR="00B35722" w:rsidRPr="00695F16">
        <w:rPr>
          <w:color w:val="000000" w:themeColor="text1"/>
          <w:sz w:val="22"/>
          <w:szCs w:val="22"/>
        </w:rPr>
        <w:t>howing the</w:t>
      </w:r>
      <w:r w:rsidR="00B35722">
        <w:rPr>
          <w:color w:val="000000" w:themeColor="text1"/>
          <w:sz w:val="22"/>
          <w:szCs w:val="22"/>
        </w:rPr>
        <w:t xml:space="preserve"> </w:t>
      </w:r>
      <w:r w:rsidR="004A6E70">
        <w:rPr>
          <w:color w:val="000000" w:themeColor="text1"/>
          <w:sz w:val="22"/>
          <w:szCs w:val="22"/>
        </w:rPr>
        <w:t>P</w:t>
      </w:r>
      <w:r w:rsidR="00B35722">
        <w:rPr>
          <w:color w:val="000000" w:themeColor="text1"/>
          <w:sz w:val="22"/>
          <w:szCs w:val="22"/>
        </w:rPr>
        <w:t xml:space="preserve">articulate </w:t>
      </w:r>
      <w:r w:rsidR="004A6E70">
        <w:rPr>
          <w:color w:val="000000" w:themeColor="text1"/>
          <w:sz w:val="22"/>
          <w:szCs w:val="22"/>
        </w:rPr>
        <w:t>M</w:t>
      </w:r>
      <w:r w:rsidR="00B35722">
        <w:rPr>
          <w:color w:val="000000" w:themeColor="text1"/>
          <w:sz w:val="22"/>
          <w:szCs w:val="22"/>
        </w:rPr>
        <w:t>atter</w:t>
      </w:r>
      <w:r w:rsidR="00B35722" w:rsidRPr="00695F16">
        <w:rPr>
          <w:color w:val="000000" w:themeColor="text1"/>
          <w:sz w:val="22"/>
          <w:szCs w:val="22"/>
        </w:rPr>
        <w:t xml:space="preserve"> </w:t>
      </w:r>
      <w:r w:rsidR="004A6E70">
        <w:rPr>
          <w:color w:val="000000" w:themeColor="text1"/>
          <w:sz w:val="22"/>
          <w:szCs w:val="22"/>
        </w:rPr>
        <w:t>R</w:t>
      </w:r>
      <w:r w:rsidR="00B35722" w:rsidRPr="00695F16">
        <w:rPr>
          <w:color w:val="000000" w:themeColor="text1"/>
          <w:sz w:val="22"/>
          <w:szCs w:val="22"/>
        </w:rPr>
        <w:t xml:space="preserve">eadings at </w:t>
      </w:r>
      <w:r w:rsidR="00B35722">
        <w:rPr>
          <w:color w:val="000000" w:themeColor="text1"/>
          <w:sz w:val="22"/>
          <w:szCs w:val="22"/>
        </w:rPr>
        <w:t>H</w:t>
      </w:r>
      <w:r w:rsidR="00B35722" w:rsidRPr="00695F16">
        <w:rPr>
          <w:color w:val="000000" w:themeColor="text1"/>
          <w:sz w:val="22"/>
          <w:szCs w:val="22"/>
        </w:rPr>
        <w:t>ospital</w:t>
      </w:r>
      <w:r w:rsidR="00B35722">
        <w:rPr>
          <w:color w:val="000000" w:themeColor="text1"/>
          <w:sz w:val="22"/>
          <w:szCs w:val="22"/>
        </w:rPr>
        <w:t xml:space="preserve"> 3</w:t>
      </w:r>
    </w:p>
    <w:p w14:paraId="63BA1208" w14:textId="5E26926B" w:rsidR="00D21EB2" w:rsidRPr="00695F16" w:rsidRDefault="00D21EB2" w:rsidP="00D21EB2">
      <w:pPr>
        <w:pStyle w:val="FIG"/>
        <w:spacing w:before="200" w:after="0"/>
        <w:jc w:val="both"/>
        <w:rPr>
          <w:color w:val="000000" w:themeColor="text1"/>
          <w:sz w:val="22"/>
          <w:szCs w:val="22"/>
        </w:rPr>
      </w:pPr>
    </w:p>
    <w:p w14:paraId="3D6916E8" w14:textId="77777777" w:rsidR="00D21EB2" w:rsidRPr="00695F16" w:rsidRDefault="00D21EB2" w:rsidP="00D21EB2">
      <w:pPr>
        <w:pStyle w:val="FIG"/>
        <w:tabs>
          <w:tab w:val="left" w:pos="1185"/>
        </w:tabs>
        <w:spacing w:before="200" w:after="0"/>
        <w:jc w:val="both"/>
        <w:rPr>
          <w:color w:val="000000" w:themeColor="text1"/>
          <w:sz w:val="22"/>
          <w:szCs w:val="22"/>
        </w:rPr>
      </w:pPr>
    </w:p>
    <w:p w14:paraId="03A0A74A" w14:textId="77777777" w:rsidR="00D21EB2" w:rsidRPr="00695F16" w:rsidRDefault="00D21EB2" w:rsidP="00D21EB2">
      <w:pPr>
        <w:spacing w:before="200" w:after="0" w:line="240" w:lineRule="auto"/>
        <w:jc w:val="both"/>
        <w:rPr>
          <w:rFonts w:ascii="Times New Roman" w:hAnsi="Times New Roman" w:cs="Times New Roman"/>
          <w:color w:val="000000" w:themeColor="text1"/>
        </w:rPr>
      </w:pPr>
    </w:p>
    <w:bookmarkEnd w:id="8"/>
    <w:p w14:paraId="453E6FAA" w14:textId="77777777" w:rsidR="00D21EB2" w:rsidRPr="00695F16" w:rsidRDefault="00D21EB2" w:rsidP="00D21EB2">
      <w:pPr>
        <w:spacing w:before="200" w:after="0" w:line="240" w:lineRule="auto"/>
        <w:jc w:val="both"/>
        <w:rPr>
          <w:rFonts w:ascii="Times New Roman" w:hAnsi="Times New Roman" w:cs="Times New Roman"/>
          <w:b/>
          <w:caps/>
          <w:color w:val="000000" w:themeColor="text1"/>
        </w:rPr>
      </w:pPr>
    </w:p>
    <w:p w14:paraId="78516277" w14:textId="77777777" w:rsidR="00393D97" w:rsidRDefault="00393D97" w:rsidP="00D21EB2">
      <w:pPr>
        <w:spacing w:before="200" w:after="0" w:line="240" w:lineRule="auto"/>
        <w:jc w:val="both"/>
        <w:rPr>
          <w:rFonts w:ascii="Times New Roman" w:eastAsia="Calibri" w:hAnsi="Times New Roman" w:cs="Times New Roman"/>
          <w:b/>
          <w:color w:val="FF0000"/>
        </w:rPr>
      </w:pPr>
    </w:p>
    <w:p w14:paraId="2984D675" w14:textId="43510E6D" w:rsidR="00393D97" w:rsidRPr="00393D97" w:rsidRDefault="00393D97" w:rsidP="00393D97">
      <w:pPr>
        <w:spacing w:before="200" w:after="0" w:line="240" w:lineRule="auto"/>
        <w:jc w:val="both"/>
        <w:rPr>
          <w:rFonts w:ascii="Times New Roman" w:hAnsi="Times New Roman" w:cs="Times New Roman"/>
          <w:color w:val="000000" w:themeColor="text1"/>
        </w:rPr>
      </w:pPr>
      <w:r w:rsidRPr="00393D97">
        <w:rPr>
          <w:rFonts w:ascii="Times New Roman" w:hAnsi="Times New Roman" w:cs="Times New Roman"/>
          <w:color w:val="000000" w:themeColor="text1"/>
        </w:rPr>
        <w:lastRenderedPageBreak/>
        <w:t xml:space="preserve">Table 2 shows variation in total bacterial counts across the sampled hospital departments, ranging from 0.23 ± 0.01 × 10² CFU/m³ to 5.29 ± 0.09 × 10³ CFU/m³. Hospital 3 Card/Records recorded the highest bacterial load, while Hospital 1 Antenatal Care showed one of the lowest values. The bacterial isolates identified across the locations include </w:t>
      </w:r>
      <w:r w:rsidRPr="00393D97">
        <w:rPr>
          <w:rFonts w:ascii="Times New Roman" w:hAnsi="Times New Roman" w:cs="Times New Roman"/>
          <w:i/>
          <w:iCs/>
          <w:color w:val="000000" w:themeColor="text1"/>
        </w:rPr>
        <w:t xml:space="preserve">Bacillus </w:t>
      </w:r>
      <w:r w:rsidRPr="00393D97">
        <w:rPr>
          <w:rFonts w:ascii="Times New Roman" w:hAnsi="Times New Roman" w:cs="Times New Roman"/>
          <w:color w:val="000000" w:themeColor="text1"/>
        </w:rPr>
        <w:t>spp</w:t>
      </w:r>
      <w:r w:rsidRPr="00393D97">
        <w:rPr>
          <w:rFonts w:ascii="Times New Roman" w:hAnsi="Times New Roman" w:cs="Times New Roman"/>
          <w:i/>
          <w:iCs/>
          <w:color w:val="000000" w:themeColor="text1"/>
        </w:rPr>
        <w:t>.</w:t>
      </w:r>
      <w:r w:rsidRPr="00393D97">
        <w:rPr>
          <w:rFonts w:ascii="Times New Roman" w:hAnsi="Times New Roman" w:cs="Times New Roman"/>
          <w:color w:val="000000" w:themeColor="text1"/>
        </w:rPr>
        <w:t xml:space="preserve">, </w:t>
      </w:r>
      <w:r w:rsidRPr="00393D97">
        <w:rPr>
          <w:rFonts w:ascii="Times New Roman" w:hAnsi="Times New Roman" w:cs="Times New Roman"/>
          <w:i/>
          <w:iCs/>
          <w:color w:val="000000" w:themeColor="text1"/>
        </w:rPr>
        <w:t>Staphylococcus aureus</w:t>
      </w:r>
      <w:r w:rsidRPr="00393D97">
        <w:rPr>
          <w:rFonts w:ascii="Times New Roman" w:hAnsi="Times New Roman" w:cs="Times New Roman"/>
          <w:color w:val="000000" w:themeColor="text1"/>
        </w:rPr>
        <w:t xml:space="preserve">, </w:t>
      </w:r>
      <w:r w:rsidRPr="00393D97">
        <w:rPr>
          <w:rFonts w:ascii="Times New Roman" w:hAnsi="Times New Roman" w:cs="Times New Roman"/>
          <w:i/>
          <w:iCs/>
          <w:color w:val="000000" w:themeColor="text1"/>
        </w:rPr>
        <w:t xml:space="preserve">Micrococcus </w:t>
      </w:r>
      <w:r w:rsidRPr="00393D97">
        <w:rPr>
          <w:rFonts w:ascii="Times New Roman" w:hAnsi="Times New Roman" w:cs="Times New Roman"/>
          <w:color w:val="000000" w:themeColor="text1"/>
        </w:rPr>
        <w:t>spp</w:t>
      </w:r>
      <w:r w:rsidRPr="00393D97">
        <w:rPr>
          <w:rFonts w:ascii="Times New Roman" w:hAnsi="Times New Roman" w:cs="Times New Roman"/>
          <w:i/>
          <w:iCs/>
          <w:color w:val="000000" w:themeColor="text1"/>
        </w:rPr>
        <w:t>.</w:t>
      </w:r>
      <w:r w:rsidRPr="00393D97">
        <w:rPr>
          <w:rFonts w:ascii="Times New Roman" w:hAnsi="Times New Roman" w:cs="Times New Roman"/>
          <w:color w:val="000000" w:themeColor="text1"/>
        </w:rPr>
        <w:t xml:space="preserve">, </w:t>
      </w:r>
      <w:r w:rsidRPr="00393D97">
        <w:rPr>
          <w:rFonts w:ascii="Times New Roman" w:hAnsi="Times New Roman" w:cs="Times New Roman"/>
          <w:i/>
          <w:iCs/>
          <w:color w:val="000000" w:themeColor="text1"/>
        </w:rPr>
        <w:t>Proteus mirabilis</w:t>
      </w:r>
      <w:r w:rsidRPr="00393D97">
        <w:rPr>
          <w:rFonts w:ascii="Times New Roman" w:hAnsi="Times New Roman" w:cs="Times New Roman"/>
          <w:color w:val="000000" w:themeColor="text1"/>
        </w:rPr>
        <w:t xml:space="preserve">, and </w:t>
      </w:r>
      <w:r w:rsidRPr="00393D97">
        <w:rPr>
          <w:rFonts w:ascii="Times New Roman" w:hAnsi="Times New Roman" w:cs="Times New Roman"/>
          <w:i/>
          <w:iCs/>
          <w:color w:val="000000" w:themeColor="text1"/>
        </w:rPr>
        <w:t xml:space="preserve">Enterobacter </w:t>
      </w:r>
      <w:r w:rsidRPr="00393D97">
        <w:rPr>
          <w:rFonts w:ascii="Times New Roman" w:hAnsi="Times New Roman" w:cs="Times New Roman"/>
          <w:color w:val="000000" w:themeColor="text1"/>
        </w:rPr>
        <w:t>spp. In general, most of the bacterial counts exceeded the WHO/NESREA/SON acceptable limit of ≤ 5.0 × 10² CFU/m³, with only a few departments falling within or close to the guideline value.</w:t>
      </w:r>
    </w:p>
    <w:p w14:paraId="6F402E6A" w14:textId="77777777" w:rsidR="001E5A72" w:rsidRPr="00695F16" w:rsidRDefault="001E5A72" w:rsidP="00D21EB2">
      <w:pPr>
        <w:spacing w:before="200" w:after="0" w:line="240" w:lineRule="auto"/>
        <w:jc w:val="both"/>
        <w:rPr>
          <w:rFonts w:ascii="Times New Roman" w:hAnsi="Times New Roman" w:cs="Times New Roman"/>
          <w:color w:val="000000" w:themeColor="text1"/>
        </w:rPr>
      </w:pPr>
    </w:p>
    <w:p w14:paraId="6F9FDBDF" w14:textId="22055D52" w:rsidR="004A1B1A" w:rsidRDefault="00393D97" w:rsidP="00393D97">
      <w:pPr>
        <w:pStyle w:val="TABLE"/>
        <w:spacing w:before="0" w:beforeAutospacing="0" w:after="0" w:afterAutospacing="0"/>
        <w:jc w:val="center"/>
        <w:rPr>
          <w:sz w:val="22"/>
          <w:szCs w:val="22"/>
        </w:rPr>
      </w:pPr>
      <w:r w:rsidRPr="00393D97">
        <w:rPr>
          <w:sz w:val="22"/>
          <w:szCs w:val="22"/>
        </w:rPr>
        <w:t xml:space="preserve">Table 2: </w:t>
      </w:r>
      <w:r w:rsidR="007B1326" w:rsidRPr="007B1326">
        <w:rPr>
          <w:sz w:val="22"/>
          <w:szCs w:val="22"/>
        </w:rPr>
        <w:t>Total Bacterial Load (CFU/m³) and Identified Bacterial Isolates Across Three Hospital Departments Compared with WHO, NESREA, and SON Standards</w:t>
      </w:r>
    </w:p>
    <w:p w14:paraId="794420AA" w14:textId="77777777" w:rsidR="00F4329D" w:rsidRPr="00393D97" w:rsidRDefault="00F4329D" w:rsidP="00393D97">
      <w:pPr>
        <w:pStyle w:val="TABLE"/>
        <w:spacing w:before="0" w:beforeAutospacing="0" w:after="0" w:afterAutospacing="0"/>
        <w:jc w:val="center"/>
        <w:rPr>
          <w:sz w:val="22"/>
          <w:szCs w:val="22"/>
        </w:rPr>
      </w:pPr>
    </w:p>
    <w:tbl>
      <w:tblPr>
        <w:tblStyle w:val="TableGrid"/>
        <w:tblW w:w="10397" w:type="dxa"/>
        <w:jc w:val="center"/>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13"/>
        <w:gridCol w:w="2436"/>
        <w:gridCol w:w="1800"/>
        <w:gridCol w:w="1710"/>
        <w:gridCol w:w="3038"/>
      </w:tblGrid>
      <w:tr w:rsidR="00D21EB2" w:rsidRPr="004A1B1A" w14:paraId="72EEA957" w14:textId="77777777" w:rsidTr="00061E43">
        <w:trPr>
          <w:trHeight w:val="416"/>
          <w:jc w:val="center"/>
        </w:trPr>
        <w:tc>
          <w:tcPr>
            <w:tcW w:w="1413" w:type="dxa"/>
            <w:tcBorders>
              <w:top w:val="single" w:sz="4" w:space="0" w:color="auto"/>
              <w:bottom w:val="single" w:sz="4" w:space="0" w:color="auto"/>
            </w:tcBorders>
            <w:hideMark/>
          </w:tcPr>
          <w:p w14:paraId="6848D84D" w14:textId="77777777" w:rsidR="006525D4" w:rsidRPr="007B1326" w:rsidRDefault="006525D4" w:rsidP="004A1B1A">
            <w:pPr>
              <w:pStyle w:val="NoSpacing"/>
              <w:jc w:val="both"/>
              <w:rPr>
                <w:rFonts w:ascii="Times New Roman" w:hAnsi="Times New Roman" w:cs="Times New Roman"/>
                <w:b/>
                <w:sz w:val="21"/>
                <w:szCs w:val="21"/>
                <w:lang w:val="en-GB"/>
              </w:rPr>
            </w:pPr>
            <w:r w:rsidRPr="007B1326">
              <w:rPr>
                <w:rFonts w:ascii="Times New Roman" w:hAnsi="Times New Roman" w:cs="Times New Roman"/>
                <w:b/>
                <w:sz w:val="21"/>
                <w:szCs w:val="21"/>
                <w:lang w:val="en-GB"/>
              </w:rPr>
              <w:t>Hospital</w:t>
            </w:r>
          </w:p>
        </w:tc>
        <w:tc>
          <w:tcPr>
            <w:tcW w:w="2436" w:type="dxa"/>
            <w:tcBorders>
              <w:top w:val="single" w:sz="4" w:space="0" w:color="auto"/>
              <w:bottom w:val="single" w:sz="4" w:space="0" w:color="auto"/>
            </w:tcBorders>
            <w:hideMark/>
          </w:tcPr>
          <w:p w14:paraId="4D9EEF11" w14:textId="01B28371" w:rsidR="00D21EB2" w:rsidRPr="004A1B1A" w:rsidRDefault="00D21EB2" w:rsidP="009C7524">
            <w:pPr>
              <w:pStyle w:val="NoSpacing"/>
              <w:rPr>
                <w:rFonts w:ascii="Times New Roman" w:hAnsi="Times New Roman" w:cs="Times New Roman"/>
                <w:b/>
                <w:color w:val="000000" w:themeColor="text1"/>
                <w:sz w:val="21"/>
                <w:szCs w:val="21"/>
                <w:lang w:val="en-GB"/>
              </w:rPr>
            </w:pPr>
            <w:r w:rsidRPr="004A1B1A">
              <w:rPr>
                <w:rFonts w:ascii="Times New Roman" w:hAnsi="Times New Roman" w:cs="Times New Roman"/>
                <w:b/>
                <w:color w:val="000000" w:themeColor="text1"/>
                <w:sz w:val="21"/>
                <w:szCs w:val="21"/>
                <w:lang w:val="en-GB"/>
              </w:rPr>
              <w:t>Department</w:t>
            </w:r>
          </w:p>
        </w:tc>
        <w:tc>
          <w:tcPr>
            <w:tcW w:w="1800" w:type="dxa"/>
            <w:tcBorders>
              <w:top w:val="single" w:sz="4" w:space="0" w:color="auto"/>
              <w:bottom w:val="single" w:sz="4" w:space="0" w:color="auto"/>
            </w:tcBorders>
            <w:hideMark/>
          </w:tcPr>
          <w:p w14:paraId="65464AFF" w14:textId="6246D0C0" w:rsidR="00D21EB2" w:rsidRPr="004A1B1A" w:rsidRDefault="009C7524" w:rsidP="009C7524">
            <w:pPr>
              <w:pStyle w:val="NoSpacing"/>
              <w:ind w:right="-108" w:hanging="108"/>
              <w:rPr>
                <w:rFonts w:ascii="Times New Roman" w:hAnsi="Times New Roman" w:cs="Times New Roman"/>
                <w:b/>
                <w:color w:val="000000" w:themeColor="text1"/>
                <w:sz w:val="21"/>
                <w:szCs w:val="21"/>
                <w:lang w:val="en-GB"/>
              </w:rPr>
            </w:pPr>
            <w:r>
              <w:rPr>
                <w:rFonts w:ascii="Times New Roman" w:hAnsi="Times New Roman" w:cs="Times New Roman"/>
                <w:b/>
                <w:color w:val="000000" w:themeColor="text1"/>
                <w:sz w:val="21"/>
                <w:szCs w:val="21"/>
                <w:lang w:val="en-GB"/>
              </w:rPr>
              <w:t xml:space="preserve">  </w:t>
            </w:r>
            <w:r w:rsidR="00D21EB2" w:rsidRPr="004A1B1A">
              <w:rPr>
                <w:rFonts w:ascii="Times New Roman" w:hAnsi="Times New Roman" w:cs="Times New Roman"/>
                <w:b/>
                <w:color w:val="000000" w:themeColor="text1"/>
                <w:sz w:val="21"/>
                <w:szCs w:val="21"/>
                <w:lang w:val="en-GB"/>
              </w:rPr>
              <w:t>Total Bacteria Count</w:t>
            </w:r>
            <w:r>
              <w:rPr>
                <w:rFonts w:ascii="Times New Roman" w:hAnsi="Times New Roman" w:cs="Times New Roman"/>
                <w:b/>
                <w:color w:val="000000" w:themeColor="text1"/>
                <w:sz w:val="21"/>
                <w:szCs w:val="21"/>
                <w:lang w:val="en-GB"/>
              </w:rPr>
              <w:t xml:space="preserve"> </w:t>
            </w:r>
            <w:r w:rsidR="00D21EB2" w:rsidRPr="00393D97">
              <w:rPr>
                <w:rFonts w:ascii="Times New Roman" w:hAnsi="Times New Roman" w:cs="Times New Roman"/>
                <w:b/>
                <w:sz w:val="21"/>
                <w:szCs w:val="21"/>
                <w:lang w:val="en-GB"/>
              </w:rPr>
              <w:t>(</w:t>
            </w:r>
            <w:r w:rsidR="00393D97" w:rsidRPr="00393D97">
              <w:rPr>
                <w:rFonts w:ascii="Times New Roman" w:hAnsi="Times New Roman" w:cs="Times New Roman"/>
                <w:b/>
              </w:rPr>
              <w:t>CFU</w:t>
            </w:r>
            <w:r w:rsidR="00393D97" w:rsidRPr="00393D97">
              <w:rPr>
                <w:rFonts w:ascii="Times New Roman" w:hAnsi="Times New Roman" w:cs="Times New Roman"/>
                <w:b/>
                <w:sz w:val="21"/>
                <w:szCs w:val="21"/>
                <w:lang w:val="en-GB"/>
              </w:rPr>
              <w:t xml:space="preserve"> </w:t>
            </w:r>
            <w:r w:rsidR="00D21EB2" w:rsidRPr="004A1B1A">
              <w:rPr>
                <w:rFonts w:ascii="Times New Roman" w:hAnsi="Times New Roman" w:cs="Times New Roman"/>
                <w:b/>
                <w:color w:val="000000" w:themeColor="text1"/>
                <w:sz w:val="21"/>
                <w:szCs w:val="21"/>
                <w:lang w:val="en-GB"/>
              </w:rPr>
              <w:t>/m</w:t>
            </w:r>
            <w:r w:rsidR="00D21EB2" w:rsidRPr="004A1B1A">
              <w:rPr>
                <w:rFonts w:ascii="Times New Roman" w:hAnsi="Times New Roman" w:cs="Times New Roman"/>
                <w:b/>
                <w:color w:val="000000" w:themeColor="text1"/>
                <w:sz w:val="21"/>
                <w:szCs w:val="21"/>
                <w:vertAlign w:val="superscript"/>
                <w:lang w:val="en-GB"/>
              </w:rPr>
              <w:t>3</w:t>
            </w:r>
            <w:r w:rsidR="00D21EB2" w:rsidRPr="004A1B1A">
              <w:rPr>
                <w:rFonts w:ascii="Times New Roman" w:hAnsi="Times New Roman" w:cs="Times New Roman"/>
                <w:b/>
                <w:color w:val="000000" w:themeColor="text1"/>
                <w:sz w:val="21"/>
                <w:szCs w:val="21"/>
                <w:lang w:val="en-GB"/>
              </w:rPr>
              <w:t>)</w:t>
            </w:r>
          </w:p>
        </w:tc>
        <w:tc>
          <w:tcPr>
            <w:tcW w:w="1710" w:type="dxa"/>
            <w:tcBorders>
              <w:top w:val="single" w:sz="4" w:space="0" w:color="auto"/>
              <w:bottom w:val="single" w:sz="4" w:space="0" w:color="auto"/>
            </w:tcBorders>
            <w:hideMark/>
          </w:tcPr>
          <w:p w14:paraId="54B80116" w14:textId="2E2F8AA1" w:rsidR="00D21EB2" w:rsidRPr="004A1B1A" w:rsidRDefault="00D21EB2" w:rsidP="009C7524">
            <w:pPr>
              <w:pStyle w:val="NoSpacing"/>
              <w:ind w:right="-108"/>
              <w:jc w:val="center"/>
              <w:rPr>
                <w:rFonts w:ascii="Times New Roman" w:hAnsi="Times New Roman" w:cs="Times New Roman"/>
                <w:b/>
                <w:color w:val="000000" w:themeColor="text1"/>
                <w:sz w:val="21"/>
                <w:szCs w:val="21"/>
                <w:lang w:val="en-GB"/>
              </w:rPr>
            </w:pPr>
            <w:r w:rsidRPr="004A1B1A">
              <w:rPr>
                <w:rFonts w:ascii="Times New Roman" w:eastAsia="Times New Roman" w:hAnsi="Times New Roman" w:cs="Times New Roman"/>
                <w:b/>
                <w:bCs/>
                <w:color w:val="000000" w:themeColor="text1"/>
                <w:sz w:val="21"/>
                <w:szCs w:val="21"/>
                <w:lang w:val="en-GB" w:eastAsia="en-GB"/>
              </w:rPr>
              <w:t>WHO/NESREA</w:t>
            </w:r>
            <w:r w:rsidR="009C7524">
              <w:rPr>
                <w:rFonts w:ascii="Times New Roman" w:eastAsia="Times New Roman" w:hAnsi="Times New Roman" w:cs="Times New Roman"/>
                <w:b/>
                <w:bCs/>
                <w:color w:val="000000" w:themeColor="text1"/>
                <w:sz w:val="21"/>
                <w:szCs w:val="21"/>
                <w:lang w:val="en-GB" w:eastAsia="en-GB"/>
              </w:rPr>
              <w:t xml:space="preserve"> </w:t>
            </w:r>
            <w:r w:rsidRPr="004A1B1A">
              <w:rPr>
                <w:rFonts w:ascii="Times New Roman" w:eastAsia="Times New Roman" w:hAnsi="Times New Roman" w:cs="Times New Roman"/>
                <w:b/>
                <w:bCs/>
                <w:color w:val="000000" w:themeColor="text1"/>
                <w:sz w:val="21"/>
                <w:szCs w:val="21"/>
                <w:lang w:val="en-GB" w:eastAsia="en-GB"/>
              </w:rPr>
              <w:t xml:space="preserve">/SON Acceptable Limit </w:t>
            </w:r>
            <w:r w:rsidRPr="00393D97">
              <w:rPr>
                <w:rFonts w:ascii="Times New Roman" w:eastAsia="Times New Roman" w:hAnsi="Times New Roman" w:cs="Times New Roman"/>
                <w:b/>
                <w:bCs/>
                <w:sz w:val="21"/>
                <w:szCs w:val="21"/>
                <w:lang w:val="en-GB" w:eastAsia="en-GB"/>
              </w:rPr>
              <w:t>(</w:t>
            </w:r>
            <w:r w:rsidR="00393D97" w:rsidRPr="00393D97">
              <w:rPr>
                <w:rFonts w:ascii="Times New Roman" w:hAnsi="Times New Roman" w:cs="Times New Roman"/>
                <w:b/>
                <w:bCs/>
              </w:rPr>
              <w:t>CFU</w:t>
            </w:r>
            <w:r w:rsidR="00393D97" w:rsidRPr="00393D97">
              <w:rPr>
                <w:rFonts w:ascii="Times New Roman" w:eastAsia="Times New Roman" w:hAnsi="Times New Roman" w:cs="Times New Roman"/>
                <w:b/>
                <w:bCs/>
                <w:sz w:val="21"/>
                <w:szCs w:val="21"/>
                <w:lang w:val="en-GB" w:eastAsia="en-GB"/>
              </w:rPr>
              <w:t xml:space="preserve"> </w:t>
            </w:r>
            <w:r w:rsidRPr="004A1B1A">
              <w:rPr>
                <w:rFonts w:ascii="Times New Roman" w:eastAsia="Times New Roman" w:hAnsi="Times New Roman" w:cs="Times New Roman"/>
                <w:b/>
                <w:bCs/>
                <w:color w:val="000000" w:themeColor="text1"/>
                <w:sz w:val="21"/>
                <w:szCs w:val="21"/>
                <w:lang w:val="en-GB" w:eastAsia="en-GB"/>
              </w:rPr>
              <w:t>/m³)</w:t>
            </w:r>
          </w:p>
        </w:tc>
        <w:tc>
          <w:tcPr>
            <w:tcW w:w="3038" w:type="dxa"/>
            <w:tcBorders>
              <w:top w:val="single" w:sz="4" w:space="0" w:color="auto"/>
              <w:bottom w:val="single" w:sz="4" w:space="0" w:color="auto"/>
            </w:tcBorders>
            <w:hideMark/>
          </w:tcPr>
          <w:p w14:paraId="320E8AC6" w14:textId="77777777" w:rsidR="00D21EB2" w:rsidRPr="004A1B1A" w:rsidRDefault="00D21EB2" w:rsidP="009C7524">
            <w:pPr>
              <w:pStyle w:val="NoSpacing"/>
              <w:rPr>
                <w:rFonts w:ascii="Times New Roman" w:hAnsi="Times New Roman" w:cs="Times New Roman"/>
                <w:b/>
                <w:color w:val="000000" w:themeColor="text1"/>
                <w:sz w:val="21"/>
                <w:szCs w:val="21"/>
                <w:lang w:val="en-GB"/>
              </w:rPr>
            </w:pPr>
            <w:r w:rsidRPr="004A1B1A">
              <w:rPr>
                <w:rFonts w:ascii="Times New Roman" w:hAnsi="Times New Roman" w:cs="Times New Roman"/>
                <w:b/>
                <w:color w:val="000000" w:themeColor="text1"/>
                <w:sz w:val="21"/>
                <w:szCs w:val="21"/>
                <w:lang w:val="en-GB"/>
              </w:rPr>
              <w:t>Bacterial Isolates</w:t>
            </w:r>
          </w:p>
        </w:tc>
      </w:tr>
      <w:tr w:rsidR="00061E43" w:rsidRPr="004A1B1A" w14:paraId="4D792DDB" w14:textId="77777777" w:rsidTr="00061E43">
        <w:trPr>
          <w:trHeight w:val="206"/>
          <w:jc w:val="center"/>
        </w:trPr>
        <w:tc>
          <w:tcPr>
            <w:tcW w:w="1413" w:type="dxa"/>
            <w:vMerge w:val="restart"/>
            <w:tcBorders>
              <w:top w:val="single" w:sz="4" w:space="0" w:color="auto"/>
            </w:tcBorders>
            <w:hideMark/>
          </w:tcPr>
          <w:p w14:paraId="55D46754" w14:textId="1B6C7B56" w:rsidR="007B1326" w:rsidRPr="00061E43" w:rsidRDefault="007B1326" w:rsidP="00061E43">
            <w:pPr>
              <w:pStyle w:val="NoSpacing"/>
              <w:spacing w:before="240"/>
              <w:jc w:val="both"/>
              <w:rPr>
                <w:rFonts w:ascii="Times New Roman" w:hAnsi="Times New Roman" w:cs="Times New Roman"/>
                <w:color w:val="FF0000"/>
                <w:lang w:val="en-GB"/>
              </w:rPr>
            </w:pPr>
            <w:r>
              <w:rPr>
                <w:rFonts w:ascii="Times New Roman" w:hAnsi="Times New Roman" w:cs="Times New Roman"/>
                <w:dstrike/>
                <w:color w:val="000000" w:themeColor="text1"/>
                <w:lang w:val="en-GB"/>
              </w:rPr>
              <w:t>Hospital 1</w:t>
            </w:r>
          </w:p>
        </w:tc>
        <w:tc>
          <w:tcPr>
            <w:tcW w:w="2436" w:type="dxa"/>
            <w:tcBorders>
              <w:top w:val="single" w:sz="4" w:space="0" w:color="auto"/>
            </w:tcBorders>
            <w:hideMark/>
          </w:tcPr>
          <w:p w14:paraId="508CDE93" w14:textId="2229707E" w:rsidR="00D21EB2" w:rsidRPr="004A1B1A" w:rsidRDefault="00D21EB2" w:rsidP="00061E43">
            <w:pPr>
              <w:pStyle w:val="NoSpacing"/>
              <w:spacing w:before="240"/>
              <w:rPr>
                <w:rFonts w:ascii="Times New Roman" w:hAnsi="Times New Roman" w:cs="Times New Roman"/>
                <w:color w:val="000000" w:themeColor="text1"/>
                <w:lang w:val="en-GB"/>
              </w:rPr>
            </w:pPr>
            <w:r w:rsidRPr="004A1B1A">
              <w:rPr>
                <w:rFonts w:ascii="Times New Roman" w:hAnsi="Times New Roman" w:cs="Times New Roman"/>
                <w:color w:val="000000" w:themeColor="text1"/>
                <w:lang w:val="en-GB"/>
              </w:rPr>
              <w:t xml:space="preserve">Card/ Records </w:t>
            </w:r>
          </w:p>
        </w:tc>
        <w:tc>
          <w:tcPr>
            <w:tcW w:w="1800" w:type="dxa"/>
            <w:tcBorders>
              <w:top w:val="single" w:sz="4" w:space="0" w:color="auto"/>
            </w:tcBorders>
            <w:hideMark/>
          </w:tcPr>
          <w:p w14:paraId="47439E2B" w14:textId="77777777" w:rsidR="00D21EB2" w:rsidRPr="004A1B1A" w:rsidRDefault="00D21EB2" w:rsidP="00061E43">
            <w:pPr>
              <w:spacing w:before="240"/>
              <w:rPr>
                <w:rFonts w:ascii="Times New Roman" w:hAnsi="Times New Roman" w:cs="Times New Roman"/>
                <w:color w:val="000000" w:themeColor="text1"/>
                <w:lang w:val="en-GB"/>
              </w:rPr>
            </w:pPr>
            <w:r w:rsidRPr="004A1B1A">
              <w:rPr>
                <w:rFonts w:ascii="Times New Roman" w:eastAsia="Times New Roman" w:hAnsi="Times New Roman" w:cs="Times New Roman"/>
                <w:bCs/>
                <w:color w:val="000000" w:themeColor="text1"/>
                <w:lang w:eastAsia="en-GB"/>
              </w:rPr>
              <w:t>1.00±0.02 × 10³</w:t>
            </w:r>
          </w:p>
        </w:tc>
        <w:tc>
          <w:tcPr>
            <w:tcW w:w="1710" w:type="dxa"/>
            <w:tcBorders>
              <w:top w:val="single" w:sz="4" w:space="0" w:color="auto"/>
            </w:tcBorders>
            <w:hideMark/>
          </w:tcPr>
          <w:p w14:paraId="0817BFA0" w14:textId="77777777" w:rsidR="00D21EB2" w:rsidRPr="004A1B1A" w:rsidRDefault="00D21EB2" w:rsidP="00061E43">
            <w:pPr>
              <w:spacing w:before="240"/>
              <w:jc w:val="center"/>
              <w:rPr>
                <w:rFonts w:ascii="Times New Roman" w:eastAsia="Times New Roman" w:hAnsi="Times New Roman" w:cs="Times New Roman"/>
                <w:color w:val="000000" w:themeColor="text1"/>
                <w:lang w:eastAsia="en-GB"/>
              </w:rPr>
            </w:pPr>
            <w:r w:rsidRPr="004A1B1A">
              <w:rPr>
                <w:rFonts w:ascii="Times New Roman" w:eastAsia="Times New Roman" w:hAnsi="Times New Roman" w:cs="Times New Roman"/>
                <w:color w:val="000000" w:themeColor="text1"/>
                <w:lang w:eastAsia="en-GB"/>
              </w:rPr>
              <w:t>≤ 5.0×10²</w:t>
            </w:r>
          </w:p>
        </w:tc>
        <w:tc>
          <w:tcPr>
            <w:tcW w:w="3038" w:type="dxa"/>
            <w:tcBorders>
              <w:top w:val="single" w:sz="4" w:space="0" w:color="auto"/>
            </w:tcBorders>
            <w:hideMark/>
          </w:tcPr>
          <w:p w14:paraId="121F1519" w14:textId="77777777" w:rsidR="00D21EB2" w:rsidRPr="004A1B1A" w:rsidRDefault="00D21EB2" w:rsidP="00061E43">
            <w:pPr>
              <w:spacing w:before="240"/>
              <w:rPr>
                <w:rFonts w:ascii="Times New Roman" w:eastAsiaTheme="minorHAnsi" w:hAnsi="Times New Roman" w:cs="Times New Roman"/>
                <w:i/>
                <w:color w:val="000000" w:themeColor="text1"/>
              </w:rPr>
            </w:pPr>
            <w:r w:rsidRPr="004A1B1A">
              <w:rPr>
                <w:rFonts w:ascii="Times New Roman" w:hAnsi="Times New Roman" w:cs="Times New Roman"/>
                <w:i/>
                <w:color w:val="000000" w:themeColor="text1"/>
              </w:rPr>
              <w:t xml:space="preserve">Bacillus </w:t>
            </w:r>
            <w:proofErr w:type="spellStart"/>
            <w:r w:rsidRPr="00393D97">
              <w:rPr>
                <w:rFonts w:ascii="Times New Roman" w:hAnsi="Times New Roman" w:cs="Times New Roman"/>
                <w:iCs/>
                <w:color w:val="000000" w:themeColor="text1"/>
              </w:rPr>
              <w:t>spp</w:t>
            </w:r>
            <w:proofErr w:type="spellEnd"/>
          </w:p>
        </w:tc>
      </w:tr>
      <w:tr w:rsidR="00D21EB2" w:rsidRPr="004A1B1A" w14:paraId="7B48976C" w14:textId="77777777" w:rsidTr="00061E43">
        <w:trPr>
          <w:trHeight w:val="70"/>
          <w:jc w:val="center"/>
        </w:trPr>
        <w:tc>
          <w:tcPr>
            <w:tcW w:w="1413" w:type="dxa"/>
            <w:vMerge/>
            <w:vAlign w:val="center"/>
            <w:hideMark/>
          </w:tcPr>
          <w:p w14:paraId="3CE1193A" w14:textId="77777777" w:rsidR="00D21EB2" w:rsidRPr="004A1B1A" w:rsidRDefault="00D21EB2" w:rsidP="00061E43">
            <w:pPr>
              <w:spacing w:before="240"/>
              <w:jc w:val="both"/>
              <w:rPr>
                <w:rFonts w:ascii="Times New Roman" w:hAnsi="Times New Roman" w:cs="Times New Roman"/>
                <w:color w:val="000000" w:themeColor="text1"/>
                <w:lang w:val="en-GB"/>
              </w:rPr>
            </w:pPr>
          </w:p>
        </w:tc>
        <w:tc>
          <w:tcPr>
            <w:tcW w:w="2436" w:type="dxa"/>
            <w:hideMark/>
          </w:tcPr>
          <w:p w14:paraId="2291AAC7" w14:textId="654816F7" w:rsidR="00D21EB2" w:rsidRPr="004A1B1A" w:rsidRDefault="00D21EB2" w:rsidP="009C7524">
            <w:pPr>
              <w:rPr>
                <w:rFonts w:ascii="Times New Roman" w:hAnsi="Times New Roman" w:cs="Times New Roman"/>
                <w:color w:val="000000" w:themeColor="text1"/>
              </w:rPr>
            </w:pPr>
            <w:r w:rsidRPr="004A1B1A">
              <w:rPr>
                <w:rFonts w:ascii="Times New Roman" w:hAnsi="Times New Roman" w:cs="Times New Roman"/>
                <w:color w:val="000000" w:themeColor="text1"/>
              </w:rPr>
              <w:t xml:space="preserve">Antenatal Care </w:t>
            </w:r>
          </w:p>
        </w:tc>
        <w:tc>
          <w:tcPr>
            <w:tcW w:w="1800" w:type="dxa"/>
            <w:hideMark/>
          </w:tcPr>
          <w:p w14:paraId="49514C90" w14:textId="77777777" w:rsidR="00D21EB2" w:rsidRPr="004A1B1A" w:rsidRDefault="00D21EB2" w:rsidP="009C7524">
            <w:pPr>
              <w:rPr>
                <w:rFonts w:ascii="Times New Roman" w:hAnsi="Times New Roman" w:cs="Times New Roman"/>
                <w:color w:val="000000" w:themeColor="text1"/>
                <w:vertAlign w:val="superscript"/>
              </w:rPr>
            </w:pPr>
            <w:r w:rsidRPr="004A1B1A">
              <w:rPr>
                <w:rFonts w:ascii="Times New Roman" w:hAnsi="Times New Roman" w:cs="Times New Roman"/>
                <w:color w:val="000000" w:themeColor="text1"/>
              </w:rPr>
              <w:t>0.23</w:t>
            </w:r>
            <w:r w:rsidRPr="004A1B1A">
              <w:rPr>
                <w:rFonts w:ascii="Times New Roman" w:eastAsia="Times New Roman" w:hAnsi="Times New Roman" w:cs="Times New Roman"/>
                <w:bCs/>
                <w:color w:val="000000" w:themeColor="text1"/>
                <w:lang w:eastAsia="en-GB"/>
              </w:rPr>
              <w:t>±0.01× 10</w:t>
            </w:r>
            <w:r w:rsidRPr="004A1B1A">
              <w:rPr>
                <w:rFonts w:ascii="Times New Roman" w:eastAsia="Times New Roman" w:hAnsi="Times New Roman" w:cs="Times New Roman"/>
                <w:bCs/>
                <w:color w:val="000000" w:themeColor="text1"/>
                <w:vertAlign w:val="superscript"/>
                <w:lang w:eastAsia="en-GB"/>
              </w:rPr>
              <w:t>2</w:t>
            </w:r>
          </w:p>
        </w:tc>
        <w:tc>
          <w:tcPr>
            <w:tcW w:w="1710" w:type="dxa"/>
            <w:hideMark/>
          </w:tcPr>
          <w:p w14:paraId="4EF319F6" w14:textId="77777777" w:rsidR="00D21EB2" w:rsidRPr="004A1B1A" w:rsidRDefault="00D21EB2" w:rsidP="009C7524">
            <w:pPr>
              <w:jc w:val="center"/>
              <w:rPr>
                <w:rFonts w:ascii="Times New Roman" w:eastAsia="Times New Roman" w:hAnsi="Times New Roman" w:cs="Times New Roman"/>
                <w:color w:val="000000" w:themeColor="text1"/>
                <w:lang w:eastAsia="en-GB"/>
              </w:rPr>
            </w:pPr>
            <w:r w:rsidRPr="004A1B1A">
              <w:rPr>
                <w:rFonts w:ascii="Times New Roman" w:eastAsia="Times New Roman" w:hAnsi="Times New Roman" w:cs="Times New Roman"/>
                <w:color w:val="000000" w:themeColor="text1"/>
                <w:lang w:eastAsia="en-GB"/>
              </w:rPr>
              <w:t>≤ 5.0×10²</w:t>
            </w:r>
          </w:p>
        </w:tc>
        <w:tc>
          <w:tcPr>
            <w:tcW w:w="3038" w:type="dxa"/>
            <w:hideMark/>
          </w:tcPr>
          <w:p w14:paraId="5F37D08D" w14:textId="77777777" w:rsidR="00D21EB2" w:rsidRPr="004A1B1A" w:rsidRDefault="00D21EB2" w:rsidP="009C7524">
            <w:pPr>
              <w:rPr>
                <w:rFonts w:ascii="Times New Roman" w:eastAsiaTheme="minorHAnsi" w:hAnsi="Times New Roman" w:cs="Times New Roman"/>
                <w:color w:val="000000" w:themeColor="text1"/>
              </w:rPr>
            </w:pPr>
            <w:r w:rsidRPr="004A1B1A">
              <w:rPr>
                <w:rFonts w:ascii="Times New Roman" w:hAnsi="Times New Roman" w:cs="Times New Roman"/>
                <w:i/>
                <w:color w:val="000000" w:themeColor="text1"/>
              </w:rPr>
              <w:t xml:space="preserve">Bacillus </w:t>
            </w:r>
            <w:proofErr w:type="spellStart"/>
            <w:r w:rsidRPr="00393D97">
              <w:rPr>
                <w:rFonts w:ascii="Times New Roman" w:hAnsi="Times New Roman" w:cs="Times New Roman"/>
                <w:iCs/>
                <w:color w:val="000000" w:themeColor="text1"/>
              </w:rPr>
              <w:t>spp</w:t>
            </w:r>
            <w:proofErr w:type="spellEnd"/>
          </w:p>
        </w:tc>
      </w:tr>
      <w:tr w:rsidR="00D21EB2" w:rsidRPr="004A1B1A" w14:paraId="01364DAB" w14:textId="77777777" w:rsidTr="00061E43">
        <w:trPr>
          <w:trHeight w:val="70"/>
          <w:jc w:val="center"/>
        </w:trPr>
        <w:tc>
          <w:tcPr>
            <w:tcW w:w="1413" w:type="dxa"/>
            <w:vMerge/>
            <w:vAlign w:val="center"/>
            <w:hideMark/>
          </w:tcPr>
          <w:p w14:paraId="2AE60126" w14:textId="77777777" w:rsidR="00D21EB2" w:rsidRPr="004A1B1A" w:rsidRDefault="00D21EB2" w:rsidP="004A1B1A">
            <w:pPr>
              <w:jc w:val="both"/>
              <w:rPr>
                <w:rFonts w:ascii="Times New Roman" w:hAnsi="Times New Roman" w:cs="Times New Roman"/>
                <w:color w:val="000000" w:themeColor="text1"/>
                <w:lang w:val="en-GB"/>
              </w:rPr>
            </w:pPr>
          </w:p>
        </w:tc>
        <w:tc>
          <w:tcPr>
            <w:tcW w:w="2436" w:type="dxa"/>
            <w:hideMark/>
          </w:tcPr>
          <w:p w14:paraId="54C6CC78" w14:textId="677D6015" w:rsidR="00D21EB2" w:rsidRPr="004A1B1A" w:rsidRDefault="00D21EB2" w:rsidP="009C7524">
            <w:pPr>
              <w:rPr>
                <w:rFonts w:ascii="Times New Roman" w:hAnsi="Times New Roman" w:cs="Times New Roman"/>
                <w:color w:val="000000" w:themeColor="text1"/>
              </w:rPr>
            </w:pPr>
            <w:r w:rsidRPr="004A1B1A">
              <w:rPr>
                <w:rFonts w:ascii="Times New Roman" w:hAnsi="Times New Roman" w:cs="Times New Roman"/>
                <w:color w:val="000000" w:themeColor="text1"/>
              </w:rPr>
              <w:t xml:space="preserve">Female </w:t>
            </w:r>
            <w:r w:rsidR="00393D97" w:rsidRPr="004A1B1A">
              <w:rPr>
                <w:rFonts w:ascii="Times New Roman" w:hAnsi="Times New Roman" w:cs="Times New Roman"/>
                <w:color w:val="000000" w:themeColor="text1"/>
              </w:rPr>
              <w:t xml:space="preserve">Ward </w:t>
            </w:r>
          </w:p>
        </w:tc>
        <w:tc>
          <w:tcPr>
            <w:tcW w:w="1800" w:type="dxa"/>
            <w:hideMark/>
          </w:tcPr>
          <w:p w14:paraId="699F043D" w14:textId="77777777" w:rsidR="00D21EB2" w:rsidRPr="004A1B1A" w:rsidRDefault="00D21EB2" w:rsidP="009C7524">
            <w:pPr>
              <w:rPr>
                <w:rFonts w:ascii="Times New Roman" w:hAnsi="Times New Roman" w:cs="Times New Roman"/>
                <w:color w:val="000000" w:themeColor="text1"/>
                <w:vertAlign w:val="superscript"/>
              </w:rPr>
            </w:pPr>
            <w:r w:rsidRPr="004A1B1A">
              <w:rPr>
                <w:rFonts w:ascii="Times New Roman" w:hAnsi="Times New Roman" w:cs="Times New Roman"/>
                <w:color w:val="000000" w:themeColor="text1"/>
              </w:rPr>
              <w:t>0.41</w:t>
            </w:r>
            <w:r w:rsidRPr="004A1B1A">
              <w:rPr>
                <w:rFonts w:ascii="Times New Roman" w:eastAsia="Times New Roman" w:hAnsi="Times New Roman" w:cs="Times New Roman"/>
                <w:bCs/>
                <w:color w:val="000000" w:themeColor="text1"/>
                <w:lang w:eastAsia="en-GB"/>
              </w:rPr>
              <w:t>±0.02× 10</w:t>
            </w:r>
            <w:r w:rsidRPr="004A1B1A">
              <w:rPr>
                <w:rFonts w:ascii="Times New Roman" w:eastAsia="Times New Roman" w:hAnsi="Times New Roman" w:cs="Times New Roman"/>
                <w:bCs/>
                <w:color w:val="000000" w:themeColor="text1"/>
                <w:vertAlign w:val="superscript"/>
                <w:lang w:eastAsia="en-GB"/>
              </w:rPr>
              <w:t>2</w:t>
            </w:r>
          </w:p>
        </w:tc>
        <w:tc>
          <w:tcPr>
            <w:tcW w:w="1710" w:type="dxa"/>
            <w:hideMark/>
          </w:tcPr>
          <w:p w14:paraId="1472808A" w14:textId="77777777" w:rsidR="00D21EB2" w:rsidRPr="004A1B1A" w:rsidRDefault="00D21EB2" w:rsidP="009C7524">
            <w:pPr>
              <w:jc w:val="center"/>
              <w:rPr>
                <w:rFonts w:ascii="Times New Roman" w:eastAsia="Times New Roman" w:hAnsi="Times New Roman" w:cs="Times New Roman"/>
                <w:color w:val="000000" w:themeColor="text1"/>
                <w:lang w:eastAsia="en-GB"/>
              </w:rPr>
            </w:pPr>
            <w:r w:rsidRPr="004A1B1A">
              <w:rPr>
                <w:rFonts w:ascii="Times New Roman" w:eastAsia="Times New Roman" w:hAnsi="Times New Roman" w:cs="Times New Roman"/>
                <w:color w:val="000000" w:themeColor="text1"/>
                <w:lang w:eastAsia="en-GB"/>
              </w:rPr>
              <w:t>≤ 5.0×10²</w:t>
            </w:r>
          </w:p>
        </w:tc>
        <w:tc>
          <w:tcPr>
            <w:tcW w:w="3038" w:type="dxa"/>
            <w:hideMark/>
          </w:tcPr>
          <w:p w14:paraId="07B9E296" w14:textId="77777777" w:rsidR="00D21EB2" w:rsidRPr="004A1B1A" w:rsidRDefault="00D21EB2" w:rsidP="009C7524">
            <w:pPr>
              <w:rPr>
                <w:rFonts w:ascii="Times New Roman" w:eastAsiaTheme="minorHAnsi" w:hAnsi="Times New Roman" w:cs="Times New Roman"/>
                <w:color w:val="000000" w:themeColor="text1"/>
              </w:rPr>
            </w:pPr>
            <w:r w:rsidRPr="004A1B1A">
              <w:rPr>
                <w:rFonts w:ascii="Times New Roman" w:hAnsi="Times New Roman" w:cs="Times New Roman"/>
                <w:i/>
                <w:color w:val="000000" w:themeColor="text1"/>
              </w:rPr>
              <w:t>Staphylococcus aureus</w:t>
            </w:r>
          </w:p>
        </w:tc>
      </w:tr>
      <w:tr w:rsidR="00D21EB2" w:rsidRPr="004A1B1A" w14:paraId="30060E1A" w14:textId="77777777" w:rsidTr="00061E43">
        <w:trPr>
          <w:trHeight w:val="141"/>
          <w:jc w:val="center"/>
        </w:trPr>
        <w:tc>
          <w:tcPr>
            <w:tcW w:w="1413" w:type="dxa"/>
            <w:vMerge w:val="restart"/>
            <w:hideMark/>
          </w:tcPr>
          <w:p w14:paraId="1B4E3CF0" w14:textId="77777777" w:rsidR="004A1B1A" w:rsidRPr="004A1B1A" w:rsidRDefault="004A1B1A" w:rsidP="00061E43">
            <w:pPr>
              <w:pStyle w:val="NoSpacing"/>
              <w:spacing w:before="240"/>
              <w:jc w:val="both"/>
              <w:rPr>
                <w:rFonts w:ascii="Times New Roman" w:hAnsi="Times New Roman" w:cs="Times New Roman"/>
                <w:dstrike/>
                <w:color w:val="000000" w:themeColor="text1"/>
                <w:lang w:val="en-GB"/>
              </w:rPr>
            </w:pPr>
            <w:r w:rsidRPr="004A1B1A">
              <w:rPr>
                <w:rFonts w:ascii="Times New Roman" w:hAnsi="Times New Roman" w:cs="Times New Roman"/>
                <w:dstrike/>
                <w:color w:val="000000" w:themeColor="text1"/>
                <w:lang w:val="en-GB"/>
              </w:rPr>
              <w:t>Hospital 2</w:t>
            </w:r>
          </w:p>
          <w:p w14:paraId="23849649" w14:textId="7729CC20" w:rsidR="004A1B1A" w:rsidRPr="004A1B1A" w:rsidRDefault="004A1B1A" w:rsidP="00061E43">
            <w:pPr>
              <w:pStyle w:val="NoSpacing"/>
              <w:spacing w:before="240"/>
              <w:jc w:val="both"/>
              <w:rPr>
                <w:rFonts w:ascii="Times New Roman" w:hAnsi="Times New Roman" w:cs="Times New Roman"/>
                <w:color w:val="FF0000"/>
                <w:lang w:val="en-GB"/>
              </w:rPr>
            </w:pPr>
          </w:p>
          <w:p w14:paraId="30863E5B" w14:textId="77777777" w:rsidR="00D21EB2" w:rsidRPr="004A1B1A" w:rsidRDefault="00D21EB2" w:rsidP="00061E43">
            <w:pPr>
              <w:pStyle w:val="NoSpacing"/>
              <w:spacing w:before="240"/>
              <w:jc w:val="both"/>
              <w:rPr>
                <w:rFonts w:ascii="Times New Roman" w:hAnsi="Times New Roman" w:cs="Times New Roman"/>
                <w:color w:val="000000" w:themeColor="text1"/>
                <w:lang w:val="en-GB"/>
              </w:rPr>
            </w:pPr>
          </w:p>
        </w:tc>
        <w:tc>
          <w:tcPr>
            <w:tcW w:w="2436" w:type="dxa"/>
            <w:hideMark/>
          </w:tcPr>
          <w:p w14:paraId="2913045C" w14:textId="47732096" w:rsidR="00D21EB2" w:rsidRPr="004A1B1A" w:rsidRDefault="00D21EB2" w:rsidP="00061E43">
            <w:pPr>
              <w:spacing w:before="240"/>
              <w:rPr>
                <w:rFonts w:ascii="Times New Roman" w:hAnsi="Times New Roman" w:cs="Times New Roman"/>
                <w:color w:val="000000" w:themeColor="text1"/>
                <w:lang w:val="en-GB"/>
              </w:rPr>
            </w:pPr>
            <w:r w:rsidRPr="004A1B1A">
              <w:rPr>
                <w:rFonts w:ascii="Times New Roman" w:hAnsi="Times New Roman" w:cs="Times New Roman"/>
                <w:color w:val="000000" w:themeColor="text1"/>
              </w:rPr>
              <w:t xml:space="preserve">Ultrasound </w:t>
            </w:r>
          </w:p>
        </w:tc>
        <w:tc>
          <w:tcPr>
            <w:tcW w:w="1800" w:type="dxa"/>
            <w:hideMark/>
          </w:tcPr>
          <w:p w14:paraId="599B10B4" w14:textId="77777777" w:rsidR="00D21EB2" w:rsidRPr="004A1B1A" w:rsidRDefault="00D21EB2" w:rsidP="00061E43">
            <w:pPr>
              <w:spacing w:before="240"/>
              <w:rPr>
                <w:rFonts w:ascii="Times New Roman" w:hAnsi="Times New Roman" w:cs="Times New Roman"/>
                <w:color w:val="000000" w:themeColor="text1"/>
              </w:rPr>
            </w:pPr>
            <w:r w:rsidRPr="004A1B1A">
              <w:rPr>
                <w:rFonts w:ascii="Times New Roman" w:eastAsia="Times New Roman" w:hAnsi="Times New Roman" w:cs="Times New Roman"/>
                <w:bCs/>
                <w:color w:val="000000" w:themeColor="text1"/>
                <w:lang w:eastAsia="en-GB"/>
              </w:rPr>
              <w:t>1.67 ± 0.06 × 10³</w:t>
            </w:r>
          </w:p>
        </w:tc>
        <w:tc>
          <w:tcPr>
            <w:tcW w:w="1710" w:type="dxa"/>
            <w:hideMark/>
          </w:tcPr>
          <w:p w14:paraId="2CDCB254" w14:textId="77777777" w:rsidR="00D21EB2" w:rsidRPr="004A1B1A" w:rsidRDefault="00D21EB2" w:rsidP="00061E43">
            <w:pPr>
              <w:spacing w:before="240"/>
              <w:jc w:val="center"/>
              <w:rPr>
                <w:rFonts w:ascii="Times New Roman" w:eastAsia="Times New Roman" w:hAnsi="Times New Roman" w:cs="Times New Roman"/>
                <w:color w:val="000000" w:themeColor="text1"/>
                <w:lang w:eastAsia="en-GB"/>
              </w:rPr>
            </w:pPr>
            <w:r w:rsidRPr="004A1B1A">
              <w:rPr>
                <w:rFonts w:ascii="Times New Roman" w:eastAsia="Times New Roman" w:hAnsi="Times New Roman" w:cs="Times New Roman"/>
                <w:color w:val="000000" w:themeColor="text1"/>
                <w:lang w:eastAsia="en-GB"/>
              </w:rPr>
              <w:t>≤ 5.0×10²</w:t>
            </w:r>
          </w:p>
        </w:tc>
        <w:tc>
          <w:tcPr>
            <w:tcW w:w="3038" w:type="dxa"/>
            <w:hideMark/>
          </w:tcPr>
          <w:p w14:paraId="29B21616" w14:textId="77777777" w:rsidR="00D21EB2" w:rsidRPr="004A1B1A" w:rsidRDefault="00D21EB2" w:rsidP="00061E43">
            <w:pPr>
              <w:spacing w:before="240"/>
              <w:rPr>
                <w:rFonts w:ascii="Times New Roman" w:eastAsiaTheme="minorHAnsi" w:hAnsi="Times New Roman" w:cs="Times New Roman"/>
                <w:i/>
                <w:color w:val="000000" w:themeColor="text1"/>
              </w:rPr>
            </w:pPr>
            <w:r w:rsidRPr="004A1B1A">
              <w:rPr>
                <w:rFonts w:ascii="Times New Roman" w:hAnsi="Times New Roman" w:cs="Times New Roman"/>
                <w:i/>
                <w:color w:val="000000" w:themeColor="text1"/>
              </w:rPr>
              <w:t xml:space="preserve">Proteus mirabilis; Bacillus </w:t>
            </w:r>
            <w:proofErr w:type="spellStart"/>
            <w:r w:rsidRPr="00393D97">
              <w:rPr>
                <w:rFonts w:ascii="Times New Roman" w:hAnsi="Times New Roman" w:cs="Times New Roman"/>
                <w:iCs/>
                <w:color w:val="000000" w:themeColor="text1"/>
              </w:rPr>
              <w:t>spp</w:t>
            </w:r>
            <w:proofErr w:type="spellEnd"/>
          </w:p>
        </w:tc>
      </w:tr>
      <w:tr w:rsidR="00D21EB2" w:rsidRPr="004A1B1A" w14:paraId="48FD3B75" w14:textId="77777777" w:rsidTr="00061E43">
        <w:trPr>
          <w:jc w:val="center"/>
        </w:trPr>
        <w:tc>
          <w:tcPr>
            <w:tcW w:w="1413" w:type="dxa"/>
            <w:vMerge/>
            <w:vAlign w:val="center"/>
            <w:hideMark/>
          </w:tcPr>
          <w:p w14:paraId="7357D98D" w14:textId="77777777" w:rsidR="00D21EB2" w:rsidRPr="004A1B1A" w:rsidRDefault="00D21EB2" w:rsidP="00061E43">
            <w:pPr>
              <w:jc w:val="both"/>
              <w:rPr>
                <w:rFonts w:ascii="Times New Roman" w:hAnsi="Times New Roman" w:cs="Times New Roman"/>
                <w:color w:val="000000" w:themeColor="text1"/>
                <w:lang w:val="en-GB"/>
              </w:rPr>
            </w:pPr>
          </w:p>
        </w:tc>
        <w:tc>
          <w:tcPr>
            <w:tcW w:w="2436" w:type="dxa"/>
            <w:hideMark/>
          </w:tcPr>
          <w:p w14:paraId="0C41FBD3" w14:textId="79CDEBDF" w:rsidR="00D21EB2" w:rsidRPr="004A1B1A" w:rsidRDefault="00D21EB2" w:rsidP="00061E43">
            <w:pPr>
              <w:rPr>
                <w:rFonts w:ascii="Times New Roman" w:hAnsi="Times New Roman" w:cs="Times New Roman"/>
                <w:color w:val="000000" w:themeColor="text1"/>
              </w:rPr>
            </w:pPr>
            <w:r w:rsidRPr="004A1B1A">
              <w:rPr>
                <w:rFonts w:ascii="Times New Roman" w:hAnsi="Times New Roman" w:cs="Times New Roman"/>
                <w:color w:val="000000" w:themeColor="text1"/>
              </w:rPr>
              <w:t xml:space="preserve">Card / Records </w:t>
            </w:r>
          </w:p>
        </w:tc>
        <w:tc>
          <w:tcPr>
            <w:tcW w:w="1800" w:type="dxa"/>
            <w:hideMark/>
          </w:tcPr>
          <w:p w14:paraId="5A667C08" w14:textId="77777777" w:rsidR="00D21EB2" w:rsidRPr="004A1B1A" w:rsidRDefault="00D21EB2" w:rsidP="00061E43">
            <w:pPr>
              <w:rPr>
                <w:rFonts w:ascii="Times New Roman" w:hAnsi="Times New Roman" w:cs="Times New Roman"/>
                <w:color w:val="000000" w:themeColor="text1"/>
                <w:vertAlign w:val="superscript"/>
              </w:rPr>
            </w:pPr>
            <w:r w:rsidRPr="004A1B1A">
              <w:rPr>
                <w:rFonts w:ascii="Times New Roman" w:hAnsi="Times New Roman" w:cs="Times New Roman"/>
                <w:color w:val="000000" w:themeColor="text1"/>
              </w:rPr>
              <w:t>0.38</w:t>
            </w:r>
            <w:r w:rsidRPr="004A1B1A">
              <w:rPr>
                <w:rFonts w:ascii="Times New Roman" w:eastAsia="Times New Roman" w:hAnsi="Times New Roman" w:cs="Times New Roman"/>
                <w:bCs/>
                <w:color w:val="000000" w:themeColor="text1"/>
                <w:lang w:eastAsia="en-GB"/>
              </w:rPr>
              <w:t>±0.02× 10</w:t>
            </w:r>
            <w:r w:rsidRPr="004A1B1A">
              <w:rPr>
                <w:rFonts w:ascii="Times New Roman" w:eastAsia="Times New Roman" w:hAnsi="Times New Roman" w:cs="Times New Roman"/>
                <w:bCs/>
                <w:color w:val="000000" w:themeColor="text1"/>
                <w:vertAlign w:val="superscript"/>
                <w:lang w:eastAsia="en-GB"/>
              </w:rPr>
              <w:t>2</w:t>
            </w:r>
          </w:p>
        </w:tc>
        <w:tc>
          <w:tcPr>
            <w:tcW w:w="1710" w:type="dxa"/>
            <w:hideMark/>
          </w:tcPr>
          <w:p w14:paraId="28B12975" w14:textId="77777777" w:rsidR="00D21EB2" w:rsidRPr="004A1B1A" w:rsidRDefault="00D21EB2" w:rsidP="00061E43">
            <w:pPr>
              <w:jc w:val="center"/>
              <w:rPr>
                <w:rFonts w:ascii="Times New Roman" w:eastAsia="Times New Roman" w:hAnsi="Times New Roman" w:cs="Times New Roman"/>
                <w:color w:val="000000" w:themeColor="text1"/>
                <w:lang w:eastAsia="en-GB"/>
              </w:rPr>
            </w:pPr>
            <w:r w:rsidRPr="004A1B1A">
              <w:rPr>
                <w:rFonts w:ascii="Times New Roman" w:eastAsia="Times New Roman" w:hAnsi="Times New Roman" w:cs="Times New Roman"/>
                <w:color w:val="000000" w:themeColor="text1"/>
                <w:lang w:eastAsia="en-GB"/>
              </w:rPr>
              <w:t>≤ 5.0×10²</w:t>
            </w:r>
          </w:p>
        </w:tc>
        <w:tc>
          <w:tcPr>
            <w:tcW w:w="3038" w:type="dxa"/>
            <w:hideMark/>
          </w:tcPr>
          <w:p w14:paraId="2F902C38" w14:textId="77777777" w:rsidR="00D21EB2" w:rsidRPr="004A1B1A" w:rsidRDefault="00D21EB2" w:rsidP="00061E43">
            <w:pPr>
              <w:rPr>
                <w:rFonts w:ascii="Times New Roman" w:eastAsiaTheme="minorHAnsi" w:hAnsi="Times New Roman" w:cs="Times New Roman"/>
                <w:color w:val="000000" w:themeColor="text1"/>
              </w:rPr>
            </w:pPr>
            <w:r w:rsidRPr="004A1B1A">
              <w:rPr>
                <w:rFonts w:ascii="Times New Roman" w:hAnsi="Times New Roman" w:cs="Times New Roman"/>
                <w:i/>
                <w:color w:val="000000" w:themeColor="text1"/>
              </w:rPr>
              <w:t xml:space="preserve">Bacillus </w:t>
            </w:r>
            <w:proofErr w:type="spellStart"/>
            <w:r w:rsidRPr="00393D97">
              <w:rPr>
                <w:rFonts w:ascii="Times New Roman" w:hAnsi="Times New Roman" w:cs="Times New Roman"/>
                <w:iCs/>
                <w:color w:val="000000" w:themeColor="text1"/>
              </w:rPr>
              <w:t>spp</w:t>
            </w:r>
            <w:proofErr w:type="spellEnd"/>
          </w:p>
        </w:tc>
      </w:tr>
      <w:tr w:rsidR="00D21EB2" w:rsidRPr="004A1B1A" w14:paraId="669FA976" w14:textId="77777777" w:rsidTr="00061E43">
        <w:trPr>
          <w:trHeight w:val="70"/>
          <w:jc w:val="center"/>
        </w:trPr>
        <w:tc>
          <w:tcPr>
            <w:tcW w:w="1413" w:type="dxa"/>
            <w:vMerge/>
            <w:vAlign w:val="center"/>
            <w:hideMark/>
          </w:tcPr>
          <w:p w14:paraId="35DECC8C" w14:textId="77777777" w:rsidR="00D21EB2" w:rsidRPr="004A1B1A" w:rsidRDefault="00D21EB2" w:rsidP="00061E43">
            <w:pPr>
              <w:jc w:val="both"/>
              <w:rPr>
                <w:rFonts w:ascii="Times New Roman" w:hAnsi="Times New Roman" w:cs="Times New Roman"/>
                <w:color w:val="000000" w:themeColor="text1"/>
                <w:lang w:val="en-GB"/>
              </w:rPr>
            </w:pPr>
          </w:p>
        </w:tc>
        <w:tc>
          <w:tcPr>
            <w:tcW w:w="2436" w:type="dxa"/>
            <w:hideMark/>
          </w:tcPr>
          <w:p w14:paraId="6B20A9FC" w14:textId="77777777" w:rsidR="00D21EB2" w:rsidRDefault="00D21EB2" w:rsidP="00061E43">
            <w:pPr>
              <w:rPr>
                <w:rFonts w:ascii="Times New Roman" w:hAnsi="Times New Roman" w:cs="Times New Roman"/>
                <w:color w:val="000000" w:themeColor="text1"/>
              </w:rPr>
            </w:pPr>
            <w:r w:rsidRPr="004A1B1A">
              <w:rPr>
                <w:rFonts w:ascii="Times New Roman" w:hAnsi="Times New Roman" w:cs="Times New Roman"/>
                <w:color w:val="000000" w:themeColor="text1"/>
              </w:rPr>
              <w:t xml:space="preserve">Physiotherapy Centre </w:t>
            </w:r>
          </w:p>
          <w:p w14:paraId="3F59F6EB" w14:textId="5A897E41" w:rsidR="007B1326" w:rsidRPr="004A1B1A" w:rsidRDefault="007B1326" w:rsidP="00061E43">
            <w:pPr>
              <w:rPr>
                <w:rFonts w:ascii="Times New Roman" w:hAnsi="Times New Roman" w:cs="Times New Roman"/>
                <w:color w:val="000000" w:themeColor="text1"/>
              </w:rPr>
            </w:pPr>
          </w:p>
        </w:tc>
        <w:tc>
          <w:tcPr>
            <w:tcW w:w="1800" w:type="dxa"/>
            <w:hideMark/>
          </w:tcPr>
          <w:p w14:paraId="796269F6" w14:textId="77777777" w:rsidR="00D21EB2" w:rsidRPr="004A1B1A" w:rsidRDefault="00D21EB2" w:rsidP="00061E43">
            <w:pPr>
              <w:rPr>
                <w:rFonts w:ascii="Times New Roman" w:hAnsi="Times New Roman" w:cs="Times New Roman"/>
                <w:color w:val="000000" w:themeColor="text1"/>
                <w:vertAlign w:val="superscript"/>
              </w:rPr>
            </w:pPr>
            <w:r w:rsidRPr="004A1B1A">
              <w:rPr>
                <w:rFonts w:ascii="Times New Roman" w:hAnsi="Times New Roman" w:cs="Times New Roman"/>
                <w:color w:val="000000" w:themeColor="text1"/>
              </w:rPr>
              <w:t>0.32</w:t>
            </w:r>
            <w:r w:rsidRPr="004A1B1A">
              <w:rPr>
                <w:rFonts w:ascii="Times New Roman" w:eastAsia="Times New Roman" w:hAnsi="Times New Roman" w:cs="Times New Roman"/>
                <w:bCs/>
                <w:color w:val="000000" w:themeColor="text1"/>
                <w:lang w:eastAsia="en-GB"/>
              </w:rPr>
              <w:t>±0.01× 10</w:t>
            </w:r>
            <w:r w:rsidRPr="004A1B1A">
              <w:rPr>
                <w:rFonts w:ascii="Times New Roman" w:eastAsia="Times New Roman" w:hAnsi="Times New Roman" w:cs="Times New Roman"/>
                <w:bCs/>
                <w:color w:val="000000" w:themeColor="text1"/>
                <w:vertAlign w:val="superscript"/>
                <w:lang w:eastAsia="en-GB"/>
              </w:rPr>
              <w:t>2</w:t>
            </w:r>
          </w:p>
        </w:tc>
        <w:tc>
          <w:tcPr>
            <w:tcW w:w="1710" w:type="dxa"/>
            <w:hideMark/>
          </w:tcPr>
          <w:p w14:paraId="4F880557" w14:textId="77777777" w:rsidR="00D21EB2" w:rsidRPr="004A1B1A" w:rsidRDefault="00D21EB2" w:rsidP="00061E43">
            <w:pPr>
              <w:jc w:val="center"/>
              <w:rPr>
                <w:rFonts w:ascii="Times New Roman" w:eastAsia="Times New Roman" w:hAnsi="Times New Roman" w:cs="Times New Roman"/>
                <w:color w:val="000000" w:themeColor="text1"/>
                <w:lang w:eastAsia="en-GB"/>
              </w:rPr>
            </w:pPr>
            <w:r w:rsidRPr="004A1B1A">
              <w:rPr>
                <w:rFonts w:ascii="Times New Roman" w:eastAsia="Times New Roman" w:hAnsi="Times New Roman" w:cs="Times New Roman"/>
                <w:color w:val="000000" w:themeColor="text1"/>
                <w:lang w:eastAsia="en-GB"/>
              </w:rPr>
              <w:t>≤ 5.0×10²</w:t>
            </w:r>
          </w:p>
        </w:tc>
        <w:tc>
          <w:tcPr>
            <w:tcW w:w="3038" w:type="dxa"/>
            <w:hideMark/>
          </w:tcPr>
          <w:p w14:paraId="3041C7ED" w14:textId="77777777" w:rsidR="00D21EB2" w:rsidRPr="004A1B1A" w:rsidRDefault="00D21EB2" w:rsidP="00061E43">
            <w:pPr>
              <w:rPr>
                <w:rFonts w:ascii="Times New Roman" w:eastAsiaTheme="minorHAnsi" w:hAnsi="Times New Roman" w:cs="Times New Roman"/>
                <w:color w:val="000000" w:themeColor="text1"/>
              </w:rPr>
            </w:pPr>
            <w:r w:rsidRPr="004A1B1A">
              <w:rPr>
                <w:rFonts w:ascii="Times New Roman" w:hAnsi="Times New Roman" w:cs="Times New Roman"/>
                <w:i/>
                <w:color w:val="000000" w:themeColor="text1"/>
              </w:rPr>
              <w:t xml:space="preserve">Micrococcus </w:t>
            </w:r>
            <w:proofErr w:type="spellStart"/>
            <w:r w:rsidRPr="00393D97">
              <w:rPr>
                <w:rFonts w:ascii="Times New Roman" w:hAnsi="Times New Roman" w:cs="Times New Roman"/>
                <w:iCs/>
                <w:color w:val="000000" w:themeColor="text1"/>
              </w:rPr>
              <w:t>spp</w:t>
            </w:r>
            <w:proofErr w:type="spellEnd"/>
          </w:p>
        </w:tc>
      </w:tr>
      <w:tr w:rsidR="00D21EB2" w:rsidRPr="004A1B1A" w14:paraId="24F8CBF3" w14:textId="77777777" w:rsidTr="00061E43">
        <w:trPr>
          <w:jc w:val="center"/>
        </w:trPr>
        <w:tc>
          <w:tcPr>
            <w:tcW w:w="1413" w:type="dxa"/>
            <w:vMerge w:val="restart"/>
            <w:hideMark/>
          </w:tcPr>
          <w:p w14:paraId="07E6468D" w14:textId="3DB0EC98" w:rsidR="004A1B1A" w:rsidRPr="007B1326" w:rsidRDefault="004A1B1A" w:rsidP="004A1B1A">
            <w:pPr>
              <w:pStyle w:val="NoSpacing"/>
              <w:jc w:val="both"/>
              <w:rPr>
                <w:rFonts w:ascii="Times New Roman" w:hAnsi="Times New Roman" w:cs="Times New Roman"/>
                <w:dstrike/>
                <w:color w:val="000000" w:themeColor="text1"/>
                <w:lang w:val="en-GB"/>
              </w:rPr>
            </w:pPr>
            <w:r w:rsidRPr="004A1B1A">
              <w:rPr>
                <w:rFonts w:ascii="Times New Roman" w:hAnsi="Times New Roman" w:cs="Times New Roman"/>
                <w:dstrike/>
                <w:color w:val="000000" w:themeColor="text1"/>
                <w:lang w:val="en-GB"/>
              </w:rPr>
              <w:t>Hospital 3</w:t>
            </w:r>
          </w:p>
          <w:p w14:paraId="282D39B5" w14:textId="77777777" w:rsidR="00D21EB2" w:rsidRPr="004A1B1A" w:rsidRDefault="00D21EB2" w:rsidP="004A1B1A">
            <w:pPr>
              <w:pStyle w:val="NoSpacing"/>
              <w:jc w:val="both"/>
              <w:rPr>
                <w:rFonts w:ascii="Times New Roman" w:hAnsi="Times New Roman" w:cs="Times New Roman"/>
                <w:color w:val="000000" w:themeColor="text1"/>
                <w:lang w:val="en-GB"/>
              </w:rPr>
            </w:pPr>
          </w:p>
        </w:tc>
        <w:tc>
          <w:tcPr>
            <w:tcW w:w="2436" w:type="dxa"/>
            <w:hideMark/>
          </w:tcPr>
          <w:p w14:paraId="6A0BAE37" w14:textId="4CEB6C9B" w:rsidR="00D21EB2" w:rsidRPr="004A1B1A" w:rsidRDefault="00393D97" w:rsidP="009C7524">
            <w:pPr>
              <w:rPr>
                <w:rFonts w:ascii="Times New Roman" w:hAnsi="Times New Roman" w:cs="Times New Roman"/>
                <w:color w:val="000000" w:themeColor="text1"/>
                <w:lang w:val="en-GB"/>
              </w:rPr>
            </w:pPr>
            <w:r w:rsidRPr="004A1B1A">
              <w:rPr>
                <w:rFonts w:ascii="Times New Roman" w:hAnsi="Times New Roman" w:cs="Times New Roman"/>
                <w:color w:val="000000" w:themeColor="text1"/>
              </w:rPr>
              <w:t>Emergency Ward</w:t>
            </w:r>
            <w:r w:rsidR="00D21EB2" w:rsidRPr="004A1B1A">
              <w:rPr>
                <w:rFonts w:ascii="Times New Roman" w:hAnsi="Times New Roman" w:cs="Times New Roman"/>
                <w:color w:val="000000" w:themeColor="text1"/>
              </w:rPr>
              <w:t xml:space="preserve"> (L3a)</w:t>
            </w:r>
          </w:p>
        </w:tc>
        <w:tc>
          <w:tcPr>
            <w:tcW w:w="1800" w:type="dxa"/>
            <w:hideMark/>
          </w:tcPr>
          <w:p w14:paraId="5D276F89" w14:textId="77777777" w:rsidR="00D21EB2" w:rsidRPr="004A1B1A" w:rsidRDefault="00D21EB2" w:rsidP="009C7524">
            <w:pPr>
              <w:rPr>
                <w:rFonts w:ascii="Times New Roman" w:hAnsi="Times New Roman" w:cs="Times New Roman"/>
                <w:color w:val="000000" w:themeColor="text1"/>
              </w:rPr>
            </w:pPr>
            <w:r w:rsidRPr="004A1B1A">
              <w:rPr>
                <w:rFonts w:ascii="Times New Roman" w:eastAsia="Times New Roman" w:hAnsi="Times New Roman" w:cs="Times New Roman"/>
                <w:bCs/>
                <w:color w:val="000000" w:themeColor="text1"/>
                <w:lang w:eastAsia="en-GB"/>
              </w:rPr>
              <w:t>2.33 ± 0.05 × 10³</w:t>
            </w:r>
          </w:p>
        </w:tc>
        <w:tc>
          <w:tcPr>
            <w:tcW w:w="1710" w:type="dxa"/>
            <w:hideMark/>
          </w:tcPr>
          <w:p w14:paraId="4CEEC8C4" w14:textId="77777777" w:rsidR="00D21EB2" w:rsidRPr="004A1B1A" w:rsidRDefault="00D21EB2" w:rsidP="009C7524">
            <w:pPr>
              <w:jc w:val="center"/>
              <w:rPr>
                <w:rFonts w:ascii="Times New Roman" w:eastAsia="Times New Roman" w:hAnsi="Times New Roman" w:cs="Times New Roman"/>
                <w:color w:val="000000" w:themeColor="text1"/>
                <w:lang w:eastAsia="en-GB"/>
              </w:rPr>
            </w:pPr>
            <w:r w:rsidRPr="004A1B1A">
              <w:rPr>
                <w:rFonts w:ascii="Times New Roman" w:eastAsia="Times New Roman" w:hAnsi="Times New Roman" w:cs="Times New Roman"/>
                <w:color w:val="000000" w:themeColor="text1"/>
                <w:lang w:eastAsia="en-GB"/>
              </w:rPr>
              <w:t>≤ 5.0×10²</w:t>
            </w:r>
          </w:p>
        </w:tc>
        <w:tc>
          <w:tcPr>
            <w:tcW w:w="3038" w:type="dxa"/>
            <w:hideMark/>
          </w:tcPr>
          <w:p w14:paraId="7F98D38D" w14:textId="77777777" w:rsidR="00D21EB2" w:rsidRPr="004A1B1A" w:rsidRDefault="009C7524" w:rsidP="009C7524">
            <w:pPr>
              <w:rPr>
                <w:rFonts w:ascii="Times New Roman" w:eastAsiaTheme="minorHAnsi" w:hAnsi="Times New Roman" w:cs="Times New Roman"/>
                <w:i/>
                <w:color w:val="000000" w:themeColor="text1"/>
              </w:rPr>
            </w:pPr>
            <w:r>
              <w:rPr>
                <w:rFonts w:ascii="Times New Roman" w:hAnsi="Times New Roman" w:cs="Times New Roman"/>
                <w:i/>
                <w:color w:val="000000" w:themeColor="text1"/>
              </w:rPr>
              <w:t>Staph.</w:t>
            </w:r>
            <w:r w:rsidR="00D21EB2" w:rsidRPr="004A1B1A">
              <w:rPr>
                <w:rFonts w:ascii="Times New Roman" w:hAnsi="Times New Roman" w:cs="Times New Roman"/>
                <w:i/>
                <w:color w:val="000000" w:themeColor="text1"/>
              </w:rPr>
              <w:t xml:space="preserve"> aureus; Bacillus </w:t>
            </w:r>
            <w:r w:rsidR="00D21EB2" w:rsidRPr="00393D97">
              <w:rPr>
                <w:rFonts w:ascii="Times New Roman" w:hAnsi="Times New Roman" w:cs="Times New Roman"/>
                <w:iCs/>
                <w:color w:val="000000" w:themeColor="text1"/>
              </w:rPr>
              <w:t>spp</w:t>
            </w:r>
            <w:r w:rsidR="00D21EB2" w:rsidRPr="004A1B1A">
              <w:rPr>
                <w:rFonts w:ascii="Times New Roman" w:hAnsi="Times New Roman" w:cs="Times New Roman"/>
                <w:i/>
                <w:color w:val="000000" w:themeColor="text1"/>
              </w:rPr>
              <w:t>.</w:t>
            </w:r>
          </w:p>
        </w:tc>
      </w:tr>
      <w:tr w:rsidR="00D21EB2" w:rsidRPr="004A1B1A" w14:paraId="06130243" w14:textId="77777777" w:rsidTr="00061E43">
        <w:trPr>
          <w:trHeight w:val="369"/>
          <w:jc w:val="center"/>
        </w:trPr>
        <w:tc>
          <w:tcPr>
            <w:tcW w:w="1413" w:type="dxa"/>
            <w:vMerge/>
            <w:vAlign w:val="center"/>
            <w:hideMark/>
          </w:tcPr>
          <w:p w14:paraId="77B4E957" w14:textId="77777777" w:rsidR="00D21EB2" w:rsidRPr="004A1B1A" w:rsidRDefault="00D21EB2" w:rsidP="004A1B1A">
            <w:pPr>
              <w:jc w:val="both"/>
              <w:rPr>
                <w:rFonts w:ascii="Times New Roman" w:hAnsi="Times New Roman" w:cs="Times New Roman"/>
                <w:color w:val="000000" w:themeColor="text1"/>
                <w:lang w:val="en-GB"/>
              </w:rPr>
            </w:pPr>
          </w:p>
        </w:tc>
        <w:tc>
          <w:tcPr>
            <w:tcW w:w="2436" w:type="dxa"/>
            <w:hideMark/>
          </w:tcPr>
          <w:p w14:paraId="7268940E" w14:textId="77777777" w:rsidR="00D21EB2" w:rsidRPr="004A1B1A" w:rsidRDefault="00D21EB2" w:rsidP="009C7524">
            <w:pPr>
              <w:rPr>
                <w:rFonts w:ascii="Times New Roman" w:hAnsi="Times New Roman" w:cs="Times New Roman"/>
                <w:color w:val="000000" w:themeColor="text1"/>
              </w:rPr>
            </w:pPr>
            <w:r w:rsidRPr="004A1B1A">
              <w:rPr>
                <w:rFonts w:ascii="Times New Roman" w:hAnsi="Times New Roman" w:cs="Times New Roman"/>
                <w:color w:val="000000" w:themeColor="text1"/>
              </w:rPr>
              <w:t>Card / Records (L3b)</w:t>
            </w:r>
          </w:p>
        </w:tc>
        <w:tc>
          <w:tcPr>
            <w:tcW w:w="1800" w:type="dxa"/>
            <w:hideMark/>
          </w:tcPr>
          <w:p w14:paraId="3104DB31" w14:textId="77777777" w:rsidR="00D21EB2" w:rsidRPr="004A1B1A" w:rsidRDefault="00D21EB2" w:rsidP="009C7524">
            <w:pPr>
              <w:rPr>
                <w:rFonts w:ascii="Times New Roman" w:hAnsi="Times New Roman" w:cs="Times New Roman"/>
                <w:color w:val="000000" w:themeColor="text1"/>
              </w:rPr>
            </w:pPr>
            <w:r w:rsidRPr="004A1B1A">
              <w:rPr>
                <w:rFonts w:ascii="Times New Roman" w:eastAsia="Times New Roman" w:hAnsi="Times New Roman" w:cs="Times New Roman"/>
                <w:bCs/>
                <w:color w:val="000000" w:themeColor="text1"/>
                <w:lang w:eastAsia="en-GB"/>
              </w:rPr>
              <w:t>5.29 ± 0.09 × 10³</w:t>
            </w:r>
          </w:p>
        </w:tc>
        <w:tc>
          <w:tcPr>
            <w:tcW w:w="1710" w:type="dxa"/>
            <w:hideMark/>
          </w:tcPr>
          <w:p w14:paraId="2259B541" w14:textId="77777777" w:rsidR="00D21EB2" w:rsidRPr="004A1B1A" w:rsidRDefault="00D21EB2" w:rsidP="009C7524">
            <w:pPr>
              <w:jc w:val="center"/>
              <w:rPr>
                <w:rFonts w:ascii="Times New Roman" w:eastAsia="Times New Roman" w:hAnsi="Times New Roman" w:cs="Times New Roman"/>
                <w:color w:val="000000" w:themeColor="text1"/>
                <w:lang w:eastAsia="en-GB"/>
              </w:rPr>
            </w:pPr>
            <w:r w:rsidRPr="004A1B1A">
              <w:rPr>
                <w:rFonts w:ascii="Times New Roman" w:eastAsia="Times New Roman" w:hAnsi="Times New Roman" w:cs="Times New Roman"/>
                <w:color w:val="000000" w:themeColor="text1"/>
                <w:lang w:eastAsia="en-GB"/>
              </w:rPr>
              <w:t>≤ 5.0×10²</w:t>
            </w:r>
          </w:p>
        </w:tc>
        <w:tc>
          <w:tcPr>
            <w:tcW w:w="3038" w:type="dxa"/>
            <w:hideMark/>
          </w:tcPr>
          <w:p w14:paraId="668B38E8" w14:textId="77777777" w:rsidR="00D21EB2" w:rsidRPr="004A1B1A" w:rsidRDefault="00D21EB2" w:rsidP="009C7524">
            <w:pPr>
              <w:rPr>
                <w:rFonts w:ascii="Times New Roman" w:eastAsiaTheme="minorHAnsi" w:hAnsi="Times New Roman" w:cs="Times New Roman"/>
                <w:i/>
                <w:color w:val="000000" w:themeColor="text1"/>
              </w:rPr>
            </w:pPr>
            <w:r w:rsidRPr="004A1B1A">
              <w:rPr>
                <w:rFonts w:ascii="Times New Roman" w:hAnsi="Times New Roman" w:cs="Times New Roman"/>
                <w:i/>
                <w:color w:val="000000" w:themeColor="text1"/>
              </w:rPr>
              <w:t xml:space="preserve">Enterobacter </w:t>
            </w:r>
            <w:proofErr w:type="spellStart"/>
            <w:r w:rsidRPr="00393D97">
              <w:rPr>
                <w:rFonts w:ascii="Times New Roman" w:hAnsi="Times New Roman" w:cs="Times New Roman"/>
                <w:iCs/>
                <w:color w:val="000000" w:themeColor="text1"/>
              </w:rPr>
              <w:t>spp</w:t>
            </w:r>
            <w:proofErr w:type="spellEnd"/>
            <w:r w:rsidRPr="004A1B1A">
              <w:rPr>
                <w:rFonts w:ascii="Times New Roman" w:hAnsi="Times New Roman" w:cs="Times New Roman"/>
                <w:i/>
                <w:color w:val="000000" w:themeColor="text1"/>
              </w:rPr>
              <w:t xml:space="preserve">; Bacillus </w:t>
            </w:r>
            <w:proofErr w:type="spellStart"/>
            <w:r w:rsidRPr="00393D97">
              <w:rPr>
                <w:rFonts w:ascii="Times New Roman" w:hAnsi="Times New Roman" w:cs="Times New Roman"/>
                <w:iCs/>
                <w:color w:val="000000" w:themeColor="text1"/>
              </w:rPr>
              <w:t>spp</w:t>
            </w:r>
            <w:proofErr w:type="spellEnd"/>
            <w:r w:rsidRPr="00393D97">
              <w:rPr>
                <w:rFonts w:ascii="Times New Roman" w:hAnsi="Times New Roman" w:cs="Times New Roman"/>
                <w:iCs/>
                <w:color w:val="000000" w:themeColor="text1"/>
              </w:rPr>
              <w:t>;</w:t>
            </w:r>
            <w:r w:rsidRPr="004A1B1A">
              <w:rPr>
                <w:rFonts w:ascii="Times New Roman" w:hAnsi="Times New Roman" w:cs="Times New Roman"/>
                <w:i/>
                <w:color w:val="000000" w:themeColor="text1"/>
              </w:rPr>
              <w:t xml:space="preserve"> Staphylococcus aureus; Micrococcus </w:t>
            </w:r>
            <w:r w:rsidRPr="00393D97">
              <w:rPr>
                <w:rFonts w:ascii="Times New Roman" w:hAnsi="Times New Roman" w:cs="Times New Roman"/>
                <w:iCs/>
                <w:color w:val="000000" w:themeColor="text1"/>
              </w:rPr>
              <w:t>spp</w:t>
            </w:r>
            <w:r w:rsidRPr="004A1B1A">
              <w:rPr>
                <w:rFonts w:ascii="Times New Roman" w:hAnsi="Times New Roman" w:cs="Times New Roman"/>
                <w:i/>
                <w:color w:val="000000" w:themeColor="text1"/>
              </w:rPr>
              <w:t>.</w:t>
            </w:r>
          </w:p>
        </w:tc>
      </w:tr>
      <w:tr w:rsidR="00D21EB2" w:rsidRPr="004A1B1A" w14:paraId="20E2DA4C" w14:textId="77777777" w:rsidTr="00061E43">
        <w:trPr>
          <w:jc w:val="center"/>
        </w:trPr>
        <w:tc>
          <w:tcPr>
            <w:tcW w:w="1413" w:type="dxa"/>
            <w:vMerge/>
            <w:vAlign w:val="center"/>
            <w:hideMark/>
          </w:tcPr>
          <w:p w14:paraId="224A7FFC" w14:textId="77777777" w:rsidR="00D21EB2" w:rsidRPr="004A1B1A" w:rsidRDefault="00D21EB2" w:rsidP="004A1B1A">
            <w:pPr>
              <w:jc w:val="both"/>
              <w:rPr>
                <w:rFonts w:ascii="Times New Roman" w:hAnsi="Times New Roman" w:cs="Times New Roman"/>
                <w:color w:val="000000" w:themeColor="text1"/>
                <w:lang w:val="en-GB"/>
              </w:rPr>
            </w:pPr>
          </w:p>
        </w:tc>
        <w:tc>
          <w:tcPr>
            <w:tcW w:w="2436" w:type="dxa"/>
            <w:hideMark/>
          </w:tcPr>
          <w:p w14:paraId="1F1CB081" w14:textId="77777777" w:rsidR="00D21EB2" w:rsidRPr="004A1B1A" w:rsidRDefault="00D21EB2" w:rsidP="009C7524">
            <w:pPr>
              <w:rPr>
                <w:rFonts w:ascii="Times New Roman" w:hAnsi="Times New Roman" w:cs="Times New Roman"/>
                <w:color w:val="000000" w:themeColor="text1"/>
              </w:rPr>
            </w:pPr>
            <w:r w:rsidRPr="004A1B1A">
              <w:rPr>
                <w:rFonts w:ascii="Times New Roman" w:hAnsi="Times New Roman" w:cs="Times New Roman"/>
                <w:color w:val="000000" w:themeColor="text1"/>
              </w:rPr>
              <w:t>Female Ward (L3c)</w:t>
            </w:r>
          </w:p>
        </w:tc>
        <w:tc>
          <w:tcPr>
            <w:tcW w:w="1800" w:type="dxa"/>
            <w:hideMark/>
          </w:tcPr>
          <w:p w14:paraId="2AAC030E" w14:textId="77777777" w:rsidR="00D21EB2" w:rsidRPr="004A1B1A" w:rsidRDefault="00D21EB2" w:rsidP="009C7524">
            <w:pPr>
              <w:rPr>
                <w:rFonts w:ascii="Times New Roman" w:hAnsi="Times New Roman" w:cs="Times New Roman"/>
                <w:color w:val="000000" w:themeColor="text1"/>
                <w:vertAlign w:val="superscript"/>
              </w:rPr>
            </w:pPr>
            <w:r w:rsidRPr="004A1B1A">
              <w:rPr>
                <w:rFonts w:ascii="Times New Roman" w:hAnsi="Times New Roman" w:cs="Times New Roman"/>
                <w:color w:val="000000" w:themeColor="text1"/>
              </w:rPr>
              <w:t>0.45</w:t>
            </w:r>
            <w:r w:rsidRPr="004A1B1A">
              <w:rPr>
                <w:rFonts w:ascii="Times New Roman" w:eastAsia="Times New Roman" w:hAnsi="Times New Roman" w:cs="Times New Roman"/>
                <w:bCs/>
                <w:color w:val="000000" w:themeColor="text1"/>
                <w:lang w:eastAsia="en-GB"/>
              </w:rPr>
              <w:t>±× 10</w:t>
            </w:r>
            <w:r w:rsidRPr="004A1B1A">
              <w:rPr>
                <w:rFonts w:ascii="Times New Roman" w:eastAsia="Times New Roman" w:hAnsi="Times New Roman" w:cs="Times New Roman"/>
                <w:bCs/>
                <w:color w:val="000000" w:themeColor="text1"/>
                <w:vertAlign w:val="superscript"/>
                <w:lang w:eastAsia="en-GB"/>
              </w:rPr>
              <w:t>2</w:t>
            </w:r>
          </w:p>
        </w:tc>
        <w:tc>
          <w:tcPr>
            <w:tcW w:w="1710" w:type="dxa"/>
            <w:hideMark/>
          </w:tcPr>
          <w:p w14:paraId="23FE00C9" w14:textId="77777777" w:rsidR="00D21EB2" w:rsidRPr="004A1B1A" w:rsidRDefault="00D21EB2" w:rsidP="009C7524">
            <w:pPr>
              <w:jc w:val="center"/>
              <w:rPr>
                <w:rFonts w:ascii="Times New Roman" w:eastAsia="Times New Roman" w:hAnsi="Times New Roman" w:cs="Times New Roman"/>
                <w:color w:val="000000" w:themeColor="text1"/>
                <w:lang w:eastAsia="en-GB"/>
              </w:rPr>
            </w:pPr>
            <w:r w:rsidRPr="004A1B1A">
              <w:rPr>
                <w:rFonts w:ascii="Times New Roman" w:eastAsia="Times New Roman" w:hAnsi="Times New Roman" w:cs="Times New Roman"/>
                <w:color w:val="000000" w:themeColor="text1"/>
                <w:lang w:eastAsia="en-GB"/>
              </w:rPr>
              <w:t>≤ 5.0×10²</w:t>
            </w:r>
          </w:p>
        </w:tc>
        <w:tc>
          <w:tcPr>
            <w:tcW w:w="3038" w:type="dxa"/>
            <w:hideMark/>
          </w:tcPr>
          <w:p w14:paraId="6270EA8C" w14:textId="77777777" w:rsidR="00D21EB2" w:rsidRPr="004A1B1A" w:rsidRDefault="009C7524" w:rsidP="009C7524">
            <w:pPr>
              <w:rPr>
                <w:rFonts w:ascii="Times New Roman" w:eastAsiaTheme="minorHAnsi" w:hAnsi="Times New Roman" w:cs="Times New Roman"/>
                <w:color w:val="000000" w:themeColor="text1"/>
              </w:rPr>
            </w:pPr>
            <w:r>
              <w:rPr>
                <w:rFonts w:ascii="Times New Roman" w:hAnsi="Times New Roman" w:cs="Times New Roman"/>
                <w:i/>
                <w:color w:val="000000" w:themeColor="text1"/>
              </w:rPr>
              <w:t>Staph.</w:t>
            </w:r>
            <w:r w:rsidR="00D21EB2" w:rsidRPr="004A1B1A">
              <w:rPr>
                <w:rFonts w:ascii="Times New Roman" w:hAnsi="Times New Roman" w:cs="Times New Roman"/>
                <w:i/>
                <w:color w:val="000000" w:themeColor="text1"/>
              </w:rPr>
              <w:t xml:space="preserve"> aureus; Bacillus </w:t>
            </w:r>
            <w:proofErr w:type="spellStart"/>
            <w:r w:rsidR="00D21EB2" w:rsidRPr="00393D97">
              <w:rPr>
                <w:rFonts w:ascii="Times New Roman" w:hAnsi="Times New Roman" w:cs="Times New Roman"/>
                <w:iCs/>
                <w:color w:val="000000" w:themeColor="text1"/>
              </w:rPr>
              <w:t>spp</w:t>
            </w:r>
            <w:proofErr w:type="spellEnd"/>
          </w:p>
        </w:tc>
      </w:tr>
    </w:tbl>
    <w:p w14:paraId="39DD5C7E" w14:textId="77777777" w:rsidR="00D21EB2" w:rsidRPr="004A1B1A" w:rsidRDefault="004A1B1A" w:rsidP="00D21EB2">
      <w:pPr>
        <w:spacing w:after="0" w:line="240" w:lineRule="auto"/>
        <w:jc w:val="both"/>
        <w:rPr>
          <w:rFonts w:ascii="Times New Roman" w:hAnsi="Times New Roman" w:cs="Times New Roman"/>
          <w:color w:val="000000" w:themeColor="text1"/>
          <w:sz w:val="20"/>
          <w:szCs w:val="20"/>
        </w:rPr>
      </w:pPr>
      <w:r w:rsidRPr="004A1B1A">
        <w:rPr>
          <w:rFonts w:ascii="Times New Roman" w:hAnsi="Times New Roman" w:cs="Times New Roman"/>
          <w:b/>
          <w:color w:val="000000" w:themeColor="text1"/>
          <w:sz w:val="20"/>
          <w:szCs w:val="20"/>
        </w:rPr>
        <w:t>Note:</w:t>
      </w:r>
      <w:r w:rsidR="00D21EB2" w:rsidRPr="004A1B1A">
        <w:rPr>
          <w:rFonts w:ascii="Times New Roman" w:hAnsi="Times New Roman" w:cs="Times New Roman"/>
          <w:color w:val="000000" w:themeColor="text1"/>
          <w:sz w:val="20"/>
          <w:szCs w:val="20"/>
        </w:rPr>
        <w:t xml:space="preserve"> All values are expressed as mean± standard error. </w:t>
      </w:r>
      <w:proofErr w:type="spellStart"/>
      <w:r w:rsidR="00D21EB2" w:rsidRPr="004A1B1A">
        <w:rPr>
          <w:rFonts w:ascii="Times New Roman" w:hAnsi="Times New Roman" w:cs="Times New Roman"/>
          <w:color w:val="000000" w:themeColor="text1"/>
          <w:sz w:val="20"/>
          <w:szCs w:val="20"/>
        </w:rPr>
        <w:t>spp</w:t>
      </w:r>
      <w:proofErr w:type="spellEnd"/>
      <w:r w:rsidR="00D21EB2" w:rsidRPr="004A1B1A">
        <w:rPr>
          <w:rFonts w:ascii="Times New Roman" w:hAnsi="Times New Roman" w:cs="Times New Roman"/>
          <w:color w:val="000000" w:themeColor="text1"/>
          <w:sz w:val="20"/>
          <w:szCs w:val="20"/>
        </w:rPr>
        <w:t xml:space="preserve"> = species.</w:t>
      </w:r>
    </w:p>
    <w:p w14:paraId="79A9F278" w14:textId="77777777" w:rsidR="007B1326" w:rsidRDefault="007B1326" w:rsidP="00D21EB2">
      <w:pPr>
        <w:pStyle w:val="TABLE"/>
        <w:spacing w:before="200" w:beforeAutospacing="0" w:after="0" w:afterAutospacing="0"/>
        <w:jc w:val="both"/>
        <w:rPr>
          <w:rFonts w:eastAsia="Calibri"/>
          <w:b w:val="0"/>
          <w:color w:val="000000" w:themeColor="text1"/>
          <w:sz w:val="22"/>
          <w:szCs w:val="22"/>
        </w:rPr>
      </w:pPr>
      <w:bookmarkStart w:id="9" w:name="_Toc213374030"/>
      <w:r w:rsidRPr="007B1326">
        <w:rPr>
          <w:rFonts w:eastAsia="Calibri"/>
          <w:bCs/>
          <w:color w:val="000000" w:themeColor="text1"/>
          <w:sz w:val="22"/>
          <w:szCs w:val="22"/>
        </w:rPr>
        <w:t>Table 3</w:t>
      </w:r>
      <w:r w:rsidRPr="007B1326">
        <w:rPr>
          <w:rFonts w:eastAsia="Calibri"/>
          <w:b w:val="0"/>
          <w:color w:val="000000" w:themeColor="text1"/>
          <w:sz w:val="22"/>
          <w:szCs w:val="22"/>
        </w:rPr>
        <w:t xml:space="preserve"> shows variation in total fungal counts across the sampled hospital departments, ranging from 0.18 ± 0.01 × 10² CFU/m³ to 20.0 ± 0.23 × 10² CFU/m³. Hospital 3 Emergency Ward recorded the highest fungal load, while Hospital 1 Antenatal Care recorded one of the lowest values. The fungal isolates identified across the hospitals include </w:t>
      </w:r>
      <w:r w:rsidRPr="007B1326">
        <w:rPr>
          <w:rFonts w:eastAsia="Calibri"/>
          <w:b w:val="0"/>
          <w:i/>
          <w:iCs/>
          <w:color w:val="000000" w:themeColor="text1"/>
          <w:sz w:val="22"/>
          <w:szCs w:val="22"/>
        </w:rPr>
        <w:t>Aspergillus flavus</w:t>
      </w:r>
      <w:r w:rsidRPr="007B1326">
        <w:rPr>
          <w:rFonts w:eastAsia="Calibri"/>
          <w:b w:val="0"/>
          <w:color w:val="000000" w:themeColor="text1"/>
          <w:sz w:val="22"/>
          <w:szCs w:val="22"/>
        </w:rPr>
        <w:t xml:space="preserve">, </w:t>
      </w:r>
      <w:r w:rsidRPr="007B1326">
        <w:rPr>
          <w:rFonts w:eastAsia="Calibri"/>
          <w:b w:val="0"/>
          <w:i/>
          <w:iCs/>
          <w:color w:val="000000" w:themeColor="text1"/>
          <w:sz w:val="22"/>
          <w:szCs w:val="22"/>
        </w:rPr>
        <w:t xml:space="preserve">Aspergillus </w:t>
      </w:r>
      <w:proofErr w:type="spellStart"/>
      <w:r w:rsidRPr="007B1326">
        <w:rPr>
          <w:rFonts w:eastAsia="Calibri"/>
          <w:b w:val="0"/>
          <w:i/>
          <w:iCs/>
          <w:color w:val="000000" w:themeColor="text1"/>
          <w:sz w:val="22"/>
          <w:szCs w:val="22"/>
        </w:rPr>
        <w:t>niger</w:t>
      </w:r>
      <w:proofErr w:type="spellEnd"/>
      <w:r w:rsidRPr="007B1326">
        <w:rPr>
          <w:rFonts w:eastAsia="Calibri"/>
          <w:b w:val="0"/>
          <w:color w:val="000000" w:themeColor="text1"/>
          <w:sz w:val="22"/>
          <w:szCs w:val="22"/>
        </w:rPr>
        <w:t xml:space="preserve">, </w:t>
      </w:r>
      <w:r w:rsidRPr="007B1326">
        <w:rPr>
          <w:rFonts w:eastAsia="Calibri"/>
          <w:b w:val="0"/>
          <w:i/>
          <w:iCs/>
          <w:color w:val="000000" w:themeColor="text1"/>
          <w:sz w:val="22"/>
          <w:szCs w:val="22"/>
        </w:rPr>
        <w:t xml:space="preserve">Rhizopus </w:t>
      </w:r>
      <w:r w:rsidRPr="007B1326">
        <w:rPr>
          <w:rFonts w:eastAsia="Calibri"/>
          <w:b w:val="0"/>
          <w:color w:val="000000" w:themeColor="text1"/>
          <w:sz w:val="22"/>
          <w:szCs w:val="22"/>
        </w:rPr>
        <w:t>spp</w:t>
      </w:r>
      <w:r w:rsidRPr="007B1326">
        <w:rPr>
          <w:rFonts w:eastAsia="Calibri"/>
          <w:b w:val="0"/>
          <w:i/>
          <w:iCs/>
          <w:color w:val="000000" w:themeColor="text1"/>
          <w:sz w:val="22"/>
          <w:szCs w:val="22"/>
        </w:rPr>
        <w:t>.</w:t>
      </w:r>
      <w:r w:rsidRPr="007B1326">
        <w:rPr>
          <w:rFonts w:eastAsia="Calibri"/>
          <w:b w:val="0"/>
          <w:color w:val="000000" w:themeColor="text1"/>
          <w:sz w:val="22"/>
          <w:szCs w:val="22"/>
        </w:rPr>
        <w:t xml:space="preserve">, </w:t>
      </w:r>
      <w:r w:rsidRPr="007B1326">
        <w:rPr>
          <w:rFonts w:eastAsia="Calibri"/>
          <w:b w:val="0"/>
          <w:i/>
          <w:iCs/>
          <w:color w:val="000000" w:themeColor="text1"/>
          <w:sz w:val="22"/>
          <w:szCs w:val="22"/>
        </w:rPr>
        <w:t xml:space="preserve">Fusarium </w:t>
      </w:r>
      <w:r w:rsidRPr="007B1326">
        <w:rPr>
          <w:rFonts w:eastAsia="Calibri"/>
          <w:b w:val="0"/>
          <w:color w:val="000000" w:themeColor="text1"/>
          <w:sz w:val="22"/>
          <w:szCs w:val="22"/>
        </w:rPr>
        <w:t>spp</w:t>
      </w:r>
      <w:r w:rsidRPr="007B1326">
        <w:rPr>
          <w:rFonts w:eastAsia="Calibri"/>
          <w:b w:val="0"/>
          <w:i/>
          <w:iCs/>
          <w:color w:val="000000" w:themeColor="text1"/>
          <w:sz w:val="22"/>
          <w:szCs w:val="22"/>
        </w:rPr>
        <w:t>.</w:t>
      </w:r>
      <w:r w:rsidRPr="007B1326">
        <w:rPr>
          <w:rFonts w:eastAsia="Calibri"/>
          <w:b w:val="0"/>
          <w:color w:val="000000" w:themeColor="text1"/>
          <w:sz w:val="22"/>
          <w:szCs w:val="22"/>
        </w:rPr>
        <w:t xml:space="preserve">, and </w:t>
      </w:r>
      <w:r w:rsidRPr="007B1326">
        <w:rPr>
          <w:rFonts w:eastAsia="Calibri"/>
          <w:b w:val="0"/>
          <w:i/>
          <w:iCs/>
          <w:color w:val="000000" w:themeColor="text1"/>
          <w:sz w:val="22"/>
          <w:szCs w:val="22"/>
        </w:rPr>
        <w:t xml:space="preserve">Alternaria </w:t>
      </w:r>
      <w:proofErr w:type="gramStart"/>
      <w:r w:rsidRPr="007B1326">
        <w:rPr>
          <w:rFonts w:eastAsia="Calibri"/>
          <w:b w:val="0"/>
          <w:color w:val="000000" w:themeColor="text1"/>
          <w:sz w:val="22"/>
          <w:szCs w:val="22"/>
        </w:rPr>
        <w:t>spp</w:t>
      </w:r>
      <w:r w:rsidRPr="007B1326">
        <w:rPr>
          <w:rFonts w:eastAsia="Calibri"/>
          <w:b w:val="0"/>
          <w:i/>
          <w:iCs/>
          <w:color w:val="000000" w:themeColor="text1"/>
          <w:sz w:val="22"/>
          <w:szCs w:val="22"/>
        </w:rPr>
        <w:t>.</w:t>
      </w:r>
      <w:r w:rsidRPr="007B1326">
        <w:rPr>
          <w:rFonts w:eastAsia="Calibri"/>
          <w:b w:val="0"/>
          <w:color w:val="000000" w:themeColor="text1"/>
          <w:sz w:val="22"/>
          <w:szCs w:val="22"/>
        </w:rPr>
        <w:t>.</w:t>
      </w:r>
      <w:proofErr w:type="gramEnd"/>
      <w:r w:rsidRPr="007B1326">
        <w:rPr>
          <w:rFonts w:eastAsia="Calibri"/>
          <w:b w:val="0"/>
          <w:color w:val="000000" w:themeColor="text1"/>
          <w:sz w:val="22"/>
          <w:szCs w:val="22"/>
        </w:rPr>
        <w:t xml:space="preserve"> Overall, most departments recorded fungal counts within or around the WHO permissible limit of ≤ 5.0 × 10² CFU/m³, with a few locations showing elevated values above the guideline threshold.</w:t>
      </w:r>
    </w:p>
    <w:p w14:paraId="56A8BD42" w14:textId="77777777" w:rsidR="003C3772" w:rsidRDefault="003C3772" w:rsidP="00D21EB2">
      <w:pPr>
        <w:pStyle w:val="TABLE"/>
        <w:spacing w:before="200" w:beforeAutospacing="0" w:after="0" w:afterAutospacing="0"/>
        <w:jc w:val="both"/>
        <w:rPr>
          <w:rFonts w:eastAsia="Calibri"/>
          <w:b w:val="0"/>
          <w:color w:val="000000" w:themeColor="text1"/>
          <w:sz w:val="22"/>
          <w:szCs w:val="22"/>
        </w:rPr>
      </w:pPr>
    </w:p>
    <w:bookmarkEnd w:id="9"/>
    <w:p w14:paraId="734E7749" w14:textId="5E1F7D1A" w:rsidR="001E5A72" w:rsidRPr="004A1B1A" w:rsidRDefault="003C3772" w:rsidP="001E5A72">
      <w:pPr>
        <w:pStyle w:val="TABLE"/>
        <w:spacing w:before="0" w:beforeAutospacing="0" w:after="0" w:afterAutospacing="0"/>
        <w:jc w:val="center"/>
        <w:rPr>
          <w:color w:val="FF0000"/>
          <w:sz w:val="22"/>
          <w:szCs w:val="22"/>
        </w:rPr>
      </w:pPr>
      <w:r w:rsidRPr="003C3772">
        <w:rPr>
          <w:color w:val="000000" w:themeColor="text1"/>
          <w:sz w:val="22"/>
          <w:szCs w:val="22"/>
        </w:rPr>
        <w:t xml:space="preserve">Table 3: Total Fungal Load (CFU/m³) and Identified Fungal Isolates Across </w:t>
      </w:r>
      <w:r>
        <w:rPr>
          <w:color w:val="000000" w:themeColor="text1"/>
          <w:sz w:val="22"/>
          <w:szCs w:val="22"/>
        </w:rPr>
        <w:t>Three</w:t>
      </w:r>
      <w:r w:rsidRPr="003C3772">
        <w:rPr>
          <w:color w:val="000000" w:themeColor="text1"/>
          <w:sz w:val="22"/>
          <w:szCs w:val="22"/>
        </w:rPr>
        <w:t xml:space="preserve"> Hospital Departments Compared with WHO Standards</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35"/>
        <w:gridCol w:w="2381"/>
        <w:gridCol w:w="1979"/>
        <w:gridCol w:w="1340"/>
        <w:gridCol w:w="3205"/>
      </w:tblGrid>
      <w:tr w:rsidR="00061E43" w:rsidRPr="00695F16" w14:paraId="08AA3A48" w14:textId="77777777" w:rsidTr="00061E43">
        <w:tc>
          <w:tcPr>
            <w:tcW w:w="1548" w:type="dxa"/>
            <w:tcBorders>
              <w:top w:val="single" w:sz="4" w:space="0" w:color="auto"/>
              <w:bottom w:val="single" w:sz="4" w:space="0" w:color="auto"/>
            </w:tcBorders>
            <w:hideMark/>
          </w:tcPr>
          <w:p w14:paraId="24433324" w14:textId="5B86E281" w:rsidR="00061E43" w:rsidRPr="004A1B1A" w:rsidRDefault="00061E43" w:rsidP="009A1B16">
            <w:pPr>
              <w:pStyle w:val="NoSpacing"/>
              <w:jc w:val="both"/>
              <w:rPr>
                <w:rFonts w:ascii="Times New Roman" w:hAnsi="Times New Roman" w:cs="Times New Roman"/>
                <w:dstrike/>
                <w:color w:val="000000" w:themeColor="text1"/>
                <w:sz w:val="21"/>
                <w:szCs w:val="21"/>
                <w:lang w:val="en-GB"/>
              </w:rPr>
            </w:pPr>
          </w:p>
          <w:p w14:paraId="410DBD3A" w14:textId="77777777" w:rsidR="00061E43" w:rsidRPr="004A1B1A" w:rsidRDefault="00061E43" w:rsidP="009A1B16">
            <w:pPr>
              <w:pStyle w:val="NoSpacing"/>
              <w:jc w:val="both"/>
              <w:rPr>
                <w:rFonts w:ascii="Times New Roman" w:hAnsi="Times New Roman" w:cs="Times New Roman"/>
                <w:b/>
                <w:color w:val="FF0000"/>
                <w:sz w:val="21"/>
                <w:szCs w:val="21"/>
                <w:lang w:val="en-GB"/>
              </w:rPr>
            </w:pPr>
            <w:r w:rsidRPr="007B1326">
              <w:rPr>
                <w:rFonts w:ascii="Times New Roman" w:hAnsi="Times New Roman" w:cs="Times New Roman"/>
                <w:b/>
                <w:sz w:val="21"/>
                <w:szCs w:val="21"/>
                <w:lang w:val="en-GB"/>
              </w:rPr>
              <w:t>Hospital</w:t>
            </w:r>
          </w:p>
        </w:tc>
        <w:tc>
          <w:tcPr>
            <w:tcW w:w="2403" w:type="dxa"/>
            <w:tcBorders>
              <w:top w:val="single" w:sz="4" w:space="0" w:color="auto"/>
              <w:bottom w:val="single" w:sz="4" w:space="0" w:color="auto"/>
            </w:tcBorders>
            <w:hideMark/>
          </w:tcPr>
          <w:p w14:paraId="4721290B" w14:textId="11359BDD" w:rsidR="00061E43" w:rsidRPr="00695F16" w:rsidRDefault="00061E43" w:rsidP="00D659F0">
            <w:pPr>
              <w:pStyle w:val="NoSpacing"/>
              <w:spacing w:before="200"/>
              <w:jc w:val="both"/>
              <w:rPr>
                <w:rFonts w:ascii="Times New Roman" w:hAnsi="Times New Roman" w:cs="Times New Roman"/>
                <w:b/>
                <w:color w:val="000000" w:themeColor="text1"/>
                <w:lang w:val="en-GB"/>
              </w:rPr>
            </w:pPr>
            <w:r w:rsidRPr="00695F16">
              <w:rPr>
                <w:rFonts w:ascii="Times New Roman" w:hAnsi="Times New Roman" w:cs="Times New Roman"/>
                <w:b/>
                <w:color w:val="000000" w:themeColor="text1"/>
                <w:lang w:val="en-GB"/>
              </w:rPr>
              <w:t>Department</w:t>
            </w:r>
          </w:p>
        </w:tc>
        <w:tc>
          <w:tcPr>
            <w:tcW w:w="2007" w:type="dxa"/>
            <w:tcBorders>
              <w:top w:val="single" w:sz="4" w:space="0" w:color="auto"/>
              <w:bottom w:val="single" w:sz="4" w:space="0" w:color="auto"/>
            </w:tcBorders>
            <w:hideMark/>
          </w:tcPr>
          <w:p w14:paraId="5E307611" w14:textId="77777777" w:rsidR="00061E43" w:rsidRPr="00695F16" w:rsidRDefault="00061E43" w:rsidP="00D659F0">
            <w:pPr>
              <w:pStyle w:val="NoSpacing"/>
              <w:spacing w:before="200"/>
              <w:ind w:right="-108" w:hanging="108"/>
              <w:jc w:val="both"/>
              <w:rPr>
                <w:rFonts w:ascii="Times New Roman" w:hAnsi="Times New Roman" w:cs="Times New Roman"/>
                <w:b/>
                <w:color w:val="000000" w:themeColor="text1"/>
                <w:lang w:val="en-GB"/>
              </w:rPr>
            </w:pPr>
            <w:r w:rsidRPr="00695F16">
              <w:rPr>
                <w:rFonts w:ascii="Times New Roman" w:hAnsi="Times New Roman" w:cs="Times New Roman"/>
                <w:b/>
                <w:color w:val="000000" w:themeColor="text1"/>
                <w:lang w:val="en-GB"/>
              </w:rPr>
              <w:t xml:space="preserve">Total Fungi Count </w:t>
            </w:r>
          </w:p>
          <w:p w14:paraId="042E59AC" w14:textId="57C84CA0" w:rsidR="00061E43" w:rsidRPr="00695F16" w:rsidRDefault="00061E43" w:rsidP="00D659F0">
            <w:pPr>
              <w:pStyle w:val="NoSpacing"/>
              <w:spacing w:before="200"/>
              <w:jc w:val="both"/>
              <w:rPr>
                <w:rFonts w:ascii="Times New Roman" w:hAnsi="Times New Roman" w:cs="Times New Roman"/>
                <w:b/>
                <w:color w:val="000000" w:themeColor="text1"/>
                <w:lang w:val="en-GB"/>
              </w:rPr>
            </w:pPr>
            <w:r w:rsidRPr="00695F16">
              <w:rPr>
                <w:rFonts w:ascii="Times New Roman" w:hAnsi="Times New Roman" w:cs="Times New Roman"/>
                <w:b/>
                <w:color w:val="000000" w:themeColor="text1"/>
                <w:lang w:val="en-GB"/>
              </w:rPr>
              <w:t>(</w:t>
            </w:r>
            <w:r w:rsidR="007B1326" w:rsidRPr="007B1326">
              <w:rPr>
                <w:rFonts w:ascii="Times New Roman" w:hAnsi="Times New Roman" w:cs="Times New Roman"/>
                <w:b/>
                <w:bCs/>
              </w:rPr>
              <w:t>CFU</w:t>
            </w:r>
            <w:r w:rsidR="007B1326" w:rsidRPr="00695F16">
              <w:rPr>
                <w:rFonts w:ascii="Times New Roman" w:hAnsi="Times New Roman" w:cs="Times New Roman"/>
                <w:b/>
                <w:color w:val="000000" w:themeColor="text1"/>
                <w:lang w:val="en-GB"/>
              </w:rPr>
              <w:t xml:space="preserve"> </w:t>
            </w:r>
            <w:r w:rsidRPr="00695F16">
              <w:rPr>
                <w:rFonts w:ascii="Times New Roman" w:hAnsi="Times New Roman" w:cs="Times New Roman"/>
                <w:b/>
                <w:color w:val="000000" w:themeColor="text1"/>
                <w:lang w:val="en-GB"/>
              </w:rPr>
              <w:t>/m</w:t>
            </w:r>
            <w:r w:rsidRPr="00695F16">
              <w:rPr>
                <w:rFonts w:ascii="Times New Roman" w:hAnsi="Times New Roman" w:cs="Times New Roman"/>
                <w:b/>
                <w:color w:val="000000" w:themeColor="text1"/>
                <w:vertAlign w:val="superscript"/>
                <w:lang w:val="en-GB"/>
              </w:rPr>
              <w:t>3</w:t>
            </w:r>
            <w:r w:rsidRPr="00695F16">
              <w:rPr>
                <w:rFonts w:ascii="Times New Roman" w:hAnsi="Times New Roman" w:cs="Times New Roman"/>
                <w:b/>
                <w:color w:val="000000" w:themeColor="text1"/>
                <w:lang w:val="en-GB"/>
              </w:rPr>
              <w:t>)</w:t>
            </w:r>
          </w:p>
        </w:tc>
        <w:tc>
          <w:tcPr>
            <w:tcW w:w="1350" w:type="dxa"/>
            <w:tcBorders>
              <w:top w:val="single" w:sz="4" w:space="0" w:color="auto"/>
              <w:bottom w:val="single" w:sz="4" w:space="0" w:color="auto"/>
            </w:tcBorders>
            <w:hideMark/>
          </w:tcPr>
          <w:p w14:paraId="0132D9C1" w14:textId="77777777" w:rsidR="00061E43" w:rsidRPr="00695F16" w:rsidRDefault="00061E43" w:rsidP="00D659F0">
            <w:pPr>
              <w:pStyle w:val="NoSpacing"/>
              <w:spacing w:before="200"/>
              <w:jc w:val="both"/>
              <w:rPr>
                <w:rFonts w:ascii="Times New Roman" w:hAnsi="Times New Roman" w:cs="Times New Roman"/>
                <w:b/>
                <w:color w:val="000000" w:themeColor="text1"/>
                <w:lang w:val="en-GB"/>
              </w:rPr>
            </w:pPr>
            <w:r w:rsidRPr="00695F16">
              <w:rPr>
                <w:rFonts w:ascii="Times New Roman" w:hAnsi="Times New Roman" w:cs="Times New Roman"/>
                <w:b/>
                <w:color w:val="000000" w:themeColor="text1"/>
                <w:lang w:val="en-GB"/>
              </w:rPr>
              <w:t>WHO</w:t>
            </w:r>
          </w:p>
        </w:tc>
        <w:tc>
          <w:tcPr>
            <w:tcW w:w="3240" w:type="dxa"/>
            <w:tcBorders>
              <w:top w:val="single" w:sz="4" w:space="0" w:color="auto"/>
              <w:bottom w:val="single" w:sz="4" w:space="0" w:color="auto"/>
            </w:tcBorders>
            <w:hideMark/>
          </w:tcPr>
          <w:p w14:paraId="16D8726B" w14:textId="77777777" w:rsidR="00061E43" w:rsidRPr="00695F16" w:rsidRDefault="00061E43" w:rsidP="00D659F0">
            <w:pPr>
              <w:pStyle w:val="NoSpacing"/>
              <w:spacing w:before="200"/>
              <w:jc w:val="both"/>
              <w:rPr>
                <w:rFonts w:ascii="Times New Roman" w:hAnsi="Times New Roman" w:cs="Times New Roman"/>
                <w:b/>
                <w:color w:val="000000" w:themeColor="text1"/>
                <w:lang w:val="en-GB"/>
              </w:rPr>
            </w:pPr>
            <w:r w:rsidRPr="00695F16">
              <w:rPr>
                <w:rFonts w:ascii="Times New Roman" w:hAnsi="Times New Roman" w:cs="Times New Roman"/>
                <w:b/>
                <w:color w:val="000000" w:themeColor="text1"/>
                <w:lang w:val="en-GB"/>
              </w:rPr>
              <w:t>Fungi Isolates</w:t>
            </w:r>
          </w:p>
        </w:tc>
      </w:tr>
      <w:tr w:rsidR="00061E43" w:rsidRPr="00695F16" w14:paraId="0198E3E9" w14:textId="77777777" w:rsidTr="00061E43">
        <w:tc>
          <w:tcPr>
            <w:tcW w:w="1548" w:type="dxa"/>
            <w:vMerge w:val="restart"/>
            <w:tcBorders>
              <w:top w:val="single" w:sz="4" w:space="0" w:color="auto"/>
              <w:bottom w:val="nil"/>
            </w:tcBorders>
            <w:hideMark/>
          </w:tcPr>
          <w:p w14:paraId="058A9F1C" w14:textId="77777777" w:rsidR="00061E43" w:rsidRPr="00B7295D" w:rsidRDefault="00061E43" w:rsidP="009A1B16">
            <w:pPr>
              <w:pStyle w:val="NoSpacing"/>
              <w:spacing w:before="240"/>
              <w:jc w:val="both"/>
              <w:rPr>
                <w:rFonts w:ascii="Times New Roman" w:hAnsi="Times New Roman" w:cs="Times New Roman"/>
                <w:color w:val="000000" w:themeColor="text1"/>
                <w:lang w:val="en-GB"/>
              </w:rPr>
            </w:pPr>
            <w:r w:rsidRPr="00B7295D">
              <w:rPr>
                <w:rFonts w:ascii="Times New Roman" w:hAnsi="Times New Roman" w:cs="Times New Roman"/>
                <w:color w:val="000000" w:themeColor="text1"/>
                <w:lang w:val="en-GB"/>
              </w:rPr>
              <w:t>Hospital 1</w:t>
            </w:r>
          </w:p>
          <w:p w14:paraId="3206A0D2" w14:textId="16ACCE5A" w:rsidR="00061E43" w:rsidRPr="00061E43" w:rsidRDefault="00061E43" w:rsidP="009A1B16">
            <w:pPr>
              <w:pStyle w:val="NoSpacing"/>
              <w:spacing w:before="240"/>
              <w:jc w:val="both"/>
              <w:rPr>
                <w:rFonts w:ascii="Times New Roman" w:hAnsi="Times New Roman" w:cs="Times New Roman"/>
                <w:color w:val="FF0000"/>
                <w:lang w:val="en-GB"/>
              </w:rPr>
            </w:pPr>
          </w:p>
        </w:tc>
        <w:tc>
          <w:tcPr>
            <w:tcW w:w="2403" w:type="dxa"/>
            <w:tcBorders>
              <w:top w:val="single" w:sz="4" w:space="0" w:color="auto"/>
              <w:bottom w:val="nil"/>
            </w:tcBorders>
            <w:hideMark/>
          </w:tcPr>
          <w:p w14:paraId="4354577E" w14:textId="1FF705C2" w:rsidR="00061E43" w:rsidRPr="00695F16" w:rsidRDefault="00061E43" w:rsidP="00D659F0">
            <w:pPr>
              <w:pStyle w:val="NoSpacing"/>
              <w:spacing w:before="200"/>
              <w:jc w:val="both"/>
              <w:rPr>
                <w:rFonts w:ascii="Times New Roman" w:hAnsi="Times New Roman" w:cs="Times New Roman"/>
                <w:b/>
                <w:color w:val="000000" w:themeColor="text1"/>
                <w:lang w:val="en-GB"/>
              </w:rPr>
            </w:pPr>
            <w:r w:rsidRPr="00695F16">
              <w:rPr>
                <w:rFonts w:ascii="Times New Roman" w:hAnsi="Times New Roman" w:cs="Times New Roman"/>
                <w:color w:val="000000" w:themeColor="text1"/>
                <w:lang w:val="en-GB"/>
              </w:rPr>
              <w:t xml:space="preserve">Card / Records </w:t>
            </w:r>
          </w:p>
        </w:tc>
        <w:tc>
          <w:tcPr>
            <w:tcW w:w="2007" w:type="dxa"/>
            <w:tcBorders>
              <w:top w:val="single" w:sz="4" w:space="0" w:color="auto"/>
              <w:bottom w:val="nil"/>
            </w:tcBorders>
            <w:vAlign w:val="center"/>
            <w:hideMark/>
          </w:tcPr>
          <w:p w14:paraId="15AD4BA3" w14:textId="77777777" w:rsidR="00061E43" w:rsidRPr="00695F16" w:rsidRDefault="00061E43" w:rsidP="00D659F0">
            <w:pPr>
              <w:spacing w:before="200"/>
              <w:jc w:val="both"/>
              <w:rPr>
                <w:rFonts w:ascii="Times New Roman" w:hAnsi="Times New Roman" w:cs="Times New Roman"/>
                <w:b/>
                <w:color w:val="000000" w:themeColor="text1"/>
                <w:lang w:val="en-GB"/>
              </w:rPr>
            </w:pPr>
            <w:r w:rsidRPr="00695F16">
              <w:rPr>
                <w:rStyle w:val="Strong"/>
                <w:rFonts w:ascii="Times New Roman" w:hAnsi="Times New Roman" w:cs="Times New Roman"/>
                <w:b w:val="0"/>
                <w:color w:val="000000" w:themeColor="text1"/>
              </w:rPr>
              <w:t>6.7 ± 0.09 × 10²</w:t>
            </w:r>
          </w:p>
        </w:tc>
        <w:tc>
          <w:tcPr>
            <w:tcW w:w="1350" w:type="dxa"/>
            <w:tcBorders>
              <w:top w:val="single" w:sz="4" w:space="0" w:color="auto"/>
              <w:bottom w:val="nil"/>
            </w:tcBorders>
            <w:hideMark/>
          </w:tcPr>
          <w:p w14:paraId="343B79B1" w14:textId="77777777" w:rsidR="00061E43" w:rsidRPr="00695F16" w:rsidRDefault="00061E43" w:rsidP="00D659F0">
            <w:pPr>
              <w:pStyle w:val="NoSpacing"/>
              <w:spacing w:before="200"/>
              <w:jc w:val="both"/>
              <w:rPr>
                <w:rFonts w:ascii="Times New Roman" w:hAnsi="Times New Roman" w:cs="Times New Roman"/>
                <w:color w:val="000000" w:themeColor="text1"/>
                <w:lang w:val="en-GB"/>
              </w:rPr>
            </w:pPr>
            <w:r w:rsidRPr="00695F16">
              <w:rPr>
                <w:rFonts w:ascii="Times New Roman" w:hAnsi="Times New Roman" w:cs="Times New Roman"/>
                <w:color w:val="000000" w:themeColor="text1"/>
                <w:lang w:val="en-GB"/>
              </w:rPr>
              <w:t>≤ 5.0×10²</w:t>
            </w:r>
          </w:p>
        </w:tc>
        <w:tc>
          <w:tcPr>
            <w:tcW w:w="3240" w:type="dxa"/>
            <w:tcBorders>
              <w:top w:val="single" w:sz="4" w:space="0" w:color="auto"/>
              <w:bottom w:val="nil"/>
            </w:tcBorders>
            <w:vAlign w:val="center"/>
            <w:hideMark/>
          </w:tcPr>
          <w:p w14:paraId="68B84E18" w14:textId="77777777" w:rsidR="00061E43" w:rsidRPr="00695F16" w:rsidRDefault="00061E43" w:rsidP="00D659F0">
            <w:pPr>
              <w:pStyle w:val="NoSpacing"/>
              <w:spacing w:before="200"/>
              <w:jc w:val="both"/>
              <w:rPr>
                <w:rFonts w:ascii="Times New Roman" w:hAnsi="Times New Roman" w:cs="Times New Roman"/>
                <w:i/>
                <w:color w:val="000000" w:themeColor="text1"/>
                <w:lang w:val="en-GB"/>
              </w:rPr>
            </w:pPr>
            <w:r w:rsidRPr="00695F16">
              <w:rPr>
                <w:rFonts w:ascii="Times New Roman" w:hAnsi="Times New Roman" w:cs="Times New Roman"/>
                <w:i/>
                <w:color w:val="000000" w:themeColor="text1"/>
                <w:lang w:val="en-GB"/>
              </w:rPr>
              <w:t xml:space="preserve">Aspergillus flavus; Rhizopus </w:t>
            </w:r>
            <w:r w:rsidRPr="007B1326">
              <w:rPr>
                <w:rFonts w:ascii="Times New Roman" w:hAnsi="Times New Roman" w:cs="Times New Roman"/>
                <w:iCs/>
                <w:color w:val="000000" w:themeColor="text1"/>
                <w:lang w:val="en-GB"/>
              </w:rPr>
              <w:t>spp.</w:t>
            </w:r>
          </w:p>
        </w:tc>
      </w:tr>
      <w:tr w:rsidR="00061E43" w:rsidRPr="00695F16" w14:paraId="1232957C" w14:textId="77777777" w:rsidTr="00061E43">
        <w:tc>
          <w:tcPr>
            <w:tcW w:w="1548" w:type="dxa"/>
            <w:vMerge/>
            <w:tcBorders>
              <w:top w:val="nil"/>
              <w:bottom w:val="nil"/>
            </w:tcBorders>
            <w:vAlign w:val="center"/>
            <w:hideMark/>
          </w:tcPr>
          <w:p w14:paraId="616C186A" w14:textId="77777777" w:rsidR="00061E43" w:rsidRPr="00695F16" w:rsidRDefault="00061E43" w:rsidP="00D659F0">
            <w:pPr>
              <w:spacing w:before="200"/>
              <w:jc w:val="both"/>
              <w:rPr>
                <w:rFonts w:ascii="Times New Roman" w:hAnsi="Times New Roman" w:cs="Times New Roman"/>
                <w:b/>
                <w:color w:val="000000" w:themeColor="text1"/>
                <w:lang w:val="en-GB"/>
              </w:rPr>
            </w:pPr>
          </w:p>
        </w:tc>
        <w:tc>
          <w:tcPr>
            <w:tcW w:w="2403" w:type="dxa"/>
            <w:tcBorders>
              <w:top w:val="nil"/>
              <w:bottom w:val="nil"/>
            </w:tcBorders>
            <w:hideMark/>
          </w:tcPr>
          <w:p w14:paraId="0AF1923F" w14:textId="2EB32FE2" w:rsidR="00061E43" w:rsidRPr="00695F16" w:rsidRDefault="00061E43" w:rsidP="00D659F0">
            <w:pPr>
              <w:spacing w:before="200"/>
              <w:jc w:val="both"/>
              <w:rPr>
                <w:rFonts w:ascii="Times New Roman" w:hAnsi="Times New Roman" w:cs="Times New Roman"/>
                <w:color w:val="000000" w:themeColor="text1"/>
                <w:lang w:val="en-GB"/>
              </w:rPr>
            </w:pPr>
            <w:r w:rsidRPr="00695F16">
              <w:rPr>
                <w:rFonts w:ascii="Times New Roman" w:hAnsi="Times New Roman" w:cs="Times New Roman"/>
                <w:color w:val="000000" w:themeColor="text1"/>
              </w:rPr>
              <w:t xml:space="preserve">Antenatal Care </w:t>
            </w:r>
          </w:p>
        </w:tc>
        <w:tc>
          <w:tcPr>
            <w:tcW w:w="2007" w:type="dxa"/>
            <w:tcBorders>
              <w:top w:val="nil"/>
              <w:bottom w:val="nil"/>
            </w:tcBorders>
            <w:vAlign w:val="center"/>
            <w:hideMark/>
          </w:tcPr>
          <w:p w14:paraId="708443DD" w14:textId="77777777" w:rsidR="00061E43" w:rsidRPr="00695F16" w:rsidRDefault="00061E43" w:rsidP="00D659F0">
            <w:pPr>
              <w:spacing w:before="200"/>
              <w:jc w:val="both"/>
              <w:rPr>
                <w:rFonts w:ascii="Times New Roman" w:hAnsi="Times New Roman" w:cs="Times New Roman"/>
                <w:color w:val="000000" w:themeColor="text1"/>
              </w:rPr>
            </w:pPr>
            <w:r w:rsidRPr="00695F16">
              <w:rPr>
                <w:rFonts w:ascii="Times New Roman" w:hAnsi="Times New Roman" w:cs="Times New Roman"/>
                <w:color w:val="000000" w:themeColor="text1"/>
              </w:rPr>
              <w:t>0.18</w:t>
            </w:r>
            <w:r w:rsidRPr="00695F16">
              <w:rPr>
                <w:rStyle w:val="Strong"/>
                <w:rFonts w:ascii="Times New Roman" w:hAnsi="Times New Roman" w:cs="Times New Roman"/>
                <w:color w:val="000000" w:themeColor="text1"/>
              </w:rPr>
              <w:t xml:space="preserve">± </w:t>
            </w:r>
            <w:r w:rsidRPr="00695F16">
              <w:rPr>
                <w:rStyle w:val="Strong"/>
                <w:rFonts w:ascii="Times New Roman" w:hAnsi="Times New Roman" w:cs="Times New Roman"/>
                <w:b w:val="0"/>
                <w:color w:val="000000" w:themeColor="text1"/>
              </w:rPr>
              <w:t>0.01 × 10²</w:t>
            </w:r>
          </w:p>
        </w:tc>
        <w:tc>
          <w:tcPr>
            <w:tcW w:w="1350" w:type="dxa"/>
            <w:tcBorders>
              <w:top w:val="nil"/>
              <w:bottom w:val="nil"/>
            </w:tcBorders>
            <w:hideMark/>
          </w:tcPr>
          <w:p w14:paraId="1D2C7258" w14:textId="77777777" w:rsidR="00061E43" w:rsidRPr="00695F16" w:rsidRDefault="00061E43" w:rsidP="00D659F0">
            <w:pPr>
              <w:spacing w:before="200"/>
              <w:jc w:val="both"/>
              <w:rPr>
                <w:rFonts w:ascii="Times New Roman" w:hAnsi="Times New Roman" w:cs="Times New Roman"/>
                <w:color w:val="000000" w:themeColor="text1"/>
              </w:rPr>
            </w:pPr>
            <w:r w:rsidRPr="00695F16">
              <w:rPr>
                <w:rFonts w:ascii="Times New Roman" w:hAnsi="Times New Roman" w:cs="Times New Roman"/>
                <w:color w:val="000000" w:themeColor="text1"/>
              </w:rPr>
              <w:t>≤ 5.0×10²</w:t>
            </w:r>
          </w:p>
        </w:tc>
        <w:tc>
          <w:tcPr>
            <w:tcW w:w="3240" w:type="dxa"/>
            <w:tcBorders>
              <w:top w:val="nil"/>
              <w:bottom w:val="nil"/>
            </w:tcBorders>
            <w:vAlign w:val="center"/>
            <w:hideMark/>
          </w:tcPr>
          <w:p w14:paraId="4D2B5397" w14:textId="77777777" w:rsidR="00061E43" w:rsidRPr="00695F16" w:rsidRDefault="00061E43" w:rsidP="00D659F0">
            <w:pPr>
              <w:pStyle w:val="NoSpacing"/>
              <w:spacing w:before="200"/>
              <w:jc w:val="both"/>
              <w:rPr>
                <w:rFonts w:ascii="Times New Roman" w:hAnsi="Times New Roman" w:cs="Times New Roman"/>
                <w:i/>
                <w:color w:val="000000" w:themeColor="text1"/>
                <w:lang w:val="en-GB"/>
              </w:rPr>
            </w:pPr>
            <w:r w:rsidRPr="00695F16">
              <w:rPr>
                <w:rFonts w:ascii="Times New Roman" w:hAnsi="Times New Roman" w:cs="Times New Roman"/>
                <w:i/>
                <w:color w:val="000000" w:themeColor="text1"/>
                <w:lang w:val="en-GB"/>
              </w:rPr>
              <w:t xml:space="preserve">Aspergillus </w:t>
            </w:r>
            <w:proofErr w:type="spellStart"/>
            <w:r w:rsidRPr="00695F16">
              <w:rPr>
                <w:rFonts w:ascii="Times New Roman" w:hAnsi="Times New Roman" w:cs="Times New Roman"/>
                <w:i/>
                <w:color w:val="000000" w:themeColor="text1"/>
                <w:lang w:val="en-GB"/>
              </w:rPr>
              <w:t>niger</w:t>
            </w:r>
            <w:proofErr w:type="spellEnd"/>
          </w:p>
        </w:tc>
      </w:tr>
      <w:tr w:rsidR="00061E43" w:rsidRPr="00695F16" w14:paraId="11691974" w14:textId="77777777" w:rsidTr="00061E43">
        <w:tc>
          <w:tcPr>
            <w:tcW w:w="1548" w:type="dxa"/>
            <w:vMerge/>
            <w:tcBorders>
              <w:top w:val="nil"/>
              <w:bottom w:val="single" w:sz="4" w:space="0" w:color="auto"/>
            </w:tcBorders>
            <w:vAlign w:val="center"/>
            <w:hideMark/>
          </w:tcPr>
          <w:p w14:paraId="399D706B" w14:textId="77777777" w:rsidR="00061E43" w:rsidRPr="00695F16" w:rsidRDefault="00061E43" w:rsidP="00D659F0">
            <w:pPr>
              <w:spacing w:before="200"/>
              <w:jc w:val="both"/>
              <w:rPr>
                <w:rFonts w:ascii="Times New Roman" w:hAnsi="Times New Roman" w:cs="Times New Roman"/>
                <w:b/>
                <w:color w:val="000000" w:themeColor="text1"/>
                <w:lang w:val="en-GB"/>
              </w:rPr>
            </w:pPr>
          </w:p>
        </w:tc>
        <w:tc>
          <w:tcPr>
            <w:tcW w:w="2403" w:type="dxa"/>
            <w:tcBorders>
              <w:top w:val="nil"/>
              <w:bottom w:val="single" w:sz="4" w:space="0" w:color="auto"/>
            </w:tcBorders>
            <w:hideMark/>
          </w:tcPr>
          <w:p w14:paraId="67EE7F74" w14:textId="07E18E8F" w:rsidR="00061E43" w:rsidRPr="00695F16" w:rsidRDefault="00061E43" w:rsidP="00D659F0">
            <w:pPr>
              <w:spacing w:before="200"/>
              <w:jc w:val="both"/>
              <w:rPr>
                <w:rFonts w:ascii="Times New Roman" w:hAnsi="Times New Roman" w:cs="Times New Roman"/>
                <w:color w:val="000000" w:themeColor="text1"/>
              </w:rPr>
            </w:pPr>
            <w:r w:rsidRPr="00695F16">
              <w:rPr>
                <w:rFonts w:ascii="Times New Roman" w:hAnsi="Times New Roman" w:cs="Times New Roman"/>
                <w:color w:val="000000" w:themeColor="text1"/>
              </w:rPr>
              <w:t xml:space="preserve">Female Ward </w:t>
            </w:r>
          </w:p>
        </w:tc>
        <w:tc>
          <w:tcPr>
            <w:tcW w:w="2007" w:type="dxa"/>
            <w:tcBorders>
              <w:top w:val="nil"/>
              <w:bottom w:val="single" w:sz="4" w:space="0" w:color="auto"/>
            </w:tcBorders>
            <w:vAlign w:val="center"/>
            <w:hideMark/>
          </w:tcPr>
          <w:p w14:paraId="439C6307" w14:textId="77777777" w:rsidR="00061E43" w:rsidRPr="00695F16" w:rsidRDefault="00061E43" w:rsidP="00D659F0">
            <w:pPr>
              <w:spacing w:before="200"/>
              <w:jc w:val="both"/>
              <w:rPr>
                <w:rFonts w:ascii="Times New Roman" w:hAnsi="Times New Roman" w:cs="Times New Roman"/>
                <w:color w:val="000000" w:themeColor="text1"/>
              </w:rPr>
            </w:pPr>
            <w:r w:rsidRPr="00695F16">
              <w:rPr>
                <w:rFonts w:ascii="Times New Roman" w:hAnsi="Times New Roman" w:cs="Times New Roman"/>
                <w:color w:val="000000" w:themeColor="text1"/>
              </w:rPr>
              <w:t>0.22</w:t>
            </w:r>
            <w:r w:rsidRPr="00695F16">
              <w:rPr>
                <w:rStyle w:val="Strong"/>
                <w:rFonts w:ascii="Times New Roman" w:hAnsi="Times New Roman" w:cs="Times New Roman"/>
                <w:color w:val="000000" w:themeColor="text1"/>
              </w:rPr>
              <w:t xml:space="preserve">± </w:t>
            </w:r>
            <w:r w:rsidRPr="00695F16">
              <w:rPr>
                <w:rStyle w:val="Strong"/>
                <w:rFonts w:ascii="Times New Roman" w:hAnsi="Times New Roman" w:cs="Times New Roman"/>
                <w:b w:val="0"/>
                <w:color w:val="000000" w:themeColor="text1"/>
              </w:rPr>
              <w:t>0.03 × 10²</w:t>
            </w:r>
          </w:p>
        </w:tc>
        <w:tc>
          <w:tcPr>
            <w:tcW w:w="1350" w:type="dxa"/>
            <w:tcBorders>
              <w:top w:val="nil"/>
              <w:bottom w:val="single" w:sz="4" w:space="0" w:color="auto"/>
            </w:tcBorders>
            <w:hideMark/>
          </w:tcPr>
          <w:p w14:paraId="618FCDDF" w14:textId="77777777" w:rsidR="00061E43" w:rsidRPr="00695F16" w:rsidRDefault="00061E43" w:rsidP="00D659F0">
            <w:pPr>
              <w:spacing w:before="200"/>
              <w:jc w:val="both"/>
              <w:rPr>
                <w:rFonts w:ascii="Times New Roman" w:hAnsi="Times New Roman" w:cs="Times New Roman"/>
                <w:color w:val="000000" w:themeColor="text1"/>
              </w:rPr>
            </w:pPr>
            <w:r w:rsidRPr="00695F16">
              <w:rPr>
                <w:rFonts w:ascii="Times New Roman" w:hAnsi="Times New Roman" w:cs="Times New Roman"/>
                <w:color w:val="000000" w:themeColor="text1"/>
              </w:rPr>
              <w:t>≤ 5.0×10²</w:t>
            </w:r>
          </w:p>
        </w:tc>
        <w:tc>
          <w:tcPr>
            <w:tcW w:w="3240" w:type="dxa"/>
            <w:tcBorders>
              <w:top w:val="nil"/>
              <w:bottom w:val="single" w:sz="4" w:space="0" w:color="auto"/>
            </w:tcBorders>
            <w:vAlign w:val="center"/>
            <w:hideMark/>
          </w:tcPr>
          <w:p w14:paraId="64D9C50B" w14:textId="77777777" w:rsidR="00061E43" w:rsidRPr="00695F16" w:rsidRDefault="00061E43" w:rsidP="00D659F0">
            <w:pPr>
              <w:spacing w:before="200"/>
              <w:jc w:val="both"/>
              <w:rPr>
                <w:rFonts w:ascii="Times New Roman" w:hAnsi="Times New Roman" w:cs="Times New Roman"/>
                <w:color w:val="000000" w:themeColor="text1"/>
              </w:rPr>
            </w:pPr>
            <w:proofErr w:type="spellStart"/>
            <w:r w:rsidRPr="00695F16">
              <w:rPr>
                <w:rFonts w:ascii="Times New Roman" w:hAnsi="Times New Roman" w:cs="Times New Roman"/>
                <w:i/>
                <w:color w:val="000000" w:themeColor="text1"/>
                <w:lang w:val="en-GB"/>
              </w:rPr>
              <w:t>Aspergillusflavus</w:t>
            </w:r>
            <w:proofErr w:type="spellEnd"/>
          </w:p>
        </w:tc>
      </w:tr>
      <w:tr w:rsidR="00061E43" w:rsidRPr="00695F16" w14:paraId="3D7425C3" w14:textId="77777777" w:rsidTr="00061E43">
        <w:tc>
          <w:tcPr>
            <w:tcW w:w="1548" w:type="dxa"/>
            <w:vMerge w:val="restart"/>
            <w:tcBorders>
              <w:top w:val="single" w:sz="4" w:space="0" w:color="auto"/>
              <w:bottom w:val="nil"/>
            </w:tcBorders>
            <w:hideMark/>
          </w:tcPr>
          <w:p w14:paraId="0802448C" w14:textId="77777777" w:rsidR="00061E43" w:rsidRPr="00B7295D" w:rsidRDefault="00061E43" w:rsidP="009A1B16">
            <w:pPr>
              <w:pStyle w:val="NoSpacing"/>
              <w:spacing w:before="240"/>
              <w:jc w:val="both"/>
              <w:rPr>
                <w:rFonts w:ascii="Times New Roman" w:hAnsi="Times New Roman" w:cs="Times New Roman"/>
                <w:color w:val="000000" w:themeColor="text1"/>
                <w:lang w:val="en-GB"/>
              </w:rPr>
            </w:pPr>
            <w:r w:rsidRPr="00B7295D">
              <w:rPr>
                <w:rFonts w:ascii="Times New Roman" w:hAnsi="Times New Roman" w:cs="Times New Roman"/>
                <w:color w:val="000000" w:themeColor="text1"/>
                <w:lang w:val="en-GB"/>
              </w:rPr>
              <w:t>Hospital 2</w:t>
            </w:r>
          </w:p>
          <w:p w14:paraId="5A0C5452" w14:textId="21C5E06E" w:rsidR="00061E43" w:rsidRPr="00B7295D" w:rsidRDefault="00061E43" w:rsidP="009A1B16">
            <w:pPr>
              <w:pStyle w:val="NoSpacing"/>
              <w:spacing w:before="240"/>
              <w:jc w:val="both"/>
              <w:rPr>
                <w:rFonts w:ascii="Times New Roman" w:hAnsi="Times New Roman" w:cs="Times New Roman"/>
                <w:color w:val="FF0000"/>
                <w:lang w:val="en-GB"/>
              </w:rPr>
            </w:pPr>
          </w:p>
          <w:p w14:paraId="260BC71A" w14:textId="77777777" w:rsidR="00061E43" w:rsidRPr="00B7295D" w:rsidRDefault="00061E43" w:rsidP="009A1B16">
            <w:pPr>
              <w:pStyle w:val="NoSpacing"/>
              <w:spacing w:before="240"/>
              <w:jc w:val="both"/>
              <w:rPr>
                <w:rFonts w:ascii="Times New Roman" w:hAnsi="Times New Roman" w:cs="Times New Roman"/>
                <w:color w:val="000000" w:themeColor="text1"/>
                <w:lang w:val="en-GB"/>
              </w:rPr>
            </w:pPr>
          </w:p>
        </w:tc>
        <w:tc>
          <w:tcPr>
            <w:tcW w:w="2403" w:type="dxa"/>
            <w:tcBorders>
              <w:top w:val="single" w:sz="4" w:space="0" w:color="auto"/>
              <w:bottom w:val="nil"/>
            </w:tcBorders>
            <w:hideMark/>
          </w:tcPr>
          <w:p w14:paraId="2CE1E6D8" w14:textId="03A422F9" w:rsidR="00061E43" w:rsidRPr="00695F16" w:rsidRDefault="00061E43" w:rsidP="00D659F0">
            <w:pPr>
              <w:spacing w:before="200"/>
              <w:jc w:val="both"/>
              <w:rPr>
                <w:rFonts w:ascii="Times New Roman" w:hAnsi="Times New Roman" w:cs="Times New Roman"/>
                <w:color w:val="000000" w:themeColor="text1"/>
                <w:lang w:val="en-GB"/>
              </w:rPr>
            </w:pPr>
            <w:r w:rsidRPr="00695F16">
              <w:rPr>
                <w:rFonts w:ascii="Times New Roman" w:hAnsi="Times New Roman" w:cs="Times New Roman"/>
                <w:color w:val="000000" w:themeColor="text1"/>
              </w:rPr>
              <w:lastRenderedPageBreak/>
              <w:t xml:space="preserve">Ultrasound </w:t>
            </w:r>
          </w:p>
        </w:tc>
        <w:tc>
          <w:tcPr>
            <w:tcW w:w="2007" w:type="dxa"/>
            <w:tcBorders>
              <w:top w:val="single" w:sz="4" w:space="0" w:color="auto"/>
              <w:bottom w:val="nil"/>
            </w:tcBorders>
            <w:vAlign w:val="center"/>
            <w:hideMark/>
          </w:tcPr>
          <w:p w14:paraId="7161C15C" w14:textId="77777777" w:rsidR="00061E43" w:rsidRPr="00695F16" w:rsidRDefault="00061E43" w:rsidP="00D659F0">
            <w:pPr>
              <w:spacing w:before="200"/>
              <w:jc w:val="both"/>
              <w:rPr>
                <w:rFonts w:ascii="Times New Roman" w:hAnsi="Times New Roman" w:cs="Times New Roman"/>
                <w:color w:val="000000" w:themeColor="text1"/>
              </w:rPr>
            </w:pPr>
            <w:r w:rsidRPr="00695F16">
              <w:rPr>
                <w:rFonts w:ascii="Times New Roman" w:hAnsi="Times New Roman" w:cs="Times New Roman"/>
                <w:color w:val="000000" w:themeColor="text1"/>
              </w:rPr>
              <w:t>0.20</w:t>
            </w:r>
            <w:r w:rsidRPr="00695F16">
              <w:rPr>
                <w:rStyle w:val="Strong"/>
                <w:rFonts w:ascii="Times New Roman" w:hAnsi="Times New Roman" w:cs="Times New Roman"/>
                <w:color w:val="000000" w:themeColor="text1"/>
              </w:rPr>
              <w:t xml:space="preserve">± </w:t>
            </w:r>
            <w:r w:rsidRPr="00695F16">
              <w:rPr>
                <w:rStyle w:val="Strong"/>
                <w:rFonts w:ascii="Times New Roman" w:hAnsi="Times New Roman" w:cs="Times New Roman"/>
                <w:b w:val="0"/>
                <w:color w:val="000000" w:themeColor="text1"/>
              </w:rPr>
              <w:t>0.01 × 10²</w:t>
            </w:r>
          </w:p>
        </w:tc>
        <w:tc>
          <w:tcPr>
            <w:tcW w:w="1350" w:type="dxa"/>
            <w:tcBorders>
              <w:top w:val="single" w:sz="4" w:space="0" w:color="auto"/>
              <w:bottom w:val="nil"/>
            </w:tcBorders>
            <w:hideMark/>
          </w:tcPr>
          <w:p w14:paraId="4E43DEE8" w14:textId="77777777" w:rsidR="00061E43" w:rsidRPr="00695F16" w:rsidRDefault="00061E43" w:rsidP="00D659F0">
            <w:pPr>
              <w:spacing w:before="200"/>
              <w:jc w:val="both"/>
              <w:rPr>
                <w:rFonts w:ascii="Times New Roman" w:hAnsi="Times New Roman" w:cs="Times New Roman"/>
                <w:color w:val="000000" w:themeColor="text1"/>
              </w:rPr>
            </w:pPr>
            <w:r w:rsidRPr="00695F16">
              <w:rPr>
                <w:rFonts w:ascii="Times New Roman" w:hAnsi="Times New Roman" w:cs="Times New Roman"/>
                <w:color w:val="000000" w:themeColor="text1"/>
              </w:rPr>
              <w:t>≤ 5.0×10²</w:t>
            </w:r>
          </w:p>
        </w:tc>
        <w:tc>
          <w:tcPr>
            <w:tcW w:w="3240" w:type="dxa"/>
            <w:tcBorders>
              <w:top w:val="single" w:sz="4" w:space="0" w:color="auto"/>
              <w:bottom w:val="nil"/>
            </w:tcBorders>
            <w:vAlign w:val="center"/>
            <w:hideMark/>
          </w:tcPr>
          <w:p w14:paraId="1CCB471F" w14:textId="77777777" w:rsidR="00061E43" w:rsidRPr="00695F16" w:rsidRDefault="00061E43" w:rsidP="00D659F0">
            <w:pPr>
              <w:spacing w:before="200"/>
              <w:jc w:val="both"/>
              <w:rPr>
                <w:rFonts w:ascii="Times New Roman" w:hAnsi="Times New Roman" w:cs="Times New Roman"/>
                <w:color w:val="000000" w:themeColor="text1"/>
              </w:rPr>
            </w:pPr>
            <w:r w:rsidRPr="00695F16">
              <w:rPr>
                <w:rFonts w:ascii="Times New Roman" w:hAnsi="Times New Roman" w:cs="Times New Roman"/>
                <w:i/>
                <w:color w:val="000000" w:themeColor="text1"/>
              </w:rPr>
              <w:t xml:space="preserve">Fusarium </w:t>
            </w:r>
            <w:proofErr w:type="spellStart"/>
            <w:r w:rsidRPr="007B1326">
              <w:rPr>
                <w:rFonts w:ascii="Times New Roman" w:hAnsi="Times New Roman" w:cs="Times New Roman"/>
                <w:iCs/>
                <w:color w:val="000000" w:themeColor="text1"/>
              </w:rPr>
              <w:t>spp</w:t>
            </w:r>
            <w:proofErr w:type="spellEnd"/>
          </w:p>
        </w:tc>
      </w:tr>
      <w:tr w:rsidR="00D21EB2" w:rsidRPr="00695F16" w14:paraId="319B199E" w14:textId="77777777" w:rsidTr="00061E43">
        <w:tc>
          <w:tcPr>
            <w:tcW w:w="1548" w:type="dxa"/>
            <w:vMerge/>
            <w:tcBorders>
              <w:top w:val="nil"/>
              <w:bottom w:val="nil"/>
            </w:tcBorders>
            <w:vAlign w:val="center"/>
            <w:hideMark/>
          </w:tcPr>
          <w:p w14:paraId="2BD977D7" w14:textId="77777777" w:rsidR="00D21EB2" w:rsidRPr="00695F16" w:rsidRDefault="00D21EB2" w:rsidP="00D659F0">
            <w:pPr>
              <w:spacing w:before="200"/>
              <w:jc w:val="both"/>
              <w:rPr>
                <w:rFonts w:ascii="Times New Roman" w:hAnsi="Times New Roman" w:cs="Times New Roman"/>
                <w:b/>
                <w:color w:val="000000" w:themeColor="text1"/>
                <w:lang w:val="en-GB"/>
              </w:rPr>
            </w:pPr>
          </w:p>
        </w:tc>
        <w:tc>
          <w:tcPr>
            <w:tcW w:w="2403" w:type="dxa"/>
            <w:tcBorders>
              <w:top w:val="nil"/>
              <w:bottom w:val="nil"/>
            </w:tcBorders>
            <w:hideMark/>
          </w:tcPr>
          <w:p w14:paraId="50D75051" w14:textId="5EE9705C" w:rsidR="00D21EB2" w:rsidRPr="00695F16" w:rsidRDefault="00D21EB2" w:rsidP="00D659F0">
            <w:pPr>
              <w:spacing w:before="200"/>
              <w:jc w:val="both"/>
              <w:rPr>
                <w:rFonts w:ascii="Times New Roman" w:hAnsi="Times New Roman" w:cs="Times New Roman"/>
                <w:color w:val="000000" w:themeColor="text1"/>
              </w:rPr>
            </w:pPr>
            <w:r w:rsidRPr="00695F16">
              <w:rPr>
                <w:rFonts w:ascii="Times New Roman" w:hAnsi="Times New Roman" w:cs="Times New Roman"/>
                <w:color w:val="000000" w:themeColor="text1"/>
              </w:rPr>
              <w:t xml:space="preserve">Card / Records </w:t>
            </w:r>
          </w:p>
        </w:tc>
        <w:tc>
          <w:tcPr>
            <w:tcW w:w="2007" w:type="dxa"/>
            <w:tcBorders>
              <w:top w:val="nil"/>
              <w:bottom w:val="nil"/>
            </w:tcBorders>
            <w:vAlign w:val="center"/>
            <w:hideMark/>
          </w:tcPr>
          <w:p w14:paraId="6F310BC4" w14:textId="77777777" w:rsidR="00D21EB2" w:rsidRPr="00695F16" w:rsidRDefault="00D21EB2" w:rsidP="00D659F0">
            <w:pPr>
              <w:spacing w:before="200"/>
              <w:jc w:val="both"/>
              <w:rPr>
                <w:rFonts w:ascii="Times New Roman" w:hAnsi="Times New Roman" w:cs="Times New Roman"/>
                <w:b/>
                <w:color w:val="000000" w:themeColor="text1"/>
              </w:rPr>
            </w:pPr>
            <w:r w:rsidRPr="00695F16">
              <w:rPr>
                <w:rStyle w:val="Strong"/>
                <w:rFonts w:ascii="Times New Roman" w:hAnsi="Times New Roman" w:cs="Times New Roman"/>
                <w:b w:val="0"/>
                <w:color w:val="000000" w:themeColor="text1"/>
              </w:rPr>
              <w:t>3.3 ± 0.06 × 10²</w:t>
            </w:r>
          </w:p>
        </w:tc>
        <w:tc>
          <w:tcPr>
            <w:tcW w:w="1350" w:type="dxa"/>
            <w:tcBorders>
              <w:top w:val="nil"/>
              <w:bottom w:val="nil"/>
            </w:tcBorders>
            <w:hideMark/>
          </w:tcPr>
          <w:p w14:paraId="479D3DF6" w14:textId="77777777" w:rsidR="00D21EB2" w:rsidRPr="00695F16" w:rsidRDefault="00D21EB2" w:rsidP="00D659F0">
            <w:pPr>
              <w:pStyle w:val="NoSpacing"/>
              <w:spacing w:before="200"/>
              <w:jc w:val="both"/>
              <w:rPr>
                <w:rFonts w:ascii="Times New Roman" w:hAnsi="Times New Roman" w:cs="Times New Roman"/>
                <w:color w:val="000000" w:themeColor="text1"/>
                <w:lang w:val="en-GB"/>
              </w:rPr>
            </w:pPr>
            <w:r w:rsidRPr="00695F16">
              <w:rPr>
                <w:rFonts w:ascii="Times New Roman" w:hAnsi="Times New Roman" w:cs="Times New Roman"/>
                <w:color w:val="000000" w:themeColor="text1"/>
                <w:lang w:val="en-GB"/>
              </w:rPr>
              <w:t>≤ 5.0×10²</w:t>
            </w:r>
          </w:p>
        </w:tc>
        <w:tc>
          <w:tcPr>
            <w:tcW w:w="3240" w:type="dxa"/>
            <w:tcBorders>
              <w:top w:val="nil"/>
              <w:bottom w:val="nil"/>
            </w:tcBorders>
            <w:vAlign w:val="center"/>
            <w:hideMark/>
          </w:tcPr>
          <w:p w14:paraId="765EE599" w14:textId="77777777" w:rsidR="00D21EB2" w:rsidRPr="00695F16" w:rsidRDefault="00D21EB2" w:rsidP="00D659F0">
            <w:pPr>
              <w:pStyle w:val="NoSpacing"/>
              <w:spacing w:before="200"/>
              <w:jc w:val="both"/>
              <w:rPr>
                <w:rFonts w:ascii="Times New Roman" w:hAnsi="Times New Roman" w:cs="Times New Roman"/>
                <w:i/>
                <w:color w:val="000000" w:themeColor="text1"/>
                <w:lang w:val="en-GB"/>
              </w:rPr>
            </w:pPr>
            <w:r w:rsidRPr="00695F16">
              <w:rPr>
                <w:rFonts w:ascii="Times New Roman" w:hAnsi="Times New Roman" w:cs="Times New Roman"/>
                <w:i/>
                <w:color w:val="000000" w:themeColor="text1"/>
                <w:lang w:val="en-GB"/>
              </w:rPr>
              <w:t xml:space="preserve">Aspergillus </w:t>
            </w:r>
            <w:proofErr w:type="spellStart"/>
            <w:r w:rsidRPr="00695F16">
              <w:rPr>
                <w:rFonts w:ascii="Times New Roman" w:hAnsi="Times New Roman" w:cs="Times New Roman"/>
                <w:i/>
                <w:color w:val="000000" w:themeColor="text1"/>
                <w:lang w:val="en-GB"/>
              </w:rPr>
              <w:t>niger</w:t>
            </w:r>
            <w:proofErr w:type="spellEnd"/>
          </w:p>
        </w:tc>
      </w:tr>
      <w:tr w:rsidR="00D21EB2" w:rsidRPr="00695F16" w14:paraId="09E47EED" w14:textId="77777777" w:rsidTr="00061E43">
        <w:tc>
          <w:tcPr>
            <w:tcW w:w="1548" w:type="dxa"/>
            <w:vMerge/>
            <w:tcBorders>
              <w:top w:val="nil"/>
              <w:bottom w:val="single" w:sz="4" w:space="0" w:color="auto"/>
            </w:tcBorders>
            <w:vAlign w:val="center"/>
            <w:hideMark/>
          </w:tcPr>
          <w:p w14:paraId="26327FC4" w14:textId="77777777" w:rsidR="00D21EB2" w:rsidRPr="00695F16" w:rsidRDefault="00D21EB2" w:rsidP="00D659F0">
            <w:pPr>
              <w:spacing w:before="200"/>
              <w:jc w:val="both"/>
              <w:rPr>
                <w:rFonts w:ascii="Times New Roman" w:hAnsi="Times New Roman" w:cs="Times New Roman"/>
                <w:b/>
                <w:color w:val="000000" w:themeColor="text1"/>
                <w:lang w:val="en-GB"/>
              </w:rPr>
            </w:pPr>
          </w:p>
        </w:tc>
        <w:tc>
          <w:tcPr>
            <w:tcW w:w="2403" w:type="dxa"/>
            <w:tcBorders>
              <w:top w:val="nil"/>
              <w:bottom w:val="single" w:sz="4" w:space="0" w:color="auto"/>
            </w:tcBorders>
            <w:hideMark/>
          </w:tcPr>
          <w:p w14:paraId="7A5C52F9" w14:textId="099FE5CA" w:rsidR="00D21EB2" w:rsidRPr="00695F16" w:rsidRDefault="00D21EB2" w:rsidP="00D659F0">
            <w:pPr>
              <w:spacing w:before="200"/>
              <w:jc w:val="both"/>
              <w:rPr>
                <w:rFonts w:ascii="Times New Roman" w:hAnsi="Times New Roman" w:cs="Times New Roman"/>
                <w:color w:val="000000" w:themeColor="text1"/>
                <w:lang w:val="en-GB"/>
              </w:rPr>
            </w:pPr>
            <w:r w:rsidRPr="00695F16">
              <w:rPr>
                <w:rFonts w:ascii="Times New Roman" w:hAnsi="Times New Roman" w:cs="Times New Roman"/>
                <w:color w:val="000000" w:themeColor="text1"/>
              </w:rPr>
              <w:t xml:space="preserve">Physiotherapy Centre </w:t>
            </w:r>
          </w:p>
        </w:tc>
        <w:tc>
          <w:tcPr>
            <w:tcW w:w="2007" w:type="dxa"/>
            <w:tcBorders>
              <w:top w:val="nil"/>
              <w:bottom w:val="single" w:sz="4" w:space="0" w:color="auto"/>
            </w:tcBorders>
            <w:vAlign w:val="center"/>
            <w:hideMark/>
          </w:tcPr>
          <w:p w14:paraId="42E81351" w14:textId="77777777" w:rsidR="00D21EB2" w:rsidRPr="00695F16" w:rsidRDefault="00D21EB2" w:rsidP="00D659F0">
            <w:pPr>
              <w:spacing w:before="200"/>
              <w:jc w:val="both"/>
              <w:rPr>
                <w:rFonts w:ascii="Times New Roman" w:hAnsi="Times New Roman" w:cs="Times New Roman"/>
                <w:color w:val="000000" w:themeColor="text1"/>
              </w:rPr>
            </w:pPr>
            <w:r w:rsidRPr="00695F16">
              <w:rPr>
                <w:rFonts w:ascii="Times New Roman" w:hAnsi="Times New Roman" w:cs="Times New Roman"/>
                <w:color w:val="000000" w:themeColor="text1"/>
              </w:rPr>
              <w:t>0.31</w:t>
            </w:r>
            <w:r w:rsidRPr="00695F16">
              <w:rPr>
                <w:rStyle w:val="Strong"/>
                <w:rFonts w:ascii="Times New Roman" w:hAnsi="Times New Roman" w:cs="Times New Roman"/>
                <w:color w:val="000000" w:themeColor="text1"/>
              </w:rPr>
              <w:t xml:space="preserve">± </w:t>
            </w:r>
            <w:r w:rsidRPr="00695F16">
              <w:rPr>
                <w:rStyle w:val="Strong"/>
                <w:rFonts w:ascii="Times New Roman" w:hAnsi="Times New Roman" w:cs="Times New Roman"/>
                <w:b w:val="0"/>
                <w:color w:val="000000" w:themeColor="text1"/>
              </w:rPr>
              <w:t>0.02 × 10²</w:t>
            </w:r>
          </w:p>
        </w:tc>
        <w:tc>
          <w:tcPr>
            <w:tcW w:w="1350" w:type="dxa"/>
            <w:tcBorders>
              <w:top w:val="nil"/>
              <w:bottom w:val="single" w:sz="4" w:space="0" w:color="auto"/>
            </w:tcBorders>
            <w:hideMark/>
          </w:tcPr>
          <w:p w14:paraId="5C39E3D0" w14:textId="77777777" w:rsidR="00D21EB2" w:rsidRPr="00695F16" w:rsidRDefault="00D21EB2" w:rsidP="00D659F0">
            <w:pPr>
              <w:spacing w:before="200"/>
              <w:jc w:val="both"/>
              <w:rPr>
                <w:rFonts w:ascii="Times New Roman" w:hAnsi="Times New Roman" w:cs="Times New Roman"/>
                <w:color w:val="000000" w:themeColor="text1"/>
              </w:rPr>
            </w:pPr>
            <w:r w:rsidRPr="00695F16">
              <w:rPr>
                <w:rFonts w:ascii="Times New Roman" w:hAnsi="Times New Roman" w:cs="Times New Roman"/>
                <w:color w:val="000000" w:themeColor="text1"/>
              </w:rPr>
              <w:t>≤ 5.0×10²</w:t>
            </w:r>
          </w:p>
        </w:tc>
        <w:tc>
          <w:tcPr>
            <w:tcW w:w="3240" w:type="dxa"/>
            <w:tcBorders>
              <w:top w:val="nil"/>
              <w:bottom w:val="single" w:sz="4" w:space="0" w:color="auto"/>
            </w:tcBorders>
            <w:vAlign w:val="center"/>
            <w:hideMark/>
          </w:tcPr>
          <w:p w14:paraId="33E59727" w14:textId="77777777" w:rsidR="00D21EB2" w:rsidRPr="00695F16" w:rsidRDefault="00D21EB2" w:rsidP="00D659F0">
            <w:pPr>
              <w:spacing w:before="200"/>
              <w:jc w:val="both"/>
              <w:rPr>
                <w:rFonts w:ascii="Times New Roman" w:hAnsi="Times New Roman" w:cs="Times New Roman"/>
                <w:color w:val="000000" w:themeColor="text1"/>
              </w:rPr>
            </w:pPr>
            <w:r w:rsidRPr="00695F16">
              <w:rPr>
                <w:rFonts w:ascii="Times New Roman" w:hAnsi="Times New Roman" w:cs="Times New Roman"/>
                <w:i/>
                <w:color w:val="000000" w:themeColor="text1"/>
              </w:rPr>
              <w:t xml:space="preserve">Aspergillus </w:t>
            </w:r>
            <w:proofErr w:type="spellStart"/>
            <w:r w:rsidRPr="00695F16">
              <w:rPr>
                <w:rFonts w:ascii="Times New Roman" w:hAnsi="Times New Roman" w:cs="Times New Roman"/>
                <w:i/>
                <w:color w:val="000000" w:themeColor="text1"/>
              </w:rPr>
              <w:t>niger</w:t>
            </w:r>
            <w:proofErr w:type="spellEnd"/>
          </w:p>
        </w:tc>
      </w:tr>
      <w:tr w:rsidR="00D21EB2" w:rsidRPr="00695F16" w14:paraId="2A3D0CA5" w14:textId="77777777" w:rsidTr="00061E43">
        <w:tc>
          <w:tcPr>
            <w:tcW w:w="1548" w:type="dxa"/>
            <w:vMerge w:val="restart"/>
            <w:tcBorders>
              <w:top w:val="single" w:sz="4" w:space="0" w:color="auto"/>
            </w:tcBorders>
            <w:hideMark/>
          </w:tcPr>
          <w:p w14:paraId="1929FA01" w14:textId="1C6E069A" w:rsidR="00061E43" w:rsidRPr="00B7295D" w:rsidRDefault="00061E43" w:rsidP="00061E43">
            <w:pPr>
              <w:pStyle w:val="NoSpacing"/>
              <w:spacing w:before="240"/>
              <w:jc w:val="both"/>
              <w:rPr>
                <w:rFonts w:ascii="Times New Roman" w:hAnsi="Times New Roman" w:cs="Times New Roman"/>
                <w:color w:val="000000" w:themeColor="text1"/>
                <w:lang w:val="en-GB"/>
              </w:rPr>
            </w:pPr>
            <w:r w:rsidRPr="00B7295D">
              <w:rPr>
                <w:rFonts w:ascii="Times New Roman" w:hAnsi="Times New Roman" w:cs="Times New Roman"/>
                <w:color w:val="000000" w:themeColor="text1"/>
                <w:lang w:val="en-GB"/>
              </w:rPr>
              <w:t>Hospital 3</w:t>
            </w:r>
          </w:p>
          <w:p w14:paraId="7A68A684" w14:textId="77777777" w:rsidR="00D21EB2" w:rsidRPr="00B7295D" w:rsidRDefault="00D21EB2" w:rsidP="00D659F0">
            <w:pPr>
              <w:pStyle w:val="NoSpacing"/>
              <w:spacing w:before="200"/>
              <w:jc w:val="both"/>
              <w:rPr>
                <w:rFonts w:ascii="Times New Roman" w:hAnsi="Times New Roman" w:cs="Times New Roman"/>
                <w:b/>
                <w:color w:val="000000" w:themeColor="text1"/>
                <w:lang w:val="en-GB"/>
              </w:rPr>
            </w:pPr>
          </w:p>
        </w:tc>
        <w:tc>
          <w:tcPr>
            <w:tcW w:w="2403" w:type="dxa"/>
            <w:tcBorders>
              <w:top w:val="single" w:sz="4" w:space="0" w:color="auto"/>
            </w:tcBorders>
            <w:hideMark/>
          </w:tcPr>
          <w:p w14:paraId="1BC911F6" w14:textId="690E687C" w:rsidR="00D21EB2" w:rsidRPr="00695F16" w:rsidRDefault="003C3772" w:rsidP="00D659F0">
            <w:pPr>
              <w:spacing w:before="200"/>
              <w:jc w:val="both"/>
              <w:rPr>
                <w:rFonts w:ascii="Times New Roman" w:hAnsi="Times New Roman" w:cs="Times New Roman"/>
                <w:color w:val="000000" w:themeColor="text1"/>
                <w:lang w:val="en-GB"/>
              </w:rPr>
            </w:pPr>
            <w:r w:rsidRPr="00695F16">
              <w:rPr>
                <w:rFonts w:ascii="Times New Roman" w:hAnsi="Times New Roman" w:cs="Times New Roman"/>
                <w:color w:val="000000" w:themeColor="text1"/>
              </w:rPr>
              <w:t>Emergency Ward</w:t>
            </w:r>
            <w:r w:rsidR="00D21EB2" w:rsidRPr="00695F16">
              <w:rPr>
                <w:rFonts w:ascii="Times New Roman" w:hAnsi="Times New Roman" w:cs="Times New Roman"/>
                <w:color w:val="000000" w:themeColor="text1"/>
              </w:rPr>
              <w:t xml:space="preserve"> </w:t>
            </w:r>
          </w:p>
        </w:tc>
        <w:tc>
          <w:tcPr>
            <w:tcW w:w="2007" w:type="dxa"/>
            <w:tcBorders>
              <w:top w:val="single" w:sz="4" w:space="0" w:color="auto"/>
            </w:tcBorders>
            <w:vAlign w:val="center"/>
            <w:hideMark/>
          </w:tcPr>
          <w:p w14:paraId="0BC2D586" w14:textId="77777777" w:rsidR="00D21EB2" w:rsidRPr="00695F16" w:rsidRDefault="00D21EB2" w:rsidP="00D659F0">
            <w:pPr>
              <w:spacing w:before="200"/>
              <w:jc w:val="both"/>
              <w:rPr>
                <w:rFonts w:ascii="Times New Roman" w:hAnsi="Times New Roman" w:cs="Times New Roman"/>
                <w:b/>
                <w:color w:val="000000" w:themeColor="text1"/>
              </w:rPr>
            </w:pPr>
            <w:r w:rsidRPr="00695F16">
              <w:rPr>
                <w:rStyle w:val="Strong"/>
                <w:rFonts w:ascii="Times New Roman" w:hAnsi="Times New Roman" w:cs="Times New Roman"/>
                <w:b w:val="0"/>
                <w:color w:val="000000" w:themeColor="text1"/>
              </w:rPr>
              <w:t>20.0 ± 0.23 × 10²</w:t>
            </w:r>
          </w:p>
        </w:tc>
        <w:tc>
          <w:tcPr>
            <w:tcW w:w="1350" w:type="dxa"/>
            <w:tcBorders>
              <w:top w:val="single" w:sz="4" w:space="0" w:color="auto"/>
            </w:tcBorders>
            <w:hideMark/>
          </w:tcPr>
          <w:p w14:paraId="4C863046" w14:textId="77777777" w:rsidR="00D21EB2" w:rsidRPr="00695F16" w:rsidRDefault="00D21EB2" w:rsidP="00D659F0">
            <w:pPr>
              <w:spacing w:before="200"/>
              <w:jc w:val="both"/>
              <w:rPr>
                <w:rFonts w:ascii="Times New Roman" w:hAnsi="Times New Roman" w:cs="Times New Roman"/>
                <w:color w:val="000000" w:themeColor="text1"/>
              </w:rPr>
            </w:pPr>
            <w:r w:rsidRPr="00695F16">
              <w:rPr>
                <w:rFonts w:ascii="Times New Roman" w:hAnsi="Times New Roman" w:cs="Times New Roman"/>
                <w:color w:val="000000" w:themeColor="text1"/>
              </w:rPr>
              <w:t>≤ 5.0×10²</w:t>
            </w:r>
          </w:p>
        </w:tc>
        <w:tc>
          <w:tcPr>
            <w:tcW w:w="3240" w:type="dxa"/>
            <w:tcBorders>
              <w:top w:val="single" w:sz="4" w:space="0" w:color="auto"/>
            </w:tcBorders>
            <w:vAlign w:val="center"/>
            <w:hideMark/>
          </w:tcPr>
          <w:p w14:paraId="52F6C8EB" w14:textId="77777777" w:rsidR="00D21EB2" w:rsidRPr="00695F16" w:rsidRDefault="00D21EB2" w:rsidP="00D659F0">
            <w:pPr>
              <w:spacing w:before="200"/>
              <w:jc w:val="both"/>
              <w:rPr>
                <w:rFonts w:ascii="Times New Roman" w:hAnsi="Times New Roman" w:cs="Times New Roman"/>
                <w:i/>
                <w:color w:val="000000" w:themeColor="text1"/>
              </w:rPr>
            </w:pPr>
            <w:r w:rsidRPr="00695F16">
              <w:rPr>
                <w:rFonts w:ascii="Times New Roman" w:hAnsi="Times New Roman" w:cs="Times New Roman"/>
                <w:i/>
                <w:color w:val="000000" w:themeColor="text1"/>
              </w:rPr>
              <w:t xml:space="preserve">Alternaria </w:t>
            </w:r>
            <w:proofErr w:type="spellStart"/>
            <w:r w:rsidRPr="007B1326">
              <w:rPr>
                <w:rFonts w:ascii="Times New Roman" w:hAnsi="Times New Roman" w:cs="Times New Roman"/>
                <w:iCs/>
                <w:color w:val="000000" w:themeColor="text1"/>
              </w:rPr>
              <w:t>spp</w:t>
            </w:r>
            <w:proofErr w:type="spellEnd"/>
            <w:r w:rsidRPr="00695F16">
              <w:rPr>
                <w:rFonts w:ascii="Times New Roman" w:hAnsi="Times New Roman" w:cs="Times New Roman"/>
                <w:i/>
                <w:color w:val="000000" w:themeColor="text1"/>
              </w:rPr>
              <w:t xml:space="preserve">; Rhizopus </w:t>
            </w:r>
            <w:r w:rsidRPr="003C3772">
              <w:rPr>
                <w:rFonts w:ascii="Times New Roman" w:hAnsi="Times New Roman" w:cs="Times New Roman"/>
                <w:iCs/>
                <w:color w:val="000000" w:themeColor="text1"/>
              </w:rPr>
              <w:t>spp</w:t>
            </w:r>
            <w:r w:rsidRPr="00695F16">
              <w:rPr>
                <w:rFonts w:ascii="Times New Roman" w:hAnsi="Times New Roman" w:cs="Times New Roman"/>
                <w:i/>
                <w:color w:val="000000" w:themeColor="text1"/>
              </w:rPr>
              <w:t>.</w:t>
            </w:r>
          </w:p>
          <w:p w14:paraId="6086B0E4" w14:textId="77777777" w:rsidR="00D21EB2" w:rsidRPr="00695F16" w:rsidRDefault="00D21EB2" w:rsidP="00D659F0">
            <w:pPr>
              <w:spacing w:before="200"/>
              <w:jc w:val="both"/>
              <w:rPr>
                <w:rFonts w:ascii="Times New Roman" w:hAnsi="Times New Roman" w:cs="Times New Roman"/>
                <w:color w:val="000000" w:themeColor="text1"/>
              </w:rPr>
            </w:pPr>
            <w:r w:rsidRPr="00695F16">
              <w:rPr>
                <w:rFonts w:ascii="Times New Roman" w:hAnsi="Times New Roman" w:cs="Times New Roman"/>
                <w:i/>
                <w:color w:val="000000" w:themeColor="text1"/>
              </w:rPr>
              <w:t xml:space="preserve">Aspergillus </w:t>
            </w:r>
            <w:proofErr w:type="spellStart"/>
            <w:r w:rsidRPr="00695F16">
              <w:rPr>
                <w:rFonts w:ascii="Times New Roman" w:hAnsi="Times New Roman" w:cs="Times New Roman"/>
                <w:i/>
                <w:color w:val="000000" w:themeColor="text1"/>
              </w:rPr>
              <w:t>niger</w:t>
            </w:r>
            <w:proofErr w:type="spellEnd"/>
            <w:r w:rsidRPr="00695F16">
              <w:rPr>
                <w:rFonts w:ascii="Times New Roman" w:hAnsi="Times New Roman" w:cs="Times New Roman"/>
                <w:color w:val="000000" w:themeColor="text1"/>
              </w:rPr>
              <w:t xml:space="preserve"> </w:t>
            </w:r>
          </w:p>
        </w:tc>
      </w:tr>
      <w:tr w:rsidR="00D21EB2" w:rsidRPr="00695F16" w14:paraId="4BCA0ACE" w14:textId="77777777" w:rsidTr="00061E43">
        <w:tc>
          <w:tcPr>
            <w:tcW w:w="1548" w:type="dxa"/>
            <w:vMerge/>
            <w:vAlign w:val="center"/>
            <w:hideMark/>
          </w:tcPr>
          <w:p w14:paraId="031AEC6A" w14:textId="77777777" w:rsidR="00D21EB2" w:rsidRPr="00695F16" w:rsidRDefault="00D21EB2" w:rsidP="00D659F0">
            <w:pPr>
              <w:spacing w:before="200"/>
              <w:jc w:val="both"/>
              <w:rPr>
                <w:rFonts w:ascii="Times New Roman" w:hAnsi="Times New Roman" w:cs="Times New Roman"/>
                <w:b/>
                <w:color w:val="000000" w:themeColor="text1"/>
                <w:lang w:val="en-GB"/>
              </w:rPr>
            </w:pPr>
          </w:p>
        </w:tc>
        <w:tc>
          <w:tcPr>
            <w:tcW w:w="2403" w:type="dxa"/>
            <w:hideMark/>
          </w:tcPr>
          <w:p w14:paraId="3AEC4326" w14:textId="4E98A5FD" w:rsidR="00D21EB2" w:rsidRPr="00695F16" w:rsidRDefault="00D21EB2" w:rsidP="00D659F0">
            <w:pPr>
              <w:spacing w:before="200"/>
              <w:jc w:val="both"/>
              <w:rPr>
                <w:rFonts w:ascii="Times New Roman" w:hAnsi="Times New Roman" w:cs="Times New Roman"/>
                <w:color w:val="000000" w:themeColor="text1"/>
              </w:rPr>
            </w:pPr>
            <w:r w:rsidRPr="00695F16">
              <w:rPr>
                <w:rFonts w:ascii="Times New Roman" w:hAnsi="Times New Roman" w:cs="Times New Roman"/>
                <w:color w:val="000000" w:themeColor="text1"/>
              </w:rPr>
              <w:t xml:space="preserve">Card / Records </w:t>
            </w:r>
          </w:p>
        </w:tc>
        <w:tc>
          <w:tcPr>
            <w:tcW w:w="2007" w:type="dxa"/>
            <w:vAlign w:val="center"/>
            <w:hideMark/>
          </w:tcPr>
          <w:p w14:paraId="14D8DBD5" w14:textId="77777777" w:rsidR="00D21EB2" w:rsidRPr="00695F16" w:rsidRDefault="00D21EB2" w:rsidP="00D659F0">
            <w:pPr>
              <w:spacing w:before="200"/>
              <w:jc w:val="both"/>
              <w:rPr>
                <w:rFonts w:ascii="Times New Roman" w:hAnsi="Times New Roman" w:cs="Times New Roman"/>
                <w:b/>
                <w:color w:val="000000" w:themeColor="text1"/>
              </w:rPr>
            </w:pPr>
            <w:r w:rsidRPr="00695F16">
              <w:rPr>
                <w:rStyle w:val="Strong"/>
                <w:rFonts w:ascii="Times New Roman" w:hAnsi="Times New Roman" w:cs="Times New Roman"/>
                <w:b w:val="0"/>
                <w:color w:val="000000" w:themeColor="text1"/>
              </w:rPr>
              <w:t>6.7± 0.07 × 10²</w:t>
            </w:r>
          </w:p>
        </w:tc>
        <w:tc>
          <w:tcPr>
            <w:tcW w:w="1350" w:type="dxa"/>
            <w:hideMark/>
          </w:tcPr>
          <w:p w14:paraId="5E762862" w14:textId="77777777" w:rsidR="00D21EB2" w:rsidRPr="00695F16" w:rsidRDefault="00D21EB2" w:rsidP="00D659F0">
            <w:pPr>
              <w:spacing w:before="200"/>
              <w:jc w:val="both"/>
              <w:rPr>
                <w:rFonts w:ascii="Times New Roman" w:hAnsi="Times New Roman" w:cs="Times New Roman"/>
                <w:i/>
                <w:color w:val="000000" w:themeColor="text1"/>
              </w:rPr>
            </w:pPr>
            <w:r w:rsidRPr="00695F16">
              <w:rPr>
                <w:rFonts w:ascii="Times New Roman" w:hAnsi="Times New Roman" w:cs="Times New Roman"/>
                <w:color w:val="000000" w:themeColor="text1"/>
              </w:rPr>
              <w:t>≤ 5.0×10²</w:t>
            </w:r>
          </w:p>
        </w:tc>
        <w:tc>
          <w:tcPr>
            <w:tcW w:w="3240" w:type="dxa"/>
            <w:vAlign w:val="center"/>
            <w:hideMark/>
          </w:tcPr>
          <w:p w14:paraId="75F825AB" w14:textId="77777777" w:rsidR="00D21EB2" w:rsidRPr="00695F16" w:rsidRDefault="00D21EB2" w:rsidP="00D659F0">
            <w:pPr>
              <w:spacing w:before="200"/>
              <w:jc w:val="both"/>
              <w:rPr>
                <w:rFonts w:ascii="Times New Roman" w:hAnsi="Times New Roman" w:cs="Times New Roman"/>
                <w:i/>
                <w:color w:val="000000" w:themeColor="text1"/>
              </w:rPr>
            </w:pPr>
            <w:r w:rsidRPr="00695F16">
              <w:rPr>
                <w:rFonts w:ascii="Times New Roman" w:hAnsi="Times New Roman" w:cs="Times New Roman"/>
                <w:i/>
                <w:color w:val="000000" w:themeColor="text1"/>
              </w:rPr>
              <w:t xml:space="preserve">Fusarium </w:t>
            </w:r>
            <w:proofErr w:type="spellStart"/>
            <w:r w:rsidRPr="007B1326">
              <w:rPr>
                <w:rFonts w:ascii="Times New Roman" w:hAnsi="Times New Roman" w:cs="Times New Roman"/>
                <w:iCs/>
                <w:color w:val="000000" w:themeColor="text1"/>
              </w:rPr>
              <w:t>spp</w:t>
            </w:r>
            <w:proofErr w:type="spellEnd"/>
          </w:p>
        </w:tc>
      </w:tr>
      <w:tr w:rsidR="00D21EB2" w:rsidRPr="00695F16" w14:paraId="10B3DBEB" w14:textId="77777777" w:rsidTr="00061E43">
        <w:tc>
          <w:tcPr>
            <w:tcW w:w="1548" w:type="dxa"/>
            <w:vMerge/>
            <w:vAlign w:val="center"/>
            <w:hideMark/>
          </w:tcPr>
          <w:p w14:paraId="210D5A14" w14:textId="77777777" w:rsidR="00D21EB2" w:rsidRPr="00695F16" w:rsidRDefault="00D21EB2" w:rsidP="00D659F0">
            <w:pPr>
              <w:spacing w:before="200"/>
              <w:jc w:val="both"/>
              <w:rPr>
                <w:rFonts w:ascii="Times New Roman" w:hAnsi="Times New Roman" w:cs="Times New Roman"/>
                <w:b/>
                <w:color w:val="000000" w:themeColor="text1"/>
                <w:lang w:val="en-GB"/>
              </w:rPr>
            </w:pPr>
          </w:p>
        </w:tc>
        <w:tc>
          <w:tcPr>
            <w:tcW w:w="2403" w:type="dxa"/>
            <w:hideMark/>
          </w:tcPr>
          <w:p w14:paraId="1845718F" w14:textId="7DECDA45" w:rsidR="00D21EB2" w:rsidRPr="00695F16" w:rsidRDefault="00D21EB2" w:rsidP="00D659F0">
            <w:pPr>
              <w:spacing w:before="200"/>
              <w:jc w:val="both"/>
              <w:rPr>
                <w:rFonts w:ascii="Times New Roman" w:hAnsi="Times New Roman" w:cs="Times New Roman"/>
                <w:color w:val="000000" w:themeColor="text1"/>
              </w:rPr>
            </w:pPr>
            <w:r w:rsidRPr="00695F16">
              <w:rPr>
                <w:rFonts w:ascii="Times New Roman" w:hAnsi="Times New Roman" w:cs="Times New Roman"/>
                <w:color w:val="000000" w:themeColor="text1"/>
              </w:rPr>
              <w:t xml:space="preserve">Female Ward </w:t>
            </w:r>
          </w:p>
        </w:tc>
        <w:tc>
          <w:tcPr>
            <w:tcW w:w="2007" w:type="dxa"/>
            <w:vAlign w:val="center"/>
            <w:hideMark/>
          </w:tcPr>
          <w:p w14:paraId="3B222895" w14:textId="77777777" w:rsidR="00D21EB2" w:rsidRPr="00695F16" w:rsidRDefault="00D21EB2" w:rsidP="00D659F0">
            <w:pPr>
              <w:spacing w:before="200"/>
              <w:jc w:val="both"/>
              <w:rPr>
                <w:rFonts w:ascii="Times New Roman" w:hAnsi="Times New Roman" w:cs="Times New Roman"/>
                <w:color w:val="000000" w:themeColor="text1"/>
              </w:rPr>
            </w:pPr>
            <w:r w:rsidRPr="00695F16">
              <w:rPr>
                <w:rFonts w:ascii="Times New Roman" w:hAnsi="Times New Roman" w:cs="Times New Roman"/>
                <w:color w:val="000000" w:themeColor="text1"/>
              </w:rPr>
              <w:t>0.40</w:t>
            </w:r>
            <w:r w:rsidRPr="00695F16">
              <w:rPr>
                <w:rStyle w:val="Strong"/>
                <w:rFonts w:ascii="Times New Roman" w:hAnsi="Times New Roman" w:cs="Times New Roman"/>
                <w:color w:val="000000" w:themeColor="text1"/>
              </w:rPr>
              <w:t xml:space="preserve">± </w:t>
            </w:r>
            <w:r w:rsidRPr="00695F16">
              <w:rPr>
                <w:rStyle w:val="Strong"/>
                <w:rFonts w:ascii="Times New Roman" w:hAnsi="Times New Roman" w:cs="Times New Roman"/>
                <w:b w:val="0"/>
                <w:color w:val="000000" w:themeColor="text1"/>
              </w:rPr>
              <w:t>0.03 × 10²</w:t>
            </w:r>
          </w:p>
        </w:tc>
        <w:tc>
          <w:tcPr>
            <w:tcW w:w="1350" w:type="dxa"/>
            <w:hideMark/>
          </w:tcPr>
          <w:p w14:paraId="287BA75C" w14:textId="77777777" w:rsidR="00D21EB2" w:rsidRPr="00695F16" w:rsidRDefault="00D21EB2" w:rsidP="00D659F0">
            <w:pPr>
              <w:spacing w:before="200"/>
              <w:jc w:val="both"/>
              <w:rPr>
                <w:rFonts w:ascii="Times New Roman" w:hAnsi="Times New Roman" w:cs="Times New Roman"/>
                <w:color w:val="000000" w:themeColor="text1"/>
              </w:rPr>
            </w:pPr>
            <w:r w:rsidRPr="00695F16">
              <w:rPr>
                <w:rFonts w:ascii="Times New Roman" w:hAnsi="Times New Roman" w:cs="Times New Roman"/>
                <w:color w:val="000000" w:themeColor="text1"/>
              </w:rPr>
              <w:t>≤ 5.0×10²</w:t>
            </w:r>
          </w:p>
        </w:tc>
        <w:tc>
          <w:tcPr>
            <w:tcW w:w="3240" w:type="dxa"/>
            <w:vAlign w:val="center"/>
            <w:hideMark/>
          </w:tcPr>
          <w:p w14:paraId="2AD035FC" w14:textId="77777777" w:rsidR="00D21EB2" w:rsidRPr="00695F16" w:rsidRDefault="00D21EB2" w:rsidP="00D659F0">
            <w:pPr>
              <w:spacing w:before="200"/>
              <w:jc w:val="both"/>
              <w:rPr>
                <w:rFonts w:ascii="Times New Roman" w:hAnsi="Times New Roman" w:cs="Times New Roman"/>
                <w:color w:val="000000" w:themeColor="text1"/>
              </w:rPr>
            </w:pPr>
            <w:r w:rsidRPr="00695F16">
              <w:rPr>
                <w:rFonts w:ascii="Times New Roman" w:hAnsi="Times New Roman" w:cs="Times New Roman"/>
                <w:i/>
                <w:color w:val="000000" w:themeColor="text1"/>
              </w:rPr>
              <w:t xml:space="preserve">Aspergillus </w:t>
            </w:r>
            <w:proofErr w:type="spellStart"/>
            <w:r w:rsidRPr="00695F16">
              <w:rPr>
                <w:rFonts w:ascii="Times New Roman" w:hAnsi="Times New Roman" w:cs="Times New Roman"/>
                <w:i/>
                <w:color w:val="000000" w:themeColor="text1"/>
              </w:rPr>
              <w:t>niger</w:t>
            </w:r>
            <w:proofErr w:type="spellEnd"/>
          </w:p>
        </w:tc>
      </w:tr>
    </w:tbl>
    <w:p w14:paraId="5F0871E7" w14:textId="77777777" w:rsidR="00D21EB2" w:rsidRDefault="00D21EB2" w:rsidP="00D21EB2">
      <w:pPr>
        <w:spacing w:after="0" w:line="240" w:lineRule="auto"/>
        <w:jc w:val="both"/>
        <w:rPr>
          <w:rFonts w:ascii="Times New Roman" w:hAnsi="Times New Roman" w:cs="Times New Roman"/>
          <w:color w:val="000000" w:themeColor="text1"/>
        </w:rPr>
      </w:pPr>
      <w:r w:rsidRPr="00695F16">
        <w:rPr>
          <w:rFonts w:ascii="Times New Roman" w:hAnsi="Times New Roman" w:cs="Times New Roman"/>
          <w:color w:val="000000" w:themeColor="text1"/>
        </w:rPr>
        <w:t xml:space="preserve"> </w:t>
      </w:r>
      <w:r w:rsidR="00061E43" w:rsidRPr="00061E43">
        <w:rPr>
          <w:rFonts w:ascii="Times New Roman" w:hAnsi="Times New Roman" w:cs="Times New Roman"/>
          <w:b/>
          <w:color w:val="000000" w:themeColor="text1"/>
          <w:sz w:val="20"/>
          <w:szCs w:val="20"/>
        </w:rPr>
        <w:t>Note:</w:t>
      </w:r>
      <w:r w:rsidRPr="00061E43">
        <w:rPr>
          <w:rFonts w:ascii="Times New Roman" w:hAnsi="Times New Roman" w:cs="Times New Roman"/>
          <w:color w:val="000000" w:themeColor="text1"/>
          <w:sz w:val="20"/>
          <w:szCs w:val="20"/>
        </w:rPr>
        <w:t xml:space="preserve"> All values are expressed as mean± standard error. </w:t>
      </w:r>
      <w:proofErr w:type="spellStart"/>
      <w:r w:rsidRPr="00061E43">
        <w:rPr>
          <w:rFonts w:ascii="Times New Roman" w:hAnsi="Times New Roman" w:cs="Times New Roman"/>
          <w:color w:val="000000" w:themeColor="text1"/>
          <w:sz w:val="20"/>
          <w:szCs w:val="20"/>
        </w:rPr>
        <w:t>spp</w:t>
      </w:r>
      <w:proofErr w:type="spellEnd"/>
      <w:r w:rsidRPr="00061E43">
        <w:rPr>
          <w:rFonts w:ascii="Times New Roman" w:hAnsi="Times New Roman" w:cs="Times New Roman"/>
          <w:color w:val="000000" w:themeColor="text1"/>
          <w:sz w:val="20"/>
          <w:szCs w:val="20"/>
        </w:rPr>
        <w:t>= species</w:t>
      </w:r>
      <w:r w:rsidRPr="00695F16">
        <w:rPr>
          <w:rFonts w:ascii="Times New Roman" w:hAnsi="Times New Roman" w:cs="Times New Roman"/>
          <w:color w:val="000000" w:themeColor="text1"/>
        </w:rPr>
        <w:t>.</w:t>
      </w:r>
    </w:p>
    <w:p w14:paraId="29E30E27" w14:textId="59966140" w:rsidR="008E3E76" w:rsidRPr="008E3E76" w:rsidRDefault="00D21EB2" w:rsidP="008E3E76">
      <w:pPr>
        <w:pStyle w:val="NormalWeb"/>
        <w:spacing w:before="200" w:beforeAutospacing="0" w:after="0" w:afterAutospacing="0"/>
        <w:jc w:val="both"/>
        <w:rPr>
          <w:color w:val="000000" w:themeColor="text1"/>
          <w:sz w:val="22"/>
          <w:szCs w:val="22"/>
        </w:rPr>
      </w:pPr>
      <w:r w:rsidRPr="00695F16">
        <w:rPr>
          <w:color w:val="000000" w:themeColor="text1"/>
          <w:sz w:val="22"/>
          <w:szCs w:val="22"/>
        </w:rPr>
        <w:t xml:space="preserve">Air quality assessment across nine hospital departments showed substantial spatial variation when compared with WHO (2023), NESREA (2011), and SON (2015) standards. </w:t>
      </w:r>
      <w:r w:rsidR="008E3E76" w:rsidRPr="008E3E76">
        <w:rPr>
          <w:color w:val="000000" w:themeColor="text1"/>
          <w:sz w:val="22"/>
          <w:szCs w:val="22"/>
        </w:rPr>
        <w:t>The physicochemical characteristics observed in this study are consistent with recent empirical evidence showing that hospital indoor environments often exhibit elevated temperature, particulate matter, and chemical pollutants. The temperature range recorded in this study (29.1–32.8°C) agrees with reports that hospital indoor temperatures in tropical and resource-limited settings frequently exceed recommended comfort limits. Similarly, the PM₁₀ values (27.1–51.8 µg/m³), with some exceeding the 45 µg/m³ guideline, align with findings from recent hospital-based studies that documented elevated particulate matter levels in clinical environments, particularly in high-activity units (Ahmad Jonidi Jafari et al., 2025). Furthermore, the extremely high VOC concentrations observed in this study (up to 9458 ppm) are consistent with broader reviews indicating that healthcare environments often contain significant levels of VOCs due to disinfectants, medical supplies, and cleaning agents (Morakinyo et al., 2022). These findings collectively reinforce the pattern that hospital indoor air is often chemically burdened and spatially variable.</w:t>
      </w:r>
    </w:p>
    <w:p w14:paraId="06A2C41D" w14:textId="77777777" w:rsidR="008E3E76" w:rsidRPr="008E3E76" w:rsidRDefault="008E3E76" w:rsidP="008E3E76">
      <w:pPr>
        <w:pStyle w:val="NormalWeb"/>
        <w:spacing w:before="200" w:beforeAutospacing="0" w:after="0" w:afterAutospacing="0"/>
        <w:jc w:val="both"/>
        <w:rPr>
          <w:color w:val="000000" w:themeColor="text1"/>
          <w:sz w:val="22"/>
          <w:szCs w:val="22"/>
        </w:rPr>
      </w:pPr>
      <w:r w:rsidRPr="008E3E76">
        <w:rPr>
          <w:color w:val="000000" w:themeColor="text1"/>
          <w:sz w:val="22"/>
          <w:szCs w:val="22"/>
        </w:rPr>
        <w:t xml:space="preserve">The bacterial results of this study also show strong agreement with previous research demonstrating that hospital air commonly contains elevated microbial loads, especially in high-occupancy areas. The bacterial counts recorded in this study (up to 5.29 × 10³ CFU/m³) fall within the range reported in recent studies, where concentrations between 829 and 4980 CFU/m³ were observed in hospital wards and outpatient departments (Onmek et al., 2022). The dominance of </w:t>
      </w:r>
      <w:r w:rsidRPr="008E3E76">
        <w:rPr>
          <w:i/>
          <w:iCs/>
          <w:color w:val="000000" w:themeColor="text1"/>
          <w:sz w:val="22"/>
          <w:szCs w:val="22"/>
        </w:rPr>
        <w:t xml:space="preserve">Bacillus </w:t>
      </w:r>
      <w:r w:rsidRPr="008E3E76">
        <w:rPr>
          <w:color w:val="000000" w:themeColor="text1"/>
          <w:sz w:val="22"/>
          <w:szCs w:val="22"/>
        </w:rPr>
        <w:t xml:space="preserve">spp., </w:t>
      </w:r>
      <w:r w:rsidRPr="008E3E76">
        <w:rPr>
          <w:i/>
          <w:iCs/>
          <w:color w:val="000000" w:themeColor="text1"/>
          <w:sz w:val="22"/>
          <w:szCs w:val="22"/>
        </w:rPr>
        <w:t>Staphylococcus aureus</w:t>
      </w:r>
      <w:r w:rsidRPr="008E3E76">
        <w:rPr>
          <w:color w:val="000000" w:themeColor="text1"/>
          <w:sz w:val="22"/>
          <w:szCs w:val="22"/>
        </w:rPr>
        <w:t xml:space="preserve">, and </w:t>
      </w:r>
      <w:r w:rsidRPr="008E3E76">
        <w:rPr>
          <w:i/>
          <w:iCs/>
          <w:color w:val="000000" w:themeColor="text1"/>
          <w:sz w:val="22"/>
          <w:szCs w:val="22"/>
        </w:rPr>
        <w:t xml:space="preserve">Micrococcus </w:t>
      </w:r>
      <w:r w:rsidRPr="008E3E76">
        <w:rPr>
          <w:color w:val="000000" w:themeColor="text1"/>
          <w:sz w:val="22"/>
          <w:szCs w:val="22"/>
        </w:rPr>
        <w:t>spp</w:t>
      </w:r>
      <w:r w:rsidRPr="008E3E76">
        <w:rPr>
          <w:i/>
          <w:iCs/>
          <w:color w:val="000000" w:themeColor="text1"/>
          <w:sz w:val="22"/>
          <w:szCs w:val="22"/>
        </w:rPr>
        <w:t>.</w:t>
      </w:r>
      <w:r w:rsidRPr="008E3E76">
        <w:rPr>
          <w:color w:val="000000" w:themeColor="text1"/>
          <w:sz w:val="22"/>
          <w:szCs w:val="22"/>
        </w:rPr>
        <w:t xml:space="preserve"> identified in this study further aligns with these findings, as these genera are consistently reported as the most abundant airborne bacteria in healthcare environments (Onmek et al., 2022). In addition, evidence from hospital-based exposure studies indicates that indoor bacterial aerosols are prevalent and may pose health risks in clinical settings, particularly in developing regions (Megri et al., 2022), supporting the elevated bacterial loads observed across several departments in this study.</w:t>
      </w:r>
    </w:p>
    <w:p w14:paraId="2D4A4D20" w14:textId="77777777" w:rsidR="008E3E76" w:rsidRPr="008E3E76" w:rsidRDefault="008E3E76" w:rsidP="008E3E76">
      <w:pPr>
        <w:pStyle w:val="NormalWeb"/>
        <w:spacing w:before="200" w:beforeAutospacing="0" w:after="0" w:afterAutospacing="0"/>
        <w:jc w:val="both"/>
        <w:rPr>
          <w:color w:val="000000" w:themeColor="text1"/>
          <w:sz w:val="22"/>
          <w:szCs w:val="22"/>
        </w:rPr>
      </w:pPr>
      <w:r w:rsidRPr="008E3E76">
        <w:rPr>
          <w:color w:val="000000" w:themeColor="text1"/>
          <w:sz w:val="22"/>
          <w:szCs w:val="22"/>
        </w:rPr>
        <w:t xml:space="preserve">The fungal findings equally agree with recent studies highlighting the widespread presence and variability of airborne fungi in hospital environments. The fungal counts recorded in this study (up to 20.0 × 10² CFU/m³) are comparable to values reported in hospital environments, where fungal concentrations ranging from 90 to 920 CFU/m³ have been documented (Onmek et al., 2022). The predominance of genera such as </w:t>
      </w:r>
      <w:r w:rsidRPr="008E3E76">
        <w:rPr>
          <w:i/>
          <w:iCs/>
          <w:color w:val="000000" w:themeColor="text1"/>
          <w:sz w:val="22"/>
          <w:szCs w:val="22"/>
        </w:rPr>
        <w:t>Aspergillus</w:t>
      </w:r>
      <w:r w:rsidRPr="008E3E76">
        <w:rPr>
          <w:color w:val="000000" w:themeColor="text1"/>
          <w:sz w:val="22"/>
          <w:szCs w:val="22"/>
        </w:rPr>
        <w:t xml:space="preserve">, </w:t>
      </w:r>
      <w:r w:rsidRPr="008E3E76">
        <w:rPr>
          <w:i/>
          <w:iCs/>
          <w:color w:val="000000" w:themeColor="text1"/>
          <w:sz w:val="22"/>
          <w:szCs w:val="22"/>
        </w:rPr>
        <w:t>Fusarium</w:t>
      </w:r>
      <w:r w:rsidRPr="008E3E76">
        <w:rPr>
          <w:color w:val="000000" w:themeColor="text1"/>
          <w:sz w:val="22"/>
          <w:szCs w:val="22"/>
        </w:rPr>
        <w:t xml:space="preserve">, and </w:t>
      </w:r>
      <w:r w:rsidRPr="008E3E76">
        <w:rPr>
          <w:i/>
          <w:iCs/>
          <w:color w:val="000000" w:themeColor="text1"/>
          <w:sz w:val="22"/>
          <w:szCs w:val="22"/>
        </w:rPr>
        <w:t>Alternaria</w:t>
      </w:r>
      <w:r w:rsidRPr="008E3E76">
        <w:rPr>
          <w:color w:val="000000" w:themeColor="text1"/>
          <w:sz w:val="22"/>
          <w:szCs w:val="22"/>
        </w:rPr>
        <w:t xml:space="preserve"> also aligns with recent findings from hospital-based studies, which consistently identify these fungi as common airborne contaminants. For example, Belizario et al. (2021) reported that </w:t>
      </w:r>
      <w:r w:rsidRPr="008E3E76">
        <w:rPr>
          <w:i/>
          <w:iCs/>
          <w:color w:val="000000" w:themeColor="text1"/>
          <w:sz w:val="22"/>
          <w:szCs w:val="22"/>
        </w:rPr>
        <w:t>Aspergillus</w:t>
      </w:r>
      <w:r w:rsidRPr="008E3E76">
        <w:rPr>
          <w:color w:val="000000" w:themeColor="text1"/>
          <w:sz w:val="22"/>
          <w:szCs w:val="22"/>
        </w:rPr>
        <w:t xml:space="preserve"> species are among the most dominant fungi in indoor hospital air, particularly in critical care areas. Similarly, Lemos et al. (2024) documented the frequent occurrence of </w:t>
      </w:r>
      <w:r w:rsidRPr="008E3E76">
        <w:rPr>
          <w:i/>
          <w:iCs/>
          <w:color w:val="000000" w:themeColor="text1"/>
          <w:sz w:val="22"/>
          <w:szCs w:val="22"/>
        </w:rPr>
        <w:t>Aspergillus</w:t>
      </w:r>
      <w:r w:rsidRPr="008E3E76">
        <w:rPr>
          <w:color w:val="000000" w:themeColor="text1"/>
          <w:sz w:val="22"/>
          <w:szCs w:val="22"/>
        </w:rPr>
        <w:t xml:space="preserve"> species in tertiary hospital environments, with variations across departments. These findings support the fungal profile and spatial distribution observed in this study.</w:t>
      </w:r>
    </w:p>
    <w:p w14:paraId="167D8E22" w14:textId="54355723" w:rsidR="008E3E76" w:rsidRPr="008E3E76" w:rsidRDefault="008E3E76" w:rsidP="008E3E76">
      <w:pPr>
        <w:pStyle w:val="NormalWeb"/>
        <w:spacing w:before="200" w:beforeAutospacing="0" w:after="0" w:afterAutospacing="0"/>
        <w:jc w:val="both"/>
        <w:rPr>
          <w:color w:val="000000" w:themeColor="text1"/>
          <w:sz w:val="22"/>
          <w:szCs w:val="22"/>
        </w:rPr>
      </w:pPr>
      <w:r w:rsidRPr="008E3E76">
        <w:rPr>
          <w:color w:val="000000" w:themeColor="text1"/>
          <w:sz w:val="22"/>
          <w:szCs w:val="22"/>
        </w:rPr>
        <w:t>In addition to agreement, the present findings also show some variation compared with previous studies, highlighting the influence of environmental and operational factors. While some studies report consistently high particulate and microbial loads across all hospital units, this study shows that certain departments recorded lower PM</w:t>
      </w:r>
      <w:proofErr w:type="gramStart"/>
      <w:r w:rsidRPr="008E3E76">
        <w:rPr>
          <w:color w:val="000000" w:themeColor="text1"/>
          <w:sz w:val="22"/>
          <w:szCs w:val="22"/>
        </w:rPr>
        <w:t>₂.₅</w:t>
      </w:r>
      <w:proofErr w:type="gramEnd"/>
      <w:r w:rsidRPr="008E3E76">
        <w:rPr>
          <w:color w:val="000000" w:themeColor="text1"/>
          <w:sz w:val="22"/>
          <w:szCs w:val="22"/>
        </w:rPr>
        <w:t xml:space="preserve"> and fungal counts, indicating localized differences. Recent reviews confirm that indoor air quality in hospitals is strongly influenced by ventilation efficiency, occupancy rate, and sanitation practices, with better</w:t>
      </w:r>
      <w:r>
        <w:rPr>
          <w:color w:val="000000" w:themeColor="text1"/>
          <w:sz w:val="22"/>
          <w:szCs w:val="22"/>
        </w:rPr>
        <w:t xml:space="preserve"> </w:t>
      </w:r>
      <w:r w:rsidRPr="008E3E76">
        <w:rPr>
          <w:color w:val="000000" w:themeColor="text1"/>
          <w:sz w:val="22"/>
          <w:szCs w:val="22"/>
        </w:rPr>
        <w:t>managed environments showing reduced contamination levels (Morakinyo et al., 2022). This suggests that the variability observed in this study reflects the dynamic and location</w:t>
      </w:r>
      <w:r>
        <w:rPr>
          <w:color w:val="000000" w:themeColor="text1"/>
          <w:sz w:val="22"/>
          <w:szCs w:val="22"/>
        </w:rPr>
        <w:t xml:space="preserve"> </w:t>
      </w:r>
      <w:r w:rsidRPr="008E3E76">
        <w:rPr>
          <w:color w:val="000000" w:themeColor="text1"/>
          <w:sz w:val="22"/>
          <w:szCs w:val="22"/>
        </w:rPr>
        <w:t>specific nature of hospital indoor air quality.</w:t>
      </w:r>
    </w:p>
    <w:p w14:paraId="69C26918" w14:textId="56FDC6B8" w:rsidR="008E3E76" w:rsidRPr="008E3E76" w:rsidRDefault="008E3E76" w:rsidP="008E3E76">
      <w:pPr>
        <w:pStyle w:val="NormalWeb"/>
        <w:spacing w:before="200" w:beforeAutospacing="0" w:after="0" w:afterAutospacing="0"/>
        <w:jc w:val="both"/>
        <w:rPr>
          <w:color w:val="000000" w:themeColor="text1"/>
          <w:sz w:val="22"/>
          <w:szCs w:val="22"/>
        </w:rPr>
      </w:pPr>
      <w:r w:rsidRPr="008E3E76">
        <w:rPr>
          <w:color w:val="000000" w:themeColor="text1"/>
          <w:sz w:val="22"/>
          <w:szCs w:val="22"/>
        </w:rPr>
        <w:lastRenderedPageBreak/>
        <w:t xml:space="preserve">Overall, the findings of this study are in strong agreement with </w:t>
      </w:r>
      <w:r w:rsidR="00003711" w:rsidRPr="008E3E76">
        <w:rPr>
          <w:color w:val="000000" w:themeColor="text1"/>
          <w:sz w:val="22"/>
          <w:szCs w:val="22"/>
        </w:rPr>
        <w:t>recent research</w:t>
      </w:r>
      <w:r w:rsidRPr="008E3E76">
        <w:rPr>
          <w:color w:val="000000" w:themeColor="text1"/>
          <w:sz w:val="22"/>
          <w:szCs w:val="22"/>
        </w:rPr>
        <w:t>, demonstrating that hospital indoor air is characterized by elevated chemical pollutants, significant microbial contamination, and marked spatial variability across departments. The concurrence of high VOC levels, elevated particulate matter, and substantial bacterial and fungal loads supports the growing body of evidence that healthcare environments remain critical zones for indoor air quality concerns. At the same time, the observed variations across departments reinforce the understanding that indoor air quality is not uniform but influenced by multiple interacting factors, highlighting the need for continuous monitoring and targeted environmental management in hospital settings.</w:t>
      </w:r>
    </w:p>
    <w:p w14:paraId="652EB9FA" w14:textId="77777777" w:rsidR="005C4177" w:rsidRPr="005C4177" w:rsidRDefault="005C4177" w:rsidP="005C4177">
      <w:pPr>
        <w:pStyle w:val="Heading1"/>
        <w:spacing w:before="200"/>
        <w:jc w:val="both"/>
        <w:rPr>
          <w:rFonts w:ascii="Times New Roman" w:eastAsia="Times New Roman" w:hAnsi="Times New Roman" w:cs="Times New Roman"/>
          <w:color w:val="000000" w:themeColor="text1"/>
          <w:sz w:val="24"/>
          <w:szCs w:val="24"/>
        </w:rPr>
      </w:pPr>
      <w:r w:rsidRPr="005C4177">
        <w:rPr>
          <w:rFonts w:ascii="Times New Roman" w:eastAsia="Times New Roman" w:hAnsi="Times New Roman" w:cs="Times New Roman"/>
          <w:color w:val="000000" w:themeColor="text1"/>
          <w:sz w:val="24"/>
          <w:szCs w:val="24"/>
        </w:rPr>
        <w:t>Conclusion</w:t>
      </w:r>
    </w:p>
    <w:p w14:paraId="4CA18DAD" w14:textId="1B65D3AC" w:rsidR="005C4177" w:rsidRDefault="005C4177" w:rsidP="005C4177">
      <w:pPr>
        <w:pStyle w:val="Heading1"/>
        <w:spacing w:before="200"/>
        <w:jc w:val="both"/>
        <w:rPr>
          <w:rFonts w:ascii="Times New Roman" w:eastAsia="Times New Roman" w:hAnsi="Times New Roman" w:cs="Times New Roman"/>
          <w:b w:val="0"/>
          <w:bCs w:val="0"/>
          <w:color w:val="000000" w:themeColor="text1"/>
          <w:sz w:val="22"/>
          <w:szCs w:val="22"/>
        </w:rPr>
      </w:pPr>
      <w:r w:rsidRPr="005C4177">
        <w:rPr>
          <w:rFonts w:ascii="Times New Roman" w:eastAsia="Times New Roman" w:hAnsi="Times New Roman" w:cs="Times New Roman"/>
          <w:b w:val="0"/>
          <w:bCs w:val="0"/>
          <w:color w:val="000000" w:themeColor="text1"/>
          <w:sz w:val="22"/>
          <w:szCs w:val="22"/>
        </w:rPr>
        <w:t xml:space="preserve"> </w:t>
      </w:r>
      <w:r>
        <w:rPr>
          <w:rFonts w:ascii="Times New Roman" w:eastAsia="Times New Roman" w:hAnsi="Times New Roman" w:cs="Times New Roman"/>
          <w:b w:val="0"/>
          <w:bCs w:val="0"/>
          <w:color w:val="000000" w:themeColor="text1"/>
          <w:sz w:val="22"/>
          <w:szCs w:val="22"/>
        </w:rPr>
        <w:t>T</w:t>
      </w:r>
      <w:r w:rsidRPr="005C4177">
        <w:rPr>
          <w:rFonts w:ascii="Times New Roman" w:eastAsia="Times New Roman" w:hAnsi="Times New Roman" w:cs="Times New Roman"/>
          <w:b w:val="0"/>
          <w:bCs w:val="0"/>
          <w:color w:val="000000" w:themeColor="text1"/>
          <w:sz w:val="22"/>
          <w:szCs w:val="22"/>
        </w:rPr>
        <w:t xml:space="preserve">his study reveals that the selected hospitals exhibit generally poor indoor air quality characterized by elevated temperatures, high particulate matter (PM₁₀), and significantly high volatile organic compound (VOC) concentrations that exceed recommended standards. The physicochemical findings indicate that hospital indoor environments are thermally stressed and chemically polluted, particularly in high-activity departments, which reflects potential inadequacies in ventilation and environmental control systems. The microbiological assessment further shows substantial bacterial and fungal contamination, with bacterial loads exceeding WHO/NESREA/SON limits in most departments and fungal isolates dominated by potentially pathogenic genera such as </w:t>
      </w:r>
      <w:r w:rsidRPr="005C4177">
        <w:rPr>
          <w:rFonts w:ascii="Times New Roman" w:eastAsia="Times New Roman" w:hAnsi="Times New Roman" w:cs="Times New Roman"/>
          <w:b w:val="0"/>
          <w:bCs w:val="0"/>
          <w:i/>
          <w:iCs/>
          <w:color w:val="000000" w:themeColor="text1"/>
          <w:sz w:val="22"/>
          <w:szCs w:val="22"/>
        </w:rPr>
        <w:t>Aspergillus</w:t>
      </w:r>
      <w:r w:rsidRPr="005C4177">
        <w:rPr>
          <w:rFonts w:ascii="Times New Roman" w:eastAsia="Times New Roman" w:hAnsi="Times New Roman" w:cs="Times New Roman"/>
          <w:b w:val="0"/>
          <w:bCs w:val="0"/>
          <w:color w:val="000000" w:themeColor="text1"/>
          <w:sz w:val="22"/>
          <w:szCs w:val="22"/>
        </w:rPr>
        <w:t xml:space="preserve">, </w:t>
      </w:r>
      <w:r w:rsidRPr="005C4177">
        <w:rPr>
          <w:rFonts w:ascii="Times New Roman" w:eastAsia="Times New Roman" w:hAnsi="Times New Roman" w:cs="Times New Roman"/>
          <w:b w:val="0"/>
          <w:bCs w:val="0"/>
          <w:i/>
          <w:iCs/>
          <w:color w:val="000000" w:themeColor="text1"/>
          <w:sz w:val="22"/>
          <w:szCs w:val="22"/>
        </w:rPr>
        <w:t>Bacillus</w:t>
      </w:r>
      <w:r w:rsidRPr="005C4177">
        <w:rPr>
          <w:rFonts w:ascii="Times New Roman" w:eastAsia="Times New Roman" w:hAnsi="Times New Roman" w:cs="Times New Roman"/>
          <w:b w:val="0"/>
          <w:bCs w:val="0"/>
          <w:color w:val="000000" w:themeColor="text1"/>
          <w:sz w:val="22"/>
          <w:szCs w:val="22"/>
        </w:rPr>
        <w:t xml:space="preserve">, </w:t>
      </w:r>
      <w:r w:rsidRPr="005C4177">
        <w:rPr>
          <w:rFonts w:ascii="Times New Roman" w:eastAsia="Times New Roman" w:hAnsi="Times New Roman" w:cs="Times New Roman"/>
          <w:b w:val="0"/>
          <w:bCs w:val="0"/>
          <w:i/>
          <w:iCs/>
          <w:color w:val="000000" w:themeColor="text1"/>
          <w:sz w:val="22"/>
          <w:szCs w:val="22"/>
        </w:rPr>
        <w:t>Staphylococcus aureus</w:t>
      </w:r>
      <w:r w:rsidRPr="005C4177">
        <w:rPr>
          <w:rFonts w:ascii="Times New Roman" w:eastAsia="Times New Roman" w:hAnsi="Times New Roman" w:cs="Times New Roman"/>
          <w:b w:val="0"/>
          <w:bCs w:val="0"/>
          <w:color w:val="000000" w:themeColor="text1"/>
          <w:sz w:val="22"/>
          <w:szCs w:val="22"/>
        </w:rPr>
        <w:t xml:space="preserve">, and </w:t>
      </w:r>
      <w:r w:rsidRPr="005C4177">
        <w:rPr>
          <w:rFonts w:ascii="Times New Roman" w:eastAsia="Times New Roman" w:hAnsi="Times New Roman" w:cs="Times New Roman"/>
          <w:b w:val="0"/>
          <w:bCs w:val="0"/>
          <w:i/>
          <w:iCs/>
          <w:color w:val="000000" w:themeColor="text1"/>
          <w:sz w:val="22"/>
          <w:szCs w:val="22"/>
        </w:rPr>
        <w:t>Fusarium</w:t>
      </w:r>
      <w:r w:rsidRPr="005C4177">
        <w:rPr>
          <w:rFonts w:ascii="Times New Roman" w:eastAsia="Times New Roman" w:hAnsi="Times New Roman" w:cs="Times New Roman"/>
          <w:b w:val="0"/>
          <w:bCs w:val="0"/>
          <w:color w:val="000000" w:themeColor="text1"/>
          <w:sz w:val="22"/>
          <w:szCs w:val="22"/>
        </w:rPr>
        <w:t>. These findings collectively imply that hospital indoor environments in the study area pose potential occupational and public health risks to patients, healthcare workers, and visitors due to continuous exposure to airborne pollutants and microbial contaminants. The study therefore underscores the urgent need for improved ventilation systems, routine air quality monitoring, and strict infection control and environmental hygiene practices to reduce airborne contamination and safeguard health within hospital settings.</w:t>
      </w:r>
    </w:p>
    <w:p w14:paraId="2430B567" w14:textId="6CCD4FDB" w:rsidR="00C0783E" w:rsidRDefault="00C0783E" w:rsidP="00C0783E">
      <w:pPr>
        <w:spacing w:after="0" w:line="259" w:lineRule="auto"/>
        <w:rPr>
          <w:rFonts w:ascii="Times New Roman" w:hAnsi="Times New Roman" w:cs="Times New Roman"/>
        </w:rPr>
      </w:pPr>
    </w:p>
    <w:p w14:paraId="7E883024" w14:textId="77777777" w:rsidR="00CF1774" w:rsidRDefault="00CF1774" w:rsidP="00CF1774">
      <w:bookmarkStart w:id="10" w:name="_GoBack"/>
      <w:bookmarkEnd w:id="10"/>
    </w:p>
    <w:p w14:paraId="7C656706" w14:textId="77777777" w:rsidR="001378FD" w:rsidRPr="004063E8" w:rsidRDefault="001378FD" w:rsidP="001378FD">
      <w:pPr>
        <w:rPr>
          <w:b/>
          <w:highlight w:val="yellow"/>
        </w:rPr>
      </w:pPr>
      <w:r w:rsidRPr="004063E8">
        <w:rPr>
          <w:b/>
          <w:highlight w:val="yellow"/>
        </w:rPr>
        <w:t>Disclaimer (Artificial intelligence)</w:t>
      </w:r>
    </w:p>
    <w:p w14:paraId="592E435F" w14:textId="77777777" w:rsidR="001378FD" w:rsidRPr="004063E8" w:rsidRDefault="001378FD" w:rsidP="001378FD">
      <w:pPr>
        <w:rPr>
          <w:highlight w:val="yellow"/>
        </w:rPr>
      </w:pPr>
      <w:r w:rsidRPr="004063E8">
        <w:rPr>
          <w:highlight w:val="yellow"/>
        </w:rPr>
        <w:t>Author(s) hereby declare that NO generative AI technologies such as Large Language Models (</w:t>
      </w:r>
      <w:proofErr w:type="spellStart"/>
      <w:r w:rsidRPr="004063E8">
        <w:rPr>
          <w:highlight w:val="yellow"/>
        </w:rPr>
        <w:t>ChatGPT</w:t>
      </w:r>
      <w:proofErr w:type="spellEnd"/>
      <w:r w:rsidRPr="004063E8">
        <w:rPr>
          <w:highlight w:val="yellow"/>
        </w:rPr>
        <w:t xml:space="preserve">, COPILOT, etc.) and text-to-image generators have been used during the writing or editing of this manuscript. </w:t>
      </w:r>
    </w:p>
    <w:p w14:paraId="49ABCE3D" w14:textId="77777777" w:rsidR="00CF1774" w:rsidRDefault="00CF1774" w:rsidP="00CF1774"/>
    <w:p w14:paraId="76777092" w14:textId="77777777" w:rsidR="00CF1774" w:rsidRPr="00CF1774" w:rsidRDefault="00CF1774" w:rsidP="00C0783E">
      <w:pPr>
        <w:spacing w:after="0" w:line="259" w:lineRule="auto"/>
        <w:rPr>
          <w:rFonts w:ascii="Times New Roman" w:hAnsi="Times New Roman" w:cs="Times New Roman"/>
          <w:lang w:val="en-IN"/>
        </w:rPr>
      </w:pPr>
    </w:p>
    <w:p w14:paraId="61FD69A8" w14:textId="77777777" w:rsidR="00C0783E" w:rsidRPr="00C0783E" w:rsidRDefault="00C0783E" w:rsidP="00C0783E">
      <w:pPr>
        <w:spacing w:after="0" w:line="259" w:lineRule="auto"/>
        <w:rPr>
          <w:rFonts w:ascii="Times New Roman" w:hAnsi="Times New Roman" w:cs="Times New Roman"/>
        </w:rPr>
      </w:pPr>
    </w:p>
    <w:p w14:paraId="663ADA74" w14:textId="1168741C" w:rsidR="00BE42DB" w:rsidRPr="002C4E47" w:rsidRDefault="00D21EB2" w:rsidP="002C4E47">
      <w:pPr>
        <w:pStyle w:val="Heading1"/>
        <w:spacing w:before="200" w:line="240" w:lineRule="auto"/>
        <w:jc w:val="both"/>
        <w:rPr>
          <w:rFonts w:ascii="Times New Roman" w:hAnsi="Times New Roman" w:cs="Times New Roman"/>
          <w:color w:val="000000" w:themeColor="text1"/>
          <w:sz w:val="24"/>
          <w:szCs w:val="24"/>
        </w:rPr>
      </w:pPr>
      <w:r w:rsidRPr="00BE42DB">
        <w:rPr>
          <w:rFonts w:ascii="Times New Roman" w:hAnsi="Times New Roman" w:cs="Times New Roman"/>
          <w:color w:val="000000" w:themeColor="text1"/>
          <w:sz w:val="24"/>
          <w:szCs w:val="24"/>
        </w:rPr>
        <w:t>References</w:t>
      </w:r>
      <w:r w:rsidR="002C4E47">
        <w:rPr>
          <w:rFonts w:ascii="Times New Roman" w:hAnsi="Times New Roman" w:cs="Times New Roman"/>
          <w:color w:val="000000" w:themeColor="text1"/>
          <w:sz w:val="24"/>
          <w:szCs w:val="24"/>
        </w:rPr>
        <w:t xml:space="preserve"> </w:t>
      </w:r>
    </w:p>
    <w:bookmarkEnd w:id="4"/>
    <w:p w14:paraId="37B3243F" w14:textId="77777777" w:rsidR="008B17BA" w:rsidRPr="002D4013" w:rsidRDefault="008B17BA" w:rsidP="00CD4658">
      <w:pPr>
        <w:spacing w:after="160" w:line="259" w:lineRule="auto"/>
        <w:jc w:val="both"/>
        <w:rPr>
          <w:rFonts w:ascii="Times New Roman" w:hAnsi="Times New Roman" w:cs="Times New Roman"/>
        </w:rPr>
      </w:pPr>
    </w:p>
    <w:p w14:paraId="6828EA14" w14:textId="77777777" w:rsidR="00C74EC4" w:rsidRPr="009D5062" w:rsidRDefault="00C74EC4" w:rsidP="00C74EC4">
      <w:pPr>
        <w:spacing w:after="160" w:line="259" w:lineRule="auto"/>
        <w:jc w:val="both"/>
        <w:rPr>
          <w:rFonts w:ascii="Times New Roman" w:hAnsi="Times New Roman" w:cs="Times New Roman"/>
        </w:rPr>
      </w:pPr>
      <w:r w:rsidRPr="009D5062">
        <w:rPr>
          <w:rFonts w:ascii="Times New Roman" w:hAnsi="Times New Roman" w:cs="Times New Roman"/>
        </w:rPr>
        <w:t xml:space="preserve">Adams, R. I., Miletto, M., Taylor, J. W., &amp; Bruns, T. D. (2013). Dispersal in microbes: Fungi in indoor air are dominated by outdoor air and show dispersal limitation at short distances. </w:t>
      </w:r>
      <w:r w:rsidRPr="009D5062">
        <w:rPr>
          <w:rFonts w:ascii="Times New Roman" w:hAnsi="Times New Roman" w:cs="Times New Roman"/>
          <w:i/>
          <w:iCs/>
        </w:rPr>
        <w:t>The ISME Journal, 7</w:t>
      </w:r>
      <w:r w:rsidRPr="009D5062">
        <w:rPr>
          <w:rFonts w:ascii="Times New Roman" w:hAnsi="Times New Roman" w:cs="Times New Roman"/>
        </w:rPr>
        <w:t>(7), 1262–1273.</w:t>
      </w:r>
    </w:p>
    <w:p w14:paraId="04A90093" w14:textId="77777777" w:rsidR="00C74EC4" w:rsidRPr="009D5062" w:rsidRDefault="00C74EC4" w:rsidP="00C74EC4">
      <w:pPr>
        <w:spacing w:after="160" w:line="259" w:lineRule="auto"/>
        <w:jc w:val="both"/>
        <w:rPr>
          <w:rFonts w:ascii="Times New Roman" w:hAnsi="Times New Roman" w:cs="Times New Roman"/>
        </w:rPr>
      </w:pPr>
      <w:r w:rsidRPr="009D5062">
        <w:rPr>
          <w:rFonts w:ascii="Times New Roman" w:hAnsi="Times New Roman" w:cs="Times New Roman"/>
        </w:rPr>
        <w:t xml:space="preserve">Adekanmbi, A. O., &amp; Falodun, O. E. (2015). Microbial quality of air in different hospital wards and outpatient departments. </w:t>
      </w:r>
      <w:r w:rsidRPr="009D5062">
        <w:rPr>
          <w:rFonts w:ascii="Times New Roman" w:hAnsi="Times New Roman" w:cs="Times New Roman"/>
          <w:i/>
          <w:iCs/>
        </w:rPr>
        <w:t>Journal of Applied Sciences and Environmental Management, 19</w:t>
      </w:r>
      <w:r w:rsidRPr="009D5062">
        <w:rPr>
          <w:rFonts w:ascii="Times New Roman" w:hAnsi="Times New Roman" w:cs="Times New Roman"/>
        </w:rPr>
        <w:t xml:space="preserve">(2), 183–189. </w:t>
      </w:r>
    </w:p>
    <w:p w14:paraId="6287ABD1" w14:textId="77777777" w:rsidR="00C74EC4" w:rsidRPr="009D5062" w:rsidRDefault="00C74EC4" w:rsidP="00C74EC4">
      <w:pPr>
        <w:spacing w:after="160" w:line="259" w:lineRule="auto"/>
        <w:jc w:val="both"/>
        <w:rPr>
          <w:rFonts w:ascii="Times New Roman" w:hAnsi="Times New Roman" w:cs="Times New Roman"/>
        </w:rPr>
      </w:pPr>
      <w:r w:rsidRPr="009D5062">
        <w:rPr>
          <w:rFonts w:ascii="Times New Roman" w:hAnsi="Times New Roman" w:cs="Times New Roman"/>
        </w:rPr>
        <w:t xml:space="preserve">Ahmad Jonidi Jafari, A., Gholami, M., Arfaeinia, H., et al. (2025). Indoor air quality assessment in hospital environments: Concentration and health risk of particulate matter and gaseous pollutants. </w:t>
      </w:r>
      <w:r w:rsidRPr="009D5062">
        <w:rPr>
          <w:rFonts w:ascii="Times New Roman" w:hAnsi="Times New Roman" w:cs="Times New Roman"/>
          <w:i/>
          <w:iCs/>
        </w:rPr>
        <w:t>Scientific Reports</w:t>
      </w:r>
      <w:r w:rsidRPr="009D5062">
        <w:rPr>
          <w:rFonts w:ascii="Times New Roman" w:hAnsi="Times New Roman" w:cs="Times New Roman"/>
        </w:rPr>
        <w:t xml:space="preserve">. </w:t>
      </w:r>
    </w:p>
    <w:p w14:paraId="09D75569" w14:textId="1669626C" w:rsidR="00C74EC4" w:rsidRDefault="00C74EC4" w:rsidP="00C74EC4">
      <w:pPr>
        <w:spacing w:after="160" w:line="259" w:lineRule="auto"/>
        <w:jc w:val="both"/>
        <w:rPr>
          <w:rFonts w:ascii="Times New Roman" w:hAnsi="Times New Roman" w:cs="Times New Roman"/>
        </w:rPr>
      </w:pPr>
      <w:r w:rsidRPr="009D5062">
        <w:rPr>
          <w:rFonts w:ascii="Times New Roman" w:hAnsi="Times New Roman" w:cs="Times New Roman"/>
        </w:rPr>
        <w:t xml:space="preserve">Alemayehu, T., Getachew, H., &amp; Feleke, B. (2022). Microbial air quality assessment in selected hospital wards in Ethiopia. </w:t>
      </w:r>
      <w:r w:rsidRPr="009D5062">
        <w:rPr>
          <w:rFonts w:ascii="Times New Roman" w:hAnsi="Times New Roman" w:cs="Times New Roman"/>
          <w:i/>
          <w:iCs/>
        </w:rPr>
        <w:t>PLOS ONE, 17</w:t>
      </w:r>
      <w:r w:rsidRPr="009D5062">
        <w:rPr>
          <w:rFonts w:ascii="Times New Roman" w:hAnsi="Times New Roman" w:cs="Times New Roman"/>
        </w:rPr>
        <w:t xml:space="preserve">(8), e0271022. </w:t>
      </w:r>
    </w:p>
    <w:p w14:paraId="63F17E35" w14:textId="4571EE7E" w:rsidR="00CD236C" w:rsidRPr="009D5062" w:rsidRDefault="00CD236C" w:rsidP="00C74EC4">
      <w:pPr>
        <w:spacing w:after="160" w:line="259" w:lineRule="auto"/>
        <w:jc w:val="both"/>
        <w:rPr>
          <w:rFonts w:ascii="Times New Roman" w:hAnsi="Times New Roman" w:cs="Times New Roman"/>
        </w:rPr>
      </w:pPr>
      <w:r>
        <w:rPr>
          <w:rFonts w:ascii="Times New Roman" w:hAnsi="Times New Roman" w:cs="Times New Roman"/>
        </w:rPr>
        <w:lastRenderedPageBreak/>
        <w:t xml:space="preserve">An, I.H., Kwak, D.B., Lee, J., Park, S.H., and </w:t>
      </w:r>
      <w:proofErr w:type="spellStart"/>
      <w:r>
        <w:rPr>
          <w:rFonts w:ascii="Times New Roman" w:hAnsi="Times New Roman" w:cs="Times New Roman"/>
        </w:rPr>
        <w:t>Yook</w:t>
      </w:r>
      <w:proofErr w:type="spellEnd"/>
      <w:r>
        <w:rPr>
          <w:rFonts w:ascii="Times New Roman" w:hAnsi="Times New Roman" w:cs="Times New Roman"/>
        </w:rPr>
        <w:t>, S. J. (2025). Optimal operating posit</w:t>
      </w:r>
      <w:r w:rsidR="007E3749">
        <w:rPr>
          <w:rFonts w:ascii="Times New Roman" w:hAnsi="Times New Roman" w:cs="Times New Roman"/>
        </w:rPr>
        <w:t>i</w:t>
      </w:r>
      <w:r>
        <w:rPr>
          <w:rFonts w:ascii="Times New Roman" w:hAnsi="Times New Roman" w:cs="Times New Roman"/>
        </w:rPr>
        <w:t>ons of two</w:t>
      </w:r>
      <w:r w:rsidR="007E3749">
        <w:rPr>
          <w:rFonts w:ascii="Times New Roman" w:hAnsi="Times New Roman" w:cs="Times New Roman"/>
        </w:rPr>
        <w:t xml:space="preserve"> air purifiers for improving indoor air quality in hospital wards. Journal of Hospital Infection, 159, 42-51.</w:t>
      </w:r>
    </w:p>
    <w:p w14:paraId="24F44083" w14:textId="77777777" w:rsidR="00C74EC4" w:rsidRPr="009D5062" w:rsidRDefault="00C74EC4" w:rsidP="00C74EC4">
      <w:pPr>
        <w:spacing w:after="160" w:line="259" w:lineRule="auto"/>
        <w:jc w:val="both"/>
        <w:rPr>
          <w:rFonts w:ascii="Times New Roman" w:hAnsi="Times New Roman" w:cs="Times New Roman"/>
        </w:rPr>
      </w:pPr>
      <w:r w:rsidRPr="009D5062">
        <w:rPr>
          <w:rFonts w:ascii="Times New Roman" w:hAnsi="Times New Roman" w:cs="Times New Roman"/>
        </w:rPr>
        <w:t xml:space="preserve">Azimi, P., &amp; Stephens, B. (2013). HVAC filtration for controlling infectious airborne disease transmission in indoor environments: Predicting risk reductions and operational costs. </w:t>
      </w:r>
      <w:r w:rsidRPr="009D5062">
        <w:rPr>
          <w:rFonts w:ascii="Times New Roman" w:hAnsi="Times New Roman" w:cs="Times New Roman"/>
          <w:i/>
          <w:iCs/>
        </w:rPr>
        <w:t>Building and Environment, 70</w:t>
      </w:r>
      <w:r w:rsidRPr="009D5062">
        <w:rPr>
          <w:rFonts w:ascii="Times New Roman" w:hAnsi="Times New Roman" w:cs="Times New Roman"/>
        </w:rPr>
        <w:t xml:space="preserve">, 150–160. </w:t>
      </w:r>
    </w:p>
    <w:p w14:paraId="495BB13D" w14:textId="77777777" w:rsidR="00C74EC4" w:rsidRPr="009D5062" w:rsidRDefault="00C74EC4" w:rsidP="00C74EC4">
      <w:pPr>
        <w:spacing w:after="160" w:line="259" w:lineRule="auto"/>
        <w:jc w:val="both"/>
        <w:rPr>
          <w:rFonts w:ascii="Times New Roman" w:hAnsi="Times New Roman" w:cs="Times New Roman"/>
        </w:rPr>
      </w:pPr>
      <w:r w:rsidRPr="009D5062">
        <w:rPr>
          <w:rFonts w:ascii="Times New Roman" w:hAnsi="Times New Roman" w:cs="Times New Roman"/>
        </w:rPr>
        <w:t xml:space="preserve">Beggs, C. B. (2022). The airborne transmission of infection in hospital buildings: Fact or fiction? </w:t>
      </w:r>
      <w:r w:rsidRPr="009D5062">
        <w:rPr>
          <w:rFonts w:ascii="Times New Roman" w:hAnsi="Times New Roman" w:cs="Times New Roman"/>
          <w:i/>
          <w:iCs/>
        </w:rPr>
        <w:t>Indoor and Built Environment, 31</w:t>
      </w:r>
      <w:r w:rsidRPr="009D5062">
        <w:rPr>
          <w:rFonts w:ascii="Times New Roman" w:hAnsi="Times New Roman" w:cs="Times New Roman"/>
        </w:rPr>
        <w:t xml:space="preserve">(1), 3–15. </w:t>
      </w:r>
    </w:p>
    <w:p w14:paraId="5DAB4E38" w14:textId="77777777" w:rsidR="00C74EC4" w:rsidRPr="009D5062" w:rsidRDefault="00C74EC4" w:rsidP="00C74EC4">
      <w:pPr>
        <w:spacing w:after="160" w:line="259" w:lineRule="auto"/>
        <w:jc w:val="both"/>
        <w:rPr>
          <w:rFonts w:ascii="Times New Roman" w:hAnsi="Times New Roman" w:cs="Times New Roman"/>
        </w:rPr>
      </w:pPr>
      <w:r w:rsidRPr="009D5062">
        <w:rPr>
          <w:rFonts w:ascii="Times New Roman" w:hAnsi="Times New Roman" w:cs="Times New Roman"/>
        </w:rPr>
        <w:t xml:space="preserve">Belizario, J. A., Lopes, L. G., &amp; Pires, R. H. (2021). Fungi in the indoor air of critical hospital areas: A review. </w:t>
      </w:r>
      <w:r w:rsidRPr="009D5062">
        <w:rPr>
          <w:rFonts w:ascii="Times New Roman" w:hAnsi="Times New Roman" w:cs="Times New Roman"/>
          <w:i/>
          <w:iCs/>
        </w:rPr>
        <w:t>Aerobiologia, 37</w:t>
      </w:r>
      <w:r w:rsidRPr="009D5062">
        <w:rPr>
          <w:rFonts w:ascii="Times New Roman" w:hAnsi="Times New Roman" w:cs="Times New Roman"/>
        </w:rPr>
        <w:t xml:space="preserve">(3), 379–394. </w:t>
      </w:r>
    </w:p>
    <w:p w14:paraId="0FE4AB1D" w14:textId="77777777" w:rsidR="00C74EC4" w:rsidRPr="009D5062" w:rsidRDefault="00C74EC4" w:rsidP="00C74EC4">
      <w:pPr>
        <w:spacing w:after="160" w:line="259" w:lineRule="auto"/>
        <w:jc w:val="both"/>
        <w:rPr>
          <w:rFonts w:ascii="Times New Roman" w:hAnsi="Times New Roman" w:cs="Times New Roman"/>
        </w:rPr>
      </w:pPr>
      <w:r w:rsidRPr="009D5062">
        <w:rPr>
          <w:rFonts w:ascii="Times New Roman" w:hAnsi="Times New Roman" w:cs="Times New Roman"/>
        </w:rPr>
        <w:t xml:space="preserve">Belizario, M. D., Gomes, G. P., Duarte, C. M., &amp; Ferreira, F. A. (2021). Airborne fungal diversity in hospital environments: Health implications. </w:t>
      </w:r>
      <w:r w:rsidRPr="009D5062">
        <w:rPr>
          <w:rFonts w:ascii="Times New Roman" w:hAnsi="Times New Roman" w:cs="Times New Roman"/>
          <w:i/>
          <w:iCs/>
        </w:rPr>
        <w:t>Brazilian Journal of Microbiology, 52</w:t>
      </w:r>
      <w:r w:rsidRPr="009D5062">
        <w:rPr>
          <w:rFonts w:ascii="Times New Roman" w:hAnsi="Times New Roman" w:cs="Times New Roman"/>
        </w:rPr>
        <w:t xml:space="preserve">(4), 1891–1902. </w:t>
      </w:r>
    </w:p>
    <w:p w14:paraId="5285392C" w14:textId="77777777" w:rsidR="00C74EC4" w:rsidRPr="009D5062" w:rsidRDefault="00C74EC4" w:rsidP="00C74EC4">
      <w:pPr>
        <w:spacing w:after="160" w:line="259" w:lineRule="auto"/>
        <w:jc w:val="both"/>
        <w:rPr>
          <w:rFonts w:ascii="Times New Roman" w:hAnsi="Times New Roman" w:cs="Times New Roman"/>
        </w:rPr>
      </w:pPr>
      <w:r w:rsidRPr="009D5062">
        <w:rPr>
          <w:rFonts w:ascii="Times New Roman" w:hAnsi="Times New Roman" w:cs="Times New Roman"/>
        </w:rPr>
        <w:t xml:space="preserve">D’Alessandro, D., Fabiani, M., Orsi, G. B., &amp; Fara, G. M. (2020). Indoor air quality in hospitals: A review of the literature. </w:t>
      </w:r>
      <w:r w:rsidRPr="009D5062">
        <w:rPr>
          <w:rFonts w:ascii="Times New Roman" w:hAnsi="Times New Roman" w:cs="Times New Roman"/>
          <w:i/>
          <w:iCs/>
        </w:rPr>
        <w:t>Reviews on Environmental Health, 35</w:t>
      </w:r>
      <w:r w:rsidRPr="009D5062">
        <w:rPr>
          <w:rFonts w:ascii="Times New Roman" w:hAnsi="Times New Roman" w:cs="Times New Roman"/>
        </w:rPr>
        <w:t xml:space="preserve">(4), 463–472. </w:t>
      </w:r>
    </w:p>
    <w:p w14:paraId="5BEF2B51" w14:textId="77777777" w:rsidR="00C74EC4" w:rsidRPr="009D5062" w:rsidRDefault="00C74EC4" w:rsidP="00C74EC4">
      <w:pPr>
        <w:spacing w:after="160" w:line="259" w:lineRule="auto"/>
        <w:jc w:val="both"/>
        <w:rPr>
          <w:rFonts w:ascii="Times New Roman" w:hAnsi="Times New Roman" w:cs="Times New Roman"/>
        </w:rPr>
      </w:pPr>
      <w:r w:rsidRPr="009D5062">
        <w:rPr>
          <w:rFonts w:ascii="Times New Roman" w:hAnsi="Times New Roman" w:cs="Times New Roman"/>
        </w:rPr>
        <w:t xml:space="preserve">Eames, I., Shoaib, D., Klettner, C., &amp; Taban, V. (2020). Movement of airborne contaminants in a hospital isolation room. </w:t>
      </w:r>
      <w:r w:rsidRPr="009D5062">
        <w:rPr>
          <w:rFonts w:ascii="Times New Roman" w:hAnsi="Times New Roman" w:cs="Times New Roman"/>
          <w:i/>
          <w:iCs/>
        </w:rPr>
        <w:t>Journal of the Royal Society Interface, 17</w:t>
      </w:r>
      <w:r w:rsidRPr="009D5062">
        <w:rPr>
          <w:rFonts w:ascii="Times New Roman" w:hAnsi="Times New Roman" w:cs="Times New Roman"/>
        </w:rPr>
        <w:t xml:space="preserve">(163), 20200018. </w:t>
      </w:r>
    </w:p>
    <w:p w14:paraId="015DB692" w14:textId="77777777" w:rsidR="00C74EC4" w:rsidRPr="009D5062" w:rsidRDefault="00C74EC4" w:rsidP="00C74EC4">
      <w:pPr>
        <w:spacing w:after="160" w:line="259" w:lineRule="auto"/>
        <w:jc w:val="both"/>
        <w:rPr>
          <w:rFonts w:ascii="Times New Roman" w:hAnsi="Times New Roman" w:cs="Times New Roman"/>
        </w:rPr>
      </w:pPr>
      <w:r w:rsidRPr="009D5062">
        <w:rPr>
          <w:rFonts w:ascii="Times New Roman" w:hAnsi="Times New Roman" w:cs="Times New Roman"/>
        </w:rPr>
        <w:t xml:space="preserve">Ede, P. N., &amp; Edokpa, D. O. (2020). Methane and hydrocarbon pollution in the Niger Delta: Implications for ambient air quality. </w:t>
      </w:r>
      <w:r w:rsidRPr="009D5062">
        <w:rPr>
          <w:rFonts w:ascii="Times New Roman" w:hAnsi="Times New Roman" w:cs="Times New Roman"/>
          <w:i/>
          <w:iCs/>
        </w:rPr>
        <w:t>Environmental Pollution Research Journal, 27</w:t>
      </w:r>
      <w:r w:rsidRPr="009D5062">
        <w:rPr>
          <w:rFonts w:ascii="Times New Roman" w:hAnsi="Times New Roman" w:cs="Times New Roman"/>
        </w:rPr>
        <w:t xml:space="preserve">(4), 220–230. </w:t>
      </w:r>
    </w:p>
    <w:p w14:paraId="0331A0FC" w14:textId="77777777" w:rsidR="00C74EC4" w:rsidRPr="009D5062" w:rsidRDefault="00C74EC4" w:rsidP="00C74EC4">
      <w:pPr>
        <w:spacing w:after="160" w:line="259" w:lineRule="auto"/>
        <w:jc w:val="both"/>
        <w:rPr>
          <w:rFonts w:ascii="Times New Roman" w:hAnsi="Times New Roman" w:cs="Times New Roman"/>
        </w:rPr>
      </w:pPr>
      <w:r w:rsidRPr="009D5062">
        <w:rPr>
          <w:rFonts w:ascii="Times New Roman" w:hAnsi="Times New Roman" w:cs="Times New Roman"/>
        </w:rPr>
        <w:t xml:space="preserve">Ede, P. N., Nwogu, E. U., &amp; Okocha, C. (2020). Assessment of indoor and outdoor air quality in healthcare facilities in southern Nigeria. </w:t>
      </w:r>
      <w:r w:rsidRPr="009D5062">
        <w:rPr>
          <w:rFonts w:ascii="Times New Roman" w:hAnsi="Times New Roman" w:cs="Times New Roman"/>
          <w:i/>
          <w:iCs/>
        </w:rPr>
        <w:t>International Journal of Environmental Monitoring and Analysis, 8</w:t>
      </w:r>
      <w:r w:rsidRPr="009D5062">
        <w:rPr>
          <w:rFonts w:ascii="Times New Roman" w:hAnsi="Times New Roman" w:cs="Times New Roman"/>
        </w:rPr>
        <w:t xml:space="preserve">(3), 61–70. </w:t>
      </w:r>
    </w:p>
    <w:p w14:paraId="21F9A1E4" w14:textId="77777777" w:rsidR="00C74EC4" w:rsidRPr="009D5062" w:rsidRDefault="00C74EC4" w:rsidP="00C74EC4">
      <w:pPr>
        <w:spacing w:after="160" w:line="259" w:lineRule="auto"/>
        <w:jc w:val="both"/>
        <w:rPr>
          <w:rFonts w:ascii="Times New Roman" w:hAnsi="Times New Roman" w:cs="Times New Roman"/>
        </w:rPr>
      </w:pPr>
      <w:r w:rsidRPr="009D5062">
        <w:rPr>
          <w:rFonts w:ascii="Times New Roman" w:hAnsi="Times New Roman" w:cs="Times New Roman"/>
        </w:rPr>
        <w:t xml:space="preserve">Efe, S. I. (2018). Urban climate and indoor thermal conditions in tropical hospitals. </w:t>
      </w:r>
      <w:r w:rsidRPr="009D5062">
        <w:rPr>
          <w:rFonts w:ascii="Times New Roman" w:hAnsi="Times New Roman" w:cs="Times New Roman"/>
          <w:i/>
          <w:iCs/>
        </w:rPr>
        <w:t>Nigerian Journal of Environmental Sciences and Technology, 2</w:t>
      </w:r>
      <w:r w:rsidRPr="009D5062">
        <w:rPr>
          <w:rFonts w:ascii="Times New Roman" w:hAnsi="Times New Roman" w:cs="Times New Roman"/>
        </w:rPr>
        <w:t xml:space="preserve">(1), 19–30. </w:t>
      </w:r>
    </w:p>
    <w:p w14:paraId="00C46B9A" w14:textId="77777777" w:rsidR="00C74EC4" w:rsidRPr="009D5062" w:rsidRDefault="00C74EC4" w:rsidP="00C74EC4">
      <w:pPr>
        <w:spacing w:after="160" w:line="259" w:lineRule="auto"/>
        <w:jc w:val="both"/>
        <w:rPr>
          <w:rFonts w:ascii="Times New Roman" w:hAnsi="Times New Roman" w:cs="Times New Roman"/>
        </w:rPr>
      </w:pPr>
      <w:r w:rsidRPr="009D5062">
        <w:rPr>
          <w:rFonts w:ascii="Times New Roman" w:hAnsi="Times New Roman" w:cs="Times New Roman"/>
        </w:rPr>
        <w:t xml:space="preserve">Ekhaise, F. O., &amp; Ogboghodo, B. I. (2011). Microbiological indoor and outdoor air quality of two major hospitals in Benin City, Nigeria. </w:t>
      </w:r>
      <w:r w:rsidRPr="009D5062">
        <w:rPr>
          <w:rFonts w:ascii="Times New Roman" w:hAnsi="Times New Roman" w:cs="Times New Roman"/>
          <w:i/>
          <w:iCs/>
        </w:rPr>
        <w:t>Sierra Leone Journal of Biomedical Research, 3</w:t>
      </w:r>
      <w:r w:rsidRPr="009D5062">
        <w:rPr>
          <w:rFonts w:ascii="Times New Roman" w:hAnsi="Times New Roman" w:cs="Times New Roman"/>
        </w:rPr>
        <w:t xml:space="preserve">(3), 169–174. </w:t>
      </w:r>
    </w:p>
    <w:p w14:paraId="0A60ADE1" w14:textId="77777777" w:rsidR="00C74EC4" w:rsidRPr="009D5062" w:rsidRDefault="00C74EC4" w:rsidP="00C74EC4">
      <w:pPr>
        <w:spacing w:after="160" w:line="259" w:lineRule="auto"/>
        <w:jc w:val="both"/>
        <w:rPr>
          <w:rFonts w:ascii="Times New Roman" w:hAnsi="Times New Roman" w:cs="Times New Roman"/>
        </w:rPr>
      </w:pPr>
      <w:r w:rsidRPr="009D5062">
        <w:rPr>
          <w:rFonts w:ascii="Times New Roman" w:hAnsi="Times New Roman" w:cs="Times New Roman"/>
        </w:rPr>
        <w:t xml:space="preserve">Ekhaise, F. O., Isitor, E. E., Ighosewe, O. U., &amp; Emoghene, A. O. (2010). Airborne microflora in the atmosphere of a hospital environment of the University of Benin Teaching Hospital (UBTH), Benin City, Nigeria. </w:t>
      </w:r>
      <w:r w:rsidRPr="009D5062">
        <w:rPr>
          <w:rFonts w:ascii="Times New Roman" w:hAnsi="Times New Roman" w:cs="Times New Roman"/>
          <w:i/>
          <w:iCs/>
        </w:rPr>
        <w:t>World Journal of Agricultural Sciences, 6</w:t>
      </w:r>
      <w:r w:rsidRPr="009D5062">
        <w:rPr>
          <w:rFonts w:ascii="Times New Roman" w:hAnsi="Times New Roman" w:cs="Times New Roman"/>
        </w:rPr>
        <w:t xml:space="preserve">(2), 166–170. </w:t>
      </w:r>
    </w:p>
    <w:p w14:paraId="39FB520A" w14:textId="77777777" w:rsidR="00C74EC4" w:rsidRPr="009D5062" w:rsidRDefault="00C74EC4" w:rsidP="00C74EC4">
      <w:pPr>
        <w:spacing w:after="160" w:line="259" w:lineRule="auto"/>
        <w:jc w:val="both"/>
        <w:rPr>
          <w:rFonts w:ascii="Times New Roman" w:hAnsi="Times New Roman" w:cs="Times New Roman"/>
        </w:rPr>
      </w:pPr>
      <w:r w:rsidRPr="009D5062">
        <w:rPr>
          <w:rFonts w:ascii="Times New Roman" w:hAnsi="Times New Roman" w:cs="Times New Roman"/>
        </w:rPr>
        <w:t xml:space="preserve">Haider, S. S., Rahman, M. M., &amp; Hossain, M. A. (2022). </w:t>
      </w:r>
      <w:r w:rsidRPr="009D5062">
        <w:rPr>
          <w:rFonts w:ascii="Times New Roman" w:hAnsi="Times New Roman" w:cs="Times New Roman"/>
          <w:i/>
          <w:iCs/>
        </w:rPr>
        <w:t>Bergey’s manual of systematic bacteriology</w:t>
      </w:r>
      <w:r w:rsidRPr="009D5062">
        <w:rPr>
          <w:rFonts w:ascii="Times New Roman" w:hAnsi="Times New Roman" w:cs="Times New Roman"/>
        </w:rPr>
        <w:t xml:space="preserve"> (5th ed.).</w:t>
      </w:r>
    </w:p>
    <w:p w14:paraId="7987274A" w14:textId="77777777" w:rsidR="00C74EC4" w:rsidRPr="009D5062" w:rsidRDefault="00C74EC4" w:rsidP="00C74EC4">
      <w:pPr>
        <w:spacing w:after="160" w:line="259" w:lineRule="auto"/>
        <w:jc w:val="both"/>
        <w:rPr>
          <w:rFonts w:ascii="Times New Roman" w:hAnsi="Times New Roman" w:cs="Times New Roman"/>
        </w:rPr>
      </w:pPr>
      <w:r w:rsidRPr="009D5062">
        <w:rPr>
          <w:rFonts w:ascii="Times New Roman" w:hAnsi="Times New Roman" w:cs="Times New Roman"/>
        </w:rPr>
        <w:t xml:space="preserve">Humphreys, H., &amp; Coleman, D. C. (2020). Impact of hospital design on the prevention of hospital-acquired infections: A narrative review. </w:t>
      </w:r>
      <w:r w:rsidRPr="009D5062">
        <w:rPr>
          <w:rFonts w:ascii="Times New Roman" w:hAnsi="Times New Roman" w:cs="Times New Roman"/>
          <w:i/>
          <w:iCs/>
        </w:rPr>
        <w:t>Journal of Hospital Infection, 105</w:t>
      </w:r>
      <w:r w:rsidRPr="009D5062">
        <w:rPr>
          <w:rFonts w:ascii="Times New Roman" w:hAnsi="Times New Roman" w:cs="Times New Roman"/>
        </w:rPr>
        <w:t xml:space="preserve">(4), 587–597. </w:t>
      </w:r>
    </w:p>
    <w:p w14:paraId="50FB4408" w14:textId="77777777" w:rsidR="00C74EC4" w:rsidRPr="009D5062" w:rsidRDefault="00C74EC4" w:rsidP="00C74EC4">
      <w:pPr>
        <w:spacing w:after="160" w:line="259" w:lineRule="auto"/>
        <w:jc w:val="both"/>
        <w:rPr>
          <w:rFonts w:ascii="Times New Roman" w:hAnsi="Times New Roman" w:cs="Times New Roman"/>
        </w:rPr>
      </w:pPr>
      <w:r w:rsidRPr="009D5062">
        <w:rPr>
          <w:rFonts w:ascii="Times New Roman" w:hAnsi="Times New Roman" w:cs="Times New Roman"/>
        </w:rPr>
        <w:t xml:space="preserve">International Agency for Research on Cancer (IARC). (2020). </w:t>
      </w:r>
      <w:r w:rsidRPr="009D5062">
        <w:rPr>
          <w:rFonts w:ascii="Times New Roman" w:hAnsi="Times New Roman" w:cs="Times New Roman"/>
          <w:i/>
          <w:iCs/>
        </w:rPr>
        <w:t>Volatile organic compounds: Health risks in healthcare environments</w:t>
      </w:r>
      <w:r w:rsidRPr="009D5062">
        <w:rPr>
          <w:rFonts w:ascii="Times New Roman" w:hAnsi="Times New Roman" w:cs="Times New Roman"/>
        </w:rPr>
        <w:t xml:space="preserve">. WHO Press. </w:t>
      </w:r>
    </w:p>
    <w:p w14:paraId="526DD460" w14:textId="77777777" w:rsidR="00C74EC4" w:rsidRPr="009D5062" w:rsidRDefault="00C74EC4" w:rsidP="00C74EC4">
      <w:pPr>
        <w:spacing w:after="160" w:line="259" w:lineRule="auto"/>
        <w:jc w:val="both"/>
        <w:rPr>
          <w:rFonts w:ascii="Times New Roman" w:hAnsi="Times New Roman" w:cs="Times New Roman"/>
        </w:rPr>
      </w:pPr>
      <w:r w:rsidRPr="009D5062">
        <w:rPr>
          <w:rFonts w:ascii="Times New Roman" w:hAnsi="Times New Roman" w:cs="Times New Roman"/>
        </w:rPr>
        <w:t xml:space="preserve">Kowalski, W. J., &amp; Bahnfleth, W. P. (2021). Airborne microbial control in hospital environments. </w:t>
      </w:r>
      <w:r w:rsidRPr="009D5062">
        <w:rPr>
          <w:rFonts w:ascii="Times New Roman" w:hAnsi="Times New Roman" w:cs="Times New Roman"/>
          <w:i/>
          <w:iCs/>
        </w:rPr>
        <w:t>ASHRAE Journal, 63</w:t>
      </w:r>
      <w:r w:rsidRPr="009D5062">
        <w:rPr>
          <w:rFonts w:ascii="Times New Roman" w:hAnsi="Times New Roman" w:cs="Times New Roman"/>
        </w:rPr>
        <w:t xml:space="preserve">(10), 22–30. </w:t>
      </w:r>
    </w:p>
    <w:p w14:paraId="5A794F2D" w14:textId="77777777" w:rsidR="00C74EC4" w:rsidRPr="009D5062" w:rsidRDefault="00C74EC4" w:rsidP="00C74EC4">
      <w:pPr>
        <w:spacing w:after="160" w:line="259" w:lineRule="auto"/>
        <w:jc w:val="both"/>
        <w:rPr>
          <w:rFonts w:ascii="Times New Roman" w:hAnsi="Times New Roman" w:cs="Times New Roman"/>
        </w:rPr>
      </w:pPr>
      <w:r w:rsidRPr="009D5062">
        <w:rPr>
          <w:rFonts w:ascii="Times New Roman" w:hAnsi="Times New Roman" w:cs="Times New Roman"/>
        </w:rPr>
        <w:t xml:space="preserve">Lemos, A. C. S., Pereira, L. P. F., &amp; Ribeiro, R. S. (2024). Characterization of airborne fungi in tertiary hospital environments: A focus on infection control. </w:t>
      </w:r>
      <w:r w:rsidRPr="009D5062">
        <w:rPr>
          <w:rFonts w:ascii="Times New Roman" w:hAnsi="Times New Roman" w:cs="Times New Roman"/>
          <w:i/>
          <w:iCs/>
        </w:rPr>
        <w:t>International Journal of Environmental Health Research, 34</w:t>
      </w:r>
      <w:r w:rsidRPr="009D5062">
        <w:rPr>
          <w:rFonts w:ascii="Times New Roman" w:hAnsi="Times New Roman" w:cs="Times New Roman"/>
        </w:rPr>
        <w:t xml:space="preserve">(1), 102–114. </w:t>
      </w:r>
    </w:p>
    <w:p w14:paraId="7ADF4530" w14:textId="77777777" w:rsidR="00C74EC4" w:rsidRPr="009D5062" w:rsidRDefault="00C74EC4" w:rsidP="00C74EC4">
      <w:pPr>
        <w:spacing w:after="160" w:line="259" w:lineRule="auto"/>
        <w:jc w:val="both"/>
        <w:rPr>
          <w:rFonts w:ascii="Times New Roman" w:hAnsi="Times New Roman" w:cs="Times New Roman"/>
        </w:rPr>
      </w:pPr>
      <w:r w:rsidRPr="009D5062">
        <w:rPr>
          <w:rFonts w:ascii="Times New Roman" w:hAnsi="Times New Roman" w:cs="Times New Roman"/>
        </w:rPr>
        <w:t xml:space="preserve">Lemos, M. S. C. D., Higa Junior, M. G., Paniago, A. M. M., Melhem, M. D. S. C., Takahashi, J. P. F., Fava, W. S., &amp; Chang, M. R. (2024). </w:t>
      </w:r>
      <w:r w:rsidRPr="009D5062">
        <w:rPr>
          <w:rFonts w:ascii="Times New Roman" w:hAnsi="Times New Roman" w:cs="Times New Roman"/>
          <w:i/>
          <w:iCs/>
        </w:rPr>
        <w:t>Aspergillus</w:t>
      </w:r>
      <w:r w:rsidRPr="009D5062">
        <w:rPr>
          <w:rFonts w:ascii="Times New Roman" w:hAnsi="Times New Roman" w:cs="Times New Roman"/>
        </w:rPr>
        <w:t xml:space="preserve"> in the indoor air of critical areas of a tertiary hospital in Brazil. </w:t>
      </w:r>
      <w:r w:rsidRPr="009D5062">
        <w:rPr>
          <w:rFonts w:ascii="Times New Roman" w:hAnsi="Times New Roman" w:cs="Times New Roman"/>
          <w:i/>
          <w:iCs/>
        </w:rPr>
        <w:t>Journal of Fungi, 10</w:t>
      </w:r>
      <w:r w:rsidRPr="009D5062">
        <w:rPr>
          <w:rFonts w:ascii="Times New Roman" w:hAnsi="Times New Roman" w:cs="Times New Roman"/>
        </w:rPr>
        <w:t xml:space="preserve">(8), 538. </w:t>
      </w:r>
    </w:p>
    <w:p w14:paraId="626E4C74" w14:textId="77777777" w:rsidR="00C74EC4" w:rsidRPr="009D5062" w:rsidRDefault="00C74EC4" w:rsidP="00C74EC4">
      <w:pPr>
        <w:spacing w:after="160" w:line="259" w:lineRule="auto"/>
        <w:jc w:val="both"/>
        <w:rPr>
          <w:rFonts w:ascii="Times New Roman" w:hAnsi="Times New Roman" w:cs="Times New Roman"/>
        </w:rPr>
      </w:pPr>
      <w:r w:rsidRPr="009D5062">
        <w:rPr>
          <w:rFonts w:ascii="Times New Roman" w:hAnsi="Times New Roman" w:cs="Times New Roman"/>
        </w:rPr>
        <w:lastRenderedPageBreak/>
        <w:t xml:space="preserve">Li, Y., Leung, G. M., Tang, J. W., Yang, X., Chao, C. Y. H., Lin, J. Z., Lu, J. W., Nielsen, P. V., Niu, J., Qian, H., Sleigh, A. C., Su, H. J. J., Sundell, J., Wong, T. W., &amp; Yuen, P. L. (2007). Role of ventilation in airborne transmission of infectious agents in the built environment: A multidisciplinary systematic review. </w:t>
      </w:r>
      <w:r w:rsidRPr="009D5062">
        <w:rPr>
          <w:rFonts w:ascii="Times New Roman" w:hAnsi="Times New Roman" w:cs="Times New Roman"/>
          <w:i/>
          <w:iCs/>
        </w:rPr>
        <w:t>Indoor Air, 17</w:t>
      </w:r>
      <w:r w:rsidRPr="009D5062">
        <w:rPr>
          <w:rFonts w:ascii="Times New Roman" w:hAnsi="Times New Roman" w:cs="Times New Roman"/>
        </w:rPr>
        <w:t xml:space="preserve">(1), 2–18. </w:t>
      </w:r>
    </w:p>
    <w:p w14:paraId="3C77EE75" w14:textId="77777777" w:rsidR="00C74EC4" w:rsidRPr="009D5062" w:rsidRDefault="00C74EC4" w:rsidP="00C74EC4">
      <w:pPr>
        <w:spacing w:after="160" w:line="259" w:lineRule="auto"/>
        <w:jc w:val="both"/>
        <w:rPr>
          <w:rFonts w:ascii="Times New Roman" w:hAnsi="Times New Roman" w:cs="Times New Roman"/>
        </w:rPr>
      </w:pPr>
      <w:r w:rsidRPr="009D5062">
        <w:rPr>
          <w:rFonts w:ascii="Times New Roman" w:hAnsi="Times New Roman" w:cs="Times New Roman"/>
        </w:rPr>
        <w:t xml:space="preserve">Megri, A. C., Bouziane, M., &amp; Abdullahi, M. (2022). Exposure assessment of bioaerosols in healthcare environments: Risks and control strategies. </w:t>
      </w:r>
      <w:r w:rsidRPr="009D5062">
        <w:rPr>
          <w:rFonts w:ascii="Times New Roman" w:hAnsi="Times New Roman" w:cs="Times New Roman"/>
          <w:i/>
          <w:iCs/>
        </w:rPr>
        <w:t>Environmental Advances, 9</w:t>
      </w:r>
      <w:r w:rsidRPr="009D5062">
        <w:rPr>
          <w:rFonts w:ascii="Times New Roman" w:hAnsi="Times New Roman" w:cs="Times New Roman"/>
        </w:rPr>
        <w:t xml:space="preserve">, 100287. </w:t>
      </w:r>
    </w:p>
    <w:p w14:paraId="6003E30E" w14:textId="77777777" w:rsidR="00C74EC4" w:rsidRPr="009D5062" w:rsidRDefault="00C74EC4" w:rsidP="00C74EC4">
      <w:pPr>
        <w:spacing w:after="160" w:line="259" w:lineRule="auto"/>
        <w:jc w:val="both"/>
        <w:rPr>
          <w:rFonts w:ascii="Times New Roman" w:hAnsi="Times New Roman" w:cs="Times New Roman"/>
        </w:rPr>
      </w:pPr>
      <w:r w:rsidRPr="009D5062">
        <w:rPr>
          <w:rFonts w:ascii="Times New Roman" w:hAnsi="Times New Roman" w:cs="Times New Roman"/>
        </w:rPr>
        <w:t xml:space="preserve">Megri, A. C., Bråbäck, L., &amp; Forsberg, B. (2022). Exposure to indoor air pollution and respiratory health in hospital settings. </w:t>
      </w:r>
      <w:r w:rsidRPr="009D5062">
        <w:rPr>
          <w:rFonts w:ascii="Times New Roman" w:hAnsi="Times New Roman" w:cs="Times New Roman"/>
          <w:i/>
          <w:iCs/>
        </w:rPr>
        <w:t>BMC Pulmonary Medicine, 22</w:t>
      </w:r>
      <w:r w:rsidRPr="009D5062">
        <w:rPr>
          <w:rFonts w:ascii="Times New Roman" w:hAnsi="Times New Roman" w:cs="Times New Roman"/>
        </w:rPr>
        <w:t xml:space="preserve">, 271. </w:t>
      </w:r>
    </w:p>
    <w:p w14:paraId="102A8726" w14:textId="77777777" w:rsidR="00C74EC4" w:rsidRPr="009D5062" w:rsidRDefault="00C74EC4" w:rsidP="00C74EC4">
      <w:pPr>
        <w:spacing w:after="160" w:line="259" w:lineRule="auto"/>
        <w:jc w:val="both"/>
        <w:rPr>
          <w:rFonts w:ascii="Times New Roman" w:hAnsi="Times New Roman" w:cs="Times New Roman"/>
        </w:rPr>
      </w:pPr>
      <w:r w:rsidRPr="009D5062">
        <w:rPr>
          <w:rFonts w:ascii="Times New Roman" w:hAnsi="Times New Roman" w:cs="Times New Roman"/>
        </w:rPr>
        <w:t xml:space="preserve">Morakinyo, O. M., Ezekiel, O. A., &amp; Okechukwu, K. C. (2022). Indoor air quality and infection risk management in healthcare environments: A review. </w:t>
      </w:r>
      <w:r w:rsidRPr="009D5062">
        <w:rPr>
          <w:rFonts w:ascii="Times New Roman" w:hAnsi="Times New Roman" w:cs="Times New Roman"/>
          <w:i/>
          <w:iCs/>
        </w:rPr>
        <w:t>Environmental Science and Health Journal, 14</w:t>
      </w:r>
      <w:r w:rsidRPr="009D5062">
        <w:rPr>
          <w:rFonts w:ascii="Times New Roman" w:hAnsi="Times New Roman" w:cs="Times New Roman"/>
        </w:rPr>
        <w:t xml:space="preserve">(2), 87–103. </w:t>
      </w:r>
    </w:p>
    <w:p w14:paraId="4A8F8855" w14:textId="77777777" w:rsidR="00C74EC4" w:rsidRPr="009D5062" w:rsidRDefault="00C74EC4" w:rsidP="00C74EC4">
      <w:pPr>
        <w:spacing w:after="160" w:line="259" w:lineRule="auto"/>
        <w:jc w:val="both"/>
        <w:rPr>
          <w:rFonts w:ascii="Times New Roman" w:hAnsi="Times New Roman" w:cs="Times New Roman"/>
        </w:rPr>
      </w:pPr>
      <w:r w:rsidRPr="009D5062">
        <w:rPr>
          <w:rFonts w:ascii="Times New Roman" w:hAnsi="Times New Roman" w:cs="Times New Roman"/>
        </w:rPr>
        <w:t xml:space="preserve">Morakinyo, O. M., Mokgobu, M. I., Mukhola, M. S., &amp; Hunter, R. P. (2022). Health risk assessment of indoor air quality in hospital environments: A review. </w:t>
      </w:r>
      <w:r w:rsidRPr="009D5062">
        <w:rPr>
          <w:rFonts w:ascii="Times New Roman" w:hAnsi="Times New Roman" w:cs="Times New Roman"/>
          <w:i/>
          <w:iCs/>
        </w:rPr>
        <w:t>International Journal of Environmental Research and Public Health, 19</w:t>
      </w:r>
      <w:r w:rsidRPr="009D5062">
        <w:rPr>
          <w:rFonts w:ascii="Times New Roman" w:hAnsi="Times New Roman" w:cs="Times New Roman"/>
        </w:rPr>
        <w:t xml:space="preserve">(6), 3453. </w:t>
      </w:r>
    </w:p>
    <w:p w14:paraId="7F6E0250" w14:textId="77777777" w:rsidR="00C74EC4" w:rsidRPr="009D5062" w:rsidRDefault="00C74EC4" w:rsidP="00C74EC4">
      <w:pPr>
        <w:spacing w:after="160" w:line="259" w:lineRule="auto"/>
        <w:jc w:val="both"/>
        <w:rPr>
          <w:rFonts w:ascii="Times New Roman" w:hAnsi="Times New Roman" w:cs="Times New Roman"/>
        </w:rPr>
      </w:pPr>
      <w:r w:rsidRPr="009D5062">
        <w:rPr>
          <w:rFonts w:ascii="Times New Roman" w:hAnsi="Times New Roman" w:cs="Times New Roman"/>
        </w:rPr>
        <w:t xml:space="preserve">National Environmental Standards and Regulations Enforcement Agency (NESREA). (2011). </w:t>
      </w:r>
      <w:r w:rsidRPr="009D5062">
        <w:rPr>
          <w:rFonts w:ascii="Times New Roman" w:hAnsi="Times New Roman" w:cs="Times New Roman"/>
          <w:i/>
          <w:iCs/>
        </w:rPr>
        <w:t>National Environmental (Air Quality Control) Regulations</w:t>
      </w:r>
      <w:r w:rsidRPr="009D5062">
        <w:rPr>
          <w:rFonts w:ascii="Times New Roman" w:hAnsi="Times New Roman" w:cs="Times New Roman"/>
        </w:rPr>
        <w:t xml:space="preserve">. Federal Government of Nigeria. </w:t>
      </w:r>
    </w:p>
    <w:p w14:paraId="3A5BA44F" w14:textId="77777777" w:rsidR="00C74EC4" w:rsidRPr="009D5062" w:rsidRDefault="00C74EC4" w:rsidP="00C74EC4">
      <w:pPr>
        <w:spacing w:after="160" w:line="259" w:lineRule="auto"/>
        <w:jc w:val="both"/>
        <w:rPr>
          <w:rFonts w:ascii="Times New Roman" w:hAnsi="Times New Roman" w:cs="Times New Roman"/>
        </w:rPr>
      </w:pPr>
      <w:r w:rsidRPr="009D5062">
        <w:rPr>
          <w:rFonts w:ascii="Times New Roman" w:hAnsi="Times New Roman" w:cs="Times New Roman"/>
        </w:rPr>
        <w:t xml:space="preserve">Nwachukwu, C. U., Eze, S. O., &amp; Okonkwo, U. C. (2019). Assessment of volatile organic compounds in indoor air of Nigerian hospitals. </w:t>
      </w:r>
      <w:r w:rsidRPr="009D5062">
        <w:rPr>
          <w:rFonts w:ascii="Times New Roman" w:hAnsi="Times New Roman" w:cs="Times New Roman"/>
          <w:i/>
          <w:iCs/>
        </w:rPr>
        <w:t>Journal of Environmental Toxicology and Health Sciences, 11</w:t>
      </w:r>
      <w:r w:rsidRPr="009D5062">
        <w:rPr>
          <w:rFonts w:ascii="Times New Roman" w:hAnsi="Times New Roman" w:cs="Times New Roman"/>
        </w:rPr>
        <w:t xml:space="preserve">(2), 29–40. </w:t>
      </w:r>
    </w:p>
    <w:p w14:paraId="68BB3E3E" w14:textId="77777777" w:rsidR="00C74EC4" w:rsidRPr="009D5062" w:rsidRDefault="00C74EC4" w:rsidP="00C74EC4">
      <w:pPr>
        <w:spacing w:after="160" w:line="259" w:lineRule="auto"/>
        <w:jc w:val="both"/>
        <w:rPr>
          <w:rFonts w:ascii="Times New Roman" w:hAnsi="Times New Roman" w:cs="Times New Roman"/>
        </w:rPr>
      </w:pPr>
      <w:r w:rsidRPr="009D5062">
        <w:rPr>
          <w:rFonts w:ascii="Times New Roman" w:hAnsi="Times New Roman" w:cs="Times New Roman"/>
        </w:rPr>
        <w:t xml:space="preserve">Ogunlowo, S. A., Adetayo, J. O., &amp; Nwogu, C. C. (2022). Sulphur dioxide trends and mitigation measures in the Niger Delta. </w:t>
      </w:r>
      <w:r w:rsidRPr="009D5062">
        <w:rPr>
          <w:rFonts w:ascii="Times New Roman" w:hAnsi="Times New Roman" w:cs="Times New Roman"/>
          <w:i/>
          <w:iCs/>
        </w:rPr>
        <w:t>Environmental Monitoring and Assessment, 194</w:t>
      </w:r>
      <w:r w:rsidRPr="009D5062">
        <w:rPr>
          <w:rFonts w:ascii="Times New Roman" w:hAnsi="Times New Roman" w:cs="Times New Roman"/>
        </w:rPr>
        <w:t xml:space="preserve">(3), 221–230. </w:t>
      </w:r>
    </w:p>
    <w:p w14:paraId="724FBEAA" w14:textId="77777777" w:rsidR="00C74EC4" w:rsidRPr="009D5062" w:rsidRDefault="00C74EC4" w:rsidP="00C74EC4">
      <w:pPr>
        <w:spacing w:after="160" w:line="259" w:lineRule="auto"/>
        <w:jc w:val="both"/>
        <w:rPr>
          <w:rFonts w:ascii="Times New Roman" w:hAnsi="Times New Roman" w:cs="Times New Roman"/>
        </w:rPr>
      </w:pPr>
      <w:r w:rsidRPr="009D5062">
        <w:rPr>
          <w:rFonts w:ascii="Times New Roman" w:hAnsi="Times New Roman" w:cs="Times New Roman"/>
        </w:rPr>
        <w:t xml:space="preserve">Okafor, U. C., Nwankwo, C. E., &amp; Eze, J. I. (2021). Microbiological quality assessment of indoor environments of major departments in a medical centre in Abia State, Nigeria. </w:t>
      </w:r>
      <w:r w:rsidRPr="009D5062">
        <w:rPr>
          <w:rFonts w:ascii="Times New Roman" w:hAnsi="Times New Roman" w:cs="Times New Roman"/>
          <w:i/>
          <w:iCs/>
        </w:rPr>
        <w:t>Nigerian Journal of Microbiology, 35</w:t>
      </w:r>
      <w:r w:rsidRPr="009D5062">
        <w:rPr>
          <w:rFonts w:ascii="Times New Roman" w:hAnsi="Times New Roman" w:cs="Times New Roman"/>
        </w:rPr>
        <w:t xml:space="preserve">(2), 5965–5976. </w:t>
      </w:r>
    </w:p>
    <w:p w14:paraId="78528068" w14:textId="77777777" w:rsidR="00C74EC4" w:rsidRPr="009D5062" w:rsidRDefault="00C74EC4" w:rsidP="00C74EC4">
      <w:pPr>
        <w:spacing w:after="160" w:line="259" w:lineRule="auto"/>
        <w:jc w:val="both"/>
        <w:rPr>
          <w:rFonts w:ascii="Times New Roman" w:hAnsi="Times New Roman" w:cs="Times New Roman"/>
        </w:rPr>
      </w:pPr>
      <w:r w:rsidRPr="009D5062">
        <w:rPr>
          <w:rFonts w:ascii="Times New Roman" w:hAnsi="Times New Roman" w:cs="Times New Roman"/>
        </w:rPr>
        <w:t xml:space="preserve">Onakoya, A. J., Adewuyi, G. O., &amp; Ede, P. N. (2020). Airflow and pollutant dispersion in hospital indoor environments: A case study of the Niger Delta region. </w:t>
      </w:r>
      <w:r w:rsidRPr="009D5062">
        <w:rPr>
          <w:rFonts w:ascii="Times New Roman" w:hAnsi="Times New Roman" w:cs="Times New Roman"/>
          <w:i/>
          <w:iCs/>
        </w:rPr>
        <w:t>Journal of Environmental Protection, 11</w:t>
      </w:r>
      <w:r w:rsidRPr="009D5062">
        <w:rPr>
          <w:rFonts w:ascii="Times New Roman" w:hAnsi="Times New Roman" w:cs="Times New Roman"/>
        </w:rPr>
        <w:t xml:space="preserve">(5), 343–355. </w:t>
      </w:r>
    </w:p>
    <w:p w14:paraId="10151157" w14:textId="77777777" w:rsidR="00C74EC4" w:rsidRPr="009D5062" w:rsidRDefault="00C74EC4" w:rsidP="00C74EC4">
      <w:pPr>
        <w:spacing w:after="160" w:line="259" w:lineRule="auto"/>
        <w:jc w:val="both"/>
        <w:rPr>
          <w:rFonts w:ascii="Times New Roman" w:hAnsi="Times New Roman" w:cs="Times New Roman"/>
        </w:rPr>
      </w:pPr>
      <w:r w:rsidRPr="009D5062">
        <w:rPr>
          <w:rFonts w:ascii="Times New Roman" w:hAnsi="Times New Roman" w:cs="Times New Roman"/>
        </w:rPr>
        <w:t xml:space="preserve">Onmek, C., Anukul, N., &amp; Chomanee, J. (2022). Bacterial and fungal contamination levels in hospital air: A systematic review. </w:t>
      </w:r>
      <w:r w:rsidRPr="009D5062">
        <w:rPr>
          <w:rFonts w:ascii="Times New Roman" w:hAnsi="Times New Roman" w:cs="Times New Roman"/>
          <w:i/>
          <w:iCs/>
        </w:rPr>
        <w:t>Asian Journal of Environmental Health, 19</w:t>
      </w:r>
      <w:r w:rsidRPr="009D5062">
        <w:rPr>
          <w:rFonts w:ascii="Times New Roman" w:hAnsi="Times New Roman" w:cs="Times New Roman"/>
        </w:rPr>
        <w:t xml:space="preserve">(3), 145–156. </w:t>
      </w:r>
    </w:p>
    <w:p w14:paraId="1346FE51" w14:textId="77777777" w:rsidR="00C74EC4" w:rsidRPr="009D5062" w:rsidRDefault="00C74EC4" w:rsidP="00C74EC4">
      <w:pPr>
        <w:spacing w:after="160" w:line="259" w:lineRule="auto"/>
        <w:jc w:val="both"/>
        <w:rPr>
          <w:rFonts w:ascii="Times New Roman" w:hAnsi="Times New Roman" w:cs="Times New Roman"/>
        </w:rPr>
      </w:pPr>
      <w:r w:rsidRPr="009D5062">
        <w:rPr>
          <w:rFonts w:ascii="Times New Roman" w:hAnsi="Times New Roman" w:cs="Times New Roman"/>
        </w:rPr>
        <w:t xml:space="preserve">Onmek, N., Kongcharoen, J., Singtong, A., Penjumrus, A., &amp; Junnoo, S. (2022). Environmental factors and microbial contamination in hospital indoor air: A case study. </w:t>
      </w:r>
      <w:r w:rsidRPr="009D5062">
        <w:rPr>
          <w:rFonts w:ascii="Times New Roman" w:hAnsi="Times New Roman" w:cs="Times New Roman"/>
          <w:i/>
          <w:iCs/>
        </w:rPr>
        <w:t>Journal of Infection and Public Health, 15</w:t>
      </w:r>
      <w:r w:rsidRPr="009D5062">
        <w:rPr>
          <w:rFonts w:ascii="Times New Roman" w:hAnsi="Times New Roman" w:cs="Times New Roman"/>
        </w:rPr>
        <w:t xml:space="preserve">(4), 512–518. </w:t>
      </w:r>
    </w:p>
    <w:p w14:paraId="25971662" w14:textId="77777777" w:rsidR="00C74EC4" w:rsidRPr="009D5062" w:rsidRDefault="00C74EC4" w:rsidP="00C74EC4">
      <w:pPr>
        <w:spacing w:after="160" w:line="259" w:lineRule="auto"/>
        <w:jc w:val="both"/>
        <w:rPr>
          <w:rFonts w:ascii="Times New Roman" w:hAnsi="Times New Roman" w:cs="Times New Roman"/>
        </w:rPr>
      </w:pPr>
      <w:r w:rsidRPr="009D5062">
        <w:rPr>
          <w:rFonts w:ascii="Times New Roman" w:hAnsi="Times New Roman" w:cs="Times New Roman"/>
        </w:rPr>
        <w:t xml:space="preserve">Otter, J. A., &amp; French, G. L. (2010). The role played by contaminated surfaces in the transmission of nosocomial pathogens. </w:t>
      </w:r>
      <w:r w:rsidRPr="009D5062">
        <w:rPr>
          <w:rFonts w:ascii="Times New Roman" w:hAnsi="Times New Roman" w:cs="Times New Roman"/>
          <w:i/>
          <w:iCs/>
        </w:rPr>
        <w:t>Infection Control &amp; Hospital Epidemiology, 31</w:t>
      </w:r>
      <w:r w:rsidRPr="009D5062">
        <w:rPr>
          <w:rFonts w:ascii="Times New Roman" w:hAnsi="Times New Roman" w:cs="Times New Roman"/>
        </w:rPr>
        <w:t xml:space="preserve">(7), 687–699. </w:t>
      </w:r>
    </w:p>
    <w:p w14:paraId="304286D8" w14:textId="77777777" w:rsidR="00C74EC4" w:rsidRPr="009D5062" w:rsidRDefault="00C74EC4" w:rsidP="00C74EC4">
      <w:pPr>
        <w:spacing w:after="160" w:line="259" w:lineRule="auto"/>
        <w:jc w:val="both"/>
        <w:rPr>
          <w:rFonts w:ascii="Times New Roman" w:hAnsi="Times New Roman" w:cs="Times New Roman"/>
        </w:rPr>
      </w:pPr>
      <w:r w:rsidRPr="009D5062">
        <w:rPr>
          <w:rFonts w:ascii="Times New Roman" w:hAnsi="Times New Roman" w:cs="Times New Roman"/>
        </w:rPr>
        <w:t xml:space="preserve">Otter, J. A., Mutters, N. T., Tacconelli, E., Gikas, A., &amp; Holmes, A. H. (2021). Controlling the transmission of </w:t>
      </w:r>
      <w:r w:rsidRPr="009D5062">
        <w:rPr>
          <w:rFonts w:ascii="Times New Roman" w:hAnsi="Times New Roman" w:cs="Times New Roman"/>
          <w:i/>
          <w:iCs/>
        </w:rPr>
        <w:t>Staphylococcus aureus</w:t>
      </w:r>
      <w:r w:rsidRPr="009D5062">
        <w:rPr>
          <w:rFonts w:ascii="Times New Roman" w:hAnsi="Times New Roman" w:cs="Times New Roman"/>
        </w:rPr>
        <w:t xml:space="preserve"> in healthcare settings: A review. </w:t>
      </w:r>
      <w:r w:rsidRPr="009D5062">
        <w:rPr>
          <w:rFonts w:ascii="Times New Roman" w:hAnsi="Times New Roman" w:cs="Times New Roman"/>
          <w:i/>
          <w:iCs/>
        </w:rPr>
        <w:t>Clinical Microbiology and Infection, 27</w:t>
      </w:r>
      <w:r w:rsidRPr="009D5062">
        <w:rPr>
          <w:rFonts w:ascii="Times New Roman" w:hAnsi="Times New Roman" w:cs="Times New Roman"/>
        </w:rPr>
        <w:t xml:space="preserve">(2), 201–208. </w:t>
      </w:r>
    </w:p>
    <w:p w14:paraId="033BCCC3" w14:textId="77777777" w:rsidR="00C74EC4" w:rsidRPr="009D5062" w:rsidRDefault="00C74EC4" w:rsidP="00C74EC4">
      <w:pPr>
        <w:spacing w:after="160" w:line="259" w:lineRule="auto"/>
        <w:jc w:val="both"/>
        <w:rPr>
          <w:rFonts w:ascii="Times New Roman" w:hAnsi="Times New Roman" w:cs="Times New Roman"/>
        </w:rPr>
      </w:pPr>
      <w:r w:rsidRPr="009D5062">
        <w:rPr>
          <w:rFonts w:ascii="Times New Roman" w:hAnsi="Times New Roman" w:cs="Times New Roman"/>
        </w:rPr>
        <w:t xml:space="preserve">Oyeleke, S. B., &amp; Manga, S. B. (2008). </w:t>
      </w:r>
      <w:r w:rsidRPr="009D5062">
        <w:rPr>
          <w:rFonts w:ascii="Times New Roman" w:hAnsi="Times New Roman" w:cs="Times New Roman"/>
          <w:i/>
          <w:iCs/>
        </w:rPr>
        <w:t>Essentials of laboratory practicals in microbiology.</w:t>
      </w:r>
      <w:r w:rsidRPr="009D5062">
        <w:rPr>
          <w:rFonts w:ascii="Times New Roman" w:hAnsi="Times New Roman" w:cs="Times New Roman"/>
        </w:rPr>
        <w:t xml:space="preserve"> Tobest Publishers. </w:t>
      </w:r>
    </w:p>
    <w:p w14:paraId="0CB534DD" w14:textId="77777777" w:rsidR="00C05671" w:rsidRDefault="00C74EC4" w:rsidP="00C74EC4">
      <w:pPr>
        <w:spacing w:after="160" w:line="259" w:lineRule="auto"/>
        <w:jc w:val="both"/>
        <w:rPr>
          <w:rFonts w:ascii="Times New Roman" w:hAnsi="Times New Roman" w:cs="Times New Roman"/>
        </w:rPr>
      </w:pPr>
      <w:r w:rsidRPr="009D5062">
        <w:rPr>
          <w:rFonts w:ascii="Times New Roman" w:hAnsi="Times New Roman" w:cs="Times New Roman"/>
        </w:rPr>
        <w:t xml:space="preserve">Standards Organisation of Nigeria (SON). (2015). </w:t>
      </w:r>
      <w:r w:rsidRPr="009D5062">
        <w:rPr>
          <w:rFonts w:ascii="Times New Roman" w:hAnsi="Times New Roman" w:cs="Times New Roman"/>
          <w:i/>
          <w:iCs/>
        </w:rPr>
        <w:t>Standards for indoor air quality in public and health facilities.</w:t>
      </w:r>
      <w:r w:rsidRPr="009D5062">
        <w:rPr>
          <w:rFonts w:ascii="Times New Roman" w:hAnsi="Times New Roman" w:cs="Times New Roman"/>
        </w:rPr>
        <w:t xml:space="preserve"> SON.</w:t>
      </w:r>
    </w:p>
    <w:p w14:paraId="282B0279" w14:textId="47E2530D" w:rsidR="00C74EC4" w:rsidRPr="009D5062" w:rsidRDefault="00C05671" w:rsidP="00C74EC4">
      <w:pPr>
        <w:spacing w:after="160" w:line="259" w:lineRule="auto"/>
        <w:jc w:val="both"/>
        <w:rPr>
          <w:rFonts w:ascii="Times New Roman" w:hAnsi="Times New Roman" w:cs="Times New Roman"/>
        </w:rPr>
      </w:pPr>
      <w:proofErr w:type="spellStart"/>
      <w:r>
        <w:rPr>
          <w:rFonts w:ascii="Times New Roman" w:hAnsi="Times New Roman" w:cs="Times New Roman"/>
        </w:rPr>
        <w:t>Sorouri</w:t>
      </w:r>
      <w:proofErr w:type="spellEnd"/>
      <w:r>
        <w:rPr>
          <w:rFonts w:ascii="Times New Roman" w:hAnsi="Times New Roman" w:cs="Times New Roman"/>
        </w:rPr>
        <w:t xml:space="preserve">, Sh., </w:t>
      </w:r>
      <w:proofErr w:type="spellStart"/>
      <w:r>
        <w:rPr>
          <w:rFonts w:ascii="Times New Roman" w:hAnsi="Times New Roman" w:cs="Times New Roman"/>
        </w:rPr>
        <w:t>Ahman</w:t>
      </w:r>
      <w:proofErr w:type="spellEnd"/>
      <w:r>
        <w:rPr>
          <w:rFonts w:ascii="Times New Roman" w:hAnsi="Times New Roman" w:cs="Times New Roman"/>
        </w:rPr>
        <w:t xml:space="preserve"> Tehran, H., </w:t>
      </w:r>
      <w:proofErr w:type="spellStart"/>
      <w:r>
        <w:rPr>
          <w:rFonts w:ascii="Times New Roman" w:hAnsi="Times New Roman" w:cs="Times New Roman"/>
        </w:rPr>
        <w:t>Parhoon</w:t>
      </w:r>
      <w:proofErr w:type="spellEnd"/>
      <w:r>
        <w:rPr>
          <w:rFonts w:ascii="Times New Roman" w:hAnsi="Times New Roman" w:cs="Times New Roman"/>
        </w:rPr>
        <w:t xml:space="preserve">, M., </w:t>
      </w:r>
      <w:proofErr w:type="spellStart"/>
      <w:r>
        <w:rPr>
          <w:rFonts w:ascii="Times New Roman" w:hAnsi="Times New Roman" w:cs="Times New Roman"/>
        </w:rPr>
        <w:t>Saeidi</w:t>
      </w:r>
      <w:proofErr w:type="spellEnd"/>
      <w:r>
        <w:rPr>
          <w:rFonts w:ascii="Times New Roman" w:hAnsi="Times New Roman" w:cs="Times New Roman"/>
        </w:rPr>
        <w:t>, M</w:t>
      </w:r>
      <w:r w:rsidR="008166A9">
        <w:rPr>
          <w:rFonts w:ascii="Times New Roman" w:hAnsi="Times New Roman" w:cs="Times New Roman"/>
        </w:rPr>
        <w:t>. (2025). Air pollution in hospitals: A critical public health emergency and strategies for improving indoor air quality and patient safety. Health Provid:5(1)15-34. Doi10.22034/HP.2025500289.1060.</w:t>
      </w:r>
      <w:r w:rsidR="00C74EC4" w:rsidRPr="009D5062">
        <w:rPr>
          <w:rFonts w:ascii="Times New Roman" w:hAnsi="Times New Roman" w:cs="Times New Roman"/>
        </w:rPr>
        <w:t xml:space="preserve"> </w:t>
      </w:r>
    </w:p>
    <w:p w14:paraId="150AA731" w14:textId="77777777" w:rsidR="00C74EC4" w:rsidRPr="009D5062" w:rsidRDefault="00C74EC4" w:rsidP="00C74EC4">
      <w:pPr>
        <w:spacing w:after="160" w:line="259" w:lineRule="auto"/>
        <w:jc w:val="both"/>
        <w:rPr>
          <w:rFonts w:ascii="Times New Roman" w:hAnsi="Times New Roman" w:cs="Times New Roman"/>
        </w:rPr>
      </w:pPr>
      <w:r w:rsidRPr="009D5062">
        <w:rPr>
          <w:rFonts w:ascii="Times New Roman" w:hAnsi="Times New Roman" w:cs="Times New Roman"/>
        </w:rPr>
        <w:t xml:space="preserve">Ukpebor, E. E., &amp; Ede, P. N. (2017). Hydrogen sulphide concentration in hospital indoor air and associated health risks. </w:t>
      </w:r>
      <w:r w:rsidRPr="009D5062">
        <w:rPr>
          <w:rFonts w:ascii="Times New Roman" w:hAnsi="Times New Roman" w:cs="Times New Roman"/>
          <w:i/>
          <w:iCs/>
        </w:rPr>
        <w:t>Environmental Health Review, 61</w:t>
      </w:r>
      <w:r w:rsidRPr="009D5062">
        <w:rPr>
          <w:rFonts w:ascii="Times New Roman" w:hAnsi="Times New Roman" w:cs="Times New Roman"/>
        </w:rPr>
        <w:t xml:space="preserve">(4), 98–106. </w:t>
      </w:r>
    </w:p>
    <w:p w14:paraId="54BCB500" w14:textId="77777777" w:rsidR="00C74EC4" w:rsidRPr="009D5062" w:rsidRDefault="00C74EC4" w:rsidP="00C74EC4">
      <w:pPr>
        <w:spacing w:after="160" w:line="259" w:lineRule="auto"/>
        <w:jc w:val="both"/>
        <w:rPr>
          <w:rFonts w:ascii="Times New Roman" w:hAnsi="Times New Roman" w:cs="Times New Roman"/>
        </w:rPr>
      </w:pPr>
      <w:r w:rsidRPr="009D5062">
        <w:rPr>
          <w:rFonts w:ascii="Times New Roman" w:hAnsi="Times New Roman" w:cs="Times New Roman"/>
        </w:rPr>
        <w:lastRenderedPageBreak/>
        <w:t xml:space="preserve">United Nations Environment Programme (UNEP). (2023). </w:t>
      </w:r>
      <w:r w:rsidRPr="009D5062">
        <w:rPr>
          <w:rFonts w:ascii="Times New Roman" w:hAnsi="Times New Roman" w:cs="Times New Roman"/>
          <w:i/>
          <w:iCs/>
        </w:rPr>
        <w:t>Air pollution and health.</w:t>
      </w:r>
      <w:r w:rsidRPr="009D5062">
        <w:rPr>
          <w:rFonts w:ascii="Times New Roman" w:hAnsi="Times New Roman" w:cs="Times New Roman"/>
        </w:rPr>
        <w:t xml:space="preserve"> </w:t>
      </w:r>
    </w:p>
    <w:p w14:paraId="6678B5A9" w14:textId="77777777" w:rsidR="00C74EC4" w:rsidRPr="009D5062" w:rsidRDefault="00C74EC4" w:rsidP="00C74EC4">
      <w:pPr>
        <w:spacing w:after="160" w:line="259" w:lineRule="auto"/>
        <w:jc w:val="both"/>
        <w:rPr>
          <w:rFonts w:ascii="Times New Roman" w:hAnsi="Times New Roman" w:cs="Times New Roman"/>
        </w:rPr>
      </w:pPr>
      <w:r w:rsidRPr="009D5062">
        <w:rPr>
          <w:rFonts w:ascii="Times New Roman" w:hAnsi="Times New Roman" w:cs="Times New Roman"/>
        </w:rPr>
        <w:t xml:space="preserve">Uzochukwu, C. I., Okeke, P. O., &amp; Nweke, I. C. (2022). Fungal air quality of public and hospital environments in humid tropical regions. </w:t>
      </w:r>
      <w:r w:rsidRPr="009D5062">
        <w:rPr>
          <w:rFonts w:ascii="Times New Roman" w:hAnsi="Times New Roman" w:cs="Times New Roman"/>
          <w:i/>
          <w:iCs/>
        </w:rPr>
        <w:t>Nigerian Journal of Mycology and Environmental Health, 3</w:t>
      </w:r>
      <w:r w:rsidRPr="009D5062">
        <w:rPr>
          <w:rFonts w:ascii="Times New Roman" w:hAnsi="Times New Roman" w:cs="Times New Roman"/>
        </w:rPr>
        <w:t xml:space="preserve">(2), 51–63. </w:t>
      </w:r>
    </w:p>
    <w:p w14:paraId="3FDE0D7B" w14:textId="77777777" w:rsidR="00C74EC4" w:rsidRPr="009D5062" w:rsidRDefault="00C74EC4" w:rsidP="00C74EC4">
      <w:pPr>
        <w:spacing w:after="160" w:line="259" w:lineRule="auto"/>
        <w:jc w:val="both"/>
        <w:rPr>
          <w:rFonts w:ascii="Times New Roman" w:hAnsi="Times New Roman" w:cs="Times New Roman"/>
        </w:rPr>
      </w:pPr>
      <w:r w:rsidRPr="009D5062">
        <w:rPr>
          <w:rFonts w:ascii="Times New Roman" w:hAnsi="Times New Roman" w:cs="Times New Roman"/>
        </w:rPr>
        <w:t xml:space="preserve">World Health Organization (WHO). (2022). </w:t>
      </w:r>
      <w:r w:rsidRPr="009D5062">
        <w:rPr>
          <w:rFonts w:ascii="Times New Roman" w:hAnsi="Times New Roman" w:cs="Times New Roman"/>
          <w:i/>
          <w:iCs/>
        </w:rPr>
        <w:t>WHO guidelines on core components of infection prevention and control programmes at the national and acute health care facility level.</w:t>
      </w:r>
      <w:r w:rsidRPr="009D5062">
        <w:rPr>
          <w:rFonts w:ascii="Times New Roman" w:hAnsi="Times New Roman" w:cs="Times New Roman"/>
        </w:rPr>
        <w:t xml:space="preserve"> </w:t>
      </w:r>
    </w:p>
    <w:p w14:paraId="44B7EF8A" w14:textId="77777777" w:rsidR="00C74EC4" w:rsidRPr="009D5062" w:rsidRDefault="00C74EC4" w:rsidP="00C74EC4">
      <w:pPr>
        <w:spacing w:after="160" w:line="259" w:lineRule="auto"/>
        <w:jc w:val="both"/>
        <w:rPr>
          <w:rFonts w:ascii="Times New Roman" w:hAnsi="Times New Roman" w:cs="Times New Roman"/>
        </w:rPr>
      </w:pPr>
      <w:r w:rsidRPr="009D5062">
        <w:rPr>
          <w:rFonts w:ascii="Times New Roman" w:hAnsi="Times New Roman" w:cs="Times New Roman"/>
        </w:rPr>
        <w:t xml:space="preserve">World Health Organization (WHO). (2023). </w:t>
      </w:r>
      <w:r w:rsidRPr="009D5062">
        <w:rPr>
          <w:rFonts w:ascii="Times New Roman" w:hAnsi="Times New Roman" w:cs="Times New Roman"/>
          <w:i/>
          <w:iCs/>
        </w:rPr>
        <w:t>WHO fungal priority pathogens list to guide research, development and public health action.</w:t>
      </w:r>
      <w:r w:rsidRPr="009D5062">
        <w:rPr>
          <w:rFonts w:ascii="Times New Roman" w:hAnsi="Times New Roman" w:cs="Times New Roman"/>
        </w:rPr>
        <w:t xml:space="preserve"> </w:t>
      </w:r>
    </w:p>
    <w:p w14:paraId="30A8A071" w14:textId="72EF7A04" w:rsidR="008B17BA" w:rsidRPr="00CD4658" w:rsidRDefault="008B17BA" w:rsidP="00C74EC4">
      <w:pPr>
        <w:spacing w:after="160" w:line="259" w:lineRule="auto"/>
        <w:jc w:val="both"/>
        <w:rPr>
          <w:color w:val="000000" w:themeColor="text1"/>
        </w:rPr>
      </w:pPr>
    </w:p>
    <w:sectPr w:rsidR="008B17BA" w:rsidRPr="00CD4658" w:rsidSect="00C0783E">
      <w:headerReference w:type="even" r:id="rId20"/>
      <w:headerReference w:type="default" r:id="rId21"/>
      <w:footerReference w:type="default" r:id="rId22"/>
      <w:headerReference w:type="first" r:id="rId23"/>
      <w:pgSz w:w="12240" w:h="15840"/>
      <w:pgMar w:top="1440" w:right="900" w:bottom="1418" w:left="9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564B1D" w14:textId="77777777" w:rsidR="00334116" w:rsidRDefault="00334116" w:rsidP="00BF1860">
      <w:pPr>
        <w:spacing w:after="0" w:line="240" w:lineRule="auto"/>
      </w:pPr>
      <w:r>
        <w:separator/>
      </w:r>
    </w:p>
  </w:endnote>
  <w:endnote w:type="continuationSeparator" w:id="0">
    <w:p w14:paraId="197B63CE" w14:textId="77777777" w:rsidR="00334116" w:rsidRDefault="00334116" w:rsidP="00BF18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TimesNewRoman">
    <w:altName w:val="MS Mincho"/>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1DC0F0" w14:textId="77777777" w:rsidR="008E3723" w:rsidRDefault="008E372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35887569"/>
      <w:docPartObj>
        <w:docPartGallery w:val="Page Numbers (Bottom of Page)"/>
        <w:docPartUnique/>
      </w:docPartObj>
    </w:sdtPr>
    <w:sdtEndPr>
      <w:rPr>
        <w:noProof/>
      </w:rPr>
    </w:sdtEndPr>
    <w:sdtContent>
      <w:p w14:paraId="4197C097" w14:textId="3A13E1F6" w:rsidR="005B17A9" w:rsidRDefault="005B17A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80E4DE9" w14:textId="42B45158" w:rsidR="009A1B16" w:rsidRPr="00D21EB2" w:rsidRDefault="009A1B16" w:rsidP="00D21EB2">
    <w:pPr>
      <w:tabs>
        <w:tab w:val="left" w:pos="90"/>
      </w:tabs>
      <w:spacing w:line="240" w:lineRule="auto"/>
      <w:jc w:val="both"/>
      <w:rPr>
        <w:rFonts w:ascii="Times New Roman" w:hAnsi="Times New Roman" w:cs="Times New Roman"/>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114088" w14:textId="77777777" w:rsidR="008E3723" w:rsidRDefault="008E372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83798721"/>
      <w:docPartObj>
        <w:docPartGallery w:val="Page Numbers (Bottom of Page)"/>
        <w:docPartUnique/>
      </w:docPartObj>
    </w:sdtPr>
    <w:sdtEndPr>
      <w:rPr>
        <w:noProof/>
      </w:rPr>
    </w:sdtEndPr>
    <w:sdtContent>
      <w:p w14:paraId="6628CA73" w14:textId="76D015FA" w:rsidR="009D7C89" w:rsidRDefault="009D7C8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DDA746E" w14:textId="5B59FA83" w:rsidR="009A1B16" w:rsidRPr="00BF1860" w:rsidRDefault="009A1B16" w:rsidP="00BF1860">
    <w:pPr>
      <w:tabs>
        <w:tab w:val="left" w:pos="90"/>
      </w:tabs>
      <w:spacing w:line="240" w:lineRule="auto"/>
      <w:jc w:val="both"/>
      <w:rPr>
        <w:rFonts w:ascii="Times New Roman" w:hAnsi="Times New Roman" w:cs="Times New Roman"/>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4E88F1" w14:textId="77777777" w:rsidR="00334116" w:rsidRDefault="00334116" w:rsidP="00BF1860">
      <w:pPr>
        <w:spacing w:after="0" w:line="240" w:lineRule="auto"/>
      </w:pPr>
      <w:r>
        <w:separator/>
      </w:r>
    </w:p>
  </w:footnote>
  <w:footnote w:type="continuationSeparator" w:id="0">
    <w:p w14:paraId="40395830" w14:textId="77777777" w:rsidR="00334116" w:rsidRDefault="00334116" w:rsidP="00BF18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6D005F" w14:textId="47C643A4" w:rsidR="008E3723" w:rsidRDefault="00334116">
    <w:pPr>
      <w:pStyle w:val="Header"/>
    </w:pPr>
    <w:r>
      <w:rPr>
        <w:noProof/>
      </w:rPr>
      <w:pict w14:anchorId="1AB90A2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6475282" o:spid="_x0000_s2050" type="#_x0000_t136" style="position:absolute;margin-left:0;margin-top:0;width:619.1pt;height:116.7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55A23F" w14:textId="470F3DBF" w:rsidR="008E3723" w:rsidRDefault="00334116">
    <w:pPr>
      <w:pStyle w:val="Header"/>
    </w:pPr>
    <w:r>
      <w:rPr>
        <w:noProof/>
      </w:rPr>
      <w:pict w14:anchorId="43A25E7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6475283" o:spid="_x0000_s2051" type="#_x0000_t136" style="position:absolute;margin-left:0;margin-top:0;width:619.1pt;height:116.7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092379" w14:textId="18FDF15A" w:rsidR="008E3723" w:rsidRDefault="00334116">
    <w:pPr>
      <w:pStyle w:val="Header"/>
    </w:pPr>
    <w:r>
      <w:rPr>
        <w:noProof/>
      </w:rPr>
      <w:pict w14:anchorId="6C872E0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6475281" o:spid="_x0000_s2049" type="#_x0000_t136" style="position:absolute;margin-left:0;margin-top:0;width:619.1pt;height:116.7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D351C7" w14:textId="0FD0A469" w:rsidR="008E3723" w:rsidRDefault="00334116">
    <w:pPr>
      <w:pStyle w:val="Header"/>
    </w:pPr>
    <w:r>
      <w:rPr>
        <w:noProof/>
      </w:rPr>
      <w:pict w14:anchorId="29E9F7B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6475285" o:spid="_x0000_s2053" type="#_x0000_t136" style="position:absolute;margin-left:0;margin-top:0;width:619.1pt;height:116.75pt;rotation:315;z-index:-251649024;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74B6A8" w14:textId="7D48A932" w:rsidR="009A1B16" w:rsidRDefault="00334116">
    <w:pPr>
      <w:pStyle w:val="Header"/>
    </w:pPr>
    <w:r>
      <w:rPr>
        <w:noProof/>
      </w:rPr>
      <w:pict w14:anchorId="0D72844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6475286" o:spid="_x0000_s2054" type="#_x0000_t136" style="position:absolute;margin-left:0;margin-top:0;width:619.1pt;height:116.75pt;rotation:315;z-index:-25164697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352037" w14:textId="08BCD52E" w:rsidR="008E3723" w:rsidRDefault="00334116">
    <w:pPr>
      <w:pStyle w:val="Header"/>
    </w:pPr>
    <w:r>
      <w:rPr>
        <w:noProof/>
      </w:rPr>
      <w:pict w14:anchorId="61DD7AC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6475284" o:spid="_x0000_s2052" type="#_x0000_t136" style="position:absolute;margin-left:0;margin-top:0;width:619.1pt;height:116.75pt;rotation:315;z-index:-251651072;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6267284"/>
    <w:multiLevelType w:val="hybridMultilevel"/>
    <w:tmpl w:val="1C9E59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0"/>
  <w:proofState w:spelling="clean" w:grammar="clean"/>
  <w:defaultTabStop w:val="720"/>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1860"/>
    <w:rsid w:val="00003711"/>
    <w:rsid w:val="00015513"/>
    <w:rsid w:val="00015B3B"/>
    <w:rsid w:val="00044EF9"/>
    <w:rsid w:val="00061E43"/>
    <w:rsid w:val="000840F8"/>
    <w:rsid w:val="000A56A0"/>
    <w:rsid w:val="000C4B6E"/>
    <w:rsid w:val="000D4172"/>
    <w:rsid w:val="000E1F00"/>
    <w:rsid w:val="000E7C05"/>
    <w:rsid w:val="0011562D"/>
    <w:rsid w:val="001378FD"/>
    <w:rsid w:val="001454BE"/>
    <w:rsid w:val="00151AA0"/>
    <w:rsid w:val="00154EE2"/>
    <w:rsid w:val="001A1CFE"/>
    <w:rsid w:val="001E40F3"/>
    <w:rsid w:val="001E5A72"/>
    <w:rsid w:val="001F30FD"/>
    <w:rsid w:val="001F45AD"/>
    <w:rsid w:val="002043B8"/>
    <w:rsid w:val="00206EB7"/>
    <w:rsid w:val="0023016F"/>
    <w:rsid w:val="00235819"/>
    <w:rsid w:val="00245F6D"/>
    <w:rsid w:val="002C4E47"/>
    <w:rsid w:val="003065BB"/>
    <w:rsid w:val="00334116"/>
    <w:rsid w:val="00351D70"/>
    <w:rsid w:val="0036355F"/>
    <w:rsid w:val="00367C9F"/>
    <w:rsid w:val="00371B29"/>
    <w:rsid w:val="00393D97"/>
    <w:rsid w:val="00396A67"/>
    <w:rsid w:val="003B622D"/>
    <w:rsid w:val="003C3772"/>
    <w:rsid w:val="003D348E"/>
    <w:rsid w:val="003D5286"/>
    <w:rsid w:val="003E61B5"/>
    <w:rsid w:val="004063E8"/>
    <w:rsid w:val="00453FEF"/>
    <w:rsid w:val="00455A36"/>
    <w:rsid w:val="004A1B1A"/>
    <w:rsid w:val="004A488F"/>
    <w:rsid w:val="004A6E70"/>
    <w:rsid w:val="004B4AA3"/>
    <w:rsid w:val="004C781F"/>
    <w:rsid w:val="004E4DF2"/>
    <w:rsid w:val="0051495A"/>
    <w:rsid w:val="00531D71"/>
    <w:rsid w:val="00555D82"/>
    <w:rsid w:val="005620C8"/>
    <w:rsid w:val="0056440A"/>
    <w:rsid w:val="005B11AB"/>
    <w:rsid w:val="005B17A9"/>
    <w:rsid w:val="005C4177"/>
    <w:rsid w:val="005E1831"/>
    <w:rsid w:val="00627D32"/>
    <w:rsid w:val="006525D4"/>
    <w:rsid w:val="006637DF"/>
    <w:rsid w:val="0066422A"/>
    <w:rsid w:val="006B08B9"/>
    <w:rsid w:val="006C632C"/>
    <w:rsid w:val="007107FE"/>
    <w:rsid w:val="00772216"/>
    <w:rsid w:val="007B1326"/>
    <w:rsid w:val="007B4397"/>
    <w:rsid w:val="007E3749"/>
    <w:rsid w:val="008166A9"/>
    <w:rsid w:val="00862DB8"/>
    <w:rsid w:val="00862F3E"/>
    <w:rsid w:val="008868E6"/>
    <w:rsid w:val="00887EF5"/>
    <w:rsid w:val="008A2988"/>
    <w:rsid w:val="008B17BA"/>
    <w:rsid w:val="008B5984"/>
    <w:rsid w:val="008E3723"/>
    <w:rsid w:val="008E3E76"/>
    <w:rsid w:val="008E4616"/>
    <w:rsid w:val="008E4879"/>
    <w:rsid w:val="009004C6"/>
    <w:rsid w:val="00900888"/>
    <w:rsid w:val="00947A12"/>
    <w:rsid w:val="00996A34"/>
    <w:rsid w:val="009A1B16"/>
    <w:rsid w:val="009A2AD1"/>
    <w:rsid w:val="009C0BDE"/>
    <w:rsid w:val="009C7524"/>
    <w:rsid w:val="009D7C89"/>
    <w:rsid w:val="009E7593"/>
    <w:rsid w:val="00A8224C"/>
    <w:rsid w:val="00A82CA2"/>
    <w:rsid w:val="00AF4EE3"/>
    <w:rsid w:val="00B017D9"/>
    <w:rsid w:val="00B173E4"/>
    <w:rsid w:val="00B35722"/>
    <w:rsid w:val="00B7295D"/>
    <w:rsid w:val="00BE42DB"/>
    <w:rsid w:val="00BF1860"/>
    <w:rsid w:val="00C03579"/>
    <w:rsid w:val="00C05671"/>
    <w:rsid w:val="00C0783E"/>
    <w:rsid w:val="00C135E6"/>
    <w:rsid w:val="00C449CC"/>
    <w:rsid w:val="00C74EC4"/>
    <w:rsid w:val="00C76ED6"/>
    <w:rsid w:val="00CB5385"/>
    <w:rsid w:val="00CB6D2B"/>
    <w:rsid w:val="00CD236C"/>
    <w:rsid w:val="00CD36C2"/>
    <w:rsid w:val="00CD4658"/>
    <w:rsid w:val="00CF1774"/>
    <w:rsid w:val="00D21EB2"/>
    <w:rsid w:val="00D5003C"/>
    <w:rsid w:val="00D659F0"/>
    <w:rsid w:val="00D80DA4"/>
    <w:rsid w:val="00DA3349"/>
    <w:rsid w:val="00DC3C6F"/>
    <w:rsid w:val="00DE1B48"/>
    <w:rsid w:val="00DE57DE"/>
    <w:rsid w:val="00E10DE2"/>
    <w:rsid w:val="00E337FE"/>
    <w:rsid w:val="00E4310B"/>
    <w:rsid w:val="00E45D64"/>
    <w:rsid w:val="00E93A6B"/>
    <w:rsid w:val="00E97B39"/>
    <w:rsid w:val="00EB5B85"/>
    <w:rsid w:val="00EC69EE"/>
    <w:rsid w:val="00EF3991"/>
    <w:rsid w:val="00EF59C2"/>
    <w:rsid w:val="00F4329D"/>
    <w:rsid w:val="00F54C61"/>
    <w:rsid w:val="00FA4177"/>
    <w:rsid w:val="00FB61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5EB7D0ED"/>
  <w15:docId w15:val="{10E94CAF-39F2-4861-9323-59A0739E19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F1860"/>
  </w:style>
  <w:style w:type="paragraph" w:styleId="Heading1">
    <w:name w:val="heading 1"/>
    <w:basedOn w:val="Normal"/>
    <w:next w:val="Normal"/>
    <w:link w:val="Heading1Char"/>
    <w:uiPriority w:val="9"/>
    <w:qFormat/>
    <w:rsid w:val="00D21EB2"/>
    <w:pPr>
      <w:keepNext/>
      <w:keepLines/>
      <w:spacing w:before="480" w:after="0" w:line="259" w:lineRule="auto"/>
      <w:outlineLvl w:val="0"/>
    </w:pPr>
    <w:rPr>
      <w:rFonts w:asciiTheme="majorHAnsi" w:eastAsiaTheme="majorEastAsia" w:hAnsiTheme="majorHAnsi" w:cstheme="majorBidi"/>
      <w:b/>
      <w:bCs/>
      <w:color w:val="365F91" w:themeColor="accent1" w:themeShade="BF"/>
      <w:kern w:val="2"/>
      <w:sz w:val="28"/>
      <w:szCs w:val="28"/>
    </w:rPr>
  </w:style>
  <w:style w:type="paragraph" w:styleId="Heading2">
    <w:name w:val="heading 2"/>
    <w:basedOn w:val="Normal"/>
    <w:next w:val="Normal"/>
    <w:link w:val="Heading2Char"/>
    <w:uiPriority w:val="9"/>
    <w:unhideWhenUsed/>
    <w:qFormat/>
    <w:rsid w:val="00BF186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F1860"/>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D21EB2"/>
    <w:pPr>
      <w:keepNext/>
      <w:keepLines/>
      <w:spacing w:before="200" w:after="0" w:line="259" w:lineRule="auto"/>
      <w:outlineLvl w:val="3"/>
    </w:pPr>
    <w:rPr>
      <w:rFonts w:asciiTheme="majorHAnsi" w:eastAsiaTheme="majorEastAsia" w:hAnsiTheme="majorHAnsi" w:cstheme="majorBidi"/>
      <w:b/>
      <w:bCs/>
      <w:i/>
      <w:iCs/>
      <w:color w:val="4F81BD" w:themeColor="accent1"/>
      <w:kern w:val="2"/>
    </w:rPr>
  </w:style>
  <w:style w:type="paragraph" w:styleId="Heading8">
    <w:name w:val="heading 8"/>
    <w:basedOn w:val="Normal"/>
    <w:next w:val="Normal"/>
    <w:link w:val="Heading8Char"/>
    <w:uiPriority w:val="9"/>
    <w:semiHidden/>
    <w:unhideWhenUsed/>
    <w:qFormat/>
    <w:rsid w:val="00CD4658"/>
    <w:pPr>
      <w:keepNext/>
      <w:keepLines/>
      <w:spacing w:after="0" w:line="259" w:lineRule="auto"/>
      <w:outlineLvl w:val="7"/>
    </w:pPr>
    <w:rPr>
      <w:rFonts w:eastAsiaTheme="majorEastAsia" w:cstheme="majorBidi"/>
      <w:i/>
      <w:iCs/>
      <w:color w:val="272727" w:themeColor="text1" w:themeTint="D8"/>
      <w:kern w:val="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F1860"/>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F1860"/>
    <w:rPr>
      <w:rFonts w:asciiTheme="majorHAnsi" w:eastAsiaTheme="majorEastAsia" w:hAnsiTheme="majorHAnsi" w:cstheme="majorBidi"/>
      <w:b/>
      <w:bCs/>
      <w:color w:val="4F81BD" w:themeColor="accent1"/>
    </w:rPr>
  </w:style>
  <w:style w:type="paragraph" w:styleId="Header">
    <w:name w:val="header"/>
    <w:basedOn w:val="Normal"/>
    <w:link w:val="HeaderChar"/>
    <w:uiPriority w:val="99"/>
    <w:unhideWhenUsed/>
    <w:rsid w:val="00BF18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1860"/>
  </w:style>
  <w:style w:type="paragraph" w:styleId="Footer">
    <w:name w:val="footer"/>
    <w:basedOn w:val="Normal"/>
    <w:link w:val="FooterChar"/>
    <w:uiPriority w:val="99"/>
    <w:unhideWhenUsed/>
    <w:rsid w:val="00BF18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1860"/>
  </w:style>
  <w:style w:type="paragraph" w:customStyle="1" w:styleId="western">
    <w:name w:val="western"/>
    <w:basedOn w:val="Normal"/>
    <w:rsid w:val="00BF1860"/>
    <w:pPr>
      <w:spacing w:before="100" w:beforeAutospacing="1" w:after="119" w:line="240" w:lineRule="auto"/>
    </w:pPr>
    <w:rPr>
      <w:rFonts w:ascii="Times New Roman" w:eastAsia="Times New Roman" w:hAnsi="Times New Roman" w:cs="Times New Roman"/>
      <w:sz w:val="24"/>
      <w:szCs w:val="24"/>
    </w:rPr>
  </w:style>
  <w:style w:type="paragraph" w:styleId="NormalWeb">
    <w:name w:val="Normal (Web)"/>
    <w:basedOn w:val="Normal"/>
    <w:link w:val="NormalWebChar"/>
    <w:uiPriority w:val="99"/>
    <w:unhideWhenUsed/>
    <w:rsid w:val="00BF18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qFormat/>
    <w:rsid w:val="00BF1860"/>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paragraph">
    <w:name w:val="paragraph"/>
    <w:basedOn w:val="Normal"/>
    <w:rsid w:val="00BF18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itation-link">
    <w:name w:val="citation-link"/>
    <w:basedOn w:val="DefaultParagraphFont"/>
    <w:rsid w:val="00BF1860"/>
  </w:style>
  <w:style w:type="paragraph" w:styleId="BalloonText">
    <w:name w:val="Balloon Text"/>
    <w:basedOn w:val="Normal"/>
    <w:link w:val="BalloonTextChar"/>
    <w:uiPriority w:val="99"/>
    <w:semiHidden/>
    <w:unhideWhenUsed/>
    <w:rsid w:val="00BF18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1860"/>
    <w:rPr>
      <w:rFonts w:ascii="Tahoma" w:hAnsi="Tahoma" w:cs="Tahoma"/>
      <w:sz w:val="16"/>
      <w:szCs w:val="16"/>
    </w:rPr>
  </w:style>
  <w:style w:type="character" w:styleId="Emphasis">
    <w:name w:val="Emphasis"/>
    <w:basedOn w:val="DefaultParagraphFont"/>
    <w:uiPriority w:val="20"/>
    <w:qFormat/>
    <w:rsid w:val="00555D82"/>
    <w:rPr>
      <w:i/>
      <w:iCs/>
    </w:rPr>
  </w:style>
  <w:style w:type="character" w:customStyle="1" w:styleId="NormalWebChar">
    <w:name w:val="Normal (Web) Char"/>
    <w:basedOn w:val="DefaultParagraphFont"/>
    <w:link w:val="NormalWeb"/>
    <w:uiPriority w:val="99"/>
    <w:rsid w:val="00453FEF"/>
    <w:rPr>
      <w:rFonts w:ascii="Times New Roman" w:eastAsia="Times New Roman" w:hAnsi="Times New Roman" w:cs="Times New Roman"/>
      <w:sz w:val="24"/>
      <w:szCs w:val="24"/>
    </w:rPr>
  </w:style>
  <w:style w:type="character" w:customStyle="1" w:styleId="NoSpacingChar">
    <w:name w:val="No Spacing Char"/>
    <w:basedOn w:val="DefaultParagraphFont"/>
    <w:link w:val="NoSpacing"/>
    <w:uiPriority w:val="1"/>
    <w:locked/>
    <w:rsid w:val="00453FEF"/>
  </w:style>
  <w:style w:type="paragraph" w:styleId="NoSpacing">
    <w:name w:val="No Spacing"/>
    <w:link w:val="NoSpacingChar"/>
    <w:uiPriority w:val="1"/>
    <w:qFormat/>
    <w:rsid w:val="00453FEF"/>
    <w:pPr>
      <w:spacing w:after="0" w:line="240" w:lineRule="auto"/>
    </w:pPr>
  </w:style>
  <w:style w:type="character" w:customStyle="1" w:styleId="Heading1Char">
    <w:name w:val="Heading 1 Char"/>
    <w:basedOn w:val="DefaultParagraphFont"/>
    <w:link w:val="Heading1"/>
    <w:uiPriority w:val="9"/>
    <w:rsid w:val="00D21EB2"/>
    <w:rPr>
      <w:rFonts w:asciiTheme="majorHAnsi" w:eastAsiaTheme="majorEastAsia" w:hAnsiTheme="majorHAnsi" w:cstheme="majorBidi"/>
      <w:b/>
      <w:bCs/>
      <w:color w:val="365F91" w:themeColor="accent1" w:themeShade="BF"/>
      <w:kern w:val="2"/>
      <w:sz w:val="28"/>
      <w:szCs w:val="28"/>
    </w:rPr>
  </w:style>
  <w:style w:type="character" w:customStyle="1" w:styleId="Heading4Char">
    <w:name w:val="Heading 4 Char"/>
    <w:basedOn w:val="DefaultParagraphFont"/>
    <w:link w:val="Heading4"/>
    <w:uiPriority w:val="9"/>
    <w:rsid w:val="00D21EB2"/>
    <w:rPr>
      <w:rFonts w:asciiTheme="majorHAnsi" w:eastAsiaTheme="majorEastAsia" w:hAnsiTheme="majorHAnsi" w:cstheme="majorBidi"/>
      <w:b/>
      <w:bCs/>
      <w:i/>
      <w:iCs/>
      <w:color w:val="4F81BD" w:themeColor="accent1"/>
      <w:kern w:val="2"/>
    </w:rPr>
  </w:style>
  <w:style w:type="character" w:styleId="Strong">
    <w:name w:val="Strong"/>
    <w:basedOn w:val="DefaultParagraphFont"/>
    <w:uiPriority w:val="22"/>
    <w:qFormat/>
    <w:rsid w:val="00D21EB2"/>
    <w:rPr>
      <w:b/>
      <w:bCs/>
    </w:rPr>
  </w:style>
  <w:style w:type="table" w:styleId="TableGrid">
    <w:name w:val="Table Grid"/>
    <w:basedOn w:val="TableNormal"/>
    <w:uiPriority w:val="59"/>
    <w:rsid w:val="00D21EB2"/>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
    <w:name w:val="TABLE"/>
    <w:basedOn w:val="NormalWeb"/>
    <w:link w:val="TABLEChar"/>
    <w:qFormat/>
    <w:rsid w:val="00D21EB2"/>
    <w:rPr>
      <w:b/>
    </w:rPr>
  </w:style>
  <w:style w:type="character" w:customStyle="1" w:styleId="TABLEChar">
    <w:name w:val="TABLE Char"/>
    <w:basedOn w:val="NormalWebChar"/>
    <w:link w:val="TABLE"/>
    <w:rsid w:val="00D21EB2"/>
    <w:rPr>
      <w:rFonts w:ascii="Times New Roman" w:eastAsia="Times New Roman" w:hAnsi="Times New Roman" w:cs="Times New Roman"/>
      <w:b/>
      <w:sz w:val="24"/>
      <w:szCs w:val="24"/>
    </w:rPr>
  </w:style>
  <w:style w:type="paragraph" w:customStyle="1" w:styleId="FIG">
    <w:name w:val="FIG"/>
    <w:basedOn w:val="Normal"/>
    <w:link w:val="FIGChar"/>
    <w:qFormat/>
    <w:rsid w:val="00D21EB2"/>
    <w:pPr>
      <w:tabs>
        <w:tab w:val="left" w:pos="5199"/>
      </w:tabs>
      <w:spacing w:line="240" w:lineRule="auto"/>
      <w:jc w:val="center"/>
    </w:pPr>
    <w:rPr>
      <w:rFonts w:ascii="Times New Roman" w:eastAsia="Times New Roman" w:hAnsi="Times New Roman" w:cs="Times New Roman"/>
      <w:b/>
      <w:sz w:val="24"/>
      <w:szCs w:val="24"/>
    </w:rPr>
  </w:style>
  <w:style w:type="character" w:customStyle="1" w:styleId="FIGChar">
    <w:name w:val="FIG Char"/>
    <w:basedOn w:val="DefaultParagraphFont"/>
    <w:link w:val="FIG"/>
    <w:rsid w:val="00D21EB2"/>
    <w:rPr>
      <w:rFonts w:ascii="Times New Roman" w:eastAsia="Times New Roman" w:hAnsi="Times New Roman" w:cs="Times New Roman"/>
      <w:b/>
      <w:sz w:val="24"/>
      <w:szCs w:val="24"/>
    </w:rPr>
  </w:style>
  <w:style w:type="character" w:styleId="Hyperlink">
    <w:name w:val="Hyperlink"/>
    <w:basedOn w:val="DefaultParagraphFont"/>
    <w:uiPriority w:val="99"/>
    <w:unhideWhenUsed/>
    <w:rsid w:val="00D21EB2"/>
    <w:rPr>
      <w:color w:val="0000FF"/>
      <w:u w:val="single"/>
    </w:rPr>
  </w:style>
  <w:style w:type="character" w:customStyle="1" w:styleId="citation-5">
    <w:name w:val="citation-5"/>
    <w:basedOn w:val="DefaultParagraphFont"/>
    <w:rsid w:val="00D21EB2"/>
  </w:style>
  <w:style w:type="paragraph" w:styleId="ListParagraph">
    <w:name w:val="List Paragraph"/>
    <w:basedOn w:val="Normal"/>
    <w:uiPriority w:val="34"/>
    <w:qFormat/>
    <w:rsid w:val="002C4E47"/>
    <w:pPr>
      <w:ind w:left="720"/>
      <w:contextualSpacing/>
    </w:pPr>
  </w:style>
  <w:style w:type="character" w:customStyle="1" w:styleId="Heading8Char">
    <w:name w:val="Heading 8 Char"/>
    <w:basedOn w:val="DefaultParagraphFont"/>
    <w:link w:val="Heading8"/>
    <w:uiPriority w:val="9"/>
    <w:semiHidden/>
    <w:rsid w:val="00CD4658"/>
    <w:rPr>
      <w:rFonts w:eastAsiaTheme="majorEastAsia" w:cstheme="majorBidi"/>
      <w:i/>
      <w:iCs/>
      <w:color w:val="272727" w:themeColor="text1" w:themeTint="D8"/>
      <w:kern w:val="2"/>
    </w:rPr>
  </w:style>
  <w:style w:type="character" w:styleId="UnresolvedMention">
    <w:name w:val="Unresolved Mention"/>
    <w:basedOn w:val="DefaultParagraphFont"/>
    <w:uiPriority w:val="99"/>
    <w:semiHidden/>
    <w:unhideWhenUsed/>
    <w:rsid w:val="009D7C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hart" Target="charts/chart5.xml"/><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hart" Target="charts/chart4.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hart" Target="charts/chart3.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hart" Target="charts/chart2.xml"/><Relationship Id="rId23" Type="http://schemas.openxmlformats.org/officeDocument/2006/relationships/header" Target="header6.xml"/><Relationship Id="rId10" Type="http://schemas.openxmlformats.org/officeDocument/2006/relationships/footer" Target="footer1.xml"/><Relationship Id="rId19" Type="http://schemas.openxmlformats.org/officeDocument/2006/relationships/chart" Target="charts/chart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hart" Target="charts/chart1.xml"/><Relationship Id="rId22" Type="http://schemas.openxmlformats.org/officeDocument/2006/relationships/footer" Target="footer4.xml"/></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3.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2.xml"/><Relationship Id="rId1" Type="http://schemas.microsoft.com/office/2011/relationships/chartStyle" Target="style2.xml"/></Relationships>
</file>

<file path=word/charts/_rels/chart4.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3.xml"/><Relationship Id="rId1" Type="http://schemas.microsoft.com/office/2011/relationships/chartStyle" Target="style3.xml"/></Relationships>
</file>

<file path=word/charts/_rels/chart5.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4.xml"/><Relationship Id="rId1" Type="http://schemas.microsoft.com/office/2011/relationships/chartStyle" Target="style4.xml"/></Relationships>
</file>

<file path=word/charts/_rels/chart6.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r>
              <a:rPr lang="en-US" sz="1100" b="1">
                <a:latin typeface="Times New Roman" panose="02020603050405020304" pitchFamily="18" charset="0"/>
                <a:cs typeface="Times New Roman" panose="02020603050405020304" pitchFamily="18" charset="0"/>
              </a:rPr>
              <a:t>HOSPITAL</a:t>
            </a:r>
            <a:r>
              <a:rPr lang="en-US" sz="1100" b="1" baseline="0">
                <a:latin typeface="Times New Roman" panose="02020603050405020304" pitchFamily="18" charset="0"/>
                <a:cs typeface="Times New Roman" panose="02020603050405020304" pitchFamily="18" charset="0"/>
              </a:rPr>
              <a:t> 1</a:t>
            </a:r>
            <a:endParaRPr lang="en-US" sz="1100" b="1">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Sheet1!$E$29</c:f>
              <c:strCache>
                <c:ptCount val="1"/>
                <c:pt idx="0">
                  <c:v>Hospital  1 Card/Record</c:v>
                </c:pt>
              </c:strCache>
            </c:strRef>
          </c:tx>
          <c:spPr>
            <a:solidFill>
              <a:schemeClr val="accent1"/>
            </a:solidFill>
            <a:ln>
              <a:noFill/>
            </a:ln>
            <a:effectLst/>
          </c:spPr>
          <c:invertIfNegative val="0"/>
          <c:cat>
            <c:strRef>
              <c:f>Sheet1!$D$30:$D$35</c:f>
              <c:strCache>
                <c:ptCount val="6"/>
                <c:pt idx="0">
                  <c:v>NO2 </c:v>
                </c:pt>
                <c:pt idx="1">
                  <c:v>SO2 </c:v>
                </c:pt>
                <c:pt idx="2">
                  <c:v>CH4 </c:v>
                </c:pt>
                <c:pt idx="3">
                  <c:v>H2S </c:v>
                </c:pt>
                <c:pt idx="4">
                  <c:v>CO </c:v>
                </c:pt>
                <c:pt idx="5">
                  <c:v>VOC </c:v>
                </c:pt>
              </c:strCache>
            </c:strRef>
          </c:cat>
          <c:val>
            <c:numRef>
              <c:f>Sheet1!$E$30:$E$35</c:f>
              <c:numCache>
                <c:formatCode>General</c:formatCode>
                <c:ptCount val="6"/>
                <c:pt idx="0">
                  <c:v>1.4999999999999999E-2</c:v>
                </c:pt>
                <c:pt idx="1">
                  <c:v>1E-4</c:v>
                </c:pt>
                <c:pt idx="2">
                  <c:v>2.87</c:v>
                </c:pt>
                <c:pt idx="3">
                  <c:v>0.31</c:v>
                </c:pt>
                <c:pt idx="4">
                  <c:v>1.5</c:v>
                </c:pt>
                <c:pt idx="5">
                  <c:v>9458</c:v>
                </c:pt>
              </c:numCache>
            </c:numRef>
          </c:val>
          <c:extLst>
            <c:ext xmlns:c16="http://schemas.microsoft.com/office/drawing/2014/chart" uri="{C3380CC4-5D6E-409C-BE32-E72D297353CC}">
              <c16:uniqueId val="{00000000-CD69-4F92-9238-5130DFC195AF}"/>
            </c:ext>
          </c:extLst>
        </c:ser>
        <c:ser>
          <c:idx val="1"/>
          <c:order val="1"/>
          <c:tx>
            <c:strRef>
              <c:f>Sheet1!$F$29</c:f>
              <c:strCache>
                <c:ptCount val="1"/>
                <c:pt idx="0">
                  <c:v>Hospital 1 Antenatal</c:v>
                </c:pt>
              </c:strCache>
            </c:strRef>
          </c:tx>
          <c:spPr>
            <a:solidFill>
              <a:schemeClr val="accent2"/>
            </a:solidFill>
            <a:ln>
              <a:noFill/>
            </a:ln>
            <a:effectLst/>
          </c:spPr>
          <c:invertIfNegative val="0"/>
          <c:cat>
            <c:strRef>
              <c:f>Sheet1!$D$30:$D$35</c:f>
              <c:strCache>
                <c:ptCount val="6"/>
                <c:pt idx="0">
                  <c:v>NO2 </c:v>
                </c:pt>
                <c:pt idx="1">
                  <c:v>SO2 </c:v>
                </c:pt>
                <c:pt idx="2">
                  <c:v>CH4 </c:v>
                </c:pt>
                <c:pt idx="3">
                  <c:v>H2S </c:v>
                </c:pt>
                <c:pt idx="4">
                  <c:v>CO </c:v>
                </c:pt>
                <c:pt idx="5">
                  <c:v>VOC </c:v>
                </c:pt>
              </c:strCache>
            </c:strRef>
          </c:cat>
          <c:val>
            <c:numRef>
              <c:f>Sheet1!$F$30:$F$35</c:f>
              <c:numCache>
                <c:formatCode>General</c:formatCode>
                <c:ptCount val="6"/>
                <c:pt idx="0">
                  <c:v>1.9E-2</c:v>
                </c:pt>
                <c:pt idx="1">
                  <c:v>1E-4</c:v>
                </c:pt>
                <c:pt idx="2">
                  <c:v>5.99</c:v>
                </c:pt>
                <c:pt idx="3">
                  <c:v>1E-4</c:v>
                </c:pt>
                <c:pt idx="4">
                  <c:v>1.2</c:v>
                </c:pt>
                <c:pt idx="5">
                  <c:v>1804</c:v>
                </c:pt>
              </c:numCache>
            </c:numRef>
          </c:val>
          <c:extLst>
            <c:ext xmlns:c16="http://schemas.microsoft.com/office/drawing/2014/chart" uri="{C3380CC4-5D6E-409C-BE32-E72D297353CC}">
              <c16:uniqueId val="{00000001-CD69-4F92-9238-5130DFC195AF}"/>
            </c:ext>
          </c:extLst>
        </c:ser>
        <c:ser>
          <c:idx val="2"/>
          <c:order val="2"/>
          <c:tx>
            <c:strRef>
              <c:f>Sheet1!$G$29</c:f>
              <c:strCache>
                <c:ptCount val="1"/>
                <c:pt idx="0">
                  <c:v>Hospital 1 Female ward</c:v>
                </c:pt>
              </c:strCache>
            </c:strRef>
          </c:tx>
          <c:spPr>
            <a:solidFill>
              <a:schemeClr val="accent3"/>
            </a:solidFill>
            <a:ln>
              <a:noFill/>
            </a:ln>
            <a:effectLst/>
          </c:spPr>
          <c:invertIfNegative val="0"/>
          <c:cat>
            <c:strRef>
              <c:f>Sheet1!$D$30:$D$35</c:f>
              <c:strCache>
                <c:ptCount val="6"/>
                <c:pt idx="0">
                  <c:v>NO2 </c:v>
                </c:pt>
                <c:pt idx="1">
                  <c:v>SO2 </c:v>
                </c:pt>
                <c:pt idx="2">
                  <c:v>CH4 </c:v>
                </c:pt>
                <c:pt idx="3">
                  <c:v>H2S </c:v>
                </c:pt>
                <c:pt idx="4">
                  <c:v>CO </c:v>
                </c:pt>
                <c:pt idx="5">
                  <c:v>VOC </c:v>
                </c:pt>
              </c:strCache>
            </c:strRef>
          </c:cat>
          <c:val>
            <c:numRef>
              <c:f>Sheet1!$G$30:$G$35</c:f>
              <c:numCache>
                <c:formatCode>General</c:formatCode>
                <c:ptCount val="6"/>
                <c:pt idx="0">
                  <c:v>1.7999999999999999E-2</c:v>
                </c:pt>
                <c:pt idx="1">
                  <c:v>1E-4</c:v>
                </c:pt>
                <c:pt idx="2">
                  <c:v>2.08</c:v>
                </c:pt>
                <c:pt idx="3">
                  <c:v>1E-4</c:v>
                </c:pt>
                <c:pt idx="4">
                  <c:v>1.2</c:v>
                </c:pt>
                <c:pt idx="5">
                  <c:v>1890</c:v>
                </c:pt>
              </c:numCache>
            </c:numRef>
          </c:val>
          <c:extLst>
            <c:ext xmlns:c16="http://schemas.microsoft.com/office/drawing/2014/chart" uri="{C3380CC4-5D6E-409C-BE32-E72D297353CC}">
              <c16:uniqueId val="{00000002-CD69-4F92-9238-5130DFC195AF}"/>
            </c:ext>
          </c:extLst>
        </c:ser>
        <c:dLbls>
          <c:showLegendKey val="0"/>
          <c:showVal val="0"/>
          <c:showCatName val="0"/>
          <c:showSerName val="0"/>
          <c:showPercent val="0"/>
          <c:showBubbleSize val="0"/>
        </c:dLbls>
        <c:gapWidth val="219"/>
        <c:overlap val="-27"/>
        <c:axId val="475128544"/>
        <c:axId val="475138984"/>
      </c:barChart>
      <c:catAx>
        <c:axId val="475128544"/>
        <c:scaling>
          <c:orientation val="minMax"/>
        </c:scaling>
        <c:delete val="0"/>
        <c:axPos val="b"/>
        <c:title>
          <c:tx>
            <c:rich>
              <a:bodyPr rot="0" spcFirstLastPara="1" vertOverflow="ellipsis" vert="horz" wrap="square" anchor="ctr" anchorCtr="1"/>
              <a:lstStyle/>
              <a:p>
                <a:pPr>
                  <a:defRPr sz="1100" b="1" i="0" u="none" strike="noStrike" kern="1200" baseline="0">
                    <a:solidFill>
                      <a:schemeClr val="tx1">
                        <a:lumMod val="65000"/>
                        <a:lumOff val="35000"/>
                      </a:schemeClr>
                    </a:solidFill>
                    <a:latin typeface="+mn-lt"/>
                    <a:ea typeface="+mn-ea"/>
                    <a:cs typeface="+mn-cs"/>
                  </a:defRPr>
                </a:pPr>
                <a:r>
                  <a:rPr lang="en-US" sz="1100" b="1">
                    <a:latin typeface="Times New Roman" panose="02020603050405020304" pitchFamily="18" charset="0"/>
                    <a:cs typeface="Times New Roman" panose="02020603050405020304" pitchFamily="18" charset="0"/>
                  </a:rPr>
                  <a:t>Paramete</a:t>
                </a:r>
                <a:r>
                  <a:rPr lang="en-US" sz="1100" b="1"/>
                  <a:t>r</a:t>
                </a:r>
              </a:p>
            </c:rich>
          </c:tx>
          <c:overlay val="0"/>
          <c:spPr>
            <a:noFill/>
            <a:ln>
              <a:noFill/>
            </a:ln>
            <a:effectLst/>
          </c:spPr>
          <c:txPr>
            <a:bodyPr rot="0" spcFirstLastPara="1" vertOverflow="ellipsis" vert="horz" wrap="square" anchor="ctr" anchorCtr="1"/>
            <a:lstStyle/>
            <a:p>
              <a:pPr>
                <a:defRPr sz="1100" b="1"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75138984"/>
        <c:crosses val="autoZero"/>
        <c:auto val="1"/>
        <c:lblAlgn val="ctr"/>
        <c:lblOffset val="100"/>
        <c:noMultiLvlLbl val="0"/>
      </c:catAx>
      <c:valAx>
        <c:axId val="47513898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000" b="0" i="0" u="none" strike="noStrike" baseline="0"/>
                  <a:t>µg/m³</a:t>
                </a:r>
                <a:endParaRPr lang="en-US"/>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7512854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400">
                <a:latin typeface="Times New Roman" pitchFamily="18" charset="0"/>
                <a:cs typeface="Times New Roman" pitchFamily="18" charset="0"/>
              </a:defRPr>
            </a:pPr>
            <a:r>
              <a:rPr lang="en-US" sz="1000">
                <a:latin typeface="Times New Roman" pitchFamily="18" charset="0"/>
                <a:cs typeface="Times New Roman" pitchFamily="18" charset="0"/>
              </a:rPr>
              <a:t>HOSPITAL</a:t>
            </a:r>
            <a:r>
              <a:rPr lang="en-US" sz="1000" baseline="0">
                <a:latin typeface="Times New Roman" pitchFamily="18" charset="0"/>
                <a:cs typeface="Times New Roman" pitchFamily="18" charset="0"/>
              </a:rPr>
              <a:t> </a:t>
            </a:r>
            <a:r>
              <a:rPr lang="en-US" sz="1000">
                <a:latin typeface="Times New Roman" pitchFamily="18" charset="0"/>
                <a:cs typeface="Times New Roman" pitchFamily="18" charset="0"/>
              </a:rPr>
              <a:t> 1</a:t>
            </a:r>
            <a:r>
              <a:rPr lang="en-US" sz="1400">
                <a:latin typeface="Times New Roman" pitchFamily="18" charset="0"/>
                <a:cs typeface="Times New Roman" pitchFamily="18" charset="0"/>
              </a:rPr>
              <a:t> </a:t>
            </a:r>
          </a:p>
        </c:rich>
      </c:tx>
      <c:layout>
        <c:manualLayout>
          <c:xMode val="edge"/>
          <c:yMode val="edge"/>
          <c:x val="0.39518092877446653"/>
          <c:y val="2.7658039197466792E-2"/>
        </c:manualLayout>
      </c:layout>
      <c:overlay val="0"/>
    </c:title>
    <c:autoTitleDeleted val="0"/>
    <c:plotArea>
      <c:layout/>
      <c:barChart>
        <c:barDir val="col"/>
        <c:grouping val="clustered"/>
        <c:varyColors val="0"/>
        <c:ser>
          <c:idx val="0"/>
          <c:order val="0"/>
          <c:tx>
            <c:strRef>
              <c:f>Sheet1!$D$8</c:f>
              <c:strCache>
                <c:ptCount val="1"/>
                <c:pt idx="0">
                  <c:v>PM 2.5 (µg/m³)</c:v>
                </c:pt>
              </c:strCache>
            </c:strRef>
          </c:tx>
          <c:invertIfNegative val="0"/>
          <c:cat>
            <c:strRef>
              <c:f>Sheet1!$E$6:$G$7</c:f>
              <c:strCache>
                <c:ptCount val="3"/>
                <c:pt idx="0">
                  <c:v>Card / Record</c:v>
                </c:pt>
                <c:pt idx="1">
                  <c:v>Antenatal</c:v>
                </c:pt>
                <c:pt idx="2">
                  <c:v>Female Ward</c:v>
                </c:pt>
              </c:strCache>
            </c:strRef>
          </c:cat>
          <c:val>
            <c:numRef>
              <c:f>Sheet1!$E$8:$G$8</c:f>
              <c:numCache>
                <c:formatCode>General</c:formatCode>
                <c:ptCount val="3"/>
                <c:pt idx="0">
                  <c:v>30.7</c:v>
                </c:pt>
                <c:pt idx="1">
                  <c:v>28.8</c:v>
                </c:pt>
                <c:pt idx="2">
                  <c:v>29.1</c:v>
                </c:pt>
              </c:numCache>
            </c:numRef>
          </c:val>
          <c:extLst>
            <c:ext xmlns:c16="http://schemas.microsoft.com/office/drawing/2014/chart" uri="{C3380CC4-5D6E-409C-BE32-E72D297353CC}">
              <c16:uniqueId val="{00000000-A1B4-48FE-A99A-4D051B9524A0}"/>
            </c:ext>
          </c:extLst>
        </c:ser>
        <c:ser>
          <c:idx val="1"/>
          <c:order val="1"/>
          <c:tx>
            <c:strRef>
              <c:f>Sheet1!$D$9</c:f>
              <c:strCache>
                <c:ptCount val="1"/>
                <c:pt idx="0">
                  <c:v>PM 10 (µg/m³)</c:v>
                </c:pt>
              </c:strCache>
            </c:strRef>
          </c:tx>
          <c:invertIfNegative val="0"/>
          <c:cat>
            <c:strRef>
              <c:f>Sheet1!$E$6:$G$7</c:f>
              <c:strCache>
                <c:ptCount val="3"/>
                <c:pt idx="0">
                  <c:v>Card / Record</c:v>
                </c:pt>
                <c:pt idx="1">
                  <c:v>Antenatal</c:v>
                </c:pt>
                <c:pt idx="2">
                  <c:v>Female Ward</c:v>
                </c:pt>
              </c:strCache>
            </c:strRef>
          </c:cat>
          <c:val>
            <c:numRef>
              <c:f>Sheet1!$E$9:$G$9</c:f>
              <c:numCache>
                <c:formatCode>General</c:formatCode>
                <c:ptCount val="3"/>
                <c:pt idx="0">
                  <c:v>46.3</c:v>
                </c:pt>
                <c:pt idx="1">
                  <c:v>48.3</c:v>
                </c:pt>
                <c:pt idx="2">
                  <c:v>56.8</c:v>
                </c:pt>
              </c:numCache>
            </c:numRef>
          </c:val>
          <c:extLst>
            <c:ext xmlns:c16="http://schemas.microsoft.com/office/drawing/2014/chart" uri="{C3380CC4-5D6E-409C-BE32-E72D297353CC}">
              <c16:uniqueId val="{00000001-A1B4-48FE-A99A-4D051B9524A0}"/>
            </c:ext>
          </c:extLst>
        </c:ser>
        <c:dLbls>
          <c:showLegendKey val="0"/>
          <c:showVal val="0"/>
          <c:showCatName val="0"/>
          <c:showSerName val="0"/>
          <c:showPercent val="0"/>
          <c:showBubbleSize val="0"/>
        </c:dLbls>
        <c:gapWidth val="150"/>
        <c:axId val="68162304"/>
        <c:axId val="68190208"/>
      </c:barChart>
      <c:catAx>
        <c:axId val="68162304"/>
        <c:scaling>
          <c:orientation val="minMax"/>
        </c:scaling>
        <c:delete val="0"/>
        <c:axPos val="b"/>
        <c:title>
          <c:tx>
            <c:rich>
              <a:bodyPr/>
              <a:lstStyle/>
              <a:p>
                <a:pPr>
                  <a:defRPr/>
                </a:pPr>
                <a:r>
                  <a:rPr lang="en-US" sz="1100" b="1" i="0" u="none" strike="noStrike" baseline="0">
                    <a:latin typeface="Times New Roman" panose="02020603050405020304" pitchFamily="18" charset="0"/>
                    <a:cs typeface="Times New Roman" panose="02020603050405020304" pitchFamily="18" charset="0"/>
                  </a:rPr>
                  <a:t>HOSPITAL DEPARTMENTS</a:t>
                </a:r>
                <a:endParaRPr lang="en-US" sz="1100" b="1">
                  <a:solidFill>
                    <a:srgbClr val="FF0000"/>
                  </a:solidFill>
                  <a:latin typeface="Times New Roman" panose="02020603050405020304" pitchFamily="18" charset="0"/>
                  <a:cs typeface="Times New Roman" panose="02020603050405020304" pitchFamily="18" charset="0"/>
                </a:endParaRPr>
              </a:p>
            </c:rich>
          </c:tx>
          <c:overlay val="0"/>
        </c:title>
        <c:numFmt formatCode="General" sourceLinked="0"/>
        <c:majorTickMark val="none"/>
        <c:minorTickMark val="none"/>
        <c:tickLblPos val="nextTo"/>
        <c:txPr>
          <a:bodyPr/>
          <a:lstStyle/>
          <a:p>
            <a:pPr>
              <a:defRPr sz="1100">
                <a:latin typeface="Times New Roman" panose="02020603050405020304" pitchFamily="18" charset="0"/>
                <a:cs typeface="Times New Roman" panose="02020603050405020304" pitchFamily="18" charset="0"/>
              </a:defRPr>
            </a:pPr>
            <a:endParaRPr lang="en-US"/>
          </a:p>
        </c:txPr>
        <c:crossAx val="68190208"/>
        <c:crosses val="autoZero"/>
        <c:auto val="1"/>
        <c:lblAlgn val="ctr"/>
        <c:lblOffset val="100"/>
        <c:noMultiLvlLbl val="0"/>
      </c:catAx>
      <c:valAx>
        <c:axId val="68190208"/>
        <c:scaling>
          <c:orientation val="minMax"/>
        </c:scaling>
        <c:delete val="0"/>
        <c:axPos val="l"/>
        <c:majorGridlines/>
        <c:title>
          <c:tx>
            <c:rich>
              <a:bodyPr rot="-5400000" vert="horz"/>
              <a:lstStyle/>
              <a:p>
                <a:pPr>
                  <a:defRPr/>
                </a:pPr>
                <a:r>
                  <a:rPr lang="en-US" sz="1000" b="1" i="0" u="none" strike="noStrike" baseline="0"/>
                  <a:t>(µg/m³)</a:t>
                </a:r>
                <a:endParaRPr lang="en-US">
                  <a:solidFill>
                    <a:srgbClr val="FF0000"/>
                  </a:solidFill>
                </a:endParaRPr>
              </a:p>
            </c:rich>
          </c:tx>
          <c:overlay val="0"/>
        </c:title>
        <c:numFmt formatCode="General" sourceLinked="1"/>
        <c:majorTickMark val="none"/>
        <c:minorTickMark val="none"/>
        <c:tickLblPos val="nextTo"/>
        <c:crossAx val="68162304"/>
        <c:crosses val="autoZero"/>
        <c:crossBetween val="between"/>
      </c:valAx>
    </c:plotArea>
    <c:legend>
      <c:legendPos val="r"/>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1100" b="1">
                <a:latin typeface="Times New Roman" panose="02020603050405020304" pitchFamily="18" charset="0"/>
                <a:cs typeface="Times New Roman" panose="02020603050405020304" pitchFamily="18" charset="0"/>
              </a:rPr>
              <a:t>Hospital</a:t>
            </a:r>
            <a:r>
              <a:rPr lang="en-US" sz="1100" b="1" baseline="0">
                <a:latin typeface="Times New Roman" panose="02020603050405020304" pitchFamily="18" charset="0"/>
                <a:cs typeface="Times New Roman" panose="02020603050405020304" pitchFamily="18" charset="0"/>
              </a:rPr>
              <a:t> 2</a:t>
            </a:r>
            <a:endParaRPr lang="en-US" sz="1100" b="1">
              <a:latin typeface="Times New Roman" panose="02020603050405020304" pitchFamily="18" charset="0"/>
              <a:cs typeface="Times New Roman" panose="02020603050405020304" pitchFamily="18" charset="0"/>
            </a:endParaRPr>
          </a:p>
        </c:rich>
      </c:tx>
      <c:layout>
        <c:manualLayout>
          <c:xMode val="edge"/>
          <c:yMode val="edge"/>
          <c:x val="0.39282633420822405"/>
          <c:y val="5.5555555555555552E-2"/>
        </c:manualLayout>
      </c:layout>
      <c:overlay val="0"/>
      <c:spPr>
        <a:noFill/>
        <a:ln>
          <a:noFill/>
        </a:ln>
        <a:effectLst/>
      </c:spPr>
      <c:txPr>
        <a:bodyPr rot="0" spcFirstLastPara="1" vertOverflow="ellipsis" vert="horz" wrap="square" anchor="ctr" anchorCtr="1"/>
        <a:lstStyle/>
        <a:p>
          <a:pPr>
            <a:defRPr sz="11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barChart>
        <c:barDir val="col"/>
        <c:grouping val="clustered"/>
        <c:varyColors val="0"/>
        <c:ser>
          <c:idx val="0"/>
          <c:order val="0"/>
          <c:tx>
            <c:strRef>
              <c:f>Sheet1!$D$44</c:f>
              <c:strCache>
                <c:ptCount val="1"/>
                <c:pt idx="0">
                  <c:v>Hospital 2 Ultrasound</c:v>
                </c:pt>
              </c:strCache>
            </c:strRef>
          </c:tx>
          <c:spPr>
            <a:solidFill>
              <a:schemeClr val="accent1"/>
            </a:solidFill>
            <a:ln>
              <a:noFill/>
            </a:ln>
            <a:effectLst/>
          </c:spPr>
          <c:invertIfNegative val="0"/>
          <c:cat>
            <c:strRef>
              <c:f>Sheet1!$C$45:$C$50</c:f>
              <c:strCache>
                <c:ptCount val="6"/>
                <c:pt idx="0">
                  <c:v>NO2 </c:v>
                </c:pt>
                <c:pt idx="1">
                  <c:v>SO2 </c:v>
                </c:pt>
                <c:pt idx="2">
                  <c:v>CH4 </c:v>
                </c:pt>
                <c:pt idx="3">
                  <c:v>H2S </c:v>
                </c:pt>
                <c:pt idx="4">
                  <c:v>CO </c:v>
                </c:pt>
                <c:pt idx="5">
                  <c:v>VOC </c:v>
                </c:pt>
              </c:strCache>
            </c:strRef>
          </c:cat>
          <c:val>
            <c:numRef>
              <c:f>Sheet1!$D$45:$D$50</c:f>
              <c:numCache>
                <c:formatCode>General</c:formatCode>
                <c:ptCount val="6"/>
                <c:pt idx="0">
                  <c:v>1.2E-2</c:v>
                </c:pt>
                <c:pt idx="1">
                  <c:v>0</c:v>
                </c:pt>
                <c:pt idx="2">
                  <c:v>3.69</c:v>
                </c:pt>
                <c:pt idx="3">
                  <c:v>0.77</c:v>
                </c:pt>
                <c:pt idx="4">
                  <c:v>0</c:v>
                </c:pt>
                <c:pt idx="5">
                  <c:v>1756</c:v>
                </c:pt>
              </c:numCache>
            </c:numRef>
          </c:val>
          <c:extLst>
            <c:ext xmlns:c16="http://schemas.microsoft.com/office/drawing/2014/chart" uri="{C3380CC4-5D6E-409C-BE32-E72D297353CC}">
              <c16:uniqueId val="{00000000-1863-422C-8DAD-2500CE9842D5}"/>
            </c:ext>
          </c:extLst>
        </c:ser>
        <c:ser>
          <c:idx val="1"/>
          <c:order val="1"/>
          <c:tx>
            <c:strRef>
              <c:f>Sheet1!$E$44</c:f>
              <c:strCache>
                <c:ptCount val="1"/>
                <c:pt idx="0">
                  <c:v>Hospital 2 Card/Records</c:v>
                </c:pt>
              </c:strCache>
            </c:strRef>
          </c:tx>
          <c:spPr>
            <a:solidFill>
              <a:schemeClr val="accent2"/>
            </a:solidFill>
            <a:ln>
              <a:noFill/>
            </a:ln>
            <a:effectLst/>
          </c:spPr>
          <c:invertIfNegative val="0"/>
          <c:cat>
            <c:strRef>
              <c:f>Sheet1!$C$45:$C$50</c:f>
              <c:strCache>
                <c:ptCount val="6"/>
                <c:pt idx="0">
                  <c:v>NO2 </c:v>
                </c:pt>
                <c:pt idx="1">
                  <c:v>SO2 </c:v>
                </c:pt>
                <c:pt idx="2">
                  <c:v>CH4 </c:v>
                </c:pt>
                <c:pt idx="3">
                  <c:v>H2S </c:v>
                </c:pt>
                <c:pt idx="4">
                  <c:v>CO </c:v>
                </c:pt>
                <c:pt idx="5">
                  <c:v>VOC </c:v>
                </c:pt>
              </c:strCache>
            </c:strRef>
          </c:cat>
          <c:val>
            <c:numRef>
              <c:f>Sheet1!$E$45:$E$50</c:f>
              <c:numCache>
                <c:formatCode>General</c:formatCode>
                <c:ptCount val="6"/>
                <c:pt idx="0">
                  <c:v>0</c:v>
                </c:pt>
                <c:pt idx="1">
                  <c:v>0</c:v>
                </c:pt>
                <c:pt idx="2">
                  <c:v>2.44</c:v>
                </c:pt>
                <c:pt idx="3">
                  <c:v>0.26</c:v>
                </c:pt>
                <c:pt idx="4">
                  <c:v>1.72</c:v>
                </c:pt>
                <c:pt idx="5">
                  <c:v>1771</c:v>
                </c:pt>
              </c:numCache>
            </c:numRef>
          </c:val>
          <c:extLst>
            <c:ext xmlns:c16="http://schemas.microsoft.com/office/drawing/2014/chart" uri="{C3380CC4-5D6E-409C-BE32-E72D297353CC}">
              <c16:uniqueId val="{00000001-1863-422C-8DAD-2500CE9842D5}"/>
            </c:ext>
          </c:extLst>
        </c:ser>
        <c:ser>
          <c:idx val="2"/>
          <c:order val="2"/>
          <c:tx>
            <c:strRef>
              <c:f>Sheet1!$F$44</c:f>
              <c:strCache>
                <c:ptCount val="1"/>
                <c:pt idx="0">
                  <c:v>Hospital 2 Physiotherapy</c:v>
                </c:pt>
              </c:strCache>
            </c:strRef>
          </c:tx>
          <c:spPr>
            <a:solidFill>
              <a:schemeClr val="accent3"/>
            </a:solidFill>
            <a:ln>
              <a:noFill/>
            </a:ln>
            <a:effectLst/>
          </c:spPr>
          <c:invertIfNegative val="0"/>
          <c:cat>
            <c:strRef>
              <c:f>Sheet1!$C$45:$C$50</c:f>
              <c:strCache>
                <c:ptCount val="6"/>
                <c:pt idx="0">
                  <c:v>NO2 </c:v>
                </c:pt>
                <c:pt idx="1">
                  <c:v>SO2 </c:v>
                </c:pt>
                <c:pt idx="2">
                  <c:v>CH4 </c:v>
                </c:pt>
                <c:pt idx="3">
                  <c:v>H2S </c:v>
                </c:pt>
                <c:pt idx="4">
                  <c:v>CO </c:v>
                </c:pt>
                <c:pt idx="5">
                  <c:v>VOC </c:v>
                </c:pt>
              </c:strCache>
            </c:strRef>
          </c:cat>
          <c:val>
            <c:numRef>
              <c:f>Sheet1!$F$45:$F$50</c:f>
              <c:numCache>
                <c:formatCode>General</c:formatCode>
                <c:ptCount val="6"/>
                <c:pt idx="0">
                  <c:v>0</c:v>
                </c:pt>
                <c:pt idx="1">
                  <c:v>0</c:v>
                </c:pt>
                <c:pt idx="2">
                  <c:v>2.5299999999999998</c:v>
                </c:pt>
                <c:pt idx="3">
                  <c:v>0</c:v>
                </c:pt>
                <c:pt idx="4">
                  <c:v>0.6</c:v>
                </c:pt>
                <c:pt idx="5">
                  <c:v>1958</c:v>
                </c:pt>
              </c:numCache>
            </c:numRef>
          </c:val>
          <c:extLst>
            <c:ext xmlns:c16="http://schemas.microsoft.com/office/drawing/2014/chart" uri="{C3380CC4-5D6E-409C-BE32-E72D297353CC}">
              <c16:uniqueId val="{00000002-1863-422C-8DAD-2500CE9842D5}"/>
            </c:ext>
          </c:extLst>
        </c:ser>
        <c:dLbls>
          <c:showLegendKey val="0"/>
          <c:showVal val="0"/>
          <c:showCatName val="0"/>
          <c:showSerName val="0"/>
          <c:showPercent val="0"/>
          <c:showBubbleSize val="0"/>
        </c:dLbls>
        <c:gapWidth val="219"/>
        <c:overlap val="-27"/>
        <c:axId val="485079520"/>
        <c:axId val="485083840"/>
      </c:barChart>
      <c:catAx>
        <c:axId val="485079520"/>
        <c:scaling>
          <c:orientation val="minMax"/>
        </c:scaling>
        <c:delete val="0"/>
        <c:axPos val="b"/>
        <c:title>
          <c:tx>
            <c:rich>
              <a:bodyPr rot="0" spcFirstLastPara="1" vertOverflow="ellipsis" vert="horz" wrap="square" anchor="ctr" anchorCtr="1"/>
              <a:lstStyle/>
              <a:p>
                <a:pPr>
                  <a:defRPr sz="11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1100" b="1">
                    <a:latin typeface="Times New Roman" panose="02020603050405020304" pitchFamily="18" charset="0"/>
                    <a:cs typeface="Times New Roman" panose="02020603050405020304" pitchFamily="18" charset="0"/>
                  </a:rPr>
                  <a:t>Parameter</a:t>
                </a:r>
              </a:p>
            </c:rich>
          </c:tx>
          <c:layout>
            <c:manualLayout>
              <c:xMode val="edge"/>
              <c:yMode val="edge"/>
              <c:x val="0.40938079615048117"/>
              <c:y val="0.78530037911927675"/>
            </c:manualLayout>
          </c:layout>
          <c:overlay val="0"/>
          <c:spPr>
            <a:noFill/>
            <a:ln>
              <a:noFill/>
            </a:ln>
            <a:effectLst/>
          </c:spPr>
          <c:txPr>
            <a:bodyPr rot="0" spcFirstLastPara="1" vertOverflow="ellipsis" vert="horz" wrap="square" anchor="ctr" anchorCtr="1"/>
            <a:lstStyle/>
            <a:p>
              <a:pPr>
                <a:defRPr sz="11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85083840"/>
        <c:crosses val="autoZero"/>
        <c:auto val="1"/>
        <c:lblAlgn val="ctr"/>
        <c:lblOffset val="100"/>
        <c:noMultiLvlLbl val="0"/>
      </c:catAx>
      <c:valAx>
        <c:axId val="48508384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000" b="0" i="0" u="none" strike="noStrike" baseline="0"/>
                  <a:t>µg/m³</a:t>
                </a:r>
                <a:endParaRPr lang="en-US"/>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8507952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ctr">
              <a:defRPr sz="12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1200">
                <a:latin typeface="Times New Roman" panose="02020603050405020304" pitchFamily="18" charset="0"/>
                <a:cs typeface="Times New Roman" panose="02020603050405020304" pitchFamily="18" charset="0"/>
              </a:rPr>
              <a:t>Hospital 2</a:t>
            </a:r>
          </a:p>
        </c:rich>
      </c:tx>
      <c:overlay val="0"/>
      <c:spPr>
        <a:noFill/>
        <a:ln>
          <a:noFill/>
        </a:ln>
        <a:effectLst/>
      </c:spPr>
      <c:txPr>
        <a:bodyPr rot="0" spcFirstLastPara="1" vertOverflow="ellipsis" vert="horz" wrap="square" anchor="ctr" anchorCtr="1"/>
        <a:lstStyle/>
        <a:p>
          <a:pPr algn="ctr">
            <a:defRPr sz="12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barChart>
        <c:barDir val="col"/>
        <c:grouping val="clustered"/>
        <c:varyColors val="0"/>
        <c:ser>
          <c:idx val="0"/>
          <c:order val="0"/>
          <c:tx>
            <c:strRef>
              <c:f>Sheet2!$C$7</c:f>
              <c:strCache>
                <c:ptCount val="1"/>
                <c:pt idx="0">
                  <c:v>PM2.5 (ug/m3)</c:v>
                </c:pt>
              </c:strCache>
            </c:strRef>
          </c:tx>
          <c:spPr>
            <a:solidFill>
              <a:schemeClr val="accent1"/>
            </a:solidFill>
            <a:ln>
              <a:noFill/>
            </a:ln>
            <a:effectLst/>
          </c:spPr>
          <c:invertIfNegative val="0"/>
          <c:cat>
            <c:strRef>
              <c:f>Sheet2!$D$6:$F$6</c:f>
              <c:strCache>
                <c:ptCount val="3"/>
                <c:pt idx="0">
                  <c:v> Ultrasound</c:v>
                </c:pt>
                <c:pt idx="1">
                  <c:v>Card/Records</c:v>
                </c:pt>
                <c:pt idx="2">
                  <c:v> Physiotherapy</c:v>
                </c:pt>
              </c:strCache>
            </c:strRef>
          </c:cat>
          <c:val>
            <c:numRef>
              <c:f>Sheet2!$D$7:$F$7</c:f>
              <c:numCache>
                <c:formatCode>General</c:formatCode>
                <c:ptCount val="3"/>
                <c:pt idx="0">
                  <c:v>29.1</c:v>
                </c:pt>
                <c:pt idx="1">
                  <c:v>28.8</c:v>
                </c:pt>
                <c:pt idx="2">
                  <c:v>29.5</c:v>
                </c:pt>
              </c:numCache>
            </c:numRef>
          </c:val>
          <c:extLst>
            <c:ext xmlns:c16="http://schemas.microsoft.com/office/drawing/2014/chart" uri="{C3380CC4-5D6E-409C-BE32-E72D297353CC}">
              <c16:uniqueId val="{00000000-61C8-49EF-B484-7954F70AAB28}"/>
            </c:ext>
          </c:extLst>
        </c:ser>
        <c:ser>
          <c:idx val="1"/>
          <c:order val="1"/>
          <c:tx>
            <c:strRef>
              <c:f>Sheet2!$C$8</c:f>
              <c:strCache>
                <c:ptCount val="1"/>
                <c:pt idx="0">
                  <c:v>PM10 (ug/m3)</c:v>
                </c:pt>
              </c:strCache>
            </c:strRef>
          </c:tx>
          <c:spPr>
            <a:solidFill>
              <a:schemeClr val="accent2"/>
            </a:solidFill>
            <a:ln>
              <a:noFill/>
            </a:ln>
            <a:effectLst/>
          </c:spPr>
          <c:invertIfNegative val="0"/>
          <c:cat>
            <c:strRef>
              <c:f>Sheet2!$D$6:$F$6</c:f>
              <c:strCache>
                <c:ptCount val="3"/>
                <c:pt idx="0">
                  <c:v> Ultrasound</c:v>
                </c:pt>
                <c:pt idx="1">
                  <c:v>Card/Records</c:v>
                </c:pt>
                <c:pt idx="2">
                  <c:v> Physiotherapy</c:v>
                </c:pt>
              </c:strCache>
            </c:strRef>
          </c:cat>
          <c:val>
            <c:numRef>
              <c:f>Sheet2!$D$8:$F$8</c:f>
              <c:numCache>
                <c:formatCode>General</c:formatCode>
                <c:ptCount val="3"/>
                <c:pt idx="0">
                  <c:v>50.3</c:v>
                </c:pt>
                <c:pt idx="1">
                  <c:v>48.8</c:v>
                </c:pt>
                <c:pt idx="2">
                  <c:v>47.5</c:v>
                </c:pt>
              </c:numCache>
            </c:numRef>
          </c:val>
          <c:extLst>
            <c:ext xmlns:c16="http://schemas.microsoft.com/office/drawing/2014/chart" uri="{C3380CC4-5D6E-409C-BE32-E72D297353CC}">
              <c16:uniqueId val="{00000001-61C8-49EF-B484-7954F70AAB28}"/>
            </c:ext>
          </c:extLst>
        </c:ser>
        <c:dLbls>
          <c:showLegendKey val="0"/>
          <c:showVal val="0"/>
          <c:showCatName val="0"/>
          <c:showSerName val="0"/>
          <c:showPercent val="0"/>
          <c:showBubbleSize val="0"/>
        </c:dLbls>
        <c:gapWidth val="219"/>
        <c:overlap val="-27"/>
        <c:axId val="475790744"/>
        <c:axId val="475797224"/>
      </c:barChart>
      <c:catAx>
        <c:axId val="475790744"/>
        <c:scaling>
          <c:orientation val="minMax"/>
        </c:scaling>
        <c:delete val="0"/>
        <c:axPos val="b"/>
        <c:title>
          <c:tx>
            <c:rich>
              <a:bodyPr rot="0" spcFirstLastPara="1" vertOverflow="ellipsis" vert="horz" wrap="square" anchor="ctr" anchorCtr="1"/>
              <a:lstStyle/>
              <a:p>
                <a:pPr>
                  <a:defRPr sz="11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1100" b="1">
                    <a:latin typeface="Times New Roman" panose="02020603050405020304" pitchFamily="18" charset="0"/>
                    <a:cs typeface="Times New Roman" panose="02020603050405020304" pitchFamily="18" charset="0"/>
                  </a:rPr>
                  <a:t>Hospital Department</a:t>
                </a:r>
              </a:p>
            </c:rich>
          </c:tx>
          <c:overlay val="0"/>
          <c:spPr>
            <a:noFill/>
            <a:ln>
              <a:noFill/>
            </a:ln>
            <a:effectLst/>
          </c:spPr>
          <c:txPr>
            <a:bodyPr rot="0" spcFirstLastPara="1" vertOverflow="ellipsis" vert="horz" wrap="square" anchor="ctr" anchorCtr="1"/>
            <a:lstStyle/>
            <a:p>
              <a:pPr>
                <a:defRPr sz="11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475797224"/>
        <c:crosses val="autoZero"/>
        <c:auto val="1"/>
        <c:lblAlgn val="ctr"/>
        <c:lblOffset val="100"/>
        <c:noMultiLvlLbl val="0"/>
      </c:catAx>
      <c:valAx>
        <c:axId val="47579722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ug/m3</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7579074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1200">
                <a:latin typeface="Times New Roman" panose="02020603050405020304" pitchFamily="18" charset="0"/>
                <a:cs typeface="Times New Roman" panose="02020603050405020304" pitchFamily="18" charset="0"/>
              </a:rPr>
              <a:t>Hospital</a:t>
            </a:r>
            <a:r>
              <a:rPr lang="en-US" sz="1200" baseline="0">
                <a:latin typeface="Times New Roman" panose="02020603050405020304" pitchFamily="18" charset="0"/>
                <a:cs typeface="Times New Roman" panose="02020603050405020304" pitchFamily="18" charset="0"/>
              </a:rPr>
              <a:t> 3</a:t>
            </a:r>
            <a:endParaRPr lang="en-US" sz="1200">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2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manualLayout>
          <c:layoutTarget val="inner"/>
          <c:xMode val="edge"/>
          <c:yMode val="edge"/>
          <c:x val="0.14526159230096239"/>
          <c:y val="0.20412037037037037"/>
          <c:w val="0.81862729658792655"/>
          <c:h val="0.5200769174686497"/>
        </c:manualLayout>
      </c:layout>
      <c:barChart>
        <c:barDir val="col"/>
        <c:grouping val="clustered"/>
        <c:varyColors val="0"/>
        <c:ser>
          <c:idx val="0"/>
          <c:order val="0"/>
          <c:tx>
            <c:strRef>
              <c:f>Sheet1!$D$57</c:f>
              <c:strCache>
                <c:ptCount val="1"/>
                <c:pt idx="0">
                  <c:v>Hospital 3 Emergency</c:v>
                </c:pt>
              </c:strCache>
            </c:strRef>
          </c:tx>
          <c:spPr>
            <a:solidFill>
              <a:schemeClr val="accent1"/>
            </a:solidFill>
            <a:ln>
              <a:noFill/>
            </a:ln>
            <a:effectLst/>
          </c:spPr>
          <c:invertIfNegative val="0"/>
          <c:cat>
            <c:strRef>
              <c:f>Sheet1!$C$58:$C$63</c:f>
              <c:strCache>
                <c:ptCount val="6"/>
                <c:pt idx="0">
                  <c:v>NO2 </c:v>
                </c:pt>
                <c:pt idx="1">
                  <c:v>SO2 </c:v>
                </c:pt>
                <c:pt idx="2">
                  <c:v>CH4 </c:v>
                </c:pt>
                <c:pt idx="3">
                  <c:v>H2S </c:v>
                </c:pt>
                <c:pt idx="4">
                  <c:v>CO </c:v>
                </c:pt>
                <c:pt idx="5">
                  <c:v>VOC </c:v>
                </c:pt>
              </c:strCache>
            </c:strRef>
          </c:cat>
          <c:val>
            <c:numRef>
              <c:f>Sheet1!$D$58:$D$63</c:f>
              <c:numCache>
                <c:formatCode>General</c:formatCode>
                <c:ptCount val="6"/>
                <c:pt idx="0">
                  <c:v>3.4000000000000002E-2</c:v>
                </c:pt>
                <c:pt idx="1">
                  <c:v>0</c:v>
                </c:pt>
                <c:pt idx="2">
                  <c:v>3491</c:v>
                </c:pt>
                <c:pt idx="3">
                  <c:v>0</c:v>
                </c:pt>
                <c:pt idx="4">
                  <c:v>1.7</c:v>
                </c:pt>
                <c:pt idx="5">
                  <c:v>0</c:v>
                </c:pt>
              </c:numCache>
            </c:numRef>
          </c:val>
          <c:extLst>
            <c:ext xmlns:c16="http://schemas.microsoft.com/office/drawing/2014/chart" uri="{C3380CC4-5D6E-409C-BE32-E72D297353CC}">
              <c16:uniqueId val="{00000000-5C4D-49E3-A4C2-EE1ADEF926E5}"/>
            </c:ext>
          </c:extLst>
        </c:ser>
        <c:ser>
          <c:idx val="1"/>
          <c:order val="1"/>
          <c:tx>
            <c:strRef>
              <c:f>Sheet1!$E$57</c:f>
              <c:strCache>
                <c:ptCount val="1"/>
                <c:pt idx="0">
                  <c:v>Hospital 3 Card/Records</c:v>
                </c:pt>
              </c:strCache>
            </c:strRef>
          </c:tx>
          <c:spPr>
            <a:solidFill>
              <a:schemeClr val="accent2"/>
            </a:solidFill>
            <a:ln>
              <a:noFill/>
            </a:ln>
            <a:effectLst/>
          </c:spPr>
          <c:invertIfNegative val="0"/>
          <c:cat>
            <c:strRef>
              <c:f>Sheet1!$C$58:$C$63</c:f>
              <c:strCache>
                <c:ptCount val="6"/>
                <c:pt idx="0">
                  <c:v>NO2 </c:v>
                </c:pt>
                <c:pt idx="1">
                  <c:v>SO2 </c:v>
                </c:pt>
                <c:pt idx="2">
                  <c:v>CH4 </c:v>
                </c:pt>
                <c:pt idx="3">
                  <c:v>H2S </c:v>
                </c:pt>
                <c:pt idx="4">
                  <c:v>CO </c:v>
                </c:pt>
                <c:pt idx="5">
                  <c:v>VOC </c:v>
                </c:pt>
              </c:strCache>
            </c:strRef>
          </c:cat>
          <c:val>
            <c:numRef>
              <c:f>Sheet1!$E$58:$E$63</c:f>
              <c:numCache>
                <c:formatCode>General</c:formatCode>
                <c:ptCount val="6"/>
                <c:pt idx="0">
                  <c:v>2.1000000000000001E-2</c:v>
                </c:pt>
                <c:pt idx="1">
                  <c:v>0</c:v>
                </c:pt>
                <c:pt idx="2">
                  <c:v>2593</c:v>
                </c:pt>
                <c:pt idx="3">
                  <c:v>0</c:v>
                </c:pt>
                <c:pt idx="4">
                  <c:v>1.5</c:v>
                </c:pt>
                <c:pt idx="5">
                  <c:v>1791</c:v>
                </c:pt>
              </c:numCache>
            </c:numRef>
          </c:val>
          <c:extLst>
            <c:ext xmlns:c16="http://schemas.microsoft.com/office/drawing/2014/chart" uri="{C3380CC4-5D6E-409C-BE32-E72D297353CC}">
              <c16:uniqueId val="{00000001-5C4D-49E3-A4C2-EE1ADEF926E5}"/>
            </c:ext>
          </c:extLst>
        </c:ser>
        <c:ser>
          <c:idx val="2"/>
          <c:order val="2"/>
          <c:tx>
            <c:strRef>
              <c:f>Sheet1!$F$57</c:f>
              <c:strCache>
                <c:ptCount val="1"/>
                <c:pt idx="0">
                  <c:v>Hospital 3 Female Ward</c:v>
                </c:pt>
              </c:strCache>
            </c:strRef>
          </c:tx>
          <c:spPr>
            <a:solidFill>
              <a:schemeClr val="accent3"/>
            </a:solidFill>
            <a:ln>
              <a:noFill/>
            </a:ln>
            <a:effectLst/>
          </c:spPr>
          <c:invertIfNegative val="0"/>
          <c:cat>
            <c:strRef>
              <c:f>Sheet1!$C$58:$C$63</c:f>
              <c:strCache>
                <c:ptCount val="6"/>
                <c:pt idx="0">
                  <c:v>NO2 </c:v>
                </c:pt>
                <c:pt idx="1">
                  <c:v>SO2 </c:v>
                </c:pt>
                <c:pt idx="2">
                  <c:v>CH4 </c:v>
                </c:pt>
                <c:pt idx="3">
                  <c:v>H2S </c:v>
                </c:pt>
                <c:pt idx="4">
                  <c:v>CO </c:v>
                </c:pt>
                <c:pt idx="5">
                  <c:v>VOC </c:v>
                </c:pt>
              </c:strCache>
            </c:strRef>
          </c:cat>
          <c:val>
            <c:numRef>
              <c:f>Sheet1!$F$58:$F$63</c:f>
              <c:numCache>
                <c:formatCode>General</c:formatCode>
                <c:ptCount val="6"/>
                <c:pt idx="0">
                  <c:v>1.2E-2</c:v>
                </c:pt>
                <c:pt idx="1">
                  <c:v>0</c:v>
                </c:pt>
                <c:pt idx="2">
                  <c:v>4381</c:v>
                </c:pt>
                <c:pt idx="3">
                  <c:v>0</c:v>
                </c:pt>
                <c:pt idx="4">
                  <c:v>1.2</c:v>
                </c:pt>
                <c:pt idx="5">
                  <c:v>2982</c:v>
                </c:pt>
              </c:numCache>
            </c:numRef>
          </c:val>
          <c:extLst>
            <c:ext xmlns:c16="http://schemas.microsoft.com/office/drawing/2014/chart" uri="{C3380CC4-5D6E-409C-BE32-E72D297353CC}">
              <c16:uniqueId val="{00000002-5C4D-49E3-A4C2-EE1ADEF926E5}"/>
            </c:ext>
          </c:extLst>
        </c:ser>
        <c:dLbls>
          <c:showLegendKey val="0"/>
          <c:showVal val="0"/>
          <c:showCatName val="0"/>
          <c:showSerName val="0"/>
          <c:showPercent val="0"/>
          <c:showBubbleSize val="0"/>
        </c:dLbls>
        <c:gapWidth val="219"/>
        <c:overlap val="-27"/>
        <c:axId val="479622520"/>
        <c:axId val="479626840"/>
      </c:barChart>
      <c:catAx>
        <c:axId val="479622520"/>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1000" b="1" i="0" u="none" strike="noStrike" baseline="0">
                    <a:effectLst/>
                    <a:latin typeface="Times New Roman" panose="02020603050405020304" pitchFamily="18" charset="0"/>
                    <a:cs typeface="Times New Roman" panose="02020603050405020304" pitchFamily="18" charset="0"/>
                  </a:rPr>
                  <a:t>Parameter</a:t>
                </a:r>
                <a:r>
                  <a:rPr lang="en-NG" sz="1000" b="0" i="0" u="none" strike="noStrike" baseline="0">
                    <a:effectLst/>
                    <a:latin typeface="Times New Roman" panose="02020603050405020304" pitchFamily="18" charset="0"/>
                    <a:cs typeface="Times New Roman" panose="02020603050405020304" pitchFamily="18" charset="0"/>
                  </a:rPr>
                  <a:t> </a:t>
                </a:r>
                <a:endParaRPr lang="en-US" sz="1000">
                  <a:latin typeface="Times New Roman" panose="02020603050405020304" pitchFamily="18" charset="0"/>
                  <a:cs typeface="Times New Roman" panose="02020603050405020304" pitchFamily="18" charset="0"/>
                </a:endParaRPr>
              </a:p>
            </c:rich>
          </c:tx>
          <c:layout>
            <c:manualLayout>
              <c:xMode val="edge"/>
              <c:yMode val="edge"/>
              <c:x val="0.424672353455818"/>
              <c:y val="0.80844852726742478"/>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79626840"/>
        <c:crosses val="autoZero"/>
        <c:auto val="1"/>
        <c:lblAlgn val="ctr"/>
        <c:lblOffset val="100"/>
        <c:noMultiLvlLbl val="0"/>
      </c:catAx>
      <c:valAx>
        <c:axId val="47962684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000" b="0" i="0" u="none" strike="noStrike" baseline="0"/>
                  <a:t>µg/m³</a:t>
                </a:r>
                <a:endParaRPr lang="en-US"/>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7962252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400">
                <a:latin typeface="Times New Roman" pitchFamily="18" charset="0"/>
                <a:cs typeface="Times New Roman" pitchFamily="18" charset="0"/>
              </a:defRPr>
            </a:pPr>
            <a:r>
              <a:rPr lang="en-US" sz="1000" baseline="0">
                <a:latin typeface="Times New Roman" pitchFamily="18" charset="0"/>
                <a:cs typeface="Times New Roman" pitchFamily="18" charset="0"/>
              </a:rPr>
              <a:t>Hospital 3</a:t>
            </a:r>
            <a:endParaRPr lang="en-US" sz="1000">
              <a:latin typeface="Times New Roman" pitchFamily="18" charset="0"/>
              <a:cs typeface="Times New Roman" pitchFamily="18" charset="0"/>
            </a:endParaRPr>
          </a:p>
        </c:rich>
      </c:tx>
      <c:layout>
        <c:manualLayout>
          <c:xMode val="edge"/>
          <c:yMode val="edge"/>
          <c:x val="0.38460648148148363"/>
          <c:y val="3.240740740740769E-2"/>
        </c:manualLayout>
      </c:layout>
      <c:overlay val="0"/>
    </c:title>
    <c:autoTitleDeleted val="0"/>
    <c:plotArea>
      <c:layout/>
      <c:barChart>
        <c:barDir val="col"/>
        <c:grouping val="clustered"/>
        <c:varyColors val="0"/>
        <c:ser>
          <c:idx val="0"/>
          <c:order val="0"/>
          <c:tx>
            <c:strRef>
              <c:f>Sheet2!$D$6</c:f>
              <c:strCache>
                <c:ptCount val="1"/>
                <c:pt idx="0">
                  <c:v>PM 2.5 (µg/m³)</c:v>
                </c:pt>
              </c:strCache>
            </c:strRef>
          </c:tx>
          <c:invertIfNegative val="0"/>
          <c:cat>
            <c:strRef>
              <c:f>Sheet2!$E$4:$G$5</c:f>
              <c:strCache>
                <c:ptCount val="3"/>
                <c:pt idx="0">
                  <c:v>Emergency</c:v>
                </c:pt>
                <c:pt idx="1">
                  <c:v>Card/ Record</c:v>
                </c:pt>
                <c:pt idx="2">
                  <c:v>Female Ward</c:v>
                </c:pt>
              </c:strCache>
            </c:strRef>
          </c:cat>
          <c:val>
            <c:numRef>
              <c:f>Sheet2!$E$6:$G$6</c:f>
              <c:numCache>
                <c:formatCode>General</c:formatCode>
                <c:ptCount val="3"/>
                <c:pt idx="0">
                  <c:v>19</c:v>
                </c:pt>
                <c:pt idx="1">
                  <c:v>17.8</c:v>
                </c:pt>
                <c:pt idx="2">
                  <c:v>18.8</c:v>
                </c:pt>
              </c:numCache>
            </c:numRef>
          </c:val>
          <c:extLst>
            <c:ext xmlns:c16="http://schemas.microsoft.com/office/drawing/2014/chart" uri="{C3380CC4-5D6E-409C-BE32-E72D297353CC}">
              <c16:uniqueId val="{00000000-81E5-493D-9D61-1FF2736ACD5E}"/>
            </c:ext>
          </c:extLst>
        </c:ser>
        <c:ser>
          <c:idx val="1"/>
          <c:order val="1"/>
          <c:tx>
            <c:strRef>
              <c:f>Sheet2!$D$7</c:f>
              <c:strCache>
                <c:ptCount val="1"/>
                <c:pt idx="0">
                  <c:v>PM 10 (µg/m³)</c:v>
                </c:pt>
              </c:strCache>
            </c:strRef>
          </c:tx>
          <c:invertIfNegative val="0"/>
          <c:cat>
            <c:strRef>
              <c:f>Sheet2!$E$4:$G$5</c:f>
              <c:strCache>
                <c:ptCount val="3"/>
                <c:pt idx="0">
                  <c:v>Emergency</c:v>
                </c:pt>
                <c:pt idx="1">
                  <c:v>Card/ Record</c:v>
                </c:pt>
                <c:pt idx="2">
                  <c:v>Female Ward</c:v>
                </c:pt>
              </c:strCache>
            </c:strRef>
          </c:cat>
          <c:val>
            <c:numRef>
              <c:f>Sheet2!$E$7:$G$7</c:f>
              <c:numCache>
                <c:formatCode>General</c:formatCode>
                <c:ptCount val="3"/>
                <c:pt idx="0">
                  <c:v>31.1</c:v>
                </c:pt>
                <c:pt idx="1">
                  <c:v>27.1</c:v>
                </c:pt>
                <c:pt idx="2">
                  <c:v>31.8</c:v>
                </c:pt>
              </c:numCache>
            </c:numRef>
          </c:val>
          <c:extLst>
            <c:ext xmlns:c16="http://schemas.microsoft.com/office/drawing/2014/chart" uri="{C3380CC4-5D6E-409C-BE32-E72D297353CC}">
              <c16:uniqueId val="{00000001-81E5-493D-9D61-1FF2736ACD5E}"/>
            </c:ext>
          </c:extLst>
        </c:ser>
        <c:dLbls>
          <c:showLegendKey val="0"/>
          <c:showVal val="0"/>
          <c:showCatName val="0"/>
          <c:showSerName val="0"/>
          <c:showPercent val="0"/>
          <c:showBubbleSize val="0"/>
        </c:dLbls>
        <c:gapWidth val="150"/>
        <c:axId val="77038720"/>
        <c:axId val="87229184"/>
      </c:barChart>
      <c:catAx>
        <c:axId val="77038720"/>
        <c:scaling>
          <c:orientation val="minMax"/>
        </c:scaling>
        <c:delete val="0"/>
        <c:axPos val="b"/>
        <c:title>
          <c:tx>
            <c:rich>
              <a:bodyPr/>
              <a:lstStyle/>
              <a:p>
                <a:pPr>
                  <a:defRPr b="1"/>
                </a:pPr>
                <a:r>
                  <a:rPr lang="en-US" sz="1100" b="1">
                    <a:solidFill>
                      <a:sysClr val="windowText" lastClr="000000"/>
                    </a:solidFill>
                    <a:latin typeface="Times New Roman" panose="02020603050405020304" pitchFamily="18" charset="0"/>
                    <a:cs typeface="Times New Roman" panose="02020603050405020304" pitchFamily="18" charset="0"/>
                  </a:rPr>
                  <a:t>Hospital</a:t>
                </a:r>
                <a:r>
                  <a:rPr lang="en-US" sz="1100" b="1" baseline="0">
                    <a:solidFill>
                      <a:sysClr val="windowText" lastClr="000000"/>
                    </a:solidFill>
                    <a:latin typeface="Times New Roman" panose="02020603050405020304" pitchFamily="18" charset="0"/>
                    <a:cs typeface="Times New Roman" panose="02020603050405020304" pitchFamily="18" charset="0"/>
                  </a:rPr>
                  <a:t> Department</a:t>
                </a:r>
                <a:endParaRPr lang="en-US" sz="1100" b="1">
                  <a:solidFill>
                    <a:sysClr val="windowText" lastClr="000000"/>
                  </a:solidFill>
                  <a:latin typeface="Times New Roman" panose="02020603050405020304" pitchFamily="18" charset="0"/>
                  <a:cs typeface="Times New Roman" panose="02020603050405020304" pitchFamily="18" charset="0"/>
                </a:endParaRPr>
              </a:p>
            </c:rich>
          </c:tx>
          <c:overlay val="0"/>
        </c:title>
        <c:numFmt formatCode="General" sourceLinked="0"/>
        <c:majorTickMark val="none"/>
        <c:minorTickMark val="none"/>
        <c:tickLblPos val="nextTo"/>
        <c:crossAx val="87229184"/>
        <c:crosses val="autoZero"/>
        <c:auto val="1"/>
        <c:lblAlgn val="ctr"/>
        <c:lblOffset val="100"/>
        <c:noMultiLvlLbl val="0"/>
      </c:catAx>
      <c:valAx>
        <c:axId val="87229184"/>
        <c:scaling>
          <c:orientation val="minMax"/>
        </c:scaling>
        <c:delete val="0"/>
        <c:axPos val="l"/>
        <c:majorGridlines/>
        <c:title>
          <c:tx>
            <c:rich>
              <a:bodyPr rot="-5400000" vert="horz"/>
              <a:lstStyle/>
              <a:p>
                <a:pPr marL="0" marR="0" lvl="0" indent="0" algn="ctr" defTabSz="914400" rtl="0" eaLnBrk="1" fontAlgn="auto" latinLnBrk="0" hangingPunct="1">
                  <a:lnSpc>
                    <a:spcPct val="100000"/>
                  </a:lnSpc>
                  <a:spcBef>
                    <a:spcPts val="0"/>
                  </a:spcBef>
                  <a:spcAft>
                    <a:spcPts val="0"/>
                  </a:spcAft>
                  <a:buClrTx/>
                  <a:buSzTx/>
                  <a:buFontTx/>
                  <a:buNone/>
                  <a:tabLst/>
                  <a:defRPr sz="1000" b="1" i="0" u="none" strike="noStrike" kern="1200" baseline="0">
                    <a:solidFill>
                      <a:sysClr val="windowText" lastClr="000000"/>
                    </a:solidFill>
                    <a:latin typeface="+mn-lt"/>
                    <a:ea typeface="+mn-ea"/>
                    <a:cs typeface="+mn-cs"/>
                  </a:defRPr>
                </a:pPr>
                <a:r>
                  <a:rPr lang="en-US" sz="1000" b="0" i="0" u="none" strike="noStrike" kern="1200" baseline="0">
                    <a:solidFill>
                      <a:sysClr val="windowText" lastClr="000000">
                        <a:lumMod val="65000"/>
                        <a:lumOff val="35000"/>
                      </a:sysClr>
                    </a:solidFill>
                  </a:rPr>
                  <a:t>µg/m³</a:t>
                </a:r>
              </a:p>
              <a:p>
                <a:pPr marL="0" marR="0" lvl="0" indent="0" algn="ctr" defTabSz="914400" rtl="0" eaLnBrk="1" fontAlgn="auto" latinLnBrk="0" hangingPunct="1">
                  <a:lnSpc>
                    <a:spcPct val="100000"/>
                  </a:lnSpc>
                  <a:spcBef>
                    <a:spcPts val="0"/>
                  </a:spcBef>
                  <a:spcAft>
                    <a:spcPts val="0"/>
                  </a:spcAft>
                  <a:buClrTx/>
                  <a:buSzTx/>
                  <a:buFontTx/>
                  <a:buNone/>
                  <a:tabLst/>
                  <a:defRPr sz="1000" b="1" i="0" u="none" strike="noStrike" kern="1200" baseline="0">
                    <a:solidFill>
                      <a:sysClr val="windowText" lastClr="000000"/>
                    </a:solidFill>
                    <a:latin typeface="+mn-lt"/>
                    <a:ea typeface="+mn-ea"/>
                    <a:cs typeface="+mn-cs"/>
                  </a:defRPr>
                </a:pPr>
                <a:endParaRPr lang="en-US">
                  <a:solidFill>
                    <a:srgbClr val="FF0000"/>
                  </a:solidFill>
                </a:endParaRPr>
              </a:p>
            </c:rich>
          </c:tx>
          <c:overlay val="0"/>
        </c:title>
        <c:numFmt formatCode="General" sourceLinked="1"/>
        <c:majorTickMark val="none"/>
        <c:minorTickMark val="none"/>
        <c:tickLblPos val="nextTo"/>
        <c:crossAx val="77038720"/>
        <c:crosses val="autoZero"/>
        <c:crossBetween val="between"/>
      </c:valAx>
    </c:plotArea>
    <c:legend>
      <c:legendPos val="r"/>
      <c:overlay val="0"/>
    </c:legend>
    <c:plotVisOnly val="1"/>
    <c:dispBlanksAs val="gap"/>
    <c:showDLblsOverMax val="0"/>
  </c:chart>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C1696C-1ECB-47B3-91A9-EBA900C916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15</Pages>
  <Words>4891</Words>
  <Characters>27880</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32706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Omokaro Obire</dc:creator>
  <cp:keywords/>
  <dc:description/>
  <cp:lastModifiedBy>Editor-1183</cp:lastModifiedBy>
  <cp:revision>16</cp:revision>
  <dcterms:created xsi:type="dcterms:W3CDTF">2026-04-23T15:15:00Z</dcterms:created>
  <dcterms:modified xsi:type="dcterms:W3CDTF">2026-05-08T07:17:00Z</dcterms:modified>
</cp:coreProperties>
</file>