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E2EA3" w14:textId="3E56D334" w:rsidR="008D6BDA" w:rsidRDefault="008D6BDA" w:rsidP="00C42A66">
      <w:pPr>
        <w:pStyle w:val="NoSpacing"/>
        <w:jc w:val="center"/>
        <w:rPr>
          <w:b/>
          <w:bCs/>
        </w:rPr>
      </w:pPr>
      <w:r w:rsidRPr="00D722A9">
        <w:rPr>
          <w:b/>
          <w:bCs/>
        </w:rPr>
        <w:t>ROENTGENOGRAPHIC CARPAL MORPHOMETRY: ASSESSMENT OF SEX- AND AGE-RELATED VARIATIONS IN NORMATIVE POSTEROANTERIOR WRIST RADIOGRAPHIC MEASUREMENTS AMONG ADULT NIGERIANS</w:t>
      </w:r>
    </w:p>
    <w:p w14:paraId="0C787B44" w14:textId="77777777" w:rsidR="00D722A9" w:rsidRPr="00D722A9" w:rsidRDefault="00D722A9" w:rsidP="00CE5518">
      <w:pPr>
        <w:pStyle w:val="NoSpacing"/>
        <w:jc w:val="right"/>
        <w:rPr>
          <w:b/>
          <w:bCs/>
        </w:rPr>
      </w:pPr>
    </w:p>
    <w:p w14:paraId="683D6D41" w14:textId="23A1AD84" w:rsidR="00295D02" w:rsidRDefault="00295D02" w:rsidP="00B0185D">
      <w:pPr>
        <w:jc w:val="both"/>
        <w:rPr>
          <w:b/>
          <w:bCs/>
        </w:rPr>
      </w:pPr>
    </w:p>
    <w:p w14:paraId="0C8A5EFF" w14:textId="336B1F66" w:rsidR="00F51443" w:rsidRDefault="00F51443" w:rsidP="00B0185D">
      <w:pPr>
        <w:jc w:val="both"/>
        <w:rPr>
          <w:b/>
          <w:bCs/>
        </w:rPr>
      </w:pPr>
    </w:p>
    <w:p w14:paraId="2FA05FD3" w14:textId="77777777" w:rsidR="00F51443" w:rsidRDefault="00F51443" w:rsidP="00B0185D">
      <w:pPr>
        <w:jc w:val="both"/>
        <w:rPr>
          <w:b/>
          <w:bCs/>
        </w:rPr>
      </w:pPr>
    </w:p>
    <w:p w14:paraId="7634A135" w14:textId="61EC7B32" w:rsidR="00352F2A" w:rsidRPr="00352F2A" w:rsidRDefault="00352F2A" w:rsidP="00295D02">
      <w:pPr>
        <w:jc w:val="center"/>
      </w:pPr>
      <w:r w:rsidRPr="00352F2A">
        <w:rPr>
          <w:b/>
          <w:bCs/>
        </w:rPr>
        <w:t>ABSTRACT</w:t>
      </w:r>
    </w:p>
    <w:p w14:paraId="01CDAA29" w14:textId="502E3A0D" w:rsidR="00352F2A" w:rsidRPr="00295D02" w:rsidRDefault="00352F2A" w:rsidP="00B4261D">
      <w:pPr>
        <w:jc w:val="both"/>
      </w:pPr>
      <w:r w:rsidRPr="00352F2A">
        <w:rPr>
          <w:b/>
          <w:bCs/>
        </w:rPr>
        <w:t>Background</w:t>
      </w:r>
      <w:r w:rsidR="00295D02">
        <w:t xml:space="preserve">: </w:t>
      </w:r>
      <w:r w:rsidR="00215398">
        <w:t>I</w:t>
      </w:r>
      <w:r w:rsidR="00215398" w:rsidRPr="00215398">
        <w:t xml:space="preserve">n orthopedic surgery, </w:t>
      </w:r>
      <w:r w:rsidR="00215398">
        <w:t xml:space="preserve">accurate anthropometric measurements of </w:t>
      </w:r>
      <w:r w:rsidR="00215398" w:rsidRPr="00215398">
        <w:t xml:space="preserve">the carpal bones is </w:t>
      </w:r>
      <w:r w:rsidR="00215398">
        <w:t>essential</w:t>
      </w:r>
      <w:r w:rsidR="00215398" w:rsidRPr="00215398">
        <w:t xml:space="preserve"> for the correction of post-traumatic deformities during corrective osteotomies</w:t>
      </w:r>
      <w:r w:rsidR="00F95AD1">
        <w:t xml:space="preserve">. </w:t>
      </w:r>
      <w:r w:rsidR="00215398" w:rsidRPr="00215398">
        <w:t xml:space="preserve"> </w:t>
      </w:r>
      <w:r w:rsidR="001B5968">
        <w:t>Likewise, a</w:t>
      </w:r>
      <w:r w:rsidR="00F95AD1" w:rsidRPr="00F95AD1">
        <w:t xml:space="preserve">ccurate radiographic </w:t>
      </w:r>
      <w:r w:rsidR="001B5968">
        <w:t>evaluation</w:t>
      </w:r>
      <w:r w:rsidR="00F95AD1" w:rsidRPr="00F95AD1">
        <w:t xml:space="preserve"> of carpal bone dimensions </w:t>
      </w:r>
      <w:r w:rsidR="001B5968" w:rsidRPr="001B5968">
        <w:t xml:space="preserve">plays a critical role in the diagnostic assessment of </w:t>
      </w:r>
      <w:r w:rsidR="00215398" w:rsidRPr="00215398">
        <w:t xml:space="preserve">carpal collapse syndromes observed in conditions such as </w:t>
      </w:r>
      <w:proofErr w:type="spellStart"/>
      <w:r w:rsidR="00215398" w:rsidRPr="00215398">
        <w:t>Kienböck’s</w:t>
      </w:r>
      <w:proofErr w:type="spellEnd"/>
      <w:r w:rsidR="00215398" w:rsidRPr="00215398">
        <w:t xml:space="preserve"> disease and rheumatoid arthritis.</w:t>
      </w:r>
      <w:r w:rsidR="00F95AD1">
        <w:t xml:space="preserve"> </w:t>
      </w:r>
      <w:r w:rsidR="00F95AD1" w:rsidRPr="00F95AD1">
        <w:t>Despite the clinical relevance of t</w:t>
      </w:r>
      <w:r w:rsidR="00F95AD1">
        <w:t xml:space="preserve">hese carpal </w:t>
      </w:r>
      <w:r w:rsidR="00F95AD1" w:rsidRPr="00F95AD1">
        <w:t>parameters, limited normative radiographic data exist for the adult Nigerian population. This study, therefore, aimed to</w:t>
      </w:r>
      <w:r w:rsidR="00FD3B6C" w:rsidRPr="00FD3B6C">
        <w:t xml:space="preserve"> establish population-specific normative reference values for carpal bone dimensions based on posteroanterior wrist radiographs in adult Nigerians.</w:t>
      </w:r>
      <w:r w:rsidR="00295D02">
        <w:t xml:space="preserve"> </w:t>
      </w:r>
      <w:r w:rsidRPr="00352F2A">
        <w:rPr>
          <w:b/>
          <w:bCs/>
        </w:rPr>
        <w:t>Methods:</w:t>
      </w:r>
      <w:r w:rsidRPr="00352F2A">
        <w:br/>
      </w:r>
      <w:r w:rsidR="005C38CB" w:rsidRPr="005C38CB">
        <w:t xml:space="preserve">This retrospective observational study utilized 201 posteroanterior wrist radiographs archived in the Radiology Department of Delta State University Teaching Hospital, </w:t>
      </w:r>
      <w:proofErr w:type="spellStart"/>
      <w:r w:rsidR="005C38CB" w:rsidRPr="005C38CB">
        <w:t>Oghara</w:t>
      </w:r>
      <w:proofErr w:type="spellEnd"/>
      <w:r w:rsidR="005C38CB" w:rsidRPr="005C38CB">
        <w:t xml:space="preserve">, Nigeria. Measurements of carpal height, lunate width, capitate length, and the scapholunate gap were obtained from the eight carpal bones using the Picture Archiving and Communication System (PACS). Data were analyzed using SPSS version 25. Sex-related differences were assessed using the independent-samples </w:t>
      </w:r>
      <w:r w:rsidR="005C38CB" w:rsidRPr="005C38CB">
        <w:rPr>
          <w:i/>
          <w:iCs/>
        </w:rPr>
        <w:t>t</w:t>
      </w:r>
      <w:r w:rsidR="005C38CB" w:rsidRPr="005C38CB">
        <w:t xml:space="preserve">-test, while age-group variations were evaluated with one-way ANOVA. Pearson’s correlation analysis was employed to determine associations among </w:t>
      </w:r>
      <w:r w:rsidR="005C38CB">
        <w:t xml:space="preserve">measured </w:t>
      </w:r>
      <w:r w:rsidR="005C38CB" w:rsidRPr="005C38CB">
        <w:t xml:space="preserve">carpal </w:t>
      </w:r>
      <w:r w:rsidR="005C38CB">
        <w:t>parameters</w:t>
      </w:r>
      <w:r w:rsidR="005C38CB" w:rsidRPr="005C38CB">
        <w:t xml:space="preserve">. A </w:t>
      </w:r>
      <w:r w:rsidR="005C38CB" w:rsidRPr="005C38CB">
        <w:rPr>
          <w:i/>
          <w:iCs/>
        </w:rPr>
        <w:t>p</w:t>
      </w:r>
      <w:r w:rsidR="005C38CB" w:rsidRPr="005C38CB">
        <w:t>-value ≤ 0.05 was considered statistically significant.</w:t>
      </w:r>
      <w:r w:rsidR="00295D02">
        <w:t xml:space="preserve"> </w:t>
      </w:r>
      <w:r w:rsidRPr="00B4261D">
        <w:rPr>
          <w:b/>
          <w:bCs/>
        </w:rPr>
        <w:t>Results:</w:t>
      </w:r>
      <w:r w:rsidR="00295D02">
        <w:rPr>
          <w:b/>
          <w:bCs/>
        </w:rPr>
        <w:t xml:space="preserve"> </w:t>
      </w:r>
      <w:r w:rsidR="00D07343">
        <w:t>Obtained</w:t>
      </w:r>
      <w:r w:rsidR="00D07343" w:rsidRPr="00D37D45">
        <w:t xml:space="preserve"> mean values for carpal height (3.215 cm), capitate length (2.153 cm), lunate width (14.032 mm), and scapholunate gap (0.202 cm), reflect</w:t>
      </w:r>
      <w:r w:rsidR="00D07343">
        <w:t>ed</w:t>
      </w:r>
      <w:r w:rsidR="00D07343" w:rsidRPr="00D37D45">
        <w:t xml:space="preserve"> a </w:t>
      </w:r>
      <w:r w:rsidR="00D07343">
        <w:t xml:space="preserve">pronounced </w:t>
      </w:r>
      <w:r w:rsidR="00D07343" w:rsidRPr="00D37D45">
        <w:t>range</w:t>
      </w:r>
      <w:r w:rsidR="00D07343">
        <w:t xml:space="preserve"> of sex variation </w:t>
      </w:r>
      <w:r w:rsidR="00D07343" w:rsidRPr="00D37D45">
        <w:t>with males exhibiting significantly larger mean values</w:t>
      </w:r>
      <w:r w:rsidR="00D07343">
        <w:t xml:space="preserve">. </w:t>
      </w:r>
      <w:r w:rsidR="00D07343" w:rsidRPr="00D07343">
        <w:t>A</w:t>
      </w:r>
      <w:r w:rsidR="00D07343">
        <w:t>ge-specific a</w:t>
      </w:r>
      <w:r w:rsidR="00D07343" w:rsidRPr="00D07343">
        <w:t>nalysis of mean values across the five age groups showed minimal variation in carpal bone dimensions, with carpal height ranging from 3.19 to 3.24 cm, capitate length from 2.144 to 2.157 cm, lunate width from 14.003 to 14.143 mm, and the scapholunate gap from 0.195 to 0.207 cm.</w:t>
      </w:r>
      <w:r w:rsidR="00B4261D">
        <w:t xml:space="preserve"> Corresponding</w:t>
      </w:r>
      <w:r w:rsidR="00B4261D" w:rsidRPr="00B4261D">
        <w:t xml:space="preserve"> p-values for all inter-group comparisons </w:t>
      </w:r>
      <w:r w:rsidR="00B4261D">
        <w:t>exceeded</w:t>
      </w:r>
      <w:r w:rsidR="00B4261D" w:rsidRPr="00B4261D">
        <w:t xml:space="preserve"> 0.05</w:t>
      </w:r>
      <w:r w:rsidR="00B4261D">
        <w:t xml:space="preserve"> in all parameters</w:t>
      </w:r>
      <w:r w:rsidR="00B4261D" w:rsidRPr="00B4261D">
        <w:t>, indicating no statistically significant differences attributable to age.</w:t>
      </w:r>
      <w:r w:rsidR="00295D02">
        <w:t xml:space="preserve"> </w:t>
      </w:r>
      <w:r w:rsidRPr="00B4261D">
        <w:rPr>
          <w:b/>
          <w:bCs/>
        </w:rPr>
        <w:t>Conclusion:</w:t>
      </w:r>
      <w:r w:rsidRPr="00352F2A">
        <w:rPr>
          <w:i/>
          <w:iCs/>
        </w:rPr>
        <w:br/>
      </w:r>
      <w:r w:rsidR="00B4261D" w:rsidRPr="00B4261D">
        <w:t>This study reveals marked sexual dimorphism alongside a high degree of age-independent consistency in adult carpal morphometric parameters. These outcomes hold important implications for forensic identification, anthropometric investigations, orthopedic decision-making, and radiologic assessment. Moreover, the findings enrich the existing repository of population-specific skeletal data in Delta State, building on prior regional anatomical research and enhancing the accuracy of clinical and forensic interpretations.</w:t>
      </w:r>
    </w:p>
    <w:p w14:paraId="7B96D114" w14:textId="74274799" w:rsidR="00C54E1E" w:rsidRPr="00295D02" w:rsidRDefault="00352F2A" w:rsidP="00295D02">
      <w:pPr>
        <w:jc w:val="both"/>
      </w:pPr>
      <w:r w:rsidRPr="00E46CAC">
        <w:rPr>
          <w:b/>
          <w:bCs/>
        </w:rPr>
        <w:t>Keywords:</w:t>
      </w:r>
      <w:r w:rsidRPr="00E46CAC">
        <w:t xml:space="preserve"> </w:t>
      </w:r>
      <w:r w:rsidR="00E46CAC" w:rsidRPr="00E46CAC">
        <w:t>Carpal morphometry; Carpal height; Capitate length; Lunate width; Scapholunate gap;</w:t>
      </w:r>
    </w:p>
    <w:p w14:paraId="3CB735EB" w14:textId="44C9626F" w:rsidR="00C54E1E" w:rsidRDefault="00D91D8C" w:rsidP="00C54E1E">
      <w:pPr>
        <w:jc w:val="both"/>
        <w:rPr>
          <w:b/>
          <w:bCs/>
        </w:rPr>
      </w:pPr>
      <w:r>
        <w:rPr>
          <w:b/>
          <w:bCs/>
        </w:rPr>
        <w:t>Introduction</w:t>
      </w:r>
    </w:p>
    <w:p w14:paraId="1FD4DC16" w14:textId="512527AA" w:rsidR="00C54E1E" w:rsidRPr="00D85C4E" w:rsidRDefault="00C54E1E" w:rsidP="00C54E1E">
      <w:pPr>
        <w:jc w:val="both"/>
      </w:pPr>
      <w:r>
        <w:t xml:space="preserve">In </w:t>
      </w:r>
      <w:r w:rsidRPr="00EE144D">
        <w:t>chronic systemic inflammatory disorder</w:t>
      </w:r>
      <w:r>
        <w:t xml:space="preserve">s </w:t>
      </w:r>
      <w:r w:rsidR="00D85C4E">
        <w:t xml:space="preserve">such </w:t>
      </w:r>
      <w:r>
        <w:t>as r</w:t>
      </w:r>
      <w:r w:rsidRPr="00EE144D">
        <w:t>heumatoid arthritis (RA)</w:t>
      </w:r>
      <w:r>
        <w:t>, the radiocarpal joint and the carpal bones are</w:t>
      </w:r>
      <w:r w:rsidRPr="004A7B52">
        <w:t xml:space="preserve"> </w:t>
      </w:r>
      <w:r>
        <w:t>among</w:t>
      </w:r>
      <w:r w:rsidRPr="00EE144D">
        <w:t xml:space="preserve"> the earliest and most severely affected </w:t>
      </w:r>
      <w:r>
        <w:t xml:space="preserve">musculoskeletal </w:t>
      </w:r>
      <w:r w:rsidRPr="00EE144D">
        <w:t>structures</w:t>
      </w:r>
      <w:r>
        <w:t>, owing</w:t>
      </w:r>
      <w:r w:rsidR="00B360E4">
        <w:t xml:space="preserve"> largely</w:t>
      </w:r>
      <w:r>
        <w:t xml:space="preserve"> to </w:t>
      </w:r>
      <w:r w:rsidRPr="00EE144D">
        <w:t>their</w:t>
      </w:r>
      <w:r>
        <w:t xml:space="preserve"> </w:t>
      </w:r>
      <w:r w:rsidRPr="00790BBF">
        <w:t>intricate anatomical configuration and extensive synovial lining</w:t>
      </w:r>
      <w:r w:rsidRPr="00EE144D">
        <w:t>.</w:t>
      </w:r>
      <w:r w:rsidR="007B5651" w:rsidRPr="007B5651">
        <w:rPr>
          <w:vertAlign w:val="superscript"/>
        </w:rPr>
        <w:t>1,2</w:t>
      </w:r>
      <w:r w:rsidRPr="00EE144D">
        <w:t xml:space="preserve"> </w:t>
      </w:r>
      <w:r>
        <w:t xml:space="preserve"> </w:t>
      </w:r>
      <w:r w:rsidRPr="00D85C4E">
        <w:t xml:space="preserve">Persistent synovitis within the carpus may lead to cartilage degradation, cortical erosion, and carpal collapse, all of which can be objectively evaluated using standard roentgenographic and morphometric techniques, thereby underscoring </w:t>
      </w:r>
      <w:r w:rsidRPr="00D85C4E">
        <w:lastRenderedPageBreak/>
        <w:t>the critical diagnostic value of radiographic carpal morphometry in the early detection and monitoring of disease progression.</w:t>
      </w:r>
      <w:r w:rsidR="007B5651" w:rsidRPr="007B5651">
        <w:rPr>
          <w:vertAlign w:val="superscript"/>
        </w:rPr>
        <w:t>3</w:t>
      </w:r>
      <w:r w:rsidR="007B5651">
        <w:rPr>
          <w:vertAlign w:val="superscript"/>
        </w:rPr>
        <w:t>,</w:t>
      </w:r>
      <w:r w:rsidR="007B5651" w:rsidRPr="007B5651">
        <w:rPr>
          <w:vertAlign w:val="superscript"/>
        </w:rPr>
        <w:t>4</w:t>
      </w:r>
      <w:r w:rsidRPr="00D85C4E">
        <w:t xml:space="preserve"> </w:t>
      </w:r>
    </w:p>
    <w:p w14:paraId="440C0146" w14:textId="5240652C" w:rsidR="00C54E1E" w:rsidRPr="00BD1936" w:rsidRDefault="00C54E1E" w:rsidP="00C54E1E">
      <w:pPr>
        <w:jc w:val="both"/>
      </w:pPr>
      <w:r w:rsidRPr="00BD1936">
        <w:t>Clinical evaluation of radiographic carpal measurements remains a cornerstone in the diagnosis and follow-up of RA, as it provides objective evidence of joint space narrowing, bone erosion, and deformity. Quantitative carpal measurements such as the Carpal Height Ratio (CHR) and Revised Carpal Height Ratio (RCHR) have been established as reliable indicators of carpal collapse and disease progression.</w:t>
      </w:r>
      <w:r w:rsidR="00DB62F9" w:rsidRPr="00DB62F9">
        <w:rPr>
          <w:vertAlign w:val="superscript"/>
        </w:rPr>
        <w:t>5,</w:t>
      </w:r>
      <w:r w:rsidR="007B5651" w:rsidRPr="007B5651">
        <w:rPr>
          <w:vertAlign w:val="superscript"/>
        </w:rPr>
        <w:t>6</w:t>
      </w:r>
      <w:r w:rsidR="00DB62F9">
        <w:rPr>
          <w:vertAlign w:val="superscript"/>
        </w:rPr>
        <w:t>,7</w:t>
      </w:r>
      <w:r w:rsidRPr="00BD1936">
        <w:t xml:space="preserve"> A reduction in carpal height has been shown to correlate with disease duration and radiologic severity, reflecting cumulative structural damage.</w:t>
      </w:r>
      <w:r w:rsidR="00DB62F9">
        <w:rPr>
          <w:vertAlign w:val="superscript"/>
        </w:rPr>
        <w:t>8</w:t>
      </w:r>
      <w:r w:rsidRPr="00BD1936">
        <w:t xml:space="preserve"> Similarly, widening of the scapholunate gap and alterations in ulnar translocation reflect ligamentous instability secondary to chronic inflammatory destruction.</w:t>
      </w:r>
      <w:r w:rsidR="00DB62F9">
        <w:rPr>
          <w:vertAlign w:val="superscript"/>
        </w:rPr>
        <w:t>4</w:t>
      </w:r>
      <w:r w:rsidRPr="00BD1936">
        <w:t xml:space="preserve">  </w:t>
      </w:r>
    </w:p>
    <w:p w14:paraId="1B99A6A2" w14:textId="5F7A844E" w:rsidR="00C54E1E" w:rsidRPr="004129D5" w:rsidRDefault="00C54E1E" w:rsidP="00C54E1E">
      <w:pPr>
        <w:jc w:val="both"/>
      </w:pPr>
      <w:r w:rsidRPr="004129D5">
        <w:t>Beyond diagnosis, carpal morphometric analysis provides valuable information for longitudinal monitoring and therapeutic assessment, as radiographic parameters offer reproducible indicators of progression even when clinical symptoms fluctuate.</w:t>
      </w:r>
      <w:r w:rsidR="007B5651" w:rsidRPr="007B5651">
        <w:rPr>
          <w:vertAlign w:val="superscript"/>
        </w:rPr>
        <w:t>2</w:t>
      </w:r>
      <w:r w:rsidRPr="004129D5">
        <w:t xml:space="preserve"> In advanced cases, these measurements guide preoperative planning for procedures such as carpectomy, arthrodesis, or total wrist arthroplasty, and serve as benchmarks for evaluating postoperative outcomes.</w:t>
      </w:r>
      <w:r w:rsidR="00DB62F9">
        <w:rPr>
          <w:vertAlign w:val="superscript"/>
        </w:rPr>
        <w:t>9</w:t>
      </w:r>
    </w:p>
    <w:p w14:paraId="483D7950" w14:textId="54973CC8" w:rsidR="004B48E0" w:rsidRDefault="00C54E1E" w:rsidP="00C54E1E">
      <w:pPr>
        <w:jc w:val="both"/>
      </w:pPr>
      <w:r w:rsidRPr="004129D5">
        <w:t>Despite the established diagnostic significance of carpal morphometry in evaluating wrist pathology, there remains a paucity of population-specific normative data for carpal bone dimensions among adult Nigerians. Ethnic and anatomical variations have been shown to influence skeletal morphology, including carpal configuration, which may impact the interpretation of radiographic indices across populations.</w:t>
      </w:r>
      <w:r w:rsidR="006C23EE">
        <w:rPr>
          <w:vertAlign w:val="superscript"/>
        </w:rPr>
        <w:t>10</w:t>
      </w:r>
      <w:r w:rsidR="007B5651" w:rsidRPr="007B5651">
        <w:rPr>
          <w:vertAlign w:val="superscript"/>
        </w:rPr>
        <w:t>,1</w:t>
      </w:r>
      <w:r w:rsidR="006C23EE">
        <w:rPr>
          <w:vertAlign w:val="superscript"/>
        </w:rPr>
        <w:t>1</w:t>
      </w:r>
      <w:r w:rsidRPr="004129D5">
        <w:t xml:space="preserve"> The absence of </w:t>
      </w:r>
      <w:proofErr w:type="spellStart"/>
      <w:r w:rsidRPr="004129D5">
        <w:t>standardi</w:t>
      </w:r>
      <w:r w:rsidR="006A6B64">
        <w:t>s</w:t>
      </w:r>
      <w:r w:rsidRPr="004129D5">
        <w:t>ed</w:t>
      </w:r>
      <w:proofErr w:type="spellEnd"/>
      <w:r w:rsidRPr="004129D5">
        <w:t xml:space="preserve"> reference values can therefore hinder accurate diagnosis, impede comparison with pathological states such as rheumatoid arthritis and </w:t>
      </w:r>
      <w:proofErr w:type="spellStart"/>
      <w:r w:rsidRPr="004129D5">
        <w:t>Kienböck’s</w:t>
      </w:r>
      <w:proofErr w:type="spellEnd"/>
      <w:r w:rsidRPr="004129D5">
        <w:t xml:space="preserve"> disease, and limit the precision of orthopedic and reconstructive interventions. </w:t>
      </w:r>
    </w:p>
    <w:p w14:paraId="709A6446" w14:textId="0F7CD6CE" w:rsidR="00C54E1E" w:rsidRPr="004129D5" w:rsidRDefault="004B48E0" w:rsidP="004B48E0">
      <w:pPr>
        <w:jc w:val="both"/>
      </w:pPr>
      <w:r w:rsidRPr="004B48E0">
        <w:t>Establishing normative radiographic parameters for the Nigerian population is thus essential to enhance diagnostic accuracy, facilitate population-based comparisons, and provide a reliable baseline for future clinical and anthropometric studies involving the wrist and hand. This need is further underscored by previous regional radiographic anthropometric studies, such as the evaluation of frontal sinus morphology among patients in Delta State,</w:t>
      </w:r>
      <w:r w:rsidR="006C23EE">
        <w:rPr>
          <w:vertAlign w:val="superscript"/>
        </w:rPr>
        <w:t>5</w:t>
      </w:r>
      <w:r w:rsidRPr="004B48E0">
        <w:t xml:space="preserve"> which highlight the importance of developing population-specific reference data for clinical and forensic applications.</w:t>
      </w:r>
    </w:p>
    <w:p w14:paraId="68149849" w14:textId="275F4659" w:rsidR="009E1196" w:rsidRPr="009E1196" w:rsidRDefault="009E1196" w:rsidP="009E1196">
      <w:pPr>
        <w:rPr>
          <w:b/>
          <w:bCs/>
        </w:rPr>
      </w:pPr>
      <w:r w:rsidRPr="009E1196">
        <w:rPr>
          <w:b/>
          <w:bCs/>
        </w:rPr>
        <w:t>Materials and Methods</w:t>
      </w:r>
      <w:r w:rsidR="00CB6ADC">
        <w:rPr>
          <w:b/>
          <w:bCs/>
        </w:rPr>
        <w:t xml:space="preserve"> </w:t>
      </w:r>
    </w:p>
    <w:p w14:paraId="79231B02" w14:textId="12C32849" w:rsidR="009E1196" w:rsidRPr="009E1196" w:rsidRDefault="009E1196" w:rsidP="009E1196">
      <w:pPr>
        <w:jc w:val="both"/>
      </w:pPr>
      <w:r w:rsidRPr="009E1196">
        <w:t xml:space="preserve">This retrospective descriptive observational study was conducted at the Delta State University Teaching Hospital (DELSUTH), </w:t>
      </w:r>
      <w:proofErr w:type="spellStart"/>
      <w:r w:rsidRPr="009E1196">
        <w:t>Oghara</w:t>
      </w:r>
      <w:proofErr w:type="spellEnd"/>
      <w:r w:rsidRPr="009E1196">
        <w:t>, Delta State, Nigeria. The study utilized 201 hand radiographs obtained from the Radiology Department archives, representing patients aged 18</w:t>
      </w:r>
      <w:r w:rsidR="007B5651">
        <w:t>-</w:t>
      </w:r>
      <w:r w:rsidRPr="009E1196">
        <w:t xml:space="preserve">60 years who had attended the hospital within the last five years. </w:t>
      </w:r>
      <w:r w:rsidR="00327FE4" w:rsidRPr="00327FE4">
        <w:t>A purposive sampling technique was employed to select radiographs that met the inclusion criteria of clear wrist images within the specified age range and study time frame. Included radiographs were those obtained from standard posteroanterior (PA) wrist views with adequate exposure, proper positioning, and visible carpal bone outlines without motion blur or rotational distortion. Radiographs showing skeletal immaturity, fractures, or congenital anomalies such as carpal bone aplasia or hypoplasia were excluded.</w:t>
      </w:r>
    </w:p>
    <w:p w14:paraId="44AD0EDD" w14:textId="65051829" w:rsidR="0012579C" w:rsidRPr="0009001E" w:rsidRDefault="009E1196" w:rsidP="009E1196">
      <w:pPr>
        <w:jc w:val="both"/>
      </w:pPr>
      <w:r w:rsidRPr="009E1196">
        <w:t xml:space="preserve">Radiographic parameters measured included carpal height, lunate width, capitate length, and scapholunate gap. Carpal height was measured from the base of the third metacarpal to the distal articular surface of the radius along the third metacarpal axis. </w:t>
      </w:r>
      <w:r w:rsidR="007B5651" w:rsidRPr="007B5651">
        <w:rPr>
          <w:vertAlign w:val="superscript"/>
        </w:rPr>
        <w:t>12</w:t>
      </w:r>
    </w:p>
    <w:p w14:paraId="4F35EFBB" w14:textId="2ECA26D8" w:rsidR="0012579C" w:rsidRPr="0009001E" w:rsidRDefault="00FE6B09" w:rsidP="009E1196">
      <w:pPr>
        <w:jc w:val="both"/>
      </w:pPr>
      <w:r>
        <w:rPr>
          <w:noProof/>
          <w:sz w:val="24"/>
          <w:szCs w:val="24"/>
        </w:rPr>
        <w:lastRenderedPageBreak/>
        <mc:AlternateContent>
          <mc:Choice Requires="wps">
            <w:drawing>
              <wp:anchor distT="0" distB="0" distL="114300" distR="114300" simplePos="0" relativeHeight="251663360" behindDoc="0" locked="0" layoutInCell="1" allowOverlap="1" wp14:anchorId="337743EA" wp14:editId="2FA79450">
                <wp:simplePos x="0" y="0"/>
                <wp:positionH relativeFrom="margin">
                  <wp:posOffset>4305300</wp:posOffset>
                </wp:positionH>
                <wp:positionV relativeFrom="paragraph">
                  <wp:posOffset>2305685</wp:posOffset>
                </wp:positionV>
                <wp:extent cx="1625600" cy="615950"/>
                <wp:effectExtent l="0" t="0" r="0" b="0"/>
                <wp:wrapNone/>
                <wp:docPr id="1738297210" name="Text Box 1"/>
                <wp:cNvGraphicFramePr/>
                <a:graphic xmlns:a="http://schemas.openxmlformats.org/drawingml/2006/main">
                  <a:graphicData uri="http://schemas.microsoft.com/office/word/2010/wordprocessingShape">
                    <wps:wsp>
                      <wps:cNvSpPr txBox="1"/>
                      <wps:spPr>
                        <a:xfrm>
                          <a:off x="0" y="0"/>
                          <a:ext cx="1625600" cy="615950"/>
                        </a:xfrm>
                        <a:prstGeom prst="rect">
                          <a:avLst/>
                        </a:prstGeom>
                        <a:solidFill>
                          <a:schemeClr val="lt1"/>
                        </a:solidFill>
                        <a:ln w="6350">
                          <a:noFill/>
                        </a:ln>
                      </wps:spPr>
                      <wps:txbx>
                        <w:txbxContent>
                          <w:p w14:paraId="558553EC" w14:textId="376CD3C6" w:rsidR="00D91D8C" w:rsidRPr="005E2532" w:rsidRDefault="00D91D8C" w:rsidP="00FE6B09">
                            <w:pPr>
                              <w:pStyle w:val="NoSpacing"/>
                              <w:jc w:val="both"/>
                              <w:rPr>
                                <w:sz w:val="20"/>
                                <w:szCs w:val="20"/>
                              </w:rPr>
                            </w:pPr>
                            <w:r>
                              <w:rPr>
                                <w:sz w:val="20"/>
                                <w:szCs w:val="20"/>
                              </w:rPr>
                              <w:t>Figure 3. Scapholunate gap</w:t>
                            </w:r>
                            <w:r w:rsidR="007B5651" w:rsidRPr="007B5651">
                              <w:rPr>
                                <w:sz w:val="20"/>
                                <w:szCs w:val="20"/>
                                <w:vertAlign w:val="superscript"/>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37743EA" id="_x0000_t202" coordsize="21600,21600" o:spt="202" path="m,l,21600r21600,l21600,xe">
                <v:stroke joinstyle="miter"/>
                <v:path gradientshapeok="t" o:connecttype="rect"/>
              </v:shapetype>
              <v:shape id="Text Box 1" o:spid="_x0000_s1026" type="#_x0000_t202" style="position:absolute;left:0;text-align:left;margin-left:339pt;margin-top:181.55pt;width:128pt;height:4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" fillcolor="white [3201]" stroked="f" strokeweight=".5pt">
                <v:textbox>
                  <w:txbxContent>
                    <w:p w14:paraId="558553EC" w14:textId="376CD3C6" w:rsidR="00D91D8C" w:rsidRPr="005E2532" w:rsidRDefault="00D91D8C" w:rsidP="00FE6B09">
                      <w:pPr>
                        <w:pStyle w:val="NoSpacing"/>
                        <w:jc w:val="both"/>
                        <w:rPr>
                          <w:sz w:val="20"/>
                          <w:szCs w:val="20"/>
                        </w:rPr>
                      </w:pPr>
                      <w:r>
                        <w:rPr>
                          <w:sz w:val="20"/>
                          <w:szCs w:val="20"/>
                        </w:rPr>
                        <w:t>Figure 3. Scapholunate gap</w:t>
                      </w:r>
                      <w:r w:rsidR="007B5651" w:rsidRPr="007B5651">
                        <w:rPr>
                          <w:sz w:val="20"/>
                          <w:szCs w:val="20"/>
                          <w:vertAlign w:val="superscript"/>
                        </w:rPr>
                        <w:t>15</w:t>
                      </w:r>
                    </w:p>
                  </w:txbxContent>
                </v:textbox>
                <w10:wrap anchorx="margin"/>
              </v:shape>
            </w:pict>
          </mc:Fallback>
        </mc:AlternateContent>
      </w:r>
      <w:r>
        <w:rPr>
          <w:noProof/>
          <w:sz w:val="24"/>
          <w:szCs w:val="24"/>
        </w:rPr>
        <mc:AlternateContent>
          <mc:Choice Requires="wps">
            <w:drawing>
              <wp:anchor distT="0" distB="0" distL="114300" distR="114300" simplePos="0" relativeHeight="251659264" behindDoc="0" locked="0" layoutInCell="1" allowOverlap="1" wp14:anchorId="517F9C4F" wp14:editId="2B1494A1">
                <wp:simplePos x="0" y="0"/>
                <wp:positionH relativeFrom="column">
                  <wp:posOffset>-88900</wp:posOffset>
                </wp:positionH>
                <wp:positionV relativeFrom="paragraph">
                  <wp:posOffset>2312035</wp:posOffset>
                </wp:positionV>
                <wp:extent cx="1765300" cy="615950"/>
                <wp:effectExtent l="0" t="0" r="6350" b="0"/>
                <wp:wrapNone/>
                <wp:docPr id="924329084" name="Text Box 1"/>
                <wp:cNvGraphicFramePr/>
                <a:graphic xmlns:a="http://schemas.openxmlformats.org/drawingml/2006/main">
                  <a:graphicData uri="http://schemas.microsoft.com/office/word/2010/wordprocessingShape">
                    <wps:wsp>
                      <wps:cNvSpPr txBox="1"/>
                      <wps:spPr>
                        <a:xfrm>
                          <a:off x="0" y="0"/>
                          <a:ext cx="1765300" cy="615950"/>
                        </a:xfrm>
                        <a:prstGeom prst="rect">
                          <a:avLst/>
                        </a:prstGeom>
                        <a:solidFill>
                          <a:schemeClr val="lt1"/>
                        </a:solidFill>
                        <a:ln w="6350">
                          <a:noFill/>
                        </a:ln>
                      </wps:spPr>
                      <wps:txbx>
                        <w:txbxContent>
                          <w:p w14:paraId="2E4BB96E" w14:textId="14EE0BAC" w:rsidR="00D91D8C" w:rsidRPr="005E2532" w:rsidRDefault="00D91D8C" w:rsidP="005E2532">
                            <w:pPr>
                              <w:pStyle w:val="NoSpacing"/>
                              <w:jc w:val="both"/>
                              <w:rPr>
                                <w:sz w:val="20"/>
                                <w:szCs w:val="20"/>
                              </w:rPr>
                            </w:pPr>
                            <w:r>
                              <w:rPr>
                                <w:sz w:val="20"/>
                                <w:szCs w:val="20"/>
                              </w:rPr>
                              <w:t xml:space="preserve">Figure 1. </w:t>
                            </w:r>
                            <w:r w:rsidRPr="005E2532">
                              <w:rPr>
                                <w:sz w:val="20"/>
                                <w:szCs w:val="20"/>
                              </w:rPr>
                              <w:t xml:space="preserve">Capitate length and carpal height (CH) radiograph </w:t>
                            </w:r>
                            <w:r w:rsidR="007B5651" w:rsidRPr="007B5651">
                              <w:rPr>
                                <w:sz w:val="20"/>
                                <w:szCs w:val="20"/>
                                <w:vertAlign w:val="superscript"/>
                              </w:rPr>
                              <w:t>13</w:t>
                            </w:r>
                          </w:p>
                          <w:p w14:paraId="5D31F77E" w14:textId="77777777" w:rsidR="00D91D8C" w:rsidRPr="005E2532" w:rsidRDefault="00D91D8C" w:rsidP="005E2532">
                            <w:pPr>
                              <w:jc w:val="both"/>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17F9C4F" id="_x0000_s1027" type="#_x0000_t202" style="position:absolute;left:0;text-align:left;margin-left:-7pt;margin-top:182.05pt;width:139pt;height: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" fillcolor="white [3201]" stroked="f" strokeweight=".5pt">
                <v:textbox>
                  <w:txbxContent>
                    <w:p w14:paraId="2E4BB96E" w14:textId="14EE0BAC" w:rsidR="00D91D8C" w:rsidRPr="005E2532" w:rsidRDefault="00D91D8C" w:rsidP="005E2532">
                      <w:pPr>
                        <w:pStyle w:val="NoSpacing"/>
                        <w:jc w:val="both"/>
                        <w:rPr>
                          <w:sz w:val="20"/>
                          <w:szCs w:val="20"/>
                        </w:rPr>
                      </w:pPr>
                      <w:r>
                        <w:rPr>
                          <w:sz w:val="20"/>
                          <w:szCs w:val="20"/>
                        </w:rPr>
                        <w:t xml:space="preserve">Figure 1. </w:t>
                      </w:r>
                      <w:r w:rsidRPr="005E2532">
                        <w:rPr>
                          <w:sz w:val="20"/>
                          <w:szCs w:val="20"/>
                        </w:rPr>
                        <w:t xml:space="preserve">Capitate length and carpal height (CH) radiograph </w:t>
                      </w:r>
                      <w:r w:rsidR="007B5651" w:rsidRPr="007B5651">
                        <w:rPr>
                          <w:sz w:val="20"/>
                          <w:szCs w:val="20"/>
                          <w:vertAlign w:val="superscript"/>
                        </w:rPr>
                        <w:t>13</w:t>
                      </w:r>
                    </w:p>
                    <w:p w14:paraId="5D31F77E" w14:textId="77777777" w:rsidR="00D91D8C" w:rsidRPr="005E2532" w:rsidRDefault="00D91D8C" w:rsidP="005E2532">
                      <w:pPr>
                        <w:jc w:val="both"/>
                        <w:rPr>
                          <w:sz w:val="20"/>
                          <w:szCs w:val="20"/>
                        </w:rPr>
                      </w:pPr>
                    </w:p>
                  </w:txbxContent>
                </v:textbox>
              </v:shape>
            </w:pict>
          </mc:Fallback>
        </mc:AlternateContent>
      </w:r>
      <w:r>
        <w:rPr>
          <w:noProof/>
          <w:sz w:val="24"/>
          <w:szCs w:val="24"/>
        </w:rPr>
        <mc:AlternateContent>
          <mc:Choice Requires="wps">
            <w:drawing>
              <wp:anchor distT="0" distB="0" distL="114300" distR="114300" simplePos="0" relativeHeight="251661312" behindDoc="0" locked="0" layoutInCell="1" allowOverlap="1" wp14:anchorId="09FE106D" wp14:editId="771527E8">
                <wp:simplePos x="0" y="0"/>
                <wp:positionH relativeFrom="margin">
                  <wp:posOffset>2139950</wp:posOffset>
                </wp:positionH>
                <wp:positionV relativeFrom="paragraph">
                  <wp:posOffset>2312035</wp:posOffset>
                </wp:positionV>
                <wp:extent cx="1714500" cy="615950"/>
                <wp:effectExtent l="0" t="0" r="0" b="0"/>
                <wp:wrapNone/>
                <wp:docPr id="144817256" name="Text Box 1"/>
                <wp:cNvGraphicFramePr/>
                <a:graphic xmlns:a="http://schemas.openxmlformats.org/drawingml/2006/main">
                  <a:graphicData uri="http://schemas.microsoft.com/office/word/2010/wordprocessingShape">
                    <wps:wsp>
                      <wps:cNvSpPr txBox="1"/>
                      <wps:spPr>
                        <a:xfrm>
                          <a:off x="0" y="0"/>
                          <a:ext cx="1714500" cy="615950"/>
                        </a:xfrm>
                        <a:prstGeom prst="rect">
                          <a:avLst/>
                        </a:prstGeom>
                        <a:solidFill>
                          <a:schemeClr val="lt1"/>
                        </a:solidFill>
                        <a:ln w="6350">
                          <a:noFill/>
                        </a:ln>
                      </wps:spPr>
                      <wps:txbx>
                        <w:txbxContent>
                          <w:p w14:paraId="107411FC" w14:textId="3F1A3A26" w:rsidR="00D91D8C" w:rsidRPr="005E2532" w:rsidRDefault="00D91D8C" w:rsidP="00FE6B09">
                            <w:pPr>
                              <w:pStyle w:val="NoSpacing"/>
                              <w:jc w:val="both"/>
                              <w:rPr>
                                <w:sz w:val="20"/>
                                <w:szCs w:val="20"/>
                              </w:rPr>
                            </w:pPr>
                            <w:r>
                              <w:rPr>
                                <w:sz w:val="20"/>
                                <w:szCs w:val="20"/>
                              </w:rPr>
                              <w:t>Figure 2. Lunate width</w:t>
                            </w:r>
                            <w:r w:rsidR="007B5651" w:rsidRPr="007B5651">
                              <w:rPr>
                                <w:sz w:val="20"/>
                                <w:szCs w:val="20"/>
                                <w:vertAlign w:val="superscript"/>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9FE106D" id="_x0000_s1028" type="#_x0000_t202" style="position:absolute;left:0;text-align:left;margin-left:168.5pt;margin-top:182.05pt;width:135pt;height:4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" fillcolor="white [3201]" stroked="f" strokeweight=".5pt">
                <v:textbox>
                  <w:txbxContent>
                    <w:p w14:paraId="107411FC" w14:textId="3F1A3A26" w:rsidR="00D91D8C" w:rsidRPr="005E2532" w:rsidRDefault="00D91D8C" w:rsidP="00FE6B09">
                      <w:pPr>
                        <w:pStyle w:val="NoSpacing"/>
                        <w:jc w:val="both"/>
                        <w:rPr>
                          <w:sz w:val="20"/>
                          <w:szCs w:val="20"/>
                        </w:rPr>
                      </w:pPr>
                      <w:r>
                        <w:rPr>
                          <w:sz w:val="20"/>
                          <w:szCs w:val="20"/>
                        </w:rPr>
                        <w:t>Figure 2. Lunate width</w:t>
                      </w:r>
                      <w:r w:rsidR="007B5651" w:rsidRPr="007B5651">
                        <w:rPr>
                          <w:sz w:val="20"/>
                          <w:szCs w:val="20"/>
                          <w:vertAlign w:val="superscript"/>
                        </w:rPr>
                        <w:t>14</w:t>
                      </w:r>
                    </w:p>
                  </w:txbxContent>
                </v:textbox>
                <w10:wrap anchorx="margin"/>
              </v:shape>
            </w:pict>
          </mc:Fallback>
        </mc:AlternateContent>
      </w:r>
      <w:r w:rsidR="0012579C" w:rsidRPr="0009001E">
        <w:rPr>
          <w:noProof/>
          <w:sz w:val="24"/>
          <w:szCs w:val="24"/>
        </w:rPr>
        <w:drawing>
          <wp:inline distT="0" distB="0" distL="0" distR="0" wp14:anchorId="5052ABE2" wp14:editId="2B26D9A0">
            <wp:extent cx="1648506" cy="2304295"/>
            <wp:effectExtent l="0" t="0" r="8890" b="1270"/>
            <wp:docPr id="10" name="Picture 1" descr="Carpal He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pal Height.png"/>
                    <pic:cNvPicPr/>
                  </pic:nvPicPr>
                  <pic:blipFill>
                    <a:blip r:embed="rId7"/>
                    <a:stretch>
                      <a:fillRect/>
                    </a:stretch>
                  </pic:blipFill>
                  <pic:spPr>
                    <a:xfrm>
                      <a:off x="0" y="0"/>
                      <a:ext cx="1657066" cy="2316261"/>
                    </a:xfrm>
                    <a:prstGeom prst="rect">
                      <a:avLst/>
                    </a:prstGeom>
                  </pic:spPr>
                </pic:pic>
              </a:graphicData>
            </a:graphic>
          </wp:inline>
        </w:drawing>
      </w:r>
      <w:r w:rsidR="0012579C" w:rsidRPr="0009001E">
        <w:t xml:space="preserve">   </w:t>
      </w:r>
      <w:r w:rsidR="0009001E">
        <w:t xml:space="preserve">  </w:t>
      </w:r>
      <w:r w:rsidR="0012579C" w:rsidRPr="0009001E">
        <w:t xml:space="preserve">   </w:t>
      </w:r>
      <w:r w:rsidR="0009001E">
        <w:t xml:space="preserve">      </w:t>
      </w:r>
      <w:r w:rsidR="0012579C" w:rsidRPr="0009001E">
        <w:t xml:space="preserve">   </w:t>
      </w:r>
      <w:r w:rsidR="0012579C" w:rsidRPr="0009001E">
        <w:rPr>
          <w:noProof/>
          <w:sz w:val="24"/>
          <w:szCs w:val="24"/>
        </w:rPr>
        <w:drawing>
          <wp:inline distT="0" distB="0" distL="0" distR="0" wp14:anchorId="22621041" wp14:editId="03FF55E0">
            <wp:extent cx="1515110" cy="2314290"/>
            <wp:effectExtent l="0" t="0" r="8890" b="0"/>
            <wp:docPr id="27" name="Picture 12" descr="Possible d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sible data.jpg"/>
                    <pic:cNvPicPr/>
                  </pic:nvPicPr>
                  <pic:blipFill>
                    <a:blip r:embed="rId8"/>
                    <a:srcRect l="53244" r="21461" b="49350"/>
                    <a:stretch>
                      <a:fillRect/>
                    </a:stretch>
                  </pic:blipFill>
                  <pic:spPr>
                    <a:xfrm>
                      <a:off x="0" y="0"/>
                      <a:ext cx="1534789" cy="2344349"/>
                    </a:xfrm>
                    <a:prstGeom prst="rect">
                      <a:avLst/>
                    </a:prstGeom>
                  </pic:spPr>
                </pic:pic>
              </a:graphicData>
            </a:graphic>
          </wp:inline>
        </w:drawing>
      </w:r>
      <w:r w:rsidR="0012579C" w:rsidRPr="0009001E">
        <w:t xml:space="preserve">    </w:t>
      </w:r>
      <w:r w:rsidR="0009001E">
        <w:t xml:space="preserve">       </w:t>
      </w:r>
      <w:r w:rsidR="0012579C" w:rsidRPr="0009001E">
        <w:t xml:space="preserve"> </w:t>
      </w:r>
      <w:r w:rsidR="0009001E">
        <w:t xml:space="preserve">  </w:t>
      </w:r>
      <w:r w:rsidR="0012579C" w:rsidRPr="0009001E">
        <w:t xml:space="preserve">   </w:t>
      </w:r>
      <w:r w:rsidR="0012579C" w:rsidRPr="0009001E">
        <w:rPr>
          <w:noProof/>
          <w:sz w:val="24"/>
          <w:szCs w:val="24"/>
        </w:rPr>
        <w:drawing>
          <wp:inline distT="0" distB="0" distL="0" distR="0" wp14:anchorId="5F9DD8E1" wp14:editId="3D852F48">
            <wp:extent cx="1590347" cy="2297430"/>
            <wp:effectExtent l="0" t="0" r="0" b="7620"/>
            <wp:docPr id="30" name="Picture 5" descr="https://fifevirtualhandclinic.co.uk/wp-content/uploads/2021/09/xray.jpg?w=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ifevirtualhandclinic.co.uk/wp-content/uploads/2021/09/xray.jpg?w=1024"/>
                    <pic:cNvPicPr>
                      <a:picLocks noChangeAspect="1" noChangeArrowheads="1"/>
                    </pic:cNvPicPr>
                  </pic:nvPicPr>
                  <pic:blipFill>
                    <a:blip r:embed="rId9"/>
                    <a:srcRect r="45819"/>
                    <a:stretch>
                      <a:fillRect/>
                    </a:stretch>
                  </pic:blipFill>
                  <pic:spPr bwMode="auto">
                    <a:xfrm>
                      <a:off x="0" y="0"/>
                      <a:ext cx="1603311" cy="2316157"/>
                    </a:xfrm>
                    <a:prstGeom prst="rect">
                      <a:avLst/>
                    </a:prstGeom>
                    <a:noFill/>
                    <a:ln w="9525">
                      <a:noFill/>
                      <a:miter lim="800000"/>
                      <a:headEnd/>
                      <a:tailEnd/>
                    </a:ln>
                  </pic:spPr>
                </pic:pic>
              </a:graphicData>
            </a:graphic>
          </wp:inline>
        </w:drawing>
      </w:r>
    </w:p>
    <w:p w14:paraId="5FE5F0B6" w14:textId="7225CA2D" w:rsidR="0012579C" w:rsidRPr="0009001E" w:rsidRDefault="0012579C" w:rsidP="009E1196">
      <w:pPr>
        <w:jc w:val="both"/>
      </w:pPr>
    </w:p>
    <w:p w14:paraId="28AFD508" w14:textId="77777777" w:rsidR="005E2532" w:rsidRDefault="005E2532" w:rsidP="009E1196">
      <w:pPr>
        <w:jc w:val="both"/>
      </w:pPr>
    </w:p>
    <w:p w14:paraId="52D00A8B" w14:textId="167B5810" w:rsidR="009E1196" w:rsidRPr="009E1196" w:rsidRDefault="00B35032" w:rsidP="009E1196">
      <w:pPr>
        <w:jc w:val="both"/>
      </w:pPr>
      <w:r w:rsidRPr="00B35032">
        <w:t xml:space="preserve">Capitate length was measured from the intersection of the capitate articular facets for the second and third metacarpals to the proximal subchondral cortex of the capitate head. </w:t>
      </w:r>
      <w:r w:rsidR="009E1196" w:rsidRPr="009E1196">
        <w:t>Lunate width was determined as the transverse distance between the medial and lateral margins of the lunate.</w:t>
      </w:r>
      <w:r w:rsidR="007B5651" w:rsidRPr="007B5651">
        <w:rPr>
          <w:vertAlign w:val="superscript"/>
        </w:rPr>
        <w:t>14</w:t>
      </w:r>
      <w:r w:rsidR="009E1196" w:rsidRPr="009E1196">
        <w:t xml:space="preserve"> The scapholunate gap represented the interspace between the scaphoid and lunate bones. All linear measurements were obtained using a digital ruler integrated into the Picture Archiving and Communication System (PACS).</w:t>
      </w:r>
      <w:r w:rsidR="007B5651" w:rsidRPr="007B5651">
        <w:rPr>
          <w:vertAlign w:val="superscript"/>
        </w:rPr>
        <w:t>1</w:t>
      </w:r>
      <w:r w:rsidR="006C23EE">
        <w:rPr>
          <w:vertAlign w:val="superscript"/>
        </w:rPr>
        <w:t>6</w:t>
      </w:r>
    </w:p>
    <w:p w14:paraId="12316937" w14:textId="77777777" w:rsidR="009E1196" w:rsidRPr="009E1196" w:rsidRDefault="009E1196" w:rsidP="0009001E">
      <w:pPr>
        <w:jc w:val="both"/>
      </w:pPr>
      <w:r w:rsidRPr="009E1196">
        <w:t xml:space="preserve">Ethical approval for the study was obtained from the Research and Ethics Committees of the Faculty of Basic Medical Sciences, Delta State University, Abraka (Ref: RBC/FBMC/DELSU/25/911), and the Delta State University Teaching Hospital, </w:t>
      </w:r>
      <w:proofErr w:type="spellStart"/>
      <w:r w:rsidRPr="009E1196">
        <w:t>Oghara</w:t>
      </w:r>
      <w:proofErr w:type="spellEnd"/>
      <w:r w:rsidRPr="009E1196">
        <w:t xml:space="preserve"> (Ref: HREC/PAN/2025/0400/0729).</w:t>
      </w:r>
    </w:p>
    <w:p w14:paraId="0C9E19FB" w14:textId="0CBC6114" w:rsidR="009E1196" w:rsidRDefault="009E1196" w:rsidP="0009001E">
      <w:pPr>
        <w:jc w:val="both"/>
      </w:pPr>
      <w:r w:rsidRPr="009E1196">
        <w:t xml:space="preserve">Data were </w:t>
      </w:r>
      <w:proofErr w:type="spellStart"/>
      <w:r w:rsidRPr="009E1196">
        <w:t>analy</w:t>
      </w:r>
      <w:r w:rsidR="006A6B64">
        <w:t>s</w:t>
      </w:r>
      <w:r w:rsidRPr="009E1196">
        <w:t>ed</w:t>
      </w:r>
      <w:proofErr w:type="spellEnd"/>
      <w:r w:rsidRPr="009E1196">
        <w:t xml:space="preserve"> using the Statistical Package for Social Sciences (SPSS) version 26. Descriptive statistics (mean, standard deviation, range) were computed for all continuous variables. Independent sample </w:t>
      </w:r>
      <w:r w:rsidRPr="009E1196">
        <w:rPr>
          <w:i/>
          <w:iCs/>
        </w:rPr>
        <w:t>t</w:t>
      </w:r>
      <w:r w:rsidRPr="009E1196">
        <w:t>-tests were performed to evaluate sex differences, while one-way ANOVA assessed variations across age groups. Pearson’s correlation coefficient (</w:t>
      </w:r>
      <w:r w:rsidRPr="009E1196">
        <w:rPr>
          <w:i/>
          <w:iCs/>
        </w:rPr>
        <w:t>r</w:t>
      </w:r>
      <w:r w:rsidRPr="009E1196">
        <w:t xml:space="preserve">) was calculated to determine relationships among carpal dimensions, with statistical significance set at </w:t>
      </w:r>
      <w:r w:rsidRPr="009E1196">
        <w:rPr>
          <w:i/>
          <w:iCs/>
        </w:rPr>
        <w:t>p</w:t>
      </w:r>
      <w:r w:rsidRPr="009E1196">
        <w:t xml:space="preserve"> &lt; 0.05.</w:t>
      </w:r>
    </w:p>
    <w:p w14:paraId="0ED0C630" w14:textId="77777777" w:rsidR="007B5651" w:rsidRDefault="007B5651" w:rsidP="00161494">
      <w:pPr>
        <w:jc w:val="both"/>
        <w:rPr>
          <w:b/>
          <w:bCs/>
        </w:rPr>
      </w:pPr>
    </w:p>
    <w:p w14:paraId="72C1C27C" w14:textId="73AB545F" w:rsidR="00F7244C" w:rsidRDefault="00F7244C" w:rsidP="00161494">
      <w:pPr>
        <w:jc w:val="both"/>
        <w:rPr>
          <w:b/>
          <w:bCs/>
        </w:rPr>
      </w:pPr>
      <w:r w:rsidRPr="00F7244C">
        <w:rPr>
          <w:b/>
          <w:bCs/>
        </w:rPr>
        <w:t>Results</w:t>
      </w:r>
    </w:p>
    <w:p w14:paraId="2E6E05D8" w14:textId="12163A27" w:rsidR="00161494" w:rsidRPr="00161494" w:rsidRDefault="00161494" w:rsidP="00161494">
      <w:pPr>
        <w:jc w:val="both"/>
      </w:pPr>
      <w:r w:rsidRPr="00161494">
        <w:t>A total of 201 wrist radiographs were evaluated in this retrospective study. Of these, 108 radiographs (53.7%) were from female participants, while 93 radiographs (46.3%) were from male participants. Participants’ ages ranged from under 1</w:t>
      </w:r>
      <w:r>
        <w:t>8</w:t>
      </w:r>
      <w:r w:rsidRPr="00161494">
        <w:t xml:space="preserve"> to 60 years.</w:t>
      </w:r>
      <w:r>
        <w:t xml:space="preserve"> </w:t>
      </w:r>
      <w:r w:rsidRPr="00161494">
        <w:t>The distribution of participants across age groups is presented in Table 1. The largest proportion of participants fell within the 31</w:t>
      </w:r>
      <w:r w:rsidR="007B5651">
        <w:t>-</w:t>
      </w:r>
      <w:r w:rsidRPr="00161494">
        <w:t>40 years age group (28.4%), followed by the 21</w:t>
      </w:r>
      <w:r w:rsidR="007B5651">
        <w:t>-</w:t>
      </w:r>
      <w:r w:rsidRPr="00161494">
        <w:t>30 years group (26.9%). The smallest group comprised participants under 21 years of age (4.5%).</w:t>
      </w:r>
    </w:p>
    <w:p w14:paraId="3C41B6A6" w14:textId="77777777" w:rsidR="00161494" w:rsidRDefault="00161494" w:rsidP="00161494">
      <w:pPr>
        <w:jc w:val="both"/>
      </w:pPr>
    </w:p>
    <w:p w14:paraId="6DF4F230" w14:textId="77777777" w:rsidR="00161494" w:rsidRDefault="00161494" w:rsidP="00161494">
      <w:pPr>
        <w:jc w:val="both"/>
      </w:pPr>
    </w:p>
    <w:p w14:paraId="32854FC8" w14:textId="77777777" w:rsidR="003E6B74" w:rsidRDefault="003E6B74" w:rsidP="00161494">
      <w:pPr>
        <w:jc w:val="both"/>
      </w:pPr>
    </w:p>
    <w:p w14:paraId="5CBB4097" w14:textId="77777777" w:rsidR="003E6B74" w:rsidRDefault="003E6B74" w:rsidP="00161494">
      <w:pPr>
        <w:jc w:val="both"/>
      </w:pPr>
    </w:p>
    <w:p w14:paraId="4DE2F3F4" w14:textId="4A230348" w:rsidR="00161494" w:rsidRPr="00161494" w:rsidRDefault="00161494" w:rsidP="001E1C9D">
      <w:pPr>
        <w:jc w:val="center"/>
        <w:rPr>
          <w:b/>
          <w:bCs/>
        </w:rPr>
      </w:pPr>
      <w:r w:rsidRPr="00161494">
        <w:rPr>
          <w:b/>
          <w:bCs/>
        </w:rPr>
        <w:lastRenderedPageBreak/>
        <w:t>Table 1: Age Demographic of Participants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430"/>
        <w:gridCol w:w="2970"/>
        <w:gridCol w:w="1410"/>
        <w:gridCol w:w="81"/>
      </w:tblGrid>
      <w:tr w:rsidR="00161494" w:rsidRPr="00161494" w14:paraId="7C3B1AF4" w14:textId="77777777" w:rsidTr="006C23EE">
        <w:trPr>
          <w:tblHeader/>
          <w:tblCellSpacing w:w="15" w:type="dxa"/>
          <w:jc w:val="center"/>
        </w:trPr>
        <w:tc>
          <w:tcPr>
            <w:tcW w:w="2385" w:type="dxa"/>
            <w:tcBorders>
              <w:top w:val="single" w:sz="4" w:space="0" w:color="auto"/>
              <w:bottom w:val="single" w:sz="4" w:space="0" w:color="auto"/>
            </w:tcBorders>
            <w:vAlign w:val="center"/>
            <w:hideMark/>
          </w:tcPr>
          <w:p w14:paraId="16B5B23B" w14:textId="77777777" w:rsidR="00161494" w:rsidRPr="00161494" w:rsidRDefault="00161494" w:rsidP="00161494">
            <w:pPr>
              <w:jc w:val="both"/>
            </w:pPr>
            <w:r w:rsidRPr="00161494">
              <w:t>Age Group (years)</w:t>
            </w:r>
          </w:p>
        </w:tc>
        <w:tc>
          <w:tcPr>
            <w:tcW w:w="2940" w:type="dxa"/>
            <w:tcBorders>
              <w:top w:val="single" w:sz="4" w:space="0" w:color="auto"/>
              <w:bottom w:val="single" w:sz="4" w:space="0" w:color="auto"/>
            </w:tcBorders>
            <w:vAlign w:val="center"/>
            <w:hideMark/>
          </w:tcPr>
          <w:p w14:paraId="53834C10" w14:textId="77777777" w:rsidR="00161494" w:rsidRPr="00161494" w:rsidRDefault="00161494" w:rsidP="00161494">
            <w:pPr>
              <w:jc w:val="both"/>
            </w:pPr>
            <w:r w:rsidRPr="00161494">
              <w:t>Number of Participants</w:t>
            </w:r>
          </w:p>
        </w:tc>
        <w:tc>
          <w:tcPr>
            <w:tcW w:w="0" w:type="auto"/>
            <w:tcBorders>
              <w:top w:val="single" w:sz="4" w:space="0" w:color="auto"/>
              <w:bottom w:val="single" w:sz="4" w:space="0" w:color="auto"/>
            </w:tcBorders>
            <w:vAlign w:val="center"/>
            <w:hideMark/>
          </w:tcPr>
          <w:p w14:paraId="6F09D85A" w14:textId="77777777" w:rsidR="00161494" w:rsidRPr="00161494" w:rsidRDefault="00161494" w:rsidP="00161494">
            <w:pPr>
              <w:jc w:val="both"/>
            </w:pPr>
            <w:r w:rsidRPr="00161494">
              <w:t>Percentage (%)</w:t>
            </w:r>
          </w:p>
        </w:tc>
        <w:tc>
          <w:tcPr>
            <w:tcW w:w="0" w:type="auto"/>
            <w:tcBorders>
              <w:top w:val="single" w:sz="4" w:space="0" w:color="auto"/>
              <w:bottom w:val="single" w:sz="4" w:space="0" w:color="auto"/>
            </w:tcBorders>
          </w:tcPr>
          <w:p w14:paraId="67BDED07" w14:textId="77777777" w:rsidR="00161494" w:rsidRPr="00161494" w:rsidRDefault="00161494" w:rsidP="00161494">
            <w:pPr>
              <w:jc w:val="both"/>
            </w:pPr>
          </w:p>
        </w:tc>
      </w:tr>
      <w:tr w:rsidR="00161494" w:rsidRPr="00161494" w14:paraId="472DA101" w14:textId="77777777" w:rsidTr="00C83AD1">
        <w:trPr>
          <w:tblCellSpacing w:w="15" w:type="dxa"/>
          <w:jc w:val="center"/>
        </w:trPr>
        <w:tc>
          <w:tcPr>
            <w:tcW w:w="2385" w:type="dxa"/>
            <w:vAlign w:val="center"/>
            <w:hideMark/>
          </w:tcPr>
          <w:p w14:paraId="0285F4B0" w14:textId="77777777" w:rsidR="00161494" w:rsidRPr="00161494" w:rsidRDefault="00161494" w:rsidP="00161494">
            <w:pPr>
              <w:jc w:val="both"/>
            </w:pPr>
            <w:r w:rsidRPr="00161494">
              <w:t>&lt;21</w:t>
            </w:r>
          </w:p>
        </w:tc>
        <w:tc>
          <w:tcPr>
            <w:tcW w:w="2940" w:type="dxa"/>
            <w:vAlign w:val="center"/>
            <w:hideMark/>
          </w:tcPr>
          <w:p w14:paraId="6808A2BB" w14:textId="77777777" w:rsidR="00161494" w:rsidRPr="00161494" w:rsidRDefault="00161494" w:rsidP="00161494">
            <w:pPr>
              <w:jc w:val="both"/>
            </w:pPr>
            <w:r w:rsidRPr="00161494">
              <w:t>9</w:t>
            </w:r>
          </w:p>
        </w:tc>
        <w:tc>
          <w:tcPr>
            <w:tcW w:w="0" w:type="auto"/>
            <w:vAlign w:val="center"/>
            <w:hideMark/>
          </w:tcPr>
          <w:p w14:paraId="2E57D2E1" w14:textId="77777777" w:rsidR="00161494" w:rsidRPr="00161494" w:rsidRDefault="00161494" w:rsidP="00161494">
            <w:pPr>
              <w:jc w:val="both"/>
            </w:pPr>
            <w:r w:rsidRPr="00161494">
              <w:t>4.5</w:t>
            </w:r>
          </w:p>
        </w:tc>
        <w:tc>
          <w:tcPr>
            <w:tcW w:w="0" w:type="auto"/>
          </w:tcPr>
          <w:p w14:paraId="7A41BE47" w14:textId="77777777" w:rsidR="00161494" w:rsidRPr="00161494" w:rsidRDefault="00161494" w:rsidP="00161494">
            <w:pPr>
              <w:jc w:val="both"/>
            </w:pPr>
          </w:p>
        </w:tc>
      </w:tr>
      <w:tr w:rsidR="00161494" w:rsidRPr="00161494" w14:paraId="2C7D14AD" w14:textId="77777777" w:rsidTr="00C83AD1">
        <w:trPr>
          <w:tblCellSpacing w:w="15" w:type="dxa"/>
          <w:jc w:val="center"/>
        </w:trPr>
        <w:tc>
          <w:tcPr>
            <w:tcW w:w="2385" w:type="dxa"/>
            <w:vAlign w:val="center"/>
            <w:hideMark/>
          </w:tcPr>
          <w:p w14:paraId="3C867CE7" w14:textId="77777777" w:rsidR="00161494" w:rsidRPr="00161494" w:rsidRDefault="00161494" w:rsidP="00161494">
            <w:pPr>
              <w:jc w:val="both"/>
            </w:pPr>
            <w:r w:rsidRPr="00161494">
              <w:t>21–30</w:t>
            </w:r>
          </w:p>
        </w:tc>
        <w:tc>
          <w:tcPr>
            <w:tcW w:w="2940" w:type="dxa"/>
            <w:vAlign w:val="center"/>
            <w:hideMark/>
          </w:tcPr>
          <w:p w14:paraId="0E728615" w14:textId="77777777" w:rsidR="00161494" w:rsidRPr="00161494" w:rsidRDefault="00161494" w:rsidP="00161494">
            <w:pPr>
              <w:jc w:val="both"/>
            </w:pPr>
            <w:r w:rsidRPr="00161494">
              <w:t>54</w:t>
            </w:r>
          </w:p>
        </w:tc>
        <w:tc>
          <w:tcPr>
            <w:tcW w:w="0" w:type="auto"/>
            <w:vAlign w:val="center"/>
            <w:hideMark/>
          </w:tcPr>
          <w:p w14:paraId="5A8E9723" w14:textId="77777777" w:rsidR="00161494" w:rsidRPr="00161494" w:rsidRDefault="00161494" w:rsidP="00161494">
            <w:pPr>
              <w:jc w:val="both"/>
            </w:pPr>
            <w:r w:rsidRPr="00161494">
              <w:t>26.9</w:t>
            </w:r>
          </w:p>
        </w:tc>
        <w:tc>
          <w:tcPr>
            <w:tcW w:w="0" w:type="auto"/>
          </w:tcPr>
          <w:p w14:paraId="2B490CCE" w14:textId="77777777" w:rsidR="00161494" w:rsidRPr="00161494" w:rsidRDefault="00161494" w:rsidP="00161494">
            <w:pPr>
              <w:jc w:val="both"/>
            </w:pPr>
          </w:p>
        </w:tc>
      </w:tr>
      <w:tr w:rsidR="00161494" w:rsidRPr="00161494" w14:paraId="62ED252A" w14:textId="77777777" w:rsidTr="00C83AD1">
        <w:trPr>
          <w:tblCellSpacing w:w="15" w:type="dxa"/>
          <w:jc w:val="center"/>
        </w:trPr>
        <w:tc>
          <w:tcPr>
            <w:tcW w:w="2385" w:type="dxa"/>
            <w:vAlign w:val="center"/>
            <w:hideMark/>
          </w:tcPr>
          <w:p w14:paraId="558F0285" w14:textId="77777777" w:rsidR="00161494" w:rsidRPr="00161494" w:rsidRDefault="00161494" w:rsidP="00161494">
            <w:pPr>
              <w:jc w:val="both"/>
            </w:pPr>
            <w:r w:rsidRPr="00161494">
              <w:t>31–40</w:t>
            </w:r>
          </w:p>
        </w:tc>
        <w:tc>
          <w:tcPr>
            <w:tcW w:w="2940" w:type="dxa"/>
            <w:vAlign w:val="center"/>
            <w:hideMark/>
          </w:tcPr>
          <w:p w14:paraId="6A6081B4" w14:textId="77777777" w:rsidR="00161494" w:rsidRPr="00161494" w:rsidRDefault="00161494" w:rsidP="00161494">
            <w:pPr>
              <w:jc w:val="both"/>
            </w:pPr>
            <w:r w:rsidRPr="00161494">
              <w:t>57</w:t>
            </w:r>
          </w:p>
        </w:tc>
        <w:tc>
          <w:tcPr>
            <w:tcW w:w="0" w:type="auto"/>
            <w:vAlign w:val="center"/>
            <w:hideMark/>
          </w:tcPr>
          <w:p w14:paraId="135CCAFB" w14:textId="77777777" w:rsidR="00161494" w:rsidRPr="00161494" w:rsidRDefault="00161494" w:rsidP="00161494">
            <w:pPr>
              <w:jc w:val="both"/>
            </w:pPr>
            <w:r w:rsidRPr="00161494">
              <w:t>28.4</w:t>
            </w:r>
          </w:p>
        </w:tc>
        <w:tc>
          <w:tcPr>
            <w:tcW w:w="0" w:type="auto"/>
          </w:tcPr>
          <w:p w14:paraId="69E3CAEF" w14:textId="77777777" w:rsidR="00161494" w:rsidRPr="00161494" w:rsidRDefault="00161494" w:rsidP="00161494">
            <w:pPr>
              <w:jc w:val="both"/>
            </w:pPr>
          </w:p>
        </w:tc>
      </w:tr>
      <w:tr w:rsidR="00161494" w:rsidRPr="00161494" w14:paraId="4848FCCB" w14:textId="77777777" w:rsidTr="00C83AD1">
        <w:trPr>
          <w:tblCellSpacing w:w="15" w:type="dxa"/>
          <w:jc w:val="center"/>
        </w:trPr>
        <w:tc>
          <w:tcPr>
            <w:tcW w:w="2385" w:type="dxa"/>
            <w:vAlign w:val="center"/>
            <w:hideMark/>
          </w:tcPr>
          <w:p w14:paraId="3EB79D24" w14:textId="77777777" w:rsidR="00161494" w:rsidRPr="00161494" w:rsidRDefault="00161494" w:rsidP="00161494">
            <w:pPr>
              <w:jc w:val="both"/>
            </w:pPr>
            <w:r w:rsidRPr="00161494">
              <w:t>41–50</w:t>
            </w:r>
          </w:p>
        </w:tc>
        <w:tc>
          <w:tcPr>
            <w:tcW w:w="2940" w:type="dxa"/>
            <w:vAlign w:val="center"/>
            <w:hideMark/>
          </w:tcPr>
          <w:p w14:paraId="25144299" w14:textId="77777777" w:rsidR="00161494" w:rsidRPr="00161494" w:rsidRDefault="00161494" w:rsidP="00161494">
            <w:pPr>
              <w:jc w:val="both"/>
            </w:pPr>
            <w:r w:rsidRPr="00161494">
              <w:t>44</w:t>
            </w:r>
          </w:p>
        </w:tc>
        <w:tc>
          <w:tcPr>
            <w:tcW w:w="0" w:type="auto"/>
            <w:vAlign w:val="center"/>
            <w:hideMark/>
          </w:tcPr>
          <w:p w14:paraId="154BBD3A" w14:textId="77777777" w:rsidR="00161494" w:rsidRPr="00161494" w:rsidRDefault="00161494" w:rsidP="00161494">
            <w:pPr>
              <w:jc w:val="both"/>
            </w:pPr>
            <w:r w:rsidRPr="00161494">
              <w:t>21.9</w:t>
            </w:r>
          </w:p>
        </w:tc>
        <w:tc>
          <w:tcPr>
            <w:tcW w:w="0" w:type="auto"/>
          </w:tcPr>
          <w:p w14:paraId="15A72527" w14:textId="77777777" w:rsidR="00161494" w:rsidRPr="00161494" w:rsidRDefault="00161494" w:rsidP="00161494">
            <w:pPr>
              <w:jc w:val="both"/>
            </w:pPr>
          </w:p>
        </w:tc>
      </w:tr>
      <w:tr w:rsidR="00161494" w:rsidRPr="00161494" w14:paraId="10698B93" w14:textId="77777777" w:rsidTr="00C83AD1">
        <w:trPr>
          <w:tblCellSpacing w:w="15" w:type="dxa"/>
          <w:jc w:val="center"/>
        </w:trPr>
        <w:tc>
          <w:tcPr>
            <w:tcW w:w="2385" w:type="dxa"/>
            <w:vAlign w:val="center"/>
            <w:hideMark/>
          </w:tcPr>
          <w:p w14:paraId="3316D75B" w14:textId="77777777" w:rsidR="00161494" w:rsidRPr="00161494" w:rsidRDefault="00161494" w:rsidP="00161494">
            <w:pPr>
              <w:jc w:val="both"/>
            </w:pPr>
            <w:r w:rsidRPr="00161494">
              <w:t>51–60</w:t>
            </w:r>
          </w:p>
        </w:tc>
        <w:tc>
          <w:tcPr>
            <w:tcW w:w="2940" w:type="dxa"/>
            <w:vAlign w:val="center"/>
            <w:hideMark/>
          </w:tcPr>
          <w:p w14:paraId="0E508F36" w14:textId="77777777" w:rsidR="00161494" w:rsidRPr="00161494" w:rsidRDefault="00161494" w:rsidP="00161494">
            <w:pPr>
              <w:jc w:val="both"/>
            </w:pPr>
            <w:r w:rsidRPr="00161494">
              <w:t>37</w:t>
            </w:r>
          </w:p>
        </w:tc>
        <w:tc>
          <w:tcPr>
            <w:tcW w:w="0" w:type="auto"/>
            <w:vAlign w:val="center"/>
            <w:hideMark/>
          </w:tcPr>
          <w:p w14:paraId="4392B33A" w14:textId="77777777" w:rsidR="00161494" w:rsidRPr="00161494" w:rsidRDefault="00161494" w:rsidP="00161494">
            <w:pPr>
              <w:jc w:val="both"/>
            </w:pPr>
            <w:r w:rsidRPr="00161494">
              <w:t>18.4</w:t>
            </w:r>
          </w:p>
        </w:tc>
        <w:tc>
          <w:tcPr>
            <w:tcW w:w="0" w:type="auto"/>
          </w:tcPr>
          <w:p w14:paraId="6DF2A324" w14:textId="77777777" w:rsidR="00161494" w:rsidRPr="00161494" w:rsidRDefault="00161494" w:rsidP="00161494">
            <w:pPr>
              <w:jc w:val="both"/>
            </w:pPr>
          </w:p>
        </w:tc>
      </w:tr>
      <w:tr w:rsidR="00161494" w:rsidRPr="00161494" w14:paraId="0DC23B87" w14:textId="77777777" w:rsidTr="006C23EE">
        <w:trPr>
          <w:tblCellSpacing w:w="15" w:type="dxa"/>
          <w:jc w:val="center"/>
        </w:trPr>
        <w:tc>
          <w:tcPr>
            <w:tcW w:w="2385" w:type="dxa"/>
            <w:tcBorders>
              <w:bottom w:val="single" w:sz="4" w:space="0" w:color="auto"/>
            </w:tcBorders>
            <w:vAlign w:val="center"/>
            <w:hideMark/>
          </w:tcPr>
          <w:p w14:paraId="3C1C44AB" w14:textId="77777777" w:rsidR="00161494" w:rsidRPr="00161494" w:rsidRDefault="00161494" w:rsidP="00161494">
            <w:pPr>
              <w:jc w:val="both"/>
            </w:pPr>
            <w:r w:rsidRPr="00161494">
              <w:t>Total</w:t>
            </w:r>
          </w:p>
        </w:tc>
        <w:tc>
          <w:tcPr>
            <w:tcW w:w="2940" w:type="dxa"/>
            <w:tcBorders>
              <w:bottom w:val="single" w:sz="4" w:space="0" w:color="auto"/>
            </w:tcBorders>
            <w:vAlign w:val="center"/>
            <w:hideMark/>
          </w:tcPr>
          <w:p w14:paraId="23832BCA" w14:textId="77777777" w:rsidR="00161494" w:rsidRPr="00161494" w:rsidRDefault="00161494" w:rsidP="00161494">
            <w:pPr>
              <w:jc w:val="both"/>
            </w:pPr>
            <w:r w:rsidRPr="00161494">
              <w:t>201</w:t>
            </w:r>
          </w:p>
        </w:tc>
        <w:tc>
          <w:tcPr>
            <w:tcW w:w="0" w:type="auto"/>
            <w:tcBorders>
              <w:bottom w:val="single" w:sz="4" w:space="0" w:color="auto"/>
            </w:tcBorders>
            <w:vAlign w:val="center"/>
            <w:hideMark/>
          </w:tcPr>
          <w:p w14:paraId="7A33ABC9" w14:textId="77777777" w:rsidR="00161494" w:rsidRPr="00161494" w:rsidRDefault="00161494" w:rsidP="00161494">
            <w:pPr>
              <w:jc w:val="both"/>
            </w:pPr>
            <w:r w:rsidRPr="00161494">
              <w:t>100</w:t>
            </w:r>
          </w:p>
        </w:tc>
        <w:tc>
          <w:tcPr>
            <w:tcW w:w="0" w:type="auto"/>
          </w:tcPr>
          <w:p w14:paraId="2B524232" w14:textId="77777777" w:rsidR="00161494" w:rsidRPr="00161494" w:rsidRDefault="00161494" w:rsidP="00161494">
            <w:pPr>
              <w:jc w:val="both"/>
            </w:pPr>
          </w:p>
        </w:tc>
      </w:tr>
    </w:tbl>
    <w:p w14:paraId="6F7268D5" w14:textId="77777777" w:rsidR="00161494" w:rsidRPr="00161494" w:rsidRDefault="00161494" w:rsidP="00161494">
      <w:pPr>
        <w:jc w:val="both"/>
      </w:pPr>
      <w:r w:rsidRPr="00161494">
        <w:t>This distribution highlights a predominance of participants in the younger to middle adult age ranges, providing a representative sample for evaluating wrist anthropometry and radiological characteristics.</w:t>
      </w:r>
    </w:p>
    <w:tbl>
      <w:tblPr>
        <w:tblW w:w="5108" w:type="pct"/>
        <w:tblBorders>
          <w:insideH w:val="single" w:sz="4" w:space="0" w:color="auto"/>
        </w:tblBorders>
        <w:tblCellMar>
          <w:left w:w="0" w:type="dxa"/>
          <w:right w:w="0" w:type="dxa"/>
        </w:tblCellMar>
        <w:tblLook w:val="0000" w:firstRow="0" w:lastRow="0" w:firstColumn="0" w:lastColumn="0" w:noHBand="0" w:noVBand="0"/>
      </w:tblPr>
      <w:tblGrid>
        <w:gridCol w:w="2340"/>
        <w:gridCol w:w="1309"/>
        <w:gridCol w:w="1367"/>
        <w:gridCol w:w="1406"/>
        <w:gridCol w:w="1306"/>
        <w:gridCol w:w="1834"/>
      </w:tblGrid>
      <w:tr w:rsidR="007E609C" w:rsidRPr="007E609C" w14:paraId="4ED2D5FB" w14:textId="77777777" w:rsidTr="00A06598">
        <w:trPr>
          <w:cantSplit/>
          <w:trHeight w:val="1050"/>
        </w:trPr>
        <w:tc>
          <w:tcPr>
            <w:tcW w:w="4998" w:type="pct"/>
            <w:gridSpan w:val="6"/>
            <w:shd w:val="clear" w:color="auto" w:fill="FFFFFF"/>
            <w:vAlign w:val="center"/>
          </w:tcPr>
          <w:p w14:paraId="51684D90" w14:textId="3712D0B3" w:rsidR="007E609C" w:rsidRPr="00E930BA" w:rsidRDefault="007E609C" w:rsidP="007E609C">
            <w:pPr>
              <w:jc w:val="both"/>
              <w:rPr>
                <w:b/>
                <w:bCs/>
              </w:rPr>
            </w:pPr>
            <w:r w:rsidRPr="007E609C">
              <w:t xml:space="preserve">Table </w:t>
            </w:r>
            <w:r w:rsidR="009D1B10" w:rsidRPr="00E930BA">
              <w:t xml:space="preserve">2 </w:t>
            </w:r>
            <w:r w:rsidRPr="007E609C">
              <w:t>provides a summary of all analyzed</w:t>
            </w:r>
            <w:r w:rsidR="00E930BA">
              <w:t xml:space="preserve"> variables</w:t>
            </w:r>
            <w:r w:rsidR="00A06598">
              <w:t xml:space="preserve"> in the studied population,</w:t>
            </w:r>
            <w:r w:rsidR="00E930BA">
              <w:t xml:space="preserve"> including age, carpal</w:t>
            </w:r>
            <w:r w:rsidR="00A06598">
              <w:t xml:space="preserve"> height (CH), capitate length (CL), lunate width (LW) and s</w:t>
            </w:r>
            <w:r w:rsidR="00A06598" w:rsidRPr="00E930BA">
              <w:rPr>
                <w:bCs/>
              </w:rPr>
              <w:t xml:space="preserve">capholunate </w:t>
            </w:r>
            <w:r w:rsidR="00A06598">
              <w:rPr>
                <w:bCs/>
              </w:rPr>
              <w:t>g</w:t>
            </w:r>
            <w:r w:rsidR="00A06598" w:rsidRPr="00E930BA">
              <w:rPr>
                <w:bCs/>
              </w:rPr>
              <w:t>ap</w:t>
            </w:r>
            <w:r w:rsidR="00A06598">
              <w:rPr>
                <w:bCs/>
              </w:rPr>
              <w:t xml:space="preserve"> (SLG)</w:t>
            </w:r>
            <w:r w:rsidRPr="007E609C">
              <w:t>. The relatively low standard</w:t>
            </w:r>
            <w:r w:rsidRPr="007E609C">
              <w:rPr>
                <w:bCs/>
              </w:rPr>
              <w:t xml:space="preserve"> deviations indicate a consistent measurement pattern across participants, with little variability.</w:t>
            </w:r>
          </w:p>
          <w:p w14:paraId="1023F74C" w14:textId="1CC331C3" w:rsidR="009D1B10" w:rsidRPr="007E609C" w:rsidRDefault="00E930BA" w:rsidP="00E930BA">
            <w:pPr>
              <w:jc w:val="center"/>
              <w:rPr>
                <w:bCs/>
              </w:rPr>
            </w:pPr>
            <w:bookmarkStart w:id="0" w:name="_Hlk214836466"/>
            <w:r w:rsidRPr="00E930BA">
              <w:rPr>
                <w:b/>
                <w:bCs/>
              </w:rPr>
              <w:t xml:space="preserve">Table 2: Descriptive statistics of all </w:t>
            </w:r>
            <w:r w:rsidR="00A06598">
              <w:rPr>
                <w:b/>
                <w:bCs/>
              </w:rPr>
              <w:t xml:space="preserve">analyzed </w:t>
            </w:r>
            <w:r w:rsidRPr="00E930BA">
              <w:rPr>
                <w:b/>
                <w:bCs/>
              </w:rPr>
              <w:t xml:space="preserve">variables in the </w:t>
            </w:r>
            <w:r w:rsidR="00A06598">
              <w:rPr>
                <w:b/>
                <w:bCs/>
              </w:rPr>
              <w:t xml:space="preserve">total </w:t>
            </w:r>
            <w:r w:rsidRPr="00E930BA">
              <w:rPr>
                <w:b/>
                <w:bCs/>
              </w:rPr>
              <w:t>studied population</w:t>
            </w:r>
            <w:r w:rsidR="00A06598">
              <w:rPr>
                <w:b/>
                <w:bCs/>
              </w:rPr>
              <w:t>.</w:t>
            </w:r>
            <w:bookmarkEnd w:id="0"/>
          </w:p>
        </w:tc>
      </w:tr>
      <w:tr w:rsidR="007E609C" w:rsidRPr="007E609C" w14:paraId="1E85BD1B" w14:textId="77777777" w:rsidTr="00A06598">
        <w:trPr>
          <w:cantSplit/>
          <w:trHeight w:val="1050"/>
        </w:trPr>
        <w:tc>
          <w:tcPr>
            <w:tcW w:w="1223" w:type="pct"/>
            <w:tcBorders>
              <w:bottom w:val="single" w:sz="4" w:space="0" w:color="auto"/>
            </w:tcBorders>
            <w:shd w:val="clear" w:color="auto" w:fill="FFFFFF"/>
            <w:vAlign w:val="center"/>
          </w:tcPr>
          <w:p w14:paraId="0967E0F1" w14:textId="77777777" w:rsidR="007E609C" w:rsidRPr="007E609C" w:rsidRDefault="007E609C" w:rsidP="007E609C">
            <w:pPr>
              <w:jc w:val="both"/>
              <w:rPr>
                <w:b/>
              </w:rPr>
            </w:pPr>
          </w:p>
        </w:tc>
        <w:tc>
          <w:tcPr>
            <w:tcW w:w="684" w:type="pct"/>
            <w:tcBorders>
              <w:bottom w:val="single" w:sz="4" w:space="0" w:color="auto"/>
            </w:tcBorders>
            <w:shd w:val="clear" w:color="auto" w:fill="FFFFFF"/>
            <w:vAlign w:val="center"/>
          </w:tcPr>
          <w:p w14:paraId="712D4076" w14:textId="77777777" w:rsidR="007E609C" w:rsidRPr="007E609C" w:rsidRDefault="007E609C" w:rsidP="007E609C">
            <w:pPr>
              <w:jc w:val="both"/>
              <w:rPr>
                <w:b/>
              </w:rPr>
            </w:pPr>
            <w:r w:rsidRPr="007E609C">
              <w:rPr>
                <w:b/>
              </w:rPr>
              <w:t>N</w:t>
            </w:r>
          </w:p>
        </w:tc>
        <w:tc>
          <w:tcPr>
            <w:tcW w:w="715" w:type="pct"/>
            <w:tcBorders>
              <w:bottom w:val="single" w:sz="4" w:space="0" w:color="auto"/>
            </w:tcBorders>
            <w:shd w:val="clear" w:color="auto" w:fill="FFFFFF"/>
            <w:vAlign w:val="center"/>
          </w:tcPr>
          <w:p w14:paraId="700ED092" w14:textId="77777777" w:rsidR="007E609C" w:rsidRPr="007E609C" w:rsidRDefault="007E609C" w:rsidP="007E609C">
            <w:pPr>
              <w:jc w:val="both"/>
              <w:rPr>
                <w:b/>
              </w:rPr>
            </w:pPr>
            <w:r w:rsidRPr="007E609C">
              <w:rPr>
                <w:b/>
              </w:rPr>
              <w:t>Minimum</w:t>
            </w:r>
          </w:p>
        </w:tc>
        <w:tc>
          <w:tcPr>
            <w:tcW w:w="735" w:type="pct"/>
            <w:tcBorders>
              <w:bottom w:val="single" w:sz="4" w:space="0" w:color="auto"/>
            </w:tcBorders>
            <w:shd w:val="clear" w:color="auto" w:fill="FFFFFF"/>
            <w:vAlign w:val="center"/>
          </w:tcPr>
          <w:p w14:paraId="03646BDA" w14:textId="77777777" w:rsidR="007E609C" w:rsidRPr="007E609C" w:rsidRDefault="007E609C" w:rsidP="007E609C">
            <w:pPr>
              <w:jc w:val="both"/>
              <w:rPr>
                <w:b/>
              </w:rPr>
            </w:pPr>
            <w:r w:rsidRPr="007E609C">
              <w:rPr>
                <w:b/>
              </w:rPr>
              <w:t>Maximum</w:t>
            </w:r>
          </w:p>
        </w:tc>
        <w:tc>
          <w:tcPr>
            <w:tcW w:w="683" w:type="pct"/>
            <w:tcBorders>
              <w:bottom w:val="single" w:sz="4" w:space="0" w:color="auto"/>
            </w:tcBorders>
            <w:shd w:val="clear" w:color="auto" w:fill="FFFFFF"/>
            <w:vAlign w:val="center"/>
          </w:tcPr>
          <w:p w14:paraId="3E8A3295" w14:textId="77777777" w:rsidR="007E609C" w:rsidRPr="007E609C" w:rsidRDefault="007E609C" w:rsidP="007E609C">
            <w:pPr>
              <w:jc w:val="both"/>
              <w:rPr>
                <w:b/>
              </w:rPr>
            </w:pPr>
            <w:r w:rsidRPr="007E609C">
              <w:rPr>
                <w:b/>
              </w:rPr>
              <w:t>Mean</w:t>
            </w:r>
          </w:p>
        </w:tc>
        <w:tc>
          <w:tcPr>
            <w:tcW w:w="959" w:type="pct"/>
            <w:tcBorders>
              <w:bottom w:val="single" w:sz="4" w:space="0" w:color="auto"/>
            </w:tcBorders>
            <w:shd w:val="clear" w:color="auto" w:fill="FFFFFF"/>
            <w:vAlign w:val="center"/>
          </w:tcPr>
          <w:p w14:paraId="56C3544C" w14:textId="77777777" w:rsidR="007E609C" w:rsidRPr="007E609C" w:rsidRDefault="007E609C" w:rsidP="007E609C">
            <w:pPr>
              <w:jc w:val="both"/>
              <w:rPr>
                <w:b/>
              </w:rPr>
            </w:pPr>
            <w:r w:rsidRPr="007E609C">
              <w:rPr>
                <w:b/>
              </w:rPr>
              <w:t>Std. Deviation</w:t>
            </w:r>
          </w:p>
        </w:tc>
      </w:tr>
      <w:tr w:rsidR="007E609C" w:rsidRPr="007E609C" w14:paraId="448E5B4D" w14:textId="77777777" w:rsidTr="00A06598">
        <w:trPr>
          <w:cantSplit/>
          <w:trHeight w:val="1050"/>
        </w:trPr>
        <w:tc>
          <w:tcPr>
            <w:tcW w:w="1223" w:type="pct"/>
            <w:tcBorders>
              <w:top w:val="single" w:sz="4" w:space="0" w:color="auto"/>
              <w:bottom w:val="nil"/>
            </w:tcBorders>
            <w:shd w:val="clear" w:color="auto" w:fill="FFFFFF"/>
            <w:vAlign w:val="center"/>
          </w:tcPr>
          <w:p w14:paraId="0BB471F4" w14:textId="48CC922B" w:rsidR="007E609C" w:rsidRPr="007E609C" w:rsidRDefault="00E930BA" w:rsidP="007E609C">
            <w:pPr>
              <w:jc w:val="both"/>
              <w:rPr>
                <w:bCs/>
              </w:rPr>
            </w:pPr>
            <w:r w:rsidRPr="007E609C">
              <w:rPr>
                <w:bCs/>
              </w:rPr>
              <w:t>Age</w:t>
            </w:r>
          </w:p>
        </w:tc>
        <w:tc>
          <w:tcPr>
            <w:tcW w:w="684" w:type="pct"/>
            <w:tcBorders>
              <w:top w:val="single" w:sz="4" w:space="0" w:color="auto"/>
              <w:bottom w:val="nil"/>
            </w:tcBorders>
            <w:shd w:val="clear" w:color="auto" w:fill="FFFFFF"/>
            <w:vAlign w:val="center"/>
          </w:tcPr>
          <w:p w14:paraId="24845983" w14:textId="77777777" w:rsidR="007E609C" w:rsidRPr="007E609C" w:rsidRDefault="007E609C" w:rsidP="007E609C">
            <w:pPr>
              <w:jc w:val="both"/>
            </w:pPr>
            <w:r w:rsidRPr="007E609C">
              <w:t>201</w:t>
            </w:r>
          </w:p>
        </w:tc>
        <w:tc>
          <w:tcPr>
            <w:tcW w:w="715" w:type="pct"/>
            <w:tcBorders>
              <w:top w:val="single" w:sz="4" w:space="0" w:color="auto"/>
              <w:bottom w:val="nil"/>
            </w:tcBorders>
            <w:shd w:val="clear" w:color="auto" w:fill="FFFFFF"/>
            <w:vAlign w:val="center"/>
          </w:tcPr>
          <w:p w14:paraId="046AAF17" w14:textId="77777777" w:rsidR="007E609C" w:rsidRPr="007E609C" w:rsidRDefault="007E609C" w:rsidP="007E609C">
            <w:pPr>
              <w:jc w:val="both"/>
            </w:pPr>
            <w:r w:rsidRPr="007E609C">
              <w:t>18</w:t>
            </w:r>
          </w:p>
        </w:tc>
        <w:tc>
          <w:tcPr>
            <w:tcW w:w="735" w:type="pct"/>
            <w:tcBorders>
              <w:top w:val="single" w:sz="4" w:space="0" w:color="auto"/>
              <w:bottom w:val="nil"/>
            </w:tcBorders>
            <w:shd w:val="clear" w:color="auto" w:fill="FFFFFF"/>
            <w:vAlign w:val="center"/>
          </w:tcPr>
          <w:p w14:paraId="0BCBB730" w14:textId="77777777" w:rsidR="007E609C" w:rsidRPr="007E609C" w:rsidRDefault="007E609C" w:rsidP="007E609C">
            <w:pPr>
              <w:jc w:val="both"/>
            </w:pPr>
            <w:r w:rsidRPr="007E609C">
              <w:t>60</w:t>
            </w:r>
          </w:p>
        </w:tc>
        <w:tc>
          <w:tcPr>
            <w:tcW w:w="683" w:type="pct"/>
            <w:tcBorders>
              <w:top w:val="single" w:sz="4" w:space="0" w:color="auto"/>
              <w:bottom w:val="nil"/>
            </w:tcBorders>
            <w:shd w:val="clear" w:color="auto" w:fill="FFFFFF"/>
            <w:vAlign w:val="center"/>
          </w:tcPr>
          <w:p w14:paraId="213F57E6" w14:textId="77777777" w:rsidR="007E609C" w:rsidRPr="007E609C" w:rsidRDefault="007E609C" w:rsidP="007E609C">
            <w:pPr>
              <w:jc w:val="both"/>
            </w:pPr>
            <w:r w:rsidRPr="007E609C">
              <w:t>38.00</w:t>
            </w:r>
          </w:p>
        </w:tc>
        <w:tc>
          <w:tcPr>
            <w:tcW w:w="959" w:type="pct"/>
            <w:tcBorders>
              <w:top w:val="single" w:sz="4" w:space="0" w:color="auto"/>
              <w:bottom w:val="nil"/>
            </w:tcBorders>
            <w:shd w:val="clear" w:color="auto" w:fill="FFFFFF"/>
            <w:vAlign w:val="center"/>
          </w:tcPr>
          <w:p w14:paraId="161BD385" w14:textId="77777777" w:rsidR="007E609C" w:rsidRPr="007E609C" w:rsidRDefault="007E609C" w:rsidP="007E609C">
            <w:pPr>
              <w:jc w:val="both"/>
            </w:pPr>
            <w:r w:rsidRPr="007E609C">
              <w:t>11.524</w:t>
            </w:r>
          </w:p>
        </w:tc>
      </w:tr>
      <w:tr w:rsidR="007E609C" w:rsidRPr="007E609C" w14:paraId="36B2A311" w14:textId="77777777" w:rsidTr="00A06598">
        <w:trPr>
          <w:cantSplit/>
          <w:trHeight w:val="1050"/>
        </w:trPr>
        <w:tc>
          <w:tcPr>
            <w:tcW w:w="1223" w:type="pct"/>
            <w:tcBorders>
              <w:top w:val="nil"/>
              <w:bottom w:val="nil"/>
            </w:tcBorders>
            <w:shd w:val="clear" w:color="auto" w:fill="FFFFFF"/>
            <w:vAlign w:val="center"/>
          </w:tcPr>
          <w:p w14:paraId="2451657A" w14:textId="5E7C9F83" w:rsidR="007E609C" w:rsidRPr="007E609C" w:rsidRDefault="007E609C" w:rsidP="007E609C">
            <w:pPr>
              <w:jc w:val="both"/>
              <w:rPr>
                <w:bCs/>
              </w:rPr>
            </w:pPr>
            <w:r w:rsidRPr="007E609C">
              <w:rPr>
                <w:bCs/>
              </w:rPr>
              <w:t>C</w:t>
            </w:r>
            <w:r w:rsidR="009D1B10" w:rsidRPr="009D1B10">
              <w:rPr>
                <w:bCs/>
              </w:rPr>
              <w:t xml:space="preserve">arpal </w:t>
            </w:r>
            <w:r w:rsidRPr="007E609C">
              <w:rPr>
                <w:bCs/>
              </w:rPr>
              <w:t>H</w:t>
            </w:r>
            <w:r w:rsidR="009D1B10" w:rsidRPr="009D1B10">
              <w:rPr>
                <w:bCs/>
              </w:rPr>
              <w:t>eight</w:t>
            </w:r>
          </w:p>
        </w:tc>
        <w:tc>
          <w:tcPr>
            <w:tcW w:w="684" w:type="pct"/>
            <w:tcBorders>
              <w:top w:val="nil"/>
              <w:bottom w:val="nil"/>
            </w:tcBorders>
            <w:shd w:val="clear" w:color="auto" w:fill="FFFFFF"/>
            <w:vAlign w:val="center"/>
          </w:tcPr>
          <w:p w14:paraId="61AEBE41" w14:textId="77777777" w:rsidR="007E609C" w:rsidRPr="007E609C" w:rsidRDefault="007E609C" w:rsidP="007E609C">
            <w:pPr>
              <w:jc w:val="both"/>
            </w:pPr>
            <w:r w:rsidRPr="007E609C">
              <w:t>201</w:t>
            </w:r>
          </w:p>
        </w:tc>
        <w:tc>
          <w:tcPr>
            <w:tcW w:w="715" w:type="pct"/>
            <w:tcBorders>
              <w:top w:val="nil"/>
              <w:bottom w:val="nil"/>
            </w:tcBorders>
            <w:shd w:val="clear" w:color="auto" w:fill="FFFFFF"/>
            <w:vAlign w:val="center"/>
          </w:tcPr>
          <w:p w14:paraId="07C5A1A7" w14:textId="77777777" w:rsidR="007E609C" w:rsidRPr="007E609C" w:rsidRDefault="007E609C" w:rsidP="007E609C">
            <w:pPr>
              <w:jc w:val="both"/>
            </w:pPr>
            <w:r w:rsidRPr="007E609C">
              <w:t>2.90</w:t>
            </w:r>
          </w:p>
        </w:tc>
        <w:tc>
          <w:tcPr>
            <w:tcW w:w="735" w:type="pct"/>
            <w:tcBorders>
              <w:top w:val="nil"/>
              <w:bottom w:val="nil"/>
            </w:tcBorders>
            <w:shd w:val="clear" w:color="auto" w:fill="FFFFFF"/>
            <w:vAlign w:val="center"/>
          </w:tcPr>
          <w:p w14:paraId="43D73592" w14:textId="77777777" w:rsidR="007E609C" w:rsidRPr="007E609C" w:rsidRDefault="007E609C" w:rsidP="007E609C">
            <w:pPr>
              <w:jc w:val="both"/>
            </w:pPr>
            <w:r w:rsidRPr="007E609C">
              <w:t>3.61</w:t>
            </w:r>
          </w:p>
        </w:tc>
        <w:tc>
          <w:tcPr>
            <w:tcW w:w="683" w:type="pct"/>
            <w:tcBorders>
              <w:top w:val="nil"/>
              <w:bottom w:val="nil"/>
            </w:tcBorders>
            <w:shd w:val="clear" w:color="auto" w:fill="FFFFFF"/>
            <w:vAlign w:val="center"/>
          </w:tcPr>
          <w:p w14:paraId="322EFAD5" w14:textId="77777777" w:rsidR="007E609C" w:rsidRPr="007E609C" w:rsidRDefault="007E609C" w:rsidP="007E609C">
            <w:pPr>
              <w:jc w:val="both"/>
            </w:pPr>
            <w:r w:rsidRPr="007E609C">
              <w:t>3.2154</w:t>
            </w:r>
          </w:p>
        </w:tc>
        <w:tc>
          <w:tcPr>
            <w:tcW w:w="959" w:type="pct"/>
            <w:tcBorders>
              <w:top w:val="nil"/>
              <w:bottom w:val="nil"/>
            </w:tcBorders>
            <w:shd w:val="clear" w:color="auto" w:fill="FFFFFF"/>
            <w:vAlign w:val="center"/>
          </w:tcPr>
          <w:p w14:paraId="4F597A38" w14:textId="77777777" w:rsidR="007E609C" w:rsidRPr="007E609C" w:rsidRDefault="007E609C" w:rsidP="007E609C">
            <w:pPr>
              <w:jc w:val="both"/>
            </w:pPr>
            <w:r w:rsidRPr="007E609C">
              <w:t>.14565</w:t>
            </w:r>
          </w:p>
        </w:tc>
      </w:tr>
      <w:tr w:rsidR="007E609C" w:rsidRPr="007E609C" w14:paraId="79A39240" w14:textId="77777777" w:rsidTr="00A06598">
        <w:trPr>
          <w:cantSplit/>
          <w:trHeight w:val="1050"/>
        </w:trPr>
        <w:tc>
          <w:tcPr>
            <w:tcW w:w="1223" w:type="pct"/>
            <w:tcBorders>
              <w:top w:val="nil"/>
              <w:bottom w:val="nil"/>
            </w:tcBorders>
            <w:shd w:val="clear" w:color="auto" w:fill="FFFFFF"/>
            <w:vAlign w:val="center"/>
          </w:tcPr>
          <w:p w14:paraId="7E268C27" w14:textId="59815466" w:rsidR="007E609C" w:rsidRPr="007E609C" w:rsidRDefault="007E609C" w:rsidP="007E609C">
            <w:pPr>
              <w:jc w:val="both"/>
              <w:rPr>
                <w:bCs/>
              </w:rPr>
            </w:pPr>
            <w:r w:rsidRPr="007E609C">
              <w:rPr>
                <w:bCs/>
              </w:rPr>
              <w:t>C</w:t>
            </w:r>
            <w:r w:rsidR="00E930BA" w:rsidRPr="00E930BA">
              <w:rPr>
                <w:bCs/>
              </w:rPr>
              <w:t xml:space="preserve">apitate </w:t>
            </w:r>
            <w:r w:rsidRPr="007E609C">
              <w:rPr>
                <w:bCs/>
              </w:rPr>
              <w:t>L</w:t>
            </w:r>
            <w:r w:rsidR="00E930BA" w:rsidRPr="00E930BA">
              <w:rPr>
                <w:bCs/>
              </w:rPr>
              <w:t>ength</w:t>
            </w:r>
          </w:p>
        </w:tc>
        <w:tc>
          <w:tcPr>
            <w:tcW w:w="684" w:type="pct"/>
            <w:tcBorders>
              <w:top w:val="nil"/>
              <w:bottom w:val="nil"/>
            </w:tcBorders>
            <w:shd w:val="clear" w:color="auto" w:fill="FFFFFF"/>
            <w:vAlign w:val="center"/>
          </w:tcPr>
          <w:p w14:paraId="27DBB13A" w14:textId="77777777" w:rsidR="007E609C" w:rsidRPr="007E609C" w:rsidRDefault="007E609C" w:rsidP="007E609C">
            <w:pPr>
              <w:jc w:val="both"/>
            </w:pPr>
            <w:r w:rsidRPr="007E609C">
              <w:t>201</w:t>
            </w:r>
          </w:p>
        </w:tc>
        <w:tc>
          <w:tcPr>
            <w:tcW w:w="715" w:type="pct"/>
            <w:tcBorders>
              <w:top w:val="nil"/>
              <w:bottom w:val="nil"/>
            </w:tcBorders>
            <w:shd w:val="clear" w:color="auto" w:fill="FFFFFF"/>
            <w:vAlign w:val="center"/>
          </w:tcPr>
          <w:p w14:paraId="322AB7B1" w14:textId="77777777" w:rsidR="007E609C" w:rsidRPr="007E609C" w:rsidRDefault="007E609C" w:rsidP="007E609C">
            <w:pPr>
              <w:jc w:val="both"/>
            </w:pPr>
            <w:r w:rsidRPr="007E609C">
              <w:t>2.03</w:t>
            </w:r>
          </w:p>
        </w:tc>
        <w:tc>
          <w:tcPr>
            <w:tcW w:w="735" w:type="pct"/>
            <w:tcBorders>
              <w:top w:val="nil"/>
              <w:bottom w:val="nil"/>
            </w:tcBorders>
            <w:shd w:val="clear" w:color="auto" w:fill="FFFFFF"/>
            <w:vAlign w:val="center"/>
          </w:tcPr>
          <w:p w14:paraId="2BD5CEEE" w14:textId="77777777" w:rsidR="007E609C" w:rsidRPr="007E609C" w:rsidRDefault="007E609C" w:rsidP="007E609C">
            <w:pPr>
              <w:jc w:val="both"/>
            </w:pPr>
            <w:r w:rsidRPr="007E609C">
              <w:t>2.29</w:t>
            </w:r>
          </w:p>
        </w:tc>
        <w:tc>
          <w:tcPr>
            <w:tcW w:w="683" w:type="pct"/>
            <w:tcBorders>
              <w:top w:val="nil"/>
              <w:bottom w:val="nil"/>
            </w:tcBorders>
            <w:shd w:val="clear" w:color="auto" w:fill="FFFFFF"/>
            <w:vAlign w:val="center"/>
          </w:tcPr>
          <w:p w14:paraId="44703AD5" w14:textId="77777777" w:rsidR="007E609C" w:rsidRPr="007E609C" w:rsidRDefault="007E609C" w:rsidP="007E609C">
            <w:pPr>
              <w:jc w:val="both"/>
            </w:pPr>
            <w:r w:rsidRPr="007E609C">
              <w:t>2.1531</w:t>
            </w:r>
          </w:p>
        </w:tc>
        <w:tc>
          <w:tcPr>
            <w:tcW w:w="959" w:type="pct"/>
            <w:tcBorders>
              <w:top w:val="nil"/>
              <w:bottom w:val="nil"/>
            </w:tcBorders>
            <w:shd w:val="clear" w:color="auto" w:fill="FFFFFF"/>
            <w:vAlign w:val="center"/>
          </w:tcPr>
          <w:p w14:paraId="208DC3F7" w14:textId="77777777" w:rsidR="007E609C" w:rsidRPr="007E609C" w:rsidRDefault="007E609C" w:rsidP="007E609C">
            <w:pPr>
              <w:jc w:val="both"/>
            </w:pPr>
            <w:r w:rsidRPr="007E609C">
              <w:t>.05034</w:t>
            </w:r>
          </w:p>
        </w:tc>
      </w:tr>
      <w:tr w:rsidR="007E609C" w:rsidRPr="007E609C" w14:paraId="40AA0CD3" w14:textId="77777777" w:rsidTr="00A06598">
        <w:trPr>
          <w:cantSplit/>
          <w:trHeight w:val="1050"/>
        </w:trPr>
        <w:tc>
          <w:tcPr>
            <w:tcW w:w="1223" w:type="pct"/>
            <w:tcBorders>
              <w:top w:val="nil"/>
              <w:bottom w:val="nil"/>
            </w:tcBorders>
            <w:shd w:val="clear" w:color="auto" w:fill="FFFFFF"/>
            <w:vAlign w:val="center"/>
          </w:tcPr>
          <w:p w14:paraId="132E91F2" w14:textId="310157EC" w:rsidR="007E609C" w:rsidRPr="007E609C" w:rsidRDefault="00E930BA" w:rsidP="007E609C">
            <w:pPr>
              <w:jc w:val="both"/>
              <w:rPr>
                <w:bCs/>
              </w:rPr>
            </w:pPr>
            <w:r w:rsidRPr="00E930BA">
              <w:rPr>
                <w:bCs/>
              </w:rPr>
              <w:t>Lunate Width</w:t>
            </w:r>
          </w:p>
        </w:tc>
        <w:tc>
          <w:tcPr>
            <w:tcW w:w="684" w:type="pct"/>
            <w:tcBorders>
              <w:top w:val="nil"/>
              <w:bottom w:val="nil"/>
            </w:tcBorders>
            <w:shd w:val="clear" w:color="auto" w:fill="FFFFFF"/>
            <w:vAlign w:val="center"/>
          </w:tcPr>
          <w:p w14:paraId="7CA1AB94" w14:textId="77777777" w:rsidR="007E609C" w:rsidRPr="007E609C" w:rsidRDefault="007E609C" w:rsidP="007E609C">
            <w:pPr>
              <w:jc w:val="both"/>
              <w:rPr>
                <w:bCs/>
              </w:rPr>
            </w:pPr>
            <w:r w:rsidRPr="007E609C">
              <w:rPr>
                <w:bCs/>
              </w:rPr>
              <w:t>201</w:t>
            </w:r>
          </w:p>
        </w:tc>
        <w:tc>
          <w:tcPr>
            <w:tcW w:w="715" w:type="pct"/>
            <w:tcBorders>
              <w:top w:val="nil"/>
              <w:bottom w:val="nil"/>
            </w:tcBorders>
            <w:shd w:val="clear" w:color="auto" w:fill="FFFFFF"/>
            <w:vAlign w:val="center"/>
          </w:tcPr>
          <w:p w14:paraId="61405595" w14:textId="77777777" w:rsidR="007E609C" w:rsidRPr="007E609C" w:rsidRDefault="007E609C" w:rsidP="007E609C">
            <w:pPr>
              <w:jc w:val="both"/>
              <w:rPr>
                <w:bCs/>
              </w:rPr>
            </w:pPr>
            <w:r w:rsidRPr="007E609C">
              <w:rPr>
                <w:bCs/>
              </w:rPr>
              <w:t>13.58</w:t>
            </w:r>
          </w:p>
        </w:tc>
        <w:tc>
          <w:tcPr>
            <w:tcW w:w="735" w:type="pct"/>
            <w:tcBorders>
              <w:top w:val="nil"/>
              <w:bottom w:val="nil"/>
            </w:tcBorders>
            <w:shd w:val="clear" w:color="auto" w:fill="FFFFFF"/>
            <w:vAlign w:val="center"/>
          </w:tcPr>
          <w:p w14:paraId="7C20290A" w14:textId="77777777" w:rsidR="007E609C" w:rsidRPr="007E609C" w:rsidRDefault="007E609C" w:rsidP="007E609C">
            <w:pPr>
              <w:jc w:val="both"/>
              <w:rPr>
                <w:bCs/>
              </w:rPr>
            </w:pPr>
            <w:r w:rsidRPr="007E609C">
              <w:rPr>
                <w:bCs/>
              </w:rPr>
              <w:t>14.65</w:t>
            </w:r>
          </w:p>
        </w:tc>
        <w:tc>
          <w:tcPr>
            <w:tcW w:w="683" w:type="pct"/>
            <w:tcBorders>
              <w:top w:val="nil"/>
              <w:bottom w:val="nil"/>
            </w:tcBorders>
            <w:shd w:val="clear" w:color="auto" w:fill="FFFFFF"/>
            <w:vAlign w:val="center"/>
          </w:tcPr>
          <w:p w14:paraId="78D364C2" w14:textId="77777777" w:rsidR="007E609C" w:rsidRPr="007E609C" w:rsidRDefault="007E609C" w:rsidP="007E609C">
            <w:pPr>
              <w:jc w:val="both"/>
              <w:rPr>
                <w:bCs/>
              </w:rPr>
            </w:pPr>
            <w:r w:rsidRPr="007E609C">
              <w:rPr>
                <w:bCs/>
              </w:rPr>
              <w:t>14.0323</w:t>
            </w:r>
          </w:p>
        </w:tc>
        <w:tc>
          <w:tcPr>
            <w:tcW w:w="959" w:type="pct"/>
            <w:tcBorders>
              <w:top w:val="nil"/>
              <w:bottom w:val="nil"/>
            </w:tcBorders>
            <w:shd w:val="clear" w:color="auto" w:fill="FFFFFF"/>
            <w:vAlign w:val="center"/>
          </w:tcPr>
          <w:p w14:paraId="60CD57B1" w14:textId="77777777" w:rsidR="007E609C" w:rsidRPr="007E609C" w:rsidRDefault="007E609C" w:rsidP="007E609C">
            <w:pPr>
              <w:jc w:val="both"/>
              <w:rPr>
                <w:bCs/>
              </w:rPr>
            </w:pPr>
            <w:r w:rsidRPr="007E609C">
              <w:rPr>
                <w:bCs/>
              </w:rPr>
              <w:t>.18948</w:t>
            </w:r>
          </w:p>
        </w:tc>
      </w:tr>
      <w:tr w:rsidR="007E609C" w:rsidRPr="007E609C" w14:paraId="24D54D37" w14:textId="77777777" w:rsidTr="00A06598">
        <w:trPr>
          <w:cantSplit/>
          <w:trHeight w:val="1050"/>
        </w:trPr>
        <w:tc>
          <w:tcPr>
            <w:tcW w:w="1223" w:type="pct"/>
            <w:tcBorders>
              <w:top w:val="nil"/>
              <w:bottom w:val="single" w:sz="4" w:space="0" w:color="auto"/>
            </w:tcBorders>
            <w:shd w:val="clear" w:color="auto" w:fill="FFFFFF"/>
            <w:vAlign w:val="center"/>
          </w:tcPr>
          <w:p w14:paraId="56BAC73A" w14:textId="377B39D1" w:rsidR="007E609C" w:rsidRPr="007E609C" w:rsidRDefault="007E609C" w:rsidP="007E609C">
            <w:pPr>
              <w:jc w:val="both"/>
              <w:rPr>
                <w:bCs/>
              </w:rPr>
            </w:pPr>
            <w:r w:rsidRPr="007E609C">
              <w:rPr>
                <w:bCs/>
              </w:rPr>
              <w:t>S</w:t>
            </w:r>
            <w:r w:rsidR="00E930BA" w:rsidRPr="00E930BA">
              <w:rPr>
                <w:bCs/>
              </w:rPr>
              <w:t xml:space="preserve">capholunate </w:t>
            </w:r>
            <w:r w:rsidRPr="007E609C">
              <w:rPr>
                <w:bCs/>
              </w:rPr>
              <w:t>G</w:t>
            </w:r>
            <w:r w:rsidR="00E930BA" w:rsidRPr="00E930BA">
              <w:rPr>
                <w:bCs/>
              </w:rPr>
              <w:t>ap</w:t>
            </w:r>
            <w:r w:rsidR="00A06598">
              <w:rPr>
                <w:bCs/>
              </w:rPr>
              <w:t xml:space="preserve"> (SLG)</w:t>
            </w:r>
          </w:p>
        </w:tc>
        <w:tc>
          <w:tcPr>
            <w:tcW w:w="684" w:type="pct"/>
            <w:tcBorders>
              <w:top w:val="nil"/>
              <w:bottom w:val="single" w:sz="4" w:space="0" w:color="auto"/>
            </w:tcBorders>
            <w:shd w:val="clear" w:color="auto" w:fill="FFFFFF"/>
            <w:vAlign w:val="center"/>
          </w:tcPr>
          <w:p w14:paraId="5679EE56" w14:textId="77777777" w:rsidR="007E609C" w:rsidRPr="007E609C" w:rsidRDefault="007E609C" w:rsidP="007E609C">
            <w:pPr>
              <w:jc w:val="both"/>
            </w:pPr>
            <w:r w:rsidRPr="007E609C">
              <w:t>201</w:t>
            </w:r>
          </w:p>
        </w:tc>
        <w:tc>
          <w:tcPr>
            <w:tcW w:w="715" w:type="pct"/>
            <w:tcBorders>
              <w:top w:val="nil"/>
              <w:bottom w:val="single" w:sz="4" w:space="0" w:color="auto"/>
            </w:tcBorders>
            <w:shd w:val="clear" w:color="auto" w:fill="FFFFFF"/>
            <w:vAlign w:val="center"/>
          </w:tcPr>
          <w:p w14:paraId="1EB93329" w14:textId="77777777" w:rsidR="007E609C" w:rsidRPr="007E609C" w:rsidRDefault="007E609C" w:rsidP="007E609C">
            <w:pPr>
              <w:jc w:val="both"/>
            </w:pPr>
            <w:r w:rsidRPr="007E609C">
              <w:t>.13</w:t>
            </w:r>
          </w:p>
        </w:tc>
        <w:tc>
          <w:tcPr>
            <w:tcW w:w="735" w:type="pct"/>
            <w:tcBorders>
              <w:top w:val="nil"/>
              <w:bottom w:val="single" w:sz="4" w:space="0" w:color="auto"/>
            </w:tcBorders>
            <w:shd w:val="clear" w:color="auto" w:fill="FFFFFF"/>
            <w:vAlign w:val="center"/>
          </w:tcPr>
          <w:p w14:paraId="41EC5E2C" w14:textId="77777777" w:rsidR="007E609C" w:rsidRPr="007E609C" w:rsidRDefault="007E609C" w:rsidP="007E609C">
            <w:pPr>
              <w:jc w:val="both"/>
            </w:pPr>
            <w:r w:rsidRPr="007E609C">
              <w:t>.27</w:t>
            </w:r>
          </w:p>
        </w:tc>
        <w:tc>
          <w:tcPr>
            <w:tcW w:w="683" w:type="pct"/>
            <w:tcBorders>
              <w:top w:val="nil"/>
              <w:bottom w:val="single" w:sz="4" w:space="0" w:color="auto"/>
            </w:tcBorders>
            <w:shd w:val="clear" w:color="auto" w:fill="FFFFFF"/>
            <w:vAlign w:val="center"/>
          </w:tcPr>
          <w:p w14:paraId="23E59341" w14:textId="77777777" w:rsidR="007E609C" w:rsidRPr="007E609C" w:rsidRDefault="007E609C" w:rsidP="007E609C">
            <w:pPr>
              <w:jc w:val="both"/>
            </w:pPr>
            <w:r w:rsidRPr="007E609C">
              <w:t>.2017</w:t>
            </w:r>
          </w:p>
        </w:tc>
        <w:tc>
          <w:tcPr>
            <w:tcW w:w="959" w:type="pct"/>
            <w:tcBorders>
              <w:top w:val="nil"/>
              <w:bottom w:val="single" w:sz="4" w:space="0" w:color="auto"/>
            </w:tcBorders>
            <w:shd w:val="clear" w:color="auto" w:fill="FFFFFF"/>
            <w:vAlign w:val="center"/>
          </w:tcPr>
          <w:p w14:paraId="394EF337" w14:textId="77777777" w:rsidR="007E609C" w:rsidRPr="007E609C" w:rsidRDefault="007E609C" w:rsidP="007E609C">
            <w:pPr>
              <w:jc w:val="both"/>
            </w:pPr>
            <w:r w:rsidRPr="007E609C">
              <w:t>.02686</w:t>
            </w:r>
          </w:p>
        </w:tc>
      </w:tr>
    </w:tbl>
    <w:p w14:paraId="0AD1E597" w14:textId="77777777" w:rsidR="00161494" w:rsidRPr="009E1196" w:rsidRDefault="00161494" w:rsidP="00161494">
      <w:pPr>
        <w:jc w:val="both"/>
      </w:pPr>
    </w:p>
    <w:p w14:paraId="5702E7B5" w14:textId="31E4E3E7" w:rsidR="00E930BA" w:rsidRDefault="00E930BA" w:rsidP="00A06598">
      <w:pPr>
        <w:jc w:val="both"/>
      </w:pPr>
      <w:r w:rsidRPr="00E930BA">
        <w:rPr>
          <w:bCs/>
        </w:rPr>
        <w:lastRenderedPageBreak/>
        <w:t xml:space="preserve">Table </w:t>
      </w:r>
      <w:r w:rsidR="00A06598">
        <w:rPr>
          <w:bCs/>
        </w:rPr>
        <w:t>3</w:t>
      </w:r>
      <w:r w:rsidRPr="00E930BA">
        <w:rPr>
          <w:bCs/>
        </w:rPr>
        <w:t xml:space="preserve"> </w:t>
      </w:r>
      <w:r w:rsidRPr="00E930BA">
        <w:t xml:space="preserve">shows </w:t>
      </w:r>
      <w:r w:rsidR="00A06598">
        <w:t xml:space="preserve">the distribution of measured parameters among male and female participants. Note </w:t>
      </w:r>
      <w:r w:rsidRPr="00E930BA">
        <w:t xml:space="preserve">that all bone measurements were higher in males than </w:t>
      </w:r>
      <w:r w:rsidR="006A6B64">
        <w:t xml:space="preserve">in </w:t>
      </w:r>
      <w:r w:rsidRPr="00E930BA">
        <w:t xml:space="preserve">females. This reflects natural sexual dimorphism in </w:t>
      </w:r>
      <w:r w:rsidR="00A06598">
        <w:t xml:space="preserve">carpal </w:t>
      </w:r>
      <w:r w:rsidRPr="00E930BA">
        <w:t>bone anatomy. Differences are especially notable in CH and SLG, highlighting larger carpal structures and spacing in males.</w:t>
      </w:r>
    </w:p>
    <w:tbl>
      <w:tblPr>
        <w:tblpPr w:leftFromText="180" w:rightFromText="180" w:vertAnchor="page" w:horzAnchor="margin" w:tblpY="5116"/>
        <w:tblW w:w="4995" w:type="pct"/>
        <w:tblBorders>
          <w:insideH w:val="single" w:sz="4" w:space="0" w:color="auto"/>
        </w:tblBorders>
        <w:tblCellMar>
          <w:left w:w="0" w:type="dxa"/>
          <w:right w:w="0" w:type="dxa"/>
        </w:tblCellMar>
        <w:tblLook w:val="0000" w:firstRow="0" w:lastRow="0" w:firstColumn="0" w:lastColumn="0" w:noHBand="0" w:noVBand="0"/>
      </w:tblPr>
      <w:tblGrid>
        <w:gridCol w:w="899"/>
        <w:gridCol w:w="2085"/>
        <w:gridCol w:w="1257"/>
        <w:gridCol w:w="1315"/>
        <w:gridCol w:w="1352"/>
        <w:gridCol w:w="1257"/>
        <w:gridCol w:w="1186"/>
      </w:tblGrid>
      <w:tr w:rsidR="00A06598" w:rsidRPr="00A06598" w14:paraId="7C3DAB15" w14:textId="77777777" w:rsidTr="00C83AD1">
        <w:trPr>
          <w:cantSplit/>
          <w:trHeight w:val="770"/>
        </w:trPr>
        <w:tc>
          <w:tcPr>
            <w:tcW w:w="1596" w:type="pct"/>
            <w:gridSpan w:val="2"/>
            <w:tcBorders>
              <w:top w:val="single" w:sz="4" w:space="0" w:color="auto"/>
              <w:bottom w:val="single" w:sz="4" w:space="0" w:color="auto"/>
            </w:tcBorders>
            <w:shd w:val="clear" w:color="auto" w:fill="FFFFFF"/>
            <w:vAlign w:val="center"/>
          </w:tcPr>
          <w:p w14:paraId="76818AA2" w14:textId="77777777" w:rsidR="00A06598" w:rsidRPr="00A06598" w:rsidRDefault="00A06598" w:rsidP="00A06598">
            <w:pPr>
              <w:jc w:val="both"/>
              <w:rPr>
                <w:b/>
              </w:rPr>
            </w:pPr>
            <w:r w:rsidRPr="00A06598">
              <w:rPr>
                <w:b/>
              </w:rPr>
              <w:t>SEX</w:t>
            </w:r>
          </w:p>
        </w:tc>
        <w:tc>
          <w:tcPr>
            <w:tcW w:w="672" w:type="pct"/>
            <w:tcBorders>
              <w:top w:val="single" w:sz="4" w:space="0" w:color="auto"/>
              <w:bottom w:val="single" w:sz="4" w:space="0" w:color="auto"/>
            </w:tcBorders>
            <w:shd w:val="clear" w:color="auto" w:fill="FFFFFF"/>
            <w:vAlign w:val="center"/>
          </w:tcPr>
          <w:p w14:paraId="62B05B57" w14:textId="77777777" w:rsidR="00A06598" w:rsidRPr="00A06598" w:rsidRDefault="00A06598" w:rsidP="00A06598">
            <w:pPr>
              <w:jc w:val="both"/>
              <w:rPr>
                <w:b/>
              </w:rPr>
            </w:pPr>
            <w:r w:rsidRPr="00A06598">
              <w:rPr>
                <w:b/>
              </w:rPr>
              <w:t>N</w:t>
            </w:r>
          </w:p>
        </w:tc>
        <w:tc>
          <w:tcPr>
            <w:tcW w:w="703" w:type="pct"/>
            <w:tcBorders>
              <w:top w:val="single" w:sz="4" w:space="0" w:color="auto"/>
              <w:bottom w:val="single" w:sz="4" w:space="0" w:color="auto"/>
            </w:tcBorders>
            <w:shd w:val="clear" w:color="auto" w:fill="FFFFFF"/>
            <w:vAlign w:val="center"/>
          </w:tcPr>
          <w:p w14:paraId="22AD076D" w14:textId="77777777" w:rsidR="00A06598" w:rsidRPr="00A06598" w:rsidRDefault="00A06598" w:rsidP="00A06598">
            <w:pPr>
              <w:jc w:val="both"/>
              <w:rPr>
                <w:b/>
              </w:rPr>
            </w:pPr>
            <w:r w:rsidRPr="00A06598">
              <w:rPr>
                <w:b/>
              </w:rPr>
              <w:t>Minimum</w:t>
            </w:r>
          </w:p>
        </w:tc>
        <w:tc>
          <w:tcPr>
            <w:tcW w:w="723" w:type="pct"/>
            <w:tcBorders>
              <w:top w:val="single" w:sz="4" w:space="0" w:color="auto"/>
              <w:bottom w:val="single" w:sz="4" w:space="0" w:color="auto"/>
            </w:tcBorders>
            <w:shd w:val="clear" w:color="auto" w:fill="FFFFFF"/>
            <w:vAlign w:val="center"/>
          </w:tcPr>
          <w:p w14:paraId="6302ACDF" w14:textId="77777777" w:rsidR="00A06598" w:rsidRPr="00A06598" w:rsidRDefault="00A06598" w:rsidP="00A06598">
            <w:pPr>
              <w:jc w:val="both"/>
              <w:rPr>
                <w:b/>
              </w:rPr>
            </w:pPr>
            <w:r w:rsidRPr="00A06598">
              <w:rPr>
                <w:b/>
              </w:rPr>
              <w:t>Maximum</w:t>
            </w:r>
          </w:p>
        </w:tc>
        <w:tc>
          <w:tcPr>
            <w:tcW w:w="672" w:type="pct"/>
            <w:tcBorders>
              <w:top w:val="single" w:sz="4" w:space="0" w:color="auto"/>
              <w:bottom w:val="single" w:sz="4" w:space="0" w:color="auto"/>
            </w:tcBorders>
            <w:shd w:val="clear" w:color="auto" w:fill="FFFFFF"/>
            <w:vAlign w:val="center"/>
          </w:tcPr>
          <w:p w14:paraId="78AEE3C4" w14:textId="77777777" w:rsidR="00A06598" w:rsidRPr="00A06598" w:rsidRDefault="00A06598" w:rsidP="00A06598">
            <w:pPr>
              <w:jc w:val="both"/>
              <w:rPr>
                <w:b/>
              </w:rPr>
            </w:pPr>
            <w:r w:rsidRPr="00A06598">
              <w:rPr>
                <w:b/>
              </w:rPr>
              <w:t>Mean</w:t>
            </w:r>
          </w:p>
        </w:tc>
        <w:tc>
          <w:tcPr>
            <w:tcW w:w="634" w:type="pct"/>
            <w:tcBorders>
              <w:top w:val="single" w:sz="4" w:space="0" w:color="auto"/>
              <w:bottom w:val="single" w:sz="4" w:space="0" w:color="auto"/>
            </w:tcBorders>
            <w:shd w:val="clear" w:color="auto" w:fill="FFFFFF"/>
            <w:vAlign w:val="center"/>
          </w:tcPr>
          <w:p w14:paraId="6864C099" w14:textId="77777777" w:rsidR="00A06598" w:rsidRPr="00A06598" w:rsidRDefault="00A06598" w:rsidP="00A06598">
            <w:pPr>
              <w:jc w:val="both"/>
              <w:rPr>
                <w:b/>
              </w:rPr>
            </w:pPr>
            <w:r w:rsidRPr="00A06598">
              <w:rPr>
                <w:b/>
              </w:rPr>
              <w:t>Std. Deviation</w:t>
            </w:r>
          </w:p>
        </w:tc>
      </w:tr>
      <w:tr w:rsidR="00A06598" w:rsidRPr="00A06598" w14:paraId="73B28628" w14:textId="77777777" w:rsidTr="00C83AD1">
        <w:trPr>
          <w:cantSplit/>
          <w:trHeight w:val="1250"/>
        </w:trPr>
        <w:tc>
          <w:tcPr>
            <w:tcW w:w="481" w:type="pct"/>
            <w:vMerge w:val="restart"/>
            <w:tcBorders>
              <w:top w:val="nil"/>
              <w:bottom w:val="nil"/>
            </w:tcBorders>
            <w:shd w:val="clear" w:color="auto" w:fill="FFFFFF"/>
            <w:vAlign w:val="center"/>
          </w:tcPr>
          <w:p w14:paraId="64D94E58" w14:textId="77777777" w:rsidR="00A06598" w:rsidRPr="00A06598" w:rsidRDefault="00A06598" w:rsidP="00A06598">
            <w:pPr>
              <w:jc w:val="both"/>
              <w:rPr>
                <w:b/>
              </w:rPr>
            </w:pPr>
            <w:r w:rsidRPr="00A06598">
              <w:rPr>
                <w:b/>
              </w:rPr>
              <w:t>F</w:t>
            </w:r>
          </w:p>
        </w:tc>
        <w:tc>
          <w:tcPr>
            <w:tcW w:w="1115" w:type="pct"/>
            <w:tcBorders>
              <w:top w:val="nil"/>
              <w:bottom w:val="nil"/>
            </w:tcBorders>
            <w:shd w:val="clear" w:color="auto" w:fill="FFFFFF"/>
            <w:vAlign w:val="center"/>
          </w:tcPr>
          <w:p w14:paraId="7F9F80C6" w14:textId="77777777" w:rsidR="00A06598" w:rsidRPr="00A06598" w:rsidRDefault="00A06598" w:rsidP="00A06598">
            <w:pPr>
              <w:jc w:val="both"/>
              <w:rPr>
                <w:b/>
              </w:rPr>
            </w:pPr>
            <w:r w:rsidRPr="00A06598">
              <w:rPr>
                <w:b/>
              </w:rPr>
              <w:t>AGE</w:t>
            </w:r>
          </w:p>
        </w:tc>
        <w:tc>
          <w:tcPr>
            <w:tcW w:w="672" w:type="pct"/>
            <w:tcBorders>
              <w:top w:val="nil"/>
              <w:bottom w:val="nil"/>
            </w:tcBorders>
            <w:shd w:val="clear" w:color="auto" w:fill="FFFFFF"/>
            <w:vAlign w:val="center"/>
          </w:tcPr>
          <w:p w14:paraId="251C20F8" w14:textId="77777777" w:rsidR="00A06598" w:rsidRPr="00A06598" w:rsidRDefault="00A06598" w:rsidP="00A06598">
            <w:pPr>
              <w:jc w:val="both"/>
            </w:pPr>
            <w:r w:rsidRPr="00A06598">
              <w:t>108</w:t>
            </w:r>
          </w:p>
        </w:tc>
        <w:tc>
          <w:tcPr>
            <w:tcW w:w="703" w:type="pct"/>
            <w:tcBorders>
              <w:top w:val="nil"/>
              <w:bottom w:val="nil"/>
            </w:tcBorders>
            <w:shd w:val="clear" w:color="auto" w:fill="FFFFFF"/>
            <w:vAlign w:val="center"/>
          </w:tcPr>
          <w:p w14:paraId="43299971" w14:textId="77777777" w:rsidR="00A06598" w:rsidRPr="00A06598" w:rsidRDefault="00A06598" w:rsidP="00A06598">
            <w:pPr>
              <w:jc w:val="both"/>
            </w:pPr>
            <w:r w:rsidRPr="00A06598">
              <w:t>19</w:t>
            </w:r>
          </w:p>
        </w:tc>
        <w:tc>
          <w:tcPr>
            <w:tcW w:w="723" w:type="pct"/>
            <w:tcBorders>
              <w:top w:val="nil"/>
              <w:bottom w:val="nil"/>
            </w:tcBorders>
            <w:shd w:val="clear" w:color="auto" w:fill="FFFFFF"/>
            <w:vAlign w:val="center"/>
          </w:tcPr>
          <w:p w14:paraId="2DF06B9A" w14:textId="77777777" w:rsidR="00A06598" w:rsidRPr="00A06598" w:rsidRDefault="00A06598" w:rsidP="00A06598">
            <w:pPr>
              <w:jc w:val="both"/>
            </w:pPr>
            <w:r w:rsidRPr="00A06598">
              <w:t>60</w:t>
            </w:r>
          </w:p>
        </w:tc>
        <w:tc>
          <w:tcPr>
            <w:tcW w:w="672" w:type="pct"/>
            <w:tcBorders>
              <w:top w:val="nil"/>
              <w:bottom w:val="nil"/>
            </w:tcBorders>
            <w:shd w:val="clear" w:color="auto" w:fill="FFFFFF"/>
            <w:vAlign w:val="center"/>
          </w:tcPr>
          <w:p w14:paraId="7B5CCDD4" w14:textId="77777777" w:rsidR="00A06598" w:rsidRPr="00A06598" w:rsidRDefault="00A06598" w:rsidP="00A06598">
            <w:pPr>
              <w:jc w:val="both"/>
            </w:pPr>
            <w:r w:rsidRPr="00A06598">
              <w:t>38.69</w:t>
            </w:r>
          </w:p>
        </w:tc>
        <w:tc>
          <w:tcPr>
            <w:tcW w:w="634" w:type="pct"/>
            <w:tcBorders>
              <w:top w:val="nil"/>
              <w:bottom w:val="nil"/>
            </w:tcBorders>
            <w:shd w:val="clear" w:color="auto" w:fill="FFFFFF"/>
            <w:vAlign w:val="center"/>
          </w:tcPr>
          <w:p w14:paraId="32514AE2" w14:textId="77777777" w:rsidR="00A06598" w:rsidRPr="00A06598" w:rsidRDefault="00A06598" w:rsidP="00A06598">
            <w:pPr>
              <w:jc w:val="both"/>
            </w:pPr>
            <w:r w:rsidRPr="00A06598">
              <w:t>11.816</w:t>
            </w:r>
          </w:p>
        </w:tc>
      </w:tr>
      <w:tr w:rsidR="00A06598" w:rsidRPr="00A06598" w14:paraId="6D6672AC" w14:textId="77777777" w:rsidTr="00C83AD1">
        <w:trPr>
          <w:cantSplit/>
          <w:trHeight w:val="571"/>
        </w:trPr>
        <w:tc>
          <w:tcPr>
            <w:tcW w:w="481" w:type="pct"/>
            <w:vMerge/>
            <w:tcBorders>
              <w:top w:val="nil"/>
              <w:bottom w:val="nil"/>
            </w:tcBorders>
            <w:shd w:val="clear" w:color="auto" w:fill="FFFFFF"/>
            <w:vAlign w:val="center"/>
          </w:tcPr>
          <w:p w14:paraId="22D1A65E" w14:textId="77777777" w:rsidR="00A06598" w:rsidRPr="00A06598" w:rsidRDefault="00A06598" w:rsidP="00A06598">
            <w:pPr>
              <w:jc w:val="both"/>
              <w:rPr>
                <w:b/>
              </w:rPr>
            </w:pPr>
          </w:p>
        </w:tc>
        <w:tc>
          <w:tcPr>
            <w:tcW w:w="1115" w:type="pct"/>
            <w:tcBorders>
              <w:top w:val="nil"/>
              <w:bottom w:val="nil"/>
            </w:tcBorders>
            <w:shd w:val="clear" w:color="auto" w:fill="FFFFFF"/>
            <w:vAlign w:val="center"/>
          </w:tcPr>
          <w:p w14:paraId="5FE8251C" w14:textId="77777777" w:rsidR="00A06598" w:rsidRPr="00A06598" w:rsidRDefault="00A06598" w:rsidP="00A06598">
            <w:pPr>
              <w:jc w:val="both"/>
              <w:rPr>
                <w:b/>
              </w:rPr>
            </w:pPr>
            <w:r w:rsidRPr="00A06598">
              <w:rPr>
                <w:b/>
              </w:rPr>
              <w:t>CH</w:t>
            </w:r>
          </w:p>
        </w:tc>
        <w:tc>
          <w:tcPr>
            <w:tcW w:w="672" w:type="pct"/>
            <w:tcBorders>
              <w:top w:val="nil"/>
              <w:bottom w:val="nil"/>
            </w:tcBorders>
            <w:shd w:val="clear" w:color="auto" w:fill="FFFFFF"/>
            <w:vAlign w:val="center"/>
          </w:tcPr>
          <w:p w14:paraId="67E48F84" w14:textId="77777777" w:rsidR="00A06598" w:rsidRPr="00A06598" w:rsidRDefault="00A06598" w:rsidP="00A06598">
            <w:pPr>
              <w:jc w:val="both"/>
            </w:pPr>
            <w:r w:rsidRPr="00A06598">
              <w:t>108</w:t>
            </w:r>
          </w:p>
        </w:tc>
        <w:tc>
          <w:tcPr>
            <w:tcW w:w="703" w:type="pct"/>
            <w:tcBorders>
              <w:top w:val="nil"/>
              <w:bottom w:val="nil"/>
            </w:tcBorders>
            <w:shd w:val="clear" w:color="auto" w:fill="FFFFFF"/>
            <w:vAlign w:val="center"/>
          </w:tcPr>
          <w:p w14:paraId="4662ADD1" w14:textId="77777777" w:rsidR="00A06598" w:rsidRPr="00A06598" w:rsidRDefault="00A06598" w:rsidP="00A06598">
            <w:pPr>
              <w:jc w:val="both"/>
            </w:pPr>
            <w:r w:rsidRPr="00A06598">
              <w:t>2.90</w:t>
            </w:r>
          </w:p>
        </w:tc>
        <w:tc>
          <w:tcPr>
            <w:tcW w:w="723" w:type="pct"/>
            <w:tcBorders>
              <w:top w:val="nil"/>
              <w:bottom w:val="nil"/>
            </w:tcBorders>
            <w:shd w:val="clear" w:color="auto" w:fill="FFFFFF"/>
            <w:vAlign w:val="center"/>
          </w:tcPr>
          <w:p w14:paraId="52B31639" w14:textId="77777777" w:rsidR="00A06598" w:rsidRPr="00A06598" w:rsidRDefault="00A06598" w:rsidP="00A06598">
            <w:pPr>
              <w:jc w:val="both"/>
            </w:pPr>
            <w:r w:rsidRPr="00A06598">
              <w:t>3.36</w:t>
            </w:r>
          </w:p>
        </w:tc>
        <w:tc>
          <w:tcPr>
            <w:tcW w:w="672" w:type="pct"/>
            <w:tcBorders>
              <w:top w:val="nil"/>
              <w:bottom w:val="nil"/>
            </w:tcBorders>
            <w:shd w:val="clear" w:color="auto" w:fill="FFFFFF"/>
            <w:vAlign w:val="center"/>
          </w:tcPr>
          <w:p w14:paraId="3B6866BE" w14:textId="77777777" w:rsidR="00A06598" w:rsidRPr="00A06598" w:rsidRDefault="00A06598" w:rsidP="00A06598">
            <w:pPr>
              <w:jc w:val="both"/>
            </w:pPr>
            <w:r w:rsidRPr="00A06598">
              <w:t>3.1144</w:t>
            </w:r>
          </w:p>
        </w:tc>
        <w:tc>
          <w:tcPr>
            <w:tcW w:w="634" w:type="pct"/>
            <w:tcBorders>
              <w:top w:val="nil"/>
              <w:bottom w:val="nil"/>
            </w:tcBorders>
            <w:shd w:val="clear" w:color="auto" w:fill="FFFFFF"/>
            <w:vAlign w:val="center"/>
          </w:tcPr>
          <w:p w14:paraId="2F3A5F4A" w14:textId="77777777" w:rsidR="00A06598" w:rsidRPr="00A06598" w:rsidRDefault="00A06598" w:rsidP="00A06598">
            <w:pPr>
              <w:jc w:val="both"/>
            </w:pPr>
            <w:r w:rsidRPr="00A06598">
              <w:t>.08863</w:t>
            </w:r>
          </w:p>
        </w:tc>
      </w:tr>
      <w:tr w:rsidR="00A06598" w:rsidRPr="00A06598" w14:paraId="7A5A1299" w14:textId="77777777" w:rsidTr="00C83AD1">
        <w:trPr>
          <w:cantSplit/>
          <w:trHeight w:val="571"/>
        </w:trPr>
        <w:tc>
          <w:tcPr>
            <w:tcW w:w="481" w:type="pct"/>
            <w:vMerge/>
            <w:tcBorders>
              <w:top w:val="nil"/>
              <w:bottom w:val="nil"/>
            </w:tcBorders>
            <w:shd w:val="clear" w:color="auto" w:fill="FFFFFF"/>
            <w:vAlign w:val="center"/>
          </w:tcPr>
          <w:p w14:paraId="0E4A13B1" w14:textId="77777777" w:rsidR="00A06598" w:rsidRPr="00A06598" w:rsidRDefault="00A06598" w:rsidP="00A06598">
            <w:pPr>
              <w:jc w:val="both"/>
              <w:rPr>
                <w:b/>
              </w:rPr>
            </w:pPr>
          </w:p>
        </w:tc>
        <w:tc>
          <w:tcPr>
            <w:tcW w:w="1115" w:type="pct"/>
            <w:tcBorders>
              <w:top w:val="nil"/>
              <w:bottom w:val="nil"/>
            </w:tcBorders>
            <w:shd w:val="clear" w:color="auto" w:fill="FFFFFF"/>
            <w:vAlign w:val="center"/>
          </w:tcPr>
          <w:p w14:paraId="4AE233A8" w14:textId="77777777" w:rsidR="00A06598" w:rsidRPr="00A06598" w:rsidRDefault="00A06598" w:rsidP="00A06598">
            <w:pPr>
              <w:jc w:val="both"/>
              <w:rPr>
                <w:b/>
              </w:rPr>
            </w:pPr>
            <w:r w:rsidRPr="00A06598">
              <w:rPr>
                <w:b/>
              </w:rPr>
              <w:t>CL</w:t>
            </w:r>
          </w:p>
        </w:tc>
        <w:tc>
          <w:tcPr>
            <w:tcW w:w="672" w:type="pct"/>
            <w:tcBorders>
              <w:top w:val="nil"/>
              <w:bottom w:val="nil"/>
            </w:tcBorders>
            <w:shd w:val="clear" w:color="auto" w:fill="FFFFFF"/>
            <w:vAlign w:val="center"/>
          </w:tcPr>
          <w:p w14:paraId="62E4A35F" w14:textId="77777777" w:rsidR="00A06598" w:rsidRPr="00A06598" w:rsidRDefault="00A06598" w:rsidP="00A06598">
            <w:pPr>
              <w:jc w:val="both"/>
            </w:pPr>
            <w:r w:rsidRPr="00A06598">
              <w:t>108</w:t>
            </w:r>
          </w:p>
        </w:tc>
        <w:tc>
          <w:tcPr>
            <w:tcW w:w="703" w:type="pct"/>
            <w:tcBorders>
              <w:top w:val="nil"/>
              <w:bottom w:val="nil"/>
            </w:tcBorders>
            <w:shd w:val="clear" w:color="auto" w:fill="FFFFFF"/>
            <w:vAlign w:val="center"/>
          </w:tcPr>
          <w:p w14:paraId="785C7090" w14:textId="77777777" w:rsidR="00A06598" w:rsidRPr="00A06598" w:rsidRDefault="00A06598" w:rsidP="00A06598">
            <w:pPr>
              <w:jc w:val="both"/>
            </w:pPr>
            <w:r w:rsidRPr="00A06598">
              <w:t>2.03</w:t>
            </w:r>
          </w:p>
        </w:tc>
        <w:tc>
          <w:tcPr>
            <w:tcW w:w="723" w:type="pct"/>
            <w:tcBorders>
              <w:top w:val="nil"/>
              <w:bottom w:val="nil"/>
            </w:tcBorders>
            <w:shd w:val="clear" w:color="auto" w:fill="FFFFFF"/>
            <w:vAlign w:val="center"/>
          </w:tcPr>
          <w:p w14:paraId="0D574A96" w14:textId="77777777" w:rsidR="00A06598" w:rsidRPr="00A06598" w:rsidRDefault="00A06598" w:rsidP="00A06598">
            <w:pPr>
              <w:jc w:val="both"/>
            </w:pPr>
            <w:r w:rsidRPr="00A06598">
              <w:t>2.28</w:t>
            </w:r>
          </w:p>
        </w:tc>
        <w:tc>
          <w:tcPr>
            <w:tcW w:w="672" w:type="pct"/>
            <w:tcBorders>
              <w:top w:val="nil"/>
              <w:bottom w:val="nil"/>
            </w:tcBorders>
            <w:shd w:val="clear" w:color="auto" w:fill="FFFFFF"/>
            <w:vAlign w:val="center"/>
          </w:tcPr>
          <w:p w14:paraId="68D52326" w14:textId="77777777" w:rsidR="00A06598" w:rsidRPr="00A06598" w:rsidRDefault="00A06598" w:rsidP="00A06598">
            <w:pPr>
              <w:jc w:val="both"/>
            </w:pPr>
            <w:r w:rsidRPr="00A06598">
              <w:t>2.1418</w:t>
            </w:r>
          </w:p>
        </w:tc>
        <w:tc>
          <w:tcPr>
            <w:tcW w:w="634" w:type="pct"/>
            <w:tcBorders>
              <w:top w:val="nil"/>
              <w:bottom w:val="nil"/>
            </w:tcBorders>
            <w:shd w:val="clear" w:color="auto" w:fill="FFFFFF"/>
            <w:vAlign w:val="center"/>
          </w:tcPr>
          <w:p w14:paraId="53B24DA8" w14:textId="77777777" w:rsidR="00A06598" w:rsidRPr="00A06598" w:rsidRDefault="00A06598" w:rsidP="00A06598">
            <w:pPr>
              <w:jc w:val="both"/>
            </w:pPr>
            <w:r w:rsidRPr="00A06598">
              <w:t>.04887</w:t>
            </w:r>
          </w:p>
        </w:tc>
      </w:tr>
      <w:tr w:rsidR="00A06598" w:rsidRPr="00A06598" w14:paraId="592E8408" w14:textId="77777777" w:rsidTr="00C83AD1">
        <w:trPr>
          <w:cantSplit/>
          <w:trHeight w:val="571"/>
        </w:trPr>
        <w:tc>
          <w:tcPr>
            <w:tcW w:w="481" w:type="pct"/>
            <w:vMerge/>
            <w:tcBorders>
              <w:top w:val="nil"/>
              <w:bottom w:val="nil"/>
            </w:tcBorders>
            <w:shd w:val="clear" w:color="auto" w:fill="FFFFFF"/>
            <w:vAlign w:val="center"/>
          </w:tcPr>
          <w:p w14:paraId="6C887F5A" w14:textId="77777777" w:rsidR="00A06598" w:rsidRPr="00A06598" w:rsidRDefault="00A06598" w:rsidP="00A06598">
            <w:pPr>
              <w:jc w:val="both"/>
              <w:rPr>
                <w:b/>
              </w:rPr>
            </w:pPr>
          </w:p>
        </w:tc>
        <w:tc>
          <w:tcPr>
            <w:tcW w:w="1115" w:type="pct"/>
            <w:tcBorders>
              <w:top w:val="nil"/>
              <w:bottom w:val="nil"/>
            </w:tcBorders>
            <w:shd w:val="clear" w:color="auto" w:fill="FFFFFF"/>
            <w:vAlign w:val="center"/>
          </w:tcPr>
          <w:p w14:paraId="4B8A7EA1" w14:textId="77777777" w:rsidR="00A06598" w:rsidRPr="00A06598" w:rsidRDefault="00A06598" w:rsidP="00A06598">
            <w:pPr>
              <w:jc w:val="both"/>
              <w:rPr>
                <w:b/>
              </w:rPr>
            </w:pPr>
            <w:r w:rsidRPr="00A06598">
              <w:rPr>
                <w:b/>
              </w:rPr>
              <w:t>LW</w:t>
            </w:r>
          </w:p>
        </w:tc>
        <w:tc>
          <w:tcPr>
            <w:tcW w:w="672" w:type="pct"/>
            <w:tcBorders>
              <w:top w:val="nil"/>
              <w:bottom w:val="nil"/>
            </w:tcBorders>
            <w:shd w:val="clear" w:color="auto" w:fill="FFFFFF"/>
            <w:vAlign w:val="center"/>
          </w:tcPr>
          <w:p w14:paraId="1B28C5BA" w14:textId="77777777" w:rsidR="00A06598" w:rsidRPr="00A06598" w:rsidRDefault="00A06598" w:rsidP="00A06598">
            <w:pPr>
              <w:jc w:val="both"/>
            </w:pPr>
            <w:r w:rsidRPr="00A06598">
              <w:t>108</w:t>
            </w:r>
          </w:p>
        </w:tc>
        <w:tc>
          <w:tcPr>
            <w:tcW w:w="703" w:type="pct"/>
            <w:tcBorders>
              <w:top w:val="nil"/>
              <w:bottom w:val="nil"/>
            </w:tcBorders>
            <w:shd w:val="clear" w:color="auto" w:fill="FFFFFF"/>
            <w:vAlign w:val="center"/>
          </w:tcPr>
          <w:p w14:paraId="06361EE1" w14:textId="77777777" w:rsidR="00A06598" w:rsidRPr="00A06598" w:rsidRDefault="00A06598" w:rsidP="00A06598">
            <w:pPr>
              <w:jc w:val="both"/>
            </w:pPr>
            <w:r w:rsidRPr="00A06598">
              <w:t>13.58</w:t>
            </w:r>
          </w:p>
        </w:tc>
        <w:tc>
          <w:tcPr>
            <w:tcW w:w="723" w:type="pct"/>
            <w:tcBorders>
              <w:top w:val="nil"/>
              <w:bottom w:val="nil"/>
            </w:tcBorders>
            <w:shd w:val="clear" w:color="auto" w:fill="FFFFFF"/>
            <w:vAlign w:val="center"/>
          </w:tcPr>
          <w:p w14:paraId="654B5AF4" w14:textId="77777777" w:rsidR="00A06598" w:rsidRPr="00A06598" w:rsidRDefault="00A06598" w:rsidP="00A06598">
            <w:pPr>
              <w:jc w:val="both"/>
            </w:pPr>
            <w:r w:rsidRPr="00A06598">
              <w:t>14.51</w:t>
            </w:r>
          </w:p>
        </w:tc>
        <w:tc>
          <w:tcPr>
            <w:tcW w:w="672" w:type="pct"/>
            <w:tcBorders>
              <w:top w:val="nil"/>
              <w:bottom w:val="nil"/>
            </w:tcBorders>
            <w:shd w:val="clear" w:color="auto" w:fill="FFFFFF"/>
            <w:vAlign w:val="center"/>
          </w:tcPr>
          <w:p w14:paraId="16ED2BD8" w14:textId="77777777" w:rsidR="00A06598" w:rsidRPr="00A06598" w:rsidRDefault="00A06598" w:rsidP="00A06598">
            <w:pPr>
              <w:jc w:val="both"/>
            </w:pPr>
            <w:r w:rsidRPr="00A06598">
              <w:t>14.0058</w:t>
            </w:r>
          </w:p>
        </w:tc>
        <w:tc>
          <w:tcPr>
            <w:tcW w:w="634" w:type="pct"/>
            <w:tcBorders>
              <w:top w:val="nil"/>
              <w:bottom w:val="nil"/>
            </w:tcBorders>
            <w:shd w:val="clear" w:color="auto" w:fill="FFFFFF"/>
            <w:vAlign w:val="center"/>
          </w:tcPr>
          <w:p w14:paraId="23B7B1D8" w14:textId="77777777" w:rsidR="00A06598" w:rsidRPr="00A06598" w:rsidRDefault="00A06598" w:rsidP="00A06598">
            <w:pPr>
              <w:jc w:val="both"/>
            </w:pPr>
            <w:r w:rsidRPr="00A06598">
              <w:t>.18483</w:t>
            </w:r>
          </w:p>
        </w:tc>
      </w:tr>
      <w:tr w:rsidR="00A06598" w:rsidRPr="00A06598" w14:paraId="7E5C4A4D" w14:textId="77777777" w:rsidTr="00C83AD1">
        <w:trPr>
          <w:cantSplit/>
          <w:trHeight w:val="571"/>
        </w:trPr>
        <w:tc>
          <w:tcPr>
            <w:tcW w:w="481" w:type="pct"/>
            <w:vMerge/>
            <w:tcBorders>
              <w:top w:val="nil"/>
              <w:bottom w:val="nil"/>
            </w:tcBorders>
            <w:shd w:val="clear" w:color="auto" w:fill="FFFFFF"/>
            <w:vAlign w:val="center"/>
          </w:tcPr>
          <w:p w14:paraId="688C1B91" w14:textId="77777777" w:rsidR="00A06598" w:rsidRPr="00A06598" w:rsidRDefault="00A06598" w:rsidP="00A06598">
            <w:pPr>
              <w:jc w:val="both"/>
              <w:rPr>
                <w:b/>
              </w:rPr>
            </w:pPr>
          </w:p>
        </w:tc>
        <w:tc>
          <w:tcPr>
            <w:tcW w:w="1115" w:type="pct"/>
            <w:tcBorders>
              <w:top w:val="nil"/>
              <w:bottom w:val="nil"/>
            </w:tcBorders>
            <w:shd w:val="clear" w:color="auto" w:fill="FFFFFF"/>
            <w:vAlign w:val="center"/>
          </w:tcPr>
          <w:p w14:paraId="620A82C2" w14:textId="77777777" w:rsidR="00A06598" w:rsidRPr="00A06598" w:rsidRDefault="00A06598" w:rsidP="00A06598">
            <w:pPr>
              <w:jc w:val="both"/>
              <w:rPr>
                <w:b/>
              </w:rPr>
            </w:pPr>
            <w:r w:rsidRPr="00A06598">
              <w:rPr>
                <w:b/>
              </w:rPr>
              <w:t>SLG</w:t>
            </w:r>
          </w:p>
        </w:tc>
        <w:tc>
          <w:tcPr>
            <w:tcW w:w="672" w:type="pct"/>
            <w:tcBorders>
              <w:top w:val="nil"/>
              <w:bottom w:val="nil"/>
            </w:tcBorders>
            <w:shd w:val="clear" w:color="auto" w:fill="FFFFFF"/>
            <w:vAlign w:val="center"/>
          </w:tcPr>
          <w:p w14:paraId="48473AB2" w14:textId="77777777" w:rsidR="00A06598" w:rsidRPr="00A06598" w:rsidRDefault="00A06598" w:rsidP="00A06598">
            <w:pPr>
              <w:jc w:val="both"/>
            </w:pPr>
            <w:r w:rsidRPr="00A06598">
              <w:t>108</w:t>
            </w:r>
          </w:p>
        </w:tc>
        <w:tc>
          <w:tcPr>
            <w:tcW w:w="703" w:type="pct"/>
            <w:tcBorders>
              <w:top w:val="nil"/>
              <w:bottom w:val="nil"/>
            </w:tcBorders>
            <w:shd w:val="clear" w:color="auto" w:fill="FFFFFF"/>
            <w:vAlign w:val="center"/>
          </w:tcPr>
          <w:p w14:paraId="6FA39FEB" w14:textId="77777777" w:rsidR="00A06598" w:rsidRPr="00A06598" w:rsidRDefault="00A06598" w:rsidP="00A06598">
            <w:pPr>
              <w:jc w:val="both"/>
            </w:pPr>
            <w:r w:rsidRPr="00A06598">
              <w:t>.13</w:t>
            </w:r>
          </w:p>
        </w:tc>
        <w:tc>
          <w:tcPr>
            <w:tcW w:w="723" w:type="pct"/>
            <w:tcBorders>
              <w:top w:val="nil"/>
              <w:bottom w:val="nil"/>
            </w:tcBorders>
            <w:shd w:val="clear" w:color="auto" w:fill="FFFFFF"/>
            <w:vAlign w:val="center"/>
          </w:tcPr>
          <w:p w14:paraId="733AF1BB" w14:textId="77777777" w:rsidR="00A06598" w:rsidRPr="00A06598" w:rsidRDefault="00A06598" w:rsidP="00A06598">
            <w:pPr>
              <w:jc w:val="both"/>
            </w:pPr>
            <w:r w:rsidRPr="00A06598">
              <w:t>.24</w:t>
            </w:r>
          </w:p>
        </w:tc>
        <w:tc>
          <w:tcPr>
            <w:tcW w:w="672" w:type="pct"/>
            <w:tcBorders>
              <w:top w:val="nil"/>
              <w:bottom w:val="nil"/>
            </w:tcBorders>
            <w:shd w:val="clear" w:color="auto" w:fill="FFFFFF"/>
            <w:vAlign w:val="center"/>
          </w:tcPr>
          <w:p w14:paraId="37587A69" w14:textId="77777777" w:rsidR="00A06598" w:rsidRPr="00A06598" w:rsidRDefault="00A06598" w:rsidP="00A06598">
            <w:pPr>
              <w:jc w:val="both"/>
            </w:pPr>
            <w:r w:rsidRPr="00A06598">
              <w:t>.1847</w:t>
            </w:r>
          </w:p>
        </w:tc>
        <w:tc>
          <w:tcPr>
            <w:tcW w:w="634" w:type="pct"/>
            <w:tcBorders>
              <w:top w:val="nil"/>
              <w:bottom w:val="nil"/>
            </w:tcBorders>
            <w:shd w:val="clear" w:color="auto" w:fill="FFFFFF"/>
            <w:vAlign w:val="center"/>
          </w:tcPr>
          <w:p w14:paraId="585CE223" w14:textId="77777777" w:rsidR="00A06598" w:rsidRPr="00A06598" w:rsidRDefault="00A06598" w:rsidP="00A06598">
            <w:pPr>
              <w:jc w:val="both"/>
            </w:pPr>
            <w:r w:rsidRPr="00A06598">
              <w:t>.02025</w:t>
            </w:r>
          </w:p>
        </w:tc>
      </w:tr>
      <w:tr w:rsidR="00A06598" w:rsidRPr="00A06598" w14:paraId="1C29ADCC" w14:textId="77777777" w:rsidTr="00C83AD1">
        <w:trPr>
          <w:cantSplit/>
          <w:trHeight w:val="1250"/>
        </w:trPr>
        <w:tc>
          <w:tcPr>
            <w:tcW w:w="481" w:type="pct"/>
            <w:vMerge w:val="restart"/>
            <w:tcBorders>
              <w:top w:val="nil"/>
              <w:bottom w:val="nil"/>
            </w:tcBorders>
            <w:shd w:val="clear" w:color="auto" w:fill="FFFFFF"/>
            <w:vAlign w:val="center"/>
          </w:tcPr>
          <w:p w14:paraId="359B7A43" w14:textId="77777777" w:rsidR="00A06598" w:rsidRPr="00A06598" w:rsidRDefault="00A06598" w:rsidP="00A06598">
            <w:pPr>
              <w:jc w:val="both"/>
              <w:rPr>
                <w:b/>
              </w:rPr>
            </w:pPr>
            <w:r w:rsidRPr="00A06598">
              <w:rPr>
                <w:b/>
              </w:rPr>
              <w:t>M</w:t>
            </w:r>
          </w:p>
        </w:tc>
        <w:tc>
          <w:tcPr>
            <w:tcW w:w="1115" w:type="pct"/>
            <w:tcBorders>
              <w:top w:val="nil"/>
              <w:bottom w:val="nil"/>
            </w:tcBorders>
            <w:shd w:val="clear" w:color="auto" w:fill="FFFFFF"/>
            <w:vAlign w:val="center"/>
          </w:tcPr>
          <w:p w14:paraId="28AE33C8" w14:textId="77777777" w:rsidR="00A06598" w:rsidRPr="00A06598" w:rsidRDefault="00A06598" w:rsidP="00A06598">
            <w:pPr>
              <w:jc w:val="both"/>
              <w:rPr>
                <w:b/>
              </w:rPr>
            </w:pPr>
            <w:r w:rsidRPr="00A06598">
              <w:rPr>
                <w:b/>
              </w:rPr>
              <w:t>AGE</w:t>
            </w:r>
          </w:p>
        </w:tc>
        <w:tc>
          <w:tcPr>
            <w:tcW w:w="672" w:type="pct"/>
            <w:tcBorders>
              <w:top w:val="nil"/>
              <w:bottom w:val="nil"/>
            </w:tcBorders>
            <w:shd w:val="clear" w:color="auto" w:fill="FFFFFF"/>
            <w:vAlign w:val="center"/>
          </w:tcPr>
          <w:p w14:paraId="3E055886" w14:textId="77777777" w:rsidR="00A06598" w:rsidRPr="00A06598" w:rsidRDefault="00A06598" w:rsidP="00A06598">
            <w:pPr>
              <w:jc w:val="both"/>
            </w:pPr>
            <w:r w:rsidRPr="00A06598">
              <w:t>93</w:t>
            </w:r>
          </w:p>
        </w:tc>
        <w:tc>
          <w:tcPr>
            <w:tcW w:w="703" w:type="pct"/>
            <w:tcBorders>
              <w:top w:val="nil"/>
              <w:bottom w:val="nil"/>
            </w:tcBorders>
            <w:shd w:val="clear" w:color="auto" w:fill="FFFFFF"/>
            <w:vAlign w:val="center"/>
          </w:tcPr>
          <w:p w14:paraId="6E21D07D" w14:textId="77777777" w:rsidR="00A06598" w:rsidRPr="00A06598" w:rsidRDefault="00A06598" w:rsidP="00A06598">
            <w:pPr>
              <w:jc w:val="both"/>
            </w:pPr>
            <w:r w:rsidRPr="00A06598">
              <w:t>18</w:t>
            </w:r>
          </w:p>
        </w:tc>
        <w:tc>
          <w:tcPr>
            <w:tcW w:w="723" w:type="pct"/>
            <w:tcBorders>
              <w:top w:val="nil"/>
              <w:bottom w:val="nil"/>
            </w:tcBorders>
            <w:shd w:val="clear" w:color="auto" w:fill="FFFFFF"/>
            <w:vAlign w:val="center"/>
          </w:tcPr>
          <w:p w14:paraId="22483403" w14:textId="77777777" w:rsidR="00A06598" w:rsidRPr="00A06598" w:rsidRDefault="00A06598" w:rsidP="00A06598">
            <w:pPr>
              <w:jc w:val="both"/>
            </w:pPr>
            <w:r w:rsidRPr="00A06598">
              <w:t>59</w:t>
            </w:r>
          </w:p>
        </w:tc>
        <w:tc>
          <w:tcPr>
            <w:tcW w:w="672" w:type="pct"/>
            <w:tcBorders>
              <w:top w:val="nil"/>
              <w:bottom w:val="nil"/>
            </w:tcBorders>
            <w:shd w:val="clear" w:color="auto" w:fill="FFFFFF"/>
            <w:vAlign w:val="center"/>
          </w:tcPr>
          <w:p w14:paraId="47002072" w14:textId="77777777" w:rsidR="00A06598" w:rsidRPr="00A06598" w:rsidRDefault="00A06598" w:rsidP="00A06598">
            <w:pPr>
              <w:jc w:val="both"/>
            </w:pPr>
            <w:r w:rsidRPr="00A06598">
              <w:t>37.20</w:t>
            </w:r>
          </w:p>
        </w:tc>
        <w:tc>
          <w:tcPr>
            <w:tcW w:w="634" w:type="pct"/>
            <w:tcBorders>
              <w:top w:val="nil"/>
              <w:bottom w:val="nil"/>
            </w:tcBorders>
            <w:shd w:val="clear" w:color="auto" w:fill="FFFFFF"/>
            <w:vAlign w:val="center"/>
          </w:tcPr>
          <w:p w14:paraId="6AE98895" w14:textId="77777777" w:rsidR="00A06598" w:rsidRPr="00A06598" w:rsidRDefault="00A06598" w:rsidP="00A06598">
            <w:pPr>
              <w:jc w:val="both"/>
            </w:pPr>
            <w:r w:rsidRPr="00A06598">
              <w:t>11.186</w:t>
            </w:r>
          </w:p>
        </w:tc>
      </w:tr>
      <w:tr w:rsidR="00A06598" w:rsidRPr="00A06598" w14:paraId="74687619" w14:textId="77777777" w:rsidTr="00C83AD1">
        <w:trPr>
          <w:cantSplit/>
          <w:trHeight w:val="571"/>
        </w:trPr>
        <w:tc>
          <w:tcPr>
            <w:tcW w:w="481" w:type="pct"/>
            <w:vMerge/>
            <w:tcBorders>
              <w:top w:val="nil"/>
              <w:bottom w:val="nil"/>
            </w:tcBorders>
            <w:shd w:val="clear" w:color="auto" w:fill="FFFFFF"/>
            <w:vAlign w:val="center"/>
          </w:tcPr>
          <w:p w14:paraId="05FD33B8" w14:textId="77777777" w:rsidR="00A06598" w:rsidRPr="00A06598" w:rsidRDefault="00A06598" w:rsidP="00A06598">
            <w:pPr>
              <w:jc w:val="both"/>
            </w:pPr>
          </w:p>
        </w:tc>
        <w:tc>
          <w:tcPr>
            <w:tcW w:w="1115" w:type="pct"/>
            <w:tcBorders>
              <w:top w:val="nil"/>
              <w:bottom w:val="nil"/>
            </w:tcBorders>
            <w:shd w:val="clear" w:color="auto" w:fill="FFFFFF"/>
            <w:vAlign w:val="center"/>
          </w:tcPr>
          <w:p w14:paraId="5DB5CDB1" w14:textId="77777777" w:rsidR="00A06598" w:rsidRPr="00A06598" w:rsidRDefault="00A06598" w:rsidP="00A06598">
            <w:pPr>
              <w:jc w:val="both"/>
              <w:rPr>
                <w:b/>
              </w:rPr>
            </w:pPr>
            <w:r w:rsidRPr="00A06598">
              <w:rPr>
                <w:b/>
              </w:rPr>
              <w:t>CH</w:t>
            </w:r>
          </w:p>
        </w:tc>
        <w:tc>
          <w:tcPr>
            <w:tcW w:w="672" w:type="pct"/>
            <w:tcBorders>
              <w:top w:val="nil"/>
              <w:bottom w:val="nil"/>
            </w:tcBorders>
            <w:shd w:val="clear" w:color="auto" w:fill="FFFFFF"/>
            <w:vAlign w:val="center"/>
          </w:tcPr>
          <w:p w14:paraId="22A0F3D1" w14:textId="77777777" w:rsidR="00A06598" w:rsidRPr="00A06598" w:rsidRDefault="00A06598" w:rsidP="00A06598">
            <w:pPr>
              <w:jc w:val="both"/>
            </w:pPr>
            <w:r w:rsidRPr="00A06598">
              <w:t>93</w:t>
            </w:r>
          </w:p>
        </w:tc>
        <w:tc>
          <w:tcPr>
            <w:tcW w:w="703" w:type="pct"/>
            <w:tcBorders>
              <w:top w:val="nil"/>
              <w:bottom w:val="nil"/>
            </w:tcBorders>
            <w:shd w:val="clear" w:color="auto" w:fill="FFFFFF"/>
            <w:vAlign w:val="center"/>
          </w:tcPr>
          <w:p w14:paraId="13B65DB7" w14:textId="77777777" w:rsidR="00A06598" w:rsidRPr="00A06598" w:rsidRDefault="00A06598" w:rsidP="00A06598">
            <w:pPr>
              <w:jc w:val="both"/>
            </w:pPr>
            <w:r w:rsidRPr="00A06598">
              <w:t>3.06</w:t>
            </w:r>
          </w:p>
        </w:tc>
        <w:tc>
          <w:tcPr>
            <w:tcW w:w="723" w:type="pct"/>
            <w:tcBorders>
              <w:top w:val="nil"/>
              <w:bottom w:val="nil"/>
            </w:tcBorders>
            <w:shd w:val="clear" w:color="auto" w:fill="FFFFFF"/>
            <w:vAlign w:val="center"/>
          </w:tcPr>
          <w:p w14:paraId="5635DF37" w14:textId="77777777" w:rsidR="00A06598" w:rsidRPr="00A06598" w:rsidRDefault="00A06598" w:rsidP="00A06598">
            <w:pPr>
              <w:jc w:val="both"/>
            </w:pPr>
            <w:r w:rsidRPr="00A06598">
              <w:t>3.61</w:t>
            </w:r>
          </w:p>
        </w:tc>
        <w:tc>
          <w:tcPr>
            <w:tcW w:w="672" w:type="pct"/>
            <w:tcBorders>
              <w:top w:val="nil"/>
              <w:bottom w:val="nil"/>
            </w:tcBorders>
            <w:shd w:val="clear" w:color="auto" w:fill="FFFFFF"/>
            <w:vAlign w:val="center"/>
          </w:tcPr>
          <w:p w14:paraId="6BC1217C" w14:textId="77777777" w:rsidR="00A06598" w:rsidRPr="00A06598" w:rsidRDefault="00A06598" w:rsidP="00A06598">
            <w:pPr>
              <w:jc w:val="both"/>
            </w:pPr>
            <w:r w:rsidRPr="00A06598">
              <w:t>3.3328</w:t>
            </w:r>
          </w:p>
        </w:tc>
        <w:tc>
          <w:tcPr>
            <w:tcW w:w="634" w:type="pct"/>
            <w:tcBorders>
              <w:top w:val="nil"/>
              <w:bottom w:val="nil"/>
            </w:tcBorders>
            <w:shd w:val="clear" w:color="auto" w:fill="FFFFFF"/>
            <w:vAlign w:val="center"/>
          </w:tcPr>
          <w:p w14:paraId="6B2E9073" w14:textId="77777777" w:rsidR="00A06598" w:rsidRPr="00A06598" w:rsidRDefault="00A06598" w:rsidP="00A06598">
            <w:pPr>
              <w:jc w:val="both"/>
            </w:pPr>
            <w:r w:rsidRPr="00A06598">
              <w:t>.10517</w:t>
            </w:r>
          </w:p>
        </w:tc>
      </w:tr>
      <w:tr w:rsidR="00A06598" w:rsidRPr="00A06598" w14:paraId="72999421" w14:textId="77777777" w:rsidTr="00C83AD1">
        <w:trPr>
          <w:cantSplit/>
          <w:trHeight w:val="571"/>
        </w:trPr>
        <w:tc>
          <w:tcPr>
            <w:tcW w:w="481" w:type="pct"/>
            <w:vMerge/>
            <w:tcBorders>
              <w:top w:val="nil"/>
              <w:bottom w:val="nil"/>
            </w:tcBorders>
            <w:shd w:val="clear" w:color="auto" w:fill="FFFFFF"/>
            <w:vAlign w:val="center"/>
          </w:tcPr>
          <w:p w14:paraId="668793B1" w14:textId="77777777" w:rsidR="00A06598" w:rsidRPr="00A06598" w:rsidRDefault="00A06598" w:rsidP="00A06598">
            <w:pPr>
              <w:jc w:val="both"/>
            </w:pPr>
          </w:p>
        </w:tc>
        <w:tc>
          <w:tcPr>
            <w:tcW w:w="1115" w:type="pct"/>
            <w:tcBorders>
              <w:top w:val="nil"/>
              <w:bottom w:val="nil"/>
            </w:tcBorders>
            <w:shd w:val="clear" w:color="auto" w:fill="FFFFFF"/>
            <w:vAlign w:val="center"/>
          </w:tcPr>
          <w:p w14:paraId="7A39DBD1" w14:textId="77777777" w:rsidR="00A06598" w:rsidRPr="00A06598" w:rsidRDefault="00A06598" w:rsidP="00A06598">
            <w:pPr>
              <w:jc w:val="both"/>
              <w:rPr>
                <w:b/>
              </w:rPr>
            </w:pPr>
            <w:r w:rsidRPr="00A06598">
              <w:rPr>
                <w:b/>
              </w:rPr>
              <w:t>CL</w:t>
            </w:r>
          </w:p>
        </w:tc>
        <w:tc>
          <w:tcPr>
            <w:tcW w:w="672" w:type="pct"/>
            <w:tcBorders>
              <w:top w:val="nil"/>
              <w:bottom w:val="nil"/>
            </w:tcBorders>
            <w:shd w:val="clear" w:color="auto" w:fill="FFFFFF"/>
            <w:vAlign w:val="center"/>
          </w:tcPr>
          <w:p w14:paraId="18B2DE0F" w14:textId="77777777" w:rsidR="00A06598" w:rsidRPr="00A06598" w:rsidRDefault="00A06598" w:rsidP="00A06598">
            <w:pPr>
              <w:jc w:val="both"/>
            </w:pPr>
            <w:r w:rsidRPr="00A06598">
              <w:t>93</w:t>
            </w:r>
          </w:p>
        </w:tc>
        <w:tc>
          <w:tcPr>
            <w:tcW w:w="703" w:type="pct"/>
            <w:tcBorders>
              <w:top w:val="nil"/>
              <w:bottom w:val="nil"/>
            </w:tcBorders>
            <w:shd w:val="clear" w:color="auto" w:fill="FFFFFF"/>
            <w:vAlign w:val="center"/>
          </w:tcPr>
          <w:p w14:paraId="20FDA61D" w14:textId="77777777" w:rsidR="00A06598" w:rsidRPr="00A06598" w:rsidRDefault="00A06598" w:rsidP="00A06598">
            <w:pPr>
              <w:jc w:val="both"/>
            </w:pPr>
            <w:r w:rsidRPr="00A06598">
              <w:t>2.06</w:t>
            </w:r>
          </w:p>
        </w:tc>
        <w:tc>
          <w:tcPr>
            <w:tcW w:w="723" w:type="pct"/>
            <w:tcBorders>
              <w:top w:val="nil"/>
              <w:bottom w:val="nil"/>
            </w:tcBorders>
            <w:shd w:val="clear" w:color="auto" w:fill="FFFFFF"/>
            <w:vAlign w:val="center"/>
          </w:tcPr>
          <w:p w14:paraId="3DDA7702" w14:textId="77777777" w:rsidR="00A06598" w:rsidRPr="00A06598" w:rsidRDefault="00A06598" w:rsidP="00A06598">
            <w:pPr>
              <w:jc w:val="both"/>
            </w:pPr>
            <w:r w:rsidRPr="00A06598">
              <w:t>2.29</w:t>
            </w:r>
          </w:p>
        </w:tc>
        <w:tc>
          <w:tcPr>
            <w:tcW w:w="672" w:type="pct"/>
            <w:tcBorders>
              <w:top w:val="nil"/>
              <w:bottom w:val="nil"/>
            </w:tcBorders>
            <w:shd w:val="clear" w:color="auto" w:fill="FFFFFF"/>
            <w:vAlign w:val="center"/>
          </w:tcPr>
          <w:p w14:paraId="011464B7" w14:textId="77777777" w:rsidR="00A06598" w:rsidRPr="00A06598" w:rsidRDefault="00A06598" w:rsidP="00A06598">
            <w:pPr>
              <w:jc w:val="both"/>
            </w:pPr>
            <w:r w:rsidRPr="00A06598">
              <w:t>2.1663</w:t>
            </w:r>
          </w:p>
        </w:tc>
        <w:tc>
          <w:tcPr>
            <w:tcW w:w="634" w:type="pct"/>
            <w:tcBorders>
              <w:top w:val="nil"/>
              <w:bottom w:val="nil"/>
            </w:tcBorders>
            <w:shd w:val="clear" w:color="auto" w:fill="FFFFFF"/>
            <w:vAlign w:val="center"/>
          </w:tcPr>
          <w:p w14:paraId="066883EB" w14:textId="77777777" w:rsidR="00A06598" w:rsidRPr="00A06598" w:rsidRDefault="00A06598" w:rsidP="00A06598">
            <w:pPr>
              <w:jc w:val="both"/>
            </w:pPr>
            <w:r w:rsidRPr="00A06598">
              <w:t>.04901</w:t>
            </w:r>
          </w:p>
        </w:tc>
      </w:tr>
      <w:tr w:rsidR="00A06598" w:rsidRPr="00A06598" w14:paraId="79188DB4" w14:textId="77777777" w:rsidTr="00C83AD1">
        <w:trPr>
          <w:cantSplit/>
          <w:trHeight w:val="571"/>
        </w:trPr>
        <w:tc>
          <w:tcPr>
            <w:tcW w:w="481" w:type="pct"/>
            <w:vMerge/>
            <w:tcBorders>
              <w:top w:val="nil"/>
              <w:bottom w:val="nil"/>
            </w:tcBorders>
            <w:shd w:val="clear" w:color="auto" w:fill="FFFFFF"/>
            <w:vAlign w:val="center"/>
          </w:tcPr>
          <w:p w14:paraId="08D49F73" w14:textId="77777777" w:rsidR="00A06598" w:rsidRPr="00A06598" w:rsidRDefault="00A06598" w:rsidP="00A06598">
            <w:pPr>
              <w:jc w:val="both"/>
            </w:pPr>
          </w:p>
        </w:tc>
        <w:tc>
          <w:tcPr>
            <w:tcW w:w="1115" w:type="pct"/>
            <w:tcBorders>
              <w:top w:val="nil"/>
              <w:bottom w:val="nil"/>
            </w:tcBorders>
            <w:shd w:val="clear" w:color="auto" w:fill="FFFFFF"/>
            <w:vAlign w:val="center"/>
          </w:tcPr>
          <w:p w14:paraId="5FF5B0C1" w14:textId="77777777" w:rsidR="00A06598" w:rsidRPr="00A06598" w:rsidRDefault="00A06598" w:rsidP="00A06598">
            <w:pPr>
              <w:jc w:val="both"/>
              <w:rPr>
                <w:b/>
              </w:rPr>
            </w:pPr>
            <w:r w:rsidRPr="00A06598">
              <w:rPr>
                <w:b/>
              </w:rPr>
              <w:t>LW</w:t>
            </w:r>
          </w:p>
        </w:tc>
        <w:tc>
          <w:tcPr>
            <w:tcW w:w="672" w:type="pct"/>
            <w:tcBorders>
              <w:top w:val="nil"/>
              <w:bottom w:val="nil"/>
            </w:tcBorders>
            <w:shd w:val="clear" w:color="auto" w:fill="FFFFFF"/>
            <w:vAlign w:val="center"/>
          </w:tcPr>
          <w:p w14:paraId="6F8ABBDE" w14:textId="77777777" w:rsidR="00A06598" w:rsidRPr="00A06598" w:rsidRDefault="00A06598" w:rsidP="00A06598">
            <w:pPr>
              <w:jc w:val="both"/>
            </w:pPr>
            <w:r w:rsidRPr="00A06598">
              <w:t>93</w:t>
            </w:r>
          </w:p>
        </w:tc>
        <w:tc>
          <w:tcPr>
            <w:tcW w:w="703" w:type="pct"/>
            <w:tcBorders>
              <w:top w:val="nil"/>
              <w:bottom w:val="nil"/>
            </w:tcBorders>
            <w:shd w:val="clear" w:color="auto" w:fill="FFFFFF"/>
            <w:vAlign w:val="center"/>
          </w:tcPr>
          <w:p w14:paraId="38563919" w14:textId="77777777" w:rsidR="00A06598" w:rsidRPr="00A06598" w:rsidRDefault="00A06598" w:rsidP="00A06598">
            <w:pPr>
              <w:jc w:val="both"/>
            </w:pPr>
            <w:r w:rsidRPr="00A06598">
              <w:t>13.72</w:t>
            </w:r>
          </w:p>
        </w:tc>
        <w:tc>
          <w:tcPr>
            <w:tcW w:w="723" w:type="pct"/>
            <w:tcBorders>
              <w:top w:val="nil"/>
              <w:bottom w:val="nil"/>
            </w:tcBorders>
            <w:shd w:val="clear" w:color="auto" w:fill="FFFFFF"/>
            <w:vAlign w:val="center"/>
          </w:tcPr>
          <w:p w14:paraId="5ED93AE3" w14:textId="77777777" w:rsidR="00A06598" w:rsidRPr="00A06598" w:rsidRDefault="00A06598" w:rsidP="00A06598">
            <w:pPr>
              <w:jc w:val="both"/>
            </w:pPr>
            <w:r w:rsidRPr="00A06598">
              <w:t>14.65</w:t>
            </w:r>
          </w:p>
        </w:tc>
        <w:tc>
          <w:tcPr>
            <w:tcW w:w="672" w:type="pct"/>
            <w:tcBorders>
              <w:top w:val="nil"/>
              <w:bottom w:val="nil"/>
            </w:tcBorders>
            <w:shd w:val="clear" w:color="auto" w:fill="FFFFFF"/>
            <w:vAlign w:val="center"/>
          </w:tcPr>
          <w:p w14:paraId="4EB50941" w14:textId="77777777" w:rsidR="00A06598" w:rsidRPr="00A06598" w:rsidRDefault="00A06598" w:rsidP="00A06598">
            <w:pPr>
              <w:jc w:val="both"/>
            </w:pPr>
            <w:r w:rsidRPr="00A06598">
              <w:t>14.0630</w:t>
            </w:r>
          </w:p>
        </w:tc>
        <w:tc>
          <w:tcPr>
            <w:tcW w:w="634" w:type="pct"/>
            <w:tcBorders>
              <w:top w:val="nil"/>
              <w:bottom w:val="nil"/>
            </w:tcBorders>
            <w:shd w:val="clear" w:color="auto" w:fill="FFFFFF"/>
            <w:vAlign w:val="center"/>
          </w:tcPr>
          <w:p w14:paraId="1230E6F2" w14:textId="77777777" w:rsidR="00A06598" w:rsidRPr="00A06598" w:rsidRDefault="00A06598" w:rsidP="00A06598">
            <w:pPr>
              <w:jc w:val="both"/>
            </w:pPr>
            <w:r w:rsidRPr="00A06598">
              <w:t>.19115</w:t>
            </w:r>
          </w:p>
        </w:tc>
      </w:tr>
      <w:tr w:rsidR="00A06598" w:rsidRPr="00A06598" w14:paraId="51757BF9" w14:textId="77777777" w:rsidTr="00C83AD1">
        <w:trPr>
          <w:cantSplit/>
          <w:trHeight w:val="571"/>
        </w:trPr>
        <w:tc>
          <w:tcPr>
            <w:tcW w:w="481" w:type="pct"/>
            <w:vMerge/>
            <w:tcBorders>
              <w:top w:val="nil"/>
              <w:bottom w:val="nil"/>
            </w:tcBorders>
            <w:shd w:val="clear" w:color="auto" w:fill="FFFFFF"/>
            <w:vAlign w:val="center"/>
          </w:tcPr>
          <w:p w14:paraId="3E0130A5" w14:textId="77777777" w:rsidR="00A06598" w:rsidRPr="00A06598" w:rsidRDefault="00A06598" w:rsidP="00A06598">
            <w:pPr>
              <w:jc w:val="both"/>
            </w:pPr>
          </w:p>
        </w:tc>
        <w:tc>
          <w:tcPr>
            <w:tcW w:w="1115" w:type="pct"/>
            <w:tcBorders>
              <w:top w:val="nil"/>
              <w:bottom w:val="nil"/>
            </w:tcBorders>
            <w:shd w:val="clear" w:color="auto" w:fill="FFFFFF"/>
            <w:vAlign w:val="center"/>
          </w:tcPr>
          <w:p w14:paraId="4EB40654" w14:textId="77777777" w:rsidR="00A06598" w:rsidRPr="00A06598" w:rsidRDefault="00A06598" w:rsidP="00A06598">
            <w:pPr>
              <w:jc w:val="both"/>
              <w:rPr>
                <w:b/>
              </w:rPr>
            </w:pPr>
            <w:r w:rsidRPr="00A06598">
              <w:rPr>
                <w:b/>
              </w:rPr>
              <w:t>SLG</w:t>
            </w:r>
          </w:p>
        </w:tc>
        <w:tc>
          <w:tcPr>
            <w:tcW w:w="672" w:type="pct"/>
            <w:tcBorders>
              <w:top w:val="nil"/>
              <w:bottom w:val="nil"/>
            </w:tcBorders>
            <w:shd w:val="clear" w:color="auto" w:fill="FFFFFF"/>
            <w:vAlign w:val="center"/>
          </w:tcPr>
          <w:p w14:paraId="6B639CEE" w14:textId="77777777" w:rsidR="00A06598" w:rsidRPr="00A06598" w:rsidRDefault="00A06598" w:rsidP="00A06598">
            <w:pPr>
              <w:jc w:val="both"/>
            </w:pPr>
            <w:r w:rsidRPr="00A06598">
              <w:t>93</w:t>
            </w:r>
          </w:p>
        </w:tc>
        <w:tc>
          <w:tcPr>
            <w:tcW w:w="703" w:type="pct"/>
            <w:tcBorders>
              <w:top w:val="nil"/>
              <w:bottom w:val="nil"/>
            </w:tcBorders>
            <w:shd w:val="clear" w:color="auto" w:fill="FFFFFF"/>
            <w:vAlign w:val="center"/>
          </w:tcPr>
          <w:p w14:paraId="67883D2F" w14:textId="77777777" w:rsidR="00A06598" w:rsidRPr="00A06598" w:rsidRDefault="00A06598" w:rsidP="00A06598">
            <w:pPr>
              <w:jc w:val="both"/>
            </w:pPr>
            <w:r w:rsidRPr="00A06598">
              <w:t>.18</w:t>
            </w:r>
          </w:p>
        </w:tc>
        <w:tc>
          <w:tcPr>
            <w:tcW w:w="723" w:type="pct"/>
            <w:tcBorders>
              <w:top w:val="nil"/>
              <w:bottom w:val="nil"/>
            </w:tcBorders>
            <w:shd w:val="clear" w:color="auto" w:fill="FFFFFF"/>
            <w:vAlign w:val="center"/>
          </w:tcPr>
          <w:p w14:paraId="70A03579" w14:textId="77777777" w:rsidR="00A06598" w:rsidRPr="00A06598" w:rsidRDefault="00A06598" w:rsidP="00A06598">
            <w:pPr>
              <w:jc w:val="both"/>
            </w:pPr>
            <w:r w:rsidRPr="00A06598">
              <w:t>.27</w:t>
            </w:r>
          </w:p>
        </w:tc>
        <w:tc>
          <w:tcPr>
            <w:tcW w:w="672" w:type="pct"/>
            <w:tcBorders>
              <w:top w:val="nil"/>
              <w:bottom w:val="nil"/>
            </w:tcBorders>
            <w:shd w:val="clear" w:color="auto" w:fill="FFFFFF"/>
            <w:vAlign w:val="center"/>
          </w:tcPr>
          <w:p w14:paraId="4D305765" w14:textId="77777777" w:rsidR="00A06598" w:rsidRPr="00A06598" w:rsidRDefault="00A06598" w:rsidP="00A06598">
            <w:pPr>
              <w:jc w:val="both"/>
            </w:pPr>
            <w:r w:rsidRPr="00A06598">
              <w:t>.2215</w:t>
            </w:r>
          </w:p>
        </w:tc>
        <w:tc>
          <w:tcPr>
            <w:tcW w:w="634" w:type="pct"/>
            <w:tcBorders>
              <w:top w:val="nil"/>
              <w:bottom w:val="nil"/>
            </w:tcBorders>
            <w:shd w:val="clear" w:color="auto" w:fill="FFFFFF"/>
            <w:vAlign w:val="center"/>
          </w:tcPr>
          <w:p w14:paraId="5295A205" w14:textId="77777777" w:rsidR="00A06598" w:rsidRPr="00A06598" w:rsidRDefault="00A06598" w:rsidP="00A06598">
            <w:pPr>
              <w:jc w:val="both"/>
            </w:pPr>
            <w:r w:rsidRPr="00A06598">
              <w:t>.01888</w:t>
            </w:r>
          </w:p>
        </w:tc>
      </w:tr>
      <w:tr w:rsidR="00A06598" w:rsidRPr="00A06598" w14:paraId="602DE4A3" w14:textId="77777777" w:rsidTr="00C83AD1">
        <w:trPr>
          <w:cantSplit/>
          <w:trHeight w:val="571"/>
        </w:trPr>
        <w:tc>
          <w:tcPr>
            <w:tcW w:w="481" w:type="pct"/>
            <w:vMerge/>
            <w:tcBorders>
              <w:top w:val="nil"/>
              <w:bottom w:val="nil"/>
            </w:tcBorders>
            <w:shd w:val="clear" w:color="auto" w:fill="FFFFFF"/>
            <w:vAlign w:val="center"/>
          </w:tcPr>
          <w:p w14:paraId="2321D75A" w14:textId="77777777" w:rsidR="00A06598" w:rsidRPr="00A06598" w:rsidRDefault="00A06598" w:rsidP="00A06598">
            <w:pPr>
              <w:jc w:val="both"/>
            </w:pPr>
          </w:p>
        </w:tc>
        <w:tc>
          <w:tcPr>
            <w:tcW w:w="1115" w:type="pct"/>
            <w:tcBorders>
              <w:top w:val="nil"/>
              <w:bottom w:val="nil"/>
            </w:tcBorders>
            <w:shd w:val="clear" w:color="auto" w:fill="FFFFFF"/>
            <w:vAlign w:val="center"/>
          </w:tcPr>
          <w:p w14:paraId="644F4DA4" w14:textId="77777777" w:rsidR="00A06598" w:rsidRPr="00A06598" w:rsidRDefault="00A06598" w:rsidP="00A06598">
            <w:pPr>
              <w:jc w:val="both"/>
              <w:rPr>
                <w:b/>
              </w:rPr>
            </w:pPr>
            <w:r w:rsidRPr="00A06598">
              <w:rPr>
                <w:b/>
              </w:rPr>
              <w:t>Valid N (listwise)</w:t>
            </w:r>
          </w:p>
        </w:tc>
        <w:tc>
          <w:tcPr>
            <w:tcW w:w="672" w:type="pct"/>
            <w:tcBorders>
              <w:top w:val="nil"/>
              <w:bottom w:val="nil"/>
            </w:tcBorders>
            <w:shd w:val="clear" w:color="auto" w:fill="FFFFFF"/>
            <w:vAlign w:val="center"/>
          </w:tcPr>
          <w:p w14:paraId="51628463" w14:textId="77777777" w:rsidR="00A06598" w:rsidRPr="00A06598" w:rsidRDefault="00A06598" w:rsidP="00A06598">
            <w:pPr>
              <w:jc w:val="both"/>
            </w:pPr>
            <w:r w:rsidRPr="00A06598">
              <w:t>93</w:t>
            </w:r>
          </w:p>
        </w:tc>
        <w:tc>
          <w:tcPr>
            <w:tcW w:w="703" w:type="pct"/>
            <w:tcBorders>
              <w:top w:val="nil"/>
              <w:bottom w:val="nil"/>
            </w:tcBorders>
            <w:shd w:val="clear" w:color="auto" w:fill="FFFFFF"/>
            <w:vAlign w:val="center"/>
          </w:tcPr>
          <w:p w14:paraId="4B7DB4D0" w14:textId="77777777" w:rsidR="00A06598" w:rsidRPr="00A06598" w:rsidRDefault="00A06598" w:rsidP="00A06598">
            <w:pPr>
              <w:jc w:val="both"/>
            </w:pPr>
          </w:p>
        </w:tc>
        <w:tc>
          <w:tcPr>
            <w:tcW w:w="723" w:type="pct"/>
            <w:tcBorders>
              <w:top w:val="nil"/>
              <w:bottom w:val="nil"/>
            </w:tcBorders>
            <w:shd w:val="clear" w:color="auto" w:fill="FFFFFF"/>
            <w:vAlign w:val="center"/>
          </w:tcPr>
          <w:p w14:paraId="308E6A27" w14:textId="77777777" w:rsidR="00A06598" w:rsidRPr="00A06598" w:rsidRDefault="00A06598" w:rsidP="00A06598">
            <w:pPr>
              <w:jc w:val="both"/>
            </w:pPr>
          </w:p>
        </w:tc>
        <w:tc>
          <w:tcPr>
            <w:tcW w:w="672" w:type="pct"/>
            <w:tcBorders>
              <w:top w:val="nil"/>
              <w:bottom w:val="nil"/>
            </w:tcBorders>
            <w:shd w:val="clear" w:color="auto" w:fill="FFFFFF"/>
            <w:vAlign w:val="center"/>
          </w:tcPr>
          <w:p w14:paraId="628B24CB" w14:textId="77777777" w:rsidR="00A06598" w:rsidRPr="00A06598" w:rsidRDefault="00A06598" w:rsidP="00A06598">
            <w:pPr>
              <w:jc w:val="both"/>
            </w:pPr>
          </w:p>
        </w:tc>
        <w:tc>
          <w:tcPr>
            <w:tcW w:w="634" w:type="pct"/>
            <w:tcBorders>
              <w:top w:val="nil"/>
              <w:bottom w:val="nil"/>
            </w:tcBorders>
            <w:shd w:val="clear" w:color="auto" w:fill="FFFFFF"/>
            <w:vAlign w:val="center"/>
          </w:tcPr>
          <w:p w14:paraId="0F0F7CA8" w14:textId="77777777" w:rsidR="00A06598" w:rsidRPr="00A06598" w:rsidRDefault="00A06598" w:rsidP="00A06598">
            <w:pPr>
              <w:jc w:val="both"/>
            </w:pPr>
          </w:p>
        </w:tc>
      </w:tr>
    </w:tbl>
    <w:p w14:paraId="1A70C2B9" w14:textId="6C3FC98D" w:rsidR="00A06598" w:rsidRPr="00E930BA" w:rsidRDefault="004D521D" w:rsidP="004D521D">
      <w:pPr>
        <w:jc w:val="center"/>
      </w:pPr>
      <w:r w:rsidRPr="004D521D">
        <w:rPr>
          <w:b/>
          <w:bCs/>
        </w:rPr>
        <w:t xml:space="preserve">Table </w:t>
      </w:r>
      <w:r>
        <w:rPr>
          <w:b/>
          <w:bCs/>
        </w:rPr>
        <w:t>3</w:t>
      </w:r>
      <w:r w:rsidRPr="004D521D">
        <w:rPr>
          <w:b/>
          <w:bCs/>
        </w:rPr>
        <w:t xml:space="preserve">: </w:t>
      </w:r>
      <w:r w:rsidR="001E1C9D" w:rsidRPr="001E1C9D">
        <w:rPr>
          <w:b/>
          <w:bCs/>
        </w:rPr>
        <w:t>Sex-specific distribution of the measured parameters for the study population.</w:t>
      </w:r>
    </w:p>
    <w:tbl>
      <w:tblPr>
        <w:tblpPr w:leftFromText="180" w:rightFromText="180" w:vertAnchor="page" w:horzAnchor="margin" w:tblpY="2626"/>
        <w:tblW w:w="4995" w:type="pct"/>
        <w:tblBorders>
          <w:insideH w:val="single" w:sz="4" w:space="0" w:color="auto"/>
        </w:tblBorders>
        <w:tblCellMar>
          <w:left w:w="0" w:type="dxa"/>
          <w:right w:w="0" w:type="dxa"/>
        </w:tblCellMar>
        <w:tblLook w:val="0000" w:firstRow="0" w:lastRow="0" w:firstColumn="0" w:lastColumn="0" w:noHBand="0" w:noVBand="0"/>
      </w:tblPr>
      <w:tblGrid>
        <w:gridCol w:w="899"/>
        <w:gridCol w:w="2085"/>
        <w:gridCol w:w="1257"/>
        <w:gridCol w:w="1315"/>
        <w:gridCol w:w="1352"/>
        <w:gridCol w:w="1257"/>
        <w:gridCol w:w="1186"/>
      </w:tblGrid>
      <w:tr w:rsidR="006C23EE" w:rsidRPr="00E930BA" w14:paraId="1E33C538" w14:textId="77777777" w:rsidTr="006C23EE">
        <w:trPr>
          <w:cantSplit/>
          <w:trHeight w:val="770"/>
        </w:trPr>
        <w:tc>
          <w:tcPr>
            <w:tcW w:w="1596" w:type="pct"/>
            <w:gridSpan w:val="2"/>
            <w:tcBorders>
              <w:top w:val="single" w:sz="4" w:space="0" w:color="auto"/>
              <w:bottom w:val="single" w:sz="4" w:space="0" w:color="auto"/>
            </w:tcBorders>
            <w:shd w:val="clear" w:color="auto" w:fill="FFFFFF"/>
            <w:vAlign w:val="center"/>
          </w:tcPr>
          <w:p w14:paraId="2F804A6C" w14:textId="77777777" w:rsidR="006C23EE" w:rsidRPr="00E930BA" w:rsidRDefault="006C23EE" w:rsidP="006C23EE">
            <w:pPr>
              <w:rPr>
                <w:b/>
              </w:rPr>
            </w:pPr>
            <w:r w:rsidRPr="00E930BA">
              <w:rPr>
                <w:b/>
              </w:rPr>
              <w:t>SEX</w:t>
            </w:r>
          </w:p>
        </w:tc>
        <w:tc>
          <w:tcPr>
            <w:tcW w:w="672" w:type="pct"/>
            <w:tcBorders>
              <w:top w:val="single" w:sz="4" w:space="0" w:color="auto"/>
              <w:bottom w:val="single" w:sz="4" w:space="0" w:color="auto"/>
            </w:tcBorders>
            <w:shd w:val="clear" w:color="auto" w:fill="FFFFFF"/>
            <w:vAlign w:val="center"/>
          </w:tcPr>
          <w:p w14:paraId="67B3E347" w14:textId="77777777" w:rsidR="006C23EE" w:rsidRPr="00E930BA" w:rsidRDefault="006C23EE" w:rsidP="006C23EE">
            <w:pPr>
              <w:rPr>
                <w:b/>
              </w:rPr>
            </w:pPr>
            <w:r w:rsidRPr="00E930BA">
              <w:rPr>
                <w:b/>
              </w:rPr>
              <w:t>N</w:t>
            </w:r>
          </w:p>
        </w:tc>
        <w:tc>
          <w:tcPr>
            <w:tcW w:w="703" w:type="pct"/>
            <w:tcBorders>
              <w:top w:val="single" w:sz="4" w:space="0" w:color="auto"/>
              <w:bottom w:val="single" w:sz="4" w:space="0" w:color="auto"/>
            </w:tcBorders>
            <w:shd w:val="clear" w:color="auto" w:fill="FFFFFF"/>
            <w:vAlign w:val="center"/>
          </w:tcPr>
          <w:p w14:paraId="7B231705" w14:textId="77777777" w:rsidR="006C23EE" w:rsidRPr="00E930BA" w:rsidRDefault="006C23EE" w:rsidP="006C23EE">
            <w:pPr>
              <w:rPr>
                <w:b/>
              </w:rPr>
            </w:pPr>
            <w:r w:rsidRPr="00E930BA">
              <w:rPr>
                <w:b/>
              </w:rPr>
              <w:t>Minimum</w:t>
            </w:r>
          </w:p>
        </w:tc>
        <w:tc>
          <w:tcPr>
            <w:tcW w:w="723" w:type="pct"/>
            <w:tcBorders>
              <w:top w:val="single" w:sz="4" w:space="0" w:color="auto"/>
              <w:bottom w:val="single" w:sz="4" w:space="0" w:color="auto"/>
            </w:tcBorders>
            <w:shd w:val="clear" w:color="auto" w:fill="FFFFFF"/>
            <w:vAlign w:val="center"/>
          </w:tcPr>
          <w:p w14:paraId="0C37212B" w14:textId="77777777" w:rsidR="006C23EE" w:rsidRPr="00E930BA" w:rsidRDefault="006C23EE" w:rsidP="006C23EE">
            <w:pPr>
              <w:rPr>
                <w:b/>
              </w:rPr>
            </w:pPr>
            <w:r w:rsidRPr="00E930BA">
              <w:rPr>
                <w:b/>
              </w:rPr>
              <w:t>Maximum</w:t>
            </w:r>
          </w:p>
        </w:tc>
        <w:tc>
          <w:tcPr>
            <w:tcW w:w="672" w:type="pct"/>
            <w:tcBorders>
              <w:top w:val="single" w:sz="4" w:space="0" w:color="auto"/>
              <w:bottom w:val="single" w:sz="4" w:space="0" w:color="auto"/>
            </w:tcBorders>
            <w:shd w:val="clear" w:color="auto" w:fill="FFFFFF"/>
            <w:vAlign w:val="center"/>
          </w:tcPr>
          <w:p w14:paraId="3A0015F6" w14:textId="77777777" w:rsidR="006C23EE" w:rsidRPr="00E930BA" w:rsidRDefault="006C23EE" w:rsidP="006C23EE">
            <w:pPr>
              <w:rPr>
                <w:b/>
              </w:rPr>
            </w:pPr>
            <w:r w:rsidRPr="00E930BA">
              <w:rPr>
                <w:b/>
              </w:rPr>
              <w:t>Mean</w:t>
            </w:r>
          </w:p>
        </w:tc>
        <w:tc>
          <w:tcPr>
            <w:tcW w:w="634" w:type="pct"/>
            <w:tcBorders>
              <w:top w:val="single" w:sz="4" w:space="0" w:color="auto"/>
              <w:bottom w:val="single" w:sz="4" w:space="0" w:color="auto"/>
            </w:tcBorders>
            <w:shd w:val="clear" w:color="auto" w:fill="FFFFFF"/>
            <w:vAlign w:val="center"/>
          </w:tcPr>
          <w:p w14:paraId="30573FB5" w14:textId="77777777" w:rsidR="006C23EE" w:rsidRPr="00E930BA" w:rsidRDefault="006C23EE" w:rsidP="006C23EE">
            <w:pPr>
              <w:rPr>
                <w:b/>
              </w:rPr>
            </w:pPr>
            <w:r w:rsidRPr="00E930BA">
              <w:rPr>
                <w:b/>
              </w:rPr>
              <w:t>Std. Deviation</w:t>
            </w:r>
          </w:p>
        </w:tc>
      </w:tr>
      <w:tr w:rsidR="006C23EE" w:rsidRPr="00E930BA" w14:paraId="1668AF19" w14:textId="77777777" w:rsidTr="006C23EE">
        <w:trPr>
          <w:cantSplit/>
          <w:trHeight w:val="1250"/>
        </w:trPr>
        <w:tc>
          <w:tcPr>
            <w:tcW w:w="481" w:type="pct"/>
            <w:vMerge w:val="restart"/>
            <w:tcBorders>
              <w:top w:val="nil"/>
              <w:bottom w:val="nil"/>
            </w:tcBorders>
            <w:shd w:val="clear" w:color="auto" w:fill="FFFFFF"/>
            <w:vAlign w:val="center"/>
          </w:tcPr>
          <w:p w14:paraId="4321AD3E" w14:textId="77777777" w:rsidR="006C23EE" w:rsidRPr="00E930BA" w:rsidRDefault="006C23EE" w:rsidP="006C23EE">
            <w:pPr>
              <w:rPr>
                <w:b/>
              </w:rPr>
            </w:pPr>
            <w:r w:rsidRPr="00E930BA">
              <w:rPr>
                <w:b/>
              </w:rPr>
              <w:t>F</w:t>
            </w:r>
          </w:p>
        </w:tc>
        <w:tc>
          <w:tcPr>
            <w:tcW w:w="1115" w:type="pct"/>
            <w:tcBorders>
              <w:top w:val="nil"/>
              <w:bottom w:val="nil"/>
            </w:tcBorders>
            <w:shd w:val="clear" w:color="auto" w:fill="FFFFFF"/>
            <w:vAlign w:val="center"/>
          </w:tcPr>
          <w:p w14:paraId="7DFFEA54" w14:textId="77777777" w:rsidR="006C23EE" w:rsidRPr="00E930BA" w:rsidRDefault="006C23EE" w:rsidP="006C23EE">
            <w:pPr>
              <w:rPr>
                <w:b/>
              </w:rPr>
            </w:pPr>
            <w:r w:rsidRPr="00E930BA">
              <w:rPr>
                <w:b/>
              </w:rPr>
              <w:t>AGE</w:t>
            </w:r>
          </w:p>
        </w:tc>
        <w:tc>
          <w:tcPr>
            <w:tcW w:w="672" w:type="pct"/>
            <w:tcBorders>
              <w:top w:val="nil"/>
              <w:bottom w:val="nil"/>
            </w:tcBorders>
            <w:shd w:val="clear" w:color="auto" w:fill="FFFFFF"/>
            <w:vAlign w:val="center"/>
          </w:tcPr>
          <w:p w14:paraId="5DCD8B4E" w14:textId="77777777" w:rsidR="006C23EE" w:rsidRPr="00E930BA" w:rsidRDefault="006C23EE" w:rsidP="006C23EE">
            <w:r w:rsidRPr="00E930BA">
              <w:t>108</w:t>
            </w:r>
          </w:p>
        </w:tc>
        <w:tc>
          <w:tcPr>
            <w:tcW w:w="703" w:type="pct"/>
            <w:tcBorders>
              <w:top w:val="nil"/>
              <w:bottom w:val="nil"/>
            </w:tcBorders>
            <w:shd w:val="clear" w:color="auto" w:fill="FFFFFF"/>
            <w:vAlign w:val="center"/>
          </w:tcPr>
          <w:p w14:paraId="316613AB" w14:textId="77777777" w:rsidR="006C23EE" w:rsidRPr="00E930BA" w:rsidRDefault="006C23EE" w:rsidP="006C23EE">
            <w:r w:rsidRPr="00E930BA">
              <w:t>19</w:t>
            </w:r>
          </w:p>
        </w:tc>
        <w:tc>
          <w:tcPr>
            <w:tcW w:w="723" w:type="pct"/>
            <w:tcBorders>
              <w:top w:val="nil"/>
              <w:bottom w:val="nil"/>
            </w:tcBorders>
            <w:shd w:val="clear" w:color="auto" w:fill="FFFFFF"/>
            <w:vAlign w:val="center"/>
          </w:tcPr>
          <w:p w14:paraId="340D42EA" w14:textId="77777777" w:rsidR="006C23EE" w:rsidRPr="00E930BA" w:rsidRDefault="006C23EE" w:rsidP="006C23EE">
            <w:r w:rsidRPr="00E930BA">
              <w:t>60</w:t>
            </w:r>
          </w:p>
        </w:tc>
        <w:tc>
          <w:tcPr>
            <w:tcW w:w="672" w:type="pct"/>
            <w:tcBorders>
              <w:top w:val="nil"/>
              <w:bottom w:val="nil"/>
            </w:tcBorders>
            <w:shd w:val="clear" w:color="auto" w:fill="FFFFFF"/>
            <w:vAlign w:val="center"/>
          </w:tcPr>
          <w:p w14:paraId="7BCCE2E5" w14:textId="77777777" w:rsidR="006C23EE" w:rsidRPr="00E930BA" w:rsidRDefault="006C23EE" w:rsidP="006C23EE">
            <w:r w:rsidRPr="00E930BA">
              <w:t>38.69</w:t>
            </w:r>
          </w:p>
        </w:tc>
        <w:tc>
          <w:tcPr>
            <w:tcW w:w="634" w:type="pct"/>
            <w:tcBorders>
              <w:top w:val="nil"/>
              <w:bottom w:val="nil"/>
            </w:tcBorders>
            <w:shd w:val="clear" w:color="auto" w:fill="FFFFFF"/>
            <w:vAlign w:val="center"/>
          </w:tcPr>
          <w:p w14:paraId="7E296DDD" w14:textId="77777777" w:rsidR="006C23EE" w:rsidRPr="00E930BA" w:rsidRDefault="006C23EE" w:rsidP="006C23EE">
            <w:r w:rsidRPr="00E930BA">
              <w:t>11.816</w:t>
            </w:r>
          </w:p>
        </w:tc>
      </w:tr>
      <w:tr w:rsidR="006C23EE" w:rsidRPr="00E930BA" w14:paraId="7097C59A" w14:textId="77777777" w:rsidTr="006C23EE">
        <w:trPr>
          <w:cantSplit/>
          <w:trHeight w:val="571"/>
        </w:trPr>
        <w:tc>
          <w:tcPr>
            <w:tcW w:w="481" w:type="pct"/>
            <w:vMerge/>
            <w:tcBorders>
              <w:top w:val="nil"/>
              <w:bottom w:val="nil"/>
            </w:tcBorders>
            <w:shd w:val="clear" w:color="auto" w:fill="FFFFFF"/>
            <w:vAlign w:val="center"/>
          </w:tcPr>
          <w:p w14:paraId="491216A4" w14:textId="77777777" w:rsidR="006C23EE" w:rsidRPr="00E930BA" w:rsidRDefault="006C23EE" w:rsidP="006C23EE">
            <w:pPr>
              <w:rPr>
                <w:b/>
              </w:rPr>
            </w:pPr>
          </w:p>
        </w:tc>
        <w:tc>
          <w:tcPr>
            <w:tcW w:w="1115" w:type="pct"/>
            <w:tcBorders>
              <w:top w:val="nil"/>
              <w:bottom w:val="nil"/>
            </w:tcBorders>
            <w:shd w:val="clear" w:color="auto" w:fill="FFFFFF"/>
            <w:vAlign w:val="center"/>
          </w:tcPr>
          <w:p w14:paraId="55FB7322" w14:textId="77777777" w:rsidR="006C23EE" w:rsidRPr="00E930BA" w:rsidRDefault="006C23EE" w:rsidP="006C23EE">
            <w:pPr>
              <w:rPr>
                <w:b/>
              </w:rPr>
            </w:pPr>
            <w:r w:rsidRPr="00E930BA">
              <w:rPr>
                <w:b/>
              </w:rPr>
              <w:t>CH</w:t>
            </w:r>
          </w:p>
        </w:tc>
        <w:tc>
          <w:tcPr>
            <w:tcW w:w="672" w:type="pct"/>
            <w:tcBorders>
              <w:top w:val="nil"/>
              <w:bottom w:val="nil"/>
            </w:tcBorders>
            <w:shd w:val="clear" w:color="auto" w:fill="FFFFFF"/>
            <w:vAlign w:val="center"/>
          </w:tcPr>
          <w:p w14:paraId="2A7CCC39" w14:textId="77777777" w:rsidR="006C23EE" w:rsidRPr="00E930BA" w:rsidRDefault="006C23EE" w:rsidP="006C23EE">
            <w:r w:rsidRPr="00E930BA">
              <w:t>108</w:t>
            </w:r>
          </w:p>
        </w:tc>
        <w:tc>
          <w:tcPr>
            <w:tcW w:w="703" w:type="pct"/>
            <w:tcBorders>
              <w:top w:val="nil"/>
              <w:bottom w:val="nil"/>
            </w:tcBorders>
            <w:shd w:val="clear" w:color="auto" w:fill="FFFFFF"/>
            <w:vAlign w:val="center"/>
          </w:tcPr>
          <w:p w14:paraId="10B37DA1" w14:textId="77777777" w:rsidR="006C23EE" w:rsidRPr="00E930BA" w:rsidRDefault="006C23EE" w:rsidP="006C23EE">
            <w:r w:rsidRPr="00E930BA">
              <w:t>2.90</w:t>
            </w:r>
          </w:p>
        </w:tc>
        <w:tc>
          <w:tcPr>
            <w:tcW w:w="723" w:type="pct"/>
            <w:tcBorders>
              <w:top w:val="nil"/>
              <w:bottom w:val="nil"/>
            </w:tcBorders>
            <w:shd w:val="clear" w:color="auto" w:fill="FFFFFF"/>
            <w:vAlign w:val="center"/>
          </w:tcPr>
          <w:p w14:paraId="50E73193" w14:textId="77777777" w:rsidR="006C23EE" w:rsidRPr="00E930BA" w:rsidRDefault="006C23EE" w:rsidP="006C23EE">
            <w:r w:rsidRPr="00E930BA">
              <w:t>3.36</w:t>
            </w:r>
          </w:p>
        </w:tc>
        <w:tc>
          <w:tcPr>
            <w:tcW w:w="672" w:type="pct"/>
            <w:tcBorders>
              <w:top w:val="nil"/>
              <w:bottom w:val="nil"/>
            </w:tcBorders>
            <w:shd w:val="clear" w:color="auto" w:fill="FFFFFF"/>
            <w:vAlign w:val="center"/>
          </w:tcPr>
          <w:p w14:paraId="5065B50F" w14:textId="77777777" w:rsidR="006C23EE" w:rsidRPr="00E930BA" w:rsidRDefault="006C23EE" w:rsidP="006C23EE">
            <w:r w:rsidRPr="00E930BA">
              <w:t>3.1144</w:t>
            </w:r>
          </w:p>
        </w:tc>
        <w:tc>
          <w:tcPr>
            <w:tcW w:w="634" w:type="pct"/>
            <w:tcBorders>
              <w:top w:val="nil"/>
              <w:bottom w:val="nil"/>
            </w:tcBorders>
            <w:shd w:val="clear" w:color="auto" w:fill="FFFFFF"/>
            <w:vAlign w:val="center"/>
          </w:tcPr>
          <w:p w14:paraId="68DFE66D" w14:textId="77777777" w:rsidR="006C23EE" w:rsidRPr="00E930BA" w:rsidRDefault="006C23EE" w:rsidP="006C23EE">
            <w:r w:rsidRPr="00E930BA">
              <w:t>.08863</w:t>
            </w:r>
          </w:p>
        </w:tc>
      </w:tr>
      <w:tr w:rsidR="006C23EE" w:rsidRPr="00E930BA" w14:paraId="0BE1FFFC" w14:textId="77777777" w:rsidTr="006C23EE">
        <w:trPr>
          <w:cantSplit/>
          <w:trHeight w:val="571"/>
        </w:trPr>
        <w:tc>
          <w:tcPr>
            <w:tcW w:w="481" w:type="pct"/>
            <w:vMerge/>
            <w:tcBorders>
              <w:top w:val="nil"/>
              <w:bottom w:val="nil"/>
            </w:tcBorders>
            <w:shd w:val="clear" w:color="auto" w:fill="FFFFFF"/>
            <w:vAlign w:val="center"/>
          </w:tcPr>
          <w:p w14:paraId="09849544" w14:textId="77777777" w:rsidR="006C23EE" w:rsidRPr="00E930BA" w:rsidRDefault="006C23EE" w:rsidP="006C23EE">
            <w:pPr>
              <w:rPr>
                <w:b/>
              </w:rPr>
            </w:pPr>
          </w:p>
        </w:tc>
        <w:tc>
          <w:tcPr>
            <w:tcW w:w="1115" w:type="pct"/>
            <w:tcBorders>
              <w:top w:val="nil"/>
              <w:bottom w:val="nil"/>
            </w:tcBorders>
            <w:shd w:val="clear" w:color="auto" w:fill="FFFFFF"/>
            <w:vAlign w:val="center"/>
          </w:tcPr>
          <w:p w14:paraId="3E5F0FF8" w14:textId="77777777" w:rsidR="006C23EE" w:rsidRPr="00E930BA" w:rsidRDefault="006C23EE" w:rsidP="006C23EE">
            <w:pPr>
              <w:rPr>
                <w:b/>
              </w:rPr>
            </w:pPr>
            <w:r w:rsidRPr="00E930BA">
              <w:rPr>
                <w:b/>
              </w:rPr>
              <w:t>CL</w:t>
            </w:r>
          </w:p>
        </w:tc>
        <w:tc>
          <w:tcPr>
            <w:tcW w:w="672" w:type="pct"/>
            <w:tcBorders>
              <w:top w:val="nil"/>
              <w:bottom w:val="nil"/>
            </w:tcBorders>
            <w:shd w:val="clear" w:color="auto" w:fill="FFFFFF"/>
            <w:vAlign w:val="center"/>
          </w:tcPr>
          <w:p w14:paraId="5FF474C2" w14:textId="77777777" w:rsidR="006C23EE" w:rsidRPr="00E930BA" w:rsidRDefault="006C23EE" w:rsidP="006C23EE">
            <w:r w:rsidRPr="00E930BA">
              <w:t>108</w:t>
            </w:r>
          </w:p>
        </w:tc>
        <w:tc>
          <w:tcPr>
            <w:tcW w:w="703" w:type="pct"/>
            <w:tcBorders>
              <w:top w:val="nil"/>
              <w:bottom w:val="nil"/>
            </w:tcBorders>
            <w:shd w:val="clear" w:color="auto" w:fill="FFFFFF"/>
            <w:vAlign w:val="center"/>
          </w:tcPr>
          <w:p w14:paraId="4030243F" w14:textId="77777777" w:rsidR="006C23EE" w:rsidRPr="00E930BA" w:rsidRDefault="006C23EE" w:rsidP="006C23EE">
            <w:r w:rsidRPr="00E930BA">
              <w:t>2.03</w:t>
            </w:r>
          </w:p>
        </w:tc>
        <w:tc>
          <w:tcPr>
            <w:tcW w:w="723" w:type="pct"/>
            <w:tcBorders>
              <w:top w:val="nil"/>
              <w:bottom w:val="nil"/>
            </w:tcBorders>
            <w:shd w:val="clear" w:color="auto" w:fill="FFFFFF"/>
            <w:vAlign w:val="center"/>
          </w:tcPr>
          <w:p w14:paraId="11EB62B3" w14:textId="77777777" w:rsidR="006C23EE" w:rsidRPr="00E930BA" w:rsidRDefault="006C23EE" w:rsidP="006C23EE">
            <w:r w:rsidRPr="00E930BA">
              <w:t>2.28</w:t>
            </w:r>
          </w:p>
        </w:tc>
        <w:tc>
          <w:tcPr>
            <w:tcW w:w="672" w:type="pct"/>
            <w:tcBorders>
              <w:top w:val="nil"/>
              <w:bottom w:val="nil"/>
            </w:tcBorders>
            <w:shd w:val="clear" w:color="auto" w:fill="FFFFFF"/>
            <w:vAlign w:val="center"/>
          </w:tcPr>
          <w:p w14:paraId="0E363064" w14:textId="77777777" w:rsidR="006C23EE" w:rsidRPr="00E930BA" w:rsidRDefault="006C23EE" w:rsidP="006C23EE">
            <w:r w:rsidRPr="00E930BA">
              <w:t>2.1418</w:t>
            </w:r>
          </w:p>
        </w:tc>
        <w:tc>
          <w:tcPr>
            <w:tcW w:w="634" w:type="pct"/>
            <w:tcBorders>
              <w:top w:val="nil"/>
              <w:bottom w:val="nil"/>
            </w:tcBorders>
            <w:shd w:val="clear" w:color="auto" w:fill="FFFFFF"/>
            <w:vAlign w:val="center"/>
          </w:tcPr>
          <w:p w14:paraId="4FEB2B1E" w14:textId="77777777" w:rsidR="006C23EE" w:rsidRPr="00E930BA" w:rsidRDefault="006C23EE" w:rsidP="006C23EE">
            <w:r w:rsidRPr="00E930BA">
              <w:t>.04887</w:t>
            </w:r>
          </w:p>
        </w:tc>
      </w:tr>
      <w:tr w:rsidR="006C23EE" w:rsidRPr="00E930BA" w14:paraId="54350AF4" w14:textId="77777777" w:rsidTr="006C23EE">
        <w:trPr>
          <w:cantSplit/>
          <w:trHeight w:val="571"/>
        </w:trPr>
        <w:tc>
          <w:tcPr>
            <w:tcW w:w="481" w:type="pct"/>
            <w:vMerge/>
            <w:tcBorders>
              <w:top w:val="nil"/>
              <w:bottom w:val="nil"/>
            </w:tcBorders>
            <w:shd w:val="clear" w:color="auto" w:fill="FFFFFF"/>
            <w:vAlign w:val="center"/>
          </w:tcPr>
          <w:p w14:paraId="7826111A" w14:textId="77777777" w:rsidR="006C23EE" w:rsidRPr="00E930BA" w:rsidRDefault="006C23EE" w:rsidP="006C23EE">
            <w:pPr>
              <w:rPr>
                <w:b/>
              </w:rPr>
            </w:pPr>
          </w:p>
        </w:tc>
        <w:tc>
          <w:tcPr>
            <w:tcW w:w="1115" w:type="pct"/>
            <w:tcBorders>
              <w:top w:val="nil"/>
              <w:bottom w:val="nil"/>
            </w:tcBorders>
            <w:shd w:val="clear" w:color="auto" w:fill="FFFFFF"/>
            <w:vAlign w:val="center"/>
          </w:tcPr>
          <w:p w14:paraId="676B193D" w14:textId="77777777" w:rsidR="006C23EE" w:rsidRPr="00E930BA" w:rsidRDefault="006C23EE" w:rsidP="006C23EE">
            <w:pPr>
              <w:rPr>
                <w:b/>
              </w:rPr>
            </w:pPr>
            <w:r w:rsidRPr="00E930BA">
              <w:rPr>
                <w:b/>
              </w:rPr>
              <w:t>LW</w:t>
            </w:r>
          </w:p>
        </w:tc>
        <w:tc>
          <w:tcPr>
            <w:tcW w:w="672" w:type="pct"/>
            <w:tcBorders>
              <w:top w:val="nil"/>
              <w:bottom w:val="nil"/>
            </w:tcBorders>
            <w:shd w:val="clear" w:color="auto" w:fill="FFFFFF"/>
            <w:vAlign w:val="center"/>
          </w:tcPr>
          <w:p w14:paraId="12B430AD" w14:textId="77777777" w:rsidR="006C23EE" w:rsidRPr="00E930BA" w:rsidRDefault="006C23EE" w:rsidP="006C23EE">
            <w:r w:rsidRPr="00E930BA">
              <w:t>108</w:t>
            </w:r>
          </w:p>
        </w:tc>
        <w:tc>
          <w:tcPr>
            <w:tcW w:w="703" w:type="pct"/>
            <w:tcBorders>
              <w:top w:val="nil"/>
              <w:bottom w:val="nil"/>
            </w:tcBorders>
            <w:shd w:val="clear" w:color="auto" w:fill="FFFFFF"/>
            <w:vAlign w:val="center"/>
          </w:tcPr>
          <w:p w14:paraId="25BC0576" w14:textId="77777777" w:rsidR="006C23EE" w:rsidRPr="00E930BA" w:rsidRDefault="006C23EE" w:rsidP="006C23EE">
            <w:r w:rsidRPr="00E930BA">
              <w:t>13.58</w:t>
            </w:r>
          </w:p>
        </w:tc>
        <w:tc>
          <w:tcPr>
            <w:tcW w:w="723" w:type="pct"/>
            <w:tcBorders>
              <w:top w:val="nil"/>
              <w:bottom w:val="nil"/>
            </w:tcBorders>
            <w:shd w:val="clear" w:color="auto" w:fill="FFFFFF"/>
            <w:vAlign w:val="center"/>
          </w:tcPr>
          <w:p w14:paraId="392A4494" w14:textId="77777777" w:rsidR="006C23EE" w:rsidRPr="00E930BA" w:rsidRDefault="006C23EE" w:rsidP="006C23EE">
            <w:r w:rsidRPr="00E930BA">
              <w:t>14.51</w:t>
            </w:r>
          </w:p>
        </w:tc>
        <w:tc>
          <w:tcPr>
            <w:tcW w:w="672" w:type="pct"/>
            <w:tcBorders>
              <w:top w:val="nil"/>
              <w:bottom w:val="nil"/>
            </w:tcBorders>
            <w:shd w:val="clear" w:color="auto" w:fill="FFFFFF"/>
            <w:vAlign w:val="center"/>
          </w:tcPr>
          <w:p w14:paraId="2595AAE6" w14:textId="77777777" w:rsidR="006C23EE" w:rsidRPr="00E930BA" w:rsidRDefault="006C23EE" w:rsidP="006C23EE">
            <w:r w:rsidRPr="00E930BA">
              <w:t>14.0058</w:t>
            </w:r>
          </w:p>
        </w:tc>
        <w:tc>
          <w:tcPr>
            <w:tcW w:w="634" w:type="pct"/>
            <w:tcBorders>
              <w:top w:val="nil"/>
              <w:bottom w:val="nil"/>
            </w:tcBorders>
            <w:shd w:val="clear" w:color="auto" w:fill="FFFFFF"/>
            <w:vAlign w:val="center"/>
          </w:tcPr>
          <w:p w14:paraId="79C9F7D1" w14:textId="77777777" w:rsidR="006C23EE" w:rsidRPr="00E930BA" w:rsidRDefault="006C23EE" w:rsidP="006C23EE">
            <w:r w:rsidRPr="00E930BA">
              <w:t>.18483</w:t>
            </w:r>
          </w:p>
        </w:tc>
      </w:tr>
      <w:tr w:rsidR="006C23EE" w:rsidRPr="00E930BA" w14:paraId="0993EFA2" w14:textId="77777777" w:rsidTr="006C23EE">
        <w:trPr>
          <w:cantSplit/>
          <w:trHeight w:val="571"/>
        </w:trPr>
        <w:tc>
          <w:tcPr>
            <w:tcW w:w="481" w:type="pct"/>
            <w:vMerge/>
            <w:tcBorders>
              <w:top w:val="nil"/>
              <w:bottom w:val="nil"/>
            </w:tcBorders>
            <w:shd w:val="clear" w:color="auto" w:fill="FFFFFF"/>
            <w:vAlign w:val="center"/>
          </w:tcPr>
          <w:p w14:paraId="11F22090" w14:textId="77777777" w:rsidR="006C23EE" w:rsidRPr="00E930BA" w:rsidRDefault="006C23EE" w:rsidP="006C23EE">
            <w:pPr>
              <w:rPr>
                <w:b/>
              </w:rPr>
            </w:pPr>
          </w:p>
        </w:tc>
        <w:tc>
          <w:tcPr>
            <w:tcW w:w="1115" w:type="pct"/>
            <w:tcBorders>
              <w:top w:val="nil"/>
              <w:bottom w:val="nil"/>
            </w:tcBorders>
            <w:shd w:val="clear" w:color="auto" w:fill="FFFFFF"/>
            <w:vAlign w:val="center"/>
          </w:tcPr>
          <w:p w14:paraId="10D7F9B3" w14:textId="77777777" w:rsidR="006C23EE" w:rsidRPr="00E930BA" w:rsidRDefault="006C23EE" w:rsidP="006C23EE">
            <w:pPr>
              <w:rPr>
                <w:b/>
              </w:rPr>
            </w:pPr>
            <w:r w:rsidRPr="00E930BA">
              <w:rPr>
                <w:b/>
              </w:rPr>
              <w:t>SLG</w:t>
            </w:r>
          </w:p>
        </w:tc>
        <w:tc>
          <w:tcPr>
            <w:tcW w:w="672" w:type="pct"/>
            <w:tcBorders>
              <w:top w:val="nil"/>
              <w:bottom w:val="nil"/>
            </w:tcBorders>
            <w:shd w:val="clear" w:color="auto" w:fill="FFFFFF"/>
            <w:vAlign w:val="center"/>
          </w:tcPr>
          <w:p w14:paraId="48930325" w14:textId="77777777" w:rsidR="006C23EE" w:rsidRPr="00E930BA" w:rsidRDefault="006C23EE" w:rsidP="006C23EE">
            <w:r w:rsidRPr="00E930BA">
              <w:t>108</w:t>
            </w:r>
          </w:p>
        </w:tc>
        <w:tc>
          <w:tcPr>
            <w:tcW w:w="703" w:type="pct"/>
            <w:tcBorders>
              <w:top w:val="nil"/>
              <w:bottom w:val="nil"/>
            </w:tcBorders>
            <w:shd w:val="clear" w:color="auto" w:fill="FFFFFF"/>
            <w:vAlign w:val="center"/>
          </w:tcPr>
          <w:p w14:paraId="4AEC8858" w14:textId="77777777" w:rsidR="006C23EE" w:rsidRPr="00E930BA" w:rsidRDefault="006C23EE" w:rsidP="006C23EE">
            <w:r w:rsidRPr="00E930BA">
              <w:t>.13</w:t>
            </w:r>
          </w:p>
        </w:tc>
        <w:tc>
          <w:tcPr>
            <w:tcW w:w="723" w:type="pct"/>
            <w:tcBorders>
              <w:top w:val="nil"/>
              <w:bottom w:val="nil"/>
            </w:tcBorders>
            <w:shd w:val="clear" w:color="auto" w:fill="FFFFFF"/>
            <w:vAlign w:val="center"/>
          </w:tcPr>
          <w:p w14:paraId="6F377301" w14:textId="77777777" w:rsidR="006C23EE" w:rsidRPr="00E930BA" w:rsidRDefault="006C23EE" w:rsidP="006C23EE">
            <w:r w:rsidRPr="00E930BA">
              <w:t>.24</w:t>
            </w:r>
          </w:p>
        </w:tc>
        <w:tc>
          <w:tcPr>
            <w:tcW w:w="672" w:type="pct"/>
            <w:tcBorders>
              <w:top w:val="nil"/>
              <w:bottom w:val="nil"/>
            </w:tcBorders>
            <w:shd w:val="clear" w:color="auto" w:fill="FFFFFF"/>
            <w:vAlign w:val="center"/>
          </w:tcPr>
          <w:p w14:paraId="3D43E1CD" w14:textId="77777777" w:rsidR="006C23EE" w:rsidRPr="00E930BA" w:rsidRDefault="006C23EE" w:rsidP="006C23EE">
            <w:r w:rsidRPr="00E930BA">
              <w:t>.1847</w:t>
            </w:r>
          </w:p>
        </w:tc>
        <w:tc>
          <w:tcPr>
            <w:tcW w:w="634" w:type="pct"/>
            <w:tcBorders>
              <w:top w:val="nil"/>
              <w:bottom w:val="nil"/>
            </w:tcBorders>
            <w:shd w:val="clear" w:color="auto" w:fill="FFFFFF"/>
            <w:vAlign w:val="center"/>
          </w:tcPr>
          <w:p w14:paraId="703A59CD" w14:textId="77777777" w:rsidR="006C23EE" w:rsidRPr="00E930BA" w:rsidRDefault="006C23EE" w:rsidP="006C23EE">
            <w:r w:rsidRPr="00E930BA">
              <w:t>.02025</w:t>
            </w:r>
          </w:p>
        </w:tc>
      </w:tr>
      <w:tr w:rsidR="006C23EE" w:rsidRPr="00E930BA" w14:paraId="5182BD2C" w14:textId="77777777" w:rsidTr="006C23EE">
        <w:trPr>
          <w:cantSplit/>
          <w:trHeight w:val="1250"/>
        </w:trPr>
        <w:tc>
          <w:tcPr>
            <w:tcW w:w="481" w:type="pct"/>
            <w:vMerge w:val="restart"/>
            <w:tcBorders>
              <w:top w:val="nil"/>
              <w:bottom w:val="nil"/>
            </w:tcBorders>
            <w:shd w:val="clear" w:color="auto" w:fill="FFFFFF"/>
            <w:vAlign w:val="center"/>
          </w:tcPr>
          <w:p w14:paraId="0B5CCB88" w14:textId="77777777" w:rsidR="006C23EE" w:rsidRPr="00E930BA" w:rsidRDefault="006C23EE" w:rsidP="006C23EE">
            <w:pPr>
              <w:rPr>
                <w:b/>
              </w:rPr>
            </w:pPr>
            <w:r w:rsidRPr="00E930BA">
              <w:rPr>
                <w:b/>
              </w:rPr>
              <w:t>M</w:t>
            </w:r>
          </w:p>
        </w:tc>
        <w:tc>
          <w:tcPr>
            <w:tcW w:w="1115" w:type="pct"/>
            <w:tcBorders>
              <w:top w:val="nil"/>
              <w:bottom w:val="nil"/>
            </w:tcBorders>
            <w:shd w:val="clear" w:color="auto" w:fill="FFFFFF"/>
            <w:vAlign w:val="center"/>
          </w:tcPr>
          <w:p w14:paraId="01F8E44C" w14:textId="77777777" w:rsidR="006C23EE" w:rsidRPr="00E930BA" w:rsidRDefault="006C23EE" w:rsidP="006C23EE">
            <w:pPr>
              <w:rPr>
                <w:b/>
              </w:rPr>
            </w:pPr>
            <w:r w:rsidRPr="00E930BA">
              <w:rPr>
                <w:b/>
              </w:rPr>
              <w:t>AGE</w:t>
            </w:r>
          </w:p>
        </w:tc>
        <w:tc>
          <w:tcPr>
            <w:tcW w:w="672" w:type="pct"/>
            <w:tcBorders>
              <w:top w:val="nil"/>
              <w:bottom w:val="nil"/>
            </w:tcBorders>
            <w:shd w:val="clear" w:color="auto" w:fill="FFFFFF"/>
            <w:vAlign w:val="center"/>
          </w:tcPr>
          <w:p w14:paraId="445ADA73" w14:textId="77777777" w:rsidR="006C23EE" w:rsidRPr="00E930BA" w:rsidRDefault="006C23EE" w:rsidP="006C23EE">
            <w:r w:rsidRPr="00E930BA">
              <w:t>93</w:t>
            </w:r>
          </w:p>
        </w:tc>
        <w:tc>
          <w:tcPr>
            <w:tcW w:w="703" w:type="pct"/>
            <w:tcBorders>
              <w:top w:val="nil"/>
              <w:bottom w:val="nil"/>
            </w:tcBorders>
            <w:shd w:val="clear" w:color="auto" w:fill="FFFFFF"/>
            <w:vAlign w:val="center"/>
          </w:tcPr>
          <w:p w14:paraId="6C7B5960" w14:textId="77777777" w:rsidR="006C23EE" w:rsidRPr="00E930BA" w:rsidRDefault="006C23EE" w:rsidP="006C23EE">
            <w:r w:rsidRPr="00E930BA">
              <w:t>18</w:t>
            </w:r>
          </w:p>
        </w:tc>
        <w:tc>
          <w:tcPr>
            <w:tcW w:w="723" w:type="pct"/>
            <w:tcBorders>
              <w:top w:val="nil"/>
              <w:bottom w:val="nil"/>
            </w:tcBorders>
            <w:shd w:val="clear" w:color="auto" w:fill="FFFFFF"/>
            <w:vAlign w:val="center"/>
          </w:tcPr>
          <w:p w14:paraId="5320A26C" w14:textId="77777777" w:rsidR="006C23EE" w:rsidRPr="00E930BA" w:rsidRDefault="006C23EE" w:rsidP="006C23EE">
            <w:r w:rsidRPr="00E930BA">
              <w:t>59</w:t>
            </w:r>
          </w:p>
        </w:tc>
        <w:tc>
          <w:tcPr>
            <w:tcW w:w="672" w:type="pct"/>
            <w:tcBorders>
              <w:top w:val="nil"/>
              <w:bottom w:val="nil"/>
            </w:tcBorders>
            <w:shd w:val="clear" w:color="auto" w:fill="FFFFFF"/>
            <w:vAlign w:val="center"/>
          </w:tcPr>
          <w:p w14:paraId="2603EE77" w14:textId="77777777" w:rsidR="006C23EE" w:rsidRPr="00E930BA" w:rsidRDefault="006C23EE" w:rsidP="006C23EE">
            <w:r w:rsidRPr="00E930BA">
              <w:t>37.20</w:t>
            </w:r>
          </w:p>
        </w:tc>
        <w:tc>
          <w:tcPr>
            <w:tcW w:w="634" w:type="pct"/>
            <w:tcBorders>
              <w:top w:val="nil"/>
              <w:bottom w:val="nil"/>
            </w:tcBorders>
            <w:shd w:val="clear" w:color="auto" w:fill="FFFFFF"/>
            <w:vAlign w:val="center"/>
          </w:tcPr>
          <w:p w14:paraId="7FE00DEA" w14:textId="77777777" w:rsidR="006C23EE" w:rsidRPr="00E930BA" w:rsidRDefault="006C23EE" w:rsidP="006C23EE">
            <w:r w:rsidRPr="00E930BA">
              <w:t>11.186</w:t>
            </w:r>
          </w:p>
        </w:tc>
      </w:tr>
      <w:tr w:rsidR="006C23EE" w:rsidRPr="00E930BA" w14:paraId="25339CE5" w14:textId="77777777" w:rsidTr="006C23EE">
        <w:trPr>
          <w:cantSplit/>
          <w:trHeight w:val="571"/>
        </w:trPr>
        <w:tc>
          <w:tcPr>
            <w:tcW w:w="481" w:type="pct"/>
            <w:vMerge/>
            <w:tcBorders>
              <w:top w:val="nil"/>
              <w:bottom w:val="nil"/>
            </w:tcBorders>
            <w:shd w:val="clear" w:color="auto" w:fill="FFFFFF"/>
            <w:vAlign w:val="center"/>
          </w:tcPr>
          <w:p w14:paraId="1FA021DE" w14:textId="77777777" w:rsidR="006C23EE" w:rsidRPr="00E930BA" w:rsidRDefault="006C23EE" w:rsidP="006C23EE"/>
        </w:tc>
        <w:tc>
          <w:tcPr>
            <w:tcW w:w="1115" w:type="pct"/>
            <w:tcBorders>
              <w:top w:val="nil"/>
              <w:bottom w:val="nil"/>
            </w:tcBorders>
            <w:shd w:val="clear" w:color="auto" w:fill="FFFFFF"/>
            <w:vAlign w:val="center"/>
          </w:tcPr>
          <w:p w14:paraId="5D40162B" w14:textId="77777777" w:rsidR="006C23EE" w:rsidRPr="00E930BA" w:rsidRDefault="006C23EE" w:rsidP="006C23EE">
            <w:pPr>
              <w:rPr>
                <w:b/>
              </w:rPr>
            </w:pPr>
            <w:r w:rsidRPr="00E930BA">
              <w:rPr>
                <w:b/>
              </w:rPr>
              <w:t>CH</w:t>
            </w:r>
          </w:p>
        </w:tc>
        <w:tc>
          <w:tcPr>
            <w:tcW w:w="672" w:type="pct"/>
            <w:tcBorders>
              <w:top w:val="nil"/>
              <w:bottom w:val="nil"/>
            </w:tcBorders>
            <w:shd w:val="clear" w:color="auto" w:fill="FFFFFF"/>
            <w:vAlign w:val="center"/>
          </w:tcPr>
          <w:p w14:paraId="7E9F4543" w14:textId="77777777" w:rsidR="006C23EE" w:rsidRPr="00E930BA" w:rsidRDefault="006C23EE" w:rsidP="006C23EE">
            <w:r w:rsidRPr="00E930BA">
              <w:t>93</w:t>
            </w:r>
          </w:p>
        </w:tc>
        <w:tc>
          <w:tcPr>
            <w:tcW w:w="703" w:type="pct"/>
            <w:tcBorders>
              <w:top w:val="nil"/>
              <w:bottom w:val="nil"/>
            </w:tcBorders>
            <w:shd w:val="clear" w:color="auto" w:fill="FFFFFF"/>
            <w:vAlign w:val="center"/>
          </w:tcPr>
          <w:p w14:paraId="3F310CC8" w14:textId="77777777" w:rsidR="006C23EE" w:rsidRPr="00E930BA" w:rsidRDefault="006C23EE" w:rsidP="006C23EE">
            <w:r w:rsidRPr="00E930BA">
              <w:t>3.06</w:t>
            </w:r>
          </w:p>
        </w:tc>
        <w:tc>
          <w:tcPr>
            <w:tcW w:w="723" w:type="pct"/>
            <w:tcBorders>
              <w:top w:val="nil"/>
              <w:bottom w:val="nil"/>
            </w:tcBorders>
            <w:shd w:val="clear" w:color="auto" w:fill="FFFFFF"/>
            <w:vAlign w:val="center"/>
          </w:tcPr>
          <w:p w14:paraId="57C42ECB" w14:textId="77777777" w:rsidR="006C23EE" w:rsidRPr="00E930BA" w:rsidRDefault="006C23EE" w:rsidP="006C23EE">
            <w:r w:rsidRPr="00E930BA">
              <w:t>3.61</w:t>
            </w:r>
          </w:p>
        </w:tc>
        <w:tc>
          <w:tcPr>
            <w:tcW w:w="672" w:type="pct"/>
            <w:tcBorders>
              <w:top w:val="nil"/>
              <w:bottom w:val="nil"/>
            </w:tcBorders>
            <w:shd w:val="clear" w:color="auto" w:fill="FFFFFF"/>
            <w:vAlign w:val="center"/>
          </w:tcPr>
          <w:p w14:paraId="1C440F4B" w14:textId="77777777" w:rsidR="006C23EE" w:rsidRPr="00E930BA" w:rsidRDefault="006C23EE" w:rsidP="006C23EE">
            <w:r w:rsidRPr="00E930BA">
              <w:t>3.3328</w:t>
            </w:r>
          </w:p>
        </w:tc>
        <w:tc>
          <w:tcPr>
            <w:tcW w:w="634" w:type="pct"/>
            <w:tcBorders>
              <w:top w:val="nil"/>
              <w:bottom w:val="nil"/>
            </w:tcBorders>
            <w:shd w:val="clear" w:color="auto" w:fill="FFFFFF"/>
            <w:vAlign w:val="center"/>
          </w:tcPr>
          <w:p w14:paraId="7A0B7926" w14:textId="77777777" w:rsidR="006C23EE" w:rsidRPr="00E930BA" w:rsidRDefault="006C23EE" w:rsidP="006C23EE">
            <w:r w:rsidRPr="00E930BA">
              <w:t>.10517</w:t>
            </w:r>
          </w:p>
        </w:tc>
      </w:tr>
      <w:tr w:rsidR="006C23EE" w:rsidRPr="00E930BA" w14:paraId="5D254DF9" w14:textId="77777777" w:rsidTr="006C23EE">
        <w:trPr>
          <w:cantSplit/>
          <w:trHeight w:val="571"/>
        </w:trPr>
        <w:tc>
          <w:tcPr>
            <w:tcW w:w="481" w:type="pct"/>
            <w:vMerge/>
            <w:tcBorders>
              <w:top w:val="nil"/>
              <w:bottom w:val="nil"/>
            </w:tcBorders>
            <w:shd w:val="clear" w:color="auto" w:fill="FFFFFF"/>
            <w:vAlign w:val="center"/>
          </w:tcPr>
          <w:p w14:paraId="4816BADB" w14:textId="77777777" w:rsidR="006C23EE" w:rsidRPr="00E930BA" w:rsidRDefault="006C23EE" w:rsidP="006C23EE"/>
        </w:tc>
        <w:tc>
          <w:tcPr>
            <w:tcW w:w="1115" w:type="pct"/>
            <w:tcBorders>
              <w:top w:val="nil"/>
              <w:bottom w:val="nil"/>
            </w:tcBorders>
            <w:shd w:val="clear" w:color="auto" w:fill="FFFFFF"/>
            <w:vAlign w:val="center"/>
          </w:tcPr>
          <w:p w14:paraId="2B0B5035" w14:textId="77777777" w:rsidR="006C23EE" w:rsidRPr="00E930BA" w:rsidRDefault="006C23EE" w:rsidP="006C23EE">
            <w:pPr>
              <w:rPr>
                <w:b/>
              </w:rPr>
            </w:pPr>
            <w:r w:rsidRPr="00E930BA">
              <w:rPr>
                <w:b/>
              </w:rPr>
              <w:t>CL</w:t>
            </w:r>
          </w:p>
        </w:tc>
        <w:tc>
          <w:tcPr>
            <w:tcW w:w="672" w:type="pct"/>
            <w:tcBorders>
              <w:top w:val="nil"/>
              <w:bottom w:val="nil"/>
            </w:tcBorders>
            <w:shd w:val="clear" w:color="auto" w:fill="FFFFFF"/>
            <w:vAlign w:val="center"/>
          </w:tcPr>
          <w:p w14:paraId="6C10C343" w14:textId="77777777" w:rsidR="006C23EE" w:rsidRPr="00E930BA" w:rsidRDefault="006C23EE" w:rsidP="006C23EE">
            <w:r w:rsidRPr="00E930BA">
              <w:t>93</w:t>
            </w:r>
          </w:p>
        </w:tc>
        <w:tc>
          <w:tcPr>
            <w:tcW w:w="703" w:type="pct"/>
            <w:tcBorders>
              <w:top w:val="nil"/>
              <w:bottom w:val="nil"/>
            </w:tcBorders>
            <w:shd w:val="clear" w:color="auto" w:fill="FFFFFF"/>
            <w:vAlign w:val="center"/>
          </w:tcPr>
          <w:p w14:paraId="5A1FE284" w14:textId="77777777" w:rsidR="006C23EE" w:rsidRPr="00E930BA" w:rsidRDefault="006C23EE" w:rsidP="006C23EE">
            <w:r w:rsidRPr="00E930BA">
              <w:t>2.06</w:t>
            </w:r>
          </w:p>
        </w:tc>
        <w:tc>
          <w:tcPr>
            <w:tcW w:w="723" w:type="pct"/>
            <w:tcBorders>
              <w:top w:val="nil"/>
              <w:bottom w:val="nil"/>
            </w:tcBorders>
            <w:shd w:val="clear" w:color="auto" w:fill="FFFFFF"/>
            <w:vAlign w:val="center"/>
          </w:tcPr>
          <w:p w14:paraId="1441C17D" w14:textId="77777777" w:rsidR="006C23EE" w:rsidRPr="00E930BA" w:rsidRDefault="006C23EE" w:rsidP="006C23EE">
            <w:r w:rsidRPr="00E930BA">
              <w:t>2.29</w:t>
            </w:r>
          </w:p>
        </w:tc>
        <w:tc>
          <w:tcPr>
            <w:tcW w:w="672" w:type="pct"/>
            <w:tcBorders>
              <w:top w:val="nil"/>
              <w:bottom w:val="nil"/>
            </w:tcBorders>
            <w:shd w:val="clear" w:color="auto" w:fill="FFFFFF"/>
            <w:vAlign w:val="center"/>
          </w:tcPr>
          <w:p w14:paraId="39A8A297" w14:textId="77777777" w:rsidR="006C23EE" w:rsidRPr="00E930BA" w:rsidRDefault="006C23EE" w:rsidP="006C23EE">
            <w:r w:rsidRPr="00E930BA">
              <w:t>2.1663</w:t>
            </w:r>
          </w:p>
        </w:tc>
        <w:tc>
          <w:tcPr>
            <w:tcW w:w="634" w:type="pct"/>
            <w:tcBorders>
              <w:top w:val="nil"/>
              <w:bottom w:val="nil"/>
            </w:tcBorders>
            <w:shd w:val="clear" w:color="auto" w:fill="FFFFFF"/>
            <w:vAlign w:val="center"/>
          </w:tcPr>
          <w:p w14:paraId="15724DF4" w14:textId="77777777" w:rsidR="006C23EE" w:rsidRPr="00E930BA" w:rsidRDefault="006C23EE" w:rsidP="006C23EE">
            <w:r w:rsidRPr="00E930BA">
              <w:t>.04901</w:t>
            </w:r>
          </w:p>
        </w:tc>
      </w:tr>
      <w:tr w:rsidR="006C23EE" w:rsidRPr="00E930BA" w14:paraId="3EC70CEA" w14:textId="77777777" w:rsidTr="006C23EE">
        <w:trPr>
          <w:cantSplit/>
          <w:trHeight w:val="571"/>
        </w:trPr>
        <w:tc>
          <w:tcPr>
            <w:tcW w:w="481" w:type="pct"/>
            <w:vMerge/>
            <w:tcBorders>
              <w:top w:val="nil"/>
              <w:bottom w:val="nil"/>
            </w:tcBorders>
            <w:shd w:val="clear" w:color="auto" w:fill="FFFFFF"/>
            <w:vAlign w:val="center"/>
          </w:tcPr>
          <w:p w14:paraId="7B2D3C78" w14:textId="77777777" w:rsidR="006C23EE" w:rsidRPr="00E930BA" w:rsidRDefault="006C23EE" w:rsidP="006C23EE"/>
        </w:tc>
        <w:tc>
          <w:tcPr>
            <w:tcW w:w="1115" w:type="pct"/>
            <w:tcBorders>
              <w:top w:val="nil"/>
              <w:bottom w:val="nil"/>
            </w:tcBorders>
            <w:shd w:val="clear" w:color="auto" w:fill="FFFFFF"/>
            <w:vAlign w:val="center"/>
          </w:tcPr>
          <w:p w14:paraId="1175C0D5" w14:textId="77777777" w:rsidR="006C23EE" w:rsidRPr="00E930BA" w:rsidRDefault="006C23EE" w:rsidP="006C23EE">
            <w:pPr>
              <w:rPr>
                <w:b/>
              </w:rPr>
            </w:pPr>
            <w:r w:rsidRPr="00E930BA">
              <w:rPr>
                <w:b/>
              </w:rPr>
              <w:t>LW</w:t>
            </w:r>
          </w:p>
        </w:tc>
        <w:tc>
          <w:tcPr>
            <w:tcW w:w="672" w:type="pct"/>
            <w:tcBorders>
              <w:top w:val="nil"/>
              <w:bottom w:val="nil"/>
            </w:tcBorders>
            <w:shd w:val="clear" w:color="auto" w:fill="FFFFFF"/>
            <w:vAlign w:val="center"/>
          </w:tcPr>
          <w:p w14:paraId="6D735AF5" w14:textId="77777777" w:rsidR="006C23EE" w:rsidRPr="00E930BA" w:rsidRDefault="006C23EE" w:rsidP="006C23EE">
            <w:r w:rsidRPr="00E930BA">
              <w:t>93</w:t>
            </w:r>
          </w:p>
        </w:tc>
        <w:tc>
          <w:tcPr>
            <w:tcW w:w="703" w:type="pct"/>
            <w:tcBorders>
              <w:top w:val="nil"/>
              <w:bottom w:val="nil"/>
            </w:tcBorders>
            <w:shd w:val="clear" w:color="auto" w:fill="FFFFFF"/>
            <w:vAlign w:val="center"/>
          </w:tcPr>
          <w:p w14:paraId="7D754FF4" w14:textId="77777777" w:rsidR="006C23EE" w:rsidRPr="00E930BA" w:rsidRDefault="006C23EE" w:rsidP="006C23EE">
            <w:r w:rsidRPr="00E930BA">
              <w:t>13.72</w:t>
            </w:r>
          </w:p>
        </w:tc>
        <w:tc>
          <w:tcPr>
            <w:tcW w:w="723" w:type="pct"/>
            <w:tcBorders>
              <w:top w:val="nil"/>
              <w:bottom w:val="nil"/>
            </w:tcBorders>
            <w:shd w:val="clear" w:color="auto" w:fill="FFFFFF"/>
            <w:vAlign w:val="center"/>
          </w:tcPr>
          <w:p w14:paraId="188933A9" w14:textId="77777777" w:rsidR="006C23EE" w:rsidRPr="00E930BA" w:rsidRDefault="006C23EE" w:rsidP="006C23EE">
            <w:r w:rsidRPr="00E930BA">
              <w:t>14.65</w:t>
            </w:r>
          </w:p>
        </w:tc>
        <w:tc>
          <w:tcPr>
            <w:tcW w:w="672" w:type="pct"/>
            <w:tcBorders>
              <w:top w:val="nil"/>
              <w:bottom w:val="nil"/>
            </w:tcBorders>
            <w:shd w:val="clear" w:color="auto" w:fill="FFFFFF"/>
            <w:vAlign w:val="center"/>
          </w:tcPr>
          <w:p w14:paraId="628FA326" w14:textId="77777777" w:rsidR="006C23EE" w:rsidRPr="00E930BA" w:rsidRDefault="006C23EE" w:rsidP="006C23EE">
            <w:r w:rsidRPr="00E930BA">
              <w:t>14.0630</w:t>
            </w:r>
          </w:p>
        </w:tc>
        <w:tc>
          <w:tcPr>
            <w:tcW w:w="634" w:type="pct"/>
            <w:tcBorders>
              <w:top w:val="nil"/>
              <w:bottom w:val="nil"/>
            </w:tcBorders>
            <w:shd w:val="clear" w:color="auto" w:fill="FFFFFF"/>
            <w:vAlign w:val="center"/>
          </w:tcPr>
          <w:p w14:paraId="3B72D0F5" w14:textId="77777777" w:rsidR="006C23EE" w:rsidRPr="00E930BA" w:rsidRDefault="006C23EE" w:rsidP="006C23EE">
            <w:r w:rsidRPr="00E930BA">
              <w:t>.19115</w:t>
            </w:r>
          </w:p>
        </w:tc>
      </w:tr>
      <w:tr w:rsidR="006C23EE" w:rsidRPr="00E930BA" w14:paraId="77F428F3" w14:textId="77777777" w:rsidTr="006C23EE">
        <w:trPr>
          <w:cantSplit/>
          <w:trHeight w:val="571"/>
        </w:trPr>
        <w:tc>
          <w:tcPr>
            <w:tcW w:w="481" w:type="pct"/>
            <w:vMerge/>
            <w:tcBorders>
              <w:top w:val="nil"/>
              <w:bottom w:val="nil"/>
            </w:tcBorders>
            <w:shd w:val="clear" w:color="auto" w:fill="FFFFFF"/>
            <w:vAlign w:val="center"/>
          </w:tcPr>
          <w:p w14:paraId="7547328A" w14:textId="77777777" w:rsidR="006C23EE" w:rsidRPr="00E930BA" w:rsidRDefault="006C23EE" w:rsidP="006C23EE"/>
        </w:tc>
        <w:tc>
          <w:tcPr>
            <w:tcW w:w="1115" w:type="pct"/>
            <w:tcBorders>
              <w:top w:val="nil"/>
              <w:bottom w:val="nil"/>
            </w:tcBorders>
            <w:shd w:val="clear" w:color="auto" w:fill="FFFFFF"/>
            <w:vAlign w:val="center"/>
          </w:tcPr>
          <w:p w14:paraId="476AC78D" w14:textId="77777777" w:rsidR="006C23EE" w:rsidRPr="00E930BA" w:rsidRDefault="006C23EE" w:rsidP="006C23EE">
            <w:pPr>
              <w:rPr>
                <w:b/>
              </w:rPr>
            </w:pPr>
            <w:r w:rsidRPr="00E930BA">
              <w:rPr>
                <w:b/>
              </w:rPr>
              <w:t>SLG</w:t>
            </w:r>
          </w:p>
        </w:tc>
        <w:tc>
          <w:tcPr>
            <w:tcW w:w="672" w:type="pct"/>
            <w:tcBorders>
              <w:top w:val="nil"/>
              <w:bottom w:val="nil"/>
            </w:tcBorders>
            <w:shd w:val="clear" w:color="auto" w:fill="FFFFFF"/>
            <w:vAlign w:val="center"/>
          </w:tcPr>
          <w:p w14:paraId="667649F5" w14:textId="77777777" w:rsidR="006C23EE" w:rsidRPr="00E930BA" w:rsidRDefault="006C23EE" w:rsidP="006C23EE">
            <w:r w:rsidRPr="00E930BA">
              <w:t>93</w:t>
            </w:r>
          </w:p>
        </w:tc>
        <w:tc>
          <w:tcPr>
            <w:tcW w:w="703" w:type="pct"/>
            <w:tcBorders>
              <w:top w:val="nil"/>
              <w:bottom w:val="nil"/>
            </w:tcBorders>
            <w:shd w:val="clear" w:color="auto" w:fill="FFFFFF"/>
            <w:vAlign w:val="center"/>
          </w:tcPr>
          <w:p w14:paraId="63001EC2" w14:textId="77777777" w:rsidR="006C23EE" w:rsidRPr="00E930BA" w:rsidRDefault="006C23EE" w:rsidP="006C23EE">
            <w:r w:rsidRPr="00E930BA">
              <w:t>.18</w:t>
            </w:r>
          </w:p>
        </w:tc>
        <w:tc>
          <w:tcPr>
            <w:tcW w:w="723" w:type="pct"/>
            <w:tcBorders>
              <w:top w:val="nil"/>
              <w:bottom w:val="nil"/>
            </w:tcBorders>
            <w:shd w:val="clear" w:color="auto" w:fill="FFFFFF"/>
            <w:vAlign w:val="center"/>
          </w:tcPr>
          <w:p w14:paraId="16A8E1C1" w14:textId="77777777" w:rsidR="006C23EE" w:rsidRPr="00E930BA" w:rsidRDefault="006C23EE" w:rsidP="006C23EE">
            <w:r w:rsidRPr="00E930BA">
              <w:t>.27</w:t>
            </w:r>
          </w:p>
        </w:tc>
        <w:tc>
          <w:tcPr>
            <w:tcW w:w="672" w:type="pct"/>
            <w:tcBorders>
              <w:top w:val="nil"/>
              <w:bottom w:val="nil"/>
            </w:tcBorders>
            <w:shd w:val="clear" w:color="auto" w:fill="FFFFFF"/>
            <w:vAlign w:val="center"/>
          </w:tcPr>
          <w:p w14:paraId="67E96474" w14:textId="77777777" w:rsidR="006C23EE" w:rsidRPr="00E930BA" w:rsidRDefault="006C23EE" w:rsidP="006C23EE">
            <w:r w:rsidRPr="00E930BA">
              <w:t>.2215</w:t>
            </w:r>
          </w:p>
        </w:tc>
        <w:tc>
          <w:tcPr>
            <w:tcW w:w="634" w:type="pct"/>
            <w:tcBorders>
              <w:top w:val="nil"/>
              <w:bottom w:val="nil"/>
            </w:tcBorders>
            <w:shd w:val="clear" w:color="auto" w:fill="FFFFFF"/>
            <w:vAlign w:val="center"/>
          </w:tcPr>
          <w:p w14:paraId="7FBFB0F2" w14:textId="77777777" w:rsidR="006C23EE" w:rsidRPr="00E930BA" w:rsidRDefault="006C23EE" w:rsidP="006C23EE">
            <w:r w:rsidRPr="00E930BA">
              <w:t>.01888</w:t>
            </w:r>
          </w:p>
        </w:tc>
      </w:tr>
      <w:tr w:rsidR="006C23EE" w:rsidRPr="00E930BA" w14:paraId="568F7852" w14:textId="77777777" w:rsidTr="006C23EE">
        <w:trPr>
          <w:cantSplit/>
          <w:trHeight w:val="571"/>
        </w:trPr>
        <w:tc>
          <w:tcPr>
            <w:tcW w:w="481" w:type="pct"/>
            <w:vMerge/>
            <w:tcBorders>
              <w:top w:val="nil"/>
              <w:bottom w:val="nil"/>
            </w:tcBorders>
            <w:shd w:val="clear" w:color="auto" w:fill="FFFFFF"/>
            <w:vAlign w:val="center"/>
          </w:tcPr>
          <w:p w14:paraId="6CD3E7FD" w14:textId="77777777" w:rsidR="006C23EE" w:rsidRPr="00E930BA" w:rsidRDefault="006C23EE" w:rsidP="006C23EE"/>
        </w:tc>
        <w:tc>
          <w:tcPr>
            <w:tcW w:w="1115" w:type="pct"/>
            <w:tcBorders>
              <w:top w:val="nil"/>
              <w:bottom w:val="nil"/>
            </w:tcBorders>
            <w:shd w:val="clear" w:color="auto" w:fill="FFFFFF"/>
            <w:vAlign w:val="center"/>
          </w:tcPr>
          <w:p w14:paraId="1877BC8A" w14:textId="77777777" w:rsidR="006C23EE" w:rsidRPr="00E930BA" w:rsidRDefault="006C23EE" w:rsidP="006C23EE">
            <w:pPr>
              <w:rPr>
                <w:b/>
              </w:rPr>
            </w:pPr>
            <w:r w:rsidRPr="00E930BA">
              <w:rPr>
                <w:b/>
              </w:rPr>
              <w:t>Valid N (listwise)</w:t>
            </w:r>
          </w:p>
        </w:tc>
        <w:tc>
          <w:tcPr>
            <w:tcW w:w="672" w:type="pct"/>
            <w:tcBorders>
              <w:top w:val="nil"/>
              <w:bottom w:val="nil"/>
            </w:tcBorders>
            <w:shd w:val="clear" w:color="auto" w:fill="FFFFFF"/>
            <w:vAlign w:val="center"/>
          </w:tcPr>
          <w:p w14:paraId="4488B5B3" w14:textId="77777777" w:rsidR="006C23EE" w:rsidRPr="00E930BA" w:rsidRDefault="006C23EE" w:rsidP="006C23EE">
            <w:r w:rsidRPr="00E930BA">
              <w:t>93</w:t>
            </w:r>
          </w:p>
        </w:tc>
        <w:tc>
          <w:tcPr>
            <w:tcW w:w="703" w:type="pct"/>
            <w:tcBorders>
              <w:top w:val="nil"/>
              <w:bottom w:val="nil"/>
            </w:tcBorders>
            <w:shd w:val="clear" w:color="auto" w:fill="FFFFFF"/>
            <w:vAlign w:val="center"/>
          </w:tcPr>
          <w:p w14:paraId="4BAF7D60" w14:textId="77777777" w:rsidR="006C23EE" w:rsidRPr="00E930BA" w:rsidRDefault="006C23EE" w:rsidP="006C23EE"/>
        </w:tc>
        <w:tc>
          <w:tcPr>
            <w:tcW w:w="723" w:type="pct"/>
            <w:tcBorders>
              <w:top w:val="nil"/>
              <w:bottom w:val="nil"/>
            </w:tcBorders>
            <w:shd w:val="clear" w:color="auto" w:fill="FFFFFF"/>
            <w:vAlign w:val="center"/>
          </w:tcPr>
          <w:p w14:paraId="2669B48D" w14:textId="77777777" w:rsidR="006C23EE" w:rsidRPr="00E930BA" w:rsidRDefault="006C23EE" w:rsidP="006C23EE"/>
        </w:tc>
        <w:tc>
          <w:tcPr>
            <w:tcW w:w="672" w:type="pct"/>
            <w:tcBorders>
              <w:top w:val="nil"/>
              <w:bottom w:val="nil"/>
            </w:tcBorders>
            <w:shd w:val="clear" w:color="auto" w:fill="FFFFFF"/>
            <w:vAlign w:val="center"/>
          </w:tcPr>
          <w:p w14:paraId="4040558C" w14:textId="77777777" w:rsidR="006C23EE" w:rsidRPr="00E930BA" w:rsidRDefault="006C23EE" w:rsidP="006C23EE"/>
        </w:tc>
        <w:tc>
          <w:tcPr>
            <w:tcW w:w="634" w:type="pct"/>
            <w:tcBorders>
              <w:top w:val="nil"/>
              <w:bottom w:val="nil"/>
            </w:tcBorders>
            <w:shd w:val="clear" w:color="auto" w:fill="FFFFFF"/>
            <w:vAlign w:val="center"/>
          </w:tcPr>
          <w:p w14:paraId="7F1EAAE8" w14:textId="77777777" w:rsidR="006C23EE" w:rsidRPr="00E930BA" w:rsidRDefault="006C23EE" w:rsidP="006C23EE"/>
        </w:tc>
      </w:tr>
    </w:tbl>
    <w:p w14:paraId="7CD15188" w14:textId="77777777" w:rsidR="004D521D" w:rsidRDefault="004D521D"/>
    <w:tbl>
      <w:tblPr>
        <w:tblW w:w="0" w:type="auto"/>
        <w:tblLayout w:type="fixed"/>
        <w:tblCellMar>
          <w:left w:w="0" w:type="dxa"/>
          <w:right w:w="0" w:type="dxa"/>
        </w:tblCellMar>
        <w:tblLook w:val="0000" w:firstRow="0" w:lastRow="0" w:firstColumn="0" w:lastColumn="0" w:noHBand="0" w:noVBand="0"/>
      </w:tblPr>
      <w:tblGrid>
        <w:gridCol w:w="874"/>
        <w:gridCol w:w="1918"/>
        <w:gridCol w:w="1153"/>
        <w:gridCol w:w="1204"/>
        <w:gridCol w:w="1241"/>
        <w:gridCol w:w="1153"/>
        <w:gridCol w:w="1097"/>
      </w:tblGrid>
      <w:tr w:rsidR="004D521D" w:rsidRPr="004D521D" w14:paraId="23A36873" w14:textId="77777777" w:rsidTr="00C83AD1">
        <w:trPr>
          <w:cantSplit/>
          <w:trHeight w:val="20"/>
        </w:trPr>
        <w:tc>
          <w:tcPr>
            <w:tcW w:w="8640" w:type="dxa"/>
            <w:gridSpan w:val="7"/>
            <w:tcBorders>
              <w:bottom w:val="single" w:sz="4" w:space="0" w:color="auto"/>
            </w:tcBorders>
            <w:shd w:val="clear" w:color="auto" w:fill="FFFFFF"/>
            <w:vAlign w:val="center"/>
          </w:tcPr>
          <w:p w14:paraId="7DD9D885" w14:textId="236EB430" w:rsidR="004D521D" w:rsidRDefault="004D521D" w:rsidP="0039252C">
            <w:pPr>
              <w:jc w:val="both"/>
            </w:pPr>
            <w:r w:rsidRPr="004D521D">
              <w:rPr>
                <w:bCs/>
              </w:rPr>
              <w:lastRenderedPageBreak/>
              <w:t xml:space="preserve">Table 4 </w:t>
            </w:r>
            <w:r w:rsidR="0039252C" w:rsidRPr="0039252C">
              <w:rPr>
                <w:bCs/>
              </w:rPr>
              <w:t xml:space="preserve">summarizes the distribution of all measured parameters according to </w:t>
            </w:r>
            <w:r w:rsidR="0039252C">
              <w:rPr>
                <w:bCs/>
              </w:rPr>
              <w:t>studied age groups</w:t>
            </w:r>
            <w:r w:rsidR="0039252C" w:rsidRPr="0039252C">
              <w:rPr>
                <w:bCs/>
              </w:rPr>
              <w:t>.</w:t>
            </w:r>
            <w:r w:rsidR="0039252C">
              <w:rPr>
                <w:bCs/>
              </w:rPr>
              <w:t xml:space="preserve"> It </w:t>
            </w:r>
            <w:r w:rsidRPr="004D521D">
              <w:t>suggests that age has little influence on adult carpal bone dimensions.</w:t>
            </w:r>
          </w:p>
          <w:p w14:paraId="2954573C" w14:textId="01EBD35F" w:rsidR="004D521D" w:rsidRPr="004D521D" w:rsidRDefault="0039252C" w:rsidP="0039252C">
            <w:pPr>
              <w:jc w:val="center"/>
            </w:pPr>
            <w:r w:rsidRPr="004D521D">
              <w:rPr>
                <w:b/>
                <w:bCs/>
              </w:rPr>
              <w:t xml:space="preserve">Table </w:t>
            </w:r>
            <w:r>
              <w:rPr>
                <w:b/>
                <w:bCs/>
              </w:rPr>
              <w:t>4</w:t>
            </w:r>
            <w:r w:rsidRPr="004D521D">
              <w:rPr>
                <w:b/>
                <w:bCs/>
              </w:rPr>
              <w:t xml:space="preserve">: </w:t>
            </w:r>
            <w:r>
              <w:rPr>
                <w:b/>
                <w:bCs/>
              </w:rPr>
              <w:t xml:space="preserve">Summary distribution </w:t>
            </w:r>
            <w:r w:rsidRPr="004D521D">
              <w:rPr>
                <w:b/>
                <w:bCs/>
              </w:rPr>
              <w:t xml:space="preserve">of all </w:t>
            </w:r>
            <w:r>
              <w:rPr>
                <w:b/>
                <w:bCs/>
              </w:rPr>
              <w:t>measured parameters across various age groups</w:t>
            </w:r>
            <w:r w:rsidRPr="004D521D">
              <w:rPr>
                <w:b/>
                <w:bCs/>
              </w:rPr>
              <w:t>.</w:t>
            </w:r>
            <w:r>
              <w:rPr>
                <w:b/>
                <w:bCs/>
              </w:rPr>
              <w:t xml:space="preserve"> </w:t>
            </w:r>
          </w:p>
        </w:tc>
      </w:tr>
      <w:tr w:rsidR="004D521D" w:rsidRPr="004D521D" w14:paraId="42E5043C" w14:textId="77777777" w:rsidTr="00C83AD1">
        <w:trPr>
          <w:cantSplit/>
          <w:trHeight w:val="20"/>
        </w:trPr>
        <w:tc>
          <w:tcPr>
            <w:tcW w:w="2792" w:type="dxa"/>
            <w:gridSpan w:val="2"/>
            <w:tcBorders>
              <w:top w:val="single" w:sz="4" w:space="0" w:color="auto"/>
              <w:bottom w:val="single" w:sz="4" w:space="0" w:color="auto"/>
            </w:tcBorders>
            <w:shd w:val="clear" w:color="auto" w:fill="FFFFFF"/>
            <w:vAlign w:val="center"/>
          </w:tcPr>
          <w:p w14:paraId="4EEABA79" w14:textId="77777777" w:rsidR="004D521D" w:rsidRPr="004D521D" w:rsidRDefault="004D521D" w:rsidP="004D521D">
            <w:pPr>
              <w:rPr>
                <w:b/>
              </w:rPr>
            </w:pPr>
            <w:r w:rsidRPr="004D521D">
              <w:rPr>
                <w:b/>
              </w:rPr>
              <w:t>Age Group</w:t>
            </w:r>
          </w:p>
        </w:tc>
        <w:tc>
          <w:tcPr>
            <w:tcW w:w="1153" w:type="dxa"/>
            <w:tcBorders>
              <w:top w:val="single" w:sz="4" w:space="0" w:color="auto"/>
              <w:bottom w:val="single" w:sz="4" w:space="0" w:color="auto"/>
            </w:tcBorders>
            <w:shd w:val="clear" w:color="auto" w:fill="FFFFFF"/>
            <w:vAlign w:val="center"/>
          </w:tcPr>
          <w:p w14:paraId="1E00A4BA" w14:textId="77777777" w:rsidR="004D521D" w:rsidRPr="004D521D" w:rsidRDefault="004D521D" w:rsidP="004D521D">
            <w:pPr>
              <w:rPr>
                <w:b/>
              </w:rPr>
            </w:pPr>
            <w:r w:rsidRPr="004D521D">
              <w:rPr>
                <w:b/>
              </w:rPr>
              <w:t>N</w:t>
            </w:r>
          </w:p>
        </w:tc>
        <w:tc>
          <w:tcPr>
            <w:tcW w:w="1204" w:type="dxa"/>
            <w:tcBorders>
              <w:top w:val="single" w:sz="4" w:space="0" w:color="auto"/>
              <w:bottom w:val="single" w:sz="4" w:space="0" w:color="auto"/>
            </w:tcBorders>
            <w:shd w:val="clear" w:color="auto" w:fill="FFFFFF"/>
            <w:vAlign w:val="center"/>
          </w:tcPr>
          <w:p w14:paraId="19BC3536" w14:textId="77777777" w:rsidR="004D521D" w:rsidRPr="004D521D" w:rsidRDefault="004D521D" w:rsidP="004D521D">
            <w:pPr>
              <w:rPr>
                <w:b/>
              </w:rPr>
            </w:pPr>
            <w:r w:rsidRPr="004D521D">
              <w:rPr>
                <w:b/>
              </w:rPr>
              <w:t>Minimum</w:t>
            </w:r>
          </w:p>
        </w:tc>
        <w:tc>
          <w:tcPr>
            <w:tcW w:w="1241" w:type="dxa"/>
            <w:tcBorders>
              <w:top w:val="single" w:sz="4" w:space="0" w:color="auto"/>
              <w:bottom w:val="single" w:sz="4" w:space="0" w:color="auto"/>
            </w:tcBorders>
            <w:shd w:val="clear" w:color="auto" w:fill="FFFFFF"/>
            <w:vAlign w:val="center"/>
          </w:tcPr>
          <w:p w14:paraId="64521096" w14:textId="77777777" w:rsidR="004D521D" w:rsidRPr="004D521D" w:rsidRDefault="004D521D" w:rsidP="004D521D">
            <w:pPr>
              <w:rPr>
                <w:b/>
              </w:rPr>
            </w:pPr>
            <w:r w:rsidRPr="004D521D">
              <w:rPr>
                <w:b/>
              </w:rPr>
              <w:t>Maximum</w:t>
            </w:r>
          </w:p>
        </w:tc>
        <w:tc>
          <w:tcPr>
            <w:tcW w:w="1153" w:type="dxa"/>
            <w:tcBorders>
              <w:top w:val="single" w:sz="4" w:space="0" w:color="auto"/>
              <w:bottom w:val="single" w:sz="4" w:space="0" w:color="auto"/>
            </w:tcBorders>
            <w:shd w:val="clear" w:color="auto" w:fill="FFFFFF"/>
            <w:vAlign w:val="center"/>
          </w:tcPr>
          <w:p w14:paraId="3B533EA2" w14:textId="77777777" w:rsidR="004D521D" w:rsidRPr="004D521D" w:rsidRDefault="004D521D" w:rsidP="004D521D">
            <w:pPr>
              <w:rPr>
                <w:b/>
              </w:rPr>
            </w:pPr>
            <w:r w:rsidRPr="004D521D">
              <w:rPr>
                <w:b/>
              </w:rPr>
              <w:t>Mean</w:t>
            </w:r>
          </w:p>
        </w:tc>
        <w:tc>
          <w:tcPr>
            <w:tcW w:w="1097" w:type="dxa"/>
            <w:tcBorders>
              <w:top w:val="single" w:sz="4" w:space="0" w:color="auto"/>
              <w:bottom w:val="single" w:sz="4" w:space="0" w:color="auto"/>
            </w:tcBorders>
            <w:shd w:val="clear" w:color="auto" w:fill="FFFFFF"/>
            <w:vAlign w:val="center"/>
          </w:tcPr>
          <w:p w14:paraId="03969529" w14:textId="77777777" w:rsidR="004D521D" w:rsidRPr="004D521D" w:rsidRDefault="004D521D" w:rsidP="004D521D">
            <w:pPr>
              <w:rPr>
                <w:b/>
              </w:rPr>
            </w:pPr>
            <w:r w:rsidRPr="004D521D">
              <w:rPr>
                <w:b/>
              </w:rPr>
              <w:t>Std. Deviation</w:t>
            </w:r>
          </w:p>
        </w:tc>
      </w:tr>
      <w:tr w:rsidR="004D521D" w:rsidRPr="004D521D" w14:paraId="3218E9DB" w14:textId="77777777" w:rsidTr="00C83AD1">
        <w:trPr>
          <w:cantSplit/>
          <w:trHeight w:val="20"/>
        </w:trPr>
        <w:tc>
          <w:tcPr>
            <w:tcW w:w="874" w:type="dxa"/>
            <w:vMerge w:val="restart"/>
            <w:tcBorders>
              <w:top w:val="single" w:sz="4" w:space="0" w:color="auto"/>
            </w:tcBorders>
            <w:shd w:val="clear" w:color="auto" w:fill="FFFFFF"/>
            <w:vAlign w:val="center"/>
          </w:tcPr>
          <w:p w14:paraId="66E0506E" w14:textId="77777777" w:rsidR="004D521D" w:rsidRPr="004D521D" w:rsidRDefault="004D521D" w:rsidP="004D521D">
            <w:pPr>
              <w:rPr>
                <w:b/>
              </w:rPr>
            </w:pPr>
            <w:r w:rsidRPr="004D521D">
              <w:rPr>
                <w:b/>
              </w:rPr>
              <w:t>&lt;21</w:t>
            </w:r>
          </w:p>
        </w:tc>
        <w:tc>
          <w:tcPr>
            <w:tcW w:w="1918" w:type="dxa"/>
            <w:tcBorders>
              <w:top w:val="single" w:sz="4" w:space="0" w:color="auto"/>
            </w:tcBorders>
            <w:shd w:val="clear" w:color="auto" w:fill="FFFFFF"/>
            <w:vAlign w:val="center"/>
          </w:tcPr>
          <w:p w14:paraId="467A759C" w14:textId="77777777" w:rsidR="004D521D" w:rsidRPr="004D521D" w:rsidRDefault="004D521D" w:rsidP="004D521D">
            <w:pPr>
              <w:rPr>
                <w:b/>
              </w:rPr>
            </w:pPr>
            <w:r w:rsidRPr="004D521D">
              <w:rPr>
                <w:b/>
              </w:rPr>
              <w:t>AGE</w:t>
            </w:r>
          </w:p>
        </w:tc>
        <w:tc>
          <w:tcPr>
            <w:tcW w:w="1153" w:type="dxa"/>
            <w:tcBorders>
              <w:top w:val="single" w:sz="4" w:space="0" w:color="auto"/>
            </w:tcBorders>
            <w:shd w:val="clear" w:color="auto" w:fill="FFFFFF"/>
            <w:vAlign w:val="center"/>
          </w:tcPr>
          <w:p w14:paraId="62FEBFDB" w14:textId="77777777" w:rsidR="004D521D" w:rsidRPr="004D521D" w:rsidRDefault="004D521D" w:rsidP="004D521D">
            <w:r w:rsidRPr="004D521D">
              <w:t>9</w:t>
            </w:r>
          </w:p>
        </w:tc>
        <w:tc>
          <w:tcPr>
            <w:tcW w:w="1204" w:type="dxa"/>
            <w:tcBorders>
              <w:top w:val="single" w:sz="4" w:space="0" w:color="auto"/>
            </w:tcBorders>
            <w:shd w:val="clear" w:color="auto" w:fill="FFFFFF"/>
            <w:vAlign w:val="center"/>
          </w:tcPr>
          <w:p w14:paraId="62131AC2" w14:textId="77777777" w:rsidR="004D521D" w:rsidRPr="004D521D" w:rsidRDefault="004D521D" w:rsidP="004D521D">
            <w:r w:rsidRPr="004D521D">
              <w:t>18</w:t>
            </w:r>
          </w:p>
        </w:tc>
        <w:tc>
          <w:tcPr>
            <w:tcW w:w="1241" w:type="dxa"/>
            <w:tcBorders>
              <w:top w:val="single" w:sz="4" w:space="0" w:color="auto"/>
            </w:tcBorders>
            <w:shd w:val="clear" w:color="auto" w:fill="FFFFFF"/>
            <w:vAlign w:val="center"/>
          </w:tcPr>
          <w:p w14:paraId="11F67B64" w14:textId="77777777" w:rsidR="004D521D" w:rsidRPr="004D521D" w:rsidRDefault="004D521D" w:rsidP="004D521D">
            <w:r w:rsidRPr="004D521D">
              <w:t>20</w:t>
            </w:r>
          </w:p>
        </w:tc>
        <w:tc>
          <w:tcPr>
            <w:tcW w:w="1153" w:type="dxa"/>
            <w:tcBorders>
              <w:top w:val="single" w:sz="4" w:space="0" w:color="auto"/>
            </w:tcBorders>
            <w:shd w:val="clear" w:color="auto" w:fill="FFFFFF"/>
            <w:vAlign w:val="center"/>
          </w:tcPr>
          <w:p w14:paraId="37E868EC" w14:textId="77777777" w:rsidR="004D521D" w:rsidRPr="004D521D" w:rsidRDefault="004D521D" w:rsidP="004D521D">
            <w:r w:rsidRPr="004D521D">
              <w:t>19.56</w:t>
            </w:r>
          </w:p>
        </w:tc>
        <w:tc>
          <w:tcPr>
            <w:tcW w:w="1097" w:type="dxa"/>
            <w:tcBorders>
              <w:top w:val="single" w:sz="4" w:space="0" w:color="auto"/>
            </w:tcBorders>
            <w:shd w:val="clear" w:color="auto" w:fill="FFFFFF"/>
            <w:vAlign w:val="center"/>
          </w:tcPr>
          <w:p w14:paraId="6A0DE50C" w14:textId="77777777" w:rsidR="004D521D" w:rsidRPr="004D521D" w:rsidRDefault="004D521D" w:rsidP="004D521D">
            <w:r w:rsidRPr="004D521D">
              <w:t>.726</w:t>
            </w:r>
          </w:p>
        </w:tc>
      </w:tr>
      <w:tr w:rsidR="004D521D" w:rsidRPr="004D521D" w14:paraId="0B745E9E" w14:textId="77777777" w:rsidTr="00C83AD1">
        <w:trPr>
          <w:cantSplit/>
          <w:trHeight w:val="20"/>
        </w:trPr>
        <w:tc>
          <w:tcPr>
            <w:tcW w:w="874" w:type="dxa"/>
            <w:vMerge/>
            <w:shd w:val="clear" w:color="auto" w:fill="FFFFFF"/>
            <w:vAlign w:val="center"/>
          </w:tcPr>
          <w:p w14:paraId="00D05100" w14:textId="77777777" w:rsidR="004D521D" w:rsidRPr="004D521D" w:rsidRDefault="004D521D" w:rsidP="004D521D">
            <w:pPr>
              <w:rPr>
                <w:b/>
              </w:rPr>
            </w:pPr>
          </w:p>
        </w:tc>
        <w:tc>
          <w:tcPr>
            <w:tcW w:w="1918" w:type="dxa"/>
            <w:shd w:val="clear" w:color="auto" w:fill="FFFFFF"/>
            <w:vAlign w:val="center"/>
          </w:tcPr>
          <w:p w14:paraId="52C029B1" w14:textId="77777777" w:rsidR="004D521D" w:rsidRPr="004D521D" w:rsidRDefault="004D521D" w:rsidP="004D521D">
            <w:pPr>
              <w:rPr>
                <w:b/>
              </w:rPr>
            </w:pPr>
            <w:r w:rsidRPr="004D521D">
              <w:rPr>
                <w:b/>
              </w:rPr>
              <w:t>CH</w:t>
            </w:r>
          </w:p>
        </w:tc>
        <w:tc>
          <w:tcPr>
            <w:tcW w:w="1153" w:type="dxa"/>
            <w:shd w:val="clear" w:color="auto" w:fill="FFFFFF"/>
            <w:vAlign w:val="center"/>
          </w:tcPr>
          <w:p w14:paraId="310C4A16" w14:textId="77777777" w:rsidR="004D521D" w:rsidRPr="004D521D" w:rsidRDefault="004D521D" w:rsidP="004D521D">
            <w:r w:rsidRPr="004D521D">
              <w:t>9</w:t>
            </w:r>
          </w:p>
        </w:tc>
        <w:tc>
          <w:tcPr>
            <w:tcW w:w="1204" w:type="dxa"/>
            <w:shd w:val="clear" w:color="auto" w:fill="FFFFFF"/>
            <w:vAlign w:val="center"/>
          </w:tcPr>
          <w:p w14:paraId="3F830AAE" w14:textId="77777777" w:rsidR="004D521D" w:rsidRPr="004D521D" w:rsidRDefault="004D521D" w:rsidP="004D521D">
            <w:r w:rsidRPr="004D521D">
              <w:t>3.10</w:t>
            </w:r>
          </w:p>
        </w:tc>
        <w:tc>
          <w:tcPr>
            <w:tcW w:w="1241" w:type="dxa"/>
            <w:shd w:val="clear" w:color="auto" w:fill="FFFFFF"/>
            <w:vAlign w:val="center"/>
          </w:tcPr>
          <w:p w14:paraId="213D8323" w14:textId="77777777" w:rsidR="004D521D" w:rsidRPr="004D521D" w:rsidRDefault="004D521D" w:rsidP="004D521D">
            <w:r w:rsidRPr="004D521D">
              <w:t>3.37</w:t>
            </w:r>
          </w:p>
        </w:tc>
        <w:tc>
          <w:tcPr>
            <w:tcW w:w="1153" w:type="dxa"/>
            <w:shd w:val="clear" w:color="auto" w:fill="FFFFFF"/>
            <w:vAlign w:val="center"/>
          </w:tcPr>
          <w:p w14:paraId="4FDCABF5" w14:textId="77777777" w:rsidR="004D521D" w:rsidRPr="004D521D" w:rsidRDefault="004D521D" w:rsidP="004D521D">
            <w:r w:rsidRPr="004D521D">
              <w:t>3.2111</w:t>
            </w:r>
          </w:p>
        </w:tc>
        <w:tc>
          <w:tcPr>
            <w:tcW w:w="1097" w:type="dxa"/>
            <w:shd w:val="clear" w:color="auto" w:fill="FFFFFF"/>
            <w:vAlign w:val="center"/>
          </w:tcPr>
          <w:p w14:paraId="5FBDB277" w14:textId="77777777" w:rsidR="004D521D" w:rsidRPr="004D521D" w:rsidRDefault="004D521D" w:rsidP="004D521D">
            <w:r w:rsidRPr="004D521D">
              <w:t>.09333</w:t>
            </w:r>
          </w:p>
        </w:tc>
      </w:tr>
      <w:tr w:rsidR="004D521D" w:rsidRPr="004D521D" w14:paraId="7D7D45A7" w14:textId="77777777" w:rsidTr="00C83AD1">
        <w:trPr>
          <w:cantSplit/>
          <w:trHeight w:val="20"/>
        </w:trPr>
        <w:tc>
          <w:tcPr>
            <w:tcW w:w="874" w:type="dxa"/>
            <w:vMerge/>
            <w:shd w:val="clear" w:color="auto" w:fill="FFFFFF"/>
            <w:vAlign w:val="center"/>
          </w:tcPr>
          <w:p w14:paraId="0A5E8FA5" w14:textId="77777777" w:rsidR="004D521D" w:rsidRPr="004D521D" w:rsidRDefault="004D521D" w:rsidP="004D521D">
            <w:pPr>
              <w:rPr>
                <w:b/>
              </w:rPr>
            </w:pPr>
          </w:p>
        </w:tc>
        <w:tc>
          <w:tcPr>
            <w:tcW w:w="1918" w:type="dxa"/>
            <w:shd w:val="clear" w:color="auto" w:fill="FFFFFF"/>
            <w:vAlign w:val="center"/>
          </w:tcPr>
          <w:p w14:paraId="68B961EA" w14:textId="77777777" w:rsidR="004D521D" w:rsidRPr="004D521D" w:rsidRDefault="004D521D" w:rsidP="004D521D">
            <w:pPr>
              <w:rPr>
                <w:b/>
              </w:rPr>
            </w:pPr>
            <w:r w:rsidRPr="004D521D">
              <w:rPr>
                <w:b/>
              </w:rPr>
              <w:t>CL</w:t>
            </w:r>
          </w:p>
        </w:tc>
        <w:tc>
          <w:tcPr>
            <w:tcW w:w="1153" w:type="dxa"/>
            <w:shd w:val="clear" w:color="auto" w:fill="FFFFFF"/>
            <w:vAlign w:val="center"/>
          </w:tcPr>
          <w:p w14:paraId="2AEE37F5" w14:textId="77777777" w:rsidR="004D521D" w:rsidRPr="004D521D" w:rsidRDefault="004D521D" w:rsidP="004D521D">
            <w:r w:rsidRPr="004D521D">
              <w:t>9</w:t>
            </w:r>
          </w:p>
        </w:tc>
        <w:tc>
          <w:tcPr>
            <w:tcW w:w="1204" w:type="dxa"/>
            <w:shd w:val="clear" w:color="auto" w:fill="FFFFFF"/>
            <w:vAlign w:val="center"/>
          </w:tcPr>
          <w:p w14:paraId="0FE585B4" w14:textId="77777777" w:rsidR="004D521D" w:rsidRPr="004D521D" w:rsidRDefault="004D521D" w:rsidP="004D521D">
            <w:r w:rsidRPr="004D521D">
              <w:t>2.08</w:t>
            </w:r>
          </w:p>
        </w:tc>
        <w:tc>
          <w:tcPr>
            <w:tcW w:w="1241" w:type="dxa"/>
            <w:shd w:val="clear" w:color="auto" w:fill="FFFFFF"/>
            <w:vAlign w:val="center"/>
          </w:tcPr>
          <w:p w14:paraId="7346F9BE" w14:textId="77777777" w:rsidR="004D521D" w:rsidRPr="004D521D" w:rsidRDefault="004D521D" w:rsidP="004D521D">
            <w:r w:rsidRPr="004D521D">
              <w:t>2.27</w:t>
            </w:r>
          </w:p>
        </w:tc>
        <w:tc>
          <w:tcPr>
            <w:tcW w:w="1153" w:type="dxa"/>
            <w:shd w:val="clear" w:color="auto" w:fill="FFFFFF"/>
            <w:vAlign w:val="center"/>
          </w:tcPr>
          <w:p w14:paraId="04E7E670" w14:textId="77777777" w:rsidR="004D521D" w:rsidRPr="004D521D" w:rsidRDefault="004D521D" w:rsidP="004D521D">
            <w:r w:rsidRPr="004D521D">
              <w:t>2.1444</w:t>
            </w:r>
          </w:p>
        </w:tc>
        <w:tc>
          <w:tcPr>
            <w:tcW w:w="1097" w:type="dxa"/>
            <w:shd w:val="clear" w:color="auto" w:fill="FFFFFF"/>
            <w:vAlign w:val="center"/>
          </w:tcPr>
          <w:p w14:paraId="4F800644" w14:textId="77777777" w:rsidR="004D521D" w:rsidRPr="004D521D" w:rsidRDefault="004D521D" w:rsidP="004D521D">
            <w:r w:rsidRPr="004D521D">
              <w:t>.06106</w:t>
            </w:r>
          </w:p>
        </w:tc>
      </w:tr>
      <w:tr w:rsidR="004D521D" w:rsidRPr="004D521D" w14:paraId="24B5C2E5" w14:textId="77777777" w:rsidTr="00C83AD1">
        <w:trPr>
          <w:cantSplit/>
          <w:trHeight w:val="20"/>
        </w:trPr>
        <w:tc>
          <w:tcPr>
            <w:tcW w:w="874" w:type="dxa"/>
            <w:vMerge/>
            <w:shd w:val="clear" w:color="auto" w:fill="FFFFFF"/>
            <w:vAlign w:val="center"/>
          </w:tcPr>
          <w:p w14:paraId="49E60789" w14:textId="77777777" w:rsidR="004D521D" w:rsidRPr="004D521D" w:rsidRDefault="004D521D" w:rsidP="004D521D">
            <w:pPr>
              <w:rPr>
                <w:b/>
              </w:rPr>
            </w:pPr>
          </w:p>
        </w:tc>
        <w:tc>
          <w:tcPr>
            <w:tcW w:w="1918" w:type="dxa"/>
            <w:shd w:val="clear" w:color="auto" w:fill="FFFFFF"/>
            <w:vAlign w:val="center"/>
          </w:tcPr>
          <w:p w14:paraId="18BBF3F4" w14:textId="77777777" w:rsidR="004D521D" w:rsidRPr="004D521D" w:rsidRDefault="004D521D" w:rsidP="004D521D">
            <w:pPr>
              <w:rPr>
                <w:b/>
              </w:rPr>
            </w:pPr>
            <w:r w:rsidRPr="004D521D">
              <w:rPr>
                <w:b/>
              </w:rPr>
              <w:t>LW</w:t>
            </w:r>
          </w:p>
        </w:tc>
        <w:tc>
          <w:tcPr>
            <w:tcW w:w="1153" w:type="dxa"/>
            <w:shd w:val="clear" w:color="auto" w:fill="FFFFFF"/>
            <w:vAlign w:val="center"/>
          </w:tcPr>
          <w:p w14:paraId="7D8AA1AB" w14:textId="77777777" w:rsidR="004D521D" w:rsidRPr="004D521D" w:rsidRDefault="004D521D" w:rsidP="004D521D">
            <w:r w:rsidRPr="004D521D">
              <w:t>9</w:t>
            </w:r>
          </w:p>
        </w:tc>
        <w:tc>
          <w:tcPr>
            <w:tcW w:w="1204" w:type="dxa"/>
            <w:shd w:val="clear" w:color="auto" w:fill="FFFFFF"/>
            <w:vAlign w:val="center"/>
          </w:tcPr>
          <w:p w14:paraId="4A6908A5" w14:textId="77777777" w:rsidR="004D521D" w:rsidRPr="004D521D" w:rsidRDefault="004D521D" w:rsidP="004D521D">
            <w:r w:rsidRPr="004D521D">
              <w:t>13.84</w:t>
            </w:r>
          </w:p>
        </w:tc>
        <w:tc>
          <w:tcPr>
            <w:tcW w:w="1241" w:type="dxa"/>
            <w:shd w:val="clear" w:color="auto" w:fill="FFFFFF"/>
            <w:vAlign w:val="center"/>
          </w:tcPr>
          <w:p w14:paraId="3A7D6E98" w14:textId="77777777" w:rsidR="004D521D" w:rsidRPr="004D521D" w:rsidRDefault="004D521D" w:rsidP="004D521D">
            <w:r w:rsidRPr="004D521D">
              <w:t>14.40</w:t>
            </w:r>
          </w:p>
        </w:tc>
        <w:tc>
          <w:tcPr>
            <w:tcW w:w="1153" w:type="dxa"/>
            <w:shd w:val="clear" w:color="auto" w:fill="FFFFFF"/>
            <w:vAlign w:val="center"/>
          </w:tcPr>
          <w:p w14:paraId="79089016" w14:textId="77777777" w:rsidR="004D521D" w:rsidRPr="004D521D" w:rsidRDefault="004D521D" w:rsidP="004D521D">
            <w:r w:rsidRPr="004D521D">
              <w:t>14.1433</w:t>
            </w:r>
          </w:p>
        </w:tc>
        <w:tc>
          <w:tcPr>
            <w:tcW w:w="1097" w:type="dxa"/>
            <w:shd w:val="clear" w:color="auto" w:fill="FFFFFF"/>
            <w:vAlign w:val="center"/>
          </w:tcPr>
          <w:p w14:paraId="588C9826" w14:textId="77777777" w:rsidR="004D521D" w:rsidRPr="004D521D" w:rsidRDefault="004D521D" w:rsidP="004D521D">
            <w:r w:rsidRPr="004D521D">
              <w:t>.20408</w:t>
            </w:r>
          </w:p>
        </w:tc>
      </w:tr>
      <w:tr w:rsidR="004D521D" w:rsidRPr="004D521D" w14:paraId="3590501F" w14:textId="77777777" w:rsidTr="00C83AD1">
        <w:trPr>
          <w:cantSplit/>
          <w:trHeight w:val="20"/>
        </w:trPr>
        <w:tc>
          <w:tcPr>
            <w:tcW w:w="874" w:type="dxa"/>
            <w:vMerge/>
            <w:shd w:val="clear" w:color="auto" w:fill="FFFFFF"/>
            <w:vAlign w:val="center"/>
          </w:tcPr>
          <w:p w14:paraId="6C02A3E7" w14:textId="77777777" w:rsidR="004D521D" w:rsidRPr="004D521D" w:rsidRDefault="004D521D" w:rsidP="004D521D">
            <w:pPr>
              <w:rPr>
                <w:b/>
              </w:rPr>
            </w:pPr>
          </w:p>
        </w:tc>
        <w:tc>
          <w:tcPr>
            <w:tcW w:w="1918" w:type="dxa"/>
            <w:shd w:val="clear" w:color="auto" w:fill="FFFFFF"/>
            <w:vAlign w:val="center"/>
          </w:tcPr>
          <w:p w14:paraId="3C56D785" w14:textId="77777777" w:rsidR="004D521D" w:rsidRPr="004D521D" w:rsidRDefault="004D521D" w:rsidP="004D521D">
            <w:pPr>
              <w:rPr>
                <w:b/>
              </w:rPr>
            </w:pPr>
            <w:r w:rsidRPr="004D521D">
              <w:rPr>
                <w:b/>
              </w:rPr>
              <w:t>SLG</w:t>
            </w:r>
          </w:p>
        </w:tc>
        <w:tc>
          <w:tcPr>
            <w:tcW w:w="1153" w:type="dxa"/>
            <w:shd w:val="clear" w:color="auto" w:fill="FFFFFF"/>
            <w:vAlign w:val="center"/>
          </w:tcPr>
          <w:p w14:paraId="6A96D3DE" w14:textId="77777777" w:rsidR="004D521D" w:rsidRPr="004D521D" w:rsidRDefault="004D521D" w:rsidP="004D521D">
            <w:r w:rsidRPr="004D521D">
              <w:t>9</w:t>
            </w:r>
          </w:p>
        </w:tc>
        <w:tc>
          <w:tcPr>
            <w:tcW w:w="1204" w:type="dxa"/>
            <w:shd w:val="clear" w:color="auto" w:fill="FFFFFF"/>
            <w:vAlign w:val="center"/>
          </w:tcPr>
          <w:p w14:paraId="374AE196" w14:textId="77777777" w:rsidR="004D521D" w:rsidRPr="004D521D" w:rsidRDefault="004D521D" w:rsidP="004D521D">
            <w:r w:rsidRPr="004D521D">
              <w:t>.16</w:t>
            </w:r>
          </w:p>
        </w:tc>
        <w:tc>
          <w:tcPr>
            <w:tcW w:w="1241" w:type="dxa"/>
            <w:shd w:val="clear" w:color="auto" w:fill="FFFFFF"/>
            <w:vAlign w:val="center"/>
          </w:tcPr>
          <w:p w14:paraId="4EBD0D96" w14:textId="77777777" w:rsidR="004D521D" w:rsidRPr="004D521D" w:rsidRDefault="004D521D" w:rsidP="004D521D">
            <w:r w:rsidRPr="004D521D">
              <w:t>.25</w:t>
            </w:r>
          </w:p>
        </w:tc>
        <w:tc>
          <w:tcPr>
            <w:tcW w:w="1153" w:type="dxa"/>
            <w:shd w:val="clear" w:color="auto" w:fill="FFFFFF"/>
            <w:vAlign w:val="center"/>
          </w:tcPr>
          <w:p w14:paraId="45BF0204" w14:textId="77777777" w:rsidR="004D521D" w:rsidRPr="004D521D" w:rsidRDefault="004D521D" w:rsidP="004D521D">
            <w:r w:rsidRPr="004D521D">
              <w:t>.2011</w:t>
            </w:r>
          </w:p>
        </w:tc>
        <w:tc>
          <w:tcPr>
            <w:tcW w:w="1097" w:type="dxa"/>
            <w:shd w:val="clear" w:color="auto" w:fill="FFFFFF"/>
            <w:vAlign w:val="center"/>
          </w:tcPr>
          <w:p w14:paraId="4BBD3B14" w14:textId="77777777" w:rsidR="004D521D" w:rsidRPr="004D521D" w:rsidRDefault="004D521D" w:rsidP="004D521D">
            <w:r w:rsidRPr="004D521D">
              <w:t>.03621</w:t>
            </w:r>
          </w:p>
        </w:tc>
      </w:tr>
      <w:tr w:rsidR="004D521D" w:rsidRPr="004D521D" w14:paraId="5FD5F1C5" w14:textId="77777777" w:rsidTr="00C83AD1">
        <w:trPr>
          <w:cantSplit/>
          <w:trHeight w:val="20"/>
        </w:trPr>
        <w:tc>
          <w:tcPr>
            <w:tcW w:w="874" w:type="dxa"/>
            <w:vMerge/>
            <w:shd w:val="clear" w:color="auto" w:fill="FFFFFF"/>
            <w:vAlign w:val="center"/>
          </w:tcPr>
          <w:p w14:paraId="7C5E97A4" w14:textId="77777777" w:rsidR="004D521D" w:rsidRPr="004D521D" w:rsidRDefault="004D521D" w:rsidP="004D521D">
            <w:pPr>
              <w:rPr>
                <w:b/>
              </w:rPr>
            </w:pPr>
          </w:p>
        </w:tc>
        <w:tc>
          <w:tcPr>
            <w:tcW w:w="1918" w:type="dxa"/>
            <w:shd w:val="clear" w:color="auto" w:fill="FFFFFF"/>
            <w:vAlign w:val="center"/>
          </w:tcPr>
          <w:p w14:paraId="53EC5B60" w14:textId="77777777" w:rsidR="004D521D" w:rsidRPr="004D521D" w:rsidRDefault="004D521D" w:rsidP="004D521D">
            <w:pPr>
              <w:rPr>
                <w:b/>
              </w:rPr>
            </w:pPr>
          </w:p>
        </w:tc>
        <w:tc>
          <w:tcPr>
            <w:tcW w:w="1153" w:type="dxa"/>
            <w:shd w:val="clear" w:color="auto" w:fill="FFFFFF"/>
            <w:vAlign w:val="center"/>
          </w:tcPr>
          <w:p w14:paraId="2D7A41D3" w14:textId="77777777" w:rsidR="004D521D" w:rsidRPr="004D521D" w:rsidRDefault="004D521D" w:rsidP="004D521D"/>
        </w:tc>
        <w:tc>
          <w:tcPr>
            <w:tcW w:w="1204" w:type="dxa"/>
            <w:shd w:val="clear" w:color="auto" w:fill="FFFFFF"/>
            <w:vAlign w:val="center"/>
          </w:tcPr>
          <w:p w14:paraId="463C0E39" w14:textId="77777777" w:rsidR="004D521D" w:rsidRPr="004D521D" w:rsidRDefault="004D521D" w:rsidP="004D521D"/>
        </w:tc>
        <w:tc>
          <w:tcPr>
            <w:tcW w:w="1241" w:type="dxa"/>
            <w:shd w:val="clear" w:color="auto" w:fill="FFFFFF"/>
            <w:vAlign w:val="center"/>
          </w:tcPr>
          <w:p w14:paraId="08FA80FE" w14:textId="77777777" w:rsidR="004D521D" w:rsidRPr="004D521D" w:rsidRDefault="004D521D" w:rsidP="004D521D"/>
        </w:tc>
        <w:tc>
          <w:tcPr>
            <w:tcW w:w="1153" w:type="dxa"/>
            <w:shd w:val="clear" w:color="auto" w:fill="FFFFFF"/>
            <w:vAlign w:val="center"/>
          </w:tcPr>
          <w:p w14:paraId="0D33536A" w14:textId="77777777" w:rsidR="004D521D" w:rsidRPr="004D521D" w:rsidRDefault="004D521D" w:rsidP="004D521D"/>
        </w:tc>
        <w:tc>
          <w:tcPr>
            <w:tcW w:w="1097" w:type="dxa"/>
            <w:shd w:val="clear" w:color="auto" w:fill="FFFFFF"/>
            <w:vAlign w:val="center"/>
          </w:tcPr>
          <w:p w14:paraId="0513B366" w14:textId="77777777" w:rsidR="004D521D" w:rsidRPr="004D521D" w:rsidRDefault="004D521D" w:rsidP="004D521D"/>
        </w:tc>
      </w:tr>
      <w:tr w:rsidR="004D521D" w:rsidRPr="004D521D" w14:paraId="6AE4FEDE" w14:textId="77777777" w:rsidTr="00C83AD1">
        <w:trPr>
          <w:cantSplit/>
          <w:trHeight w:val="20"/>
        </w:trPr>
        <w:tc>
          <w:tcPr>
            <w:tcW w:w="874" w:type="dxa"/>
            <w:vMerge w:val="restart"/>
            <w:shd w:val="clear" w:color="auto" w:fill="FFFFFF"/>
            <w:vAlign w:val="center"/>
          </w:tcPr>
          <w:p w14:paraId="2DA908BB" w14:textId="77777777" w:rsidR="004D521D" w:rsidRPr="004D521D" w:rsidRDefault="004D521D" w:rsidP="004D521D">
            <w:pPr>
              <w:rPr>
                <w:b/>
              </w:rPr>
            </w:pPr>
            <w:r w:rsidRPr="004D521D">
              <w:rPr>
                <w:b/>
              </w:rPr>
              <w:t>21-30</w:t>
            </w:r>
          </w:p>
        </w:tc>
        <w:tc>
          <w:tcPr>
            <w:tcW w:w="1918" w:type="dxa"/>
            <w:shd w:val="clear" w:color="auto" w:fill="FFFFFF"/>
            <w:vAlign w:val="center"/>
          </w:tcPr>
          <w:p w14:paraId="48C0B291" w14:textId="77777777" w:rsidR="004D521D" w:rsidRPr="004D521D" w:rsidRDefault="004D521D" w:rsidP="004D521D">
            <w:pPr>
              <w:rPr>
                <w:b/>
              </w:rPr>
            </w:pPr>
            <w:r w:rsidRPr="004D521D">
              <w:rPr>
                <w:b/>
              </w:rPr>
              <w:t>AGE</w:t>
            </w:r>
          </w:p>
        </w:tc>
        <w:tc>
          <w:tcPr>
            <w:tcW w:w="1153" w:type="dxa"/>
            <w:shd w:val="clear" w:color="auto" w:fill="FFFFFF"/>
            <w:vAlign w:val="center"/>
          </w:tcPr>
          <w:p w14:paraId="238F4D34" w14:textId="77777777" w:rsidR="004D521D" w:rsidRPr="004D521D" w:rsidRDefault="004D521D" w:rsidP="004D521D">
            <w:r w:rsidRPr="004D521D">
              <w:t>54</w:t>
            </w:r>
          </w:p>
        </w:tc>
        <w:tc>
          <w:tcPr>
            <w:tcW w:w="1204" w:type="dxa"/>
            <w:shd w:val="clear" w:color="auto" w:fill="FFFFFF"/>
            <w:vAlign w:val="center"/>
          </w:tcPr>
          <w:p w14:paraId="4B918647" w14:textId="77777777" w:rsidR="004D521D" w:rsidRPr="004D521D" w:rsidRDefault="004D521D" w:rsidP="004D521D">
            <w:r w:rsidRPr="004D521D">
              <w:t>21</w:t>
            </w:r>
          </w:p>
        </w:tc>
        <w:tc>
          <w:tcPr>
            <w:tcW w:w="1241" w:type="dxa"/>
            <w:shd w:val="clear" w:color="auto" w:fill="FFFFFF"/>
            <w:vAlign w:val="center"/>
          </w:tcPr>
          <w:p w14:paraId="28D92916" w14:textId="77777777" w:rsidR="004D521D" w:rsidRPr="004D521D" w:rsidRDefault="004D521D" w:rsidP="004D521D">
            <w:r w:rsidRPr="004D521D">
              <w:t>30</w:t>
            </w:r>
          </w:p>
        </w:tc>
        <w:tc>
          <w:tcPr>
            <w:tcW w:w="1153" w:type="dxa"/>
            <w:shd w:val="clear" w:color="auto" w:fill="FFFFFF"/>
            <w:vAlign w:val="center"/>
          </w:tcPr>
          <w:p w14:paraId="2E09FBEC" w14:textId="77777777" w:rsidR="004D521D" w:rsidRPr="004D521D" w:rsidRDefault="004D521D" w:rsidP="004D521D">
            <w:r w:rsidRPr="004D521D">
              <w:t>25.91</w:t>
            </w:r>
          </w:p>
        </w:tc>
        <w:tc>
          <w:tcPr>
            <w:tcW w:w="1097" w:type="dxa"/>
            <w:shd w:val="clear" w:color="auto" w:fill="FFFFFF"/>
            <w:vAlign w:val="center"/>
          </w:tcPr>
          <w:p w14:paraId="501258C9" w14:textId="77777777" w:rsidR="004D521D" w:rsidRPr="004D521D" w:rsidRDefault="004D521D" w:rsidP="004D521D">
            <w:r w:rsidRPr="004D521D">
              <w:t>3.030</w:t>
            </w:r>
          </w:p>
        </w:tc>
      </w:tr>
      <w:tr w:rsidR="004D521D" w:rsidRPr="004D521D" w14:paraId="315927EE" w14:textId="77777777" w:rsidTr="00C83AD1">
        <w:trPr>
          <w:cantSplit/>
          <w:trHeight w:val="20"/>
        </w:trPr>
        <w:tc>
          <w:tcPr>
            <w:tcW w:w="874" w:type="dxa"/>
            <w:vMerge/>
            <w:shd w:val="clear" w:color="auto" w:fill="FFFFFF"/>
            <w:vAlign w:val="center"/>
          </w:tcPr>
          <w:p w14:paraId="6E128168" w14:textId="77777777" w:rsidR="004D521D" w:rsidRPr="004D521D" w:rsidRDefault="004D521D" w:rsidP="004D521D">
            <w:pPr>
              <w:rPr>
                <w:b/>
              </w:rPr>
            </w:pPr>
          </w:p>
        </w:tc>
        <w:tc>
          <w:tcPr>
            <w:tcW w:w="1918" w:type="dxa"/>
            <w:shd w:val="clear" w:color="auto" w:fill="FFFFFF"/>
            <w:vAlign w:val="center"/>
          </w:tcPr>
          <w:p w14:paraId="56FB6F3C" w14:textId="77777777" w:rsidR="004D521D" w:rsidRPr="004D521D" w:rsidRDefault="004D521D" w:rsidP="004D521D">
            <w:pPr>
              <w:rPr>
                <w:b/>
              </w:rPr>
            </w:pPr>
            <w:r w:rsidRPr="004D521D">
              <w:rPr>
                <w:b/>
              </w:rPr>
              <w:t>CH</w:t>
            </w:r>
          </w:p>
        </w:tc>
        <w:tc>
          <w:tcPr>
            <w:tcW w:w="1153" w:type="dxa"/>
            <w:shd w:val="clear" w:color="auto" w:fill="FFFFFF"/>
            <w:vAlign w:val="center"/>
          </w:tcPr>
          <w:p w14:paraId="06E745C4" w14:textId="77777777" w:rsidR="004D521D" w:rsidRPr="004D521D" w:rsidRDefault="004D521D" w:rsidP="004D521D">
            <w:r w:rsidRPr="004D521D">
              <w:t>54</w:t>
            </w:r>
          </w:p>
        </w:tc>
        <w:tc>
          <w:tcPr>
            <w:tcW w:w="1204" w:type="dxa"/>
            <w:shd w:val="clear" w:color="auto" w:fill="FFFFFF"/>
            <w:vAlign w:val="center"/>
          </w:tcPr>
          <w:p w14:paraId="716C1211" w14:textId="77777777" w:rsidR="004D521D" w:rsidRPr="004D521D" w:rsidRDefault="004D521D" w:rsidP="004D521D">
            <w:r w:rsidRPr="004D521D">
              <w:t>2.95</w:t>
            </w:r>
          </w:p>
        </w:tc>
        <w:tc>
          <w:tcPr>
            <w:tcW w:w="1241" w:type="dxa"/>
            <w:shd w:val="clear" w:color="auto" w:fill="FFFFFF"/>
            <w:vAlign w:val="center"/>
          </w:tcPr>
          <w:p w14:paraId="59FE1A46" w14:textId="77777777" w:rsidR="004D521D" w:rsidRPr="004D521D" w:rsidRDefault="004D521D" w:rsidP="004D521D">
            <w:r w:rsidRPr="004D521D">
              <w:t>3.58</w:t>
            </w:r>
          </w:p>
        </w:tc>
        <w:tc>
          <w:tcPr>
            <w:tcW w:w="1153" w:type="dxa"/>
            <w:shd w:val="clear" w:color="auto" w:fill="FFFFFF"/>
            <w:vAlign w:val="center"/>
          </w:tcPr>
          <w:p w14:paraId="0442D244" w14:textId="77777777" w:rsidR="004D521D" w:rsidRPr="004D521D" w:rsidRDefault="004D521D" w:rsidP="004D521D">
            <w:r w:rsidRPr="004D521D">
              <w:t>3.2424</w:t>
            </w:r>
          </w:p>
        </w:tc>
        <w:tc>
          <w:tcPr>
            <w:tcW w:w="1097" w:type="dxa"/>
            <w:shd w:val="clear" w:color="auto" w:fill="FFFFFF"/>
            <w:vAlign w:val="center"/>
          </w:tcPr>
          <w:p w14:paraId="12891E39" w14:textId="77777777" w:rsidR="004D521D" w:rsidRPr="004D521D" w:rsidRDefault="004D521D" w:rsidP="004D521D">
            <w:r w:rsidRPr="004D521D">
              <w:t>.14996</w:t>
            </w:r>
          </w:p>
        </w:tc>
      </w:tr>
      <w:tr w:rsidR="004D521D" w:rsidRPr="004D521D" w14:paraId="351E0FE0" w14:textId="77777777" w:rsidTr="00C83AD1">
        <w:trPr>
          <w:cantSplit/>
          <w:trHeight w:val="20"/>
        </w:trPr>
        <w:tc>
          <w:tcPr>
            <w:tcW w:w="874" w:type="dxa"/>
            <w:vMerge/>
            <w:shd w:val="clear" w:color="auto" w:fill="FFFFFF"/>
            <w:vAlign w:val="center"/>
          </w:tcPr>
          <w:p w14:paraId="445DAA48" w14:textId="77777777" w:rsidR="004D521D" w:rsidRPr="004D521D" w:rsidRDefault="004D521D" w:rsidP="004D521D">
            <w:pPr>
              <w:rPr>
                <w:b/>
              </w:rPr>
            </w:pPr>
          </w:p>
        </w:tc>
        <w:tc>
          <w:tcPr>
            <w:tcW w:w="1918" w:type="dxa"/>
            <w:shd w:val="clear" w:color="auto" w:fill="FFFFFF"/>
            <w:vAlign w:val="center"/>
          </w:tcPr>
          <w:p w14:paraId="585A574F" w14:textId="77777777" w:rsidR="004D521D" w:rsidRPr="004D521D" w:rsidRDefault="004D521D" w:rsidP="004D521D">
            <w:pPr>
              <w:rPr>
                <w:b/>
              </w:rPr>
            </w:pPr>
            <w:r w:rsidRPr="004D521D">
              <w:rPr>
                <w:b/>
              </w:rPr>
              <w:t>CL</w:t>
            </w:r>
          </w:p>
        </w:tc>
        <w:tc>
          <w:tcPr>
            <w:tcW w:w="1153" w:type="dxa"/>
            <w:shd w:val="clear" w:color="auto" w:fill="FFFFFF"/>
            <w:vAlign w:val="center"/>
          </w:tcPr>
          <w:p w14:paraId="1CD452A9" w14:textId="77777777" w:rsidR="004D521D" w:rsidRPr="004D521D" w:rsidRDefault="004D521D" w:rsidP="004D521D">
            <w:r w:rsidRPr="004D521D">
              <w:t>54</w:t>
            </w:r>
          </w:p>
        </w:tc>
        <w:tc>
          <w:tcPr>
            <w:tcW w:w="1204" w:type="dxa"/>
            <w:shd w:val="clear" w:color="auto" w:fill="FFFFFF"/>
            <w:vAlign w:val="center"/>
          </w:tcPr>
          <w:p w14:paraId="1873D285" w14:textId="77777777" w:rsidR="004D521D" w:rsidRPr="004D521D" w:rsidRDefault="004D521D" w:rsidP="004D521D">
            <w:r w:rsidRPr="004D521D">
              <w:t>2.03</w:t>
            </w:r>
          </w:p>
        </w:tc>
        <w:tc>
          <w:tcPr>
            <w:tcW w:w="1241" w:type="dxa"/>
            <w:shd w:val="clear" w:color="auto" w:fill="FFFFFF"/>
            <w:vAlign w:val="center"/>
          </w:tcPr>
          <w:p w14:paraId="2E6009D7" w14:textId="77777777" w:rsidR="004D521D" w:rsidRPr="004D521D" w:rsidRDefault="004D521D" w:rsidP="004D521D">
            <w:r w:rsidRPr="004D521D">
              <w:t>2.29</w:t>
            </w:r>
          </w:p>
        </w:tc>
        <w:tc>
          <w:tcPr>
            <w:tcW w:w="1153" w:type="dxa"/>
            <w:shd w:val="clear" w:color="auto" w:fill="FFFFFF"/>
            <w:vAlign w:val="center"/>
          </w:tcPr>
          <w:p w14:paraId="3566488F" w14:textId="77777777" w:rsidR="004D521D" w:rsidRPr="004D521D" w:rsidRDefault="004D521D" w:rsidP="004D521D">
            <w:r w:rsidRPr="004D521D">
              <w:t>2.1519</w:t>
            </w:r>
          </w:p>
        </w:tc>
        <w:tc>
          <w:tcPr>
            <w:tcW w:w="1097" w:type="dxa"/>
            <w:shd w:val="clear" w:color="auto" w:fill="FFFFFF"/>
            <w:vAlign w:val="center"/>
          </w:tcPr>
          <w:p w14:paraId="2FFA6C6B" w14:textId="77777777" w:rsidR="004D521D" w:rsidRPr="004D521D" w:rsidRDefault="004D521D" w:rsidP="004D521D">
            <w:r w:rsidRPr="004D521D">
              <w:t>.05191</w:t>
            </w:r>
          </w:p>
        </w:tc>
      </w:tr>
      <w:tr w:rsidR="004D521D" w:rsidRPr="004D521D" w14:paraId="2C9397A8" w14:textId="77777777" w:rsidTr="00C83AD1">
        <w:trPr>
          <w:cantSplit/>
          <w:trHeight w:val="20"/>
        </w:trPr>
        <w:tc>
          <w:tcPr>
            <w:tcW w:w="874" w:type="dxa"/>
            <w:vMerge/>
            <w:shd w:val="clear" w:color="auto" w:fill="FFFFFF"/>
            <w:vAlign w:val="center"/>
          </w:tcPr>
          <w:p w14:paraId="5D53D765" w14:textId="77777777" w:rsidR="004D521D" w:rsidRPr="004D521D" w:rsidRDefault="004D521D" w:rsidP="004D521D">
            <w:pPr>
              <w:rPr>
                <w:b/>
              </w:rPr>
            </w:pPr>
          </w:p>
        </w:tc>
        <w:tc>
          <w:tcPr>
            <w:tcW w:w="1918" w:type="dxa"/>
            <w:shd w:val="clear" w:color="auto" w:fill="FFFFFF"/>
            <w:vAlign w:val="center"/>
          </w:tcPr>
          <w:p w14:paraId="747B216B" w14:textId="77777777" w:rsidR="004D521D" w:rsidRPr="004D521D" w:rsidRDefault="004D521D" w:rsidP="004D521D">
            <w:pPr>
              <w:rPr>
                <w:b/>
              </w:rPr>
            </w:pPr>
            <w:r w:rsidRPr="004D521D">
              <w:rPr>
                <w:b/>
              </w:rPr>
              <w:t>LW</w:t>
            </w:r>
          </w:p>
        </w:tc>
        <w:tc>
          <w:tcPr>
            <w:tcW w:w="1153" w:type="dxa"/>
            <w:shd w:val="clear" w:color="auto" w:fill="FFFFFF"/>
            <w:vAlign w:val="center"/>
          </w:tcPr>
          <w:p w14:paraId="32BDFD02" w14:textId="77777777" w:rsidR="004D521D" w:rsidRPr="004D521D" w:rsidRDefault="004D521D" w:rsidP="004D521D">
            <w:r w:rsidRPr="004D521D">
              <w:t>54</w:t>
            </w:r>
          </w:p>
        </w:tc>
        <w:tc>
          <w:tcPr>
            <w:tcW w:w="1204" w:type="dxa"/>
            <w:shd w:val="clear" w:color="auto" w:fill="FFFFFF"/>
            <w:vAlign w:val="center"/>
          </w:tcPr>
          <w:p w14:paraId="3DA0085F" w14:textId="77777777" w:rsidR="004D521D" w:rsidRPr="004D521D" w:rsidRDefault="004D521D" w:rsidP="004D521D">
            <w:r w:rsidRPr="004D521D">
              <w:t>13.68</w:t>
            </w:r>
          </w:p>
        </w:tc>
        <w:tc>
          <w:tcPr>
            <w:tcW w:w="1241" w:type="dxa"/>
            <w:shd w:val="clear" w:color="auto" w:fill="FFFFFF"/>
            <w:vAlign w:val="center"/>
          </w:tcPr>
          <w:p w14:paraId="3F6E0BC3" w14:textId="77777777" w:rsidR="004D521D" w:rsidRPr="004D521D" w:rsidRDefault="004D521D" w:rsidP="004D521D">
            <w:r w:rsidRPr="004D521D">
              <w:t>14.49</w:t>
            </w:r>
          </w:p>
        </w:tc>
        <w:tc>
          <w:tcPr>
            <w:tcW w:w="1153" w:type="dxa"/>
            <w:shd w:val="clear" w:color="auto" w:fill="FFFFFF"/>
            <w:vAlign w:val="center"/>
          </w:tcPr>
          <w:p w14:paraId="7BC61D37" w14:textId="77777777" w:rsidR="004D521D" w:rsidRPr="004D521D" w:rsidRDefault="004D521D" w:rsidP="004D521D">
            <w:r w:rsidRPr="004D521D">
              <w:t>14.0407</w:t>
            </w:r>
          </w:p>
        </w:tc>
        <w:tc>
          <w:tcPr>
            <w:tcW w:w="1097" w:type="dxa"/>
            <w:shd w:val="clear" w:color="auto" w:fill="FFFFFF"/>
            <w:vAlign w:val="center"/>
          </w:tcPr>
          <w:p w14:paraId="7A5BBDF7" w14:textId="77777777" w:rsidR="004D521D" w:rsidRPr="004D521D" w:rsidRDefault="004D521D" w:rsidP="004D521D">
            <w:r w:rsidRPr="004D521D">
              <w:t>.19316</w:t>
            </w:r>
          </w:p>
        </w:tc>
      </w:tr>
      <w:tr w:rsidR="004D521D" w:rsidRPr="004D521D" w14:paraId="64EBED12" w14:textId="77777777" w:rsidTr="00C83AD1">
        <w:trPr>
          <w:cantSplit/>
          <w:trHeight w:val="20"/>
        </w:trPr>
        <w:tc>
          <w:tcPr>
            <w:tcW w:w="874" w:type="dxa"/>
            <w:vMerge/>
            <w:shd w:val="clear" w:color="auto" w:fill="FFFFFF"/>
            <w:vAlign w:val="center"/>
          </w:tcPr>
          <w:p w14:paraId="352DC34D" w14:textId="77777777" w:rsidR="004D521D" w:rsidRPr="004D521D" w:rsidRDefault="004D521D" w:rsidP="004D521D">
            <w:pPr>
              <w:rPr>
                <w:b/>
              </w:rPr>
            </w:pPr>
          </w:p>
        </w:tc>
        <w:tc>
          <w:tcPr>
            <w:tcW w:w="1918" w:type="dxa"/>
            <w:shd w:val="clear" w:color="auto" w:fill="FFFFFF"/>
            <w:vAlign w:val="center"/>
          </w:tcPr>
          <w:p w14:paraId="37AA2E73" w14:textId="77777777" w:rsidR="004D521D" w:rsidRPr="004D521D" w:rsidRDefault="004D521D" w:rsidP="004D521D">
            <w:pPr>
              <w:rPr>
                <w:b/>
              </w:rPr>
            </w:pPr>
            <w:r w:rsidRPr="004D521D">
              <w:rPr>
                <w:b/>
              </w:rPr>
              <w:t>SLG</w:t>
            </w:r>
          </w:p>
        </w:tc>
        <w:tc>
          <w:tcPr>
            <w:tcW w:w="1153" w:type="dxa"/>
            <w:shd w:val="clear" w:color="auto" w:fill="FFFFFF"/>
            <w:vAlign w:val="center"/>
          </w:tcPr>
          <w:p w14:paraId="16C4C493" w14:textId="77777777" w:rsidR="004D521D" w:rsidRPr="004D521D" w:rsidRDefault="004D521D" w:rsidP="004D521D">
            <w:r w:rsidRPr="004D521D">
              <w:t>54</w:t>
            </w:r>
          </w:p>
        </w:tc>
        <w:tc>
          <w:tcPr>
            <w:tcW w:w="1204" w:type="dxa"/>
            <w:shd w:val="clear" w:color="auto" w:fill="FFFFFF"/>
            <w:vAlign w:val="center"/>
          </w:tcPr>
          <w:p w14:paraId="15B60A3B" w14:textId="77777777" w:rsidR="004D521D" w:rsidRPr="004D521D" w:rsidRDefault="004D521D" w:rsidP="004D521D">
            <w:r w:rsidRPr="004D521D">
              <w:t>.14</w:t>
            </w:r>
          </w:p>
        </w:tc>
        <w:tc>
          <w:tcPr>
            <w:tcW w:w="1241" w:type="dxa"/>
            <w:shd w:val="clear" w:color="auto" w:fill="FFFFFF"/>
            <w:vAlign w:val="center"/>
          </w:tcPr>
          <w:p w14:paraId="03B33036" w14:textId="77777777" w:rsidR="004D521D" w:rsidRPr="004D521D" w:rsidRDefault="004D521D" w:rsidP="004D521D">
            <w:r w:rsidRPr="004D521D">
              <w:t>.27</w:t>
            </w:r>
          </w:p>
        </w:tc>
        <w:tc>
          <w:tcPr>
            <w:tcW w:w="1153" w:type="dxa"/>
            <w:shd w:val="clear" w:color="auto" w:fill="FFFFFF"/>
            <w:vAlign w:val="center"/>
          </w:tcPr>
          <w:p w14:paraId="0C4D32A1" w14:textId="77777777" w:rsidR="004D521D" w:rsidRPr="004D521D" w:rsidRDefault="004D521D" w:rsidP="004D521D">
            <w:r w:rsidRPr="004D521D">
              <w:t>.2050</w:t>
            </w:r>
          </w:p>
        </w:tc>
        <w:tc>
          <w:tcPr>
            <w:tcW w:w="1097" w:type="dxa"/>
            <w:shd w:val="clear" w:color="auto" w:fill="FFFFFF"/>
            <w:vAlign w:val="center"/>
          </w:tcPr>
          <w:p w14:paraId="089C0802" w14:textId="77777777" w:rsidR="004D521D" w:rsidRPr="004D521D" w:rsidRDefault="004D521D" w:rsidP="004D521D">
            <w:r w:rsidRPr="004D521D">
              <w:t>.02793</w:t>
            </w:r>
          </w:p>
        </w:tc>
      </w:tr>
      <w:tr w:rsidR="004D521D" w:rsidRPr="004D521D" w14:paraId="213FECA9" w14:textId="77777777" w:rsidTr="00C83AD1">
        <w:trPr>
          <w:cantSplit/>
          <w:trHeight w:val="20"/>
        </w:trPr>
        <w:tc>
          <w:tcPr>
            <w:tcW w:w="874" w:type="dxa"/>
            <w:vMerge w:val="restart"/>
            <w:shd w:val="clear" w:color="auto" w:fill="FFFFFF"/>
            <w:vAlign w:val="center"/>
          </w:tcPr>
          <w:p w14:paraId="49F2BC28" w14:textId="77777777" w:rsidR="004D521D" w:rsidRPr="004D521D" w:rsidRDefault="004D521D" w:rsidP="004D521D">
            <w:pPr>
              <w:rPr>
                <w:b/>
              </w:rPr>
            </w:pPr>
            <w:r w:rsidRPr="004D521D">
              <w:rPr>
                <w:b/>
              </w:rPr>
              <w:t>31-40</w:t>
            </w:r>
          </w:p>
        </w:tc>
        <w:tc>
          <w:tcPr>
            <w:tcW w:w="1918" w:type="dxa"/>
            <w:shd w:val="clear" w:color="auto" w:fill="FFFFFF"/>
            <w:vAlign w:val="center"/>
          </w:tcPr>
          <w:p w14:paraId="00292499" w14:textId="77777777" w:rsidR="004D521D" w:rsidRPr="004D521D" w:rsidRDefault="004D521D" w:rsidP="004D521D">
            <w:pPr>
              <w:rPr>
                <w:b/>
              </w:rPr>
            </w:pPr>
            <w:r w:rsidRPr="004D521D">
              <w:rPr>
                <w:b/>
              </w:rPr>
              <w:t>AGE</w:t>
            </w:r>
          </w:p>
        </w:tc>
        <w:tc>
          <w:tcPr>
            <w:tcW w:w="1153" w:type="dxa"/>
            <w:shd w:val="clear" w:color="auto" w:fill="FFFFFF"/>
            <w:vAlign w:val="center"/>
          </w:tcPr>
          <w:p w14:paraId="456DC1CC" w14:textId="77777777" w:rsidR="004D521D" w:rsidRPr="004D521D" w:rsidRDefault="004D521D" w:rsidP="004D521D">
            <w:r w:rsidRPr="004D521D">
              <w:t>57</w:t>
            </w:r>
          </w:p>
        </w:tc>
        <w:tc>
          <w:tcPr>
            <w:tcW w:w="1204" w:type="dxa"/>
            <w:shd w:val="clear" w:color="auto" w:fill="FFFFFF"/>
            <w:vAlign w:val="center"/>
          </w:tcPr>
          <w:p w14:paraId="1EB07C24" w14:textId="77777777" w:rsidR="004D521D" w:rsidRPr="004D521D" w:rsidRDefault="004D521D" w:rsidP="004D521D">
            <w:r w:rsidRPr="004D521D">
              <w:t>31</w:t>
            </w:r>
          </w:p>
        </w:tc>
        <w:tc>
          <w:tcPr>
            <w:tcW w:w="1241" w:type="dxa"/>
            <w:shd w:val="clear" w:color="auto" w:fill="FFFFFF"/>
            <w:vAlign w:val="center"/>
          </w:tcPr>
          <w:p w14:paraId="73972873" w14:textId="77777777" w:rsidR="004D521D" w:rsidRPr="004D521D" w:rsidRDefault="004D521D" w:rsidP="004D521D">
            <w:r w:rsidRPr="004D521D">
              <w:t>40</w:t>
            </w:r>
          </w:p>
        </w:tc>
        <w:tc>
          <w:tcPr>
            <w:tcW w:w="1153" w:type="dxa"/>
            <w:shd w:val="clear" w:color="auto" w:fill="FFFFFF"/>
            <w:vAlign w:val="center"/>
          </w:tcPr>
          <w:p w14:paraId="08F7A689" w14:textId="77777777" w:rsidR="004D521D" w:rsidRPr="004D521D" w:rsidRDefault="004D521D" w:rsidP="004D521D">
            <w:r w:rsidRPr="004D521D">
              <w:t>35.04</w:t>
            </w:r>
          </w:p>
        </w:tc>
        <w:tc>
          <w:tcPr>
            <w:tcW w:w="1097" w:type="dxa"/>
            <w:shd w:val="clear" w:color="auto" w:fill="FFFFFF"/>
            <w:vAlign w:val="center"/>
          </w:tcPr>
          <w:p w14:paraId="1FBC98D5" w14:textId="77777777" w:rsidR="004D521D" w:rsidRPr="004D521D" w:rsidRDefault="004D521D" w:rsidP="004D521D">
            <w:r w:rsidRPr="004D521D">
              <w:t>2.738</w:t>
            </w:r>
          </w:p>
        </w:tc>
      </w:tr>
      <w:tr w:rsidR="004D521D" w:rsidRPr="004D521D" w14:paraId="1923E24B" w14:textId="77777777" w:rsidTr="00C83AD1">
        <w:trPr>
          <w:cantSplit/>
          <w:trHeight w:val="20"/>
        </w:trPr>
        <w:tc>
          <w:tcPr>
            <w:tcW w:w="874" w:type="dxa"/>
            <w:vMerge/>
            <w:shd w:val="clear" w:color="auto" w:fill="FFFFFF"/>
            <w:vAlign w:val="center"/>
          </w:tcPr>
          <w:p w14:paraId="2C66DB99" w14:textId="77777777" w:rsidR="004D521D" w:rsidRPr="004D521D" w:rsidRDefault="004D521D" w:rsidP="004D521D">
            <w:pPr>
              <w:rPr>
                <w:b/>
              </w:rPr>
            </w:pPr>
          </w:p>
        </w:tc>
        <w:tc>
          <w:tcPr>
            <w:tcW w:w="1918" w:type="dxa"/>
            <w:shd w:val="clear" w:color="auto" w:fill="FFFFFF"/>
            <w:vAlign w:val="center"/>
          </w:tcPr>
          <w:p w14:paraId="01034C03" w14:textId="77777777" w:rsidR="004D521D" w:rsidRPr="004D521D" w:rsidRDefault="004D521D" w:rsidP="004D521D">
            <w:pPr>
              <w:rPr>
                <w:b/>
              </w:rPr>
            </w:pPr>
            <w:r w:rsidRPr="004D521D">
              <w:rPr>
                <w:b/>
              </w:rPr>
              <w:t>CH</w:t>
            </w:r>
          </w:p>
        </w:tc>
        <w:tc>
          <w:tcPr>
            <w:tcW w:w="1153" w:type="dxa"/>
            <w:shd w:val="clear" w:color="auto" w:fill="FFFFFF"/>
            <w:vAlign w:val="center"/>
          </w:tcPr>
          <w:p w14:paraId="7687B0E1" w14:textId="77777777" w:rsidR="004D521D" w:rsidRPr="004D521D" w:rsidRDefault="004D521D" w:rsidP="004D521D">
            <w:r w:rsidRPr="004D521D">
              <w:t>57</w:t>
            </w:r>
          </w:p>
        </w:tc>
        <w:tc>
          <w:tcPr>
            <w:tcW w:w="1204" w:type="dxa"/>
            <w:shd w:val="clear" w:color="auto" w:fill="FFFFFF"/>
            <w:vAlign w:val="center"/>
          </w:tcPr>
          <w:p w14:paraId="4E99A4DE" w14:textId="77777777" w:rsidR="004D521D" w:rsidRPr="004D521D" w:rsidRDefault="004D521D" w:rsidP="004D521D">
            <w:r w:rsidRPr="004D521D">
              <w:t>2.90</w:t>
            </w:r>
          </w:p>
        </w:tc>
        <w:tc>
          <w:tcPr>
            <w:tcW w:w="1241" w:type="dxa"/>
            <w:shd w:val="clear" w:color="auto" w:fill="FFFFFF"/>
            <w:vAlign w:val="center"/>
          </w:tcPr>
          <w:p w14:paraId="7756CB10" w14:textId="77777777" w:rsidR="004D521D" w:rsidRPr="004D521D" w:rsidRDefault="004D521D" w:rsidP="004D521D">
            <w:r w:rsidRPr="004D521D">
              <w:t>3.61</w:t>
            </w:r>
          </w:p>
        </w:tc>
        <w:tc>
          <w:tcPr>
            <w:tcW w:w="1153" w:type="dxa"/>
            <w:shd w:val="clear" w:color="auto" w:fill="FFFFFF"/>
            <w:vAlign w:val="center"/>
          </w:tcPr>
          <w:p w14:paraId="57B90CA9" w14:textId="77777777" w:rsidR="004D521D" w:rsidRPr="004D521D" w:rsidRDefault="004D521D" w:rsidP="004D521D">
            <w:r w:rsidRPr="004D521D">
              <w:t>3.1986</w:t>
            </w:r>
          </w:p>
        </w:tc>
        <w:tc>
          <w:tcPr>
            <w:tcW w:w="1097" w:type="dxa"/>
            <w:shd w:val="clear" w:color="auto" w:fill="FFFFFF"/>
            <w:vAlign w:val="center"/>
          </w:tcPr>
          <w:p w14:paraId="7127A64E" w14:textId="77777777" w:rsidR="004D521D" w:rsidRPr="004D521D" w:rsidRDefault="004D521D" w:rsidP="004D521D">
            <w:r w:rsidRPr="004D521D">
              <w:t>.16690</w:t>
            </w:r>
          </w:p>
        </w:tc>
      </w:tr>
      <w:tr w:rsidR="004D521D" w:rsidRPr="004D521D" w14:paraId="7403A32A" w14:textId="77777777" w:rsidTr="00C83AD1">
        <w:trPr>
          <w:cantSplit/>
          <w:trHeight w:val="20"/>
        </w:trPr>
        <w:tc>
          <w:tcPr>
            <w:tcW w:w="874" w:type="dxa"/>
            <w:vMerge/>
            <w:shd w:val="clear" w:color="auto" w:fill="FFFFFF"/>
            <w:vAlign w:val="center"/>
          </w:tcPr>
          <w:p w14:paraId="10AD16B7" w14:textId="77777777" w:rsidR="004D521D" w:rsidRPr="004D521D" w:rsidRDefault="004D521D" w:rsidP="004D521D">
            <w:pPr>
              <w:rPr>
                <w:b/>
              </w:rPr>
            </w:pPr>
          </w:p>
        </w:tc>
        <w:tc>
          <w:tcPr>
            <w:tcW w:w="1918" w:type="dxa"/>
            <w:shd w:val="clear" w:color="auto" w:fill="FFFFFF"/>
            <w:vAlign w:val="center"/>
          </w:tcPr>
          <w:p w14:paraId="5B4D182F" w14:textId="77777777" w:rsidR="004D521D" w:rsidRPr="004D521D" w:rsidRDefault="004D521D" w:rsidP="004D521D">
            <w:pPr>
              <w:rPr>
                <w:b/>
              </w:rPr>
            </w:pPr>
            <w:r w:rsidRPr="004D521D">
              <w:rPr>
                <w:b/>
              </w:rPr>
              <w:t>CL</w:t>
            </w:r>
          </w:p>
        </w:tc>
        <w:tc>
          <w:tcPr>
            <w:tcW w:w="1153" w:type="dxa"/>
            <w:shd w:val="clear" w:color="auto" w:fill="FFFFFF"/>
            <w:vAlign w:val="center"/>
          </w:tcPr>
          <w:p w14:paraId="37A5BBA2" w14:textId="77777777" w:rsidR="004D521D" w:rsidRPr="004D521D" w:rsidRDefault="004D521D" w:rsidP="004D521D">
            <w:r w:rsidRPr="004D521D">
              <w:t>57</w:t>
            </w:r>
          </w:p>
        </w:tc>
        <w:tc>
          <w:tcPr>
            <w:tcW w:w="1204" w:type="dxa"/>
            <w:shd w:val="clear" w:color="auto" w:fill="FFFFFF"/>
            <w:vAlign w:val="center"/>
          </w:tcPr>
          <w:p w14:paraId="6C1C19A7" w14:textId="77777777" w:rsidR="004D521D" w:rsidRPr="004D521D" w:rsidRDefault="004D521D" w:rsidP="004D521D">
            <w:r w:rsidRPr="004D521D">
              <w:t>2.07</w:t>
            </w:r>
          </w:p>
        </w:tc>
        <w:tc>
          <w:tcPr>
            <w:tcW w:w="1241" w:type="dxa"/>
            <w:shd w:val="clear" w:color="auto" w:fill="FFFFFF"/>
            <w:vAlign w:val="center"/>
          </w:tcPr>
          <w:p w14:paraId="0D1119C7" w14:textId="77777777" w:rsidR="004D521D" w:rsidRPr="004D521D" w:rsidRDefault="004D521D" w:rsidP="004D521D">
            <w:r w:rsidRPr="004D521D">
              <w:t>2.27</w:t>
            </w:r>
          </w:p>
        </w:tc>
        <w:tc>
          <w:tcPr>
            <w:tcW w:w="1153" w:type="dxa"/>
            <w:shd w:val="clear" w:color="auto" w:fill="FFFFFF"/>
            <w:vAlign w:val="center"/>
          </w:tcPr>
          <w:p w14:paraId="64168F61" w14:textId="77777777" w:rsidR="004D521D" w:rsidRPr="004D521D" w:rsidRDefault="004D521D" w:rsidP="004D521D">
            <w:r w:rsidRPr="004D521D">
              <w:t>2.1504</w:t>
            </w:r>
          </w:p>
        </w:tc>
        <w:tc>
          <w:tcPr>
            <w:tcW w:w="1097" w:type="dxa"/>
            <w:shd w:val="clear" w:color="auto" w:fill="FFFFFF"/>
            <w:vAlign w:val="center"/>
          </w:tcPr>
          <w:p w14:paraId="50875CE5" w14:textId="77777777" w:rsidR="004D521D" w:rsidRPr="004D521D" w:rsidRDefault="004D521D" w:rsidP="004D521D">
            <w:r w:rsidRPr="004D521D">
              <w:t>.04367</w:t>
            </w:r>
          </w:p>
        </w:tc>
      </w:tr>
      <w:tr w:rsidR="004D521D" w:rsidRPr="004D521D" w14:paraId="504CEBB4" w14:textId="77777777" w:rsidTr="00C83AD1">
        <w:trPr>
          <w:cantSplit/>
          <w:trHeight w:val="20"/>
        </w:trPr>
        <w:tc>
          <w:tcPr>
            <w:tcW w:w="874" w:type="dxa"/>
            <w:vMerge/>
            <w:shd w:val="clear" w:color="auto" w:fill="FFFFFF"/>
            <w:vAlign w:val="center"/>
          </w:tcPr>
          <w:p w14:paraId="4A978AA1" w14:textId="77777777" w:rsidR="004D521D" w:rsidRPr="004D521D" w:rsidRDefault="004D521D" w:rsidP="004D521D">
            <w:pPr>
              <w:rPr>
                <w:b/>
              </w:rPr>
            </w:pPr>
          </w:p>
        </w:tc>
        <w:tc>
          <w:tcPr>
            <w:tcW w:w="1918" w:type="dxa"/>
            <w:shd w:val="clear" w:color="auto" w:fill="FFFFFF"/>
            <w:vAlign w:val="center"/>
          </w:tcPr>
          <w:p w14:paraId="32AE0C72" w14:textId="77777777" w:rsidR="004D521D" w:rsidRPr="004D521D" w:rsidRDefault="004D521D" w:rsidP="004D521D">
            <w:pPr>
              <w:rPr>
                <w:b/>
              </w:rPr>
            </w:pPr>
            <w:r w:rsidRPr="004D521D">
              <w:rPr>
                <w:b/>
              </w:rPr>
              <w:t>LW</w:t>
            </w:r>
          </w:p>
        </w:tc>
        <w:tc>
          <w:tcPr>
            <w:tcW w:w="1153" w:type="dxa"/>
            <w:shd w:val="clear" w:color="auto" w:fill="FFFFFF"/>
            <w:vAlign w:val="center"/>
          </w:tcPr>
          <w:p w14:paraId="5A202F9A" w14:textId="77777777" w:rsidR="004D521D" w:rsidRPr="004D521D" w:rsidRDefault="004D521D" w:rsidP="004D521D">
            <w:r w:rsidRPr="004D521D">
              <w:t>57</w:t>
            </w:r>
          </w:p>
        </w:tc>
        <w:tc>
          <w:tcPr>
            <w:tcW w:w="1204" w:type="dxa"/>
            <w:shd w:val="clear" w:color="auto" w:fill="FFFFFF"/>
            <w:vAlign w:val="center"/>
          </w:tcPr>
          <w:p w14:paraId="1FCF1E02" w14:textId="77777777" w:rsidR="004D521D" w:rsidRPr="004D521D" w:rsidRDefault="004D521D" w:rsidP="004D521D">
            <w:r w:rsidRPr="004D521D">
              <w:t>13.64</w:t>
            </w:r>
          </w:p>
        </w:tc>
        <w:tc>
          <w:tcPr>
            <w:tcW w:w="1241" w:type="dxa"/>
            <w:shd w:val="clear" w:color="auto" w:fill="FFFFFF"/>
            <w:vAlign w:val="center"/>
          </w:tcPr>
          <w:p w14:paraId="67BEFE41" w14:textId="77777777" w:rsidR="004D521D" w:rsidRPr="004D521D" w:rsidRDefault="004D521D" w:rsidP="004D521D">
            <w:r w:rsidRPr="004D521D">
              <w:t>14.51</w:t>
            </w:r>
          </w:p>
        </w:tc>
        <w:tc>
          <w:tcPr>
            <w:tcW w:w="1153" w:type="dxa"/>
            <w:shd w:val="clear" w:color="auto" w:fill="FFFFFF"/>
            <w:vAlign w:val="center"/>
          </w:tcPr>
          <w:p w14:paraId="252CE10D" w14:textId="77777777" w:rsidR="004D521D" w:rsidRPr="004D521D" w:rsidRDefault="004D521D" w:rsidP="004D521D">
            <w:r w:rsidRPr="004D521D">
              <w:t>14.0032</w:t>
            </w:r>
          </w:p>
        </w:tc>
        <w:tc>
          <w:tcPr>
            <w:tcW w:w="1097" w:type="dxa"/>
            <w:shd w:val="clear" w:color="auto" w:fill="FFFFFF"/>
            <w:vAlign w:val="center"/>
          </w:tcPr>
          <w:p w14:paraId="45C2769B" w14:textId="77777777" w:rsidR="004D521D" w:rsidRPr="004D521D" w:rsidRDefault="004D521D" w:rsidP="004D521D">
            <w:r w:rsidRPr="004D521D">
              <w:t>.17823</w:t>
            </w:r>
          </w:p>
        </w:tc>
      </w:tr>
      <w:tr w:rsidR="004D521D" w:rsidRPr="004D521D" w14:paraId="74BFEBB5" w14:textId="77777777" w:rsidTr="00C83AD1">
        <w:trPr>
          <w:cantSplit/>
          <w:trHeight w:val="20"/>
        </w:trPr>
        <w:tc>
          <w:tcPr>
            <w:tcW w:w="874" w:type="dxa"/>
            <w:vMerge/>
            <w:shd w:val="clear" w:color="auto" w:fill="FFFFFF"/>
            <w:vAlign w:val="center"/>
          </w:tcPr>
          <w:p w14:paraId="31FB389A" w14:textId="77777777" w:rsidR="004D521D" w:rsidRPr="004D521D" w:rsidRDefault="004D521D" w:rsidP="004D521D">
            <w:pPr>
              <w:rPr>
                <w:b/>
              </w:rPr>
            </w:pPr>
          </w:p>
        </w:tc>
        <w:tc>
          <w:tcPr>
            <w:tcW w:w="1918" w:type="dxa"/>
            <w:shd w:val="clear" w:color="auto" w:fill="FFFFFF"/>
            <w:vAlign w:val="center"/>
          </w:tcPr>
          <w:p w14:paraId="0DB7281E" w14:textId="77777777" w:rsidR="004D521D" w:rsidRPr="004D521D" w:rsidRDefault="004D521D" w:rsidP="004D521D">
            <w:pPr>
              <w:rPr>
                <w:b/>
              </w:rPr>
            </w:pPr>
            <w:r w:rsidRPr="004D521D">
              <w:rPr>
                <w:b/>
              </w:rPr>
              <w:t>SLG</w:t>
            </w:r>
          </w:p>
        </w:tc>
        <w:tc>
          <w:tcPr>
            <w:tcW w:w="1153" w:type="dxa"/>
            <w:shd w:val="clear" w:color="auto" w:fill="FFFFFF"/>
            <w:vAlign w:val="center"/>
          </w:tcPr>
          <w:p w14:paraId="468AB4E8" w14:textId="77777777" w:rsidR="004D521D" w:rsidRPr="004D521D" w:rsidRDefault="004D521D" w:rsidP="004D521D">
            <w:r w:rsidRPr="004D521D">
              <w:t>57</w:t>
            </w:r>
          </w:p>
        </w:tc>
        <w:tc>
          <w:tcPr>
            <w:tcW w:w="1204" w:type="dxa"/>
            <w:shd w:val="clear" w:color="auto" w:fill="FFFFFF"/>
            <w:vAlign w:val="center"/>
          </w:tcPr>
          <w:p w14:paraId="524AEFFD" w14:textId="77777777" w:rsidR="004D521D" w:rsidRPr="004D521D" w:rsidRDefault="004D521D" w:rsidP="004D521D">
            <w:r w:rsidRPr="004D521D">
              <w:t>.13</w:t>
            </w:r>
          </w:p>
        </w:tc>
        <w:tc>
          <w:tcPr>
            <w:tcW w:w="1241" w:type="dxa"/>
            <w:shd w:val="clear" w:color="auto" w:fill="FFFFFF"/>
            <w:vAlign w:val="center"/>
          </w:tcPr>
          <w:p w14:paraId="1FE5903C" w14:textId="77777777" w:rsidR="004D521D" w:rsidRPr="004D521D" w:rsidRDefault="004D521D" w:rsidP="004D521D">
            <w:r w:rsidRPr="004D521D">
              <w:t>.27</w:t>
            </w:r>
          </w:p>
        </w:tc>
        <w:tc>
          <w:tcPr>
            <w:tcW w:w="1153" w:type="dxa"/>
            <w:shd w:val="clear" w:color="auto" w:fill="FFFFFF"/>
            <w:vAlign w:val="center"/>
          </w:tcPr>
          <w:p w14:paraId="44DB00AC" w14:textId="77777777" w:rsidR="004D521D" w:rsidRPr="004D521D" w:rsidRDefault="004D521D" w:rsidP="004D521D">
            <w:r w:rsidRPr="004D521D">
              <w:t>.1995</w:t>
            </w:r>
          </w:p>
        </w:tc>
        <w:tc>
          <w:tcPr>
            <w:tcW w:w="1097" w:type="dxa"/>
            <w:shd w:val="clear" w:color="auto" w:fill="FFFFFF"/>
            <w:vAlign w:val="center"/>
          </w:tcPr>
          <w:p w14:paraId="20B5AD23" w14:textId="77777777" w:rsidR="004D521D" w:rsidRPr="004D521D" w:rsidRDefault="004D521D" w:rsidP="004D521D">
            <w:r w:rsidRPr="004D521D">
              <w:t>.02793</w:t>
            </w:r>
          </w:p>
        </w:tc>
      </w:tr>
      <w:tr w:rsidR="004D521D" w:rsidRPr="004D521D" w14:paraId="6FCA2AD1" w14:textId="77777777" w:rsidTr="00C83AD1">
        <w:trPr>
          <w:cantSplit/>
          <w:trHeight w:val="20"/>
        </w:trPr>
        <w:tc>
          <w:tcPr>
            <w:tcW w:w="874" w:type="dxa"/>
            <w:vMerge w:val="restart"/>
            <w:shd w:val="clear" w:color="auto" w:fill="FFFFFF"/>
            <w:vAlign w:val="center"/>
          </w:tcPr>
          <w:p w14:paraId="01C27059" w14:textId="77777777" w:rsidR="004D521D" w:rsidRPr="004D521D" w:rsidRDefault="004D521D" w:rsidP="004D521D">
            <w:pPr>
              <w:rPr>
                <w:b/>
              </w:rPr>
            </w:pPr>
            <w:r w:rsidRPr="004D521D">
              <w:rPr>
                <w:b/>
              </w:rPr>
              <w:t>41-50</w:t>
            </w:r>
          </w:p>
        </w:tc>
        <w:tc>
          <w:tcPr>
            <w:tcW w:w="1918" w:type="dxa"/>
            <w:shd w:val="clear" w:color="auto" w:fill="FFFFFF"/>
            <w:vAlign w:val="center"/>
          </w:tcPr>
          <w:p w14:paraId="1B5CC7E6" w14:textId="77777777" w:rsidR="004D521D" w:rsidRPr="004D521D" w:rsidRDefault="004D521D" w:rsidP="004D521D">
            <w:pPr>
              <w:rPr>
                <w:b/>
              </w:rPr>
            </w:pPr>
            <w:r w:rsidRPr="004D521D">
              <w:rPr>
                <w:b/>
              </w:rPr>
              <w:t>AGE</w:t>
            </w:r>
          </w:p>
        </w:tc>
        <w:tc>
          <w:tcPr>
            <w:tcW w:w="1153" w:type="dxa"/>
            <w:shd w:val="clear" w:color="auto" w:fill="FFFFFF"/>
            <w:vAlign w:val="center"/>
          </w:tcPr>
          <w:p w14:paraId="516D738F" w14:textId="77777777" w:rsidR="004D521D" w:rsidRPr="004D521D" w:rsidRDefault="004D521D" w:rsidP="004D521D">
            <w:r w:rsidRPr="004D521D">
              <w:t>44</w:t>
            </w:r>
          </w:p>
        </w:tc>
        <w:tc>
          <w:tcPr>
            <w:tcW w:w="1204" w:type="dxa"/>
            <w:shd w:val="clear" w:color="auto" w:fill="FFFFFF"/>
            <w:vAlign w:val="center"/>
          </w:tcPr>
          <w:p w14:paraId="6EF71DD9" w14:textId="77777777" w:rsidR="004D521D" w:rsidRPr="004D521D" w:rsidRDefault="004D521D" w:rsidP="004D521D">
            <w:r w:rsidRPr="004D521D">
              <w:t>41</w:t>
            </w:r>
          </w:p>
        </w:tc>
        <w:tc>
          <w:tcPr>
            <w:tcW w:w="1241" w:type="dxa"/>
            <w:shd w:val="clear" w:color="auto" w:fill="FFFFFF"/>
            <w:vAlign w:val="center"/>
          </w:tcPr>
          <w:p w14:paraId="1940F310" w14:textId="77777777" w:rsidR="004D521D" w:rsidRPr="004D521D" w:rsidRDefault="004D521D" w:rsidP="004D521D">
            <w:r w:rsidRPr="004D521D">
              <w:t>50</w:t>
            </w:r>
          </w:p>
        </w:tc>
        <w:tc>
          <w:tcPr>
            <w:tcW w:w="1153" w:type="dxa"/>
            <w:shd w:val="clear" w:color="auto" w:fill="FFFFFF"/>
            <w:vAlign w:val="center"/>
          </w:tcPr>
          <w:p w14:paraId="6BB96F92" w14:textId="77777777" w:rsidR="004D521D" w:rsidRPr="004D521D" w:rsidRDefault="004D521D" w:rsidP="004D521D">
            <w:r w:rsidRPr="004D521D">
              <w:t>46.34</w:t>
            </w:r>
          </w:p>
        </w:tc>
        <w:tc>
          <w:tcPr>
            <w:tcW w:w="1097" w:type="dxa"/>
            <w:shd w:val="clear" w:color="auto" w:fill="FFFFFF"/>
            <w:vAlign w:val="center"/>
          </w:tcPr>
          <w:p w14:paraId="43FA2E2C" w14:textId="77777777" w:rsidR="004D521D" w:rsidRPr="004D521D" w:rsidRDefault="004D521D" w:rsidP="004D521D">
            <w:r w:rsidRPr="004D521D">
              <w:t>3.110</w:t>
            </w:r>
          </w:p>
        </w:tc>
      </w:tr>
      <w:tr w:rsidR="004D521D" w:rsidRPr="004D521D" w14:paraId="0511EF16" w14:textId="77777777" w:rsidTr="00C83AD1">
        <w:trPr>
          <w:cantSplit/>
          <w:trHeight w:val="20"/>
        </w:trPr>
        <w:tc>
          <w:tcPr>
            <w:tcW w:w="874" w:type="dxa"/>
            <w:vMerge/>
            <w:shd w:val="clear" w:color="auto" w:fill="FFFFFF"/>
            <w:vAlign w:val="center"/>
          </w:tcPr>
          <w:p w14:paraId="39D99627" w14:textId="77777777" w:rsidR="004D521D" w:rsidRPr="004D521D" w:rsidRDefault="004D521D" w:rsidP="004D521D">
            <w:pPr>
              <w:rPr>
                <w:b/>
              </w:rPr>
            </w:pPr>
          </w:p>
        </w:tc>
        <w:tc>
          <w:tcPr>
            <w:tcW w:w="1918" w:type="dxa"/>
            <w:shd w:val="clear" w:color="auto" w:fill="FFFFFF"/>
            <w:vAlign w:val="center"/>
          </w:tcPr>
          <w:p w14:paraId="6B622451" w14:textId="77777777" w:rsidR="004D521D" w:rsidRPr="004D521D" w:rsidRDefault="004D521D" w:rsidP="004D521D">
            <w:pPr>
              <w:rPr>
                <w:b/>
              </w:rPr>
            </w:pPr>
            <w:r w:rsidRPr="004D521D">
              <w:rPr>
                <w:b/>
              </w:rPr>
              <w:t>CH</w:t>
            </w:r>
          </w:p>
        </w:tc>
        <w:tc>
          <w:tcPr>
            <w:tcW w:w="1153" w:type="dxa"/>
            <w:shd w:val="clear" w:color="auto" w:fill="FFFFFF"/>
            <w:vAlign w:val="center"/>
          </w:tcPr>
          <w:p w14:paraId="2F182293" w14:textId="77777777" w:rsidR="004D521D" w:rsidRPr="004D521D" w:rsidRDefault="004D521D" w:rsidP="004D521D">
            <w:r w:rsidRPr="004D521D">
              <w:t>44</w:t>
            </w:r>
          </w:p>
        </w:tc>
        <w:tc>
          <w:tcPr>
            <w:tcW w:w="1204" w:type="dxa"/>
            <w:shd w:val="clear" w:color="auto" w:fill="FFFFFF"/>
            <w:vAlign w:val="center"/>
          </w:tcPr>
          <w:p w14:paraId="4BF331A6" w14:textId="77777777" w:rsidR="004D521D" w:rsidRPr="004D521D" w:rsidRDefault="004D521D" w:rsidP="004D521D">
            <w:r w:rsidRPr="004D521D">
              <w:t>3.01</w:t>
            </w:r>
          </w:p>
        </w:tc>
        <w:tc>
          <w:tcPr>
            <w:tcW w:w="1241" w:type="dxa"/>
            <w:shd w:val="clear" w:color="auto" w:fill="FFFFFF"/>
            <w:vAlign w:val="center"/>
          </w:tcPr>
          <w:p w14:paraId="4BC49BC0" w14:textId="77777777" w:rsidR="004D521D" w:rsidRPr="004D521D" w:rsidRDefault="004D521D" w:rsidP="004D521D">
            <w:r w:rsidRPr="004D521D">
              <w:t>3.49</w:t>
            </w:r>
          </w:p>
        </w:tc>
        <w:tc>
          <w:tcPr>
            <w:tcW w:w="1153" w:type="dxa"/>
            <w:shd w:val="clear" w:color="auto" w:fill="FFFFFF"/>
            <w:vAlign w:val="center"/>
          </w:tcPr>
          <w:p w14:paraId="5097E48C" w14:textId="77777777" w:rsidR="004D521D" w:rsidRPr="004D521D" w:rsidRDefault="004D521D" w:rsidP="004D521D">
            <w:r w:rsidRPr="004D521D">
              <w:t>3.2293</w:t>
            </w:r>
          </w:p>
        </w:tc>
        <w:tc>
          <w:tcPr>
            <w:tcW w:w="1097" w:type="dxa"/>
            <w:shd w:val="clear" w:color="auto" w:fill="FFFFFF"/>
            <w:vAlign w:val="center"/>
          </w:tcPr>
          <w:p w14:paraId="6E27B9DB" w14:textId="77777777" w:rsidR="004D521D" w:rsidRPr="004D521D" w:rsidRDefault="004D521D" w:rsidP="004D521D">
            <w:r w:rsidRPr="004D521D">
              <w:t>.12097</w:t>
            </w:r>
          </w:p>
        </w:tc>
      </w:tr>
      <w:tr w:rsidR="004D521D" w:rsidRPr="004D521D" w14:paraId="034491E0" w14:textId="77777777" w:rsidTr="00C83AD1">
        <w:trPr>
          <w:cantSplit/>
          <w:trHeight w:val="20"/>
        </w:trPr>
        <w:tc>
          <w:tcPr>
            <w:tcW w:w="874" w:type="dxa"/>
            <w:vMerge/>
            <w:shd w:val="clear" w:color="auto" w:fill="FFFFFF"/>
            <w:vAlign w:val="center"/>
          </w:tcPr>
          <w:p w14:paraId="1C0DE175" w14:textId="77777777" w:rsidR="004D521D" w:rsidRPr="004D521D" w:rsidRDefault="004D521D" w:rsidP="004D521D">
            <w:pPr>
              <w:rPr>
                <w:b/>
              </w:rPr>
            </w:pPr>
          </w:p>
        </w:tc>
        <w:tc>
          <w:tcPr>
            <w:tcW w:w="1918" w:type="dxa"/>
            <w:shd w:val="clear" w:color="auto" w:fill="FFFFFF"/>
            <w:vAlign w:val="center"/>
          </w:tcPr>
          <w:p w14:paraId="5B8EFD66" w14:textId="77777777" w:rsidR="004D521D" w:rsidRPr="004D521D" w:rsidRDefault="004D521D" w:rsidP="004D521D">
            <w:pPr>
              <w:rPr>
                <w:b/>
              </w:rPr>
            </w:pPr>
            <w:r w:rsidRPr="004D521D">
              <w:rPr>
                <w:b/>
              </w:rPr>
              <w:t>CL</w:t>
            </w:r>
          </w:p>
        </w:tc>
        <w:tc>
          <w:tcPr>
            <w:tcW w:w="1153" w:type="dxa"/>
            <w:shd w:val="clear" w:color="auto" w:fill="FFFFFF"/>
            <w:vAlign w:val="center"/>
          </w:tcPr>
          <w:p w14:paraId="179C1F3A" w14:textId="77777777" w:rsidR="004D521D" w:rsidRPr="004D521D" w:rsidRDefault="004D521D" w:rsidP="004D521D">
            <w:r w:rsidRPr="004D521D">
              <w:t>44</w:t>
            </w:r>
          </w:p>
        </w:tc>
        <w:tc>
          <w:tcPr>
            <w:tcW w:w="1204" w:type="dxa"/>
            <w:shd w:val="clear" w:color="auto" w:fill="FFFFFF"/>
            <w:vAlign w:val="center"/>
          </w:tcPr>
          <w:p w14:paraId="5B66C07F" w14:textId="77777777" w:rsidR="004D521D" w:rsidRPr="004D521D" w:rsidRDefault="004D521D" w:rsidP="004D521D">
            <w:r w:rsidRPr="004D521D">
              <w:t>2.05</w:t>
            </w:r>
          </w:p>
        </w:tc>
        <w:tc>
          <w:tcPr>
            <w:tcW w:w="1241" w:type="dxa"/>
            <w:shd w:val="clear" w:color="auto" w:fill="FFFFFF"/>
            <w:vAlign w:val="center"/>
          </w:tcPr>
          <w:p w14:paraId="0FF3AC78" w14:textId="77777777" w:rsidR="004D521D" w:rsidRPr="004D521D" w:rsidRDefault="004D521D" w:rsidP="004D521D">
            <w:r w:rsidRPr="004D521D">
              <w:t>2.28</w:t>
            </w:r>
          </w:p>
        </w:tc>
        <w:tc>
          <w:tcPr>
            <w:tcW w:w="1153" w:type="dxa"/>
            <w:shd w:val="clear" w:color="auto" w:fill="FFFFFF"/>
            <w:vAlign w:val="center"/>
          </w:tcPr>
          <w:p w14:paraId="122C3364" w14:textId="77777777" w:rsidR="004D521D" w:rsidRPr="004D521D" w:rsidRDefault="004D521D" w:rsidP="004D521D">
            <w:r w:rsidRPr="004D521D">
              <w:t>2.1573</w:t>
            </w:r>
          </w:p>
        </w:tc>
        <w:tc>
          <w:tcPr>
            <w:tcW w:w="1097" w:type="dxa"/>
            <w:shd w:val="clear" w:color="auto" w:fill="FFFFFF"/>
            <w:vAlign w:val="center"/>
          </w:tcPr>
          <w:p w14:paraId="44BC34DB" w14:textId="77777777" w:rsidR="004D521D" w:rsidRPr="004D521D" w:rsidRDefault="004D521D" w:rsidP="004D521D">
            <w:r w:rsidRPr="004D521D">
              <w:t>.05634</w:t>
            </w:r>
          </w:p>
        </w:tc>
      </w:tr>
      <w:tr w:rsidR="004D521D" w:rsidRPr="004D521D" w14:paraId="36E58BFA" w14:textId="77777777" w:rsidTr="00C83AD1">
        <w:trPr>
          <w:cantSplit/>
          <w:trHeight w:val="20"/>
        </w:trPr>
        <w:tc>
          <w:tcPr>
            <w:tcW w:w="874" w:type="dxa"/>
            <w:vMerge/>
            <w:shd w:val="clear" w:color="auto" w:fill="FFFFFF"/>
            <w:vAlign w:val="center"/>
          </w:tcPr>
          <w:p w14:paraId="789CE975" w14:textId="77777777" w:rsidR="004D521D" w:rsidRPr="004D521D" w:rsidRDefault="004D521D" w:rsidP="004D521D">
            <w:pPr>
              <w:rPr>
                <w:b/>
              </w:rPr>
            </w:pPr>
          </w:p>
        </w:tc>
        <w:tc>
          <w:tcPr>
            <w:tcW w:w="1918" w:type="dxa"/>
            <w:shd w:val="clear" w:color="auto" w:fill="FFFFFF"/>
            <w:vAlign w:val="center"/>
          </w:tcPr>
          <w:p w14:paraId="36B5185B" w14:textId="77777777" w:rsidR="004D521D" w:rsidRPr="004D521D" w:rsidRDefault="004D521D" w:rsidP="004D521D">
            <w:pPr>
              <w:rPr>
                <w:b/>
              </w:rPr>
            </w:pPr>
            <w:r w:rsidRPr="004D521D">
              <w:rPr>
                <w:b/>
              </w:rPr>
              <w:t>LW</w:t>
            </w:r>
          </w:p>
        </w:tc>
        <w:tc>
          <w:tcPr>
            <w:tcW w:w="1153" w:type="dxa"/>
            <w:shd w:val="clear" w:color="auto" w:fill="FFFFFF"/>
            <w:vAlign w:val="center"/>
          </w:tcPr>
          <w:p w14:paraId="5C74265C" w14:textId="77777777" w:rsidR="004D521D" w:rsidRPr="004D521D" w:rsidRDefault="004D521D" w:rsidP="004D521D">
            <w:r w:rsidRPr="004D521D">
              <w:t>44</w:t>
            </w:r>
          </w:p>
        </w:tc>
        <w:tc>
          <w:tcPr>
            <w:tcW w:w="1204" w:type="dxa"/>
            <w:shd w:val="clear" w:color="auto" w:fill="FFFFFF"/>
            <w:vAlign w:val="center"/>
          </w:tcPr>
          <w:p w14:paraId="6EF08650" w14:textId="77777777" w:rsidR="004D521D" w:rsidRPr="004D521D" w:rsidRDefault="004D521D" w:rsidP="004D521D">
            <w:r w:rsidRPr="004D521D">
              <w:t>13.60</w:t>
            </w:r>
          </w:p>
        </w:tc>
        <w:tc>
          <w:tcPr>
            <w:tcW w:w="1241" w:type="dxa"/>
            <w:shd w:val="clear" w:color="auto" w:fill="FFFFFF"/>
            <w:vAlign w:val="center"/>
          </w:tcPr>
          <w:p w14:paraId="1C5DA4AC" w14:textId="77777777" w:rsidR="004D521D" w:rsidRPr="004D521D" w:rsidRDefault="004D521D" w:rsidP="004D521D">
            <w:r w:rsidRPr="004D521D">
              <w:t>14.65</w:t>
            </w:r>
          </w:p>
        </w:tc>
        <w:tc>
          <w:tcPr>
            <w:tcW w:w="1153" w:type="dxa"/>
            <w:shd w:val="clear" w:color="auto" w:fill="FFFFFF"/>
            <w:vAlign w:val="center"/>
          </w:tcPr>
          <w:p w14:paraId="4F832CD4" w14:textId="77777777" w:rsidR="004D521D" w:rsidRPr="004D521D" w:rsidRDefault="004D521D" w:rsidP="004D521D">
            <w:r w:rsidRPr="004D521D">
              <w:t>14.0393</w:t>
            </w:r>
          </w:p>
        </w:tc>
        <w:tc>
          <w:tcPr>
            <w:tcW w:w="1097" w:type="dxa"/>
            <w:shd w:val="clear" w:color="auto" w:fill="FFFFFF"/>
            <w:vAlign w:val="center"/>
          </w:tcPr>
          <w:p w14:paraId="765BB2C1" w14:textId="77777777" w:rsidR="004D521D" w:rsidRPr="004D521D" w:rsidRDefault="004D521D" w:rsidP="004D521D">
            <w:r w:rsidRPr="004D521D">
              <w:t>.20546</w:t>
            </w:r>
          </w:p>
        </w:tc>
      </w:tr>
      <w:tr w:rsidR="004D521D" w:rsidRPr="004D521D" w14:paraId="65677230" w14:textId="77777777" w:rsidTr="00C83AD1">
        <w:trPr>
          <w:cantSplit/>
          <w:trHeight w:val="20"/>
        </w:trPr>
        <w:tc>
          <w:tcPr>
            <w:tcW w:w="874" w:type="dxa"/>
            <w:vMerge/>
            <w:shd w:val="clear" w:color="auto" w:fill="FFFFFF"/>
            <w:vAlign w:val="center"/>
          </w:tcPr>
          <w:p w14:paraId="1F37C506" w14:textId="77777777" w:rsidR="004D521D" w:rsidRPr="004D521D" w:rsidRDefault="004D521D" w:rsidP="004D521D">
            <w:pPr>
              <w:rPr>
                <w:b/>
              </w:rPr>
            </w:pPr>
          </w:p>
        </w:tc>
        <w:tc>
          <w:tcPr>
            <w:tcW w:w="1918" w:type="dxa"/>
            <w:shd w:val="clear" w:color="auto" w:fill="FFFFFF"/>
            <w:vAlign w:val="center"/>
          </w:tcPr>
          <w:p w14:paraId="398E2A6E" w14:textId="77777777" w:rsidR="004D521D" w:rsidRPr="004D521D" w:rsidRDefault="004D521D" w:rsidP="004D521D">
            <w:pPr>
              <w:rPr>
                <w:b/>
              </w:rPr>
            </w:pPr>
            <w:r w:rsidRPr="004D521D">
              <w:rPr>
                <w:b/>
              </w:rPr>
              <w:t>SLG</w:t>
            </w:r>
          </w:p>
        </w:tc>
        <w:tc>
          <w:tcPr>
            <w:tcW w:w="1153" w:type="dxa"/>
            <w:shd w:val="clear" w:color="auto" w:fill="FFFFFF"/>
            <w:vAlign w:val="center"/>
          </w:tcPr>
          <w:p w14:paraId="1DFEA118" w14:textId="77777777" w:rsidR="004D521D" w:rsidRPr="004D521D" w:rsidRDefault="004D521D" w:rsidP="004D521D">
            <w:r w:rsidRPr="004D521D">
              <w:t>44</w:t>
            </w:r>
          </w:p>
        </w:tc>
        <w:tc>
          <w:tcPr>
            <w:tcW w:w="1204" w:type="dxa"/>
            <w:shd w:val="clear" w:color="auto" w:fill="FFFFFF"/>
            <w:vAlign w:val="center"/>
          </w:tcPr>
          <w:p w14:paraId="4C76D51C" w14:textId="77777777" w:rsidR="004D521D" w:rsidRPr="004D521D" w:rsidRDefault="004D521D" w:rsidP="004D521D">
            <w:r w:rsidRPr="004D521D">
              <w:t>.14</w:t>
            </w:r>
          </w:p>
        </w:tc>
        <w:tc>
          <w:tcPr>
            <w:tcW w:w="1241" w:type="dxa"/>
            <w:shd w:val="clear" w:color="auto" w:fill="FFFFFF"/>
            <w:vAlign w:val="center"/>
          </w:tcPr>
          <w:p w14:paraId="05DA6047" w14:textId="77777777" w:rsidR="004D521D" w:rsidRPr="004D521D" w:rsidRDefault="004D521D" w:rsidP="004D521D">
            <w:r w:rsidRPr="004D521D">
              <w:t>.26</w:t>
            </w:r>
          </w:p>
        </w:tc>
        <w:tc>
          <w:tcPr>
            <w:tcW w:w="1153" w:type="dxa"/>
            <w:shd w:val="clear" w:color="auto" w:fill="FFFFFF"/>
            <w:vAlign w:val="center"/>
          </w:tcPr>
          <w:p w14:paraId="25AC33C0" w14:textId="77777777" w:rsidR="004D521D" w:rsidRPr="004D521D" w:rsidRDefault="004D521D" w:rsidP="004D521D">
            <w:r w:rsidRPr="004D521D">
              <w:t>.2066</w:t>
            </w:r>
          </w:p>
        </w:tc>
        <w:tc>
          <w:tcPr>
            <w:tcW w:w="1097" w:type="dxa"/>
            <w:shd w:val="clear" w:color="auto" w:fill="FFFFFF"/>
            <w:vAlign w:val="center"/>
          </w:tcPr>
          <w:p w14:paraId="5A4A09D1" w14:textId="77777777" w:rsidR="004D521D" w:rsidRPr="004D521D" w:rsidRDefault="004D521D" w:rsidP="004D521D">
            <w:r w:rsidRPr="004D521D">
              <w:t>.02505</w:t>
            </w:r>
          </w:p>
        </w:tc>
      </w:tr>
      <w:tr w:rsidR="004D521D" w:rsidRPr="004D521D" w14:paraId="2902FE4F" w14:textId="77777777" w:rsidTr="00C83AD1">
        <w:trPr>
          <w:cantSplit/>
          <w:trHeight w:val="20"/>
        </w:trPr>
        <w:tc>
          <w:tcPr>
            <w:tcW w:w="874" w:type="dxa"/>
            <w:vMerge w:val="restart"/>
            <w:tcBorders>
              <w:bottom w:val="single" w:sz="4" w:space="0" w:color="auto"/>
            </w:tcBorders>
            <w:shd w:val="clear" w:color="auto" w:fill="FFFFFF"/>
            <w:vAlign w:val="center"/>
          </w:tcPr>
          <w:p w14:paraId="4C947E6B" w14:textId="77777777" w:rsidR="004D521D" w:rsidRPr="004D521D" w:rsidRDefault="004D521D" w:rsidP="004D521D">
            <w:pPr>
              <w:rPr>
                <w:b/>
              </w:rPr>
            </w:pPr>
            <w:r w:rsidRPr="004D521D">
              <w:rPr>
                <w:b/>
              </w:rPr>
              <w:t>51-60</w:t>
            </w:r>
          </w:p>
        </w:tc>
        <w:tc>
          <w:tcPr>
            <w:tcW w:w="1918" w:type="dxa"/>
            <w:shd w:val="clear" w:color="auto" w:fill="FFFFFF"/>
            <w:vAlign w:val="center"/>
          </w:tcPr>
          <w:p w14:paraId="77C2A6AF" w14:textId="77777777" w:rsidR="004D521D" w:rsidRPr="004D521D" w:rsidRDefault="004D521D" w:rsidP="004D521D">
            <w:pPr>
              <w:rPr>
                <w:b/>
              </w:rPr>
            </w:pPr>
            <w:r w:rsidRPr="004D521D">
              <w:rPr>
                <w:b/>
              </w:rPr>
              <w:t>AGE</w:t>
            </w:r>
          </w:p>
        </w:tc>
        <w:tc>
          <w:tcPr>
            <w:tcW w:w="1153" w:type="dxa"/>
            <w:shd w:val="clear" w:color="auto" w:fill="FFFFFF"/>
            <w:vAlign w:val="center"/>
          </w:tcPr>
          <w:p w14:paraId="01818349" w14:textId="77777777" w:rsidR="004D521D" w:rsidRPr="004D521D" w:rsidRDefault="004D521D" w:rsidP="004D521D">
            <w:r w:rsidRPr="004D521D">
              <w:t>37</w:t>
            </w:r>
          </w:p>
        </w:tc>
        <w:tc>
          <w:tcPr>
            <w:tcW w:w="1204" w:type="dxa"/>
            <w:shd w:val="clear" w:color="auto" w:fill="FFFFFF"/>
            <w:vAlign w:val="center"/>
          </w:tcPr>
          <w:p w14:paraId="609636CC" w14:textId="77777777" w:rsidR="004D521D" w:rsidRPr="004D521D" w:rsidRDefault="004D521D" w:rsidP="004D521D">
            <w:r w:rsidRPr="004D521D">
              <w:t>51</w:t>
            </w:r>
          </w:p>
        </w:tc>
        <w:tc>
          <w:tcPr>
            <w:tcW w:w="1241" w:type="dxa"/>
            <w:shd w:val="clear" w:color="auto" w:fill="FFFFFF"/>
            <w:vAlign w:val="center"/>
          </w:tcPr>
          <w:p w14:paraId="7DC1218C" w14:textId="77777777" w:rsidR="004D521D" w:rsidRPr="004D521D" w:rsidRDefault="004D521D" w:rsidP="004D521D">
            <w:r w:rsidRPr="004D521D">
              <w:t>60</w:t>
            </w:r>
          </w:p>
        </w:tc>
        <w:tc>
          <w:tcPr>
            <w:tcW w:w="1153" w:type="dxa"/>
            <w:shd w:val="clear" w:color="auto" w:fill="FFFFFF"/>
            <w:vAlign w:val="center"/>
          </w:tcPr>
          <w:p w14:paraId="753103AC" w14:textId="77777777" w:rsidR="004D521D" w:rsidRPr="004D521D" w:rsidRDefault="004D521D" w:rsidP="004D521D">
            <w:r w:rsidRPr="004D521D">
              <w:t>54.81</w:t>
            </w:r>
          </w:p>
        </w:tc>
        <w:tc>
          <w:tcPr>
            <w:tcW w:w="1097" w:type="dxa"/>
            <w:shd w:val="clear" w:color="auto" w:fill="FFFFFF"/>
            <w:vAlign w:val="center"/>
          </w:tcPr>
          <w:p w14:paraId="7466DB96" w14:textId="77777777" w:rsidR="004D521D" w:rsidRPr="004D521D" w:rsidRDefault="004D521D" w:rsidP="004D521D">
            <w:r w:rsidRPr="004D521D">
              <w:t>2.675</w:t>
            </w:r>
          </w:p>
        </w:tc>
      </w:tr>
      <w:tr w:rsidR="004D521D" w:rsidRPr="004D521D" w14:paraId="1AB7CED7" w14:textId="77777777" w:rsidTr="00C83AD1">
        <w:trPr>
          <w:cantSplit/>
          <w:trHeight w:val="20"/>
        </w:trPr>
        <w:tc>
          <w:tcPr>
            <w:tcW w:w="874" w:type="dxa"/>
            <w:vMerge/>
            <w:tcBorders>
              <w:bottom w:val="single" w:sz="4" w:space="0" w:color="auto"/>
            </w:tcBorders>
            <w:shd w:val="clear" w:color="auto" w:fill="FFFFFF"/>
            <w:vAlign w:val="center"/>
          </w:tcPr>
          <w:p w14:paraId="72E2D711" w14:textId="77777777" w:rsidR="004D521D" w:rsidRPr="004D521D" w:rsidRDefault="004D521D" w:rsidP="004D521D"/>
        </w:tc>
        <w:tc>
          <w:tcPr>
            <w:tcW w:w="1918" w:type="dxa"/>
            <w:shd w:val="clear" w:color="auto" w:fill="FFFFFF"/>
            <w:vAlign w:val="center"/>
          </w:tcPr>
          <w:p w14:paraId="03619420" w14:textId="77777777" w:rsidR="004D521D" w:rsidRPr="004D521D" w:rsidRDefault="004D521D" w:rsidP="004D521D">
            <w:pPr>
              <w:rPr>
                <w:b/>
              </w:rPr>
            </w:pPr>
            <w:r w:rsidRPr="004D521D">
              <w:rPr>
                <w:b/>
              </w:rPr>
              <w:t>CH</w:t>
            </w:r>
          </w:p>
        </w:tc>
        <w:tc>
          <w:tcPr>
            <w:tcW w:w="1153" w:type="dxa"/>
            <w:shd w:val="clear" w:color="auto" w:fill="FFFFFF"/>
            <w:vAlign w:val="center"/>
          </w:tcPr>
          <w:p w14:paraId="517C474C" w14:textId="77777777" w:rsidR="004D521D" w:rsidRPr="004D521D" w:rsidRDefault="004D521D" w:rsidP="004D521D">
            <w:r w:rsidRPr="004D521D">
              <w:t>37</w:t>
            </w:r>
          </w:p>
        </w:tc>
        <w:tc>
          <w:tcPr>
            <w:tcW w:w="1204" w:type="dxa"/>
            <w:shd w:val="clear" w:color="auto" w:fill="FFFFFF"/>
            <w:vAlign w:val="center"/>
          </w:tcPr>
          <w:p w14:paraId="27C806E0" w14:textId="77777777" w:rsidR="004D521D" w:rsidRPr="004D521D" w:rsidRDefault="004D521D" w:rsidP="004D521D">
            <w:r w:rsidRPr="004D521D">
              <w:t>2.95</w:t>
            </w:r>
          </w:p>
        </w:tc>
        <w:tc>
          <w:tcPr>
            <w:tcW w:w="1241" w:type="dxa"/>
            <w:shd w:val="clear" w:color="auto" w:fill="FFFFFF"/>
            <w:vAlign w:val="center"/>
          </w:tcPr>
          <w:p w14:paraId="3FBC982A" w14:textId="77777777" w:rsidR="004D521D" w:rsidRPr="004D521D" w:rsidRDefault="004D521D" w:rsidP="004D521D">
            <w:r w:rsidRPr="004D521D">
              <w:t>3.58</w:t>
            </w:r>
          </w:p>
        </w:tc>
        <w:tc>
          <w:tcPr>
            <w:tcW w:w="1153" w:type="dxa"/>
            <w:shd w:val="clear" w:color="auto" w:fill="FFFFFF"/>
            <w:vAlign w:val="center"/>
          </w:tcPr>
          <w:p w14:paraId="41266677" w14:textId="77777777" w:rsidR="004D521D" w:rsidRPr="004D521D" w:rsidRDefault="004D521D" w:rsidP="004D521D">
            <w:r w:rsidRPr="004D521D">
              <w:t>3.1865</w:t>
            </w:r>
          </w:p>
        </w:tc>
        <w:tc>
          <w:tcPr>
            <w:tcW w:w="1097" w:type="dxa"/>
            <w:shd w:val="clear" w:color="auto" w:fill="FFFFFF"/>
            <w:vAlign w:val="center"/>
          </w:tcPr>
          <w:p w14:paraId="7935A996" w14:textId="77777777" w:rsidR="004D521D" w:rsidRPr="004D521D" w:rsidRDefault="004D521D" w:rsidP="004D521D">
            <w:r w:rsidRPr="004D521D">
              <w:t>.13913</w:t>
            </w:r>
          </w:p>
        </w:tc>
      </w:tr>
      <w:tr w:rsidR="004D521D" w:rsidRPr="004D521D" w14:paraId="5FC804B4" w14:textId="77777777" w:rsidTr="00C83AD1">
        <w:trPr>
          <w:cantSplit/>
          <w:trHeight w:val="20"/>
        </w:trPr>
        <w:tc>
          <w:tcPr>
            <w:tcW w:w="874" w:type="dxa"/>
            <w:vMerge/>
            <w:tcBorders>
              <w:bottom w:val="single" w:sz="4" w:space="0" w:color="auto"/>
            </w:tcBorders>
            <w:shd w:val="clear" w:color="auto" w:fill="FFFFFF"/>
            <w:vAlign w:val="center"/>
          </w:tcPr>
          <w:p w14:paraId="1886BE96" w14:textId="77777777" w:rsidR="004D521D" w:rsidRPr="004D521D" w:rsidRDefault="004D521D" w:rsidP="004D521D"/>
        </w:tc>
        <w:tc>
          <w:tcPr>
            <w:tcW w:w="1918" w:type="dxa"/>
            <w:shd w:val="clear" w:color="auto" w:fill="FFFFFF"/>
            <w:vAlign w:val="center"/>
          </w:tcPr>
          <w:p w14:paraId="044A47FA" w14:textId="77777777" w:rsidR="004D521D" w:rsidRPr="004D521D" w:rsidRDefault="004D521D" w:rsidP="004D521D">
            <w:pPr>
              <w:rPr>
                <w:b/>
              </w:rPr>
            </w:pPr>
            <w:r w:rsidRPr="004D521D">
              <w:rPr>
                <w:b/>
              </w:rPr>
              <w:t>CL</w:t>
            </w:r>
          </w:p>
        </w:tc>
        <w:tc>
          <w:tcPr>
            <w:tcW w:w="1153" w:type="dxa"/>
            <w:shd w:val="clear" w:color="auto" w:fill="FFFFFF"/>
            <w:vAlign w:val="center"/>
          </w:tcPr>
          <w:p w14:paraId="30B8003D" w14:textId="77777777" w:rsidR="004D521D" w:rsidRPr="004D521D" w:rsidRDefault="004D521D" w:rsidP="004D521D">
            <w:r w:rsidRPr="004D521D">
              <w:t>37</w:t>
            </w:r>
          </w:p>
        </w:tc>
        <w:tc>
          <w:tcPr>
            <w:tcW w:w="1204" w:type="dxa"/>
            <w:shd w:val="clear" w:color="auto" w:fill="FFFFFF"/>
            <w:vAlign w:val="center"/>
          </w:tcPr>
          <w:p w14:paraId="1DEDE367" w14:textId="77777777" w:rsidR="004D521D" w:rsidRPr="004D521D" w:rsidRDefault="004D521D" w:rsidP="004D521D">
            <w:r w:rsidRPr="004D521D">
              <w:t>2.06</w:t>
            </w:r>
          </w:p>
        </w:tc>
        <w:tc>
          <w:tcPr>
            <w:tcW w:w="1241" w:type="dxa"/>
            <w:shd w:val="clear" w:color="auto" w:fill="FFFFFF"/>
            <w:vAlign w:val="center"/>
          </w:tcPr>
          <w:p w14:paraId="4A39A595" w14:textId="77777777" w:rsidR="004D521D" w:rsidRPr="004D521D" w:rsidRDefault="004D521D" w:rsidP="004D521D">
            <w:r w:rsidRPr="004D521D">
              <w:t>2.26</w:t>
            </w:r>
          </w:p>
        </w:tc>
        <w:tc>
          <w:tcPr>
            <w:tcW w:w="1153" w:type="dxa"/>
            <w:shd w:val="clear" w:color="auto" w:fill="FFFFFF"/>
            <w:vAlign w:val="center"/>
          </w:tcPr>
          <w:p w14:paraId="209223B1" w14:textId="77777777" w:rsidR="004D521D" w:rsidRPr="004D521D" w:rsidRDefault="004D521D" w:rsidP="004D521D">
            <w:r w:rsidRPr="004D521D">
              <w:t>2.1565</w:t>
            </w:r>
          </w:p>
        </w:tc>
        <w:tc>
          <w:tcPr>
            <w:tcW w:w="1097" w:type="dxa"/>
            <w:shd w:val="clear" w:color="auto" w:fill="FFFFFF"/>
            <w:vAlign w:val="center"/>
          </w:tcPr>
          <w:p w14:paraId="216FF99F" w14:textId="77777777" w:rsidR="004D521D" w:rsidRPr="004D521D" w:rsidRDefault="004D521D" w:rsidP="004D521D">
            <w:r w:rsidRPr="004D521D">
              <w:t>.04957</w:t>
            </w:r>
          </w:p>
        </w:tc>
      </w:tr>
      <w:tr w:rsidR="004D521D" w:rsidRPr="004D521D" w14:paraId="3CDA4E05" w14:textId="77777777" w:rsidTr="00C83AD1">
        <w:trPr>
          <w:cantSplit/>
          <w:trHeight w:val="20"/>
        </w:trPr>
        <w:tc>
          <w:tcPr>
            <w:tcW w:w="874" w:type="dxa"/>
            <w:vMerge/>
            <w:tcBorders>
              <w:bottom w:val="single" w:sz="4" w:space="0" w:color="auto"/>
            </w:tcBorders>
            <w:shd w:val="clear" w:color="auto" w:fill="FFFFFF"/>
            <w:vAlign w:val="center"/>
          </w:tcPr>
          <w:p w14:paraId="17695339" w14:textId="77777777" w:rsidR="004D521D" w:rsidRPr="004D521D" w:rsidRDefault="004D521D" w:rsidP="004D521D"/>
        </w:tc>
        <w:tc>
          <w:tcPr>
            <w:tcW w:w="1918" w:type="dxa"/>
            <w:shd w:val="clear" w:color="auto" w:fill="FFFFFF"/>
            <w:vAlign w:val="center"/>
          </w:tcPr>
          <w:p w14:paraId="3EAA5F6A" w14:textId="77777777" w:rsidR="004D521D" w:rsidRPr="004D521D" w:rsidRDefault="004D521D" w:rsidP="004D521D">
            <w:pPr>
              <w:rPr>
                <w:b/>
              </w:rPr>
            </w:pPr>
            <w:r w:rsidRPr="004D521D">
              <w:rPr>
                <w:b/>
              </w:rPr>
              <w:t>LW</w:t>
            </w:r>
          </w:p>
        </w:tc>
        <w:tc>
          <w:tcPr>
            <w:tcW w:w="1153" w:type="dxa"/>
            <w:shd w:val="clear" w:color="auto" w:fill="FFFFFF"/>
            <w:vAlign w:val="center"/>
          </w:tcPr>
          <w:p w14:paraId="291B37B5" w14:textId="77777777" w:rsidR="004D521D" w:rsidRPr="004D521D" w:rsidRDefault="004D521D" w:rsidP="004D521D">
            <w:r w:rsidRPr="004D521D">
              <w:t>37</w:t>
            </w:r>
          </w:p>
        </w:tc>
        <w:tc>
          <w:tcPr>
            <w:tcW w:w="1204" w:type="dxa"/>
            <w:shd w:val="clear" w:color="auto" w:fill="FFFFFF"/>
            <w:vAlign w:val="center"/>
          </w:tcPr>
          <w:p w14:paraId="1434D833" w14:textId="77777777" w:rsidR="004D521D" w:rsidRPr="004D521D" w:rsidRDefault="004D521D" w:rsidP="004D521D">
            <w:r w:rsidRPr="004D521D">
              <w:t>13.58</w:t>
            </w:r>
          </w:p>
        </w:tc>
        <w:tc>
          <w:tcPr>
            <w:tcW w:w="1241" w:type="dxa"/>
            <w:shd w:val="clear" w:color="auto" w:fill="FFFFFF"/>
            <w:vAlign w:val="center"/>
          </w:tcPr>
          <w:p w14:paraId="4A56CDE8" w14:textId="77777777" w:rsidR="004D521D" w:rsidRPr="004D521D" w:rsidRDefault="004D521D" w:rsidP="004D521D">
            <w:r w:rsidRPr="004D521D">
              <w:t>14.38</w:t>
            </w:r>
          </w:p>
        </w:tc>
        <w:tc>
          <w:tcPr>
            <w:tcW w:w="1153" w:type="dxa"/>
            <w:shd w:val="clear" w:color="auto" w:fill="FFFFFF"/>
            <w:vAlign w:val="center"/>
          </w:tcPr>
          <w:p w14:paraId="7F260BA7" w14:textId="77777777" w:rsidR="004D521D" w:rsidRPr="004D521D" w:rsidRDefault="004D521D" w:rsidP="004D521D">
            <w:r w:rsidRPr="004D521D">
              <w:t>14.0295</w:t>
            </w:r>
          </w:p>
        </w:tc>
        <w:tc>
          <w:tcPr>
            <w:tcW w:w="1097" w:type="dxa"/>
            <w:shd w:val="clear" w:color="auto" w:fill="FFFFFF"/>
            <w:vAlign w:val="center"/>
          </w:tcPr>
          <w:p w14:paraId="719A05B8" w14:textId="77777777" w:rsidR="004D521D" w:rsidRPr="004D521D" w:rsidRDefault="004D521D" w:rsidP="004D521D">
            <w:r w:rsidRPr="004D521D">
              <w:t>.17558</w:t>
            </w:r>
          </w:p>
        </w:tc>
      </w:tr>
      <w:tr w:rsidR="004D521D" w:rsidRPr="004D521D" w14:paraId="0459AB55" w14:textId="77777777" w:rsidTr="00C83AD1">
        <w:trPr>
          <w:cantSplit/>
          <w:trHeight w:val="20"/>
        </w:trPr>
        <w:tc>
          <w:tcPr>
            <w:tcW w:w="874" w:type="dxa"/>
            <w:vMerge/>
            <w:tcBorders>
              <w:bottom w:val="single" w:sz="4" w:space="0" w:color="auto"/>
            </w:tcBorders>
            <w:shd w:val="clear" w:color="auto" w:fill="FFFFFF"/>
            <w:vAlign w:val="center"/>
          </w:tcPr>
          <w:p w14:paraId="1DEFD821" w14:textId="77777777" w:rsidR="004D521D" w:rsidRPr="004D521D" w:rsidRDefault="004D521D" w:rsidP="004D521D"/>
        </w:tc>
        <w:tc>
          <w:tcPr>
            <w:tcW w:w="1918" w:type="dxa"/>
            <w:tcBorders>
              <w:bottom w:val="single" w:sz="4" w:space="0" w:color="auto"/>
            </w:tcBorders>
            <w:shd w:val="clear" w:color="auto" w:fill="FFFFFF"/>
            <w:vAlign w:val="center"/>
          </w:tcPr>
          <w:p w14:paraId="15433A50" w14:textId="77777777" w:rsidR="004D521D" w:rsidRPr="004D521D" w:rsidRDefault="004D521D" w:rsidP="004D521D">
            <w:pPr>
              <w:rPr>
                <w:b/>
              </w:rPr>
            </w:pPr>
            <w:r w:rsidRPr="004D521D">
              <w:rPr>
                <w:b/>
              </w:rPr>
              <w:t>SLG</w:t>
            </w:r>
          </w:p>
        </w:tc>
        <w:tc>
          <w:tcPr>
            <w:tcW w:w="1153" w:type="dxa"/>
            <w:tcBorders>
              <w:bottom w:val="single" w:sz="4" w:space="0" w:color="auto"/>
            </w:tcBorders>
            <w:shd w:val="clear" w:color="auto" w:fill="FFFFFF"/>
            <w:vAlign w:val="center"/>
          </w:tcPr>
          <w:p w14:paraId="4F20DE1C" w14:textId="77777777" w:rsidR="004D521D" w:rsidRPr="004D521D" w:rsidRDefault="004D521D" w:rsidP="004D521D">
            <w:r w:rsidRPr="004D521D">
              <w:t>37</w:t>
            </w:r>
          </w:p>
        </w:tc>
        <w:tc>
          <w:tcPr>
            <w:tcW w:w="1204" w:type="dxa"/>
            <w:tcBorders>
              <w:bottom w:val="single" w:sz="4" w:space="0" w:color="auto"/>
            </w:tcBorders>
            <w:shd w:val="clear" w:color="auto" w:fill="FFFFFF"/>
            <w:vAlign w:val="center"/>
          </w:tcPr>
          <w:p w14:paraId="3AF5CA37" w14:textId="77777777" w:rsidR="004D521D" w:rsidRPr="004D521D" w:rsidRDefault="004D521D" w:rsidP="004D521D">
            <w:r w:rsidRPr="004D521D">
              <w:t>.15</w:t>
            </w:r>
          </w:p>
        </w:tc>
        <w:tc>
          <w:tcPr>
            <w:tcW w:w="1241" w:type="dxa"/>
            <w:tcBorders>
              <w:bottom w:val="single" w:sz="4" w:space="0" w:color="auto"/>
            </w:tcBorders>
            <w:shd w:val="clear" w:color="auto" w:fill="FFFFFF"/>
            <w:vAlign w:val="center"/>
          </w:tcPr>
          <w:p w14:paraId="025B64FE" w14:textId="77777777" w:rsidR="004D521D" w:rsidRPr="004D521D" w:rsidRDefault="004D521D" w:rsidP="004D521D">
            <w:r w:rsidRPr="004D521D">
              <w:t>.24</w:t>
            </w:r>
          </w:p>
        </w:tc>
        <w:tc>
          <w:tcPr>
            <w:tcW w:w="1153" w:type="dxa"/>
            <w:tcBorders>
              <w:bottom w:val="single" w:sz="4" w:space="0" w:color="auto"/>
            </w:tcBorders>
            <w:shd w:val="clear" w:color="auto" w:fill="FFFFFF"/>
            <w:vAlign w:val="center"/>
          </w:tcPr>
          <w:p w14:paraId="073E22EB" w14:textId="77777777" w:rsidR="004D521D" w:rsidRPr="004D521D" w:rsidRDefault="004D521D" w:rsidP="004D521D">
            <w:r w:rsidRPr="004D521D">
              <w:t>.1949</w:t>
            </w:r>
          </w:p>
        </w:tc>
        <w:tc>
          <w:tcPr>
            <w:tcW w:w="1097" w:type="dxa"/>
            <w:tcBorders>
              <w:bottom w:val="single" w:sz="4" w:space="0" w:color="auto"/>
            </w:tcBorders>
            <w:shd w:val="clear" w:color="auto" w:fill="FFFFFF"/>
            <w:vAlign w:val="center"/>
          </w:tcPr>
          <w:p w14:paraId="75CE3F27" w14:textId="77777777" w:rsidR="004D521D" w:rsidRPr="004D521D" w:rsidRDefault="004D521D" w:rsidP="004D521D">
            <w:r w:rsidRPr="004D521D">
              <w:t>.02244</w:t>
            </w:r>
          </w:p>
        </w:tc>
      </w:tr>
    </w:tbl>
    <w:p w14:paraId="61127C63" w14:textId="77777777" w:rsidR="004D521D" w:rsidRDefault="004D521D"/>
    <w:p w14:paraId="74EF9537" w14:textId="77777777" w:rsidR="004D521D" w:rsidRDefault="004D521D"/>
    <w:p w14:paraId="2BEAB267" w14:textId="77777777" w:rsidR="00B91C6A" w:rsidRDefault="00B91C6A"/>
    <w:p w14:paraId="4CB0546E" w14:textId="1B59022B" w:rsidR="00B91C6A" w:rsidRPr="005B10B0" w:rsidRDefault="00B91C6A" w:rsidP="005B10B0">
      <w:pPr>
        <w:jc w:val="center"/>
        <w:rPr>
          <w:b/>
        </w:rPr>
      </w:pPr>
      <w:r w:rsidRPr="005B10B0">
        <w:rPr>
          <w:b/>
          <w:bCs/>
          <w:noProof/>
        </w:rPr>
        <w:drawing>
          <wp:inline distT="0" distB="0" distL="0" distR="0" wp14:anchorId="5FC7C091" wp14:editId="0D335B09">
            <wp:extent cx="5438747" cy="5438692"/>
            <wp:effectExtent l="19050" t="0" r="9553" b="0"/>
            <wp:docPr id="35"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0B4E205" w14:textId="7AA45E9C" w:rsidR="005B10B0" w:rsidRPr="005B10B0" w:rsidRDefault="005B10B0" w:rsidP="005B10B0">
      <w:pPr>
        <w:jc w:val="center"/>
        <w:rPr>
          <w:b/>
        </w:rPr>
      </w:pPr>
      <w:r w:rsidRPr="005B10B0">
        <w:rPr>
          <w:b/>
        </w:rPr>
        <w:t>Fig. 4. Illustrates the variation in carpal height (CH)</w:t>
      </w:r>
    </w:p>
    <w:p w14:paraId="32B4D4C4" w14:textId="37A28743" w:rsidR="00B91C6A" w:rsidRDefault="00D9699B" w:rsidP="001E1C9D">
      <w:pPr>
        <w:jc w:val="both"/>
      </w:pPr>
      <w:r w:rsidRPr="00D9699B">
        <w:rPr>
          <w:bCs/>
        </w:rPr>
        <w:t xml:space="preserve">Figure </w:t>
      </w:r>
      <w:r w:rsidR="00C83AD1">
        <w:rPr>
          <w:bCs/>
        </w:rPr>
        <w:t>4</w:t>
      </w:r>
      <w:r w:rsidRPr="00D9699B">
        <w:rPr>
          <w:bCs/>
        </w:rPr>
        <w:t xml:space="preserve"> illustrates the variation in carpal height (CH) across the different age groups, presenting the corresponding mean values and associated p-values for each comparison.</w:t>
      </w:r>
      <w:r w:rsidR="002A07FE" w:rsidRPr="002A07FE">
        <w:rPr>
          <w:rFonts w:ascii="Segoe UI" w:hAnsi="Segoe UI" w:cs="Segoe UI"/>
          <w:spacing w:val="1"/>
        </w:rPr>
        <w:t xml:space="preserve"> </w:t>
      </w:r>
      <w:r w:rsidR="002A07FE" w:rsidRPr="002A07FE">
        <w:rPr>
          <w:bCs/>
        </w:rPr>
        <w:t>Mean carpal height values ranged from 3.19 to 3.24 across all age categories, while minimum values varied between 2.90 and 3.10, and maximum values ranged from 3.37 to 3.61. Notably, the p-value was consistently 0.347 for all age brackets, indicating no statistically significant difference in carpal height among the studied age groups.</w:t>
      </w:r>
      <w:r w:rsidR="002A07FE">
        <w:rPr>
          <w:bCs/>
        </w:rPr>
        <w:t xml:space="preserve"> </w:t>
      </w:r>
      <w:r w:rsidR="002A07FE" w:rsidRPr="002A07FE">
        <w:rPr>
          <w:bCs/>
        </w:rPr>
        <w:t xml:space="preserve">These findings suggest that carpal height remains stable across adult age divisions, with negligible fluctuation in mean values between cohorts. The absence of significant p-values demonstrates that age does not exert a </w:t>
      </w:r>
      <w:r w:rsidR="002A07FE" w:rsidRPr="002A07FE">
        <w:rPr>
          <w:bCs/>
        </w:rPr>
        <w:lastRenderedPageBreak/>
        <w:t>marked influence on carpal height within this population. Consequently, reference intervals derived from this dataset may be applied broadly across adults without the need for age-based adjustmen</w:t>
      </w:r>
      <w:r w:rsidR="006F188E">
        <w:rPr>
          <w:bCs/>
        </w:rPr>
        <w:t>ts.</w:t>
      </w:r>
    </w:p>
    <w:p w14:paraId="21683DA1" w14:textId="239B3991" w:rsidR="005547CC" w:rsidRDefault="005547CC" w:rsidP="005547CC">
      <w:pPr>
        <w:jc w:val="both"/>
      </w:pPr>
      <w:r w:rsidRPr="005547CC">
        <w:rPr>
          <w:noProof/>
        </w:rPr>
        <w:drawing>
          <wp:inline distT="0" distB="0" distL="0" distR="0" wp14:anchorId="48FC1CFB" wp14:editId="0AF09790">
            <wp:extent cx="5435545" cy="4913271"/>
            <wp:effectExtent l="19050" t="0" r="12755" b="1629"/>
            <wp:docPr id="36"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FC2780" w14:textId="1D76E89A" w:rsidR="005B10B0" w:rsidRDefault="005B10B0" w:rsidP="005547CC">
      <w:pPr>
        <w:jc w:val="both"/>
      </w:pPr>
      <w:r w:rsidRPr="005B10B0">
        <w:t>Figure 5</w:t>
      </w:r>
      <w:r>
        <w:t xml:space="preserve">. </w:t>
      </w:r>
      <w:r w:rsidRPr="005B10B0">
        <w:t>Depicts the comparative analysis of capitate length</w:t>
      </w:r>
    </w:p>
    <w:p w14:paraId="6ECCEF27" w14:textId="77777777" w:rsidR="005B10B0" w:rsidRPr="005547CC" w:rsidRDefault="005B10B0" w:rsidP="005547CC">
      <w:pPr>
        <w:jc w:val="both"/>
      </w:pPr>
    </w:p>
    <w:p w14:paraId="0C665932" w14:textId="2E77D2B9" w:rsidR="00BC52BA" w:rsidRPr="00BC52BA" w:rsidRDefault="005547CC" w:rsidP="00BC52BA">
      <w:pPr>
        <w:jc w:val="both"/>
      </w:pPr>
      <w:r w:rsidRPr="005547CC">
        <w:rPr>
          <w:bCs/>
        </w:rPr>
        <w:t xml:space="preserve">Figure </w:t>
      </w:r>
      <w:r w:rsidR="00C83AD1">
        <w:rPr>
          <w:bCs/>
        </w:rPr>
        <w:t>5</w:t>
      </w:r>
      <w:r w:rsidRPr="005547CC">
        <w:rPr>
          <w:bCs/>
        </w:rPr>
        <w:t xml:space="preserve"> </w:t>
      </w:r>
      <w:r w:rsidR="005B10B0" w:rsidRPr="005B10B0">
        <w:rPr>
          <w:bCs/>
        </w:rPr>
        <w:t xml:space="preserve">depicts the comparative analysis of capitate length </w:t>
      </w:r>
      <w:r w:rsidRPr="005547CC">
        <w:rPr>
          <w:bCs/>
        </w:rPr>
        <w:t>across the various age groups, highlighting the mean values and associated p-values for each category.</w:t>
      </w:r>
      <w:r w:rsidR="00BC52BA">
        <w:rPr>
          <w:bCs/>
        </w:rPr>
        <w:t xml:space="preserve"> </w:t>
      </w:r>
      <w:r w:rsidR="00BC52BA" w:rsidRPr="00BC52BA">
        <w:t>Across all age groups, the minimum and maximum values show only marginal fluctuations (minimum: 2.03–2.08 cm; maximum: 2.26–2.29 cm), indicating a narrow range of variation within the population. The mean capitate length likewise demonstrates remarkable consistency, varying only between 2.1444 cm and 2.1573 cm. This minimal variation suggests that capitate morphology remains largely stable throughout adulthood.</w:t>
      </w:r>
    </w:p>
    <w:p w14:paraId="265FEC61" w14:textId="1B4FEE19" w:rsidR="005547CC" w:rsidRPr="005547CC" w:rsidRDefault="00BC52BA" w:rsidP="005547CC">
      <w:pPr>
        <w:jc w:val="both"/>
        <w:rPr>
          <w:bCs/>
        </w:rPr>
      </w:pPr>
      <w:r w:rsidRPr="00BC52BA">
        <w:t>Importantly, the p-values for all age groups are identical (p = 0.921), far exceeding the 0.05 threshold for statistical significance. This confirms that there is no meaningful age-related difference in capitate length among the participants. The high p-value demonstrates that any observed fluctuations in minimum, maximum, or mean values are incidental rather than indicative of a developmental or degenerative pattern.</w:t>
      </w:r>
      <w:r>
        <w:t xml:space="preserve"> </w:t>
      </w:r>
      <w:r w:rsidRPr="00BC52BA">
        <w:t>Taken together, these findings underscore the relative morphological constancy of the capitate bone across adult age ranges.</w:t>
      </w:r>
      <w:r w:rsidR="005547CC" w:rsidRPr="005547CC">
        <w:br w:type="page"/>
      </w:r>
    </w:p>
    <w:p w14:paraId="3BAAD21D" w14:textId="75C61676" w:rsidR="005547CC" w:rsidRDefault="00BC52BA" w:rsidP="001E1C9D">
      <w:pPr>
        <w:jc w:val="both"/>
      </w:pPr>
      <w:r w:rsidRPr="00AD5990">
        <w:rPr>
          <w:b/>
          <w:bCs/>
          <w:noProof/>
          <w:sz w:val="24"/>
          <w:szCs w:val="24"/>
        </w:rPr>
        <w:lastRenderedPageBreak/>
        <w:drawing>
          <wp:inline distT="0" distB="0" distL="0" distR="0" wp14:anchorId="37F80EDA" wp14:editId="425E89E0">
            <wp:extent cx="5451475" cy="5470498"/>
            <wp:effectExtent l="19050" t="0" r="15875" b="0"/>
            <wp:docPr id="37"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B58A7C0" w14:textId="71AA3232" w:rsidR="005B10B0" w:rsidRDefault="005B10B0" w:rsidP="001E1C9D">
      <w:pPr>
        <w:jc w:val="both"/>
      </w:pPr>
      <w:r w:rsidRPr="005B10B0">
        <w:t>Figure 6</w:t>
      </w:r>
      <w:r>
        <w:t xml:space="preserve">. </w:t>
      </w:r>
      <w:r w:rsidRPr="005B10B0">
        <w:t>The comparative analysis of lunate width</w:t>
      </w:r>
    </w:p>
    <w:p w14:paraId="5B215BC5" w14:textId="77777777" w:rsidR="005B10B0" w:rsidRDefault="005B10B0" w:rsidP="001E1C9D">
      <w:pPr>
        <w:jc w:val="both"/>
      </w:pPr>
    </w:p>
    <w:p w14:paraId="529363B0" w14:textId="516B8919" w:rsidR="00BC52BA" w:rsidRPr="00BC52BA" w:rsidRDefault="005B10B0" w:rsidP="00BC52BA">
      <w:pPr>
        <w:jc w:val="both"/>
      </w:pPr>
      <w:r w:rsidRPr="005B10B0">
        <w:t>Figure 6</w:t>
      </w:r>
      <w:r w:rsidR="00BC52BA" w:rsidRPr="00BC52BA">
        <w:t xml:space="preserve"> presents the comparative analysis of lunate width across the five age categories. The minimum values range narrowly from 13.58 mm to 13.84 mm, while maximum values vary between 14.38 mm and 14.65 mm. Similarly, the mean lunate width demonstrates only subtle fluctuations, with values spanning from 14.0032 mm to 14.1433 mm across all groups. This tight clustering of minimum, maximum, and mean values suggests a high degree of morphological consistency in lunate width throughout adulthood.</w:t>
      </w:r>
    </w:p>
    <w:p w14:paraId="7B643831" w14:textId="77777777" w:rsidR="00BC52BA" w:rsidRPr="00BC52BA" w:rsidRDefault="00BC52BA" w:rsidP="00BC52BA">
      <w:pPr>
        <w:jc w:val="both"/>
      </w:pPr>
      <w:r w:rsidRPr="00BC52BA">
        <w:t>The p-value for all age groups is 0.331, which exceeds the 0.05 threshold for statistical significance. This indicates that the observed differences are not statistically meaningful. Accordingly, lunate width does not exhibit an age-dependent pattern within the sampled population. As with the capitate measurements, this finding reinforces the stability of carpal dimensions across adult life stages, further supporting the reliability of the lunate bone as an age-independent anthropometric parameter.</w:t>
      </w:r>
    </w:p>
    <w:p w14:paraId="4ECCA729" w14:textId="77777777" w:rsidR="00BC52BA" w:rsidRPr="00BC52BA" w:rsidRDefault="00BC52BA" w:rsidP="00BC52BA">
      <w:pPr>
        <w:jc w:val="both"/>
      </w:pPr>
      <w:r w:rsidRPr="00BC52BA">
        <w:lastRenderedPageBreak/>
        <w:t>Overall, the results demonstrate that lunate width remains relatively constant from early adulthood to late middle age, with no significant age-related variation. This morphological stability enhances the forensic, clinical, and anthropometric applicability of lunate measurements, particularly in contexts such as skeletal profiling, sex estimation, and radiographic standardization.</w:t>
      </w:r>
    </w:p>
    <w:p w14:paraId="745048ED" w14:textId="59F6D7B4" w:rsidR="004D521D" w:rsidRDefault="00266C16">
      <w:r w:rsidRPr="00AD5990">
        <w:rPr>
          <w:noProof/>
          <w:sz w:val="24"/>
          <w:szCs w:val="24"/>
        </w:rPr>
        <w:drawing>
          <wp:inline distT="0" distB="0" distL="0" distR="0" wp14:anchorId="5B54E208" wp14:editId="627031D5">
            <wp:extent cx="5484711" cy="6314536"/>
            <wp:effectExtent l="19050" t="0" r="20739" b="0"/>
            <wp:docPr id="38"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DBDF412" w14:textId="2B495505" w:rsidR="005B10B0" w:rsidRDefault="005B10B0"/>
    <w:p w14:paraId="374F6BAC" w14:textId="24697496" w:rsidR="005B10B0" w:rsidRDefault="005B10B0">
      <w:r w:rsidRPr="005B10B0">
        <w:t>Figure 7</w:t>
      </w:r>
      <w:r>
        <w:t xml:space="preserve">. </w:t>
      </w:r>
      <w:r w:rsidRPr="005B10B0">
        <w:t>Comparative analysis of measured scapholunate gap</w:t>
      </w:r>
    </w:p>
    <w:p w14:paraId="4E2F7F14" w14:textId="01FED904" w:rsidR="0079633B" w:rsidRPr="0079633B" w:rsidRDefault="00266C16" w:rsidP="00412F10">
      <w:pPr>
        <w:jc w:val="both"/>
      </w:pPr>
      <w:r>
        <w:t>F</w:t>
      </w:r>
      <w:r w:rsidRPr="00E51BE5">
        <w:t>igure</w:t>
      </w:r>
      <w:r>
        <w:t xml:space="preserve"> </w:t>
      </w:r>
      <w:r w:rsidR="00C83AD1">
        <w:t>7</w:t>
      </w:r>
      <w:r w:rsidRPr="00E51BE5">
        <w:t xml:space="preserve"> presents a comparative analysis of</w:t>
      </w:r>
      <w:r>
        <w:t xml:space="preserve"> measured scapholunate gap </w:t>
      </w:r>
      <w:r w:rsidRPr="00E51BE5">
        <w:t>across five age groups</w:t>
      </w:r>
      <w:r w:rsidR="0079633B">
        <w:t xml:space="preserve">. </w:t>
      </w:r>
      <w:r w:rsidR="0079633B" w:rsidRPr="00E51BE5">
        <w:t xml:space="preserve">The minimum </w:t>
      </w:r>
      <w:r w:rsidR="0079633B">
        <w:t xml:space="preserve">scapholunate gap </w:t>
      </w:r>
      <w:r w:rsidR="0079633B" w:rsidRPr="00E51BE5">
        <w:t xml:space="preserve">values fluctuate slightly across age groups, ranging from 0.13 in the 31-40 age </w:t>
      </w:r>
      <w:r w:rsidR="0079633B" w:rsidRPr="00E51BE5">
        <w:lastRenderedPageBreak/>
        <w:t>group to 0.16 in the &lt;21 group.</w:t>
      </w:r>
      <w:r w:rsidR="0079633B">
        <w:t xml:space="preserve"> </w:t>
      </w:r>
      <w:r w:rsidR="0079633B" w:rsidRPr="0079633B">
        <w:t>This suggests that the lowest measurements in each age group are relatively consistent, with only minor variations.</w:t>
      </w:r>
      <w:r w:rsidR="00412F10">
        <w:t xml:space="preserve"> </w:t>
      </w:r>
      <w:r w:rsidR="0079633B" w:rsidRPr="0079633B">
        <w:t>Maximum values range from 0.24 in the 51-60 group to 0.27 in the 21-30 and 31-40 groups.</w:t>
      </w:r>
      <w:r w:rsidR="00412F10">
        <w:t xml:space="preserve"> </w:t>
      </w:r>
      <w:r w:rsidR="0079633B" w:rsidRPr="0079633B">
        <w:t>The slight decrease in maximum values in older age groups might indicate a plateau or minor decline with age.</w:t>
      </w:r>
      <w:r w:rsidR="00412F10">
        <w:t xml:space="preserve"> </w:t>
      </w:r>
      <w:r w:rsidR="0079633B" w:rsidRPr="0079633B">
        <w:t xml:space="preserve">The mean </w:t>
      </w:r>
      <w:r w:rsidR="00412F10">
        <w:t xml:space="preserve">scapholunate gap </w:t>
      </w:r>
      <w:r w:rsidR="0079633B" w:rsidRPr="0079633B">
        <w:t>values remain very similar across all groups, from 0.1949 (51-60) to 0.2066 (41-50).</w:t>
      </w:r>
      <w:r w:rsidR="00412F10">
        <w:t xml:space="preserve"> </w:t>
      </w:r>
      <w:r w:rsidR="0079633B" w:rsidRPr="0079633B">
        <w:t>The small differences in means suggest that there is no strong age-related trend in this measurement.</w:t>
      </w:r>
      <w:r w:rsidR="00412F10">
        <w:t xml:space="preserve"> </w:t>
      </w:r>
      <w:r w:rsidR="0079633B" w:rsidRPr="0079633B">
        <w:t>All age groups report a p-value of 0.282, which is above the conventional significance threshold of 0.05.</w:t>
      </w:r>
      <w:r w:rsidR="00412F10" w:rsidRPr="00412F10">
        <w:t xml:space="preserve"> </w:t>
      </w:r>
      <w:r w:rsidR="0079633B" w:rsidRPr="0079633B">
        <w:t>This indicates that differences between age groups are not statistically significant, and any variation observed could be due to random chance rather than a systematic age effect.</w:t>
      </w:r>
    </w:p>
    <w:tbl>
      <w:tblPr>
        <w:tblW w:w="4994" w:type="pct"/>
        <w:tblCellMar>
          <w:left w:w="0" w:type="dxa"/>
          <w:right w:w="0" w:type="dxa"/>
        </w:tblCellMar>
        <w:tblLook w:val="0000" w:firstRow="0" w:lastRow="0" w:firstColumn="0" w:lastColumn="0" w:noHBand="0" w:noVBand="0"/>
      </w:tblPr>
      <w:tblGrid>
        <w:gridCol w:w="1171"/>
        <w:gridCol w:w="2339"/>
        <w:gridCol w:w="961"/>
        <w:gridCol w:w="1221"/>
        <w:gridCol w:w="1221"/>
        <w:gridCol w:w="1221"/>
        <w:gridCol w:w="1215"/>
      </w:tblGrid>
      <w:tr w:rsidR="006F188E" w:rsidRPr="006F188E" w14:paraId="21166E0F" w14:textId="77777777" w:rsidTr="00C83AD1">
        <w:trPr>
          <w:cantSplit/>
          <w:trHeight w:val="576"/>
        </w:trPr>
        <w:tc>
          <w:tcPr>
            <w:tcW w:w="5000" w:type="pct"/>
            <w:gridSpan w:val="7"/>
            <w:tcBorders>
              <w:bottom w:val="single" w:sz="4" w:space="0" w:color="auto"/>
            </w:tcBorders>
            <w:shd w:val="clear" w:color="auto" w:fill="FFFFFF"/>
            <w:vAlign w:val="center"/>
          </w:tcPr>
          <w:p w14:paraId="2DC60765" w14:textId="2A0AA35B" w:rsidR="006F188E" w:rsidRPr="006F188E" w:rsidRDefault="002C53EF" w:rsidP="006F188E">
            <w:pPr>
              <w:jc w:val="both"/>
            </w:pPr>
            <w:r w:rsidRPr="002C53EF">
              <w:t xml:space="preserve">Table 5 </w:t>
            </w:r>
            <w:r w:rsidR="00DF3B31">
              <w:t>I</w:t>
            </w:r>
            <w:r w:rsidRPr="002C53EF">
              <w:t>nter-variable relationships among the measured parameters, as determined by Pearson correlation coefficients. The strongest positive correlation was observed between CH and SLG (</w:t>
            </w:r>
            <w:r w:rsidRPr="002C53EF">
              <w:rPr>
                <w:i/>
                <w:iCs/>
              </w:rPr>
              <w:t>r</w:t>
            </w:r>
            <w:r w:rsidRPr="002C53EF">
              <w:t xml:space="preserve"> = 0.512).</w:t>
            </w:r>
          </w:p>
        </w:tc>
      </w:tr>
      <w:tr w:rsidR="006F188E" w:rsidRPr="006F188E" w14:paraId="666B7139" w14:textId="77777777" w:rsidTr="00C83AD1">
        <w:trPr>
          <w:cantSplit/>
          <w:trHeight w:val="576"/>
        </w:trPr>
        <w:tc>
          <w:tcPr>
            <w:tcW w:w="1877" w:type="pct"/>
            <w:gridSpan w:val="2"/>
            <w:tcBorders>
              <w:top w:val="single" w:sz="4" w:space="0" w:color="auto"/>
              <w:bottom w:val="single" w:sz="4" w:space="0" w:color="auto"/>
            </w:tcBorders>
            <w:shd w:val="clear" w:color="auto" w:fill="FFFFFF"/>
            <w:vAlign w:val="center"/>
          </w:tcPr>
          <w:p w14:paraId="7488EA0C" w14:textId="77777777" w:rsidR="006F188E" w:rsidRPr="006F188E" w:rsidRDefault="006F188E" w:rsidP="006F188E">
            <w:pPr>
              <w:jc w:val="both"/>
              <w:rPr>
                <w:b/>
              </w:rPr>
            </w:pPr>
          </w:p>
        </w:tc>
        <w:tc>
          <w:tcPr>
            <w:tcW w:w="514" w:type="pct"/>
            <w:tcBorders>
              <w:top w:val="single" w:sz="4" w:space="0" w:color="auto"/>
              <w:bottom w:val="single" w:sz="4" w:space="0" w:color="auto"/>
            </w:tcBorders>
            <w:shd w:val="clear" w:color="auto" w:fill="FFFFFF"/>
            <w:vAlign w:val="center"/>
          </w:tcPr>
          <w:p w14:paraId="4387BBD4" w14:textId="77777777" w:rsidR="006F188E" w:rsidRPr="006F188E" w:rsidRDefault="006F188E" w:rsidP="006F188E">
            <w:pPr>
              <w:jc w:val="both"/>
              <w:rPr>
                <w:b/>
              </w:rPr>
            </w:pPr>
            <w:r w:rsidRPr="006F188E">
              <w:rPr>
                <w:b/>
              </w:rPr>
              <w:t>AGE</w:t>
            </w:r>
          </w:p>
        </w:tc>
        <w:tc>
          <w:tcPr>
            <w:tcW w:w="653" w:type="pct"/>
            <w:tcBorders>
              <w:top w:val="single" w:sz="4" w:space="0" w:color="auto"/>
              <w:bottom w:val="single" w:sz="4" w:space="0" w:color="auto"/>
            </w:tcBorders>
            <w:shd w:val="clear" w:color="auto" w:fill="FFFFFF"/>
            <w:vAlign w:val="center"/>
          </w:tcPr>
          <w:p w14:paraId="493D9C64" w14:textId="77777777" w:rsidR="006F188E" w:rsidRPr="006F188E" w:rsidRDefault="006F188E" w:rsidP="006F188E">
            <w:pPr>
              <w:jc w:val="both"/>
              <w:rPr>
                <w:b/>
              </w:rPr>
            </w:pPr>
            <w:r w:rsidRPr="006F188E">
              <w:rPr>
                <w:b/>
              </w:rPr>
              <w:t>CH</w:t>
            </w:r>
          </w:p>
        </w:tc>
        <w:tc>
          <w:tcPr>
            <w:tcW w:w="653" w:type="pct"/>
            <w:tcBorders>
              <w:top w:val="single" w:sz="4" w:space="0" w:color="auto"/>
              <w:bottom w:val="single" w:sz="4" w:space="0" w:color="auto"/>
            </w:tcBorders>
            <w:shd w:val="clear" w:color="auto" w:fill="FFFFFF"/>
            <w:vAlign w:val="center"/>
          </w:tcPr>
          <w:p w14:paraId="5BA58324" w14:textId="77777777" w:rsidR="006F188E" w:rsidRPr="006F188E" w:rsidRDefault="006F188E" w:rsidP="006F188E">
            <w:pPr>
              <w:jc w:val="both"/>
              <w:rPr>
                <w:b/>
              </w:rPr>
            </w:pPr>
            <w:r w:rsidRPr="006F188E">
              <w:rPr>
                <w:b/>
              </w:rPr>
              <w:t>CL</w:t>
            </w:r>
          </w:p>
        </w:tc>
        <w:tc>
          <w:tcPr>
            <w:tcW w:w="653" w:type="pct"/>
            <w:tcBorders>
              <w:top w:val="single" w:sz="4" w:space="0" w:color="auto"/>
              <w:bottom w:val="single" w:sz="4" w:space="0" w:color="auto"/>
            </w:tcBorders>
            <w:shd w:val="clear" w:color="auto" w:fill="FFFFFF"/>
            <w:vAlign w:val="center"/>
          </w:tcPr>
          <w:p w14:paraId="77A4DB9C" w14:textId="77777777" w:rsidR="006F188E" w:rsidRPr="006F188E" w:rsidRDefault="006F188E" w:rsidP="006F188E">
            <w:pPr>
              <w:jc w:val="both"/>
              <w:rPr>
                <w:b/>
              </w:rPr>
            </w:pPr>
            <w:r w:rsidRPr="006F188E">
              <w:rPr>
                <w:b/>
              </w:rPr>
              <w:t>LW</w:t>
            </w:r>
          </w:p>
        </w:tc>
        <w:tc>
          <w:tcPr>
            <w:tcW w:w="650" w:type="pct"/>
            <w:tcBorders>
              <w:top w:val="single" w:sz="4" w:space="0" w:color="auto"/>
              <w:bottom w:val="single" w:sz="4" w:space="0" w:color="auto"/>
            </w:tcBorders>
            <w:shd w:val="clear" w:color="auto" w:fill="FFFFFF"/>
            <w:vAlign w:val="center"/>
          </w:tcPr>
          <w:p w14:paraId="0A89E038" w14:textId="77777777" w:rsidR="006F188E" w:rsidRPr="006F188E" w:rsidRDefault="006F188E" w:rsidP="006F188E">
            <w:pPr>
              <w:jc w:val="both"/>
              <w:rPr>
                <w:b/>
              </w:rPr>
            </w:pPr>
            <w:r w:rsidRPr="006F188E">
              <w:rPr>
                <w:b/>
              </w:rPr>
              <w:t>SLG</w:t>
            </w:r>
          </w:p>
        </w:tc>
      </w:tr>
      <w:tr w:rsidR="006F188E" w:rsidRPr="006F188E" w14:paraId="3AD03128" w14:textId="77777777" w:rsidTr="00C83AD1">
        <w:trPr>
          <w:cantSplit/>
          <w:trHeight w:val="576"/>
        </w:trPr>
        <w:tc>
          <w:tcPr>
            <w:tcW w:w="626" w:type="pct"/>
            <w:vMerge w:val="restart"/>
            <w:tcBorders>
              <w:top w:val="single" w:sz="4" w:space="0" w:color="auto"/>
            </w:tcBorders>
            <w:shd w:val="clear" w:color="auto" w:fill="FFFFFF"/>
            <w:vAlign w:val="center"/>
          </w:tcPr>
          <w:p w14:paraId="42E39057" w14:textId="77777777" w:rsidR="006F188E" w:rsidRPr="006F188E" w:rsidRDefault="006F188E" w:rsidP="006F188E">
            <w:pPr>
              <w:jc w:val="both"/>
              <w:rPr>
                <w:b/>
              </w:rPr>
            </w:pPr>
            <w:r w:rsidRPr="006F188E">
              <w:rPr>
                <w:b/>
              </w:rPr>
              <w:t>AGE</w:t>
            </w:r>
          </w:p>
        </w:tc>
        <w:tc>
          <w:tcPr>
            <w:tcW w:w="1251" w:type="pct"/>
            <w:tcBorders>
              <w:top w:val="single" w:sz="4" w:space="0" w:color="auto"/>
            </w:tcBorders>
            <w:shd w:val="clear" w:color="auto" w:fill="FFFFFF"/>
            <w:vAlign w:val="center"/>
          </w:tcPr>
          <w:p w14:paraId="2F254461" w14:textId="77777777" w:rsidR="006F188E" w:rsidRPr="006F188E" w:rsidRDefault="006F188E" w:rsidP="006F188E">
            <w:pPr>
              <w:jc w:val="both"/>
              <w:rPr>
                <w:b/>
              </w:rPr>
            </w:pPr>
            <w:r w:rsidRPr="006F188E">
              <w:rPr>
                <w:b/>
              </w:rPr>
              <w:t>Pearson Correlation</w:t>
            </w:r>
          </w:p>
        </w:tc>
        <w:tc>
          <w:tcPr>
            <w:tcW w:w="514" w:type="pct"/>
            <w:tcBorders>
              <w:top w:val="single" w:sz="4" w:space="0" w:color="auto"/>
            </w:tcBorders>
            <w:shd w:val="clear" w:color="auto" w:fill="FFFFFF"/>
            <w:vAlign w:val="center"/>
          </w:tcPr>
          <w:p w14:paraId="43BD10DC" w14:textId="77777777" w:rsidR="006F188E" w:rsidRPr="006F188E" w:rsidRDefault="006F188E" w:rsidP="006F188E">
            <w:pPr>
              <w:jc w:val="both"/>
            </w:pPr>
            <w:r w:rsidRPr="006F188E">
              <w:t>1</w:t>
            </w:r>
          </w:p>
        </w:tc>
        <w:tc>
          <w:tcPr>
            <w:tcW w:w="653" w:type="pct"/>
            <w:tcBorders>
              <w:top w:val="single" w:sz="4" w:space="0" w:color="auto"/>
            </w:tcBorders>
            <w:shd w:val="clear" w:color="auto" w:fill="FFFFFF"/>
            <w:vAlign w:val="center"/>
          </w:tcPr>
          <w:p w14:paraId="473C96AC" w14:textId="77777777" w:rsidR="006F188E" w:rsidRPr="006F188E" w:rsidRDefault="006F188E" w:rsidP="006F188E">
            <w:pPr>
              <w:jc w:val="both"/>
            </w:pPr>
            <w:r w:rsidRPr="006F188E">
              <w:t>-.050</w:t>
            </w:r>
          </w:p>
        </w:tc>
        <w:tc>
          <w:tcPr>
            <w:tcW w:w="653" w:type="pct"/>
            <w:tcBorders>
              <w:top w:val="single" w:sz="4" w:space="0" w:color="auto"/>
            </w:tcBorders>
            <w:shd w:val="clear" w:color="auto" w:fill="FFFFFF"/>
            <w:vAlign w:val="center"/>
          </w:tcPr>
          <w:p w14:paraId="7A6D1AA6" w14:textId="77777777" w:rsidR="006F188E" w:rsidRPr="006F188E" w:rsidRDefault="006F188E" w:rsidP="006F188E">
            <w:pPr>
              <w:jc w:val="both"/>
            </w:pPr>
            <w:r w:rsidRPr="006F188E">
              <w:t>.065</w:t>
            </w:r>
          </w:p>
        </w:tc>
        <w:tc>
          <w:tcPr>
            <w:tcW w:w="653" w:type="pct"/>
            <w:tcBorders>
              <w:top w:val="single" w:sz="4" w:space="0" w:color="auto"/>
            </w:tcBorders>
            <w:shd w:val="clear" w:color="auto" w:fill="FFFFFF"/>
            <w:vAlign w:val="center"/>
          </w:tcPr>
          <w:p w14:paraId="46A44E29" w14:textId="77777777" w:rsidR="006F188E" w:rsidRPr="006F188E" w:rsidRDefault="006F188E" w:rsidP="006F188E">
            <w:pPr>
              <w:jc w:val="both"/>
            </w:pPr>
            <w:r w:rsidRPr="006F188E">
              <w:t>-.017</w:t>
            </w:r>
          </w:p>
        </w:tc>
        <w:tc>
          <w:tcPr>
            <w:tcW w:w="650" w:type="pct"/>
            <w:tcBorders>
              <w:top w:val="single" w:sz="4" w:space="0" w:color="auto"/>
            </w:tcBorders>
            <w:shd w:val="clear" w:color="auto" w:fill="FFFFFF"/>
            <w:vAlign w:val="center"/>
          </w:tcPr>
          <w:p w14:paraId="28575E7A" w14:textId="77777777" w:rsidR="006F188E" w:rsidRPr="006F188E" w:rsidRDefault="006F188E" w:rsidP="006F188E">
            <w:pPr>
              <w:jc w:val="both"/>
            </w:pPr>
            <w:r w:rsidRPr="006F188E">
              <w:t>-.048</w:t>
            </w:r>
          </w:p>
        </w:tc>
      </w:tr>
      <w:tr w:rsidR="006F188E" w:rsidRPr="006F188E" w14:paraId="6C0A942A" w14:textId="77777777" w:rsidTr="00C83AD1">
        <w:trPr>
          <w:cantSplit/>
          <w:trHeight w:val="576"/>
        </w:trPr>
        <w:tc>
          <w:tcPr>
            <w:tcW w:w="626" w:type="pct"/>
            <w:vMerge/>
            <w:shd w:val="clear" w:color="auto" w:fill="FFFFFF"/>
            <w:vAlign w:val="center"/>
          </w:tcPr>
          <w:p w14:paraId="5FFAA645" w14:textId="77777777" w:rsidR="006F188E" w:rsidRPr="006F188E" w:rsidRDefault="006F188E" w:rsidP="006F188E">
            <w:pPr>
              <w:jc w:val="both"/>
              <w:rPr>
                <w:b/>
              </w:rPr>
            </w:pPr>
          </w:p>
        </w:tc>
        <w:tc>
          <w:tcPr>
            <w:tcW w:w="1251" w:type="pct"/>
            <w:shd w:val="clear" w:color="auto" w:fill="FFFFFF"/>
            <w:vAlign w:val="center"/>
          </w:tcPr>
          <w:p w14:paraId="2DC97DA2" w14:textId="77777777" w:rsidR="006F188E" w:rsidRPr="006F188E" w:rsidRDefault="006F188E" w:rsidP="006F188E">
            <w:pPr>
              <w:jc w:val="both"/>
              <w:rPr>
                <w:b/>
              </w:rPr>
            </w:pPr>
            <w:r w:rsidRPr="006F188E">
              <w:rPr>
                <w:b/>
              </w:rPr>
              <w:t>P-value</w:t>
            </w:r>
          </w:p>
        </w:tc>
        <w:tc>
          <w:tcPr>
            <w:tcW w:w="514" w:type="pct"/>
            <w:shd w:val="clear" w:color="auto" w:fill="FFFFFF"/>
            <w:vAlign w:val="center"/>
          </w:tcPr>
          <w:p w14:paraId="25E57E27" w14:textId="77777777" w:rsidR="006F188E" w:rsidRPr="006F188E" w:rsidRDefault="006F188E" w:rsidP="006F188E">
            <w:pPr>
              <w:jc w:val="both"/>
            </w:pPr>
          </w:p>
        </w:tc>
        <w:tc>
          <w:tcPr>
            <w:tcW w:w="653" w:type="pct"/>
            <w:shd w:val="clear" w:color="auto" w:fill="FFFFFF"/>
            <w:vAlign w:val="center"/>
          </w:tcPr>
          <w:p w14:paraId="702570E3" w14:textId="77777777" w:rsidR="006F188E" w:rsidRPr="006F188E" w:rsidRDefault="006F188E" w:rsidP="006F188E">
            <w:pPr>
              <w:jc w:val="both"/>
            </w:pPr>
            <w:r w:rsidRPr="006F188E">
              <w:t>.479</w:t>
            </w:r>
          </w:p>
        </w:tc>
        <w:tc>
          <w:tcPr>
            <w:tcW w:w="653" w:type="pct"/>
            <w:shd w:val="clear" w:color="auto" w:fill="FFFFFF"/>
            <w:vAlign w:val="center"/>
          </w:tcPr>
          <w:p w14:paraId="6768A2AF" w14:textId="77777777" w:rsidR="006F188E" w:rsidRPr="006F188E" w:rsidRDefault="006F188E" w:rsidP="006F188E">
            <w:pPr>
              <w:jc w:val="both"/>
            </w:pPr>
            <w:r w:rsidRPr="006F188E">
              <w:t>.356</w:t>
            </w:r>
          </w:p>
        </w:tc>
        <w:tc>
          <w:tcPr>
            <w:tcW w:w="653" w:type="pct"/>
            <w:shd w:val="clear" w:color="auto" w:fill="FFFFFF"/>
            <w:vAlign w:val="center"/>
          </w:tcPr>
          <w:p w14:paraId="3435F4E8" w14:textId="77777777" w:rsidR="006F188E" w:rsidRPr="006F188E" w:rsidRDefault="006F188E" w:rsidP="006F188E">
            <w:pPr>
              <w:jc w:val="both"/>
            </w:pPr>
            <w:r w:rsidRPr="006F188E">
              <w:t>.810</w:t>
            </w:r>
          </w:p>
        </w:tc>
        <w:tc>
          <w:tcPr>
            <w:tcW w:w="650" w:type="pct"/>
            <w:shd w:val="clear" w:color="auto" w:fill="FFFFFF"/>
            <w:vAlign w:val="center"/>
          </w:tcPr>
          <w:p w14:paraId="15014040" w14:textId="77777777" w:rsidR="006F188E" w:rsidRPr="006F188E" w:rsidRDefault="006F188E" w:rsidP="006F188E">
            <w:pPr>
              <w:jc w:val="both"/>
            </w:pPr>
            <w:r w:rsidRPr="006F188E">
              <w:t>.501</w:t>
            </w:r>
          </w:p>
        </w:tc>
      </w:tr>
      <w:tr w:rsidR="006F188E" w:rsidRPr="006F188E" w14:paraId="3AC8BABA" w14:textId="77777777" w:rsidTr="00C83AD1">
        <w:trPr>
          <w:cantSplit/>
          <w:trHeight w:val="576"/>
        </w:trPr>
        <w:tc>
          <w:tcPr>
            <w:tcW w:w="626" w:type="pct"/>
            <w:vMerge/>
            <w:shd w:val="clear" w:color="auto" w:fill="FFFFFF"/>
            <w:vAlign w:val="center"/>
          </w:tcPr>
          <w:p w14:paraId="6CE302F2" w14:textId="77777777" w:rsidR="006F188E" w:rsidRPr="006F188E" w:rsidRDefault="006F188E" w:rsidP="006F188E">
            <w:pPr>
              <w:jc w:val="both"/>
              <w:rPr>
                <w:b/>
              </w:rPr>
            </w:pPr>
          </w:p>
        </w:tc>
        <w:tc>
          <w:tcPr>
            <w:tcW w:w="1251" w:type="pct"/>
            <w:shd w:val="clear" w:color="auto" w:fill="FFFFFF"/>
            <w:vAlign w:val="center"/>
          </w:tcPr>
          <w:p w14:paraId="5BF4E923" w14:textId="77777777" w:rsidR="006F188E" w:rsidRPr="006F188E" w:rsidRDefault="006F188E" w:rsidP="006F188E">
            <w:pPr>
              <w:jc w:val="both"/>
              <w:rPr>
                <w:b/>
              </w:rPr>
            </w:pPr>
            <w:r w:rsidRPr="006F188E">
              <w:rPr>
                <w:b/>
              </w:rPr>
              <w:t>N</w:t>
            </w:r>
          </w:p>
        </w:tc>
        <w:tc>
          <w:tcPr>
            <w:tcW w:w="514" w:type="pct"/>
            <w:shd w:val="clear" w:color="auto" w:fill="FFFFFF"/>
            <w:vAlign w:val="center"/>
          </w:tcPr>
          <w:p w14:paraId="5DA0BADB" w14:textId="77777777" w:rsidR="006F188E" w:rsidRPr="006F188E" w:rsidRDefault="006F188E" w:rsidP="006F188E">
            <w:pPr>
              <w:jc w:val="both"/>
            </w:pPr>
            <w:r w:rsidRPr="006F188E">
              <w:t>201</w:t>
            </w:r>
          </w:p>
        </w:tc>
        <w:tc>
          <w:tcPr>
            <w:tcW w:w="653" w:type="pct"/>
            <w:shd w:val="clear" w:color="auto" w:fill="FFFFFF"/>
            <w:vAlign w:val="center"/>
          </w:tcPr>
          <w:p w14:paraId="7A2D46E9" w14:textId="77777777" w:rsidR="006F188E" w:rsidRPr="006F188E" w:rsidRDefault="006F188E" w:rsidP="006F188E">
            <w:pPr>
              <w:jc w:val="both"/>
            </w:pPr>
            <w:r w:rsidRPr="006F188E">
              <w:t>201</w:t>
            </w:r>
          </w:p>
        </w:tc>
        <w:tc>
          <w:tcPr>
            <w:tcW w:w="653" w:type="pct"/>
            <w:shd w:val="clear" w:color="auto" w:fill="FFFFFF"/>
            <w:vAlign w:val="center"/>
          </w:tcPr>
          <w:p w14:paraId="3606534E" w14:textId="77777777" w:rsidR="006F188E" w:rsidRPr="006F188E" w:rsidRDefault="006F188E" w:rsidP="006F188E">
            <w:pPr>
              <w:jc w:val="both"/>
            </w:pPr>
            <w:r w:rsidRPr="006F188E">
              <w:t>201</w:t>
            </w:r>
          </w:p>
        </w:tc>
        <w:tc>
          <w:tcPr>
            <w:tcW w:w="653" w:type="pct"/>
            <w:shd w:val="clear" w:color="auto" w:fill="FFFFFF"/>
            <w:vAlign w:val="center"/>
          </w:tcPr>
          <w:p w14:paraId="2BB69827" w14:textId="77777777" w:rsidR="006F188E" w:rsidRPr="006F188E" w:rsidRDefault="006F188E" w:rsidP="006F188E">
            <w:pPr>
              <w:jc w:val="both"/>
            </w:pPr>
            <w:r w:rsidRPr="006F188E">
              <w:t>201</w:t>
            </w:r>
          </w:p>
        </w:tc>
        <w:tc>
          <w:tcPr>
            <w:tcW w:w="650" w:type="pct"/>
            <w:shd w:val="clear" w:color="auto" w:fill="FFFFFF"/>
            <w:vAlign w:val="center"/>
          </w:tcPr>
          <w:p w14:paraId="16F7C838" w14:textId="77777777" w:rsidR="006F188E" w:rsidRPr="006F188E" w:rsidRDefault="006F188E" w:rsidP="006F188E">
            <w:pPr>
              <w:jc w:val="both"/>
            </w:pPr>
            <w:r w:rsidRPr="006F188E">
              <w:t>201</w:t>
            </w:r>
          </w:p>
        </w:tc>
      </w:tr>
      <w:tr w:rsidR="006F188E" w:rsidRPr="006F188E" w14:paraId="6D798D3D" w14:textId="77777777" w:rsidTr="00C83AD1">
        <w:trPr>
          <w:cantSplit/>
          <w:trHeight w:val="576"/>
        </w:trPr>
        <w:tc>
          <w:tcPr>
            <w:tcW w:w="626" w:type="pct"/>
            <w:vMerge w:val="restart"/>
            <w:shd w:val="clear" w:color="auto" w:fill="FFFFFF"/>
            <w:vAlign w:val="center"/>
          </w:tcPr>
          <w:p w14:paraId="41B035C1" w14:textId="77777777" w:rsidR="006F188E" w:rsidRPr="006F188E" w:rsidRDefault="006F188E" w:rsidP="006F188E">
            <w:pPr>
              <w:jc w:val="both"/>
              <w:rPr>
                <w:b/>
              </w:rPr>
            </w:pPr>
            <w:r w:rsidRPr="006F188E">
              <w:rPr>
                <w:b/>
              </w:rPr>
              <w:t>CH</w:t>
            </w:r>
          </w:p>
        </w:tc>
        <w:tc>
          <w:tcPr>
            <w:tcW w:w="1251" w:type="pct"/>
            <w:shd w:val="clear" w:color="auto" w:fill="FFFFFF"/>
            <w:vAlign w:val="center"/>
          </w:tcPr>
          <w:p w14:paraId="200B1232" w14:textId="77777777" w:rsidR="006F188E" w:rsidRPr="006F188E" w:rsidRDefault="006F188E" w:rsidP="006F188E">
            <w:pPr>
              <w:jc w:val="both"/>
              <w:rPr>
                <w:b/>
              </w:rPr>
            </w:pPr>
            <w:r w:rsidRPr="006F188E">
              <w:rPr>
                <w:b/>
              </w:rPr>
              <w:t>Pearson Correlation</w:t>
            </w:r>
          </w:p>
        </w:tc>
        <w:tc>
          <w:tcPr>
            <w:tcW w:w="514" w:type="pct"/>
            <w:shd w:val="clear" w:color="auto" w:fill="FFFFFF"/>
            <w:vAlign w:val="center"/>
          </w:tcPr>
          <w:p w14:paraId="63C5BCE9" w14:textId="77777777" w:rsidR="006F188E" w:rsidRPr="006F188E" w:rsidRDefault="006F188E" w:rsidP="006F188E">
            <w:pPr>
              <w:jc w:val="both"/>
            </w:pPr>
            <w:r w:rsidRPr="006F188E">
              <w:t>-.050</w:t>
            </w:r>
          </w:p>
        </w:tc>
        <w:tc>
          <w:tcPr>
            <w:tcW w:w="653" w:type="pct"/>
            <w:shd w:val="clear" w:color="auto" w:fill="FFFFFF"/>
            <w:vAlign w:val="center"/>
          </w:tcPr>
          <w:p w14:paraId="33ED320D" w14:textId="77777777" w:rsidR="006F188E" w:rsidRPr="006F188E" w:rsidRDefault="006F188E" w:rsidP="006F188E">
            <w:pPr>
              <w:jc w:val="both"/>
            </w:pPr>
            <w:r w:rsidRPr="006F188E">
              <w:t>1</w:t>
            </w:r>
          </w:p>
        </w:tc>
        <w:tc>
          <w:tcPr>
            <w:tcW w:w="653" w:type="pct"/>
            <w:shd w:val="clear" w:color="auto" w:fill="FFFFFF"/>
            <w:vAlign w:val="center"/>
          </w:tcPr>
          <w:p w14:paraId="2DA5FCC8" w14:textId="77777777" w:rsidR="006F188E" w:rsidRPr="006F188E" w:rsidRDefault="006F188E" w:rsidP="006F188E">
            <w:pPr>
              <w:jc w:val="both"/>
            </w:pPr>
            <w:r w:rsidRPr="006F188E">
              <w:t>.274</w:t>
            </w:r>
          </w:p>
        </w:tc>
        <w:tc>
          <w:tcPr>
            <w:tcW w:w="653" w:type="pct"/>
            <w:shd w:val="clear" w:color="auto" w:fill="FFFFFF"/>
            <w:vAlign w:val="center"/>
          </w:tcPr>
          <w:p w14:paraId="53DF5940" w14:textId="77777777" w:rsidR="006F188E" w:rsidRPr="006F188E" w:rsidRDefault="006F188E" w:rsidP="006F188E">
            <w:pPr>
              <w:jc w:val="both"/>
            </w:pPr>
            <w:r w:rsidRPr="006F188E">
              <w:t>.092</w:t>
            </w:r>
          </w:p>
        </w:tc>
        <w:tc>
          <w:tcPr>
            <w:tcW w:w="650" w:type="pct"/>
            <w:shd w:val="clear" w:color="auto" w:fill="FFFFFF"/>
            <w:vAlign w:val="center"/>
          </w:tcPr>
          <w:p w14:paraId="3A6FC8DD" w14:textId="77777777" w:rsidR="006F188E" w:rsidRPr="006F188E" w:rsidRDefault="006F188E" w:rsidP="006F188E">
            <w:pPr>
              <w:jc w:val="both"/>
            </w:pPr>
            <w:r w:rsidRPr="006F188E">
              <w:t>.512</w:t>
            </w:r>
          </w:p>
        </w:tc>
      </w:tr>
      <w:tr w:rsidR="006F188E" w:rsidRPr="006F188E" w14:paraId="34E106B6" w14:textId="77777777" w:rsidTr="00C83AD1">
        <w:trPr>
          <w:cantSplit/>
          <w:trHeight w:val="576"/>
        </w:trPr>
        <w:tc>
          <w:tcPr>
            <w:tcW w:w="626" w:type="pct"/>
            <w:vMerge/>
            <w:shd w:val="clear" w:color="auto" w:fill="FFFFFF"/>
            <w:vAlign w:val="center"/>
          </w:tcPr>
          <w:p w14:paraId="6B2C5DE2" w14:textId="77777777" w:rsidR="006F188E" w:rsidRPr="006F188E" w:rsidRDefault="006F188E" w:rsidP="006F188E">
            <w:pPr>
              <w:jc w:val="both"/>
              <w:rPr>
                <w:b/>
              </w:rPr>
            </w:pPr>
          </w:p>
        </w:tc>
        <w:tc>
          <w:tcPr>
            <w:tcW w:w="1251" w:type="pct"/>
            <w:shd w:val="clear" w:color="auto" w:fill="FFFFFF"/>
            <w:vAlign w:val="center"/>
          </w:tcPr>
          <w:p w14:paraId="201AA9B4" w14:textId="77777777" w:rsidR="006F188E" w:rsidRPr="006F188E" w:rsidRDefault="006F188E" w:rsidP="006F188E">
            <w:pPr>
              <w:jc w:val="both"/>
              <w:rPr>
                <w:b/>
              </w:rPr>
            </w:pPr>
            <w:r w:rsidRPr="006F188E">
              <w:rPr>
                <w:b/>
              </w:rPr>
              <w:t>P-value</w:t>
            </w:r>
          </w:p>
        </w:tc>
        <w:tc>
          <w:tcPr>
            <w:tcW w:w="514" w:type="pct"/>
            <w:shd w:val="clear" w:color="auto" w:fill="FFFFFF"/>
            <w:vAlign w:val="center"/>
          </w:tcPr>
          <w:p w14:paraId="39ED28F2" w14:textId="77777777" w:rsidR="006F188E" w:rsidRPr="006F188E" w:rsidRDefault="006F188E" w:rsidP="006F188E">
            <w:pPr>
              <w:jc w:val="both"/>
            </w:pPr>
            <w:r w:rsidRPr="006F188E">
              <w:t>.479</w:t>
            </w:r>
          </w:p>
        </w:tc>
        <w:tc>
          <w:tcPr>
            <w:tcW w:w="653" w:type="pct"/>
            <w:shd w:val="clear" w:color="auto" w:fill="FFFFFF"/>
            <w:vAlign w:val="center"/>
          </w:tcPr>
          <w:p w14:paraId="5A489B7D" w14:textId="77777777" w:rsidR="006F188E" w:rsidRPr="006F188E" w:rsidRDefault="006F188E" w:rsidP="006F188E">
            <w:pPr>
              <w:jc w:val="both"/>
            </w:pPr>
          </w:p>
        </w:tc>
        <w:tc>
          <w:tcPr>
            <w:tcW w:w="653" w:type="pct"/>
            <w:shd w:val="clear" w:color="auto" w:fill="FFFFFF"/>
            <w:vAlign w:val="center"/>
          </w:tcPr>
          <w:p w14:paraId="2E81E081" w14:textId="77777777" w:rsidR="006F188E" w:rsidRPr="006F188E" w:rsidRDefault="006F188E" w:rsidP="006F188E">
            <w:pPr>
              <w:jc w:val="both"/>
            </w:pPr>
            <w:r w:rsidRPr="006F188E">
              <w:t>.000</w:t>
            </w:r>
          </w:p>
        </w:tc>
        <w:tc>
          <w:tcPr>
            <w:tcW w:w="653" w:type="pct"/>
            <w:shd w:val="clear" w:color="auto" w:fill="FFFFFF"/>
            <w:vAlign w:val="center"/>
          </w:tcPr>
          <w:p w14:paraId="478E8363" w14:textId="77777777" w:rsidR="006F188E" w:rsidRPr="006F188E" w:rsidRDefault="006F188E" w:rsidP="006F188E">
            <w:pPr>
              <w:jc w:val="both"/>
            </w:pPr>
            <w:r w:rsidRPr="006F188E">
              <w:t>.192</w:t>
            </w:r>
          </w:p>
        </w:tc>
        <w:tc>
          <w:tcPr>
            <w:tcW w:w="650" w:type="pct"/>
            <w:shd w:val="clear" w:color="auto" w:fill="FFFFFF"/>
            <w:vAlign w:val="center"/>
          </w:tcPr>
          <w:p w14:paraId="41535497" w14:textId="77777777" w:rsidR="006F188E" w:rsidRPr="006F188E" w:rsidRDefault="006F188E" w:rsidP="006F188E">
            <w:pPr>
              <w:jc w:val="both"/>
            </w:pPr>
            <w:r w:rsidRPr="006F188E">
              <w:t>.000</w:t>
            </w:r>
          </w:p>
        </w:tc>
      </w:tr>
      <w:tr w:rsidR="006F188E" w:rsidRPr="006F188E" w14:paraId="3D6D98A1" w14:textId="77777777" w:rsidTr="00C83AD1">
        <w:trPr>
          <w:cantSplit/>
          <w:trHeight w:val="576"/>
        </w:trPr>
        <w:tc>
          <w:tcPr>
            <w:tcW w:w="626" w:type="pct"/>
            <w:vMerge/>
            <w:shd w:val="clear" w:color="auto" w:fill="FFFFFF"/>
            <w:vAlign w:val="center"/>
          </w:tcPr>
          <w:p w14:paraId="37CB5680" w14:textId="77777777" w:rsidR="006F188E" w:rsidRPr="006F188E" w:rsidRDefault="006F188E" w:rsidP="006F188E">
            <w:pPr>
              <w:jc w:val="both"/>
              <w:rPr>
                <w:b/>
              </w:rPr>
            </w:pPr>
          </w:p>
        </w:tc>
        <w:tc>
          <w:tcPr>
            <w:tcW w:w="1251" w:type="pct"/>
            <w:shd w:val="clear" w:color="auto" w:fill="FFFFFF"/>
            <w:vAlign w:val="center"/>
          </w:tcPr>
          <w:p w14:paraId="0EC232F0" w14:textId="77777777" w:rsidR="006F188E" w:rsidRPr="006F188E" w:rsidRDefault="006F188E" w:rsidP="006F188E">
            <w:pPr>
              <w:jc w:val="both"/>
              <w:rPr>
                <w:b/>
              </w:rPr>
            </w:pPr>
            <w:r w:rsidRPr="006F188E">
              <w:rPr>
                <w:b/>
              </w:rPr>
              <w:t>N</w:t>
            </w:r>
          </w:p>
        </w:tc>
        <w:tc>
          <w:tcPr>
            <w:tcW w:w="514" w:type="pct"/>
            <w:shd w:val="clear" w:color="auto" w:fill="FFFFFF"/>
            <w:vAlign w:val="center"/>
          </w:tcPr>
          <w:p w14:paraId="4B28CAC6" w14:textId="77777777" w:rsidR="006F188E" w:rsidRPr="006F188E" w:rsidRDefault="006F188E" w:rsidP="006F188E">
            <w:pPr>
              <w:jc w:val="both"/>
            </w:pPr>
            <w:r w:rsidRPr="006F188E">
              <w:t>201</w:t>
            </w:r>
          </w:p>
        </w:tc>
        <w:tc>
          <w:tcPr>
            <w:tcW w:w="653" w:type="pct"/>
            <w:shd w:val="clear" w:color="auto" w:fill="FFFFFF"/>
            <w:vAlign w:val="center"/>
          </w:tcPr>
          <w:p w14:paraId="76F7E07F" w14:textId="77777777" w:rsidR="006F188E" w:rsidRPr="006F188E" w:rsidRDefault="006F188E" w:rsidP="006F188E">
            <w:pPr>
              <w:jc w:val="both"/>
            </w:pPr>
            <w:r w:rsidRPr="006F188E">
              <w:t>201</w:t>
            </w:r>
          </w:p>
        </w:tc>
        <w:tc>
          <w:tcPr>
            <w:tcW w:w="653" w:type="pct"/>
            <w:shd w:val="clear" w:color="auto" w:fill="FFFFFF"/>
            <w:vAlign w:val="center"/>
          </w:tcPr>
          <w:p w14:paraId="1E6C6EC9" w14:textId="77777777" w:rsidR="006F188E" w:rsidRPr="006F188E" w:rsidRDefault="006F188E" w:rsidP="006F188E">
            <w:pPr>
              <w:jc w:val="both"/>
            </w:pPr>
            <w:r w:rsidRPr="006F188E">
              <w:t>201</w:t>
            </w:r>
          </w:p>
        </w:tc>
        <w:tc>
          <w:tcPr>
            <w:tcW w:w="653" w:type="pct"/>
            <w:shd w:val="clear" w:color="auto" w:fill="FFFFFF"/>
            <w:vAlign w:val="center"/>
          </w:tcPr>
          <w:p w14:paraId="40E2D83B" w14:textId="77777777" w:rsidR="006F188E" w:rsidRPr="006F188E" w:rsidRDefault="006F188E" w:rsidP="006F188E">
            <w:pPr>
              <w:jc w:val="both"/>
            </w:pPr>
            <w:r w:rsidRPr="006F188E">
              <w:t>201</w:t>
            </w:r>
          </w:p>
        </w:tc>
        <w:tc>
          <w:tcPr>
            <w:tcW w:w="650" w:type="pct"/>
            <w:shd w:val="clear" w:color="auto" w:fill="FFFFFF"/>
            <w:vAlign w:val="center"/>
          </w:tcPr>
          <w:p w14:paraId="598E26A6" w14:textId="77777777" w:rsidR="006F188E" w:rsidRPr="006F188E" w:rsidRDefault="006F188E" w:rsidP="006F188E">
            <w:pPr>
              <w:jc w:val="both"/>
            </w:pPr>
            <w:r w:rsidRPr="006F188E">
              <w:t>201</w:t>
            </w:r>
          </w:p>
        </w:tc>
      </w:tr>
      <w:tr w:rsidR="006F188E" w:rsidRPr="006F188E" w14:paraId="3A7F1737" w14:textId="77777777" w:rsidTr="00C83AD1">
        <w:trPr>
          <w:cantSplit/>
          <w:trHeight w:val="576"/>
        </w:trPr>
        <w:tc>
          <w:tcPr>
            <w:tcW w:w="626" w:type="pct"/>
            <w:vMerge w:val="restart"/>
            <w:shd w:val="clear" w:color="auto" w:fill="FFFFFF"/>
            <w:vAlign w:val="center"/>
          </w:tcPr>
          <w:p w14:paraId="308528AA" w14:textId="77777777" w:rsidR="006F188E" w:rsidRPr="006F188E" w:rsidRDefault="006F188E" w:rsidP="006F188E">
            <w:pPr>
              <w:jc w:val="both"/>
              <w:rPr>
                <w:b/>
              </w:rPr>
            </w:pPr>
            <w:r w:rsidRPr="006F188E">
              <w:rPr>
                <w:b/>
              </w:rPr>
              <w:t>CL</w:t>
            </w:r>
          </w:p>
        </w:tc>
        <w:tc>
          <w:tcPr>
            <w:tcW w:w="1251" w:type="pct"/>
            <w:shd w:val="clear" w:color="auto" w:fill="FFFFFF"/>
            <w:vAlign w:val="center"/>
          </w:tcPr>
          <w:p w14:paraId="7F75C2DE" w14:textId="77777777" w:rsidR="006F188E" w:rsidRPr="006F188E" w:rsidRDefault="006F188E" w:rsidP="006F188E">
            <w:pPr>
              <w:jc w:val="both"/>
              <w:rPr>
                <w:b/>
              </w:rPr>
            </w:pPr>
            <w:r w:rsidRPr="006F188E">
              <w:rPr>
                <w:b/>
              </w:rPr>
              <w:t>Pearson Correlation</w:t>
            </w:r>
          </w:p>
        </w:tc>
        <w:tc>
          <w:tcPr>
            <w:tcW w:w="514" w:type="pct"/>
            <w:shd w:val="clear" w:color="auto" w:fill="FFFFFF"/>
            <w:vAlign w:val="center"/>
          </w:tcPr>
          <w:p w14:paraId="63C1B8EE" w14:textId="77777777" w:rsidR="006F188E" w:rsidRPr="006F188E" w:rsidRDefault="006F188E" w:rsidP="006F188E">
            <w:pPr>
              <w:jc w:val="both"/>
            </w:pPr>
            <w:r w:rsidRPr="006F188E">
              <w:t>.065</w:t>
            </w:r>
          </w:p>
        </w:tc>
        <w:tc>
          <w:tcPr>
            <w:tcW w:w="653" w:type="pct"/>
            <w:shd w:val="clear" w:color="auto" w:fill="FFFFFF"/>
            <w:vAlign w:val="center"/>
          </w:tcPr>
          <w:p w14:paraId="19E06D16" w14:textId="77777777" w:rsidR="006F188E" w:rsidRPr="006F188E" w:rsidRDefault="006F188E" w:rsidP="006F188E">
            <w:pPr>
              <w:jc w:val="both"/>
            </w:pPr>
            <w:r w:rsidRPr="006F188E">
              <w:t>.274</w:t>
            </w:r>
          </w:p>
        </w:tc>
        <w:tc>
          <w:tcPr>
            <w:tcW w:w="653" w:type="pct"/>
            <w:shd w:val="clear" w:color="auto" w:fill="FFFFFF"/>
            <w:vAlign w:val="center"/>
          </w:tcPr>
          <w:p w14:paraId="51C5AAAD" w14:textId="77777777" w:rsidR="006F188E" w:rsidRPr="006F188E" w:rsidRDefault="006F188E" w:rsidP="006F188E">
            <w:pPr>
              <w:jc w:val="both"/>
            </w:pPr>
            <w:r w:rsidRPr="006F188E">
              <w:t>1</w:t>
            </w:r>
          </w:p>
        </w:tc>
        <w:tc>
          <w:tcPr>
            <w:tcW w:w="653" w:type="pct"/>
            <w:shd w:val="clear" w:color="auto" w:fill="FFFFFF"/>
            <w:vAlign w:val="center"/>
          </w:tcPr>
          <w:p w14:paraId="273185D7" w14:textId="77777777" w:rsidR="006F188E" w:rsidRPr="006F188E" w:rsidRDefault="006F188E" w:rsidP="006F188E">
            <w:pPr>
              <w:jc w:val="both"/>
            </w:pPr>
            <w:r w:rsidRPr="006F188E">
              <w:t>.122</w:t>
            </w:r>
          </w:p>
        </w:tc>
        <w:tc>
          <w:tcPr>
            <w:tcW w:w="650" w:type="pct"/>
            <w:shd w:val="clear" w:color="auto" w:fill="FFFFFF"/>
            <w:vAlign w:val="center"/>
          </w:tcPr>
          <w:p w14:paraId="31E85E86" w14:textId="77777777" w:rsidR="006F188E" w:rsidRPr="006F188E" w:rsidRDefault="006F188E" w:rsidP="006F188E">
            <w:pPr>
              <w:jc w:val="both"/>
            </w:pPr>
            <w:r w:rsidRPr="006F188E">
              <w:t>.130</w:t>
            </w:r>
          </w:p>
        </w:tc>
      </w:tr>
      <w:tr w:rsidR="006F188E" w:rsidRPr="006F188E" w14:paraId="1B9434CB" w14:textId="77777777" w:rsidTr="00C83AD1">
        <w:trPr>
          <w:cantSplit/>
          <w:trHeight w:val="576"/>
        </w:trPr>
        <w:tc>
          <w:tcPr>
            <w:tcW w:w="626" w:type="pct"/>
            <w:vMerge/>
            <w:shd w:val="clear" w:color="auto" w:fill="FFFFFF"/>
            <w:vAlign w:val="center"/>
          </w:tcPr>
          <w:p w14:paraId="38AA7F55" w14:textId="77777777" w:rsidR="006F188E" w:rsidRPr="006F188E" w:rsidRDefault="006F188E" w:rsidP="006F188E">
            <w:pPr>
              <w:jc w:val="both"/>
              <w:rPr>
                <w:b/>
              </w:rPr>
            </w:pPr>
          </w:p>
        </w:tc>
        <w:tc>
          <w:tcPr>
            <w:tcW w:w="1251" w:type="pct"/>
            <w:shd w:val="clear" w:color="auto" w:fill="FFFFFF"/>
            <w:vAlign w:val="center"/>
          </w:tcPr>
          <w:p w14:paraId="7FE3BE5C" w14:textId="77777777" w:rsidR="006F188E" w:rsidRPr="006F188E" w:rsidRDefault="006F188E" w:rsidP="006F188E">
            <w:pPr>
              <w:jc w:val="both"/>
              <w:rPr>
                <w:b/>
              </w:rPr>
            </w:pPr>
            <w:r w:rsidRPr="006F188E">
              <w:rPr>
                <w:b/>
              </w:rPr>
              <w:t>P-value</w:t>
            </w:r>
          </w:p>
        </w:tc>
        <w:tc>
          <w:tcPr>
            <w:tcW w:w="514" w:type="pct"/>
            <w:shd w:val="clear" w:color="auto" w:fill="FFFFFF"/>
            <w:vAlign w:val="center"/>
          </w:tcPr>
          <w:p w14:paraId="5F0AD17F" w14:textId="77777777" w:rsidR="006F188E" w:rsidRPr="006F188E" w:rsidRDefault="006F188E" w:rsidP="006F188E">
            <w:pPr>
              <w:jc w:val="both"/>
            </w:pPr>
            <w:r w:rsidRPr="006F188E">
              <w:t>.356</w:t>
            </w:r>
          </w:p>
        </w:tc>
        <w:tc>
          <w:tcPr>
            <w:tcW w:w="653" w:type="pct"/>
            <w:shd w:val="clear" w:color="auto" w:fill="FFFFFF"/>
            <w:vAlign w:val="center"/>
          </w:tcPr>
          <w:p w14:paraId="3D13DB90" w14:textId="77777777" w:rsidR="006F188E" w:rsidRPr="006F188E" w:rsidRDefault="006F188E" w:rsidP="006F188E">
            <w:pPr>
              <w:jc w:val="both"/>
            </w:pPr>
            <w:r w:rsidRPr="006F188E">
              <w:t>.000</w:t>
            </w:r>
          </w:p>
        </w:tc>
        <w:tc>
          <w:tcPr>
            <w:tcW w:w="653" w:type="pct"/>
            <w:shd w:val="clear" w:color="auto" w:fill="FFFFFF"/>
            <w:vAlign w:val="center"/>
          </w:tcPr>
          <w:p w14:paraId="3DDB08C4" w14:textId="77777777" w:rsidR="006F188E" w:rsidRPr="006F188E" w:rsidRDefault="006F188E" w:rsidP="006F188E">
            <w:pPr>
              <w:jc w:val="both"/>
            </w:pPr>
          </w:p>
        </w:tc>
        <w:tc>
          <w:tcPr>
            <w:tcW w:w="653" w:type="pct"/>
            <w:shd w:val="clear" w:color="auto" w:fill="FFFFFF"/>
            <w:vAlign w:val="center"/>
          </w:tcPr>
          <w:p w14:paraId="16EC1ECC" w14:textId="77777777" w:rsidR="006F188E" w:rsidRPr="006F188E" w:rsidRDefault="006F188E" w:rsidP="006F188E">
            <w:pPr>
              <w:jc w:val="both"/>
            </w:pPr>
            <w:r w:rsidRPr="006F188E">
              <w:t>.085</w:t>
            </w:r>
          </w:p>
        </w:tc>
        <w:tc>
          <w:tcPr>
            <w:tcW w:w="650" w:type="pct"/>
            <w:shd w:val="clear" w:color="auto" w:fill="FFFFFF"/>
            <w:vAlign w:val="center"/>
          </w:tcPr>
          <w:p w14:paraId="7B66388B" w14:textId="77777777" w:rsidR="006F188E" w:rsidRPr="006F188E" w:rsidRDefault="006F188E" w:rsidP="006F188E">
            <w:pPr>
              <w:jc w:val="both"/>
            </w:pPr>
            <w:r w:rsidRPr="006F188E">
              <w:t>.065</w:t>
            </w:r>
          </w:p>
        </w:tc>
      </w:tr>
      <w:tr w:rsidR="006F188E" w:rsidRPr="006F188E" w14:paraId="156D8817" w14:textId="77777777" w:rsidTr="00C83AD1">
        <w:trPr>
          <w:cantSplit/>
          <w:trHeight w:val="576"/>
        </w:trPr>
        <w:tc>
          <w:tcPr>
            <w:tcW w:w="626" w:type="pct"/>
            <w:vMerge/>
            <w:shd w:val="clear" w:color="auto" w:fill="FFFFFF"/>
            <w:vAlign w:val="center"/>
          </w:tcPr>
          <w:p w14:paraId="1FBA12CF" w14:textId="77777777" w:rsidR="006F188E" w:rsidRPr="006F188E" w:rsidRDefault="006F188E" w:rsidP="006F188E">
            <w:pPr>
              <w:jc w:val="both"/>
              <w:rPr>
                <w:b/>
              </w:rPr>
            </w:pPr>
          </w:p>
        </w:tc>
        <w:tc>
          <w:tcPr>
            <w:tcW w:w="1251" w:type="pct"/>
            <w:shd w:val="clear" w:color="auto" w:fill="FFFFFF"/>
            <w:vAlign w:val="center"/>
          </w:tcPr>
          <w:p w14:paraId="4070587B" w14:textId="77777777" w:rsidR="006F188E" w:rsidRPr="006F188E" w:rsidRDefault="006F188E" w:rsidP="006F188E">
            <w:pPr>
              <w:jc w:val="both"/>
              <w:rPr>
                <w:b/>
              </w:rPr>
            </w:pPr>
            <w:r w:rsidRPr="006F188E">
              <w:rPr>
                <w:b/>
              </w:rPr>
              <w:t>N</w:t>
            </w:r>
          </w:p>
        </w:tc>
        <w:tc>
          <w:tcPr>
            <w:tcW w:w="514" w:type="pct"/>
            <w:shd w:val="clear" w:color="auto" w:fill="FFFFFF"/>
            <w:vAlign w:val="center"/>
          </w:tcPr>
          <w:p w14:paraId="30FF32E3" w14:textId="77777777" w:rsidR="006F188E" w:rsidRPr="006F188E" w:rsidRDefault="006F188E" w:rsidP="006F188E">
            <w:pPr>
              <w:jc w:val="both"/>
            </w:pPr>
            <w:r w:rsidRPr="006F188E">
              <w:t>201</w:t>
            </w:r>
          </w:p>
        </w:tc>
        <w:tc>
          <w:tcPr>
            <w:tcW w:w="653" w:type="pct"/>
            <w:shd w:val="clear" w:color="auto" w:fill="FFFFFF"/>
            <w:vAlign w:val="center"/>
          </w:tcPr>
          <w:p w14:paraId="494FFDE3" w14:textId="77777777" w:rsidR="006F188E" w:rsidRPr="006F188E" w:rsidRDefault="006F188E" w:rsidP="006F188E">
            <w:pPr>
              <w:jc w:val="both"/>
            </w:pPr>
            <w:r w:rsidRPr="006F188E">
              <w:t>201</w:t>
            </w:r>
          </w:p>
        </w:tc>
        <w:tc>
          <w:tcPr>
            <w:tcW w:w="653" w:type="pct"/>
            <w:shd w:val="clear" w:color="auto" w:fill="FFFFFF"/>
            <w:vAlign w:val="center"/>
          </w:tcPr>
          <w:p w14:paraId="1CCBDBFD" w14:textId="77777777" w:rsidR="006F188E" w:rsidRPr="006F188E" w:rsidRDefault="006F188E" w:rsidP="006F188E">
            <w:pPr>
              <w:jc w:val="both"/>
            </w:pPr>
            <w:r w:rsidRPr="006F188E">
              <w:t>201</w:t>
            </w:r>
          </w:p>
        </w:tc>
        <w:tc>
          <w:tcPr>
            <w:tcW w:w="653" w:type="pct"/>
            <w:shd w:val="clear" w:color="auto" w:fill="FFFFFF"/>
            <w:vAlign w:val="center"/>
          </w:tcPr>
          <w:p w14:paraId="53C32950" w14:textId="77777777" w:rsidR="006F188E" w:rsidRPr="006F188E" w:rsidRDefault="006F188E" w:rsidP="006F188E">
            <w:pPr>
              <w:jc w:val="both"/>
            </w:pPr>
            <w:r w:rsidRPr="006F188E">
              <w:t>201</w:t>
            </w:r>
          </w:p>
        </w:tc>
        <w:tc>
          <w:tcPr>
            <w:tcW w:w="650" w:type="pct"/>
            <w:shd w:val="clear" w:color="auto" w:fill="FFFFFF"/>
            <w:vAlign w:val="center"/>
          </w:tcPr>
          <w:p w14:paraId="0114C8F1" w14:textId="77777777" w:rsidR="006F188E" w:rsidRPr="006F188E" w:rsidRDefault="006F188E" w:rsidP="006F188E">
            <w:pPr>
              <w:jc w:val="both"/>
            </w:pPr>
            <w:r w:rsidRPr="006F188E">
              <w:t>201</w:t>
            </w:r>
          </w:p>
        </w:tc>
      </w:tr>
      <w:tr w:rsidR="006F188E" w:rsidRPr="006F188E" w14:paraId="2D90023B" w14:textId="77777777" w:rsidTr="00C83AD1">
        <w:trPr>
          <w:cantSplit/>
          <w:trHeight w:val="576"/>
        </w:trPr>
        <w:tc>
          <w:tcPr>
            <w:tcW w:w="626" w:type="pct"/>
            <w:vMerge w:val="restart"/>
            <w:shd w:val="clear" w:color="auto" w:fill="FFFFFF"/>
            <w:vAlign w:val="center"/>
          </w:tcPr>
          <w:p w14:paraId="260A9939" w14:textId="77777777" w:rsidR="006F188E" w:rsidRPr="006F188E" w:rsidRDefault="006F188E" w:rsidP="006F188E">
            <w:pPr>
              <w:jc w:val="both"/>
              <w:rPr>
                <w:b/>
              </w:rPr>
            </w:pPr>
            <w:r w:rsidRPr="006F188E">
              <w:rPr>
                <w:b/>
              </w:rPr>
              <w:t>LW</w:t>
            </w:r>
          </w:p>
        </w:tc>
        <w:tc>
          <w:tcPr>
            <w:tcW w:w="1251" w:type="pct"/>
            <w:shd w:val="clear" w:color="auto" w:fill="FFFFFF"/>
            <w:vAlign w:val="center"/>
          </w:tcPr>
          <w:p w14:paraId="7FA4EDE4" w14:textId="77777777" w:rsidR="006F188E" w:rsidRPr="006F188E" w:rsidRDefault="006F188E" w:rsidP="006F188E">
            <w:pPr>
              <w:jc w:val="both"/>
              <w:rPr>
                <w:b/>
              </w:rPr>
            </w:pPr>
            <w:r w:rsidRPr="006F188E">
              <w:rPr>
                <w:b/>
              </w:rPr>
              <w:t>Pearson Correlation</w:t>
            </w:r>
          </w:p>
        </w:tc>
        <w:tc>
          <w:tcPr>
            <w:tcW w:w="514" w:type="pct"/>
            <w:shd w:val="clear" w:color="auto" w:fill="FFFFFF"/>
            <w:vAlign w:val="center"/>
          </w:tcPr>
          <w:p w14:paraId="754745A3" w14:textId="77777777" w:rsidR="006F188E" w:rsidRPr="006F188E" w:rsidRDefault="006F188E" w:rsidP="006F188E">
            <w:pPr>
              <w:jc w:val="both"/>
            </w:pPr>
            <w:r w:rsidRPr="006F188E">
              <w:t>-.017</w:t>
            </w:r>
          </w:p>
        </w:tc>
        <w:tc>
          <w:tcPr>
            <w:tcW w:w="653" w:type="pct"/>
            <w:shd w:val="clear" w:color="auto" w:fill="FFFFFF"/>
            <w:vAlign w:val="center"/>
          </w:tcPr>
          <w:p w14:paraId="4A4785E9" w14:textId="77777777" w:rsidR="006F188E" w:rsidRPr="006F188E" w:rsidRDefault="006F188E" w:rsidP="006F188E">
            <w:pPr>
              <w:jc w:val="both"/>
            </w:pPr>
            <w:r w:rsidRPr="006F188E">
              <w:t>.092</w:t>
            </w:r>
          </w:p>
        </w:tc>
        <w:tc>
          <w:tcPr>
            <w:tcW w:w="653" w:type="pct"/>
            <w:shd w:val="clear" w:color="auto" w:fill="FFFFFF"/>
            <w:vAlign w:val="center"/>
          </w:tcPr>
          <w:p w14:paraId="34E913B0" w14:textId="77777777" w:rsidR="006F188E" w:rsidRPr="006F188E" w:rsidRDefault="006F188E" w:rsidP="006F188E">
            <w:pPr>
              <w:jc w:val="both"/>
            </w:pPr>
            <w:r w:rsidRPr="006F188E">
              <w:t>.122</w:t>
            </w:r>
          </w:p>
        </w:tc>
        <w:tc>
          <w:tcPr>
            <w:tcW w:w="653" w:type="pct"/>
            <w:shd w:val="clear" w:color="auto" w:fill="FFFFFF"/>
            <w:vAlign w:val="center"/>
          </w:tcPr>
          <w:p w14:paraId="6CA50AD2" w14:textId="77777777" w:rsidR="006F188E" w:rsidRPr="006F188E" w:rsidRDefault="006F188E" w:rsidP="006F188E">
            <w:pPr>
              <w:jc w:val="both"/>
            </w:pPr>
            <w:r w:rsidRPr="006F188E">
              <w:t>1</w:t>
            </w:r>
          </w:p>
        </w:tc>
        <w:tc>
          <w:tcPr>
            <w:tcW w:w="650" w:type="pct"/>
            <w:shd w:val="clear" w:color="auto" w:fill="FFFFFF"/>
            <w:vAlign w:val="center"/>
          </w:tcPr>
          <w:p w14:paraId="129D09DC" w14:textId="77777777" w:rsidR="006F188E" w:rsidRPr="006F188E" w:rsidRDefault="006F188E" w:rsidP="006F188E">
            <w:pPr>
              <w:jc w:val="both"/>
            </w:pPr>
            <w:r w:rsidRPr="006F188E">
              <w:t>.173</w:t>
            </w:r>
          </w:p>
        </w:tc>
      </w:tr>
      <w:tr w:rsidR="006F188E" w:rsidRPr="006F188E" w14:paraId="1C3AA875" w14:textId="77777777" w:rsidTr="00C83AD1">
        <w:trPr>
          <w:cantSplit/>
          <w:trHeight w:val="576"/>
        </w:trPr>
        <w:tc>
          <w:tcPr>
            <w:tcW w:w="626" w:type="pct"/>
            <w:vMerge/>
            <w:shd w:val="clear" w:color="auto" w:fill="FFFFFF"/>
            <w:vAlign w:val="center"/>
          </w:tcPr>
          <w:p w14:paraId="08B26BF3" w14:textId="77777777" w:rsidR="006F188E" w:rsidRPr="006F188E" w:rsidRDefault="006F188E" w:rsidP="006F188E">
            <w:pPr>
              <w:jc w:val="both"/>
              <w:rPr>
                <w:b/>
              </w:rPr>
            </w:pPr>
          </w:p>
        </w:tc>
        <w:tc>
          <w:tcPr>
            <w:tcW w:w="1251" w:type="pct"/>
            <w:shd w:val="clear" w:color="auto" w:fill="FFFFFF"/>
            <w:vAlign w:val="center"/>
          </w:tcPr>
          <w:p w14:paraId="3FE40CF0" w14:textId="77777777" w:rsidR="006F188E" w:rsidRPr="006F188E" w:rsidRDefault="006F188E" w:rsidP="006F188E">
            <w:pPr>
              <w:jc w:val="both"/>
              <w:rPr>
                <w:b/>
              </w:rPr>
            </w:pPr>
            <w:r w:rsidRPr="006F188E">
              <w:rPr>
                <w:b/>
              </w:rPr>
              <w:t>P-value</w:t>
            </w:r>
          </w:p>
        </w:tc>
        <w:tc>
          <w:tcPr>
            <w:tcW w:w="514" w:type="pct"/>
            <w:shd w:val="clear" w:color="auto" w:fill="FFFFFF"/>
            <w:vAlign w:val="center"/>
          </w:tcPr>
          <w:p w14:paraId="2AD12DDA" w14:textId="77777777" w:rsidR="006F188E" w:rsidRPr="006F188E" w:rsidRDefault="006F188E" w:rsidP="006F188E">
            <w:pPr>
              <w:jc w:val="both"/>
            </w:pPr>
            <w:r w:rsidRPr="006F188E">
              <w:t>.810</w:t>
            </w:r>
          </w:p>
        </w:tc>
        <w:tc>
          <w:tcPr>
            <w:tcW w:w="653" w:type="pct"/>
            <w:shd w:val="clear" w:color="auto" w:fill="FFFFFF"/>
            <w:vAlign w:val="center"/>
          </w:tcPr>
          <w:p w14:paraId="35D8D5CB" w14:textId="77777777" w:rsidR="006F188E" w:rsidRPr="006F188E" w:rsidRDefault="006F188E" w:rsidP="006F188E">
            <w:pPr>
              <w:jc w:val="both"/>
            </w:pPr>
            <w:r w:rsidRPr="006F188E">
              <w:t>.192</w:t>
            </w:r>
          </w:p>
        </w:tc>
        <w:tc>
          <w:tcPr>
            <w:tcW w:w="653" w:type="pct"/>
            <w:shd w:val="clear" w:color="auto" w:fill="FFFFFF"/>
            <w:vAlign w:val="center"/>
          </w:tcPr>
          <w:p w14:paraId="5A8E9F2A" w14:textId="77777777" w:rsidR="006F188E" w:rsidRPr="006F188E" w:rsidRDefault="006F188E" w:rsidP="006F188E">
            <w:pPr>
              <w:jc w:val="both"/>
            </w:pPr>
            <w:r w:rsidRPr="006F188E">
              <w:t>.085</w:t>
            </w:r>
          </w:p>
        </w:tc>
        <w:tc>
          <w:tcPr>
            <w:tcW w:w="653" w:type="pct"/>
            <w:shd w:val="clear" w:color="auto" w:fill="FFFFFF"/>
            <w:vAlign w:val="center"/>
          </w:tcPr>
          <w:p w14:paraId="2C7D06F8" w14:textId="77777777" w:rsidR="006F188E" w:rsidRPr="006F188E" w:rsidRDefault="006F188E" w:rsidP="006F188E">
            <w:pPr>
              <w:jc w:val="both"/>
            </w:pPr>
          </w:p>
        </w:tc>
        <w:tc>
          <w:tcPr>
            <w:tcW w:w="650" w:type="pct"/>
            <w:shd w:val="clear" w:color="auto" w:fill="FFFFFF"/>
            <w:vAlign w:val="center"/>
          </w:tcPr>
          <w:p w14:paraId="53812379" w14:textId="77777777" w:rsidR="006F188E" w:rsidRPr="006F188E" w:rsidRDefault="006F188E" w:rsidP="006F188E">
            <w:pPr>
              <w:jc w:val="both"/>
            </w:pPr>
            <w:r w:rsidRPr="006F188E">
              <w:t>.014</w:t>
            </w:r>
          </w:p>
        </w:tc>
      </w:tr>
      <w:tr w:rsidR="006F188E" w:rsidRPr="006F188E" w14:paraId="70A9769E" w14:textId="77777777" w:rsidTr="00C83AD1">
        <w:trPr>
          <w:cantSplit/>
          <w:trHeight w:val="576"/>
        </w:trPr>
        <w:tc>
          <w:tcPr>
            <w:tcW w:w="626" w:type="pct"/>
            <w:vMerge/>
            <w:shd w:val="clear" w:color="auto" w:fill="FFFFFF"/>
            <w:vAlign w:val="center"/>
          </w:tcPr>
          <w:p w14:paraId="115D5FA2" w14:textId="77777777" w:rsidR="006F188E" w:rsidRPr="006F188E" w:rsidRDefault="006F188E" w:rsidP="006F188E">
            <w:pPr>
              <w:jc w:val="both"/>
              <w:rPr>
                <w:b/>
              </w:rPr>
            </w:pPr>
          </w:p>
        </w:tc>
        <w:tc>
          <w:tcPr>
            <w:tcW w:w="1251" w:type="pct"/>
            <w:shd w:val="clear" w:color="auto" w:fill="FFFFFF"/>
            <w:vAlign w:val="center"/>
          </w:tcPr>
          <w:p w14:paraId="462A7622" w14:textId="77777777" w:rsidR="006F188E" w:rsidRPr="006F188E" w:rsidRDefault="006F188E" w:rsidP="006F188E">
            <w:pPr>
              <w:jc w:val="both"/>
              <w:rPr>
                <w:b/>
              </w:rPr>
            </w:pPr>
            <w:r w:rsidRPr="006F188E">
              <w:rPr>
                <w:b/>
              </w:rPr>
              <w:t>N</w:t>
            </w:r>
          </w:p>
        </w:tc>
        <w:tc>
          <w:tcPr>
            <w:tcW w:w="514" w:type="pct"/>
            <w:shd w:val="clear" w:color="auto" w:fill="FFFFFF"/>
            <w:vAlign w:val="center"/>
          </w:tcPr>
          <w:p w14:paraId="6602DD9A" w14:textId="77777777" w:rsidR="006F188E" w:rsidRPr="006F188E" w:rsidRDefault="006F188E" w:rsidP="006F188E">
            <w:pPr>
              <w:jc w:val="both"/>
            </w:pPr>
            <w:r w:rsidRPr="006F188E">
              <w:t>201</w:t>
            </w:r>
          </w:p>
        </w:tc>
        <w:tc>
          <w:tcPr>
            <w:tcW w:w="653" w:type="pct"/>
            <w:shd w:val="clear" w:color="auto" w:fill="FFFFFF"/>
            <w:vAlign w:val="center"/>
          </w:tcPr>
          <w:p w14:paraId="16FC4253" w14:textId="77777777" w:rsidR="006F188E" w:rsidRPr="006F188E" w:rsidRDefault="006F188E" w:rsidP="006F188E">
            <w:pPr>
              <w:jc w:val="both"/>
            </w:pPr>
            <w:r w:rsidRPr="006F188E">
              <w:t>201</w:t>
            </w:r>
          </w:p>
        </w:tc>
        <w:tc>
          <w:tcPr>
            <w:tcW w:w="653" w:type="pct"/>
            <w:shd w:val="clear" w:color="auto" w:fill="FFFFFF"/>
            <w:vAlign w:val="center"/>
          </w:tcPr>
          <w:p w14:paraId="66893AC6" w14:textId="77777777" w:rsidR="006F188E" w:rsidRPr="006F188E" w:rsidRDefault="006F188E" w:rsidP="006F188E">
            <w:pPr>
              <w:jc w:val="both"/>
            </w:pPr>
            <w:r w:rsidRPr="006F188E">
              <w:t>201</w:t>
            </w:r>
          </w:p>
        </w:tc>
        <w:tc>
          <w:tcPr>
            <w:tcW w:w="653" w:type="pct"/>
            <w:shd w:val="clear" w:color="auto" w:fill="FFFFFF"/>
            <w:vAlign w:val="center"/>
          </w:tcPr>
          <w:p w14:paraId="39A0A8DA" w14:textId="77777777" w:rsidR="006F188E" w:rsidRPr="006F188E" w:rsidRDefault="006F188E" w:rsidP="006F188E">
            <w:pPr>
              <w:jc w:val="both"/>
            </w:pPr>
            <w:r w:rsidRPr="006F188E">
              <w:t>201</w:t>
            </w:r>
          </w:p>
        </w:tc>
        <w:tc>
          <w:tcPr>
            <w:tcW w:w="650" w:type="pct"/>
            <w:shd w:val="clear" w:color="auto" w:fill="FFFFFF"/>
            <w:vAlign w:val="center"/>
          </w:tcPr>
          <w:p w14:paraId="637A94C0" w14:textId="77777777" w:rsidR="006F188E" w:rsidRPr="006F188E" w:rsidRDefault="006F188E" w:rsidP="006F188E">
            <w:pPr>
              <w:jc w:val="both"/>
            </w:pPr>
            <w:r w:rsidRPr="006F188E">
              <w:t>201</w:t>
            </w:r>
          </w:p>
        </w:tc>
      </w:tr>
      <w:tr w:rsidR="006F188E" w:rsidRPr="006F188E" w14:paraId="4947AEFC" w14:textId="77777777" w:rsidTr="00C83AD1">
        <w:trPr>
          <w:cantSplit/>
          <w:trHeight w:val="576"/>
        </w:trPr>
        <w:tc>
          <w:tcPr>
            <w:tcW w:w="626" w:type="pct"/>
            <w:vMerge w:val="restart"/>
            <w:shd w:val="clear" w:color="auto" w:fill="FFFFFF"/>
            <w:vAlign w:val="center"/>
          </w:tcPr>
          <w:p w14:paraId="303888AE" w14:textId="77777777" w:rsidR="006F188E" w:rsidRPr="006F188E" w:rsidRDefault="006F188E" w:rsidP="006F188E">
            <w:pPr>
              <w:jc w:val="both"/>
              <w:rPr>
                <w:b/>
              </w:rPr>
            </w:pPr>
            <w:r w:rsidRPr="006F188E">
              <w:rPr>
                <w:b/>
              </w:rPr>
              <w:t>SLG</w:t>
            </w:r>
          </w:p>
        </w:tc>
        <w:tc>
          <w:tcPr>
            <w:tcW w:w="1251" w:type="pct"/>
            <w:shd w:val="clear" w:color="auto" w:fill="FFFFFF"/>
            <w:vAlign w:val="center"/>
          </w:tcPr>
          <w:p w14:paraId="03E049AA" w14:textId="77777777" w:rsidR="006F188E" w:rsidRPr="006F188E" w:rsidRDefault="006F188E" w:rsidP="006F188E">
            <w:pPr>
              <w:jc w:val="both"/>
              <w:rPr>
                <w:b/>
              </w:rPr>
            </w:pPr>
            <w:r w:rsidRPr="006F188E">
              <w:rPr>
                <w:b/>
              </w:rPr>
              <w:t>Pearson Correlation</w:t>
            </w:r>
          </w:p>
        </w:tc>
        <w:tc>
          <w:tcPr>
            <w:tcW w:w="514" w:type="pct"/>
            <w:shd w:val="clear" w:color="auto" w:fill="FFFFFF"/>
            <w:vAlign w:val="center"/>
          </w:tcPr>
          <w:p w14:paraId="4E76B90D" w14:textId="77777777" w:rsidR="006F188E" w:rsidRPr="006F188E" w:rsidRDefault="006F188E" w:rsidP="006F188E">
            <w:pPr>
              <w:jc w:val="both"/>
            </w:pPr>
            <w:r w:rsidRPr="006F188E">
              <w:t>-.048</w:t>
            </w:r>
          </w:p>
        </w:tc>
        <w:tc>
          <w:tcPr>
            <w:tcW w:w="653" w:type="pct"/>
            <w:shd w:val="clear" w:color="auto" w:fill="FFFFFF"/>
            <w:vAlign w:val="center"/>
          </w:tcPr>
          <w:p w14:paraId="3BA60DB3" w14:textId="77777777" w:rsidR="006F188E" w:rsidRPr="006F188E" w:rsidRDefault="006F188E" w:rsidP="006F188E">
            <w:pPr>
              <w:jc w:val="both"/>
            </w:pPr>
            <w:r w:rsidRPr="006F188E">
              <w:t>.512</w:t>
            </w:r>
          </w:p>
        </w:tc>
        <w:tc>
          <w:tcPr>
            <w:tcW w:w="653" w:type="pct"/>
            <w:shd w:val="clear" w:color="auto" w:fill="FFFFFF"/>
            <w:vAlign w:val="center"/>
          </w:tcPr>
          <w:p w14:paraId="6C686E08" w14:textId="77777777" w:rsidR="006F188E" w:rsidRPr="006F188E" w:rsidRDefault="006F188E" w:rsidP="006F188E">
            <w:pPr>
              <w:jc w:val="both"/>
            </w:pPr>
            <w:r w:rsidRPr="006F188E">
              <w:t>.130</w:t>
            </w:r>
          </w:p>
        </w:tc>
        <w:tc>
          <w:tcPr>
            <w:tcW w:w="653" w:type="pct"/>
            <w:shd w:val="clear" w:color="auto" w:fill="FFFFFF"/>
            <w:vAlign w:val="center"/>
          </w:tcPr>
          <w:p w14:paraId="7D521938" w14:textId="77777777" w:rsidR="006F188E" w:rsidRPr="006F188E" w:rsidRDefault="006F188E" w:rsidP="006F188E">
            <w:pPr>
              <w:jc w:val="both"/>
            </w:pPr>
            <w:r w:rsidRPr="006F188E">
              <w:t>.173</w:t>
            </w:r>
          </w:p>
        </w:tc>
        <w:tc>
          <w:tcPr>
            <w:tcW w:w="650" w:type="pct"/>
            <w:shd w:val="clear" w:color="auto" w:fill="FFFFFF"/>
            <w:vAlign w:val="center"/>
          </w:tcPr>
          <w:p w14:paraId="519E8456" w14:textId="77777777" w:rsidR="006F188E" w:rsidRPr="006F188E" w:rsidRDefault="006F188E" w:rsidP="006F188E">
            <w:pPr>
              <w:jc w:val="both"/>
            </w:pPr>
            <w:r w:rsidRPr="006F188E">
              <w:t>1</w:t>
            </w:r>
          </w:p>
        </w:tc>
      </w:tr>
      <w:tr w:rsidR="006F188E" w:rsidRPr="006F188E" w14:paraId="72AEB84A" w14:textId="77777777" w:rsidTr="00C83AD1">
        <w:trPr>
          <w:cantSplit/>
          <w:trHeight w:val="576"/>
        </w:trPr>
        <w:tc>
          <w:tcPr>
            <w:tcW w:w="626" w:type="pct"/>
            <w:vMerge/>
            <w:shd w:val="clear" w:color="auto" w:fill="FFFFFF"/>
            <w:vAlign w:val="center"/>
          </w:tcPr>
          <w:p w14:paraId="5E10C7EC" w14:textId="77777777" w:rsidR="006F188E" w:rsidRPr="006F188E" w:rsidRDefault="006F188E" w:rsidP="006F188E">
            <w:pPr>
              <w:jc w:val="both"/>
            </w:pPr>
          </w:p>
        </w:tc>
        <w:tc>
          <w:tcPr>
            <w:tcW w:w="1251" w:type="pct"/>
            <w:shd w:val="clear" w:color="auto" w:fill="FFFFFF"/>
            <w:vAlign w:val="center"/>
          </w:tcPr>
          <w:p w14:paraId="44D2826C" w14:textId="77777777" w:rsidR="006F188E" w:rsidRPr="006F188E" w:rsidRDefault="006F188E" w:rsidP="006F188E">
            <w:pPr>
              <w:jc w:val="both"/>
              <w:rPr>
                <w:b/>
              </w:rPr>
            </w:pPr>
            <w:r w:rsidRPr="006F188E">
              <w:rPr>
                <w:b/>
              </w:rPr>
              <w:t>P-value</w:t>
            </w:r>
          </w:p>
        </w:tc>
        <w:tc>
          <w:tcPr>
            <w:tcW w:w="514" w:type="pct"/>
            <w:shd w:val="clear" w:color="auto" w:fill="FFFFFF"/>
            <w:vAlign w:val="center"/>
          </w:tcPr>
          <w:p w14:paraId="5AE25355" w14:textId="77777777" w:rsidR="006F188E" w:rsidRPr="006F188E" w:rsidRDefault="006F188E" w:rsidP="006F188E">
            <w:pPr>
              <w:jc w:val="both"/>
            </w:pPr>
            <w:r w:rsidRPr="006F188E">
              <w:t>.501</w:t>
            </w:r>
          </w:p>
        </w:tc>
        <w:tc>
          <w:tcPr>
            <w:tcW w:w="653" w:type="pct"/>
            <w:shd w:val="clear" w:color="auto" w:fill="FFFFFF"/>
            <w:vAlign w:val="center"/>
          </w:tcPr>
          <w:p w14:paraId="37A3C583" w14:textId="77777777" w:rsidR="006F188E" w:rsidRPr="006F188E" w:rsidRDefault="006F188E" w:rsidP="006F188E">
            <w:pPr>
              <w:jc w:val="both"/>
            </w:pPr>
            <w:r w:rsidRPr="006F188E">
              <w:t>.000</w:t>
            </w:r>
          </w:p>
        </w:tc>
        <w:tc>
          <w:tcPr>
            <w:tcW w:w="653" w:type="pct"/>
            <w:shd w:val="clear" w:color="auto" w:fill="FFFFFF"/>
            <w:vAlign w:val="center"/>
          </w:tcPr>
          <w:p w14:paraId="20DD0011" w14:textId="77777777" w:rsidR="006F188E" w:rsidRPr="006F188E" w:rsidRDefault="006F188E" w:rsidP="006F188E">
            <w:pPr>
              <w:jc w:val="both"/>
            </w:pPr>
            <w:r w:rsidRPr="006F188E">
              <w:t>.065</w:t>
            </w:r>
          </w:p>
        </w:tc>
        <w:tc>
          <w:tcPr>
            <w:tcW w:w="653" w:type="pct"/>
            <w:shd w:val="clear" w:color="auto" w:fill="FFFFFF"/>
            <w:vAlign w:val="center"/>
          </w:tcPr>
          <w:p w14:paraId="59585EF8" w14:textId="77777777" w:rsidR="006F188E" w:rsidRPr="006F188E" w:rsidRDefault="006F188E" w:rsidP="006F188E">
            <w:pPr>
              <w:jc w:val="both"/>
            </w:pPr>
            <w:r w:rsidRPr="006F188E">
              <w:t>.014</w:t>
            </w:r>
          </w:p>
        </w:tc>
        <w:tc>
          <w:tcPr>
            <w:tcW w:w="650" w:type="pct"/>
            <w:shd w:val="clear" w:color="auto" w:fill="FFFFFF"/>
            <w:vAlign w:val="center"/>
          </w:tcPr>
          <w:p w14:paraId="2E404548" w14:textId="77777777" w:rsidR="006F188E" w:rsidRPr="006F188E" w:rsidRDefault="006F188E" w:rsidP="006F188E">
            <w:pPr>
              <w:jc w:val="both"/>
            </w:pPr>
          </w:p>
        </w:tc>
      </w:tr>
      <w:tr w:rsidR="006F188E" w:rsidRPr="006F188E" w14:paraId="6A69C035" w14:textId="77777777" w:rsidTr="00C83AD1">
        <w:trPr>
          <w:cantSplit/>
          <w:trHeight w:val="576"/>
        </w:trPr>
        <w:tc>
          <w:tcPr>
            <w:tcW w:w="626" w:type="pct"/>
            <w:vMerge/>
            <w:tcBorders>
              <w:bottom w:val="single" w:sz="4" w:space="0" w:color="auto"/>
            </w:tcBorders>
            <w:shd w:val="clear" w:color="auto" w:fill="FFFFFF"/>
            <w:vAlign w:val="center"/>
          </w:tcPr>
          <w:p w14:paraId="33E0E69F" w14:textId="77777777" w:rsidR="006F188E" w:rsidRPr="006F188E" w:rsidRDefault="006F188E" w:rsidP="006F188E">
            <w:pPr>
              <w:jc w:val="both"/>
            </w:pPr>
          </w:p>
        </w:tc>
        <w:tc>
          <w:tcPr>
            <w:tcW w:w="1251" w:type="pct"/>
            <w:tcBorders>
              <w:bottom w:val="single" w:sz="4" w:space="0" w:color="auto"/>
            </w:tcBorders>
            <w:shd w:val="clear" w:color="auto" w:fill="FFFFFF"/>
            <w:vAlign w:val="center"/>
          </w:tcPr>
          <w:p w14:paraId="55FC1F6D" w14:textId="77777777" w:rsidR="006F188E" w:rsidRPr="006F188E" w:rsidRDefault="006F188E" w:rsidP="006F188E">
            <w:pPr>
              <w:jc w:val="both"/>
              <w:rPr>
                <w:b/>
              </w:rPr>
            </w:pPr>
            <w:r w:rsidRPr="006F188E">
              <w:rPr>
                <w:b/>
              </w:rPr>
              <w:t>N</w:t>
            </w:r>
          </w:p>
        </w:tc>
        <w:tc>
          <w:tcPr>
            <w:tcW w:w="514" w:type="pct"/>
            <w:tcBorders>
              <w:bottom w:val="single" w:sz="4" w:space="0" w:color="auto"/>
            </w:tcBorders>
            <w:shd w:val="clear" w:color="auto" w:fill="FFFFFF"/>
            <w:vAlign w:val="center"/>
          </w:tcPr>
          <w:p w14:paraId="444E853E" w14:textId="77777777" w:rsidR="006F188E" w:rsidRPr="006F188E" w:rsidRDefault="006F188E" w:rsidP="006F188E">
            <w:pPr>
              <w:jc w:val="both"/>
            </w:pPr>
            <w:r w:rsidRPr="006F188E">
              <w:t>201</w:t>
            </w:r>
          </w:p>
        </w:tc>
        <w:tc>
          <w:tcPr>
            <w:tcW w:w="653" w:type="pct"/>
            <w:tcBorders>
              <w:bottom w:val="single" w:sz="4" w:space="0" w:color="auto"/>
            </w:tcBorders>
            <w:shd w:val="clear" w:color="auto" w:fill="FFFFFF"/>
            <w:vAlign w:val="center"/>
          </w:tcPr>
          <w:p w14:paraId="135A83E7" w14:textId="77777777" w:rsidR="006F188E" w:rsidRPr="006F188E" w:rsidRDefault="006F188E" w:rsidP="006F188E">
            <w:pPr>
              <w:jc w:val="both"/>
            </w:pPr>
            <w:r w:rsidRPr="006F188E">
              <w:t>201</w:t>
            </w:r>
          </w:p>
        </w:tc>
        <w:tc>
          <w:tcPr>
            <w:tcW w:w="653" w:type="pct"/>
            <w:tcBorders>
              <w:bottom w:val="single" w:sz="4" w:space="0" w:color="auto"/>
            </w:tcBorders>
            <w:shd w:val="clear" w:color="auto" w:fill="FFFFFF"/>
            <w:vAlign w:val="center"/>
          </w:tcPr>
          <w:p w14:paraId="1282E95F" w14:textId="77777777" w:rsidR="006F188E" w:rsidRPr="006F188E" w:rsidRDefault="006F188E" w:rsidP="006F188E">
            <w:pPr>
              <w:jc w:val="both"/>
            </w:pPr>
            <w:r w:rsidRPr="006F188E">
              <w:t>201</w:t>
            </w:r>
          </w:p>
        </w:tc>
        <w:tc>
          <w:tcPr>
            <w:tcW w:w="653" w:type="pct"/>
            <w:tcBorders>
              <w:bottom w:val="single" w:sz="4" w:space="0" w:color="auto"/>
            </w:tcBorders>
            <w:shd w:val="clear" w:color="auto" w:fill="FFFFFF"/>
            <w:vAlign w:val="center"/>
          </w:tcPr>
          <w:p w14:paraId="433F9AAF" w14:textId="77777777" w:rsidR="006F188E" w:rsidRPr="006F188E" w:rsidRDefault="006F188E" w:rsidP="006F188E">
            <w:pPr>
              <w:jc w:val="both"/>
            </w:pPr>
            <w:r w:rsidRPr="006F188E">
              <w:t>201</w:t>
            </w:r>
          </w:p>
        </w:tc>
        <w:tc>
          <w:tcPr>
            <w:tcW w:w="650" w:type="pct"/>
            <w:tcBorders>
              <w:bottom w:val="single" w:sz="4" w:space="0" w:color="auto"/>
            </w:tcBorders>
            <w:shd w:val="clear" w:color="auto" w:fill="FFFFFF"/>
            <w:vAlign w:val="center"/>
          </w:tcPr>
          <w:p w14:paraId="7A1DF5C0" w14:textId="77777777" w:rsidR="006F188E" w:rsidRPr="006F188E" w:rsidRDefault="006F188E" w:rsidP="006F188E">
            <w:pPr>
              <w:jc w:val="both"/>
            </w:pPr>
            <w:r w:rsidRPr="006F188E">
              <w:t>201</w:t>
            </w:r>
          </w:p>
        </w:tc>
      </w:tr>
    </w:tbl>
    <w:p w14:paraId="75FF9C06" w14:textId="77777777" w:rsidR="006F188E" w:rsidRPr="006F188E" w:rsidRDefault="006F188E" w:rsidP="006F188E">
      <w:pPr>
        <w:jc w:val="both"/>
        <w:rPr>
          <w:b/>
        </w:rPr>
      </w:pPr>
    </w:p>
    <w:p w14:paraId="2A656749" w14:textId="1B5C42A4" w:rsidR="005547CC" w:rsidRPr="006C23EE" w:rsidRDefault="005547CC" w:rsidP="005547CC">
      <w:pPr>
        <w:rPr>
          <w:b/>
          <w:bCs/>
          <w:sz w:val="24"/>
          <w:szCs w:val="24"/>
        </w:rPr>
      </w:pPr>
      <w:r w:rsidRPr="006C23EE">
        <w:rPr>
          <w:b/>
          <w:bCs/>
          <w:sz w:val="24"/>
          <w:szCs w:val="24"/>
        </w:rPr>
        <w:lastRenderedPageBreak/>
        <w:t>D</w:t>
      </w:r>
      <w:r w:rsidR="006C23EE" w:rsidRPr="006C23EE">
        <w:rPr>
          <w:b/>
          <w:bCs/>
          <w:sz w:val="24"/>
          <w:szCs w:val="24"/>
        </w:rPr>
        <w:t>iscussion</w:t>
      </w:r>
    </w:p>
    <w:p w14:paraId="0F381C30" w14:textId="0CE0B455" w:rsidR="005547CC" w:rsidRPr="006C23EE" w:rsidRDefault="00914FB9" w:rsidP="00914FB9">
      <w:pPr>
        <w:jc w:val="both"/>
        <w:rPr>
          <w:sz w:val="24"/>
          <w:szCs w:val="24"/>
        </w:rPr>
      </w:pPr>
      <w:r w:rsidRPr="006C23EE">
        <w:rPr>
          <w:sz w:val="24"/>
          <w:szCs w:val="24"/>
        </w:rPr>
        <w:t xml:space="preserve">In this observational study, </w:t>
      </w:r>
      <w:proofErr w:type="spellStart"/>
      <w:r w:rsidRPr="006C23EE">
        <w:rPr>
          <w:sz w:val="24"/>
          <w:szCs w:val="24"/>
        </w:rPr>
        <w:t>postero</w:t>
      </w:r>
      <w:proofErr w:type="spellEnd"/>
      <w:r w:rsidRPr="006C23EE">
        <w:rPr>
          <w:sz w:val="24"/>
          <w:szCs w:val="24"/>
        </w:rPr>
        <w:t xml:space="preserve">-anterior wrist radiographs from 201 adult subjects were retrospectively </w:t>
      </w:r>
      <w:proofErr w:type="spellStart"/>
      <w:r w:rsidRPr="006C23EE">
        <w:rPr>
          <w:sz w:val="24"/>
          <w:szCs w:val="24"/>
        </w:rPr>
        <w:t>analysed</w:t>
      </w:r>
      <w:proofErr w:type="spellEnd"/>
      <w:r w:rsidRPr="006C23EE">
        <w:rPr>
          <w:sz w:val="24"/>
          <w:szCs w:val="24"/>
        </w:rPr>
        <w:t xml:space="preserve"> to </w:t>
      </w:r>
      <w:proofErr w:type="spellStart"/>
      <w:r w:rsidRPr="006C23EE">
        <w:rPr>
          <w:sz w:val="24"/>
          <w:szCs w:val="24"/>
        </w:rPr>
        <w:t>characterise</w:t>
      </w:r>
      <w:proofErr w:type="spellEnd"/>
      <w:r w:rsidRPr="006C23EE">
        <w:rPr>
          <w:sz w:val="24"/>
          <w:szCs w:val="24"/>
        </w:rPr>
        <w:t xml:space="preserve"> key carpal bone dimensions and to evaluate sex- and age-related variations in selected radiographic morphometric parameters, including carpal height (CH), capitate length (CL), lunate width (LW), and the scapholunate gap (SLG).</w:t>
      </w:r>
      <w:r w:rsidR="00A0356A" w:rsidRPr="006C23EE">
        <w:rPr>
          <w:sz w:val="24"/>
          <w:szCs w:val="24"/>
        </w:rPr>
        <w:t xml:space="preserve"> </w:t>
      </w:r>
      <w:r w:rsidR="005547CC" w:rsidRPr="006C23EE">
        <w:rPr>
          <w:sz w:val="24"/>
          <w:szCs w:val="24"/>
        </w:rPr>
        <w:t xml:space="preserve">The demographic distribution </w:t>
      </w:r>
      <w:r w:rsidR="00A0356A" w:rsidRPr="006C23EE">
        <w:rPr>
          <w:sz w:val="24"/>
          <w:szCs w:val="24"/>
        </w:rPr>
        <w:t xml:space="preserve">of participants </w:t>
      </w:r>
      <w:r w:rsidR="005547CC" w:rsidRPr="006C23EE">
        <w:rPr>
          <w:sz w:val="24"/>
          <w:szCs w:val="24"/>
        </w:rPr>
        <w:t xml:space="preserve">showed a predominance of young and middle-aged adults, which is consistent with the age groups most frequently </w:t>
      </w:r>
      <w:proofErr w:type="spellStart"/>
      <w:r w:rsidR="005547CC" w:rsidRPr="006C23EE">
        <w:rPr>
          <w:sz w:val="24"/>
          <w:szCs w:val="24"/>
        </w:rPr>
        <w:t>utili</w:t>
      </w:r>
      <w:r w:rsidR="006A6B64">
        <w:rPr>
          <w:sz w:val="24"/>
          <w:szCs w:val="24"/>
        </w:rPr>
        <w:t>s</w:t>
      </w:r>
      <w:r w:rsidR="005547CC" w:rsidRPr="006C23EE">
        <w:rPr>
          <w:sz w:val="24"/>
          <w:szCs w:val="24"/>
        </w:rPr>
        <w:t>ing</w:t>
      </w:r>
      <w:proofErr w:type="spellEnd"/>
      <w:r w:rsidR="005547CC" w:rsidRPr="006C23EE">
        <w:rPr>
          <w:sz w:val="24"/>
          <w:szCs w:val="24"/>
        </w:rPr>
        <w:t xml:space="preserve"> radiological services for occupational screening and musculoskeletal complaints.</w:t>
      </w:r>
      <w:r w:rsidR="006C23EE" w:rsidRPr="006C23EE">
        <w:rPr>
          <w:sz w:val="24"/>
          <w:szCs w:val="24"/>
          <w:vertAlign w:val="superscript"/>
        </w:rPr>
        <w:t>17,18</w:t>
      </w:r>
      <w:r w:rsidR="005547CC" w:rsidRPr="006C23EE">
        <w:rPr>
          <w:sz w:val="24"/>
          <w:szCs w:val="24"/>
        </w:rPr>
        <w:t xml:space="preserve"> Because carpal ossification is complete by late adolescence, this age spread offers a reliable basis for assessing stable adult carpal dimensions.</w:t>
      </w:r>
      <w:r w:rsidR="00344643" w:rsidRPr="00344643">
        <w:rPr>
          <w:sz w:val="24"/>
          <w:szCs w:val="24"/>
          <w:vertAlign w:val="superscript"/>
        </w:rPr>
        <w:t>19</w:t>
      </w:r>
    </w:p>
    <w:p w14:paraId="36211B43" w14:textId="082C8E84" w:rsidR="00D37D45" w:rsidRPr="006C23EE" w:rsidRDefault="00247562" w:rsidP="00D37D45">
      <w:pPr>
        <w:jc w:val="both"/>
        <w:rPr>
          <w:sz w:val="24"/>
          <w:szCs w:val="24"/>
        </w:rPr>
      </w:pPr>
      <w:r w:rsidRPr="006C23EE">
        <w:rPr>
          <w:sz w:val="24"/>
          <w:szCs w:val="24"/>
        </w:rPr>
        <w:t>Descriptive statistics</w:t>
      </w:r>
      <w:r w:rsidR="00D37D45" w:rsidRPr="006C23EE">
        <w:rPr>
          <w:sz w:val="24"/>
          <w:szCs w:val="24"/>
        </w:rPr>
        <w:t xml:space="preserve"> (table </w:t>
      </w:r>
      <w:r w:rsidR="007B60F0" w:rsidRPr="006C23EE">
        <w:rPr>
          <w:sz w:val="24"/>
          <w:szCs w:val="24"/>
        </w:rPr>
        <w:t>1</w:t>
      </w:r>
      <w:r w:rsidR="00D37D45" w:rsidRPr="006C23EE">
        <w:rPr>
          <w:sz w:val="24"/>
          <w:szCs w:val="24"/>
        </w:rPr>
        <w:t>) revealed relatively low standard deviations across all measured parameters, indicating consisten</w:t>
      </w:r>
      <w:r w:rsidR="007B60F0" w:rsidRPr="006C23EE">
        <w:rPr>
          <w:sz w:val="24"/>
          <w:szCs w:val="24"/>
        </w:rPr>
        <w:t>cy in</w:t>
      </w:r>
      <w:r w:rsidR="00D37D45" w:rsidRPr="006C23EE">
        <w:rPr>
          <w:sz w:val="24"/>
          <w:szCs w:val="24"/>
        </w:rPr>
        <w:t xml:space="preserve"> </w:t>
      </w:r>
      <w:r w:rsidR="006A6B64">
        <w:rPr>
          <w:sz w:val="24"/>
          <w:szCs w:val="24"/>
        </w:rPr>
        <w:t xml:space="preserve">the </w:t>
      </w:r>
      <w:r w:rsidR="00D37D45" w:rsidRPr="006C23EE">
        <w:rPr>
          <w:sz w:val="24"/>
          <w:szCs w:val="24"/>
        </w:rPr>
        <w:t>dataset, with mean values of 3.215 cm for carpal height (CH), 2.153 cm for capitate length (CL), 14.032 mm for lunate width (LW), and 0.202 cm for the scapholunate gap (SLG), reflecting a narrow variation range comparable to previous normative studies.</w:t>
      </w:r>
      <w:r w:rsidR="00344643" w:rsidRPr="00344643">
        <w:rPr>
          <w:sz w:val="24"/>
          <w:szCs w:val="24"/>
          <w:vertAlign w:val="superscript"/>
        </w:rPr>
        <w:t>20,21</w:t>
      </w:r>
      <w:r w:rsidR="00D37D45" w:rsidRPr="006C23EE">
        <w:rPr>
          <w:sz w:val="24"/>
          <w:szCs w:val="24"/>
        </w:rPr>
        <w:t xml:space="preserve"> Sex-specific analyses </w:t>
      </w:r>
      <w:r w:rsidR="003A37B2" w:rsidRPr="006C23EE">
        <w:rPr>
          <w:sz w:val="24"/>
          <w:szCs w:val="24"/>
        </w:rPr>
        <w:t>(table 2</w:t>
      </w:r>
      <w:r w:rsidR="00344643">
        <w:rPr>
          <w:sz w:val="24"/>
          <w:szCs w:val="24"/>
        </w:rPr>
        <w:t>-</w:t>
      </w:r>
      <w:r w:rsidR="003A37B2" w:rsidRPr="006C23EE">
        <w:rPr>
          <w:sz w:val="24"/>
          <w:szCs w:val="24"/>
        </w:rPr>
        <w:t xml:space="preserve">3) </w:t>
      </w:r>
      <w:r w:rsidR="00D37D45" w:rsidRPr="006C23EE">
        <w:rPr>
          <w:sz w:val="24"/>
          <w:szCs w:val="24"/>
        </w:rPr>
        <w:t>further demonstrated clear sexual dimorphism, with males exhibiting significantly larger mean values for CH, CL, LW, and SLG than females, consistent with established anatomical patterns attributed to hormonal influences, differential biomechanical loading, and broader skeletal proportions.</w:t>
      </w:r>
      <w:r w:rsidR="00344643" w:rsidRPr="00344643">
        <w:rPr>
          <w:sz w:val="24"/>
          <w:szCs w:val="24"/>
          <w:vertAlign w:val="superscript"/>
        </w:rPr>
        <w:t>16,22,23</w:t>
      </w:r>
      <w:r w:rsidR="00D37D45" w:rsidRPr="006C23EE">
        <w:rPr>
          <w:sz w:val="24"/>
          <w:szCs w:val="24"/>
        </w:rPr>
        <w:t xml:space="preserve"> The particularly pronounced differences in CH and SLG support earlier radiographic findings showing larger carpal bone volume and wider intercarpal spacing in males,</w:t>
      </w:r>
      <w:r w:rsidR="00344643" w:rsidRPr="00344643">
        <w:rPr>
          <w:sz w:val="24"/>
          <w:szCs w:val="24"/>
          <w:vertAlign w:val="superscript"/>
        </w:rPr>
        <w:t>24,25</w:t>
      </w:r>
      <w:r w:rsidR="006A6B64">
        <w:rPr>
          <w:sz w:val="24"/>
          <w:szCs w:val="24"/>
          <w:vertAlign w:val="superscript"/>
        </w:rPr>
        <w:t>,</w:t>
      </w:r>
      <w:r w:rsidR="00D37D45" w:rsidRPr="006C23EE">
        <w:rPr>
          <w:sz w:val="24"/>
          <w:szCs w:val="24"/>
        </w:rPr>
        <w:t xml:space="preserve"> underscoring clinically relevant implications for radiology and </w:t>
      </w:r>
      <w:proofErr w:type="spellStart"/>
      <w:r w:rsidR="00D37D45" w:rsidRPr="006C23EE">
        <w:rPr>
          <w:sz w:val="24"/>
          <w:szCs w:val="24"/>
        </w:rPr>
        <w:t>orthopaedics</w:t>
      </w:r>
      <w:proofErr w:type="spellEnd"/>
      <w:r w:rsidR="00D37D45" w:rsidRPr="006C23EE">
        <w:rPr>
          <w:sz w:val="24"/>
          <w:szCs w:val="24"/>
        </w:rPr>
        <w:t>, including wrist instability assessment, implant sizing, and the interpretation of scapholunate alignment to avoid misdiagnosis.</w:t>
      </w:r>
      <w:r w:rsidR="00344643" w:rsidRPr="00344643">
        <w:rPr>
          <w:sz w:val="24"/>
          <w:szCs w:val="24"/>
          <w:vertAlign w:val="superscript"/>
        </w:rPr>
        <w:t>26</w:t>
      </w:r>
    </w:p>
    <w:p w14:paraId="760DBA66" w14:textId="0CE03966" w:rsidR="00E06A46" w:rsidRPr="006C23EE" w:rsidRDefault="008E7938" w:rsidP="00B37666">
      <w:pPr>
        <w:jc w:val="both"/>
        <w:rPr>
          <w:b/>
          <w:bCs/>
          <w:sz w:val="24"/>
          <w:szCs w:val="24"/>
        </w:rPr>
      </w:pPr>
      <w:r w:rsidRPr="006C23EE">
        <w:rPr>
          <w:sz w:val="24"/>
          <w:szCs w:val="24"/>
        </w:rPr>
        <w:t>Analysis of mean values across the five age groups (Table 4) revealed minimal variation in carpal bone dimensions, with carpal height ranging from 3.19 to 3.24 cm, capitate length from 2.144 to 2.157 cm, lunate width from 14.003 to 14.143 mm, and the scapholunate gap from 0.195 to 0.207 cm. Corresponding p-values for inter-group comparisons exceeded 0.05 in all cases, confirming the absence of statistically significant age-related differences.</w:t>
      </w:r>
      <w:r w:rsidR="00F26587" w:rsidRPr="006C23EE">
        <w:rPr>
          <w:sz w:val="24"/>
          <w:szCs w:val="24"/>
        </w:rPr>
        <w:t xml:space="preserve"> These results support the known biological pattern in which adult carpal morphology remains relatively stable after skeletal maturity unless influenced by degenerative, traumatic, or systemic pathologies.</w:t>
      </w:r>
      <w:r w:rsidR="00344643" w:rsidRPr="00344643">
        <w:rPr>
          <w:sz w:val="24"/>
          <w:szCs w:val="24"/>
          <w:vertAlign w:val="superscript"/>
        </w:rPr>
        <w:t>27</w:t>
      </w:r>
      <w:r w:rsidR="00F26587" w:rsidRPr="006C23EE">
        <w:rPr>
          <w:sz w:val="24"/>
          <w:szCs w:val="24"/>
        </w:rPr>
        <w:t xml:space="preserve"> These findings are consistent with prior studies reporting minimal degenerative or age-dependent changes in adult carpal dimensions.</w:t>
      </w:r>
      <w:r w:rsidR="00344643" w:rsidRPr="00344643">
        <w:rPr>
          <w:sz w:val="24"/>
          <w:szCs w:val="24"/>
          <w:vertAlign w:val="superscript"/>
        </w:rPr>
        <w:t>28,29</w:t>
      </w:r>
      <w:r w:rsidR="00F26587" w:rsidRPr="006C23EE">
        <w:rPr>
          <w:sz w:val="24"/>
          <w:szCs w:val="24"/>
        </w:rPr>
        <w:t xml:space="preserve"> Such stability enhances the utility of these measurements in clinical, forensic, and anthropometric applications, including skeletal profiling, sex estimation, and radiographic </w:t>
      </w:r>
      <w:bookmarkStart w:id="1" w:name="_GoBack"/>
      <w:bookmarkEnd w:id="1"/>
      <w:proofErr w:type="spellStart"/>
      <w:r w:rsidR="00F26587" w:rsidRPr="006C23EE">
        <w:rPr>
          <w:sz w:val="24"/>
          <w:szCs w:val="24"/>
        </w:rPr>
        <w:t>standardi</w:t>
      </w:r>
      <w:r w:rsidR="006A6B64">
        <w:rPr>
          <w:sz w:val="24"/>
          <w:szCs w:val="24"/>
        </w:rPr>
        <w:t>s</w:t>
      </w:r>
      <w:r w:rsidR="00F26587" w:rsidRPr="006C23EE">
        <w:rPr>
          <w:sz w:val="24"/>
          <w:szCs w:val="24"/>
        </w:rPr>
        <w:t>ation</w:t>
      </w:r>
      <w:proofErr w:type="spellEnd"/>
      <w:r w:rsidR="00F26587" w:rsidRPr="006C23EE">
        <w:rPr>
          <w:sz w:val="24"/>
          <w:szCs w:val="24"/>
        </w:rPr>
        <w:t xml:space="preserve">. </w:t>
      </w:r>
      <w:r w:rsidR="005547CC" w:rsidRPr="006C23EE">
        <w:rPr>
          <w:sz w:val="24"/>
          <w:szCs w:val="24"/>
        </w:rPr>
        <w:t>Prior research has noted that age-related changes in the adult wrist tend to affect cortical thickness and trabecular patterning rather than external dimensions, which remain relatively constant.</w:t>
      </w:r>
      <w:r w:rsidR="00344643" w:rsidRPr="00344643">
        <w:rPr>
          <w:sz w:val="24"/>
          <w:szCs w:val="24"/>
          <w:vertAlign w:val="superscript"/>
        </w:rPr>
        <w:t>30</w:t>
      </w:r>
      <w:r w:rsidR="005547CC" w:rsidRPr="006C23EE">
        <w:rPr>
          <w:sz w:val="24"/>
          <w:szCs w:val="24"/>
        </w:rPr>
        <w:t xml:space="preserve"> Therefore, the findings reinforce the premise that normative carpal morphometry in healthy adults is largely age-independent.</w:t>
      </w:r>
      <w:r w:rsidR="00E06A46" w:rsidRPr="006C23EE">
        <w:rPr>
          <w:sz w:val="24"/>
          <w:szCs w:val="24"/>
        </w:rPr>
        <w:t xml:space="preserve"> Inter-variable correlations (Table 5) highlighted a strong positive relationship between CH and SLG (r = 0.512, p &lt; 0.001), indicating that increases in carpal height are associated with larger scapholunate gaps. Other correlations were weak and non-significant, suggesting that these parameters largely vary independently. The observed relationship between CH and SLG is consistent with biomechanical principles of carpal architecture, where increased carpal height may influence ligamentous spacing and carpal kinematics.</w:t>
      </w:r>
      <w:r w:rsidR="00344643" w:rsidRPr="00344643">
        <w:rPr>
          <w:sz w:val="24"/>
          <w:szCs w:val="24"/>
          <w:vertAlign w:val="superscript"/>
        </w:rPr>
        <w:t>31,32</w:t>
      </w:r>
      <w:r w:rsidR="00344643">
        <w:rPr>
          <w:sz w:val="24"/>
          <w:szCs w:val="24"/>
        </w:rPr>
        <w:t xml:space="preserve"> </w:t>
      </w:r>
    </w:p>
    <w:p w14:paraId="62C84A68" w14:textId="66FAC19E" w:rsidR="005547CC" w:rsidRPr="006C23EE" w:rsidRDefault="005547CC" w:rsidP="00B37666">
      <w:pPr>
        <w:jc w:val="both"/>
        <w:rPr>
          <w:sz w:val="24"/>
          <w:szCs w:val="24"/>
        </w:rPr>
      </w:pPr>
      <w:r w:rsidRPr="006C23EE">
        <w:rPr>
          <w:sz w:val="24"/>
          <w:szCs w:val="24"/>
        </w:rPr>
        <w:lastRenderedPageBreak/>
        <w:t>The documented sexual dimorphism and age-related stability of carpal dimensions highlight their potential application in forensic anthropology. Carpal measurements, being relatively resistant to post-maturity morphological change, are valuable for sex estimation in skeletal remains, particularly when long bones or pelvis are unavailable.</w:t>
      </w:r>
      <w:r w:rsidR="00344643" w:rsidRPr="00344643">
        <w:rPr>
          <w:sz w:val="24"/>
          <w:szCs w:val="24"/>
          <w:vertAlign w:val="superscript"/>
        </w:rPr>
        <w:t>33</w:t>
      </w:r>
      <w:r w:rsidRPr="006C23EE">
        <w:rPr>
          <w:sz w:val="24"/>
          <w:szCs w:val="24"/>
        </w:rPr>
        <w:t xml:space="preserve"> Measurements such as CH and capitate metrics have previously been shown to enhance the accuracy of sex prediction models.</w:t>
      </w:r>
      <w:r w:rsidR="00344643" w:rsidRPr="00344643">
        <w:rPr>
          <w:sz w:val="24"/>
          <w:szCs w:val="24"/>
          <w:vertAlign w:val="superscript"/>
        </w:rPr>
        <w:t>34</w:t>
      </w:r>
      <w:r w:rsidR="00E06A46" w:rsidRPr="006C23EE">
        <w:rPr>
          <w:sz w:val="24"/>
          <w:szCs w:val="24"/>
        </w:rPr>
        <w:t xml:space="preserve"> </w:t>
      </w:r>
      <w:r w:rsidRPr="006C23EE">
        <w:rPr>
          <w:sz w:val="24"/>
          <w:szCs w:val="24"/>
        </w:rPr>
        <w:t>These findings contribute population-specific baseline data, an important consideration given that skeletal sexual dimorphism varies significantly across ethnic groups.</w:t>
      </w:r>
      <w:r w:rsidR="00344643" w:rsidRPr="00344643">
        <w:rPr>
          <w:sz w:val="24"/>
          <w:szCs w:val="24"/>
          <w:vertAlign w:val="superscript"/>
        </w:rPr>
        <w:t>35</w:t>
      </w:r>
      <w:r w:rsidR="00E06A46" w:rsidRPr="006C23EE">
        <w:rPr>
          <w:sz w:val="24"/>
          <w:szCs w:val="24"/>
        </w:rPr>
        <w:t xml:space="preserve"> </w:t>
      </w:r>
      <w:r w:rsidRPr="006C23EE">
        <w:rPr>
          <w:sz w:val="24"/>
          <w:szCs w:val="24"/>
        </w:rPr>
        <w:t xml:space="preserve">The normative values generated in this study provide a reference framework for radiologists and clinicians evaluating wrist abnormalities. </w:t>
      </w:r>
      <w:r w:rsidR="00B93754" w:rsidRPr="006C23EE">
        <w:rPr>
          <w:sz w:val="24"/>
          <w:szCs w:val="24"/>
        </w:rPr>
        <w:t>Variations in carpal height, scapholunate spacing, or carpal bone proportions are important indicators of wrist pathology, including inflammatory arthritis, scapholunate dissociation and characteristic carpal collapse patterns such as Scaphoid Nonunion Advanced Collapse (SNAC) and Scapholunate Advanced Collapse (SLAC) wrists.</w:t>
      </w:r>
      <w:r w:rsidR="00344643" w:rsidRPr="00344643">
        <w:rPr>
          <w:sz w:val="24"/>
          <w:szCs w:val="24"/>
          <w:vertAlign w:val="superscript"/>
        </w:rPr>
        <w:t>36</w:t>
      </w:r>
      <w:r w:rsidR="00B37666" w:rsidRPr="006C23EE">
        <w:rPr>
          <w:sz w:val="24"/>
          <w:szCs w:val="24"/>
        </w:rPr>
        <w:t xml:space="preserve"> </w:t>
      </w:r>
      <w:r w:rsidRPr="006C23EE">
        <w:rPr>
          <w:sz w:val="24"/>
          <w:szCs w:val="24"/>
        </w:rPr>
        <w:t>Furthermore, stable morphometric parameters across adult age groups suggest that deviations detected radiographically are more likely to represent disease processes rather than physiological aging. This reinforces the utility of carpal indices in early diagnosis of degenerative and post-traumatic wrist disorders.</w:t>
      </w:r>
    </w:p>
    <w:p w14:paraId="38DB50F2" w14:textId="77777777" w:rsidR="005547CC" w:rsidRPr="005547CC" w:rsidRDefault="005547CC" w:rsidP="005547CC">
      <w:pPr>
        <w:rPr>
          <w:b/>
          <w:bCs/>
        </w:rPr>
      </w:pPr>
      <w:r w:rsidRPr="005547CC">
        <w:rPr>
          <w:b/>
          <w:bCs/>
        </w:rPr>
        <w:t>Conclusion</w:t>
      </w:r>
    </w:p>
    <w:p w14:paraId="50BD3399" w14:textId="77777777" w:rsidR="005547CC" w:rsidRPr="005547CC" w:rsidRDefault="005547CC" w:rsidP="00B37666">
      <w:pPr>
        <w:jc w:val="both"/>
      </w:pPr>
      <w:r w:rsidRPr="005547CC">
        <w:t>Overall, this study demonstrates significant sexual dimorphism and age-independent stability in adult carpal morphometry. The sex-specific differences observed emphasize the need for gender-adjusted reference values in clinical practice, while the stability across age groups reinforces the usefulness of carpal measurements in anthropological, forensic, and diagnostic contexts. These findings deepen the understanding of normative wrist anatomy and provide a foundation for improved interpretation of radiological variations within the studied population.</w:t>
      </w:r>
    </w:p>
    <w:p w14:paraId="3C347277" w14:textId="74D08905" w:rsidR="002F793D" w:rsidRPr="00BD2FCA" w:rsidRDefault="002F793D" w:rsidP="002F793D">
      <w:pPr>
        <w:rPr>
          <w:b/>
        </w:rPr>
      </w:pPr>
      <w:r w:rsidRPr="00BD2FCA">
        <w:rPr>
          <w:b/>
        </w:rPr>
        <w:t>L</w:t>
      </w:r>
      <w:r w:rsidR="00BD2FCA" w:rsidRPr="00BD2FCA">
        <w:rPr>
          <w:b/>
        </w:rPr>
        <w:t>imitations</w:t>
      </w:r>
      <w:r w:rsidRPr="00BD2FCA">
        <w:rPr>
          <w:b/>
        </w:rPr>
        <w:t xml:space="preserve"> </w:t>
      </w:r>
    </w:p>
    <w:p w14:paraId="43181253" w14:textId="488BA439" w:rsidR="002F793D" w:rsidRPr="00FE073D" w:rsidRDefault="00FE073D" w:rsidP="00FE073D">
      <w:pPr>
        <w:jc w:val="both"/>
      </w:pPr>
      <w:r w:rsidRPr="00FE073D">
        <w:t>The authors acknowledge that the findings of this study were obtained from a single location using a cross-sectional research design. Consequently, the results have limited generalizability and do not allow for the establishment of causal relationships.</w:t>
      </w:r>
    </w:p>
    <w:p w14:paraId="523D96B4" w14:textId="15FB4AA6" w:rsidR="002F793D" w:rsidRPr="00BD2FCA" w:rsidRDefault="002F793D" w:rsidP="00FE073D">
      <w:pPr>
        <w:jc w:val="both"/>
        <w:rPr>
          <w:b/>
        </w:rPr>
      </w:pPr>
      <w:r w:rsidRPr="00BD2FCA">
        <w:rPr>
          <w:b/>
        </w:rPr>
        <w:t>E</w:t>
      </w:r>
      <w:r w:rsidR="00BD2FCA" w:rsidRPr="00BD2FCA">
        <w:rPr>
          <w:b/>
        </w:rPr>
        <w:t>thical</w:t>
      </w:r>
      <w:r w:rsidRPr="00BD2FCA">
        <w:rPr>
          <w:b/>
        </w:rPr>
        <w:t xml:space="preserve"> A</w:t>
      </w:r>
      <w:r w:rsidR="00BD2FCA" w:rsidRPr="00BD2FCA">
        <w:rPr>
          <w:b/>
        </w:rPr>
        <w:t>pproval</w:t>
      </w:r>
      <w:r w:rsidRPr="00BD2FCA">
        <w:rPr>
          <w:b/>
        </w:rPr>
        <w:t xml:space="preserve"> </w:t>
      </w:r>
    </w:p>
    <w:p w14:paraId="46E22D8A" w14:textId="023DD45C" w:rsidR="006F16EC" w:rsidRPr="00203C15" w:rsidRDefault="002F793D" w:rsidP="006F16EC">
      <w:pPr>
        <w:jc w:val="both"/>
        <w:rPr>
          <w:bCs/>
        </w:rPr>
      </w:pPr>
      <w:proofErr w:type="gramStart"/>
      <w:r w:rsidRPr="00FE073D">
        <w:t>All  authors</w:t>
      </w:r>
      <w:proofErr w:type="gramEnd"/>
      <w:r w:rsidRPr="00FE073D">
        <w:t xml:space="preserve">  declare  that  ethical  approval  was</w:t>
      </w:r>
      <w:r w:rsidR="006F16EC">
        <w:t xml:space="preserve"> obtained from the </w:t>
      </w:r>
      <w:r w:rsidR="006F16EC" w:rsidRPr="006F16EC">
        <w:t>Research and Ethical committee of the Faculty of Basic Medical Sciences, College of Health Sciences, Delta State University, Abraka (with ethical reference number</w:t>
      </w:r>
      <w:r w:rsidR="006F16EC" w:rsidRPr="00203C15">
        <w:t>: RBC/FBMC/DELSU/25/911)</w:t>
      </w:r>
      <w:r w:rsidR="006F16EC" w:rsidRPr="006F16EC">
        <w:t xml:space="preserve"> and also from the Research and Ethics Committee of Delta State University Teaching Hospital, </w:t>
      </w:r>
      <w:proofErr w:type="spellStart"/>
      <w:r w:rsidR="006F16EC" w:rsidRPr="006F16EC">
        <w:t>Oghara</w:t>
      </w:r>
      <w:proofErr w:type="spellEnd"/>
      <w:r w:rsidR="006F16EC" w:rsidRPr="006F16EC">
        <w:t xml:space="preserve"> (with ethical reference number: </w:t>
      </w:r>
      <w:r w:rsidR="006F16EC" w:rsidRPr="00203C15">
        <w:rPr>
          <w:bCs/>
        </w:rPr>
        <w:t>HREC/PAN/2025/0400/0729).</w:t>
      </w:r>
    </w:p>
    <w:p w14:paraId="555CDD17" w14:textId="2F82EA4C" w:rsidR="002F793D" w:rsidRPr="00BD2FCA" w:rsidRDefault="002F793D" w:rsidP="002F793D">
      <w:pPr>
        <w:rPr>
          <w:b/>
        </w:rPr>
      </w:pPr>
      <w:r w:rsidRPr="00BD2FCA">
        <w:rPr>
          <w:b/>
        </w:rPr>
        <w:t>D</w:t>
      </w:r>
      <w:r w:rsidR="00BD2FCA" w:rsidRPr="00BD2FCA">
        <w:rPr>
          <w:b/>
        </w:rPr>
        <w:t>isclaimer</w:t>
      </w:r>
      <w:r w:rsidRPr="00BD2FCA">
        <w:rPr>
          <w:b/>
        </w:rPr>
        <w:t xml:space="preserve"> (A</w:t>
      </w:r>
      <w:r w:rsidR="00BD2FCA" w:rsidRPr="00BD2FCA">
        <w:rPr>
          <w:b/>
        </w:rPr>
        <w:t>rtificial</w:t>
      </w:r>
      <w:r w:rsidRPr="00BD2FCA">
        <w:rPr>
          <w:b/>
        </w:rPr>
        <w:t xml:space="preserve"> I</w:t>
      </w:r>
      <w:r w:rsidR="00BD2FCA" w:rsidRPr="00BD2FCA">
        <w:rPr>
          <w:b/>
        </w:rPr>
        <w:t>ntelligence</w:t>
      </w:r>
      <w:r w:rsidRPr="00BD2FCA">
        <w:rPr>
          <w:b/>
        </w:rPr>
        <w:t xml:space="preserve">) </w:t>
      </w:r>
    </w:p>
    <w:p w14:paraId="6526FE7A" w14:textId="2175C205" w:rsidR="00E93AAB" w:rsidRDefault="00E93AAB" w:rsidP="0081323B">
      <w:pPr>
        <w:jc w:val="both"/>
      </w:pPr>
      <w:r w:rsidRPr="00E93AAB">
        <w:t>The authors hereby declare that no generative artificial intelligence tools or technologies were utilized at any stage of this study, including study design, data acquisition, analysis, interpretation, or manuscript preparation. All aspects of the work were carried out solely by the authors.</w:t>
      </w:r>
    </w:p>
    <w:p w14:paraId="5223FECD" w14:textId="1F860DD8" w:rsidR="002F793D" w:rsidRPr="0081323B" w:rsidRDefault="002F793D" w:rsidP="002F793D">
      <w:r w:rsidRPr="0081323B">
        <w:t>C</w:t>
      </w:r>
      <w:r w:rsidR="00BD2FCA" w:rsidRPr="0081323B">
        <w:t>ompeting</w:t>
      </w:r>
      <w:r w:rsidRPr="0081323B">
        <w:t xml:space="preserve"> I</w:t>
      </w:r>
      <w:r w:rsidR="00BD2FCA" w:rsidRPr="0081323B">
        <w:t>nterests</w:t>
      </w:r>
      <w:r w:rsidRPr="0081323B">
        <w:t xml:space="preserve"> </w:t>
      </w:r>
    </w:p>
    <w:p w14:paraId="49F2EEF1" w14:textId="3C28B9C3" w:rsidR="002F793D" w:rsidRPr="002F793D" w:rsidRDefault="002F793D" w:rsidP="002F793D">
      <w:pPr>
        <w:rPr>
          <w:i/>
          <w:iCs/>
        </w:rPr>
      </w:pPr>
      <w:r w:rsidRPr="0081323B">
        <w:t>Authors</w:t>
      </w:r>
      <w:r w:rsidR="00E93AAB">
        <w:t xml:space="preserve"> </w:t>
      </w:r>
      <w:r w:rsidRPr="0081323B">
        <w:t>have</w:t>
      </w:r>
      <w:r w:rsidR="00E93AAB">
        <w:t xml:space="preserve"> </w:t>
      </w:r>
      <w:r w:rsidRPr="0081323B">
        <w:t xml:space="preserve">declared </w:t>
      </w:r>
      <w:r w:rsidR="002D5F06" w:rsidRPr="0081323B">
        <w:t>that there</w:t>
      </w:r>
      <w:r w:rsidR="0081323B" w:rsidRPr="0081323B">
        <w:t xml:space="preserve"> </w:t>
      </w:r>
      <w:r w:rsidR="002D5F06" w:rsidRPr="0081323B">
        <w:t>were no</w:t>
      </w:r>
      <w:r w:rsidRPr="0081323B">
        <w:t xml:space="preserve"> competing interests</w:t>
      </w:r>
      <w:r w:rsidRPr="002D5F06">
        <w:t>.</w:t>
      </w:r>
    </w:p>
    <w:p w14:paraId="05714CB4" w14:textId="117EA39B" w:rsidR="005547CC" w:rsidRPr="005547CC" w:rsidRDefault="005547CC" w:rsidP="005547CC"/>
    <w:p w14:paraId="7A8C83B3" w14:textId="77777777" w:rsidR="006C23EE" w:rsidRPr="005547CC" w:rsidRDefault="006C23EE" w:rsidP="006C23EE">
      <w:pPr>
        <w:rPr>
          <w:b/>
          <w:bCs/>
        </w:rPr>
      </w:pPr>
      <w:r w:rsidRPr="005547CC">
        <w:rPr>
          <w:b/>
          <w:bCs/>
        </w:rPr>
        <w:lastRenderedPageBreak/>
        <w:t>References</w:t>
      </w:r>
    </w:p>
    <w:p w14:paraId="5B476976" w14:textId="77777777" w:rsidR="00E26D6F" w:rsidRDefault="00E26D6F" w:rsidP="006C23EE">
      <w:pPr>
        <w:pStyle w:val="ListParagraph"/>
        <w:numPr>
          <w:ilvl w:val="0"/>
          <w:numId w:val="13"/>
        </w:numPr>
        <w:tabs>
          <w:tab w:val="left" w:pos="630"/>
        </w:tabs>
        <w:jc w:val="both"/>
      </w:pPr>
      <w:r w:rsidRPr="00E26D6F">
        <w:t xml:space="preserve">McInnes IB, </w:t>
      </w:r>
      <w:proofErr w:type="spellStart"/>
      <w:r w:rsidRPr="00E26D6F">
        <w:t>Schett</w:t>
      </w:r>
      <w:proofErr w:type="spellEnd"/>
      <w:r w:rsidRPr="00E26D6F">
        <w:t xml:space="preserve"> G. Pathogenetic insights from the treatment of rheumatoid arthritis. In: Firestein GS, Budd RC, Gabriel SE, McInnes IB, O’Dell JR, editors. Firestein &amp; Kelley’s Textbook of Rheumatology. 11th ed. Philadelphia: Elsevier; 2021.</w:t>
      </w:r>
    </w:p>
    <w:p w14:paraId="0E782753" w14:textId="4986E590" w:rsidR="00E26D6F" w:rsidRDefault="00E26D6F" w:rsidP="006C23EE">
      <w:pPr>
        <w:pStyle w:val="ListParagraph"/>
        <w:numPr>
          <w:ilvl w:val="0"/>
          <w:numId w:val="13"/>
        </w:numPr>
        <w:tabs>
          <w:tab w:val="left" w:pos="630"/>
        </w:tabs>
        <w:jc w:val="both"/>
      </w:pPr>
      <w:r w:rsidRPr="00E26D6F">
        <w:t xml:space="preserve">McQueen FM, Østergaard M. Established rheumatoid arthritis: new imaging modalities. Best </w:t>
      </w:r>
      <w:proofErr w:type="spellStart"/>
      <w:r w:rsidRPr="00E26D6F">
        <w:t>Pract</w:t>
      </w:r>
      <w:proofErr w:type="spellEnd"/>
      <w:r w:rsidRPr="00E26D6F">
        <w:t xml:space="preserve"> Res Clin </w:t>
      </w:r>
      <w:proofErr w:type="spellStart"/>
      <w:r w:rsidRPr="00E26D6F">
        <w:t>Rheumatol</w:t>
      </w:r>
      <w:proofErr w:type="spellEnd"/>
      <w:r w:rsidRPr="00E26D6F">
        <w:t>. 2007;21(5):841</w:t>
      </w:r>
      <w:r w:rsidR="007F0A0A">
        <w:t>-</w:t>
      </w:r>
      <w:r w:rsidRPr="00E26D6F">
        <w:t xml:space="preserve">856. </w:t>
      </w:r>
      <w:proofErr w:type="gramStart"/>
      <w:r w:rsidRPr="00E26D6F">
        <w:t>doi:10.1016/j.berh</w:t>
      </w:r>
      <w:proofErr w:type="gramEnd"/>
      <w:r w:rsidRPr="00E26D6F">
        <w:t>.2007.05.001</w:t>
      </w:r>
    </w:p>
    <w:p w14:paraId="62634EA8" w14:textId="77777777" w:rsidR="00E26D6F" w:rsidRDefault="00E26D6F" w:rsidP="006C23EE">
      <w:pPr>
        <w:pStyle w:val="ListParagraph"/>
        <w:numPr>
          <w:ilvl w:val="0"/>
          <w:numId w:val="13"/>
        </w:numPr>
        <w:tabs>
          <w:tab w:val="left" w:pos="630"/>
        </w:tabs>
        <w:jc w:val="both"/>
      </w:pPr>
      <w:r w:rsidRPr="00E26D6F">
        <w:t xml:space="preserve">McQueen F, </w:t>
      </w:r>
      <w:proofErr w:type="spellStart"/>
      <w:r w:rsidRPr="00E26D6F">
        <w:t>Østergaard</w:t>
      </w:r>
      <w:proofErr w:type="spellEnd"/>
      <w:r w:rsidRPr="00E26D6F">
        <w:t xml:space="preserve"> M, </w:t>
      </w:r>
      <w:proofErr w:type="spellStart"/>
      <w:r w:rsidRPr="00E26D6F">
        <w:t>Peterfy</w:t>
      </w:r>
      <w:proofErr w:type="spellEnd"/>
      <w:r w:rsidRPr="00E26D6F">
        <w:t xml:space="preserve"> C, </w:t>
      </w:r>
      <w:proofErr w:type="spellStart"/>
      <w:r w:rsidRPr="00E26D6F">
        <w:t>Lassere</w:t>
      </w:r>
      <w:proofErr w:type="spellEnd"/>
      <w:r w:rsidRPr="00E26D6F">
        <w:t xml:space="preserve"> M, </w:t>
      </w:r>
      <w:proofErr w:type="spellStart"/>
      <w:r w:rsidRPr="00E26D6F">
        <w:t>Ejbjerg</w:t>
      </w:r>
      <w:proofErr w:type="spellEnd"/>
      <w:r w:rsidRPr="00E26D6F">
        <w:t xml:space="preserve"> B, Bird P, O'Connor P, </w:t>
      </w:r>
      <w:proofErr w:type="spellStart"/>
      <w:r w:rsidRPr="00E26D6F">
        <w:t>Genant</w:t>
      </w:r>
      <w:proofErr w:type="spellEnd"/>
      <w:r w:rsidRPr="00E26D6F">
        <w:t xml:space="preserve"> H, Shnier R, Emery P, Edmonds J, Conaghan P. Pitfalls in scoring MR images of rheumatoid arthritis wrist and metacarpophalangeal joints. Ann Rheum Dis. 2005;64 Suppl </w:t>
      </w:r>
      <w:proofErr w:type="gramStart"/>
      <w:r w:rsidRPr="00E26D6F">
        <w:t>1:i</w:t>
      </w:r>
      <w:proofErr w:type="gramEnd"/>
      <w:r w:rsidRPr="00E26D6F">
        <w:t>48-i55. doi:10.1136/ard.2004.031831.</w:t>
      </w:r>
    </w:p>
    <w:p w14:paraId="45C6F15F" w14:textId="3F0BD68A" w:rsidR="00E26D6F" w:rsidRDefault="00E26D6F" w:rsidP="006C23EE">
      <w:pPr>
        <w:pStyle w:val="ListParagraph"/>
        <w:numPr>
          <w:ilvl w:val="0"/>
          <w:numId w:val="13"/>
        </w:numPr>
        <w:tabs>
          <w:tab w:val="left" w:pos="630"/>
        </w:tabs>
        <w:jc w:val="both"/>
      </w:pPr>
      <w:proofErr w:type="spellStart"/>
      <w:r w:rsidRPr="00E26D6F">
        <w:t>Snekhalatha</w:t>
      </w:r>
      <w:proofErr w:type="spellEnd"/>
      <w:r w:rsidRPr="00E26D6F">
        <w:t xml:space="preserve"> U, </w:t>
      </w:r>
      <w:proofErr w:type="spellStart"/>
      <w:r w:rsidRPr="00E26D6F">
        <w:t>Anburajan</w:t>
      </w:r>
      <w:proofErr w:type="spellEnd"/>
      <w:r w:rsidRPr="00E26D6F">
        <w:t xml:space="preserve"> M. Computer-based measurements of joint space analysis using metacarpal morphometry in hand radiograph for evaluation of rheumatoid arthritis. Int J Rheum Dis. 2017;20(9):1120</w:t>
      </w:r>
      <w:r w:rsidR="007F0A0A">
        <w:t>-</w:t>
      </w:r>
      <w:r w:rsidRPr="00E26D6F">
        <w:t>1131. doi:10.1111/1756-185X.12559</w:t>
      </w:r>
    </w:p>
    <w:p w14:paraId="7D3910F7" w14:textId="65D20998" w:rsidR="006C23EE" w:rsidRDefault="006C23EE" w:rsidP="006C23EE">
      <w:pPr>
        <w:pStyle w:val="ListParagraph"/>
        <w:numPr>
          <w:ilvl w:val="0"/>
          <w:numId w:val="13"/>
        </w:numPr>
        <w:tabs>
          <w:tab w:val="left" w:pos="630"/>
        </w:tabs>
        <w:jc w:val="both"/>
      </w:pPr>
      <w:proofErr w:type="spellStart"/>
      <w:r w:rsidRPr="001E0303">
        <w:t>Enaowho</w:t>
      </w:r>
      <w:proofErr w:type="spellEnd"/>
      <w:r w:rsidRPr="001E0303">
        <w:t xml:space="preserve">, T.M. and Okoro, O.G. Anthropometric study of the frontal sinus on plain radiographs in Delta State University Teaching Hospital. Journal of Experimental and Clinical Anatomy, </w:t>
      </w:r>
      <w:r w:rsidR="00BD2FCA">
        <w:t xml:space="preserve">2018; </w:t>
      </w:r>
      <w:r w:rsidRPr="001E0303">
        <w:t>17(2), 49</w:t>
      </w:r>
      <w:r w:rsidR="00BD2FCA">
        <w:t>-</w:t>
      </w:r>
      <w:r w:rsidRPr="001E0303">
        <w:t>52.</w:t>
      </w:r>
    </w:p>
    <w:p w14:paraId="1CDE4BED" w14:textId="57F55027" w:rsidR="0063129D" w:rsidRPr="0063129D" w:rsidRDefault="0063129D" w:rsidP="006C23EE">
      <w:pPr>
        <w:pStyle w:val="ListParagraph"/>
        <w:numPr>
          <w:ilvl w:val="0"/>
          <w:numId w:val="13"/>
        </w:numPr>
        <w:tabs>
          <w:tab w:val="left" w:pos="630"/>
        </w:tabs>
        <w:jc w:val="both"/>
      </w:pPr>
      <w:proofErr w:type="spellStart"/>
      <w:r w:rsidRPr="0063129D">
        <w:t>Ojieh</w:t>
      </w:r>
      <w:proofErr w:type="spellEnd"/>
      <w:r w:rsidRPr="0063129D">
        <w:t xml:space="preserve"> U, </w:t>
      </w:r>
      <w:proofErr w:type="spellStart"/>
      <w:r w:rsidRPr="0063129D">
        <w:t>Enaohwo</w:t>
      </w:r>
      <w:proofErr w:type="spellEnd"/>
      <w:r w:rsidRPr="0063129D">
        <w:t xml:space="preserve"> M, Ebeye A. Study of the cranial (cephalic) and facial (</w:t>
      </w:r>
      <w:proofErr w:type="spellStart"/>
      <w:r w:rsidRPr="0063129D">
        <w:t>prosopic</w:t>
      </w:r>
      <w:proofErr w:type="spellEnd"/>
      <w:r w:rsidRPr="0063129D">
        <w:t xml:space="preserve">) indexes of </w:t>
      </w:r>
      <w:proofErr w:type="spellStart"/>
      <w:r w:rsidRPr="0063129D">
        <w:t>Ukwuani</w:t>
      </w:r>
      <w:proofErr w:type="spellEnd"/>
      <w:r w:rsidRPr="0063129D">
        <w:t xml:space="preserve"> indigenes in Nigeria. Ann Bioanthropol. 2016;4(2):71</w:t>
      </w:r>
      <w:r w:rsidR="007F0A0A">
        <w:t>-</w:t>
      </w:r>
      <w:r w:rsidRPr="0063129D">
        <w:t xml:space="preserve">74. doi:10.4103/2315-7992.204686. </w:t>
      </w:r>
    </w:p>
    <w:p w14:paraId="5833BBE2" w14:textId="15E95621" w:rsidR="0063129D" w:rsidRDefault="0063129D" w:rsidP="006C23EE">
      <w:pPr>
        <w:pStyle w:val="ListParagraph"/>
        <w:numPr>
          <w:ilvl w:val="0"/>
          <w:numId w:val="13"/>
        </w:numPr>
        <w:tabs>
          <w:tab w:val="left" w:pos="630"/>
        </w:tabs>
        <w:jc w:val="both"/>
      </w:pPr>
      <w:proofErr w:type="spellStart"/>
      <w:r w:rsidRPr="0063129D">
        <w:t>Naranje</w:t>
      </w:r>
      <w:proofErr w:type="spellEnd"/>
      <w:r w:rsidRPr="0063129D">
        <w:t xml:space="preserve"> SM, Mittal R, Saini R. Carpal height ratio and revised carpal height ratio: a radiographic study. J Clin </w:t>
      </w:r>
      <w:proofErr w:type="spellStart"/>
      <w:r w:rsidRPr="0063129D">
        <w:t>Orthop</w:t>
      </w:r>
      <w:proofErr w:type="spellEnd"/>
      <w:r w:rsidRPr="0063129D">
        <w:t xml:space="preserve"> Trauma. 2016;7(4):245</w:t>
      </w:r>
      <w:r w:rsidR="007F0A0A">
        <w:t>-</w:t>
      </w:r>
      <w:r w:rsidRPr="0063129D">
        <w:t>249.</w:t>
      </w:r>
    </w:p>
    <w:p w14:paraId="460BDBF1" w14:textId="34BA7B3E" w:rsidR="0063129D" w:rsidRDefault="0063129D" w:rsidP="006C23EE">
      <w:pPr>
        <w:pStyle w:val="ListParagraph"/>
        <w:numPr>
          <w:ilvl w:val="0"/>
          <w:numId w:val="13"/>
        </w:numPr>
        <w:tabs>
          <w:tab w:val="left" w:pos="630"/>
        </w:tabs>
        <w:jc w:val="both"/>
      </w:pPr>
      <w:r w:rsidRPr="0063129D">
        <w:t>Chung KC, Petruska EA, Kozin SH. Carpal height ratio revisited: its clinical relevance in rheumatoid arthritis. J Hand Surg Am. 2000;25(6):1129</w:t>
      </w:r>
      <w:r w:rsidR="007F0A0A">
        <w:t>-</w:t>
      </w:r>
      <w:r w:rsidRPr="0063129D">
        <w:t>1135.</w:t>
      </w:r>
    </w:p>
    <w:p w14:paraId="4BF66F1D" w14:textId="14DC9B45" w:rsidR="0063129D" w:rsidRDefault="0063129D" w:rsidP="006C23EE">
      <w:pPr>
        <w:pStyle w:val="ListParagraph"/>
        <w:numPr>
          <w:ilvl w:val="0"/>
          <w:numId w:val="13"/>
        </w:numPr>
        <w:tabs>
          <w:tab w:val="left" w:pos="630"/>
        </w:tabs>
        <w:jc w:val="both"/>
      </w:pPr>
      <w:r w:rsidRPr="0063129D">
        <w:t>Ward CM, Kuhl TL, Adams BD. Total wrist arthrodesis in patients with rheumatoid arthritis: outcomes and complications. J Hand Surg Am. 2011;36(8):1355</w:t>
      </w:r>
      <w:r w:rsidR="007F0A0A">
        <w:t>-</w:t>
      </w:r>
      <w:r w:rsidRPr="0063129D">
        <w:t xml:space="preserve">1360. </w:t>
      </w:r>
      <w:proofErr w:type="gramStart"/>
      <w:r w:rsidRPr="0063129D">
        <w:t>doi:10.1016/j.jhsa</w:t>
      </w:r>
      <w:proofErr w:type="gramEnd"/>
      <w:r w:rsidRPr="0063129D">
        <w:t>.2011.05.003.</w:t>
      </w:r>
    </w:p>
    <w:p w14:paraId="388F3848" w14:textId="42CEF919" w:rsidR="0063129D" w:rsidRDefault="0063129D" w:rsidP="006C23EE">
      <w:pPr>
        <w:pStyle w:val="ListParagraph"/>
        <w:numPr>
          <w:ilvl w:val="0"/>
          <w:numId w:val="13"/>
        </w:numPr>
        <w:tabs>
          <w:tab w:val="left" w:pos="630"/>
        </w:tabs>
        <w:jc w:val="both"/>
      </w:pPr>
      <w:r w:rsidRPr="0063129D">
        <w:t>Abdel-Malek AK, Ahmed AM, el-</w:t>
      </w:r>
      <w:proofErr w:type="spellStart"/>
      <w:r w:rsidRPr="0063129D">
        <w:t>Sharkawi</w:t>
      </w:r>
      <w:proofErr w:type="spellEnd"/>
      <w:r w:rsidRPr="0063129D">
        <w:t xml:space="preserve"> SA, el-Shahed GS. Sexual dimorphism of hand measurements in Egyptian population. Hum Biol. 1990;62(3):435</w:t>
      </w:r>
      <w:r w:rsidR="007F0A0A">
        <w:t>-</w:t>
      </w:r>
      <w:r w:rsidRPr="0063129D">
        <w:t>445.</w:t>
      </w:r>
    </w:p>
    <w:p w14:paraId="3753E1E8" w14:textId="71B0564C" w:rsidR="0063129D" w:rsidRDefault="0063129D" w:rsidP="006C23EE">
      <w:pPr>
        <w:pStyle w:val="ListParagraph"/>
        <w:numPr>
          <w:ilvl w:val="0"/>
          <w:numId w:val="13"/>
        </w:numPr>
        <w:tabs>
          <w:tab w:val="left" w:pos="630"/>
        </w:tabs>
        <w:jc w:val="both"/>
      </w:pPr>
      <w:proofErr w:type="spellStart"/>
      <w:r w:rsidRPr="0063129D">
        <w:t>Ibegbu</w:t>
      </w:r>
      <w:proofErr w:type="spellEnd"/>
      <w:r w:rsidRPr="0063129D">
        <w:t xml:space="preserve"> AO, </w:t>
      </w:r>
      <w:proofErr w:type="spellStart"/>
      <w:r w:rsidRPr="0063129D">
        <w:t>Danborno</w:t>
      </w:r>
      <w:proofErr w:type="spellEnd"/>
      <w:r w:rsidRPr="0063129D">
        <w:t xml:space="preserve"> B, </w:t>
      </w:r>
      <w:proofErr w:type="spellStart"/>
      <w:r w:rsidRPr="0063129D">
        <w:t>Igwenagu</w:t>
      </w:r>
      <w:proofErr w:type="spellEnd"/>
      <w:r w:rsidRPr="0063129D">
        <w:t xml:space="preserve"> E, Hamman WO, Musa SA. Hand and foot dimensions in Nigerians: their relationship to height. Ann Bioanthropol. 2013;1(1):46</w:t>
      </w:r>
      <w:r w:rsidR="007F0A0A">
        <w:t>-</w:t>
      </w:r>
      <w:r w:rsidRPr="0063129D">
        <w:t>54.</w:t>
      </w:r>
    </w:p>
    <w:p w14:paraId="4B132084" w14:textId="2E60BDAC" w:rsidR="0063129D" w:rsidRDefault="0063129D" w:rsidP="006C23EE">
      <w:pPr>
        <w:pStyle w:val="ListParagraph"/>
        <w:numPr>
          <w:ilvl w:val="0"/>
          <w:numId w:val="13"/>
        </w:numPr>
        <w:tabs>
          <w:tab w:val="left" w:pos="630"/>
        </w:tabs>
        <w:jc w:val="both"/>
      </w:pPr>
      <w:proofErr w:type="spellStart"/>
      <w:r w:rsidRPr="0063129D">
        <w:t>Vaezi</w:t>
      </w:r>
      <w:proofErr w:type="spellEnd"/>
      <w:r w:rsidRPr="0063129D">
        <w:t xml:space="preserve"> T, </w:t>
      </w:r>
      <w:proofErr w:type="spellStart"/>
      <w:r w:rsidRPr="0063129D">
        <w:t>Ghayyem</w:t>
      </w:r>
      <w:proofErr w:type="spellEnd"/>
      <w:r w:rsidRPr="0063129D">
        <w:t xml:space="preserve"> </w:t>
      </w:r>
      <w:proofErr w:type="spellStart"/>
      <w:r w:rsidRPr="0063129D">
        <w:t>Hassankhani</w:t>
      </w:r>
      <w:proofErr w:type="spellEnd"/>
      <w:r w:rsidRPr="0063129D">
        <w:t xml:space="preserve"> G, Ebrahimzadeh MH, Moradi A. Evaluation of normal ranges of wrist radiologic indexes in Mashhad population. Arch Bone </w:t>
      </w:r>
      <w:proofErr w:type="spellStart"/>
      <w:r w:rsidRPr="0063129D">
        <w:t>Jt</w:t>
      </w:r>
      <w:proofErr w:type="spellEnd"/>
      <w:r w:rsidRPr="0063129D">
        <w:t xml:space="preserve"> Surg. 2017;5(6):451</w:t>
      </w:r>
      <w:r w:rsidR="007F0A0A">
        <w:t>-</w:t>
      </w:r>
      <w:r w:rsidRPr="0063129D">
        <w:t>458. doi:10.22038/abjs.2017.22865.1604</w:t>
      </w:r>
    </w:p>
    <w:p w14:paraId="2933972F" w14:textId="0C282949" w:rsidR="006C23EE" w:rsidRDefault="006C23EE" w:rsidP="006C23EE">
      <w:pPr>
        <w:pStyle w:val="ListParagraph"/>
        <w:numPr>
          <w:ilvl w:val="0"/>
          <w:numId w:val="13"/>
        </w:numPr>
        <w:tabs>
          <w:tab w:val="left" w:pos="630"/>
        </w:tabs>
        <w:jc w:val="both"/>
      </w:pPr>
      <w:r w:rsidRPr="00F217C4">
        <w:t xml:space="preserve">Rabie, H., </w:t>
      </w:r>
      <w:proofErr w:type="spellStart"/>
      <w:r w:rsidRPr="00F217C4">
        <w:t>Angelliaume</w:t>
      </w:r>
      <w:proofErr w:type="spellEnd"/>
      <w:r w:rsidRPr="00F217C4">
        <w:t>, A., Sharafi, M.H. &amp; Nabian, M.H.</w:t>
      </w:r>
      <w:r w:rsidR="00BD2FCA">
        <w:t xml:space="preserve"> </w:t>
      </w:r>
      <w:r w:rsidRPr="00F217C4">
        <w:t xml:space="preserve">A stepwise approach for interpretation of wrist X-ray: a practical guideline. Journal of Orthopedic and Spine Trauma, </w:t>
      </w:r>
      <w:r w:rsidR="00BD2FCA">
        <w:t xml:space="preserve">2018; </w:t>
      </w:r>
      <w:r w:rsidRPr="00F217C4">
        <w:t>4(2), 26</w:t>
      </w:r>
      <w:r w:rsidR="007F0A0A">
        <w:t>-</w:t>
      </w:r>
      <w:r w:rsidRPr="00F217C4">
        <w:t>31.</w:t>
      </w:r>
    </w:p>
    <w:p w14:paraId="759C1B60" w14:textId="3DF38E5E" w:rsidR="0063129D" w:rsidRDefault="0063129D" w:rsidP="006C23EE">
      <w:pPr>
        <w:pStyle w:val="ListParagraph"/>
        <w:numPr>
          <w:ilvl w:val="0"/>
          <w:numId w:val="13"/>
        </w:numPr>
        <w:tabs>
          <w:tab w:val="left" w:pos="630"/>
        </w:tabs>
        <w:jc w:val="both"/>
      </w:pPr>
      <w:proofErr w:type="spellStart"/>
      <w:r w:rsidRPr="0063129D">
        <w:t>Vaezi</w:t>
      </w:r>
      <w:proofErr w:type="spellEnd"/>
      <w:r w:rsidRPr="0063129D">
        <w:t xml:space="preserve"> T, </w:t>
      </w:r>
      <w:proofErr w:type="spellStart"/>
      <w:r w:rsidRPr="0063129D">
        <w:t>Ghayyem</w:t>
      </w:r>
      <w:proofErr w:type="spellEnd"/>
      <w:r w:rsidRPr="0063129D">
        <w:t xml:space="preserve"> </w:t>
      </w:r>
      <w:proofErr w:type="spellStart"/>
      <w:r w:rsidRPr="0063129D">
        <w:t>Hassankhani</w:t>
      </w:r>
      <w:proofErr w:type="spellEnd"/>
      <w:r w:rsidRPr="0063129D">
        <w:t xml:space="preserve"> G, Ebrahimzadeh MH, Moradi A. Evaluation of normal ranges of wrist radiologic indexes in Mashhad population. Arch Bone </w:t>
      </w:r>
      <w:proofErr w:type="spellStart"/>
      <w:r w:rsidRPr="0063129D">
        <w:t>Jt</w:t>
      </w:r>
      <w:proofErr w:type="spellEnd"/>
      <w:r w:rsidRPr="0063129D">
        <w:t xml:space="preserve"> Surg. 2017;5(6):451</w:t>
      </w:r>
      <w:r w:rsidR="007F0A0A">
        <w:t>-</w:t>
      </w:r>
      <w:r w:rsidRPr="0063129D">
        <w:t>458. doi:10.22038/abjs.2017.22865.1604.</w:t>
      </w:r>
    </w:p>
    <w:p w14:paraId="5D09681E" w14:textId="6FB10866" w:rsidR="006C23EE" w:rsidRDefault="006C23EE" w:rsidP="006C23EE">
      <w:pPr>
        <w:pStyle w:val="ListParagraph"/>
        <w:numPr>
          <w:ilvl w:val="0"/>
          <w:numId w:val="13"/>
        </w:numPr>
        <w:tabs>
          <w:tab w:val="left" w:pos="630"/>
        </w:tabs>
        <w:jc w:val="both"/>
      </w:pPr>
      <w:r w:rsidRPr="00366348">
        <w:t>Fife Virtual Hand Clinic. Scapholunate ligament injuries. (Accessed 13 June 2025)</w:t>
      </w:r>
      <w:r w:rsidR="00BD2FCA">
        <w:t>, 2023.</w:t>
      </w:r>
      <w:r>
        <w:t xml:space="preserve"> </w:t>
      </w:r>
    </w:p>
    <w:p w14:paraId="68CB0E27" w14:textId="66619162" w:rsidR="006C23EE" w:rsidRDefault="006C23EE" w:rsidP="006C23EE">
      <w:pPr>
        <w:pStyle w:val="ListParagraph"/>
        <w:numPr>
          <w:ilvl w:val="0"/>
          <w:numId w:val="13"/>
        </w:numPr>
        <w:tabs>
          <w:tab w:val="left" w:pos="630"/>
        </w:tabs>
        <w:jc w:val="both"/>
      </w:pPr>
      <w:proofErr w:type="spellStart"/>
      <w:r w:rsidRPr="00236A8B">
        <w:t>Ominde</w:t>
      </w:r>
      <w:proofErr w:type="spellEnd"/>
      <w:r w:rsidRPr="00236A8B">
        <w:t xml:space="preserve"> BS, </w:t>
      </w:r>
      <w:proofErr w:type="spellStart"/>
      <w:r w:rsidRPr="00236A8B">
        <w:t>Enakpoya</w:t>
      </w:r>
      <w:proofErr w:type="spellEnd"/>
      <w:r w:rsidRPr="00236A8B">
        <w:t xml:space="preserve"> P, </w:t>
      </w:r>
      <w:proofErr w:type="spellStart"/>
      <w:r w:rsidRPr="00236A8B">
        <w:t>Ogheneyoma</w:t>
      </w:r>
      <w:proofErr w:type="spellEnd"/>
      <w:r w:rsidRPr="00236A8B">
        <w:t xml:space="preserve"> E, </w:t>
      </w:r>
      <w:proofErr w:type="spellStart"/>
      <w:r w:rsidRPr="00236A8B">
        <w:t>Igbigbi</w:t>
      </w:r>
      <w:proofErr w:type="spellEnd"/>
      <w:r w:rsidRPr="00236A8B">
        <w:t xml:space="preserve"> PS. Retrospective Study on the Radiographic Wrist Indices in a Nigerian Population. Online J Health Allied </w:t>
      </w:r>
      <w:proofErr w:type="spellStart"/>
      <w:r w:rsidRPr="00236A8B">
        <w:t>Scs</w:t>
      </w:r>
      <w:proofErr w:type="spellEnd"/>
      <w:r w:rsidR="00BD2FCA">
        <w:t>,</w:t>
      </w:r>
      <w:r w:rsidRPr="00236A8B">
        <w:t xml:space="preserve"> 2022;21(2):12.</w:t>
      </w:r>
      <w:r>
        <w:t xml:space="preserve"> </w:t>
      </w:r>
    </w:p>
    <w:p w14:paraId="2392B315" w14:textId="77777777" w:rsidR="0063129D" w:rsidRDefault="0063129D" w:rsidP="00344643">
      <w:pPr>
        <w:pStyle w:val="ListParagraph"/>
        <w:numPr>
          <w:ilvl w:val="0"/>
          <w:numId w:val="13"/>
        </w:numPr>
        <w:tabs>
          <w:tab w:val="left" w:pos="630"/>
        </w:tabs>
        <w:jc w:val="both"/>
      </w:pPr>
      <w:r w:rsidRPr="0063129D">
        <w:t xml:space="preserve">Al Shammari M, Hassan A, Al </w:t>
      </w:r>
      <w:proofErr w:type="spellStart"/>
      <w:r w:rsidRPr="0063129D">
        <w:t>Dandan</w:t>
      </w:r>
      <w:proofErr w:type="spellEnd"/>
      <w:r w:rsidRPr="0063129D">
        <w:t xml:space="preserve"> O, Al </w:t>
      </w:r>
      <w:proofErr w:type="spellStart"/>
      <w:r w:rsidRPr="0063129D">
        <w:t>Gadeeb</w:t>
      </w:r>
      <w:proofErr w:type="spellEnd"/>
      <w:r w:rsidRPr="0063129D">
        <w:t xml:space="preserve"> M, </w:t>
      </w:r>
      <w:proofErr w:type="spellStart"/>
      <w:r w:rsidRPr="0063129D">
        <w:t>Bubshait</w:t>
      </w:r>
      <w:proofErr w:type="spellEnd"/>
      <w:r w:rsidRPr="0063129D">
        <w:t xml:space="preserve"> D. Musculoskeletal symptoms among radiologists in Saudi Arabia: a multi-center cross-sectional study. BMC </w:t>
      </w:r>
      <w:proofErr w:type="spellStart"/>
      <w:r w:rsidRPr="0063129D">
        <w:t>Musculoskelet</w:t>
      </w:r>
      <w:proofErr w:type="spellEnd"/>
      <w:r w:rsidRPr="0063129D">
        <w:t xml:space="preserve"> </w:t>
      </w:r>
      <w:proofErr w:type="spellStart"/>
      <w:r w:rsidRPr="0063129D">
        <w:t>Disord</w:t>
      </w:r>
      <w:proofErr w:type="spellEnd"/>
      <w:r w:rsidRPr="0063129D">
        <w:t xml:space="preserve">. </w:t>
      </w:r>
      <w:proofErr w:type="gramStart"/>
      <w:r w:rsidRPr="0063129D">
        <w:t>2019;20:541</w:t>
      </w:r>
      <w:proofErr w:type="gramEnd"/>
      <w:r w:rsidRPr="0063129D">
        <w:t>. doi:10.1186/s12891-019-2933-1.</w:t>
      </w:r>
    </w:p>
    <w:p w14:paraId="2366930C" w14:textId="5BB3B37E" w:rsidR="0063129D" w:rsidRDefault="0063129D" w:rsidP="00344643">
      <w:pPr>
        <w:pStyle w:val="ListParagraph"/>
        <w:numPr>
          <w:ilvl w:val="0"/>
          <w:numId w:val="13"/>
        </w:numPr>
        <w:tabs>
          <w:tab w:val="left" w:pos="630"/>
        </w:tabs>
        <w:jc w:val="both"/>
      </w:pPr>
      <w:r w:rsidRPr="0063129D">
        <w:lastRenderedPageBreak/>
        <w:t>Allen KD, Golightly YM, Helmick CG, Renner JB, Jordan JM. Race, age, gender, and body mass index associations with musculoskeletal pain in the joints of the upper extremities: the Johnston County Osteoarthritis Project. J Rheumatol. 2010;37(4):842</w:t>
      </w:r>
      <w:r w:rsidR="007F0A0A">
        <w:t>-</w:t>
      </w:r>
      <w:r w:rsidRPr="0063129D">
        <w:t>850. doi:10.3899/jrheum.090302.</w:t>
      </w:r>
    </w:p>
    <w:p w14:paraId="6B50CD0F" w14:textId="2741D3C9" w:rsidR="006C23EE" w:rsidRDefault="006C23EE" w:rsidP="00344643">
      <w:pPr>
        <w:pStyle w:val="ListParagraph"/>
        <w:numPr>
          <w:ilvl w:val="0"/>
          <w:numId w:val="13"/>
        </w:numPr>
        <w:tabs>
          <w:tab w:val="left" w:pos="630"/>
        </w:tabs>
        <w:jc w:val="both"/>
      </w:pPr>
      <w:r w:rsidRPr="005B1CC0">
        <w:t>Standring, S. (2021). Gray’s Anatomy: The Anatomical Basis of Clinical Practice (42nd ed.). Elsevier.</w:t>
      </w:r>
      <w:r>
        <w:t xml:space="preserve"> </w:t>
      </w:r>
    </w:p>
    <w:p w14:paraId="1D4D544B" w14:textId="648648E0" w:rsidR="0063129D" w:rsidRDefault="0063129D" w:rsidP="00344643">
      <w:pPr>
        <w:pStyle w:val="ListParagraph"/>
        <w:numPr>
          <w:ilvl w:val="0"/>
          <w:numId w:val="13"/>
        </w:numPr>
        <w:tabs>
          <w:tab w:val="left" w:pos="630"/>
        </w:tabs>
        <w:jc w:val="both"/>
      </w:pPr>
      <w:r w:rsidRPr="0063129D">
        <w:t>Joshi AA, Leahy RM, Badawi RD, Chaudhari AJ. Registration-based morphometry for shape analysis of the bones of the human wrist. IEEE Trans Med Imaging. 2016;35(2):416</w:t>
      </w:r>
      <w:r w:rsidR="007F0A0A">
        <w:t>-</w:t>
      </w:r>
      <w:r w:rsidRPr="0063129D">
        <w:t>426. doi:10.1109/TMI.2015.2476817.</w:t>
      </w:r>
    </w:p>
    <w:p w14:paraId="04084383" w14:textId="2C278014" w:rsidR="0063129D" w:rsidRDefault="0063129D" w:rsidP="00344643">
      <w:pPr>
        <w:pStyle w:val="ListParagraph"/>
        <w:numPr>
          <w:ilvl w:val="0"/>
          <w:numId w:val="13"/>
        </w:numPr>
        <w:tabs>
          <w:tab w:val="left" w:pos="630"/>
        </w:tabs>
        <w:jc w:val="both"/>
      </w:pPr>
      <w:r w:rsidRPr="0063129D">
        <w:t>Bhat AK, Pandey AK, Pai G, Raghavendra MS, Kumar MC, Singh SV. Normative data of carpal bone measurements in the sample adult Indian population. Indian J Plast Surg. 2024;57(4):278</w:t>
      </w:r>
      <w:r w:rsidR="007F0A0A">
        <w:t>-</w:t>
      </w:r>
      <w:r w:rsidRPr="0063129D">
        <w:t>286. doi:10.1055/s-0044-1787850.</w:t>
      </w:r>
    </w:p>
    <w:p w14:paraId="05B7A6A3" w14:textId="77777777" w:rsidR="0063129D" w:rsidRDefault="0063129D" w:rsidP="00344643">
      <w:pPr>
        <w:pStyle w:val="ListParagraph"/>
        <w:numPr>
          <w:ilvl w:val="0"/>
          <w:numId w:val="13"/>
        </w:numPr>
        <w:tabs>
          <w:tab w:val="left" w:pos="630"/>
        </w:tabs>
        <w:jc w:val="both"/>
      </w:pPr>
      <w:proofErr w:type="spellStart"/>
      <w:r w:rsidRPr="0063129D">
        <w:t>Benazzi</w:t>
      </w:r>
      <w:proofErr w:type="spellEnd"/>
      <w:r w:rsidRPr="0063129D">
        <w:t xml:space="preserve"> S, Sorrentino R, et al. Sexual dimorphism in the human talus using 3D geometric morphometrics. </w:t>
      </w:r>
      <w:proofErr w:type="spellStart"/>
      <w:r w:rsidRPr="0063129D">
        <w:t>PLoS</w:t>
      </w:r>
      <w:proofErr w:type="spellEnd"/>
      <w:r w:rsidRPr="0063129D">
        <w:t xml:space="preserve"> One. 2020;15(2</w:t>
      </w:r>
      <w:proofErr w:type="gramStart"/>
      <w:r w:rsidRPr="0063129D">
        <w:t>):e</w:t>
      </w:r>
      <w:proofErr w:type="gramEnd"/>
      <w:r w:rsidRPr="0063129D">
        <w:t xml:space="preserve">0229255. </w:t>
      </w:r>
      <w:proofErr w:type="gramStart"/>
      <w:r w:rsidRPr="0063129D">
        <w:t>doi:10.1371/journal.pone</w:t>
      </w:r>
      <w:proofErr w:type="gramEnd"/>
      <w:r w:rsidRPr="0063129D">
        <w:t>.0229255.</w:t>
      </w:r>
    </w:p>
    <w:p w14:paraId="45A5AE1F" w14:textId="1C92493F" w:rsidR="00F4343B" w:rsidRDefault="00F4343B" w:rsidP="00344643">
      <w:pPr>
        <w:pStyle w:val="ListParagraph"/>
        <w:numPr>
          <w:ilvl w:val="0"/>
          <w:numId w:val="13"/>
        </w:numPr>
        <w:tabs>
          <w:tab w:val="left" w:pos="630"/>
        </w:tabs>
        <w:jc w:val="both"/>
      </w:pPr>
      <w:r w:rsidRPr="00F4343B">
        <w:t xml:space="preserve">Krishan K, Kanchan T, DiMaggio JA. Skeletal sexual dimorphism: A review. J Forensic Leg Med. </w:t>
      </w:r>
      <w:proofErr w:type="gramStart"/>
      <w:r w:rsidRPr="00F4343B">
        <w:t>2016;44:43</w:t>
      </w:r>
      <w:proofErr w:type="gramEnd"/>
      <w:r w:rsidR="007F0A0A">
        <w:t>-</w:t>
      </w:r>
      <w:r w:rsidRPr="00F4343B">
        <w:t xml:space="preserve">49. </w:t>
      </w:r>
      <w:proofErr w:type="gramStart"/>
      <w:r w:rsidRPr="00F4343B">
        <w:t>doi:10.1016/j.jflm</w:t>
      </w:r>
      <w:proofErr w:type="gramEnd"/>
      <w:r w:rsidRPr="00F4343B">
        <w:t>.2016.09.006.</w:t>
      </w:r>
    </w:p>
    <w:p w14:paraId="11B16476" w14:textId="20A30472" w:rsidR="00F4343B" w:rsidRDefault="00F4343B" w:rsidP="00344643">
      <w:pPr>
        <w:pStyle w:val="ListParagraph"/>
        <w:numPr>
          <w:ilvl w:val="0"/>
          <w:numId w:val="13"/>
        </w:numPr>
        <w:tabs>
          <w:tab w:val="left" w:pos="630"/>
        </w:tabs>
        <w:jc w:val="both"/>
      </w:pPr>
      <w:r w:rsidRPr="00F4343B">
        <w:t>Berger RA. The anatomy of the scapholunate interosseous ligament and its relationship to wrist instability. J Hand Surg Am. 1996;21(4):577</w:t>
      </w:r>
      <w:r w:rsidR="007F0A0A">
        <w:t>-</w:t>
      </w:r>
      <w:r w:rsidRPr="00F4343B">
        <w:t>586. doi:10.1016/S0363-5023(96)80047-2.</w:t>
      </w:r>
    </w:p>
    <w:p w14:paraId="6FF15517" w14:textId="431B845B" w:rsidR="00344643" w:rsidRDefault="00344643" w:rsidP="00344643">
      <w:pPr>
        <w:pStyle w:val="ListParagraph"/>
        <w:numPr>
          <w:ilvl w:val="0"/>
          <w:numId w:val="13"/>
        </w:numPr>
        <w:tabs>
          <w:tab w:val="left" w:pos="630"/>
        </w:tabs>
        <w:jc w:val="both"/>
      </w:pPr>
      <w:r w:rsidRPr="00315333">
        <w:t>Moore, K. L., Dalley, A. F., &amp; Agur, A. M. Clinically Oriented Anatomy (8th ed.). Wolters Kluwer</w:t>
      </w:r>
      <w:r w:rsidR="0044748E">
        <w:t>, 2018.</w:t>
      </w:r>
      <w:r>
        <w:t xml:space="preserve"> </w:t>
      </w:r>
    </w:p>
    <w:p w14:paraId="3A7B6327" w14:textId="59D043E6" w:rsidR="00F4343B" w:rsidRDefault="00F4343B" w:rsidP="00344643">
      <w:pPr>
        <w:pStyle w:val="ListParagraph"/>
        <w:numPr>
          <w:ilvl w:val="0"/>
          <w:numId w:val="13"/>
        </w:numPr>
        <w:tabs>
          <w:tab w:val="left" w:pos="630"/>
        </w:tabs>
        <w:jc w:val="both"/>
      </w:pPr>
      <w:r w:rsidRPr="00F4343B">
        <w:t>Watson HK, Ballet FL. The SLAC wrist: scapholunate advanced collapse. J Hand Surg Am. 1984;9(3):358</w:t>
      </w:r>
      <w:r w:rsidR="007F0A0A">
        <w:t>-</w:t>
      </w:r>
      <w:r w:rsidRPr="00F4343B">
        <w:t>365.</w:t>
      </w:r>
    </w:p>
    <w:p w14:paraId="2C3C3908" w14:textId="0E324B32" w:rsidR="00344643" w:rsidRDefault="00344643" w:rsidP="00344643">
      <w:pPr>
        <w:pStyle w:val="ListParagraph"/>
        <w:numPr>
          <w:ilvl w:val="0"/>
          <w:numId w:val="13"/>
        </w:numPr>
        <w:tabs>
          <w:tab w:val="left" w:pos="630"/>
        </w:tabs>
        <w:jc w:val="both"/>
      </w:pPr>
      <w:r w:rsidRPr="00622DEF">
        <w:t xml:space="preserve">Resnick, D., &amp; </w:t>
      </w:r>
      <w:proofErr w:type="spellStart"/>
      <w:r w:rsidRPr="00622DEF">
        <w:t>Kransdorf</w:t>
      </w:r>
      <w:proofErr w:type="spellEnd"/>
      <w:r w:rsidRPr="00622DEF">
        <w:t>, M. J. Bone and Joint Imaging. Elsevier</w:t>
      </w:r>
      <w:r w:rsidR="0044748E">
        <w:t>, 2005.</w:t>
      </w:r>
      <w:r>
        <w:t xml:space="preserve"> </w:t>
      </w:r>
    </w:p>
    <w:p w14:paraId="297B6318" w14:textId="47AF3570" w:rsidR="00F4343B" w:rsidRDefault="00F4343B" w:rsidP="00344643">
      <w:pPr>
        <w:pStyle w:val="ListParagraph"/>
        <w:numPr>
          <w:ilvl w:val="0"/>
          <w:numId w:val="13"/>
        </w:numPr>
        <w:tabs>
          <w:tab w:val="left" w:pos="630"/>
        </w:tabs>
        <w:jc w:val="both"/>
      </w:pPr>
      <w:proofErr w:type="spellStart"/>
      <w:r w:rsidRPr="00F4343B">
        <w:t>Vaezi</w:t>
      </w:r>
      <w:proofErr w:type="spellEnd"/>
      <w:r w:rsidRPr="00F4343B">
        <w:t xml:space="preserve"> T, </w:t>
      </w:r>
      <w:proofErr w:type="spellStart"/>
      <w:r w:rsidRPr="00F4343B">
        <w:t>Ghayyem</w:t>
      </w:r>
      <w:proofErr w:type="spellEnd"/>
      <w:r w:rsidRPr="00F4343B">
        <w:t xml:space="preserve"> </w:t>
      </w:r>
      <w:proofErr w:type="spellStart"/>
      <w:r w:rsidRPr="00F4343B">
        <w:t>Hassankhani</w:t>
      </w:r>
      <w:proofErr w:type="spellEnd"/>
      <w:r w:rsidRPr="00F4343B">
        <w:t xml:space="preserve"> G, Ebrahimzadeh MH, Moradi A. Evaluation of normal ranges of wrist radiologic indexes in Mashhad population. Arch Bone </w:t>
      </w:r>
      <w:proofErr w:type="spellStart"/>
      <w:r w:rsidRPr="00F4343B">
        <w:t>Jt</w:t>
      </w:r>
      <w:proofErr w:type="spellEnd"/>
      <w:r w:rsidRPr="00F4343B">
        <w:t xml:space="preserve"> Surg. 2017;5(6):451</w:t>
      </w:r>
      <w:r w:rsidR="007F0A0A">
        <w:t>-</w:t>
      </w:r>
      <w:r w:rsidRPr="00F4343B">
        <w:t>458. doi:10.22038/abjs.2017.22865.1604.</w:t>
      </w:r>
    </w:p>
    <w:p w14:paraId="4569E2F5" w14:textId="06A5BA9C" w:rsidR="00F4343B" w:rsidRDefault="00F4343B" w:rsidP="00344643">
      <w:pPr>
        <w:pStyle w:val="ListParagraph"/>
        <w:numPr>
          <w:ilvl w:val="0"/>
          <w:numId w:val="13"/>
        </w:numPr>
        <w:tabs>
          <w:tab w:val="left" w:pos="630"/>
        </w:tabs>
        <w:jc w:val="both"/>
      </w:pPr>
      <w:proofErr w:type="spellStart"/>
      <w:r w:rsidRPr="00F4343B">
        <w:t>Vaezi</w:t>
      </w:r>
      <w:proofErr w:type="spellEnd"/>
      <w:r w:rsidRPr="00F4343B">
        <w:t xml:space="preserve"> T, </w:t>
      </w:r>
      <w:proofErr w:type="spellStart"/>
      <w:r w:rsidRPr="00F4343B">
        <w:t>Ghayyem</w:t>
      </w:r>
      <w:proofErr w:type="spellEnd"/>
      <w:r w:rsidRPr="00F4343B">
        <w:t xml:space="preserve"> </w:t>
      </w:r>
      <w:proofErr w:type="spellStart"/>
      <w:r w:rsidRPr="00F4343B">
        <w:t>Hassankhani</w:t>
      </w:r>
      <w:proofErr w:type="spellEnd"/>
      <w:r w:rsidRPr="00F4343B">
        <w:t xml:space="preserve"> G, Ebrahimzadeh MH, Moradi A. Evaluation of normal ranges of wrist radiologic indexes in Mashhad population. Arch Bone </w:t>
      </w:r>
      <w:proofErr w:type="spellStart"/>
      <w:r w:rsidRPr="00F4343B">
        <w:t>Jt</w:t>
      </w:r>
      <w:proofErr w:type="spellEnd"/>
      <w:r w:rsidRPr="00F4343B">
        <w:t xml:space="preserve"> Surg. 2017;5(6):451</w:t>
      </w:r>
      <w:r w:rsidR="007F0A0A">
        <w:t>-</w:t>
      </w:r>
      <w:r w:rsidRPr="00F4343B">
        <w:t>458. doi:10.22038/abjs.2017.22865.1604.</w:t>
      </w:r>
    </w:p>
    <w:p w14:paraId="7CF77FD6" w14:textId="77777777" w:rsidR="00F4343B" w:rsidRDefault="00F4343B" w:rsidP="00344643">
      <w:pPr>
        <w:pStyle w:val="ListParagraph"/>
        <w:numPr>
          <w:ilvl w:val="0"/>
          <w:numId w:val="13"/>
        </w:numPr>
        <w:tabs>
          <w:tab w:val="left" w:pos="630"/>
        </w:tabs>
        <w:jc w:val="both"/>
      </w:pPr>
      <w:r w:rsidRPr="00F4343B">
        <w:t xml:space="preserve">Wagner J, </w:t>
      </w:r>
      <w:proofErr w:type="spellStart"/>
      <w:r w:rsidRPr="00F4343B">
        <w:t>Dallaudière</w:t>
      </w:r>
      <w:proofErr w:type="spellEnd"/>
      <w:r w:rsidRPr="00F4343B">
        <w:t xml:space="preserve"> B, et al. Age-related changes in wrist morphology: MRI-based analysis. Skeletal </w:t>
      </w:r>
      <w:proofErr w:type="spellStart"/>
      <w:r w:rsidRPr="00F4343B">
        <w:t>Radiol</w:t>
      </w:r>
      <w:proofErr w:type="spellEnd"/>
      <w:r w:rsidRPr="00F4343B">
        <w:t>. 2017;46(3):345–353. doi:10.1007/s00256-016-2512-3.</w:t>
      </w:r>
    </w:p>
    <w:p w14:paraId="5D27AE98" w14:textId="2A99B159" w:rsidR="00F4343B" w:rsidRDefault="00F4343B" w:rsidP="00344643">
      <w:pPr>
        <w:pStyle w:val="ListParagraph"/>
        <w:numPr>
          <w:ilvl w:val="0"/>
          <w:numId w:val="13"/>
        </w:numPr>
        <w:tabs>
          <w:tab w:val="left" w:pos="630"/>
        </w:tabs>
        <w:jc w:val="both"/>
      </w:pPr>
      <w:r w:rsidRPr="00F4343B">
        <w:t>Garcia-Elias M, Lluch AL, Stanley JK. Biomechanics of the carpus: implications for surgical reconstruction. Hand Clin. 2006;22(2):153</w:t>
      </w:r>
      <w:r w:rsidR="007F0A0A">
        <w:t>-</w:t>
      </w:r>
      <w:r w:rsidRPr="00F4343B">
        <w:t xml:space="preserve">165. </w:t>
      </w:r>
      <w:proofErr w:type="gramStart"/>
      <w:r w:rsidRPr="00F4343B">
        <w:t>doi:10.1016/j.hcl</w:t>
      </w:r>
      <w:proofErr w:type="gramEnd"/>
      <w:r w:rsidRPr="00F4343B">
        <w:t>.2006.02.003.</w:t>
      </w:r>
    </w:p>
    <w:p w14:paraId="006E1764" w14:textId="77777777" w:rsidR="00F4343B" w:rsidRDefault="00F4343B" w:rsidP="00344643">
      <w:pPr>
        <w:pStyle w:val="ListParagraph"/>
        <w:numPr>
          <w:ilvl w:val="0"/>
          <w:numId w:val="13"/>
        </w:numPr>
        <w:tabs>
          <w:tab w:val="left" w:pos="630"/>
        </w:tabs>
        <w:jc w:val="both"/>
      </w:pPr>
      <w:r w:rsidRPr="00F4343B">
        <w:t>Wolfe SW, Hotchkiss RN, Pederson WC, Kozin SH, editors. Green’s Operative Hand Surgery. 7th ed. Philadelphia: Elsevier; 2012.</w:t>
      </w:r>
    </w:p>
    <w:p w14:paraId="5B78DB7B" w14:textId="0C17F118" w:rsidR="00F4343B" w:rsidRPr="00F4343B" w:rsidRDefault="00F4343B" w:rsidP="00F4343B">
      <w:pPr>
        <w:pStyle w:val="ListParagraph"/>
        <w:numPr>
          <w:ilvl w:val="0"/>
          <w:numId w:val="13"/>
        </w:numPr>
        <w:spacing w:before="100" w:beforeAutospacing="1" w:after="100" w:afterAutospacing="1" w:line="240" w:lineRule="auto"/>
        <w:jc w:val="both"/>
        <w:rPr>
          <w:rFonts w:eastAsia="Times New Roman"/>
          <w:sz w:val="24"/>
          <w:szCs w:val="24"/>
        </w:rPr>
      </w:pPr>
      <w:r w:rsidRPr="00F4343B">
        <w:rPr>
          <w:rFonts w:eastAsia="Times New Roman"/>
          <w:sz w:val="24"/>
          <w:szCs w:val="24"/>
        </w:rPr>
        <w:t>Krishan K, Kanchan T. Anthropometry and forensic identification: sex estimation. Forensic Sci Int. 2013;222(1</w:t>
      </w:r>
      <w:r w:rsidR="007F0A0A">
        <w:rPr>
          <w:rFonts w:eastAsia="Times New Roman"/>
          <w:sz w:val="24"/>
          <w:szCs w:val="24"/>
        </w:rPr>
        <w:t>-</w:t>
      </w:r>
      <w:r w:rsidRPr="00F4343B">
        <w:rPr>
          <w:rFonts w:eastAsia="Times New Roman"/>
          <w:sz w:val="24"/>
          <w:szCs w:val="24"/>
        </w:rPr>
        <w:t>3</w:t>
      </w:r>
      <w:proofErr w:type="gramStart"/>
      <w:r w:rsidRPr="00F4343B">
        <w:rPr>
          <w:rFonts w:eastAsia="Times New Roman"/>
          <w:sz w:val="24"/>
          <w:szCs w:val="24"/>
        </w:rPr>
        <w:t>):165.e</w:t>
      </w:r>
      <w:proofErr w:type="gramEnd"/>
      <w:r w:rsidRPr="00F4343B">
        <w:rPr>
          <w:rFonts w:eastAsia="Times New Roman"/>
          <w:sz w:val="24"/>
          <w:szCs w:val="24"/>
        </w:rPr>
        <w:t>1</w:t>
      </w:r>
      <w:r w:rsidR="007F0A0A">
        <w:rPr>
          <w:rFonts w:eastAsia="Times New Roman"/>
          <w:sz w:val="24"/>
          <w:szCs w:val="24"/>
        </w:rPr>
        <w:t>-</w:t>
      </w:r>
      <w:r w:rsidRPr="00F4343B">
        <w:rPr>
          <w:rFonts w:eastAsia="Times New Roman"/>
          <w:sz w:val="24"/>
          <w:szCs w:val="24"/>
        </w:rPr>
        <w:t xml:space="preserve">165.e13. </w:t>
      </w:r>
      <w:proofErr w:type="gramStart"/>
      <w:r w:rsidRPr="00F4343B">
        <w:rPr>
          <w:rFonts w:eastAsia="Times New Roman"/>
          <w:sz w:val="24"/>
          <w:szCs w:val="24"/>
        </w:rPr>
        <w:t>doi:10.1016/j.forsciint</w:t>
      </w:r>
      <w:proofErr w:type="gramEnd"/>
      <w:r w:rsidRPr="00F4343B">
        <w:rPr>
          <w:rFonts w:eastAsia="Times New Roman"/>
          <w:sz w:val="24"/>
          <w:szCs w:val="24"/>
        </w:rPr>
        <w:t>.2012.08.018.</w:t>
      </w:r>
    </w:p>
    <w:p w14:paraId="294A439B" w14:textId="57573572" w:rsidR="00F4343B" w:rsidRDefault="00F4343B" w:rsidP="00344643">
      <w:pPr>
        <w:pStyle w:val="ListParagraph"/>
        <w:numPr>
          <w:ilvl w:val="0"/>
          <w:numId w:val="13"/>
        </w:numPr>
        <w:tabs>
          <w:tab w:val="left" w:pos="630"/>
        </w:tabs>
        <w:jc w:val="both"/>
      </w:pPr>
      <w:r w:rsidRPr="00F4343B">
        <w:t>Krishan K, Kanchan T, Garg AK. Sex determination from hand and foot dimensions in a North Indian population. J Forensic Leg Med. 2011;18(5):207</w:t>
      </w:r>
      <w:r w:rsidR="007F0A0A">
        <w:t>-</w:t>
      </w:r>
      <w:r w:rsidRPr="00F4343B">
        <w:t xml:space="preserve">213. </w:t>
      </w:r>
      <w:proofErr w:type="gramStart"/>
      <w:r w:rsidRPr="00F4343B">
        <w:t>doi:10.1016/j.jflm</w:t>
      </w:r>
      <w:proofErr w:type="gramEnd"/>
      <w:r w:rsidRPr="00F4343B">
        <w:t>.2011.04.006.</w:t>
      </w:r>
    </w:p>
    <w:p w14:paraId="709C4B9D" w14:textId="77777777" w:rsidR="00F4343B" w:rsidRDefault="00F4343B" w:rsidP="00344643">
      <w:pPr>
        <w:pStyle w:val="ListParagraph"/>
        <w:numPr>
          <w:ilvl w:val="0"/>
          <w:numId w:val="13"/>
        </w:numPr>
        <w:tabs>
          <w:tab w:val="left" w:pos="630"/>
        </w:tabs>
        <w:jc w:val="both"/>
      </w:pPr>
      <w:proofErr w:type="spellStart"/>
      <w:r w:rsidRPr="00F4343B">
        <w:t>Krogman</w:t>
      </w:r>
      <w:proofErr w:type="spellEnd"/>
      <w:r w:rsidRPr="00F4343B">
        <w:t xml:space="preserve"> WM, </w:t>
      </w:r>
      <w:proofErr w:type="spellStart"/>
      <w:r w:rsidRPr="00F4343B">
        <w:t>İşcan</w:t>
      </w:r>
      <w:proofErr w:type="spellEnd"/>
      <w:r w:rsidRPr="00F4343B">
        <w:t xml:space="preserve"> MY. The human skeleton in forensic medicine. 2nd/3rd ed. Springfield (IL): Charles C Thomas; 1986.</w:t>
      </w:r>
    </w:p>
    <w:p w14:paraId="168184A6" w14:textId="3149A06D" w:rsidR="00344643" w:rsidRPr="00541A38" w:rsidRDefault="00344643" w:rsidP="00344643">
      <w:pPr>
        <w:pStyle w:val="ListParagraph"/>
        <w:numPr>
          <w:ilvl w:val="0"/>
          <w:numId w:val="13"/>
        </w:numPr>
        <w:tabs>
          <w:tab w:val="left" w:pos="630"/>
        </w:tabs>
        <w:jc w:val="both"/>
      </w:pPr>
      <w:r w:rsidRPr="00E6368E">
        <w:t xml:space="preserve">Weiss, A.-P. C., et al. Carpal instability and collapse patterns. Journal of Hand Surgery, </w:t>
      </w:r>
      <w:r w:rsidR="0044748E">
        <w:t xml:space="preserve">2017; </w:t>
      </w:r>
      <w:r w:rsidRPr="00E6368E">
        <w:t>42(3), 203</w:t>
      </w:r>
      <w:r w:rsidR="0044748E">
        <w:t>-</w:t>
      </w:r>
      <w:r w:rsidRPr="00E6368E">
        <w:t>213.</w:t>
      </w:r>
    </w:p>
    <w:p w14:paraId="1BCDEB9B" w14:textId="77777777" w:rsidR="006C23EE" w:rsidRPr="00541A38" w:rsidRDefault="006C23EE" w:rsidP="006C23EE">
      <w:pPr>
        <w:tabs>
          <w:tab w:val="left" w:pos="630"/>
        </w:tabs>
        <w:jc w:val="both"/>
      </w:pPr>
    </w:p>
    <w:sectPr w:rsidR="006C23EE" w:rsidRPr="00541A3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C5BC0" w14:textId="77777777" w:rsidR="003F1FDD" w:rsidRDefault="003F1FDD" w:rsidP="002A07FE">
      <w:pPr>
        <w:spacing w:after="0" w:line="240" w:lineRule="auto"/>
      </w:pPr>
      <w:r>
        <w:separator/>
      </w:r>
    </w:p>
  </w:endnote>
  <w:endnote w:type="continuationSeparator" w:id="0">
    <w:p w14:paraId="27D05FE1" w14:textId="77777777" w:rsidR="003F1FDD" w:rsidRDefault="003F1FDD" w:rsidP="002A0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BEE52" w14:textId="77777777" w:rsidR="005C25EF" w:rsidRDefault="005C25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2240742"/>
      <w:docPartObj>
        <w:docPartGallery w:val="Page Numbers (Bottom of Page)"/>
        <w:docPartUnique/>
      </w:docPartObj>
    </w:sdtPr>
    <w:sdtEndPr>
      <w:rPr>
        <w:noProof/>
      </w:rPr>
    </w:sdtEndPr>
    <w:sdtContent>
      <w:p w14:paraId="1A535D92" w14:textId="09C4E64E" w:rsidR="00D91D8C" w:rsidRDefault="00D91D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48E52D" w14:textId="77777777" w:rsidR="00D91D8C" w:rsidRDefault="00D91D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17863" w14:textId="77777777" w:rsidR="005C25EF" w:rsidRDefault="005C2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707CC" w14:textId="77777777" w:rsidR="003F1FDD" w:rsidRDefault="003F1FDD" w:rsidP="002A07FE">
      <w:pPr>
        <w:spacing w:after="0" w:line="240" w:lineRule="auto"/>
      </w:pPr>
      <w:r>
        <w:separator/>
      </w:r>
    </w:p>
  </w:footnote>
  <w:footnote w:type="continuationSeparator" w:id="0">
    <w:p w14:paraId="4129DF53" w14:textId="77777777" w:rsidR="003F1FDD" w:rsidRDefault="003F1FDD" w:rsidP="002A0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53264" w14:textId="5D595BA1" w:rsidR="005C25EF" w:rsidRDefault="006A6B64">
    <w:pPr>
      <w:pStyle w:val="Header"/>
    </w:pPr>
    <w:r>
      <w:rPr>
        <w:noProof/>
      </w:rPr>
      <w:pict w14:anchorId="345288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76320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5DB9C" w14:textId="2501ACF6" w:rsidR="005C25EF" w:rsidRDefault="006A6B64">
    <w:pPr>
      <w:pStyle w:val="Header"/>
    </w:pPr>
    <w:r>
      <w:rPr>
        <w:noProof/>
      </w:rPr>
      <w:pict w14:anchorId="1D88D2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76320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B8E67" w14:textId="7FDF7CE0" w:rsidR="005C25EF" w:rsidRDefault="006A6B64">
    <w:pPr>
      <w:pStyle w:val="Header"/>
    </w:pPr>
    <w:r>
      <w:rPr>
        <w:noProof/>
      </w:rPr>
      <w:pict w14:anchorId="7C1655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76320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80F16"/>
    <w:multiLevelType w:val="multilevel"/>
    <w:tmpl w:val="C5B43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07114F"/>
    <w:multiLevelType w:val="multilevel"/>
    <w:tmpl w:val="71CAB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73796"/>
    <w:multiLevelType w:val="hybridMultilevel"/>
    <w:tmpl w:val="A7E80D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172EC3"/>
    <w:multiLevelType w:val="hybridMultilevel"/>
    <w:tmpl w:val="4DD09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151EA0"/>
    <w:multiLevelType w:val="multilevel"/>
    <w:tmpl w:val="475C0F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675E38"/>
    <w:multiLevelType w:val="multilevel"/>
    <w:tmpl w:val="BE4A9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28037E"/>
    <w:multiLevelType w:val="multilevel"/>
    <w:tmpl w:val="5EE6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612382"/>
    <w:multiLevelType w:val="multilevel"/>
    <w:tmpl w:val="E89C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1A5C6D"/>
    <w:multiLevelType w:val="multilevel"/>
    <w:tmpl w:val="21D2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FD0B93"/>
    <w:multiLevelType w:val="multilevel"/>
    <w:tmpl w:val="6574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6A45FC"/>
    <w:multiLevelType w:val="multilevel"/>
    <w:tmpl w:val="3910A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EF3989"/>
    <w:multiLevelType w:val="multilevel"/>
    <w:tmpl w:val="D55A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774D96"/>
    <w:multiLevelType w:val="multilevel"/>
    <w:tmpl w:val="9836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7"/>
  </w:num>
  <w:num w:numId="4">
    <w:abstractNumId w:val="5"/>
  </w:num>
  <w:num w:numId="5">
    <w:abstractNumId w:val="12"/>
  </w:num>
  <w:num w:numId="6">
    <w:abstractNumId w:val="0"/>
  </w:num>
  <w:num w:numId="7">
    <w:abstractNumId w:val="9"/>
  </w:num>
  <w:num w:numId="8">
    <w:abstractNumId w:val="10"/>
  </w:num>
  <w:num w:numId="9">
    <w:abstractNumId w:val="8"/>
  </w:num>
  <w:num w:numId="10">
    <w:abstractNumId w:val="6"/>
  </w:num>
  <w:num w:numId="11">
    <w:abstractNumId w:val="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Y2NDIwNzExMjO1MDZT0lEKTi0uzszPAykwrAUA2tI5siwAAAA="/>
  </w:docVars>
  <w:rsids>
    <w:rsidRoot w:val="00352F2A"/>
    <w:rsid w:val="00061244"/>
    <w:rsid w:val="00077C17"/>
    <w:rsid w:val="0009001E"/>
    <w:rsid w:val="000E4485"/>
    <w:rsid w:val="0012579C"/>
    <w:rsid w:val="00161494"/>
    <w:rsid w:val="00161C54"/>
    <w:rsid w:val="001646F4"/>
    <w:rsid w:val="001B5968"/>
    <w:rsid w:val="001D72E0"/>
    <w:rsid w:val="001E0303"/>
    <w:rsid w:val="001E1C9D"/>
    <w:rsid w:val="001E7578"/>
    <w:rsid w:val="001F2EB7"/>
    <w:rsid w:val="002021B6"/>
    <w:rsid w:val="00203C15"/>
    <w:rsid w:val="00204C16"/>
    <w:rsid w:val="00210E21"/>
    <w:rsid w:val="00215398"/>
    <w:rsid w:val="00216AB4"/>
    <w:rsid w:val="00234200"/>
    <w:rsid w:val="00236A8B"/>
    <w:rsid w:val="002435E3"/>
    <w:rsid w:val="00247562"/>
    <w:rsid w:val="00266C16"/>
    <w:rsid w:val="00295D02"/>
    <w:rsid w:val="00295D31"/>
    <w:rsid w:val="002A07FE"/>
    <w:rsid w:val="002A0BF0"/>
    <w:rsid w:val="002C2079"/>
    <w:rsid w:val="002C53EF"/>
    <w:rsid w:val="002D5F06"/>
    <w:rsid w:val="002F793D"/>
    <w:rsid w:val="00315333"/>
    <w:rsid w:val="00327FE4"/>
    <w:rsid w:val="00336107"/>
    <w:rsid w:val="00344643"/>
    <w:rsid w:val="00352F2A"/>
    <w:rsid w:val="00366348"/>
    <w:rsid w:val="0039252C"/>
    <w:rsid w:val="00396BC0"/>
    <w:rsid w:val="003A37B2"/>
    <w:rsid w:val="003C7654"/>
    <w:rsid w:val="003E6B74"/>
    <w:rsid w:val="003F1FDD"/>
    <w:rsid w:val="004129D5"/>
    <w:rsid w:val="00412F10"/>
    <w:rsid w:val="004173DA"/>
    <w:rsid w:val="00433EEE"/>
    <w:rsid w:val="0044748E"/>
    <w:rsid w:val="0048290C"/>
    <w:rsid w:val="004B48E0"/>
    <w:rsid w:val="004C34C6"/>
    <w:rsid w:val="004C6261"/>
    <w:rsid w:val="004D24F5"/>
    <w:rsid w:val="004D521D"/>
    <w:rsid w:val="004D6237"/>
    <w:rsid w:val="004F0060"/>
    <w:rsid w:val="004F7BF3"/>
    <w:rsid w:val="005077D1"/>
    <w:rsid w:val="00517A97"/>
    <w:rsid w:val="00541A38"/>
    <w:rsid w:val="005547CC"/>
    <w:rsid w:val="00563A98"/>
    <w:rsid w:val="005A3E1C"/>
    <w:rsid w:val="005B10B0"/>
    <w:rsid w:val="005B1CC0"/>
    <w:rsid w:val="005C25EF"/>
    <w:rsid w:val="005C307F"/>
    <w:rsid w:val="005C38CB"/>
    <w:rsid w:val="005E1A9B"/>
    <w:rsid w:val="005E2532"/>
    <w:rsid w:val="005F0108"/>
    <w:rsid w:val="005F31D2"/>
    <w:rsid w:val="00622DEF"/>
    <w:rsid w:val="0063129D"/>
    <w:rsid w:val="006324E0"/>
    <w:rsid w:val="006418BB"/>
    <w:rsid w:val="006762F9"/>
    <w:rsid w:val="006939A7"/>
    <w:rsid w:val="006A482C"/>
    <w:rsid w:val="006A6B64"/>
    <w:rsid w:val="006C23EE"/>
    <w:rsid w:val="006F16EC"/>
    <w:rsid w:val="006F188E"/>
    <w:rsid w:val="006F69ED"/>
    <w:rsid w:val="00716D2B"/>
    <w:rsid w:val="00721393"/>
    <w:rsid w:val="007514BD"/>
    <w:rsid w:val="0079633B"/>
    <w:rsid w:val="007B5651"/>
    <w:rsid w:val="007B60F0"/>
    <w:rsid w:val="007E609C"/>
    <w:rsid w:val="007F0A0A"/>
    <w:rsid w:val="007F6606"/>
    <w:rsid w:val="008008A6"/>
    <w:rsid w:val="0081323B"/>
    <w:rsid w:val="00820EBA"/>
    <w:rsid w:val="0082469A"/>
    <w:rsid w:val="00841444"/>
    <w:rsid w:val="00864CA3"/>
    <w:rsid w:val="008711F5"/>
    <w:rsid w:val="0088154D"/>
    <w:rsid w:val="0088492F"/>
    <w:rsid w:val="00897FC6"/>
    <w:rsid w:val="008A538E"/>
    <w:rsid w:val="008D6BDA"/>
    <w:rsid w:val="008E7938"/>
    <w:rsid w:val="00914FB9"/>
    <w:rsid w:val="0092260A"/>
    <w:rsid w:val="009371A2"/>
    <w:rsid w:val="009460DE"/>
    <w:rsid w:val="0099006C"/>
    <w:rsid w:val="00991E05"/>
    <w:rsid w:val="009A0DA3"/>
    <w:rsid w:val="009A7CFD"/>
    <w:rsid w:val="009D1B10"/>
    <w:rsid w:val="009E1196"/>
    <w:rsid w:val="009E727B"/>
    <w:rsid w:val="00A0356A"/>
    <w:rsid w:val="00A06598"/>
    <w:rsid w:val="00AE215A"/>
    <w:rsid w:val="00B0185D"/>
    <w:rsid w:val="00B23A64"/>
    <w:rsid w:val="00B34878"/>
    <w:rsid w:val="00B35032"/>
    <w:rsid w:val="00B360E4"/>
    <w:rsid w:val="00B36D00"/>
    <w:rsid w:val="00B37666"/>
    <w:rsid w:val="00B4261D"/>
    <w:rsid w:val="00B91C6A"/>
    <w:rsid w:val="00B9333B"/>
    <w:rsid w:val="00B93754"/>
    <w:rsid w:val="00B97811"/>
    <w:rsid w:val="00BC52BA"/>
    <w:rsid w:val="00BD1936"/>
    <w:rsid w:val="00BD2FCA"/>
    <w:rsid w:val="00C42A66"/>
    <w:rsid w:val="00C54E1E"/>
    <w:rsid w:val="00C83AD1"/>
    <w:rsid w:val="00CB6ADC"/>
    <w:rsid w:val="00CE5518"/>
    <w:rsid w:val="00CF0F56"/>
    <w:rsid w:val="00CF7DFD"/>
    <w:rsid w:val="00D07343"/>
    <w:rsid w:val="00D12EEC"/>
    <w:rsid w:val="00D35216"/>
    <w:rsid w:val="00D37D45"/>
    <w:rsid w:val="00D528C7"/>
    <w:rsid w:val="00D722A9"/>
    <w:rsid w:val="00D85C4E"/>
    <w:rsid w:val="00D91D8C"/>
    <w:rsid w:val="00D9699B"/>
    <w:rsid w:val="00DB62F9"/>
    <w:rsid w:val="00DF3B31"/>
    <w:rsid w:val="00E06A46"/>
    <w:rsid w:val="00E26D6F"/>
    <w:rsid w:val="00E46CAC"/>
    <w:rsid w:val="00E6368E"/>
    <w:rsid w:val="00E930BA"/>
    <w:rsid w:val="00E93AAB"/>
    <w:rsid w:val="00EC7DEE"/>
    <w:rsid w:val="00F217C4"/>
    <w:rsid w:val="00F24EC7"/>
    <w:rsid w:val="00F26587"/>
    <w:rsid w:val="00F4343B"/>
    <w:rsid w:val="00F51443"/>
    <w:rsid w:val="00F6194E"/>
    <w:rsid w:val="00F711F0"/>
    <w:rsid w:val="00F7244C"/>
    <w:rsid w:val="00F95AD1"/>
    <w:rsid w:val="00FB0D91"/>
    <w:rsid w:val="00FD3B6C"/>
    <w:rsid w:val="00FE073D"/>
    <w:rsid w:val="00FE6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321BF9"/>
  <w15:chartTrackingRefBased/>
  <w15:docId w15:val="{4AE0D440-1624-457D-9772-099E89A66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6606"/>
  </w:style>
  <w:style w:type="paragraph" w:styleId="Heading1">
    <w:name w:val="heading 1"/>
    <w:basedOn w:val="Normal"/>
    <w:next w:val="Normal"/>
    <w:link w:val="Heading1Char"/>
    <w:uiPriority w:val="9"/>
    <w:qFormat/>
    <w:rsid w:val="00352F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2F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2F2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2F2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52F2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52F2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52F2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52F2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52F2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F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2F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2F2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2F2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52F2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52F2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52F2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52F2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52F2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52F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F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F2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F2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52F2A"/>
    <w:pPr>
      <w:spacing w:before="160"/>
      <w:jc w:val="center"/>
    </w:pPr>
    <w:rPr>
      <w:i/>
      <w:iCs/>
      <w:color w:val="404040" w:themeColor="text1" w:themeTint="BF"/>
    </w:rPr>
  </w:style>
  <w:style w:type="character" w:customStyle="1" w:styleId="QuoteChar">
    <w:name w:val="Quote Char"/>
    <w:basedOn w:val="DefaultParagraphFont"/>
    <w:link w:val="Quote"/>
    <w:uiPriority w:val="29"/>
    <w:rsid w:val="00352F2A"/>
    <w:rPr>
      <w:i/>
      <w:iCs/>
      <w:color w:val="404040" w:themeColor="text1" w:themeTint="BF"/>
    </w:rPr>
  </w:style>
  <w:style w:type="paragraph" w:styleId="ListParagraph">
    <w:name w:val="List Paragraph"/>
    <w:basedOn w:val="Normal"/>
    <w:uiPriority w:val="34"/>
    <w:qFormat/>
    <w:rsid w:val="00352F2A"/>
    <w:pPr>
      <w:ind w:left="720"/>
      <w:contextualSpacing/>
    </w:pPr>
  </w:style>
  <w:style w:type="character" w:styleId="IntenseEmphasis">
    <w:name w:val="Intense Emphasis"/>
    <w:basedOn w:val="DefaultParagraphFont"/>
    <w:uiPriority w:val="21"/>
    <w:qFormat/>
    <w:rsid w:val="00352F2A"/>
    <w:rPr>
      <w:i/>
      <w:iCs/>
      <w:color w:val="2F5496" w:themeColor="accent1" w:themeShade="BF"/>
    </w:rPr>
  </w:style>
  <w:style w:type="paragraph" w:styleId="IntenseQuote">
    <w:name w:val="Intense Quote"/>
    <w:basedOn w:val="Normal"/>
    <w:next w:val="Normal"/>
    <w:link w:val="IntenseQuoteChar"/>
    <w:uiPriority w:val="30"/>
    <w:qFormat/>
    <w:rsid w:val="00352F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2F2A"/>
    <w:rPr>
      <w:i/>
      <w:iCs/>
      <w:color w:val="2F5496" w:themeColor="accent1" w:themeShade="BF"/>
    </w:rPr>
  </w:style>
  <w:style w:type="character" w:styleId="IntenseReference">
    <w:name w:val="Intense Reference"/>
    <w:basedOn w:val="DefaultParagraphFont"/>
    <w:uiPriority w:val="32"/>
    <w:qFormat/>
    <w:rsid w:val="00352F2A"/>
    <w:rPr>
      <w:b/>
      <w:bCs/>
      <w:smallCaps/>
      <w:color w:val="2F5496" w:themeColor="accent1" w:themeShade="BF"/>
      <w:spacing w:val="5"/>
    </w:rPr>
  </w:style>
  <w:style w:type="paragraph" w:styleId="NormalWeb">
    <w:name w:val="Normal (Web)"/>
    <w:basedOn w:val="Normal"/>
    <w:uiPriority w:val="99"/>
    <w:semiHidden/>
    <w:unhideWhenUsed/>
    <w:rsid w:val="00BC52BA"/>
    <w:rPr>
      <w:sz w:val="24"/>
      <w:szCs w:val="24"/>
    </w:rPr>
  </w:style>
  <w:style w:type="paragraph" w:styleId="Header">
    <w:name w:val="header"/>
    <w:basedOn w:val="Normal"/>
    <w:link w:val="HeaderChar"/>
    <w:uiPriority w:val="99"/>
    <w:unhideWhenUsed/>
    <w:rsid w:val="002A0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7FE"/>
  </w:style>
  <w:style w:type="paragraph" w:styleId="Footer">
    <w:name w:val="footer"/>
    <w:basedOn w:val="Normal"/>
    <w:link w:val="FooterChar"/>
    <w:uiPriority w:val="99"/>
    <w:unhideWhenUsed/>
    <w:rsid w:val="002A0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7FE"/>
  </w:style>
  <w:style w:type="paragraph" w:styleId="NoSpacing">
    <w:name w:val="No Spacing"/>
    <w:uiPriority w:val="1"/>
    <w:qFormat/>
    <w:rsid w:val="00D07343"/>
    <w:pPr>
      <w:spacing w:after="0" w:line="240" w:lineRule="auto"/>
    </w:pPr>
  </w:style>
  <w:style w:type="character" w:styleId="Hyperlink">
    <w:name w:val="Hyperlink"/>
    <w:basedOn w:val="DefaultParagraphFont"/>
    <w:uiPriority w:val="99"/>
    <w:unhideWhenUsed/>
    <w:rsid w:val="007F6606"/>
    <w:rPr>
      <w:color w:val="0563C1" w:themeColor="hyperlink"/>
      <w:u w:val="single"/>
    </w:rPr>
  </w:style>
  <w:style w:type="character" w:styleId="UnresolvedMention">
    <w:name w:val="Unresolved Mention"/>
    <w:basedOn w:val="DefaultParagraphFont"/>
    <w:uiPriority w:val="99"/>
    <w:semiHidden/>
    <w:unhideWhenUsed/>
    <w:rsid w:val="007F6606"/>
    <w:rPr>
      <w:color w:val="605E5C"/>
      <w:shd w:val="clear" w:color="auto" w:fill="E1DFDD"/>
    </w:rPr>
  </w:style>
  <w:style w:type="character" w:styleId="Strong">
    <w:name w:val="Strong"/>
    <w:basedOn w:val="DefaultParagraphFont"/>
    <w:uiPriority w:val="22"/>
    <w:qFormat/>
    <w:rsid w:val="00F434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4.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chart" Target="charts/chart3.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OneDrive\Documents\ANALY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OneDrive\Documents\ANALYS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68822745386024"/>
          <c:y val="1.4092358971605674E-2"/>
          <c:w val="0.84311772546139752"/>
          <c:h val="0.78712491900626058"/>
        </c:manualLayout>
      </c:layout>
      <c:barChart>
        <c:barDir val="col"/>
        <c:grouping val="clustered"/>
        <c:varyColors val="0"/>
        <c:ser>
          <c:idx val="0"/>
          <c:order val="0"/>
          <c:tx>
            <c:strRef>
              <c:f>Sheet1!$K$25</c:f>
              <c:strCache>
                <c:ptCount val="1"/>
                <c:pt idx="0">
                  <c:v>Minimum</c:v>
                </c:pt>
              </c:strCache>
            </c:strRef>
          </c:tx>
          <c:invertIfNegative val="0"/>
          <c:cat>
            <c:strRef>
              <c:f>Sheet1!$J$26:$J$30</c:f>
              <c:strCache>
                <c:ptCount val="5"/>
                <c:pt idx="0">
                  <c:v>&lt;21</c:v>
                </c:pt>
                <c:pt idx="1">
                  <c:v>21-30</c:v>
                </c:pt>
                <c:pt idx="2">
                  <c:v>31-40</c:v>
                </c:pt>
                <c:pt idx="3">
                  <c:v>41-50</c:v>
                </c:pt>
                <c:pt idx="4">
                  <c:v>51-60</c:v>
                </c:pt>
              </c:strCache>
            </c:strRef>
          </c:cat>
          <c:val>
            <c:numRef>
              <c:f>Sheet1!$K$26:$K$30</c:f>
              <c:numCache>
                <c:formatCode>General</c:formatCode>
                <c:ptCount val="5"/>
                <c:pt idx="0">
                  <c:v>3.1</c:v>
                </c:pt>
                <c:pt idx="1">
                  <c:v>2.9499999999999997</c:v>
                </c:pt>
                <c:pt idx="2">
                  <c:v>2.9</c:v>
                </c:pt>
                <c:pt idx="3">
                  <c:v>3.01</c:v>
                </c:pt>
                <c:pt idx="4">
                  <c:v>2.9499999999999997</c:v>
                </c:pt>
              </c:numCache>
            </c:numRef>
          </c:val>
          <c:extLst>
            <c:ext xmlns:c16="http://schemas.microsoft.com/office/drawing/2014/chart" uri="{C3380CC4-5D6E-409C-BE32-E72D297353CC}">
              <c16:uniqueId val="{00000000-7D4E-4463-8E95-FCFF3145AD21}"/>
            </c:ext>
          </c:extLst>
        </c:ser>
        <c:ser>
          <c:idx val="1"/>
          <c:order val="1"/>
          <c:tx>
            <c:strRef>
              <c:f>Sheet1!$L$25</c:f>
              <c:strCache>
                <c:ptCount val="1"/>
                <c:pt idx="0">
                  <c:v>Maximum</c:v>
                </c:pt>
              </c:strCache>
            </c:strRef>
          </c:tx>
          <c:invertIfNegative val="0"/>
          <c:cat>
            <c:strRef>
              <c:f>Sheet1!$J$26:$J$30</c:f>
              <c:strCache>
                <c:ptCount val="5"/>
                <c:pt idx="0">
                  <c:v>&lt;21</c:v>
                </c:pt>
                <c:pt idx="1">
                  <c:v>21-30</c:v>
                </c:pt>
                <c:pt idx="2">
                  <c:v>31-40</c:v>
                </c:pt>
                <c:pt idx="3">
                  <c:v>41-50</c:v>
                </c:pt>
                <c:pt idx="4">
                  <c:v>51-60</c:v>
                </c:pt>
              </c:strCache>
            </c:strRef>
          </c:cat>
          <c:val>
            <c:numRef>
              <c:f>Sheet1!$L$26:$L$30</c:f>
              <c:numCache>
                <c:formatCode>General</c:formatCode>
                <c:ptCount val="5"/>
                <c:pt idx="0">
                  <c:v>3.3699999999999997</c:v>
                </c:pt>
                <c:pt idx="1">
                  <c:v>3.58</c:v>
                </c:pt>
                <c:pt idx="2">
                  <c:v>3.61</c:v>
                </c:pt>
                <c:pt idx="3">
                  <c:v>3.4899999999999998</c:v>
                </c:pt>
                <c:pt idx="4">
                  <c:v>3.58</c:v>
                </c:pt>
              </c:numCache>
            </c:numRef>
          </c:val>
          <c:extLst>
            <c:ext xmlns:c16="http://schemas.microsoft.com/office/drawing/2014/chart" uri="{C3380CC4-5D6E-409C-BE32-E72D297353CC}">
              <c16:uniqueId val="{00000001-7D4E-4463-8E95-FCFF3145AD21}"/>
            </c:ext>
          </c:extLst>
        </c:ser>
        <c:ser>
          <c:idx val="2"/>
          <c:order val="2"/>
          <c:tx>
            <c:strRef>
              <c:f>Sheet1!$M$25</c:f>
              <c:strCache>
                <c:ptCount val="1"/>
                <c:pt idx="0">
                  <c:v>Mean</c:v>
                </c:pt>
              </c:strCache>
            </c:strRef>
          </c:tx>
          <c:invertIfNegative val="0"/>
          <c:cat>
            <c:strRef>
              <c:f>Sheet1!$J$26:$J$30</c:f>
              <c:strCache>
                <c:ptCount val="5"/>
                <c:pt idx="0">
                  <c:v>&lt;21</c:v>
                </c:pt>
                <c:pt idx="1">
                  <c:v>21-30</c:v>
                </c:pt>
                <c:pt idx="2">
                  <c:v>31-40</c:v>
                </c:pt>
                <c:pt idx="3">
                  <c:v>41-50</c:v>
                </c:pt>
                <c:pt idx="4">
                  <c:v>51-60</c:v>
                </c:pt>
              </c:strCache>
            </c:strRef>
          </c:cat>
          <c:val>
            <c:numRef>
              <c:f>Sheet1!$M$26:$M$30</c:f>
              <c:numCache>
                <c:formatCode>General</c:formatCode>
                <c:ptCount val="5"/>
                <c:pt idx="0">
                  <c:v>3.2111000000000001</c:v>
                </c:pt>
                <c:pt idx="1">
                  <c:v>3.2423999999999999</c:v>
                </c:pt>
                <c:pt idx="2">
                  <c:v>3.1985999999999999</c:v>
                </c:pt>
                <c:pt idx="3">
                  <c:v>3.2292999999999998</c:v>
                </c:pt>
                <c:pt idx="4">
                  <c:v>3.1865000000000001</c:v>
                </c:pt>
              </c:numCache>
            </c:numRef>
          </c:val>
          <c:extLst>
            <c:ext xmlns:c16="http://schemas.microsoft.com/office/drawing/2014/chart" uri="{C3380CC4-5D6E-409C-BE32-E72D297353CC}">
              <c16:uniqueId val="{00000002-7D4E-4463-8E95-FCFF3145AD21}"/>
            </c:ext>
          </c:extLst>
        </c:ser>
        <c:ser>
          <c:idx val="3"/>
          <c:order val="3"/>
          <c:tx>
            <c:strRef>
              <c:f>Sheet1!$N$25</c:f>
              <c:strCache>
                <c:ptCount val="1"/>
                <c:pt idx="0">
                  <c:v>p-value</c:v>
                </c:pt>
              </c:strCache>
            </c:strRef>
          </c:tx>
          <c:invertIfNegative val="0"/>
          <c:cat>
            <c:strRef>
              <c:f>Sheet1!$J$26:$J$30</c:f>
              <c:strCache>
                <c:ptCount val="5"/>
                <c:pt idx="0">
                  <c:v>&lt;21</c:v>
                </c:pt>
                <c:pt idx="1">
                  <c:v>21-30</c:v>
                </c:pt>
                <c:pt idx="2">
                  <c:v>31-40</c:v>
                </c:pt>
                <c:pt idx="3">
                  <c:v>41-50</c:v>
                </c:pt>
                <c:pt idx="4">
                  <c:v>51-60</c:v>
                </c:pt>
              </c:strCache>
            </c:strRef>
          </c:cat>
          <c:val>
            <c:numRef>
              <c:f>Sheet1!$N$26:$N$30</c:f>
              <c:numCache>
                <c:formatCode>General</c:formatCode>
                <c:ptCount val="5"/>
                <c:pt idx="0">
                  <c:v>0.34700000000000031</c:v>
                </c:pt>
                <c:pt idx="1">
                  <c:v>0.34700000000000031</c:v>
                </c:pt>
                <c:pt idx="2">
                  <c:v>0.34700000000000031</c:v>
                </c:pt>
                <c:pt idx="3">
                  <c:v>0.34700000000000031</c:v>
                </c:pt>
                <c:pt idx="4">
                  <c:v>0.34700000000000031</c:v>
                </c:pt>
              </c:numCache>
            </c:numRef>
          </c:val>
          <c:extLst>
            <c:ext xmlns:c16="http://schemas.microsoft.com/office/drawing/2014/chart" uri="{C3380CC4-5D6E-409C-BE32-E72D297353CC}">
              <c16:uniqueId val="{00000003-7D4E-4463-8E95-FCFF3145AD21}"/>
            </c:ext>
          </c:extLst>
        </c:ser>
        <c:dLbls>
          <c:showLegendKey val="0"/>
          <c:showVal val="0"/>
          <c:showCatName val="0"/>
          <c:showSerName val="0"/>
          <c:showPercent val="0"/>
          <c:showBubbleSize val="0"/>
        </c:dLbls>
        <c:gapWidth val="150"/>
        <c:axId val="1120094032"/>
        <c:axId val="1120115792"/>
      </c:barChart>
      <c:catAx>
        <c:axId val="1120094032"/>
        <c:scaling>
          <c:orientation val="minMax"/>
        </c:scaling>
        <c:delete val="0"/>
        <c:axPos val="b"/>
        <c:numFmt formatCode="General" sourceLinked="0"/>
        <c:majorTickMark val="out"/>
        <c:minorTickMark val="none"/>
        <c:tickLblPos val="nextTo"/>
        <c:crossAx val="1120115792"/>
        <c:crosses val="autoZero"/>
        <c:auto val="1"/>
        <c:lblAlgn val="ctr"/>
        <c:lblOffset val="100"/>
        <c:noMultiLvlLbl val="0"/>
      </c:catAx>
      <c:valAx>
        <c:axId val="1120115792"/>
        <c:scaling>
          <c:orientation val="minMax"/>
        </c:scaling>
        <c:delete val="0"/>
        <c:axPos val="l"/>
        <c:majorGridlines/>
        <c:numFmt formatCode="General" sourceLinked="1"/>
        <c:majorTickMark val="out"/>
        <c:minorTickMark val="none"/>
        <c:tickLblPos val="nextTo"/>
        <c:crossAx val="1120094032"/>
        <c:crosses val="autoZero"/>
        <c:crossBetween val="between"/>
      </c:valAx>
      <c:dTable>
        <c:showHorzBorder val="1"/>
        <c:showVertBorder val="1"/>
        <c:showOutline val="1"/>
        <c:showKeys val="1"/>
        <c:spPr>
          <a:ln>
            <a:solidFill>
              <a:schemeClr val="bg1"/>
            </a:solidFill>
          </a:ln>
        </c:spPr>
      </c:dTable>
    </c:plotArea>
    <c:plotVisOnly val="1"/>
    <c:dispBlanksAs val="gap"/>
    <c:showDLblsOverMax val="0"/>
  </c:chart>
  <c:spPr>
    <a:ln>
      <a:solidFill>
        <a:schemeClr val="bg1"/>
      </a:solidFill>
    </a:ln>
  </c:spPr>
  <c:txPr>
    <a:bodyPr/>
    <a:lstStyle/>
    <a:p>
      <a:pPr>
        <a:defRPr sz="1100" b="1">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697469159026448"/>
          <c:y val="1.6342676803294588E-2"/>
          <c:w val="0.84302530840973777"/>
          <c:h val="0.71103486862418386"/>
        </c:manualLayout>
      </c:layout>
      <c:barChart>
        <c:barDir val="col"/>
        <c:grouping val="clustered"/>
        <c:varyColors val="0"/>
        <c:ser>
          <c:idx val="0"/>
          <c:order val="0"/>
          <c:tx>
            <c:strRef>
              <c:f>Sheet1!$B$39</c:f>
              <c:strCache>
                <c:ptCount val="1"/>
                <c:pt idx="0">
                  <c:v>Minimum</c:v>
                </c:pt>
              </c:strCache>
            </c:strRef>
          </c:tx>
          <c:invertIfNegative val="0"/>
          <c:cat>
            <c:strRef>
              <c:f>Sheet1!$A$40:$A$44</c:f>
              <c:strCache>
                <c:ptCount val="5"/>
                <c:pt idx="0">
                  <c:v>&lt;21</c:v>
                </c:pt>
                <c:pt idx="1">
                  <c:v>21-30</c:v>
                </c:pt>
                <c:pt idx="2">
                  <c:v>  31-40</c:v>
                </c:pt>
                <c:pt idx="3">
                  <c:v>41-50</c:v>
                </c:pt>
                <c:pt idx="4">
                  <c:v>51-60</c:v>
                </c:pt>
              </c:strCache>
            </c:strRef>
          </c:cat>
          <c:val>
            <c:numRef>
              <c:f>Sheet1!$B$40:$B$44</c:f>
              <c:numCache>
                <c:formatCode>General</c:formatCode>
                <c:ptCount val="5"/>
                <c:pt idx="0">
                  <c:v>2.08</c:v>
                </c:pt>
                <c:pt idx="1">
                  <c:v>2.0299999999999998</c:v>
                </c:pt>
                <c:pt idx="2">
                  <c:v>2.0699999999999998</c:v>
                </c:pt>
                <c:pt idx="3">
                  <c:v>2.0499999999999998</c:v>
                </c:pt>
                <c:pt idx="4">
                  <c:v>2.06</c:v>
                </c:pt>
              </c:numCache>
            </c:numRef>
          </c:val>
          <c:extLst>
            <c:ext xmlns:c16="http://schemas.microsoft.com/office/drawing/2014/chart" uri="{C3380CC4-5D6E-409C-BE32-E72D297353CC}">
              <c16:uniqueId val="{00000000-F937-4B4D-AFBF-351A099DF7F0}"/>
            </c:ext>
          </c:extLst>
        </c:ser>
        <c:ser>
          <c:idx val="1"/>
          <c:order val="1"/>
          <c:tx>
            <c:strRef>
              <c:f>Sheet1!$C$39</c:f>
              <c:strCache>
                <c:ptCount val="1"/>
                <c:pt idx="0">
                  <c:v>Maximum</c:v>
                </c:pt>
              </c:strCache>
            </c:strRef>
          </c:tx>
          <c:invertIfNegative val="0"/>
          <c:cat>
            <c:strRef>
              <c:f>Sheet1!$A$40:$A$44</c:f>
              <c:strCache>
                <c:ptCount val="5"/>
                <c:pt idx="0">
                  <c:v>&lt;21</c:v>
                </c:pt>
                <c:pt idx="1">
                  <c:v>21-30</c:v>
                </c:pt>
                <c:pt idx="2">
                  <c:v>  31-40</c:v>
                </c:pt>
                <c:pt idx="3">
                  <c:v>41-50</c:v>
                </c:pt>
                <c:pt idx="4">
                  <c:v>51-60</c:v>
                </c:pt>
              </c:strCache>
            </c:strRef>
          </c:cat>
          <c:val>
            <c:numRef>
              <c:f>Sheet1!$C$40:$C$44</c:f>
              <c:numCache>
                <c:formatCode>General</c:formatCode>
                <c:ptCount val="5"/>
                <c:pt idx="0">
                  <c:v>2.27</c:v>
                </c:pt>
                <c:pt idx="1">
                  <c:v>2.29</c:v>
                </c:pt>
                <c:pt idx="2">
                  <c:v>2.27</c:v>
                </c:pt>
                <c:pt idx="3">
                  <c:v>2.2799999999999998</c:v>
                </c:pt>
                <c:pt idx="4">
                  <c:v>2.2599999999999998</c:v>
                </c:pt>
              </c:numCache>
            </c:numRef>
          </c:val>
          <c:extLst>
            <c:ext xmlns:c16="http://schemas.microsoft.com/office/drawing/2014/chart" uri="{C3380CC4-5D6E-409C-BE32-E72D297353CC}">
              <c16:uniqueId val="{00000001-F937-4B4D-AFBF-351A099DF7F0}"/>
            </c:ext>
          </c:extLst>
        </c:ser>
        <c:ser>
          <c:idx val="2"/>
          <c:order val="2"/>
          <c:tx>
            <c:strRef>
              <c:f>Sheet1!$D$39</c:f>
              <c:strCache>
                <c:ptCount val="1"/>
                <c:pt idx="0">
                  <c:v>Mean</c:v>
                </c:pt>
              </c:strCache>
            </c:strRef>
          </c:tx>
          <c:invertIfNegative val="0"/>
          <c:cat>
            <c:strRef>
              <c:f>Sheet1!$A$40:$A$44</c:f>
              <c:strCache>
                <c:ptCount val="5"/>
                <c:pt idx="0">
                  <c:v>&lt;21</c:v>
                </c:pt>
                <c:pt idx="1">
                  <c:v>21-30</c:v>
                </c:pt>
                <c:pt idx="2">
                  <c:v>  31-40</c:v>
                </c:pt>
                <c:pt idx="3">
                  <c:v>41-50</c:v>
                </c:pt>
                <c:pt idx="4">
                  <c:v>51-60</c:v>
                </c:pt>
              </c:strCache>
            </c:strRef>
          </c:cat>
          <c:val>
            <c:numRef>
              <c:f>Sheet1!$D$40:$D$44</c:f>
              <c:numCache>
                <c:formatCode>General</c:formatCode>
                <c:ptCount val="5"/>
                <c:pt idx="0">
                  <c:v>2.1444000000000001</c:v>
                </c:pt>
                <c:pt idx="1">
                  <c:v>2.1518999999999977</c:v>
                </c:pt>
                <c:pt idx="2">
                  <c:v>2.1503999999999999</c:v>
                </c:pt>
                <c:pt idx="3">
                  <c:v>2.1573000000000002</c:v>
                </c:pt>
                <c:pt idx="4">
                  <c:v>2.1564999999999968</c:v>
                </c:pt>
              </c:numCache>
            </c:numRef>
          </c:val>
          <c:extLst>
            <c:ext xmlns:c16="http://schemas.microsoft.com/office/drawing/2014/chart" uri="{C3380CC4-5D6E-409C-BE32-E72D297353CC}">
              <c16:uniqueId val="{00000002-F937-4B4D-AFBF-351A099DF7F0}"/>
            </c:ext>
          </c:extLst>
        </c:ser>
        <c:ser>
          <c:idx val="3"/>
          <c:order val="3"/>
          <c:tx>
            <c:strRef>
              <c:f>Sheet1!$E$39</c:f>
              <c:strCache>
                <c:ptCount val="1"/>
                <c:pt idx="0">
                  <c:v>p-value</c:v>
                </c:pt>
              </c:strCache>
            </c:strRef>
          </c:tx>
          <c:invertIfNegative val="0"/>
          <c:cat>
            <c:strRef>
              <c:f>Sheet1!$A$40:$A$44</c:f>
              <c:strCache>
                <c:ptCount val="5"/>
                <c:pt idx="0">
                  <c:v>&lt;21</c:v>
                </c:pt>
                <c:pt idx="1">
                  <c:v>21-30</c:v>
                </c:pt>
                <c:pt idx="2">
                  <c:v>  31-40</c:v>
                </c:pt>
                <c:pt idx="3">
                  <c:v>41-50</c:v>
                </c:pt>
                <c:pt idx="4">
                  <c:v>51-60</c:v>
                </c:pt>
              </c:strCache>
            </c:strRef>
          </c:cat>
          <c:val>
            <c:numRef>
              <c:f>Sheet1!$E$40:$E$44</c:f>
              <c:numCache>
                <c:formatCode>General</c:formatCode>
                <c:ptCount val="5"/>
                <c:pt idx="0">
                  <c:v>0.92100000000000004</c:v>
                </c:pt>
                <c:pt idx="1">
                  <c:v>0.92100000000000004</c:v>
                </c:pt>
                <c:pt idx="2">
                  <c:v>0.92100000000000004</c:v>
                </c:pt>
                <c:pt idx="3">
                  <c:v>0.92100000000000004</c:v>
                </c:pt>
                <c:pt idx="4">
                  <c:v>0.92100000000000004</c:v>
                </c:pt>
              </c:numCache>
            </c:numRef>
          </c:val>
          <c:extLst>
            <c:ext xmlns:c16="http://schemas.microsoft.com/office/drawing/2014/chart" uri="{C3380CC4-5D6E-409C-BE32-E72D297353CC}">
              <c16:uniqueId val="{00000003-F937-4B4D-AFBF-351A099DF7F0}"/>
            </c:ext>
          </c:extLst>
        </c:ser>
        <c:dLbls>
          <c:showLegendKey val="0"/>
          <c:showVal val="0"/>
          <c:showCatName val="0"/>
          <c:showSerName val="0"/>
          <c:showPercent val="0"/>
          <c:showBubbleSize val="0"/>
        </c:dLbls>
        <c:gapWidth val="150"/>
        <c:axId val="1521388512"/>
        <c:axId val="1521394496"/>
      </c:barChart>
      <c:catAx>
        <c:axId val="1521388512"/>
        <c:scaling>
          <c:orientation val="minMax"/>
        </c:scaling>
        <c:delete val="0"/>
        <c:axPos val="b"/>
        <c:numFmt formatCode="General" sourceLinked="0"/>
        <c:majorTickMark val="out"/>
        <c:minorTickMark val="none"/>
        <c:tickLblPos val="nextTo"/>
        <c:crossAx val="1521394496"/>
        <c:crosses val="autoZero"/>
        <c:auto val="1"/>
        <c:lblAlgn val="ctr"/>
        <c:lblOffset val="100"/>
        <c:noMultiLvlLbl val="0"/>
      </c:catAx>
      <c:valAx>
        <c:axId val="1521394496"/>
        <c:scaling>
          <c:orientation val="minMax"/>
        </c:scaling>
        <c:delete val="0"/>
        <c:axPos val="l"/>
        <c:majorGridlines/>
        <c:numFmt formatCode="General" sourceLinked="1"/>
        <c:majorTickMark val="out"/>
        <c:minorTickMark val="none"/>
        <c:tickLblPos val="nextTo"/>
        <c:crossAx val="1521388512"/>
        <c:crosses val="autoZero"/>
        <c:crossBetween val="between"/>
      </c:valAx>
      <c:dTable>
        <c:showHorzBorder val="1"/>
        <c:showVertBorder val="1"/>
        <c:showOutline val="1"/>
        <c:showKeys val="1"/>
        <c:spPr>
          <a:ln>
            <a:solidFill>
              <a:schemeClr val="bg1"/>
            </a:solidFill>
          </a:ln>
        </c:spPr>
      </c:dTable>
    </c:plotArea>
    <c:plotVisOnly val="1"/>
    <c:dispBlanksAs val="gap"/>
    <c:showDLblsOverMax val="0"/>
  </c:chart>
  <c:spPr>
    <a:ln>
      <a:solidFill>
        <a:schemeClr val="bg1"/>
      </a:solidFill>
    </a:ln>
  </c:spPr>
  <c:txPr>
    <a:bodyPr/>
    <a:lstStyle/>
    <a:p>
      <a:pPr>
        <a:defRPr sz="1050" b="1">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31880362654144"/>
          <c:y val="2.5536980362665346E-2"/>
          <c:w val="0.84283391192291957"/>
          <c:h val="0.7870566811284827"/>
        </c:manualLayout>
      </c:layout>
      <c:barChart>
        <c:barDir val="col"/>
        <c:grouping val="clustered"/>
        <c:varyColors val="0"/>
        <c:ser>
          <c:idx val="0"/>
          <c:order val="0"/>
          <c:tx>
            <c:strRef>
              <c:f>Sheet1!$B$61</c:f>
              <c:strCache>
                <c:ptCount val="1"/>
                <c:pt idx="0">
                  <c:v>Minimum</c:v>
                </c:pt>
              </c:strCache>
            </c:strRef>
          </c:tx>
          <c:invertIfNegative val="0"/>
          <c:cat>
            <c:strRef>
              <c:f>Sheet1!$A$62:$A$66</c:f>
              <c:strCache>
                <c:ptCount val="5"/>
                <c:pt idx="0">
                  <c:v>&lt;21</c:v>
                </c:pt>
                <c:pt idx="1">
                  <c:v>21-30</c:v>
                </c:pt>
                <c:pt idx="2">
                  <c:v>31-40</c:v>
                </c:pt>
                <c:pt idx="3">
                  <c:v>41-50</c:v>
                </c:pt>
                <c:pt idx="4">
                  <c:v>51-60</c:v>
                </c:pt>
              </c:strCache>
            </c:strRef>
          </c:cat>
          <c:val>
            <c:numRef>
              <c:f>Sheet1!$B$62:$B$66</c:f>
              <c:numCache>
                <c:formatCode>General</c:formatCode>
                <c:ptCount val="5"/>
                <c:pt idx="0">
                  <c:v>13.84</c:v>
                </c:pt>
                <c:pt idx="1">
                  <c:v>13.68</c:v>
                </c:pt>
                <c:pt idx="2">
                  <c:v>13.639999999999999</c:v>
                </c:pt>
                <c:pt idx="3">
                  <c:v>13.6</c:v>
                </c:pt>
                <c:pt idx="4">
                  <c:v>13.58</c:v>
                </c:pt>
              </c:numCache>
            </c:numRef>
          </c:val>
          <c:extLst>
            <c:ext xmlns:c16="http://schemas.microsoft.com/office/drawing/2014/chart" uri="{C3380CC4-5D6E-409C-BE32-E72D297353CC}">
              <c16:uniqueId val="{00000000-43E1-4B74-905F-D42A82D5DF3B}"/>
            </c:ext>
          </c:extLst>
        </c:ser>
        <c:ser>
          <c:idx val="1"/>
          <c:order val="1"/>
          <c:tx>
            <c:strRef>
              <c:f>Sheet1!$C$61</c:f>
              <c:strCache>
                <c:ptCount val="1"/>
                <c:pt idx="0">
                  <c:v>Maximum</c:v>
                </c:pt>
              </c:strCache>
            </c:strRef>
          </c:tx>
          <c:invertIfNegative val="0"/>
          <c:cat>
            <c:strRef>
              <c:f>Sheet1!$A$62:$A$66</c:f>
              <c:strCache>
                <c:ptCount val="5"/>
                <c:pt idx="0">
                  <c:v>&lt;21</c:v>
                </c:pt>
                <c:pt idx="1">
                  <c:v>21-30</c:v>
                </c:pt>
                <c:pt idx="2">
                  <c:v>31-40</c:v>
                </c:pt>
                <c:pt idx="3">
                  <c:v>41-50</c:v>
                </c:pt>
                <c:pt idx="4">
                  <c:v>51-60</c:v>
                </c:pt>
              </c:strCache>
            </c:strRef>
          </c:cat>
          <c:val>
            <c:numRef>
              <c:f>Sheet1!$C$62:$C$66</c:f>
              <c:numCache>
                <c:formatCode>General</c:formatCode>
                <c:ptCount val="5"/>
                <c:pt idx="0">
                  <c:v>14.4</c:v>
                </c:pt>
                <c:pt idx="1">
                  <c:v>14.49</c:v>
                </c:pt>
                <c:pt idx="2">
                  <c:v>14.51</c:v>
                </c:pt>
                <c:pt idx="3">
                  <c:v>14.65</c:v>
                </c:pt>
                <c:pt idx="4">
                  <c:v>14.38</c:v>
                </c:pt>
              </c:numCache>
            </c:numRef>
          </c:val>
          <c:extLst>
            <c:ext xmlns:c16="http://schemas.microsoft.com/office/drawing/2014/chart" uri="{C3380CC4-5D6E-409C-BE32-E72D297353CC}">
              <c16:uniqueId val="{00000001-43E1-4B74-905F-D42A82D5DF3B}"/>
            </c:ext>
          </c:extLst>
        </c:ser>
        <c:ser>
          <c:idx val="2"/>
          <c:order val="2"/>
          <c:tx>
            <c:strRef>
              <c:f>Sheet1!$D$61</c:f>
              <c:strCache>
                <c:ptCount val="1"/>
                <c:pt idx="0">
                  <c:v>Mean</c:v>
                </c:pt>
              </c:strCache>
            </c:strRef>
          </c:tx>
          <c:invertIfNegative val="0"/>
          <c:cat>
            <c:strRef>
              <c:f>Sheet1!$A$62:$A$66</c:f>
              <c:strCache>
                <c:ptCount val="5"/>
                <c:pt idx="0">
                  <c:v>&lt;21</c:v>
                </c:pt>
                <c:pt idx="1">
                  <c:v>21-30</c:v>
                </c:pt>
                <c:pt idx="2">
                  <c:v>31-40</c:v>
                </c:pt>
                <c:pt idx="3">
                  <c:v>41-50</c:v>
                </c:pt>
                <c:pt idx="4">
                  <c:v>51-60</c:v>
                </c:pt>
              </c:strCache>
            </c:strRef>
          </c:cat>
          <c:val>
            <c:numRef>
              <c:f>Sheet1!$D$62:$D$66</c:f>
              <c:numCache>
                <c:formatCode>General</c:formatCode>
                <c:ptCount val="5"/>
                <c:pt idx="0">
                  <c:v>14.143299999999998</c:v>
                </c:pt>
                <c:pt idx="1">
                  <c:v>14.040700000000001</c:v>
                </c:pt>
                <c:pt idx="2">
                  <c:v>14.0032</c:v>
                </c:pt>
                <c:pt idx="3">
                  <c:v>14.039300000000001</c:v>
                </c:pt>
                <c:pt idx="4">
                  <c:v>14.029500000000002</c:v>
                </c:pt>
              </c:numCache>
            </c:numRef>
          </c:val>
          <c:extLst>
            <c:ext xmlns:c16="http://schemas.microsoft.com/office/drawing/2014/chart" uri="{C3380CC4-5D6E-409C-BE32-E72D297353CC}">
              <c16:uniqueId val="{00000002-43E1-4B74-905F-D42A82D5DF3B}"/>
            </c:ext>
          </c:extLst>
        </c:ser>
        <c:ser>
          <c:idx val="3"/>
          <c:order val="3"/>
          <c:tx>
            <c:strRef>
              <c:f>Sheet1!$E$61</c:f>
              <c:strCache>
                <c:ptCount val="1"/>
                <c:pt idx="0">
                  <c:v>p-value</c:v>
                </c:pt>
              </c:strCache>
            </c:strRef>
          </c:tx>
          <c:invertIfNegative val="0"/>
          <c:cat>
            <c:strRef>
              <c:f>Sheet1!$A$62:$A$66</c:f>
              <c:strCache>
                <c:ptCount val="5"/>
                <c:pt idx="0">
                  <c:v>&lt;21</c:v>
                </c:pt>
                <c:pt idx="1">
                  <c:v>21-30</c:v>
                </c:pt>
                <c:pt idx="2">
                  <c:v>31-40</c:v>
                </c:pt>
                <c:pt idx="3">
                  <c:v>41-50</c:v>
                </c:pt>
                <c:pt idx="4">
                  <c:v>51-60</c:v>
                </c:pt>
              </c:strCache>
            </c:strRef>
          </c:cat>
          <c:val>
            <c:numRef>
              <c:f>Sheet1!$E$62:$E$66</c:f>
              <c:numCache>
                <c:formatCode>General</c:formatCode>
                <c:ptCount val="5"/>
                <c:pt idx="0">
                  <c:v>0.33100000000000096</c:v>
                </c:pt>
                <c:pt idx="1">
                  <c:v>0.33100000000000096</c:v>
                </c:pt>
                <c:pt idx="2">
                  <c:v>0.33100000000000096</c:v>
                </c:pt>
                <c:pt idx="3">
                  <c:v>0.33100000000000096</c:v>
                </c:pt>
                <c:pt idx="4">
                  <c:v>0.33100000000000096</c:v>
                </c:pt>
              </c:numCache>
            </c:numRef>
          </c:val>
          <c:extLst>
            <c:ext xmlns:c16="http://schemas.microsoft.com/office/drawing/2014/chart" uri="{C3380CC4-5D6E-409C-BE32-E72D297353CC}">
              <c16:uniqueId val="{00000003-43E1-4B74-905F-D42A82D5DF3B}"/>
            </c:ext>
          </c:extLst>
        </c:ser>
        <c:dLbls>
          <c:showLegendKey val="0"/>
          <c:showVal val="0"/>
          <c:showCatName val="0"/>
          <c:showSerName val="0"/>
          <c:showPercent val="0"/>
          <c:showBubbleSize val="0"/>
        </c:dLbls>
        <c:gapWidth val="150"/>
        <c:axId val="1036514464"/>
        <c:axId val="1036516096"/>
      </c:barChart>
      <c:catAx>
        <c:axId val="1036514464"/>
        <c:scaling>
          <c:orientation val="minMax"/>
        </c:scaling>
        <c:delete val="0"/>
        <c:axPos val="b"/>
        <c:numFmt formatCode="General" sourceLinked="0"/>
        <c:majorTickMark val="out"/>
        <c:minorTickMark val="none"/>
        <c:tickLblPos val="nextTo"/>
        <c:crossAx val="1036516096"/>
        <c:crosses val="autoZero"/>
        <c:auto val="1"/>
        <c:lblAlgn val="ctr"/>
        <c:lblOffset val="100"/>
        <c:noMultiLvlLbl val="0"/>
      </c:catAx>
      <c:valAx>
        <c:axId val="1036516096"/>
        <c:scaling>
          <c:orientation val="minMax"/>
        </c:scaling>
        <c:delete val="0"/>
        <c:axPos val="l"/>
        <c:majorGridlines/>
        <c:numFmt formatCode="General" sourceLinked="1"/>
        <c:majorTickMark val="out"/>
        <c:minorTickMark val="none"/>
        <c:tickLblPos val="nextTo"/>
        <c:crossAx val="1036514464"/>
        <c:crosses val="autoZero"/>
        <c:crossBetween val="between"/>
      </c:valAx>
      <c:dTable>
        <c:showHorzBorder val="1"/>
        <c:showVertBorder val="1"/>
        <c:showOutline val="1"/>
        <c:showKeys val="1"/>
        <c:spPr>
          <a:ln>
            <a:solidFill>
              <a:schemeClr val="bg1"/>
            </a:solidFill>
          </a:ln>
        </c:spPr>
      </c:dTable>
    </c:plotArea>
    <c:plotVisOnly val="1"/>
    <c:dispBlanksAs val="gap"/>
    <c:showDLblsOverMax val="0"/>
  </c:chart>
  <c:spPr>
    <a:ln>
      <a:solidFill>
        <a:schemeClr val="bg1"/>
      </a:solidFill>
    </a:ln>
  </c:spPr>
  <c:txPr>
    <a:bodyPr/>
    <a:lstStyle/>
    <a:p>
      <a:pPr>
        <a:defRPr sz="1050" b="1">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Sheet1!$B$81</c:f>
              <c:strCache>
                <c:ptCount val="1"/>
                <c:pt idx="0">
                  <c:v>Minimum</c:v>
                </c:pt>
              </c:strCache>
            </c:strRef>
          </c:tx>
          <c:invertIfNegative val="0"/>
          <c:cat>
            <c:strRef>
              <c:f>Sheet1!$A$82:$A$86</c:f>
              <c:strCache>
                <c:ptCount val="5"/>
                <c:pt idx="0">
                  <c:v>&lt;21</c:v>
                </c:pt>
                <c:pt idx="1">
                  <c:v>21-30</c:v>
                </c:pt>
                <c:pt idx="2">
                  <c:v>31-40</c:v>
                </c:pt>
                <c:pt idx="3">
                  <c:v>41-50</c:v>
                </c:pt>
                <c:pt idx="4">
                  <c:v>51-60</c:v>
                </c:pt>
              </c:strCache>
            </c:strRef>
          </c:cat>
          <c:val>
            <c:numRef>
              <c:f>Sheet1!$B$82:$B$86</c:f>
              <c:numCache>
                <c:formatCode>General</c:formatCode>
                <c:ptCount val="5"/>
                <c:pt idx="0">
                  <c:v>0.16</c:v>
                </c:pt>
                <c:pt idx="1">
                  <c:v>0.14000000000000001</c:v>
                </c:pt>
                <c:pt idx="2">
                  <c:v>0.13</c:v>
                </c:pt>
                <c:pt idx="3">
                  <c:v>0.14000000000000001</c:v>
                </c:pt>
                <c:pt idx="4">
                  <c:v>0.15000000000000024</c:v>
                </c:pt>
              </c:numCache>
            </c:numRef>
          </c:val>
          <c:extLst>
            <c:ext xmlns:c16="http://schemas.microsoft.com/office/drawing/2014/chart" uri="{C3380CC4-5D6E-409C-BE32-E72D297353CC}">
              <c16:uniqueId val="{00000000-1DAF-43CA-8839-3C500A20947F}"/>
            </c:ext>
          </c:extLst>
        </c:ser>
        <c:ser>
          <c:idx val="1"/>
          <c:order val="1"/>
          <c:tx>
            <c:strRef>
              <c:f>Sheet1!$C$81</c:f>
              <c:strCache>
                <c:ptCount val="1"/>
                <c:pt idx="0">
                  <c:v>Maximum</c:v>
                </c:pt>
              </c:strCache>
            </c:strRef>
          </c:tx>
          <c:invertIfNegative val="0"/>
          <c:cat>
            <c:strRef>
              <c:f>Sheet1!$A$82:$A$86</c:f>
              <c:strCache>
                <c:ptCount val="5"/>
                <c:pt idx="0">
                  <c:v>&lt;21</c:v>
                </c:pt>
                <c:pt idx="1">
                  <c:v>21-30</c:v>
                </c:pt>
                <c:pt idx="2">
                  <c:v>31-40</c:v>
                </c:pt>
                <c:pt idx="3">
                  <c:v>41-50</c:v>
                </c:pt>
                <c:pt idx="4">
                  <c:v>51-60</c:v>
                </c:pt>
              </c:strCache>
            </c:strRef>
          </c:cat>
          <c:val>
            <c:numRef>
              <c:f>Sheet1!$C$82:$C$86</c:f>
              <c:numCache>
                <c:formatCode>General</c:formatCode>
                <c:ptCount val="5"/>
                <c:pt idx="0">
                  <c:v>0.25</c:v>
                </c:pt>
                <c:pt idx="1">
                  <c:v>0.27</c:v>
                </c:pt>
                <c:pt idx="2">
                  <c:v>0.27</c:v>
                </c:pt>
                <c:pt idx="3">
                  <c:v>0.26</c:v>
                </c:pt>
                <c:pt idx="4">
                  <c:v>0.24000000000000021</c:v>
                </c:pt>
              </c:numCache>
            </c:numRef>
          </c:val>
          <c:extLst>
            <c:ext xmlns:c16="http://schemas.microsoft.com/office/drawing/2014/chart" uri="{C3380CC4-5D6E-409C-BE32-E72D297353CC}">
              <c16:uniqueId val="{00000001-1DAF-43CA-8839-3C500A20947F}"/>
            </c:ext>
          </c:extLst>
        </c:ser>
        <c:ser>
          <c:idx val="2"/>
          <c:order val="2"/>
          <c:tx>
            <c:strRef>
              <c:f>Sheet1!$D$81</c:f>
              <c:strCache>
                <c:ptCount val="1"/>
                <c:pt idx="0">
                  <c:v>Mean</c:v>
                </c:pt>
              </c:strCache>
            </c:strRef>
          </c:tx>
          <c:invertIfNegative val="0"/>
          <c:cat>
            <c:strRef>
              <c:f>Sheet1!$A$82:$A$86</c:f>
              <c:strCache>
                <c:ptCount val="5"/>
                <c:pt idx="0">
                  <c:v>&lt;21</c:v>
                </c:pt>
                <c:pt idx="1">
                  <c:v>21-30</c:v>
                </c:pt>
                <c:pt idx="2">
                  <c:v>31-40</c:v>
                </c:pt>
                <c:pt idx="3">
                  <c:v>41-50</c:v>
                </c:pt>
                <c:pt idx="4">
                  <c:v>51-60</c:v>
                </c:pt>
              </c:strCache>
            </c:strRef>
          </c:cat>
          <c:val>
            <c:numRef>
              <c:f>Sheet1!$D$82:$D$86</c:f>
              <c:numCache>
                <c:formatCode>General</c:formatCode>
                <c:ptCount val="5"/>
                <c:pt idx="0">
                  <c:v>0.2011</c:v>
                </c:pt>
                <c:pt idx="1">
                  <c:v>0.20500000000000004</c:v>
                </c:pt>
                <c:pt idx="2">
                  <c:v>0.19950000000000001</c:v>
                </c:pt>
                <c:pt idx="3">
                  <c:v>0.20660000000000001</c:v>
                </c:pt>
                <c:pt idx="4">
                  <c:v>0.19489999999999999</c:v>
                </c:pt>
              </c:numCache>
            </c:numRef>
          </c:val>
          <c:extLst>
            <c:ext xmlns:c16="http://schemas.microsoft.com/office/drawing/2014/chart" uri="{C3380CC4-5D6E-409C-BE32-E72D297353CC}">
              <c16:uniqueId val="{00000002-1DAF-43CA-8839-3C500A20947F}"/>
            </c:ext>
          </c:extLst>
        </c:ser>
        <c:ser>
          <c:idx val="3"/>
          <c:order val="3"/>
          <c:tx>
            <c:strRef>
              <c:f>Sheet1!$E$81</c:f>
              <c:strCache>
                <c:ptCount val="1"/>
                <c:pt idx="0">
                  <c:v>P-value</c:v>
                </c:pt>
              </c:strCache>
            </c:strRef>
          </c:tx>
          <c:invertIfNegative val="0"/>
          <c:cat>
            <c:strRef>
              <c:f>Sheet1!$A$82:$A$86</c:f>
              <c:strCache>
                <c:ptCount val="5"/>
                <c:pt idx="0">
                  <c:v>&lt;21</c:v>
                </c:pt>
                <c:pt idx="1">
                  <c:v>21-30</c:v>
                </c:pt>
                <c:pt idx="2">
                  <c:v>31-40</c:v>
                </c:pt>
                <c:pt idx="3">
                  <c:v>41-50</c:v>
                </c:pt>
                <c:pt idx="4">
                  <c:v>51-60</c:v>
                </c:pt>
              </c:strCache>
            </c:strRef>
          </c:cat>
          <c:val>
            <c:numRef>
              <c:f>Sheet1!$E$82:$E$86</c:f>
              <c:numCache>
                <c:formatCode>General</c:formatCode>
                <c:ptCount val="5"/>
                <c:pt idx="0">
                  <c:v>0.28200000000000008</c:v>
                </c:pt>
                <c:pt idx="1">
                  <c:v>0.28200000000000008</c:v>
                </c:pt>
                <c:pt idx="2">
                  <c:v>0.28200000000000008</c:v>
                </c:pt>
                <c:pt idx="3">
                  <c:v>0.28200000000000008</c:v>
                </c:pt>
                <c:pt idx="4">
                  <c:v>0.28200000000000008</c:v>
                </c:pt>
              </c:numCache>
            </c:numRef>
          </c:val>
          <c:extLst>
            <c:ext xmlns:c16="http://schemas.microsoft.com/office/drawing/2014/chart" uri="{C3380CC4-5D6E-409C-BE32-E72D297353CC}">
              <c16:uniqueId val="{00000003-1DAF-43CA-8839-3C500A20947F}"/>
            </c:ext>
          </c:extLst>
        </c:ser>
        <c:dLbls>
          <c:showLegendKey val="0"/>
          <c:showVal val="0"/>
          <c:showCatName val="0"/>
          <c:showSerName val="0"/>
          <c:showPercent val="0"/>
          <c:showBubbleSize val="0"/>
        </c:dLbls>
        <c:gapWidth val="150"/>
        <c:axId val="863021072"/>
        <c:axId val="863021616"/>
      </c:barChart>
      <c:catAx>
        <c:axId val="863021072"/>
        <c:scaling>
          <c:orientation val="minMax"/>
        </c:scaling>
        <c:delete val="0"/>
        <c:axPos val="b"/>
        <c:numFmt formatCode="General" sourceLinked="0"/>
        <c:majorTickMark val="out"/>
        <c:minorTickMark val="none"/>
        <c:tickLblPos val="nextTo"/>
        <c:crossAx val="863021616"/>
        <c:crosses val="autoZero"/>
        <c:auto val="1"/>
        <c:lblAlgn val="ctr"/>
        <c:lblOffset val="100"/>
        <c:noMultiLvlLbl val="0"/>
      </c:catAx>
      <c:valAx>
        <c:axId val="863021616"/>
        <c:scaling>
          <c:orientation val="minMax"/>
        </c:scaling>
        <c:delete val="0"/>
        <c:axPos val="l"/>
        <c:majorGridlines/>
        <c:numFmt formatCode="General" sourceLinked="1"/>
        <c:majorTickMark val="out"/>
        <c:minorTickMark val="none"/>
        <c:tickLblPos val="nextTo"/>
        <c:crossAx val="863021072"/>
        <c:crosses val="autoZero"/>
        <c:crossBetween val="between"/>
      </c:valAx>
      <c:dTable>
        <c:showHorzBorder val="1"/>
        <c:showVertBorder val="1"/>
        <c:showOutline val="1"/>
        <c:showKeys val="1"/>
        <c:spPr>
          <a:ln>
            <a:solidFill>
              <a:schemeClr val="bg1"/>
            </a:solidFill>
          </a:ln>
        </c:spPr>
      </c:dTable>
    </c:plotArea>
    <c:plotVisOnly val="1"/>
    <c:dispBlanksAs val="gap"/>
    <c:showDLblsOverMax val="0"/>
  </c:chart>
  <c:spPr>
    <a:ln>
      <a:solidFill>
        <a:schemeClr val="bg1"/>
      </a:solidFill>
    </a:ln>
  </c:spPr>
  <c:txPr>
    <a:bodyPr/>
    <a:lstStyle/>
    <a:p>
      <a:pPr>
        <a:defRPr sz="1200" b="1">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1777</TotalTime>
  <Pages>15</Pages>
  <Words>4622</Words>
  <Characters>26346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 M E</dc:creator>
  <cp:keywords/>
  <dc:description/>
  <cp:lastModifiedBy>SDI PC New 16</cp:lastModifiedBy>
  <cp:revision>17</cp:revision>
  <cp:lastPrinted>2026-01-05T09:54:00Z</cp:lastPrinted>
  <dcterms:created xsi:type="dcterms:W3CDTF">2026-03-23T09:32:00Z</dcterms:created>
  <dcterms:modified xsi:type="dcterms:W3CDTF">2026-05-15T09:51:00Z</dcterms:modified>
</cp:coreProperties>
</file>