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2CD72" w14:textId="77777777" w:rsidR="00FE13BA" w:rsidRDefault="00FE13BA">
      <w:pPr>
        <w:spacing w:after="0" w:line="240" w:lineRule="auto"/>
        <w:jc w:val="right"/>
        <w:rPr>
          <w:rFonts w:ascii="Arial" w:eastAsia="Times New Roman" w:hAnsi="Arial" w:cs="Arial"/>
          <w:b/>
          <w:bCs/>
          <w:color w:val="000000"/>
          <w:sz w:val="20"/>
          <w:szCs w:val="36"/>
        </w:rPr>
      </w:pPr>
    </w:p>
    <w:p w14:paraId="07C0529A" w14:textId="77777777" w:rsidR="00FE13BA" w:rsidRDefault="00FE13BA">
      <w:pPr>
        <w:spacing w:after="0" w:line="240" w:lineRule="auto"/>
        <w:jc w:val="right"/>
        <w:rPr>
          <w:rFonts w:ascii="Arial" w:eastAsia="Times New Roman" w:hAnsi="Arial" w:cs="Arial"/>
          <w:b/>
          <w:bCs/>
          <w:color w:val="000000"/>
          <w:sz w:val="20"/>
          <w:szCs w:val="36"/>
        </w:rPr>
      </w:pPr>
    </w:p>
    <w:p w14:paraId="782D9CA8" w14:textId="77777777" w:rsidR="00FE13BA" w:rsidRDefault="00FE13BA">
      <w:pPr>
        <w:spacing w:after="0" w:line="240" w:lineRule="auto"/>
        <w:jc w:val="right"/>
        <w:rPr>
          <w:rFonts w:ascii="Arial" w:eastAsia="Times New Roman" w:hAnsi="Arial" w:cs="Arial"/>
          <w:b/>
          <w:bCs/>
          <w:color w:val="000000"/>
          <w:sz w:val="20"/>
          <w:szCs w:val="36"/>
        </w:rPr>
      </w:pPr>
    </w:p>
    <w:p w14:paraId="08DFDA83" w14:textId="77777777" w:rsidR="00FE13BA" w:rsidRDefault="00FE13BA">
      <w:pPr>
        <w:spacing w:after="0" w:line="240" w:lineRule="auto"/>
        <w:jc w:val="right"/>
        <w:rPr>
          <w:rFonts w:ascii="Arial" w:eastAsia="Times New Roman" w:hAnsi="Arial" w:cs="Arial"/>
          <w:b/>
          <w:bCs/>
          <w:color w:val="000000"/>
          <w:sz w:val="20"/>
          <w:szCs w:val="36"/>
        </w:rPr>
      </w:pPr>
    </w:p>
    <w:p w14:paraId="0ECE8246" w14:textId="77777777" w:rsidR="00FE13BA" w:rsidRDefault="00FE13BA">
      <w:pPr>
        <w:spacing w:after="0" w:line="240" w:lineRule="auto"/>
        <w:jc w:val="right"/>
        <w:rPr>
          <w:rFonts w:ascii="Arial" w:eastAsia="Times New Roman" w:hAnsi="Arial" w:cs="Arial"/>
          <w:b/>
          <w:bCs/>
          <w:color w:val="000000"/>
          <w:sz w:val="20"/>
          <w:szCs w:val="36"/>
        </w:rPr>
      </w:pPr>
    </w:p>
    <w:p w14:paraId="23687120" w14:textId="77777777" w:rsidR="00FE13BA" w:rsidRDefault="00FE13BA">
      <w:pPr>
        <w:spacing w:after="0" w:line="240" w:lineRule="auto"/>
        <w:jc w:val="right"/>
        <w:rPr>
          <w:rFonts w:ascii="Arial" w:eastAsia="Times New Roman" w:hAnsi="Arial" w:cs="Arial"/>
          <w:b/>
          <w:bCs/>
          <w:color w:val="000000"/>
          <w:sz w:val="20"/>
          <w:szCs w:val="36"/>
        </w:rPr>
      </w:pPr>
    </w:p>
    <w:p w14:paraId="78C8AD37" w14:textId="77777777" w:rsidR="00FE13BA" w:rsidRDefault="00FE13BA">
      <w:pPr>
        <w:spacing w:after="0" w:line="240" w:lineRule="auto"/>
        <w:jc w:val="right"/>
        <w:rPr>
          <w:rFonts w:ascii="Arial" w:eastAsia="Times New Roman" w:hAnsi="Arial" w:cs="Arial"/>
          <w:b/>
          <w:bCs/>
          <w:color w:val="000000"/>
          <w:sz w:val="20"/>
          <w:szCs w:val="36"/>
        </w:rPr>
      </w:pPr>
    </w:p>
    <w:p w14:paraId="45AA19F5" w14:textId="77777777" w:rsidR="00FE13BA" w:rsidRDefault="00FE13BA">
      <w:pPr>
        <w:spacing w:after="0" w:line="240" w:lineRule="auto"/>
        <w:jc w:val="right"/>
        <w:rPr>
          <w:rFonts w:ascii="Arial" w:eastAsia="Times New Roman" w:hAnsi="Arial" w:cs="Arial"/>
          <w:b/>
          <w:bCs/>
          <w:color w:val="000000"/>
          <w:sz w:val="20"/>
          <w:szCs w:val="36"/>
        </w:rPr>
      </w:pPr>
    </w:p>
    <w:p w14:paraId="29B292F6" w14:textId="77777777" w:rsidR="00FE13BA" w:rsidRDefault="000C7AFA">
      <w:pPr>
        <w:pStyle w:val="Heading1"/>
        <w:rPr>
          <w:rFonts w:eastAsia="Times New Roman"/>
          <w:kern w:val="28"/>
          <w:sz w:val="48"/>
          <w:szCs w:val="48"/>
        </w:rPr>
      </w:pPr>
      <w:r>
        <w:rPr>
          <w:rFonts w:eastAsia="Times New Roman"/>
          <w:kern w:val="28"/>
          <w:sz w:val="46"/>
          <w:szCs w:val="46"/>
        </w:rPr>
        <w:t>Effectiveness of Community-Based        Health Education Interventions on          Maternal Health Service Uptake in           Sub-Saharan Africa: A Systematic Review</w:t>
      </w:r>
    </w:p>
    <w:p w14:paraId="42BCC1BB" w14:textId="77777777" w:rsidR="00FE13BA" w:rsidRDefault="00FE13BA">
      <w:pPr>
        <w:spacing w:after="0" w:line="240" w:lineRule="auto"/>
        <w:contextualSpacing/>
        <w:jc w:val="right"/>
        <w:rPr>
          <w:rFonts w:ascii="Arial" w:eastAsia="Times New Roman" w:hAnsi="Arial" w:cs="Arial"/>
          <w:b/>
          <w:bCs/>
          <w:sz w:val="36"/>
          <w:szCs w:val="20"/>
        </w:rPr>
      </w:pPr>
    </w:p>
    <w:p w14:paraId="5E60FF05" w14:textId="77777777" w:rsidR="00FE13BA" w:rsidRDefault="00FE13BA">
      <w:pPr>
        <w:spacing w:after="0" w:line="240" w:lineRule="auto"/>
        <w:jc w:val="right"/>
        <w:rPr>
          <w:rFonts w:ascii="Arial" w:eastAsia="Times New Roman" w:hAnsi="Arial" w:cs="Arial"/>
          <w:b/>
          <w:sz w:val="20"/>
          <w:szCs w:val="20"/>
        </w:rPr>
      </w:pPr>
    </w:p>
    <w:p w14:paraId="4A2445B9" w14:textId="77777777" w:rsidR="00FE13BA" w:rsidRDefault="00FE13BA">
      <w:pPr>
        <w:spacing w:after="0" w:line="240" w:lineRule="auto"/>
        <w:jc w:val="right"/>
        <w:rPr>
          <w:rFonts w:ascii="Arial" w:eastAsia="Times New Roman" w:hAnsi="Arial" w:cs="Arial"/>
          <w:b/>
          <w:sz w:val="20"/>
          <w:szCs w:val="20"/>
        </w:rPr>
      </w:pPr>
    </w:p>
    <w:p w14:paraId="6C939B0D" w14:textId="77777777" w:rsidR="00FE13BA" w:rsidRDefault="00000000">
      <w:pPr>
        <w:spacing w:after="0" w:line="240" w:lineRule="auto"/>
        <w:jc w:val="right"/>
        <w:rPr>
          <w:rFonts w:ascii="Arial" w:eastAsia="Times New Roman" w:hAnsi="Arial" w:cs="Arial"/>
          <w:b/>
          <w:sz w:val="24"/>
          <w:szCs w:val="20"/>
        </w:rPr>
      </w:pPr>
      <w:r>
        <w:rPr>
          <w:rFonts w:ascii="Arial" w:eastAsia="Times New Roman" w:hAnsi="Arial" w:cs="Arial"/>
          <w:b/>
          <w:sz w:val="24"/>
          <w:szCs w:val="20"/>
        </w:rPr>
      </w:r>
      <w:r>
        <w:rPr>
          <w:rFonts w:ascii="Arial" w:eastAsia="Times New Roman" w:hAnsi="Arial" w:cs="Arial"/>
          <w:b/>
          <w:sz w:val="24"/>
          <w:szCs w:val="20"/>
        </w:rPr>
        <w:pict w14:anchorId="0D61249C">
          <v:shapetype id="_x0000_t32" coordsize="21600,21600" o:spt="32" o:oned="t" path="m,l21600,21600e" filled="f">
            <v:path arrowok="t" fillok="f" o:connecttype="none"/>
            <o:lock v:ext="edit" shapetype="t"/>
          </v:shapetype>
          <v:shape id="_x0000_s1026"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5B0418C" w14:textId="77777777" w:rsidR="00FE13BA" w:rsidRDefault="00FE13BA">
      <w:pPr>
        <w:keepNext/>
        <w:spacing w:after="0" w:line="240" w:lineRule="auto"/>
        <w:rPr>
          <w:rFonts w:ascii="Arial" w:eastAsia="Times New Roman" w:hAnsi="Arial" w:cs="Arial"/>
          <w:b/>
          <w:caps/>
          <w:sz w:val="20"/>
          <w:szCs w:val="20"/>
        </w:rPr>
      </w:pPr>
    </w:p>
    <w:p w14:paraId="05CF9392" w14:textId="77777777" w:rsidR="00FE13BA" w:rsidRDefault="000C7AFA">
      <w:pPr>
        <w:pStyle w:val="Heading2"/>
        <w:rPr>
          <w:rFonts w:eastAsia="Times New Roman"/>
        </w:rPr>
      </w:pPr>
      <w:r>
        <w:rPr>
          <w:rFonts w:eastAsia="Times New Roman"/>
        </w:rPr>
        <w:t>ABSTRACT</w:t>
      </w:r>
    </w:p>
    <w:p w14:paraId="075CF753" w14:textId="77777777" w:rsidR="00FE13BA" w:rsidRDefault="00FE13BA">
      <w:pPr>
        <w:keepNext/>
        <w:spacing w:after="0" w:line="240" w:lineRule="auto"/>
        <w:rPr>
          <w:rFonts w:ascii="Arial" w:eastAsia="Times New Roman" w:hAnsi="Arial" w:cs="Arial"/>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18"/>
      </w:tblGrid>
      <w:tr w:rsidR="00FE13BA" w14:paraId="5F4CCF7C" w14:textId="77777777">
        <w:trPr>
          <w:jc w:val="center"/>
        </w:trPr>
        <w:tc>
          <w:tcPr>
            <w:tcW w:w="9018" w:type="dxa"/>
          </w:tcPr>
          <w:p w14:paraId="1488CFDF" w14:textId="77777777" w:rsidR="00FE13BA" w:rsidRDefault="000C7AFA">
            <w:pPr>
              <w:spacing w:after="0" w:line="240" w:lineRule="auto"/>
              <w:contextualSpacing/>
              <w:jc w:val="both"/>
              <w:rPr>
                <w:rFonts w:ascii="Arial" w:eastAsia="Calibri" w:hAnsi="Arial" w:cs="Arial"/>
                <w:sz w:val="20"/>
              </w:rPr>
            </w:pPr>
            <w:r>
              <w:rPr>
                <w:rFonts w:ascii="Arial" w:eastAsia="Calibri" w:hAnsi="Arial" w:cs="Arial"/>
                <w:b/>
                <w:bCs/>
                <w:sz w:val="20"/>
              </w:rPr>
              <w:t xml:space="preserve">Background: </w:t>
            </w:r>
            <w:r>
              <w:rPr>
                <w:rFonts w:ascii="Arial" w:eastAsia="Calibri" w:hAnsi="Arial" w:cs="Arial"/>
                <w:sz w:val="20"/>
              </w:rPr>
              <w:t>Maternal mortality and low utilization of essential maternal health services remain major public health challenges across Sub-Saharan Africa. Poor awareness, sociocultural barriers, low health literacy, and weak community engagement continue to limit the use of antenatal, delivery, and postnatal services. Community-based health education interventions have been introduced to improve knowledge and healthcare seeking behavior, but evidence on their effectiveness remains fragmented..</w:t>
            </w:r>
          </w:p>
          <w:p w14:paraId="5F9B51A3" w14:textId="77777777" w:rsidR="00FE13BA" w:rsidRDefault="000C7AFA">
            <w:pPr>
              <w:spacing w:after="0" w:line="240" w:lineRule="auto"/>
              <w:contextualSpacing/>
              <w:jc w:val="both"/>
              <w:rPr>
                <w:rFonts w:ascii="Arial" w:eastAsia="Calibri" w:hAnsi="Arial" w:cs="Arial"/>
                <w:sz w:val="20"/>
              </w:rPr>
            </w:pPr>
            <w:r>
              <w:rPr>
                <w:rFonts w:ascii="Arial" w:eastAsia="Calibri" w:hAnsi="Arial" w:cs="Arial"/>
                <w:b/>
                <w:bCs/>
                <w:sz w:val="20"/>
              </w:rPr>
              <w:t>Methods:</w:t>
            </w:r>
            <w:r>
              <w:rPr>
                <w:rFonts w:ascii="Arial" w:eastAsia="Calibri" w:hAnsi="Arial" w:cs="Arial"/>
                <w:sz w:val="20"/>
              </w:rPr>
              <w:t xml:space="preserve"> A structured search of PubMed, Scopus, Web of Science, ScienceDirect, and AJOL was conducted for studies published between 2010 and 2026. Eligible studies assessed community-based educational approaches such as home visits, women’s groups, peer education, and outreach campaigns designed to increase maternal health service use. PRISMA guidelines informed study selection, while quality appraisal used the Joanna Briggs Institute checklist.</w:t>
            </w:r>
          </w:p>
          <w:p w14:paraId="6497B9D2" w14:textId="77777777" w:rsidR="00FE13BA" w:rsidRDefault="000C7AFA">
            <w:pPr>
              <w:spacing w:after="0" w:line="240" w:lineRule="auto"/>
              <w:contextualSpacing/>
              <w:jc w:val="both"/>
              <w:rPr>
                <w:rFonts w:ascii="Arial" w:eastAsia="Calibri" w:hAnsi="Arial" w:cs="Arial"/>
                <w:sz w:val="20"/>
              </w:rPr>
            </w:pPr>
            <w:r>
              <w:rPr>
                <w:rFonts w:ascii="Arial" w:eastAsia="Calibri" w:hAnsi="Arial" w:cs="Arial"/>
                <w:b/>
                <w:bCs/>
                <w:sz w:val="20"/>
              </w:rPr>
              <w:t>Results:</w:t>
            </w:r>
            <w:r>
              <w:rPr>
                <w:rFonts w:ascii="Arial" w:eastAsia="Calibri" w:hAnsi="Arial" w:cs="Arial"/>
                <w:sz w:val="20"/>
              </w:rPr>
              <w:t xml:space="preserve"> A total of 30 studies from multiple countries in Sub-Saharan Africa met inclusion criteria. Antenatal care attendance increased by 18% - 47% across intervention settings, while skilled birth attendance improved by 12% - 39%. Facility-based delivery rose by 15% - 42%, and postnatal care attendance increased by 10% - 34%. Interventions involving community health workers, male partners, and local leaders produced stronger outcomes than facility-only education models. Rural residence, low literacy, and weak referral systems reduced intervention effectiveness.</w:t>
            </w:r>
          </w:p>
          <w:p w14:paraId="2BC0A4CD" w14:textId="77777777" w:rsidR="00FE13BA" w:rsidRDefault="000C7AFA">
            <w:pPr>
              <w:spacing w:after="0" w:line="240" w:lineRule="auto"/>
              <w:contextualSpacing/>
              <w:jc w:val="both"/>
              <w:rPr>
                <w:rFonts w:ascii="Arial" w:eastAsia="Calibri" w:hAnsi="Arial" w:cs="Arial"/>
                <w:sz w:val="20"/>
              </w:rPr>
            </w:pPr>
            <w:r>
              <w:rPr>
                <w:rFonts w:ascii="Arial" w:eastAsia="Calibri" w:hAnsi="Arial" w:cs="Arial"/>
                <w:b/>
                <w:bCs/>
                <w:sz w:val="20"/>
              </w:rPr>
              <w:t>Conclusion:</w:t>
            </w:r>
            <w:r>
              <w:rPr>
                <w:rFonts w:ascii="Arial" w:eastAsia="Calibri" w:hAnsi="Arial" w:cs="Arial"/>
                <w:sz w:val="20"/>
              </w:rPr>
              <w:t xml:space="preserve"> Community-based health education interventions significantly improve maternal health service uptake in Sub-Saharan Africa. Scaling culturally appropriate community strategies can enhance service utilization and reduce preventable maternal deaths.</w:t>
            </w:r>
          </w:p>
          <w:p w14:paraId="187F1B73" w14:textId="77777777" w:rsidR="00FE13BA" w:rsidRDefault="00FE13BA">
            <w:pPr>
              <w:spacing w:after="0" w:line="240" w:lineRule="auto"/>
              <w:jc w:val="both"/>
              <w:rPr>
                <w:rFonts w:ascii="Arial" w:eastAsia="Times New Roman" w:hAnsi="Arial" w:cs="Arial"/>
                <w:bCs/>
                <w:szCs w:val="20"/>
              </w:rPr>
            </w:pPr>
          </w:p>
        </w:tc>
      </w:tr>
    </w:tbl>
    <w:p w14:paraId="20C0B78B" w14:textId="77777777" w:rsidR="00FE13BA" w:rsidRDefault="00FE13BA">
      <w:pPr>
        <w:spacing w:after="0" w:line="240" w:lineRule="auto"/>
        <w:ind w:left="990" w:hanging="990"/>
        <w:jc w:val="both"/>
        <w:textAlignment w:val="top"/>
        <w:rPr>
          <w:rFonts w:ascii="Arial" w:eastAsia="Times New Roman" w:hAnsi="Arial" w:cs="Arial"/>
          <w:i/>
          <w:szCs w:val="20"/>
        </w:rPr>
      </w:pPr>
    </w:p>
    <w:p w14:paraId="1C4E0DC4" w14:textId="77777777" w:rsidR="00FE13BA" w:rsidRDefault="000C7AFA">
      <w:pPr>
        <w:spacing w:after="0" w:line="240" w:lineRule="auto"/>
        <w:ind w:left="1080" w:hanging="1080"/>
        <w:contextualSpacing/>
        <w:jc w:val="both"/>
        <w:rPr>
          <w:rFonts w:ascii="Arial" w:eastAsia="Times New Roman" w:hAnsi="Arial" w:cs="Arial"/>
          <w:bCs/>
          <w:i/>
          <w:iCs/>
          <w:sz w:val="20"/>
          <w:szCs w:val="20"/>
        </w:rPr>
      </w:pPr>
      <w:r>
        <w:rPr>
          <w:rFonts w:ascii="Arial" w:eastAsia="Times New Roman" w:hAnsi="Arial" w:cs="Arial"/>
          <w:i/>
          <w:sz w:val="20"/>
          <w:szCs w:val="20"/>
        </w:rPr>
        <w:t>Keywords: Antenatal care; community education; maternal health; postnatal care; Sub-Saharan Africa.</w:t>
      </w:r>
    </w:p>
    <w:p w14:paraId="7972C981" w14:textId="77777777" w:rsidR="00FE13BA" w:rsidRDefault="00FE13BA">
      <w:pPr>
        <w:spacing w:after="0" w:line="240" w:lineRule="auto"/>
        <w:jc w:val="both"/>
        <w:rPr>
          <w:rFonts w:ascii="Arial" w:eastAsia="Times New Roman" w:hAnsi="Arial" w:cs="Arial"/>
          <w:b/>
          <w:bCs/>
          <w:sz w:val="20"/>
          <w:szCs w:val="20"/>
        </w:rPr>
      </w:pPr>
    </w:p>
    <w:p w14:paraId="43A947A2" w14:textId="77777777" w:rsidR="00FE13BA" w:rsidRDefault="00FE13BA">
      <w:pPr>
        <w:pStyle w:val="Heading2"/>
        <w:rPr>
          <w:rFonts w:eastAsia="Times New Roman"/>
        </w:rPr>
        <w:sectPr w:rsidR="00FE13BA">
          <w:headerReference w:type="default" r:id="rId9"/>
          <w:footerReference w:type="default" r:id="rId10"/>
          <w:footerReference w:type="first" r:id="rId11"/>
          <w:type w:val="continuous"/>
          <w:pgSz w:w="11909" w:h="16834"/>
          <w:pgMar w:top="1440" w:right="1440" w:bottom="1440" w:left="1440" w:header="720" w:footer="864" w:gutter="0"/>
          <w:cols w:space="720"/>
          <w:titlePg/>
          <w:docGrid w:linePitch="360"/>
        </w:sectPr>
      </w:pPr>
    </w:p>
    <w:p w14:paraId="502DEFBC" w14:textId="77777777" w:rsidR="00FE13BA" w:rsidRDefault="000C7AFA">
      <w:pPr>
        <w:pStyle w:val="Heading2"/>
        <w:rPr>
          <w:rFonts w:eastAsia="Times New Roman"/>
        </w:rPr>
      </w:pPr>
      <w:r>
        <w:rPr>
          <w:rFonts w:eastAsia="Times New Roman"/>
        </w:rPr>
        <w:t>1. INTRODUCTION</w:t>
      </w:r>
    </w:p>
    <w:p w14:paraId="0D52EFFE" w14:textId="77777777" w:rsidR="00FE13BA" w:rsidRDefault="00FE13BA">
      <w:pPr>
        <w:spacing w:after="0" w:line="240" w:lineRule="auto"/>
        <w:jc w:val="both"/>
        <w:rPr>
          <w:rFonts w:ascii="Arial" w:eastAsia="Times New Roman" w:hAnsi="Arial" w:cs="Arial"/>
          <w:sz w:val="20"/>
          <w:szCs w:val="20"/>
        </w:rPr>
      </w:pPr>
    </w:p>
    <w:p w14:paraId="41CD9DF1"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Maternal health remains a central indicator of population </w:t>
      </w:r>
      <w:proofErr w:type="spellStart"/>
      <w:r>
        <w:rPr>
          <w:rFonts w:ascii="Arial" w:eastAsia="Times New Roman" w:hAnsi="Arial" w:cs="Arial"/>
          <w:sz w:val="20"/>
          <w:szCs w:val="20"/>
        </w:rPr>
        <w:t>well being</w:t>
      </w:r>
      <w:proofErr w:type="spellEnd"/>
      <w:r>
        <w:rPr>
          <w:rFonts w:ascii="Arial" w:eastAsia="Times New Roman" w:hAnsi="Arial" w:cs="Arial"/>
          <w:sz w:val="20"/>
          <w:szCs w:val="20"/>
        </w:rPr>
        <w:t xml:space="preserve"> and health system performance globally. It reflects the quality, </w:t>
      </w:r>
      <w:r>
        <w:rPr>
          <w:rFonts w:ascii="Arial" w:eastAsia="Times New Roman" w:hAnsi="Arial" w:cs="Arial"/>
          <w:sz w:val="20"/>
          <w:szCs w:val="20"/>
        </w:rPr>
        <w:t xml:space="preserve">accessibility, and responsiveness of healthcare services available to women during pregnancy, childbirth, and the postnatal period. Despite significant progress in many regions, maternal mortality and preventable pregnancy-related </w:t>
      </w:r>
      <w:r>
        <w:rPr>
          <w:rFonts w:ascii="Arial" w:eastAsia="Times New Roman" w:hAnsi="Arial" w:cs="Arial"/>
          <w:sz w:val="20"/>
          <w:szCs w:val="20"/>
        </w:rPr>
        <w:lastRenderedPageBreak/>
        <w:t>complications continue to disproportionately affect low- and middle-income countries, particularly those in Sub-Saharan Africa. The region accounts for the highest burden of maternal deaths worldwide, driven by persistent inequalities in access to timely and quality maternity care, poverty, weak health systems, and sociocultural barriers that delay care-seeking behavior (Kassebaum et al., 2014; Say et al., 2014).</w:t>
      </w:r>
    </w:p>
    <w:p w14:paraId="08310903" w14:textId="77777777" w:rsidR="00FE13BA" w:rsidRDefault="00FE13BA">
      <w:pPr>
        <w:spacing w:after="0" w:line="240" w:lineRule="auto"/>
        <w:jc w:val="both"/>
        <w:rPr>
          <w:rFonts w:ascii="Arial" w:eastAsia="Times New Roman" w:hAnsi="Arial" w:cs="Arial"/>
          <w:sz w:val="20"/>
          <w:szCs w:val="20"/>
        </w:rPr>
      </w:pPr>
    </w:p>
    <w:p w14:paraId="5C335F20"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Essential maternal health services-including antenatal care, skilled attendance at birth, emergency obstetric care, and postnatal follow-up are recognized as highly effective interventions for reducing maternal and neonatal morbidity and mortality. The World Health Organization recommends early and regular antenatal care contacts, delivery assisted by trained personnel, and postnatal review within the first days after childbirth to detect complications and improve outcomes. However, utilization of these services remains sub-optimal across many countries in Sub-Saharan Africa, especially in rural and </w:t>
      </w:r>
      <w:proofErr w:type="spellStart"/>
      <w:r>
        <w:rPr>
          <w:rFonts w:ascii="Arial" w:eastAsia="Times New Roman" w:hAnsi="Arial" w:cs="Arial"/>
          <w:sz w:val="20"/>
          <w:szCs w:val="20"/>
        </w:rPr>
        <w:t>under served</w:t>
      </w:r>
      <w:proofErr w:type="spellEnd"/>
      <w:r>
        <w:rPr>
          <w:rFonts w:ascii="Arial" w:eastAsia="Times New Roman" w:hAnsi="Arial" w:cs="Arial"/>
          <w:sz w:val="20"/>
          <w:szCs w:val="20"/>
        </w:rPr>
        <w:t xml:space="preserve"> communities where distance, cost, poor transport systems, gender norms, and misinformation continue to hinder access (Doctor et al., 2011; Tey &amp; Lai, 2013).</w:t>
      </w:r>
    </w:p>
    <w:p w14:paraId="39D540D1" w14:textId="77777777" w:rsidR="00FE13BA" w:rsidRDefault="00FE13BA">
      <w:pPr>
        <w:spacing w:after="0" w:line="240" w:lineRule="auto"/>
        <w:jc w:val="both"/>
        <w:rPr>
          <w:rFonts w:ascii="Arial" w:eastAsia="Times New Roman" w:hAnsi="Arial" w:cs="Arial"/>
          <w:sz w:val="20"/>
          <w:szCs w:val="20"/>
        </w:rPr>
      </w:pPr>
    </w:p>
    <w:p w14:paraId="452464DF"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Antenatal care provides opportunities for early risk identification, immunization, nutritional counselling, malaria prevention, birth preparedness, and referral of high-risk pregnancies. Yet many women initiate care late or attend fewer than the recommended visits. Similarly, a large proportion of births in some parts of the region still occur outside health facilities or without skilled attendants, increasing the risk of hemorrhage, sepsis, obstructed labor, eclampsia, and newborn complications (Campbell &amp; Graham, 2006; Montagu et al., 2011). Postnatal care, although critical for preventing maternal and neonatal deaths in the first weeks after delivery, remains one of the least utilized components of maternal healthcare (Wang et al., 2011; </w:t>
      </w:r>
      <w:proofErr w:type="spellStart"/>
      <w:r>
        <w:rPr>
          <w:rFonts w:ascii="Arial" w:eastAsia="Times New Roman" w:hAnsi="Arial" w:cs="Arial"/>
          <w:sz w:val="20"/>
          <w:szCs w:val="20"/>
        </w:rPr>
        <w:t>Acirucan</w:t>
      </w:r>
      <w:proofErr w:type="spellEnd"/>
      <w:r>
        <w:rPr>
          <w:rFonts w:ascii="Arial" w:eastAsia="Times New Roman" w:hAnsi="Arial" w:cs="Arial"/>
          <w:sz w:val="20"/>
          <w:szCs w:val="20"/>
        </w:rPr>
        <w:t xml:space="preserve"> et al., 2025).</w:t>
      </w:r>
    </w:p>
    <w:p w14:paraId="203E9BC6" w14:textId="77777777" w:rsidR="00FE13BA" w:rsidRDefault="00FE13BA">
      <w:pPr>
        <w:spacing w:after="0" w:line="240" w:lineRule="auto"/>
        <w:jc w:val="both"/>
        <w:rPr>
          <w:rFonts w:ascii="Arial" w:eastAsia="Times New Roman" w:hAnsi="Arial" w:cs="Arial"/>
          <w:sz w:val="20"/>
          <w:szCs w:val="20"/>
        </w:rPr>
      </w:pPr>
    </w:p>
    <w:p w14:paraId="1CEACFD3"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Improving service availability alone does not automatically guarantee utilization. Evidence suggests that demand side barriers are equally important. Women may avoid health facilities because of fear, previous negative experiences, poor provider attitudes, lack of autonomy in household decision making, low awareness of danger signs, or preference for traditional birth practices. In many settings, husbands, mothers-in-law, community elders, and religious leaders influence maternal health only target health </w:t>
      </w:r>
      <w:r>
        <w:rPr>
          <w:rFonts w:ascii="Arial" w:eastAsia="Times New Roman" w:hAnsi="Arial" w:cs="Arial"/>
          <w:sz w:val="20"/>
          <w:szCs w:val="20"/>
        </w:rPr>
        <w:t xml:space="preserve">facilities without addressing community beliefs and behaviors may achieve limited success (Story et al., 2012; </w:t>
      </w:r>
      <w:proofErr w:type="spellStart"/>
      <w:r>
        <w:rPr>
          <w:rFonts w:ascii="Arial" w:eastAsia="Times New Roman" w:hAnsi="Arial" w:cs="Arial"/>
          <w:sz w:val="20"/>
          <w:szCs w:val="20"/>
        </w:rPr>
        <w:t>Sialubanje</w:t>
      </w:r>
      <w:proofErr w:type="spellEnd"/>
      <w:r>
        <w:rPr>
          <w:rFonts w:ascii="Arial" w:eastAsia="Times New Roman" w:hAnsi="Arial" w:cs="Arial"/>
          <w:sz w:val="20"/>
          <w:szCs w:val="20"/>
        </w:rPr>
        <w:t xml:space="preserve"> et al., 2015).</w:t>
      </w:r>
    </w:p>
    <w:p w14:paraId="7733A3C5" w14:textId="77777777" w:rsidR="00FE13BA" w:rsidRDefault="00FE13BA">
      <w:pPr>
        <w:spacing w:after="0" w:line="240" w:lineRule="auto"/>
        <w:jc w:val="both"/>
        <w:rPr>
          <w:rFonts w:ascii="Arial" w:eastAsia="Times New Roman" w:hAnsi="Arial" w:cs="Arial"/>
          <w:sz w:val="20"/>
          <w:szCs w:val="20"/>
        </w:rPr>
      </w:pPr>
    </w:p>
    <w:p w14:paraId="131EBFC5"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Community-based health education interventions have emerged as practical strategies for increasing maternal health service uptake. These interventions are implemented outside conventional clinical settings and are designed to reach women, families, and communities directly through culturally acceptable communities channels. Common approaches include home visits by community health workers, women’s support groups, participatory learning sessions, peer counselling, male involvement programs, village meetings, radio messaging, and engagement with traditional or religious leaders. Their primary aims is to improve knowledge, challenge misconceptions, encourage birth preparedness, strengthen referral behavior, and promote timely use of professional maternal healthcare services (Lassi et al., 2015; Prost et al., 2013).</w:t>
      </w:r>
    </w:p>
    <w:p w14:paraId="1DAF9E24" w14:textId="77777777" w:rsidR="00FE13BA" w:rsidRDefault="00FE13BA">
      <w:pPr>
        <w:spacing w:after="0" w:line="240" w:lineRule="auto"/>
        <w:jc w:val="both"/>
        <w:rPr>
          <w:rFonts w:ascii="Arial" w:eastAsia="Times New Roman" w:hAnsi="Arial" w:cs="Arial"/>
          <w:sz w:val="20"/>
          <w:szCs w:val="20"/>
        </w:rPr>
      </w:pPr>
    </w:p>
    <w:p w14:paraId="7552A00B"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Several studies across Nigeria, Ethiopia, Uganda, Kenya, Ghana, and Tanzania have reported positive outcomes from community-based interventions, including increased antenatal attendance, improved facility delivery, enhanced recognition of obstetric danger signs, and better postnatal follow-up. Community health workers, in particular, play an important bridging role between households and formal health systems by providing education, reminders, counselling, and referrals. Participatory women’s groups have also shown benefits by creating collective learning environments where women discuss pregnancy risks, plan transport, save funds, and support one another during childbirth (</w:t>
      </w:r>
      <w:proofErr w:type="spellStart"/>
      <w:r>
        <w:rPr>
          <w:rFonts w:ascii="Arial" w:eastAsia="Times New Roman" w:hAnsi="Arial" w:cs="Arial"/>
          <w:sz w:val="20"/>
          <w:szCs w:val="20"/>
        </w:rPr>
        <w:t>Lewycka</w:t>
      </w:r>
      <w:proofErr w:type="spellEnd"/>
      <w:r>
        <w:rPr>
          <w:rFonts w:ascii="Arial" w:eastAsia="Times New Roman" w:hAnsi="Arial" w:cs="Arial"/>
          <w:sz w:val="20"/>
          <w:szCs w:val="20"/>
        </w:rPr>
        <w:t xml:space="preserve"> et al., 2013; Tripathy et al., 2010).</w:t>
      </w:r>
    </w:p>
    <w:p w14:paraId="7DD2C572" w14:textId="77777777" w:rsidR="00FE13BA" w:rsidRDefault="00FE13BA">
      <w:pPr>
        <w:spacing w:after="0" w:line="240" w:lineRule="auto"/>
        <w:jc w:val="both"/>
        <w:rPr>
          <w:rFonts w:ascii="Arial" w:eastAsia="Times New Roman" w:hAnsi="Arial" w:cs="Arial"/>
          <w:sz w:val="20"/>
          <w:szCs w:val="20"/>
        </w:rPr>
      </w:pPr>
    </w:p>
    <w:p w14:paraId="19EDA592"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However, results across studies are not always consistent. Some interventions produce substantial improvements, while others show modest or short-lived effects due to inadequate supervision, poor funding continuity, workforce shortages, sociocultural resistance, insecurity, or weak health facility capacity to absorb increased demand. Differences in study design, intervention content, implementation duration, and outcome measurement further complicate interpretation of findings. As a result, policymakers and </w:t>
      </w:r>
      <w:proofErr w:type="spellStart"/>
      <w:r>
        <w:rPr>
          <w:rFonts w:ascii="Arial" w:eastAsia="Times New Roman" w:hAnsi="Arial" w:cs="Arial"/>
          <w:sz w:val="20"/>
          <w:szCs w:val="20"/>
        </w:rPr>
        <w:t>programme</w:t>
      </w:r>
      <w:proofErr w:type="spellEnd"/>
      <w:r>
        <w:rPr>
          <w:rFonts w:ascii="Arial" w:eastAsia="Times New Roman" w:hAnsi="Arial" w:cs="Arial"/>
          <w:sz w:val="20"/>
          <w:szCs w:val="20"/>
        </w:rPr>
        <w:t xml:space="preserve"> managers may find it difficult to determine which community education strategies are most effective, scalable, and sustainable in diverse contexts across Sub-Saharan Africa (Ahmed et al., 2024; Habte et al., 2024). </w:t>
      </w:r>
    </w:p>
    <w:p w14:paraId="4CF58EF5" w14:textId="77777777" w:rsidR="00FE13BA" w:rsidRDefault="00FE13BA">
      <w:pPr>
        <w:spacing w:after="0" w:line="240" w:lineRule="auto"/>
        <w:jc w:val="both"/>
        <w:rPr>
          <w:rFonts w:ascii="Arial" w:eastAsia="Times New Roman" w:hAnsi="Arial" w:cs="Arial"/>
          <w:sz w:val="20"/>
          <w:szCs w:val="20"/>
        </w:rPr>
      </w:pPr>
    </w:p>
    <w:p w14:paraId="037A1A55"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lastRenderedPageBreak/>
        <w:t xml:space="preserve">Although previous reviews have examined maternal health promotion or community participation broadly, there remains a need for an updated synthesis specifically focused on the effectiveness of community-based health education interventions on measurable maternal service uptake outcomes in the region. Consolidating such evidence is important for guiding investments in maternal health promotion, strengthening primary healthcare systems, and accelerating progress toward global maternal survival </w:t>
      </w:r>
      <w:proofErr w:type="spellStart"/>
      <w:r>
        <w:rPr>
          <w:rFonts w:ascii="Arial" w:eastAsia="Times New Roman" w:hAnsi="Arial" w:cs="Arial"/>
          <w:sz w:val="20"/>
          <w:szCs w:val="20"/>
        </w:rPr>
        <w:t>targets.Recent</w:t>
      </w:r>
      <w:proofErr w:type="spellEnd"/>
      <w:r>
        <w:rPr>
          <w:rFonts w:ascii="Arial" w:eastAsia="Times New Roman" w:hAnsi="Arial" w:cs="Arial"/>
          <w:sz w:val="20"/>
          <w:szCs w:val="20"/>
        </w:rPr>
        <w:t xml:space="preserve"> global estimates continue to show that Sub-Saharan Africa bears the highest burden of maternal mortality despite progress in service coverage (WHO, 2023; WHO, 2024)</w:t>
      </w:r>
    </w:p>
    <w:p w14:paraId="7E50F3BC" w14:textId="77777777" w:rsidR="00FE13BA" w:rsidRDefault="00FE13BA">
      <w:pPr>
        <w:spacing w:after="0" w:line="240" w:lineRule="auto"/>
        <w:jc w:val="both"/>
        <w:rPr>
          <w:rFonts w:ascii="Arial" w:eastAsia="Times New Roman" w:hAnsi="Arial" w:cs="Arial"/>
          <w:sz w:val="20"/>
          <w:szCs w:val="20"/>
        </w:rPr>
      </w:pPr>
    </w:p>
    <w:p w14:paraId="02A370BB"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Therefore, this systematic review aims to examine and synthesize available evidence on the effectiveness of community-based health education interventions in improving uptake of antenatal care, skilled birth attendance, facility delivery, and postnatal care services in Sub-Saharan Africa. The findings are expected to support evidence-based decision-making and inform context-appropriate strategies for reducing preventable maternal morbidity and mortality.</w:t>
      </w:r>
    </w:p>
    <w:p w14:paraId="53286C1B" w14:textId="77777777" w:rsidR="00FE13BA" w:rsidRDefault="00FE13BA">
      <w:pPr>
        <w:spacing w:after="0" w:line="240" w:lineRule="auto"/>
        <w:jc w:val="both"/>
        <w:rPr>
          <w:rFonts w:ascii="Arial" w:eastAsia="Times New Roman" w:hAnsi="Arial" w:cs="Arial"/>
          <w:szCs w:val="20"/>
        </w:rPr>
      </w:pPr>
    </w:p>
    <w:p w14:paraId="50C82E2A"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1.1 Statement of the Problem</w:t>
      </w:r>
    </w:p>
    <w:p w14:paraId="2A9FD062" w14:textId="77777777" w:rsidR="00FE13BA" w:rsidRDefault="00FE13BA">
      <w:pPr>
        <w:spacing w:after="0" w:line="240" w:lineRule="auto"/>
        <w:jc w:val="both"/>
        <w:rPr>
          <w:rFonts w:ascii="Arial" w:eastAsia="Times New Roman" w:hAnsi="Arial" w:cs="Arial"/>
          <w:szCs w:val="20"/>
        </w:rPr>
      </w:pPr>
    </w:p>
    <w:p w14:paraId="500A123F"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Maternal mortality remains one of the most persistent public health challenges in Sub-Saharan Africa despite of global commitments and expanded maternal health </w:t>
      </w:r>
      <w:proofErr w:type="spellStart"/>
      <w:r>
        <w:rPr>
          <w:rFonts w:ascii="Arial" w:eastAsia="Times New Roman" w:hAnsi="Arial" w:cs="Arial"/>
          <w:sz w:val="20"/>
          <w:szCs w:val="20"/>
        </w:rPr>
        <w:t>programmes</w:t>
      </w:r>
      <w:proofErr w:type="spellEnd"/>
      <w:r>
        <w:rPr>
          <w:rFonts w:ascii="Arial" w:eastAsia="Times New Roman" w:hAnsi="Arial" w:cs="Arial"/>
          <w:sz w:val="20"/>
          <w:szCs w:val="20"/>
        </w:rPr>
        <w:t xml:space="preserve">. The region continues to account for the largest share of preventable maternal deaths worldwide, with many women dying from complications related to pregnancy, childbirth, and the postpartum period that are largely avoidable through timely access to quality healthcare services (Say et al., 2014). Hemorrhage, hypertensive disorders, sepsis, obstructed </w:t>
      </w:r>
      <w:proofErr w:type="spellStart"/>
      <w:r>
        <w:rPr>
          <w:rFonts w:ascii="Arial" w:eastAsia="Times New Roman" w:hAnsi="Arial" w:cs="Arial"/>
          <w:sz w:val="20"/>
          <w:szCs w:val="20"/>
        </w:rPr>
        <w:t>labour</w:t>
      </w:r>
      <w:proofErr w:type="spellEnd"/>
      <w:r>
        <w:rPr>
          <w:rFonts w:ascii="Arial" w:eastAsia="Times New Roman" w:hAnsi="Arial" w:cs="Arial"/>
          <w:sz w:val="20"/>
          <w:szCs w:val="20"/>
        </w:rPr>
        <w:t>, and unsafe abortion remain major causes of maternal mortality, yet these conditions can often be prevented or effectively managed when women utilize antenatal care, skilled birth attendance, emergency obstetric services, and postnatal care (Campbell &amp; Graham, 2006).</w:t>
      </w:r>
    </w:p>
    <w:p w14:paraId="2D6AE224" w14:textId="77777777" w:rsidR="00FE13BA" w:rsidRDefault="00FE13BA">
      <w:pPr>
        <w:spacing w:after="0" w:line="240" w:lineRule="auto"/>
        <w:jc w:val="both"/>
        <w:rPr>
          <w:rFonts w:ascii="Arial" w:eastAsia="Times New Roman" w:hAnsi="Arial" w:cs="Arial"/>
          <w:sz w:val="20"/>
          <w:szCs w:val="20"/>
        </w:rPr>
      </w:pPr>
    </w:p>
    <w:p w14:paraId="78723E17"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Although many countries have expanded maternal health infrastructure, utilization of essential services remains inadequate, especially among rural, poor, less educated, and socially marginalized women. Delayed antenatal bookings, low completion of recommended antenatal contacts, home deliveries without skilled attendants, and poor postnatal follow-up are still common across several countries in the region (Tey &amp; Lai, 2013). In many communities, </w:t>
      </w:r>
      <w:r>
        <w:rPr>
          <w:rFonts w:ascii="Arial" w:eastAsia="Times New Roman" w:hAnsi="Arial" w:cs="Arial"/>
          <w:sz w:val="20"/>
          <w:szCs w:val="20"/>
        </w:rPr>
        <w:t>geographic inaccessibility, transportation difficulties, direct and indirect costs of care, weak referral systems, and shortages of trained personnel continue to limit service uptake. These structural barriers are further compounded by sociocultural norms that restrict women’s autonomy, preference for traditional birth practices, fear of mistreatment in facilities, and poor awareness of pregnancy danger signs (</w:t>
      </w:r>
      <w:proofErr w:type="spellStart"/>
      <w:r>
        <w:rPr>
          <w:rFonts w:ascii="Arial" w:eastAsia="Times New Roman" w:hAnsi="Arial" w:cs="Arial"/>
          <w:sz w:val="20"/>
          <w:szCs w:val="20"/>
        </w:rPr>
        <w:t>Sialubanje</w:t>
      </w:r>
      <w:proofErr w:type="spellEnd"/>
      <w:r>
        <w:rPr>
          <w:rFonts w:ascii="Arial" w:eastAsia="Times New Roman" w:hAnsi="Arial" w:cs="Arial"/>
          <w:sz w:val="20"/>
          <w:szCs w:val="20"/>
        </w:rPr>
        <w:t xml:space="preserve"> et al., 2015).</w:t>
      </w:r>
    </w:p>
    <w:p w14:paraId="51C4EF57" w14:textId="77777777" w:rsidR="00FE13BA" w:rsidRDefault="00FE13BA">
      <w:pPr>
        <w:spacing w:after="0" w:line="240" w:lineRule="auto"/>
        <w:jc w:val="both"/>
        <w:rPr>
          <w:rFonts w:ascii="Arial" w:eastAsia="Times New Roman" w:hAnsi="Arial" w:cs="Arial"/>
          <w:sz w:val="20"/>
          <w:szCs w:val="20"/>
        </w:rPr>
      </w:pPr>
    </w:p>
    <w:p w14:paraId="0B1EC788"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Health education delivered only within health facilities has often failed to reach women who rarely attend clinics or who make decisions under the influence of family and community gatekeepers. As a result, many women remain outside the formal maternal healthcare system until complications arise. Community-based health education interventions have been introduced in several settings to bridge this gap by taking information, counselling, and mobilization directly to households and communities through community health workers, peer groups, local leaders, and outreach campaigns. However, the effectiveness of these interventions across Sub-Saharan Africa is not yet clearly established.</w:t>
      </w:r>
    </w:p>
    <w:p w14:paraId="36D9679A" w14:textId="77777777" w:rsidR="00FE13BA" w:rsidRDefault="00FE13BA">
      <w:pPr>
        <w:spacing w:after="0" w:line="240" w:lineRule="auto"/>
        <w:jc w:val="both"/>
        <w:rPr>
          <w:rFonts w:ascii="Arial" w:eastAsia="Times New Roman" w:hAnsi="Arial" w:cs="Arial"/>
          <w:sz w:val="20"/>
          <w:szCs w:val="20"/>
        </w:rPr>
      </w:pPr>
    </w:p>
    <w:p w14:paraId="4D684574"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Existing evidence is fragmented across countries, intervention types, and study designs, making it difficult for policymakers to identify which approaches consistently improve maternal health service uptake. Some </w:t>
      </w:r>
      <w:proofErr w:type="spellStart"/>
      <w:r>
        <w:rPr>
          <w:rFonts w:ascii="Arial" w:eastAsia="Times New Roman" w:hAnsi="Arial" w:cs="Arial"/>
          <w:sz w:val="20"/>
          <w:szCs w:val="20"/>
        </w:rPr>
        <w:t>programmes</w:t>
      </w:r>
      <w:proofErr w:type="spellEnd"/>
      <w:r>
        <w:rPr>
          <w:rFonts w:ascii="Arial" w:eastAsia="Times New Roman" w:hAnsi="Arial" w:cs="Arial"/>
          <w:sz w:val="20"/>
          <w:szCs w:val="20"/>
        </w:rPr>
        <w:t xml:space="preserve"> report increased antenatal attendance and facility delivery, while others show limited or short-term gains due to weak implementation systems, poor supervision, or contextual barriers (Lassi et al., 2015). Without a clear synthesis of evidence, governments and development partners may continue investing in strategies with uncertain impact. Therefore, a systematic review is needed to evaluate the effectiveness of community-based health education interventions on maternal health service uptake and to guide evidence-based maternal health programming in the region.</w:t>
      </w:r>
    </w:p>
    <w:p w14:paraId="343D4A0F" w14:textId="77777777" w:rsidR="00FE13BA" w:rsidRDefault="00FE13BA">
      <w:pPr>
        <w:spacing w:after="0" w:line="240" w:lineRule="auto"/>
        <w:jc w:val="both"/>
        <w:rPr>
          <w:rFonts w:ascii="Arial" w:eastAsia="Times New Roman" w:hAnsi="Arial" w:cs="Arial"/>
          <w:sz w:val="18"/>
          <w:szCs w:val="20"/>
        </w:rPr>
      </w:pPr>
    </w:p>
    <w:p w14:paraId="2E4EEFE7" w14:textId="77777777" w:rsidR="00FE13BA" w:rsidRDefault="000C7AFA">
      <w:pPr>
        <w:spacing w:after="0" w:line="240" w:lineRule="auto"/>
        <w:jc w:val="both"/>
        <w:rPr>
          <w:rFonts w:ascii="Arial" w:eastAsia="Times New Roman" w:hAnsi="Arial" w:cs="Arial"/>
          <w:szCs w:val="20"/>
        </w:rPr>
      </w:pPr>
      <w:r>
        <w:rPr>
          <w:rFonts w:ascii="Arial" w:eastAsia="Times New Roman" w:hAnsi="Arial" w:cs="Arial"/>
          <w:b/>
          <w:bCs/>
          <w:szCs w:val="20"/>
        </w:rPr>
        <w:t>1.2 Aim of the Study</w:t>
      </w:r>
      <w:r>
        <w:rPr>
          <w:rFonts w:ascii="Arial" w:eastAsia="Times New Roman" w:hAnsi="Arial" w:cs="Arial"/>
          <w:szCs w:val="20"/>
        </w:rPr>
        <w:t xml:space="preserve"> </w:t>
      </w:r>
    </w:p>
    <w:p w14:paraId="25562B37" w14:textId="77777777" w:rsidR="00FE13BA" w:rsidRDefault="00FE13BA">
      <w:pPr>
        <w:spacing w:after="0" w:line="240" w:lineRule="auto"/>
        <w:jc w:val="both"/>
        <w:rPr>
          <w:rFonts w:ascii="Arial" w:eastAsia="Times New Roman" w:hAnsi="Arial" w:cs="Arial"/>
          <w:sz w:val="20"/>
          <w:szCs w:val="20"/>
        </w:rPr>
      </w:pPr>
    </w:p>
    <w:p w14:paraId="75C49C97"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This study aims to systematically review and synthesize available evidence on the effectiveness of community-based health education interventions in improving maternal health service uptake among women in Sub-Saharan Africa. Specifically, it seeks to examine the impact of these interventions on the utilization of antenatal care services, skilled birth attendance, facility-based delivery, and postnatal </w:t>
      </w:r>
      <w:r>
        <w:rPr>
          <w:rFonts w:ascii="Arial" w:eastAsia="Times New Roman" w:hAnsi="Arial" w:cs="Arial"/>
          <w:sz w:val="20"/>
          <w:szCs w:val="20"/>
        </w:rPr>
        <w:lastRenderedPageBreak/>
        <w:t>care, while identifying the factors that influence their success across different settings.</w:t>
      </w:r>
    </w:p>
    <w:p w14:paraId="12B8553A" w14:textId="77777777" w:rsidR="00FE13BA" w:rsidRDefault="00FE13BA">
      <w:pPr>
        <w:spacing w:after="0" w:line="240" w:lineRule="auto"/>
        <w:jc w:val="both"/>
        <w:rPr>
          <w:rFonts w:ascii="Arial" w:eastAsia="Times New Roman" w:hAnsi="Arial" w:cs="Arial"/>
          <w:sz w:val="14"/>
          <w:szCs w:val="20"/>
        </w:rPr>
      </w:pPr>
    </w:p>
    <w:p w14:paraId="44AA5C06"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1.3 Rationale of the Study</w:t>
      </w:r>
    </w:p>
    <w:p w14:paraId="569936BB" w14:textId="77777777" w:rsidR="00FE13BA" w:rsidRDefault="00FE13BA">
      <w:pPr>
        <w:spacing w:after="0" w:line="240" w:lineRule="auto"/>
        <w:jc w:val="both"/>
        <w:rPr>
          <w:rFonts w:ascii="Arial" w:eastAsia="Times New Roman" w:hAnsi="Arial" w:cs="Arial"/>
          <w:sz w:val="14"/>
          <w:szCs w:val="20"/>
        </w:rPr>
      </w:pPr>
    </w:p>
    <w:p w14:paraId="4ED59AFE"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Maternal health remains a major development and public health priority in Sub-Saharan Africa, where preventable maternal morbidity and mortality continue to occur at disproportionately high levels. Although many countries have adopted policies to expand antenatal care, skilled delivery services, and postnatal care, gaps in utilization persist across rural and underserved populations. Availability of services alone does not guarantee access or use, particularly where women face low health literacy, poverty, harmful social norms, and delayed decision making regarding pregnancy care. Strengthening demand for maternal health services is therefore as important as strengthening supply side systems (Gabrysch &amp; Campbell, 2009; Bohren et al., 2014).</w:t>
      </w:r>
    </w:p>
    <w:p w14:paraId="73A7F429" w14:textId="77777777" w:rsidR="00FE13BA" w:rsidRDefault="00FE13BA">
      <w:pPr>
        <w:spacing w:after="0" w:line="240" w:lineRule="auto"/>
        <w:jc w:val="both"/>
        <w:rPr>
          <w:rFonts w:ascii="Arial" w:eastAsia="Times New Roman" w:hAnsi="Arial" w:cs="Arial"/>
          <w:sz w:val="20"/>
          <w:szCs w:val="20"/>
        </w:rPr>
      </w:pPr>
    </w:p>
    <w:p w14:paraId="0D4ECCB2"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Community-based health education interventions are increasingly recognized as practical approaches for addressing barriers that conventional facility-based systems may not overcome. By using trusted community structures such as community health workers, peer educators, women’s groups, and local leaders, these interventions can improve awareness of pregnancy danger signs, birth preparedness, early antenatal booking, and timely care-seeking. Community engagement approaches may also reduce fear of health facilities and increase male and family support for maternal care utilization. Evidence from low-resource settings suggests that socially embedded interventions can positively influence maternal behaviors when messages are culturally acceptable and consistently delivered (Moyer &amp; Mustafa, 2013; Sacks et al., 2017).</w:t>
      </w:r>
    </w:p>
    <w:p w14:paraId="230F8FA0" w14:textId="77777777" w:rsidR="00FE13BA" w:rsidRDefault="00FE13BA">
      <w:pPr>
        <w:spacing w:after="0" w:line="240" w:lineRule="auto"/>
        <w:jc w:val="both"/>
        <w:rPr>
          <w:rFonts w:ascii="Arial" w:eastAsia="Times New Roman" w:hAnsi="Arial" w:cs="Arial"/>
          <w:sz w:val="20"/>
          <w:szCs w:val="20"/>
        </w:rPr>
      </w:pPr>
    </w:p>
    <w:p w14:paraId="2705A121"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Despite growing implementation across several countries, evidence regarding the effectiveness of community-based health education interventions in Sub-Saharan Africa remains dispersed across different contexts, populations, and </w:t>
      </w:r>
      <w:proofErr w:type="spellStart"/>
      <w:r>
        <w:rPr>
          <w:rFonts w:ascii="Arial" w:eastAsia="Times New Roman" w:hAnsi="Arial" w:cs="Arial"/>
          <w:sz w:val="20"/>
          <w:szCs w:val="20"/>
        </w:rPr>
        <w:t>programme</w:t>
      </w:r>
      <w:proofErr w:type="spellEnd"/>
      <w:r>
        <w:rPr>
          <w:rFonts w:ascii="Arial" w:eastAsia="Times New Roman" w:hAnsi="Arial" w:cs="Arial"/>
          <w:sz w:val="20"/>
          <w:szCs w:val="20"/>
        </w:rPr>
        <w:t xml:space="preserve"> models. Some studies report significant improvements in facility delivery and antenatal attendance, whereas others show limited effects due to poor supervision, weak referral systems, workforce shortages, or contextual resistance. Without a comprehensive synthesis, it is difficult for policymakers, donors, and </w:t>
      </w:r>
      <w:proofErr w:type="spellStart"/>
      <w:r>
        <w:rPr>
          <w:rFonts w:ascii="Arial" w:eastAsia="Times New Roman" w:hAnsi="Arial" w:cs="Arial"/>
          <w:sz w:val="20"/>
          <w:szCs w:val="20"/>
        </w:rPr>
        <w:t>programme</w:t>
      </w:r>
      <w:proofErr w:type="spellEnd"/>
      <w:r>
        <w:rPr>
          <w:rFonts w:ascii="Arial" w:eastAsia="Times New Roman" w:hAnsi="Arial" w:cs="Arial"/>
          <w:sz w:val="20"/>
          <w:szCs w:val="20"/>
        </w:rPr>
        <w:t xml:space="preserve"> managers to determine which intervention models are most effective, </w:t>
      </w:r>
      <w:proofErr w:type="spellStart"/>
      <w:r>
        <w:rPr>
          <w:rFonts w:ascii="Arial" w:eastAsia="Times New Roman" w:hAnsi="Arial" w:cs="Arial"/>
          <w:sz w:val="20"/>
          <w:szCs w:val="20"/>
        </w:rPr>
        <w:t>scaleable</w:t>
      </w:r>
      <w:proofErr w:type="spellEnd"/>
      <w:r>
        <w:rPr>
          <w:rFonts w:ascii="Arial" w:eastAsia="Times New Roman" w:hAnsi="Arial" w:cs="Arial"/>
          <w:sz w:val="20"/>
          <w:szCs w:val="20"/>
        </w:rPr>
        <w:t>, and sustainable across varying health system environments (Kok et al., 2015; Lunsford et al., 2015).</w:t>
      </w:r>
    </w:p>
    <w:p w14:paraId="1E0324B7" w14:textId="77777777" w:rsidR="00FE13BA" w:rsidRDefault="00FE13BA">
      <w:pPr>
        <w:spacing w:after="0" w:line="240" w:lineRule="auto"/>
        <w:jc w:val="both"/>
        <w:rPr>
          <w:rFonts w:ascii="Arial" w:eastAsia="Times New Roman" w:hAnsi="Arial" w:cs="Arial"/>
          <w:sz w:val="20"/>
          <w:szCs w:val="20"/>
        </w:rPr>
      </w:pPr>
    </w:p>
    <w:p w14:paraId="79A43D05"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This systematic review is therefore justified because it will consolidate current evidence on community-based health education strategies and their impact on maternal health service uptake in the region. The findings will help identify successful approaches, implementation barriers, and research gaps requiring further attention. In addition, the review can guide ministries of health, non-governmental organizations, and development partners in designing evidence-based maternal health </w:t>
      </w:r>
      <w:proofErr w:type="spellStart"/>
      <w:r>
        <w:rPr>
          <w:rFonts w:ascii="Arial" w:eastAsia="Times New Roman" w:hAnsi="Arial" w:cs="Arial"/>
          <w:sz w:val="20"/>
          <w:szCs w:val="20"/>
        </w:rPr>
        <w:t>programmes</w:t>
      </w:r>
      <w:proofErr w:type="spellEnd"/>
      <w:r>
        <w:rPr>
          <w:rFonts w:ascii="Arial" w:eastAsia="Times New Roman" w:hAnsi="Arial" w:cs="Arial"/>
          <w:sz w:val="20"/>
          <w:szCs w:val="20"/>
        </w:rPr>
        <w:t xml:space="preserve"> that support progress toward universal health coverage and reductions in preventable maternal deaths (</w:t>
      </w:r>
      <w:proofErr w:type="spellStart"/>
      <w:r>
        <w:rPr>
          <w:rFonts w:ascii="Arial" w:eastAsia="Times New Roman" w:hAnsi="Arial" w:cs="Arial"/>
          <w:sz w:val="20"/>
          <w:szCs w:val="20"/>
        </w:rPr>
        <w:t>Mbuagbaw</w:t>
      </w:r>
      <w:proofErr w:type="spellEnd"/>
      <w:r>
        <w:rPr>
          <w:rFonts w:ascii="Arial" w:eastAsia="Times New Roman" w:hAnsi="Arial" w:cs="Arial"/>
          <w:sz w:val="20"/>
          <w:szCs w:val="20"/>
        </w:rPr>
        <w:t xml:space="preserve"> et al., 2015; Singh et al., 2018).</w:t>
      </w:r>
    </w:p>
    <w:p w14:paraId="2CC5E007" w14:textId="77777777" w:rsidR="00FE13BA" w:rsidRDefault="00FE13BA">
      <w:pPr>
        <w:spacing w:after="0" w:line="240" w:lineRule="auto"/>
        <w:jc w:val="both"/>
        <w:rPr>
          <w:rFonts w:ascii="Arial" w:eastAsia="Times New Roman" w:hAnsi="Arial" w:cs="Arial"/>
          <w:sz w:val="20"/>
          <w:szCs w:val="20"/>
        </w:rPr>
      </w:pPr>
    </w:p>
    <w:p w14:paraId="3E304615" w14:textId="77777777" w:rsidR="00FE13BA" w:rsidRDefault="000C7AFA">
      <w:pPr>
        <w:pStyle w:val="Heading2"/>
        <w:rPr>
          <w:rFonts w:eastAsia="Times New Roman"/>
        </w:rPr>
      </w:pPr>
      <w:r>
        <w:rPr>
          <w:rFonts w:eastAsia="Times New Roman"/>
        </w:rPr>
        <w:t>2. METHODOLOGY</w:t>
      </w:r>
    </w:p>
    <w:p w14:paraId="5CFD6FCA" w14:textId="77777777" w:rsidR="00FE13BA" w:rsidRDefault="00FE13BA">
      <w:pPr>
        <w:spacing w:after="0" w:line="240" w:lineRule="auto"/>
        <w:jc w:val="both"/>
        <w:rPr>
          <w:rFonts w:ascii="Arial" w:eastAsia="Times New Roman" w:hAnsi="Arial" w:cs="Arial"/>
          <w:sz w:val="20"/>
          <w:szCs w:val="20"/>
        </w:rPr>
      </w:pPr>
    </w:p>
    <w:p w14:paraId="01B68243"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2.1 Study Design</w:t>
      </w:r>
    </w:p>
    <w:p w14:paraId="51AFEAB4" w14:textId="77777777" w:rsidR="00FE13BA" w:rsidRDefault="00FE13BA">
      <w:pPr>
        <w:spacing w:after="0" w:line="240" w:lineRule="auto"/>
        <w:jc w:val="both"/>
        <w:rPr>
          <w:rFonts w:ascii="Arial" w:eastAsia="Times New Roman" w:hAnsi="Arial" w:cs="Arial"/>
          <w:sz w:val="20"/>
          <w:szCs w:val="20"/>
        </w:rPr>
      </w:pPr>
    </w:p>
    <w:p w14:paraId="64CBD53B"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This review adopted a systematic review design to comprehensively identify, appraise, and synthesize available empirical evidence on the effectiveness of community-based health education interventions in improving maternal health service uptake among women in Sub-Saharan Africa. The systematic review approach was considered most appropriate because it allows for the rigorous collection and integration of findings from multiple primary studies conducted across different countries, populations, and intervention settings, thereby providing a stronger evidence base than individual studies alone. The review was guided by the Preferred Reporting Items for Systematic Reviews and Meta-Analyses (PRISMA) framework to ensure transparency, reproducibility, and methodological consistency throughout the review process (Page et al., 2021). Studies considered for inclusion comprised quantitative, qualitative, and mixed-method research designs that evaluated community-based educational strategies such as home visits, women’s groups, peer counselling, community mobilization, male involvement </w:t>
      </w:r>
      <w:proofErr w:type="spellStart"/>
      <w:r>
        <w:rPr>
          <w:rFonts w:ascii="Arial" w:eastAsia="Times New Roman" w:hAnsi="Arial" w:cs="Arial"/>
          <w:sz w:val="20"/>
          <w:szCs w:val="20"/>
        </w:rPr>
        <w:t>programme</w:t>
      </w:r>
      <w:proofErr w:type="spellEnd"/>
      <w:r>
        <w:rPr>
          <w:rFonts w:ascii="Arial" w:eastAsia="Times New Roman" w:hAnsi="Arial" w:cs="Arial"/>
          <w:sz w:val="20"/>
          <w:szCs w:val="20"/>
        </w:rPr>
        <w:t xml:space="preserve">, and outreach campaigns aimed at increasing utilization of antenatal care, skilled birth attendance, facility delivery, and postnatal care services. By incorporating evidence from diverse methodological traditions, the review enabled a broad understanding not only of measurable outcomes but also contextual and implementation factors influencing intervention success. A comparative synthesis across countries and subregions was undertaken to explore similarities and differences in </w:t>
      </w:r>
      <w:proofErr w:type="spellStart"/>
      <w:r>
        <w:rPr>
          <w:rFonts w:ascii="Arial" w:eastAsia="Times New Roman" w:hAnsi="Arial" w:cs="Arial"/>
          <w:sz w:val="20"/>
          <w:szCs w:val="20"/>
        </w:rPr>
        <w:t>programme</w:t>
      </w:r>
      <w:proofErr w:type="spellEnd"/>
      <w:r>
        <w:rPr>
          <w:rFonts w:ascii="Arial" w:eastAsia="Times New Roman" w:hAnsi="Arial" w:cs="Arial"/>
          <w:sz w:val="20"/>
          <w:szCs w:val="20"/>
        </w:rPr>
        <w:t xml:space="preserve"> effectiveness according to sociocultural context, rural-urban setting, health system capacity, and </w:t>
      </w:r>
      <w:r>
        <w:rPr>
          <w:rFonts w:ascii="Arial" w:eastAsia="Times New Roman" w:hAnsi="Arial" w:cs="Arial"/>
          <w:sz w:val="20"/>
          <w:szCs w:val="20"/>
        </w:rPr>
        <w:lastRenderedPageBreak/>
        <w:t>intervention delivery model. This design also facilitated identification of research gaps, recurring implementation barriers, and best practices relevant to maternal health programming. The systematic review method has been widely recommended for informing policy and practice because it minimizes selection bias through explicit eligibility criteria, structured search procedures, and standardized appraisal of study quality (Higgins et al., 2022). Therefore, the chosen design was suitable for generating reliable and policy-relevant evidence on how community-based health education interventions can strengthen maternal health service uptake across the region.</w:t>
      </w:r>
    </w:p>
    <w:p w14:paraId="7AC0211B" w14:textId="77777777" w:rsidR="00FE13BA" w:rsidRDefault="00FE13BA">
      <w:pPr>
        <w:spacing w:after="0" w:line="240" w:lineRule="auto"/>
        <w:jc w:val="both"/>
        <w:rPr>
          <w:rFonts w:ascii="Arial" w:eastAsia="Times New Roman" w:hAnsi="Arial" w:cs="Arial"/>
          <w:sz w:val="20"/>
          <w:szCs w:val="20"/>
        </w:rPr>
      </w:pPr>
    </w:p>
    <w:p w14:paraId="37C2FF7F"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2.2 Search Strategy</w:t>
      </w:r>
    </w:p>
    <w:p w14:paraId="4ED07A2F" w14:textId="77777777" w:rsidR="00FE13BA" w:rsidRDefault="00FE13BA">
      <w:pPr>
        <w:spacing w:after="0" w:line="240" w:lineRule="auto"/>
        <w:jc w:val="both"/>
        <w:rPr>
          <w:rFonts w:ascii="Arial" w:eastAsia="Times New Roman" w:hAnsi="Arial" w:cs="Arial"/>
          <w:sz w:val="20"/>
          <w:szCs w:val="20"/>
        </w:rPr>
      </w:pPr>
    </w:p>
    <w:p w14:paraId="2EEC4F1E"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A comprehensive and structured search was conducted to identify relevant studies examining the effectiveness of community-based health education interventions on maternal health service uptake in Sub-Saharan Africa. Electronic databases searched included Pu</w:t>
      </w:r>
      <w:r>
        <w:rPr>
          <w:rFonts w:ascii="Arial" w:eastAsia="Times New Roman" w:hAnsi="Arial" w:cs="Arial"/>
          <w:bCs/>
          <w:sz w:val="20"/>
          <w:szCs w:val="20"/>
        </w:rPr>
        <w:t>bMed, Scopus, Web of Science, Google Scholar, Cochrane Library, and African Journals Online (AJOL)</w:t>
      </w:r>
      <w:r>
        <w:rPr>
          <w:rFonts w:ascii="Arial" w:eastAsia="Times New Roman" w:hAnsi="Arial" w:cs="Arial"/>
          <w:sz w:val="20"/>
          <w:szCs w:val="20"/>
        </w:rPr>
        <w:t>. Th search covered studies published from January 2010 to March 2026 to capture recent evidence relevant to maternal health programming in the region. Additional manual searches of reference lists of eligible articles and related reviews were undertaken to identify further studies.</w:t>
      </w:r>
    </w:p>
    <w:p w14:paraId="3AA3F6E8" w14:textId="77777777" w:rsidR="00FE13BA" w:rsidRDefault="00FE13BA">
      <w:pPr>
        <w:spacing w:after="0" w:line="240" w:lineRule="auto"/>
        <w:jc w:val="both"/>
        <w:rPr>
          <w:rFonts w:ascii="Arial" w:eastAsia="Times New Roman" w:hAnsi="Arial" w:cs="Arial"/>
          <w:sz w:val="20"/>
          <w:szCs w:val="20"/>
        </w:rPr>
      </w:pPr>
    </w:p>
    <w:p w14:paraId="3F440749"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The search strategy combined Medical Subject Headings (</w:t>
      </w:r>
      <w:proofErr w:type="spellStart"/>
      <w:r>
        <w:rPr>
          <w:rFonts w:ascii="Arial" w:eastAsia="Times New Roman" w:hAnsi="Arial" w:cs="Arial"/>
          <w:sz w:val="20"/>
          <w:szCs w:val="20"/>
        </w:rPr>
        <w:t>MeSH</w:t>
      </w:r>
      <w:proofErr w:type="spellEnd"/>
      <w:r>
        <w:rPr>
          <w:rFonts w:ascii="Arial" w:eastAsia="Times New Roman" w:hAnsi="Arial" w:cs="Arial"/>
          <w:sz w:val="20"/>
          <w:szCs w:val="20"/>
        </w:rPr>
        <w:t>), free-text keywords, and Boolean operators (AND, OR). Key search terms included:</w:t>
      </w:r>
    </w:p>
    <w:p w14:paraId="2FD84FAA" w14:textId="77777777" w:rsidR="00FE13BA" w:rsidRDefault="00FE13BA">
      <w:pPr>
        <w:spacing w:after="0" w:line="240" w:lineRule="auto"/>
        <w:jc w:val="both"/>
        <w:rPr>
          <w:rFonts w:ascii="Arial" w:eastAsia="Times New Roman" w:hAnsi="Arial" w:cs="Arial"/>
          <w:sz w:val="20"/>
          <w:szCs w:val="20"/>
        </w:rPr>
      </w:pPr>
    </w:p>
    <w:p w14:paraId="187505ED"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 “community-based health education,” “maternal health service uptake,” “antenatal care,” “skilled birth attendance,” “facility delivery,” “postnatal care,” and “Sub-Saharan Africa.” Search strings were adapted to suit the indexing systems of individual databases. </w:t>
      </w:r>
    </w:p>
    <w:p w14:paraId="5C710E6B" w14:textId="77777777" w:rsidR="00FE13BA" w:rsidRDefault="00FE13BA">
      <w:pPr>
        <w:spacing w:after="0" w:line="240" w:lineRule="auto"/>
        <w:jc w:val="both"/>
        <w:rPr>
          <w:rFonts w:ascii="Arial" w:eastAsia="Times New Roman" w:hAnsi="Arial" w:cs="Arial"/>
          <w:sz w:val="20"/>
          <w:szCs w:val="20"/>
        </w:rPr>
      </w:pPr>
    </w:p>
    <w:p w14:paraId="7842F6FC"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An example search syntax used in PubMed was:</w:t>
      </w:r>
    </w:p>
    <w:p w14:paraId="3C0A12C4" w14:textId="77777777" w:rsidR="00FE13BA" w:rsidRDefault="00FE13BA">
      <w:pPr>
        <w:spacing w:after="0" w:line="240" w:lineRule="auto"/>
        <w:jc w:val="both"/>
        <w:rPr>
          <w:rFonts w:ascii="Arial" w:eastAsia="Times New Roman" w:hAnsi="Arial" w:cs="Arial"/>
          <w:sz w:val="20"/>
          <w:szCs w:val="20"/>
        </w:rPr>
      </w:pPr>
    </w:p>
    <w:p w14:paraId="697EAE5C"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 (“community-based health education” OR “community intervention” OR “health promotion”) AND (“maternal health services” OR “antenatal care” OR “skilled delivery” OR “postnatal care”) AND (“Sub-Saharan Africa”). All retrieved citations were exported to reference management software where duplicates were identified and removed before screening. The search process was documented in line with PRISMA recommendations to ensure transparency and reproducibility (Page et al., 2021)</w:t>
      </w:r>
    </w:p>
    <w:p w14:paraId="3BF3F25D" w14:textId="77777777" w:rsidR="00FE13BA" w:rsidRDefault="00FE13BA">
      <w:pPr>
        <w:spacing w:after="0" w:line="240" w:lineRule="auto"/>
        <w:jc w:val="both"/>
        <w:rPr>
          <w:rFonts w:ascii="Arial" w:eastAsia="Times New Roman" w:hAnsi="Arial" w:cs="Arial"/>
          <w:sz w:val="20"/>
          <w:szCs w:val="20"/>
        </w:rPr>
      </w:pPr>
    </w:p>
    <w:p w14:paraId="18A5A5B1"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szCs w:val="20"/>
        </w:rPr>
        <w:t xml:space="preserve">2.3 </w:t>
      </w:r>
      <w:r>
        <w:rPr>
          <w:rFonts w:ascii="Arial" w:eastAsia="Times New Roman" w:hAnsi="Arial" w:cs="Arial"/>
          <w:b/>
          <w:bCs/>
          <w:szCs w:val="20"/>
        </w:rPr>
        <w:t>Eligibility Criteria</w:t>
      </w:r>
    </w:p>
    <w:p w14:paraId="25D22ADA" w14:textId="77777777" w:rsidR="00FE13BA" w:rsidRDefault="00FE13BA">
      <w:pPr>
        <w:spacing w:after="0" w:line="240" w:lineRule="auto"/>
        <w:jc w:val="both"/>
        <w:rPr>
          <w:rFonts w:ascii="Arial" w:eastAsia="Times New Roman" w:hAnsi="Arial" w:cs="Arial"/>
          <w:sz w:val="20"/>
          <w:szCs w:val="20"/>
        </w:rPr>
      </w:pPr>
    </w:p>
    <w:p w14:paraId="0AC2C5D7"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The eligibility criteria for this review were developed a priori using the Population, Intervention, Comparison, Outcome, and Study Design (PICOS) framework to ensure consistency in study selection.</w:t>
      </w:r>
    </w:p>
    <w:p w14:paraId="6D2C7802" w14:textId="77777777" w:rsidR="00FE13BA" w:rsidRDefault="00FE13BA">
      <w:pPr>
        <w:spacing w:after="0" w:line="240" w:lineRule="auto"/>
        <w:jc w:val="both"/>
        <w:rPr>
          <w:rFonts w:ascii="Arial" w:eastAsia="Times New Roman" w:hAnsi="Arial" w:cs="Arial"/>
          <w:sz w:val="20"/>
          <w:szCs w:val="20"/>
        </w:rPr>
      </w:pPr>
    </w:p>
    <w:p w14:paraId="5E04D9B0" w14:textId="77777777" w:rsidR="00FE13BA" w:rsidRDefault="000C7AFA">
      <w:pPr>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2.3.1 Inclusion criteria</w:t>
      </w:r>
    </w:p>
    <w:p w14:paraId="7B20239A" w14:textId="77777777" w:rsidR="00FE13BA" w:rsidRDefault="00FE13BA">
      <w:pPr>
        <w:spacing w:after="0" w:line="240" w:lineRule="auto"/>
        <w:jc w:val="both"/>
        <w:rPr>
          <w:rFonts w:ascii="Arial" w:eastAsia="Times New Roman" w:hAnsi="Arial" w:cs="Arial"/>
          <w:sz w:val="20"/>
          <w:szCs w:val="20"/>
        </w:rPr>
      </w:pPr>
    </w:p>
    <w:p w14:paraId="1B02D604"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Studies were included if they met the following conditions:</w:t>
      </w:r>
    </w:p>
    <w:p w14:paraId="56D90FB9" w14:textId="77777777" w:rsidR="00FE13BA" w:rsidRDefault="00FE13BA">
      <w:pPr>
        <w:spacing w:after="0" w:line="240" w:lineRule="auto"/>
        <w:jc w:val="both"/>
        <w:rPr>
          <w:rFonts w:ascii="Arial" w:eastAsia="Times New Roman" w:hAnsi="Arial" w:cs="Arial"/>
          <w:sz w:val="20"/>
          <w:szCs w:val="20"/>
        </w:rPr>
      </w:pPr>
    </w:p>
    <w:p w14:paraId="603D15DB" w14:textId="77777777" w:rsidR="00FE13BA" w:rsidRDefault="000C7AFA">
      <w:pPr>
        <w:numPr>
          <w:ilvl w:val="0"/>
          <w:numId w:val="1"/>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Conducted in countries within Sub-Saharan Africa.</w:t>
      </w:r>
    </w:p>
    <w:p w14:paraId="227C50BF" w14:textId="77777777" w:rsidR="00FE13BA" w:rsidRDefault="000C7AFA">
      <w:pPr>
        <w:numPr>
          <w:ilvl w:val="0"/>
          <w:numId w:val="1"/>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Evaluated a community-based health education or mobilization intervention related to maternal health.</w:t>
      </w:r>
    </w:p>
    <w:p w14:paraId="16326F3A" w14:textId="77777777" w:rsidR="00FE13BA" w:rsidRDefault="000C7AFA">
      <w:pPr>
        <w:numPr>
          <w:ilvl w:val="0"/>
          <w:numId w:val="1"/>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Reported measurable outcomes on maternal health service uptake.</w:t>
      </w:r>
    </w:p>
    <w:p w14:paraId="27E1D49F" w14:textId="77777777" w:rsidR="00FE13BA" w:rsidRDefault="000C7AFA">
      <w:pPr>
        <w:numPr>
          <w:ilvl w:val="0"/>
          <w:numId w:val="1"/>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Used primary research designs such as randomized trials, quasi-experimental, cohort, cross-sectional, qualitative or mixed-method studies.</w:t>
      </w:r>
    </w:p>
    <w:p w14:paraId="1DA6955B" w14:textId="77777777" w:rsidR="00FE13BA" w:rsidRDefault="000C7AFA">
      <w:pPr>
        <w:numPr>
          <w:ilvl w:val="0"/>
          <w:numId w:val="1"/>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 xml:space="preserve">Published between </w:t>
      </w:r>
      <w:r>
        <w:rPr>
          <w:rFonts w:ascii="Arial" w:eastAsia="Times New Roman" w:hAnsi="Arial" w:cs="Arial"/>
          <w:bCs/>
          <w:sz w:val="20"/>
          <w:szCs w:val="20"/>
        </w:rPr>
        <w:t>2010 and 2026</w:t>
      </w:r>
      <w:r>
        <w:rPr>
          <w:rFonts w:ascii="Arial" w:eastAsia="Times New Roman" w:hAnsi="Arial" w:cs="Arial"/>
          <w:sz w:val="20"/>
          <w:szCs w:val="20"/>
        </w:rPr>
        <w:t xml:space="preserve"> in peer-reviewed journals or institutional repositories.</w:t>
      </w:r>
    </w:p>
    <w:p w14:paraId="1ABC8360" w14:textId="77777777" w:rsidR="00FE13BA" w:rsidRDefault="00FE13BA">
      <w:pPr>
        <w:spacing w:after="0" w:line="240" w:lineRule="auto"/>
        <w:jc w:val="both"/>
        <w:rPr>
          <w:rFonts w:ascii="Arial" w:eastAsia="Times New Roman" w:hAnsi="Arial" w:cs="Arial"/>
          <w:b/>
          <w:bCs/>
          <w:sz w:val="16"/>
          <w:szCs w:val="16"/>
          <w:u w:val="single"/>
        </w:rPr>
      </w:pPr>
    </w:p>
    <w:p w14:paraId="4D08C002" w14:textId="77777777" w:rsidR="00FE13BA" w:rsidRDefault="000C7AFA">
      <w:pPr>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2.3.2 Exclusion criteria</w:t>
      </w:r>
    </w:p>
    <w:p w14:paraId="63BAE72A" w14:textId="77777777" w:rsidR="00FE13BA" w:rsidRDefault="00FE13BA">
      <w:pPr>
        <w:spacing w:after="0" w:line="240" w:lineRule="auto"/>
        <w:jc w:val="both"/>
        <w:rPr>
          <w:rFonts w:ascii="Arial" w:eastAsia="Times New Roman" w:hAnsi="Arial" w:cs="Arial"/>
          <w:sz w:val="16"/>
          <w:szCs w:val="16"/>
        </w:rPr>
      </w:pPr>
    </w:p>
    <w:p w14:paraId="14431951"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Studies were excluded if they:</w:t>
      </w:r>
    </w:p>
    <w:p w14:paraId="6D2EF0D8" w14:textId="77777777" w:rsidR="00FE13BA" w:rsidRDefault="00FE13BA">
      <w:pPr>
        <w:spacing w:after="0" w:line="240" w:lineRule="auto"/>
        <w:jc w:val="both"/>
        <w:rPr>
          <w:rFonts w:ascii="Arial" w:eastAsia="Times New Roman" w:hAnsi="Arial" w:cs="Arial"/>
          <w:sz w:val="16"/>
          <w:szCs w:val="16"/>
        </w:rPr>
      </w:pPr>
    </w:p>
    <w:p w14:paraId="3CDA860E" w14:textId="77777777" w:rsidR="00FE13BA" w:rsidRDefault="000C7AFA">
      <w:pPr>
        <w:numPr>
          <w:ilvl w:val="0"/>
          <w:numId w:val="2"/>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Were conducted outside Sub-Saharan Africa.</w:t>
      </w:r>
    </w:p>
    <w:p w14:paraId="26559D08" w14:textId="77777777" w:rsidR="00FE13BA" w:rsidRDefault="000C7AFA">
      <w:pPr>
        <w:numPr>
          <w:ilvl w:val="0"/>
          <w:numId w:val="2"/>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Focused solely on facility-based interventions without community engagement components.</w:t>
      </w:r>
    </w:p>
    <w:p w14:paraId="3D75FC7F" w14:textId="77777777" w:rsidR="00FE13BA" w:rsidRDefault="000C7AFA">
      <w:pPr>
        <w:numPr>
          <w:ilvl w:val="0"/>
          <w:numId w:val="2"/>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Addressed child health, family planning, or general health promotion without specific maternal health service outcomes.</w:t>
      </w:r>
    </w:p>
    <w:p w14:paraId="72645DA3" w14:textId="77777777" w:rsidR="00FE13BA" w:rsidRDefault="000C7AFA">
      <w:pPr>
        <w:numPr>
          <w:ilvl w:val="0"/>
          <w:numId w:val="2"/>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Were reviews, editorials, commentaries, conference abstracts, protocols, dissertations, or policy briefs without primary data.</w:t>
      </w:r>
    </w:p>
    <w:p w14:paraId="0F693DB0" w14:textId="77777777" w:rsidR="00FE13BA" w:rsidRDefault="000C7AFA">
      <w:pPr>
        <w:numPr>
          <w:ilvl w:val="0"/>
          <w:numId w:val="2"/>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Were duplicates, lacked accessible full text, or did not report sufficient outcome data for extraction.</w:t>
      </w:r>
    </w:p>
    <w:p w14:paraId="53704BFF" w14:textId="77777777" w:rsidR="00FE13BA" w:rsidRDefault="000C7AFA">
      <w:pPr>
        <w:spacing w:after="0" w:line="240" w:lineRule="auto"/>
        <w:jc w:val="both"/>
        <w:rPr>
          <w:rFonts w:ascii="Arial" w:eastAsia="Times New Roman" w:hAnsi="Arial" w:cs="Arial"/>
          <w:szCs w:val="20"/>
        </w:rPr>
      </w:pPr>
      <w:r>
        <w:rPr>
          <w:rFonts w:ascii="Arial" w:eastAsia="Times New Roman" w:hAnsi="Arial" w:cs="Arial"/>
          <w:b/>
          <w:bCs/>
          <w:szCs w:val="20"/>
        </w:rPr>
        <w:t>2.4 Study Selection Process</w:t>
      </w:r>
    </w:p>
    <w:p w14:paraId="16206548" w14:textId="77777777" w:rsidR="00FE13BA" w:rsidRDefault="00FE13BA">
      <w:pPr>
        <w:spacing w:after="0" w:line="240" w:lineRule="auto"/>
        <w:jc w:val="both"/>
        <w:rPr>
          <w:rFonts w:ascii="Arial" w:eastAsia="Times New Roman" w:hAnsi="Arial" w:cs="Arial"/>
          <w:sz w:val="16"/>
          <w:szCs w:val="16"/>
        </w:rPr>
      </w:pPr>
    </w:p>
    <w:p w14:paraId="73DA475B"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The study selection process was conducted in sequential stages following PRISMA guidelines. Following title screening, abstract review, full-text assessment, an eligibility appraisal, 30 studies were included in the final synthesis. First, all records retrieved from the selected databases were exported into reference management software, where duplicate citations were identified and removed. Second, titles and abstracts of the remaining studies were </w:t>
      </w:r>
      <w:r>
        <w:rPr>
          <w:rFonts w:ascii="Arial" w:eastAsia="Times New Roman" w:hAnsi="Arial" w:cs="Arial"/>
          <w:sz w:val="20"/>
          <w:szCs w:val="20"/>
        </w:rPr>
        <w:lastRenderedPageBreak/>
        <w:t xml:space="preserve">independently screened against the predefined eligibility criteria to determine relevance. Third, full texts of potentially eligible articles were obtained and carefully assessed for final inclusion. Studies that did not meet the inclusion criteria were excluded with documented reasons. Any disagreements arising during screening were resolved through discussion and consensus. The final set of eligible studies was retained for data extraction and quality appraisal. The entire selection process was summarized using a PRISMA flow diagram (Page et al., 2021). </w:t>
      </w:r>
    </w:p>
    <w:p w14:paraId="17F063D9" w14:textId="77777777" w:rsidR="00FE13BA" w:rsidRDefault="00FE13BA">
      <w:pPr>
        <w:spacing w:after="0" w:line="240" w:lineRule="auto"/>
        <w:jc w:val="both"/>
        <w:rPr>
          <w:rFonts w:ascii="Arial" w:eastAsia="Times New Roman" w:hAnsi="Arial" w:cs="Arial"/>
          <w:sz w:val="20"/>
          <w:szCs w:val="20"/>
        </w:rPr>
      </w:pPr>
    </w:p>
    <w:p w14:paraId="7C3343FC"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2.5 Data Extraction</w:t>
      </w:r>
    </w:p>
    <w:p w14:paraId="55C417AD" w14:textId="77777777" w:rsidR="00FE13BA" w:rsidRDefault="00FE13BA">
      <w:pPr>
        <w:spacing w:after="0" w:line="240" w:lineRule="auto"/>
        <w:jc w:val="both"/>
        <w:rPr>
          <w:rFonts w:ascii="Arial" w:eastAsia="Times New Roman" w:hAnsi="Arial" w:cs="Arial"/>
          <w:b/>
          <w:bCs/>
          <w:sz w:val="20"/>
          <w:szCs w:val="20"/>
        </w:rPr>
      </w:pPr>
    </w:p>
    <w:p w14:paraId="5ECD2EDF"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A standardized data extraction form was designed to ensure uniformity in the collection of study characteristics and findings. Information extracted included:</w:t>
      </w:r>
    </w:p>
    <w:p w14:paraId="008C17DA" w14:textId="77777777" w:rsidR="00FE13BA" w:rsidRDefault="00FE13BA">
      <w:pPr>
        <w:spacing w:after="0" w:line="240" w:lineRule="auto"/>
        <w:jc w:val="both"/>
        <w:rPr>
          <w:rFonts w:ascii="Arial" w:eastAsia="Times New Roman" w:hAnsi="Arial" w:cs="Arial"/>
          <w:sz w:val="20"/>
          <w:szCs w:val="20"/>
        </w:rPr>
      </w:pPr>
    </w:p>
    <w:p w14:paraId="197BBCD2" w14:textId="77777777" w:rsidR="00FE13BA" w:rsidRDefault="000C7AFA">
      <w:pPr>
        <w:numPr>
          <w:ilvl w:val="0"/>
          <w:numId w:val="3"/>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Author(s), year of publication, and country of study.</w:t>
      </w:r>
    </w:p>
    <w:p w14:paraId="3B0787BA" w14:textId="77777777" w:rsidR="00FE13BA" w:rsidRDefault="000C7AFA">
      <w:pPr>
        <w:numPr>
          <w:ilvl w:val="0"/>
          <w:numId w:val="3"/>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Study design and sample size.</w:t>
      </w:r>
    </w:p>
    <w:p w14:paraId="2AEEBBD5" w14:textId="77777777" w:rsidR="00FE13BA" w:rsidRDefault="000C7AFA">
      <w:pPr>
        <w:numPr>
          <w:ilvl w:val="0"/>
          <w:numId w:val="3"/>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Target population.</w:t>
      </w:r>
    </w:p>
    <w:p w14:paraId="23A8A0AA" w14:textId="77777777" w:rsidR="00FE13BA" w:rsidRDefault="000C7AFA">
      <w:pPr>
        <w:numPr>
          <w:ilvl w:val="0"/>
          <w:numId w:val="3"/>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Type of community-based intervention.</w:t>
      </w:r>
    </w:p>
    <w:p w14:paraId="17285BC6" w14:textId="77777777" w:rsidR="00FE13BA" w:rsidRDefault="000C7AFA">
      <w:pPr>
        <w:numPr>
          <w:ilvl w:val="0"/>
          <w:numId w:val="3"/>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Duration of implementation.</w:t>
      </w:r>
    </w:p>
    <w:p w14:paraId="02556F62" w14:textId="77777777" w:rsidR="00FE13BA" w:rsidRDefault="000C7AFA">
      <w:pPr>
        <w:numPr>
          <w:ilvl w:val="0"/>
          <w:numId w:val="3"/>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Outcomes measures.</w:t>
      </w:r>
    </w:p>
    <w:p w14:paraId="229EBBC6" w14:textId="77777777" w:rsidR="00FE13BA" w:rsidRDefault="000C7AFA">
      <w:pPr>
        <w:numPr>
          <w:ilvl w:val="0"/>
          <w:numId w:val="3"/>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Key findings related to maternal health service uptake</w:t>
      </w:r>
    </w:p>
    <w:p w14:paraId="3E96651D" w14:textId="77777777" w:rsidR="00FE13BA" w:rsidRDefault="000C7AFA">
      <w:pPr>
        <w:numPr>
          <w:ilvl w:val="0"/>
          <w:numId w:val="3"/>
        </w:numPr>
        <w:spacing w:after="0" w:line="240" w:lineRule="auto"/>
        <w:ind w:left="540"/>
        <w:jc w:val="both"/>
        <w:rPr>
          <w:rFonts w:ascii="Arial" w:eastAsia="Times New Roman" w:hAnsi="Arial" w:cs="Arial"/>
          <w:sz w:val="20"/>
          <w:szCs w:val="20"/>
        </w:rPr>
      </w:pPr>
      <w:r>
        <w:rPr>
          <w:rFonts w:ascii="Arial" w:eastAsia="Times New Roman" w:hAnsi="Arial" w:cs="Arial"/>
          <w:sz w:val="20"/>
          <w:szCs w:val="20"/>
        </w:rPr>
        <w:t>Additional information on facilitators, barriers, and study limitations was also recorded where available.</w:t>
      </w:r>
    </w:p>
    <w:p w14:paraId="2AB1CD46" w14:textId="77777777" w:rsidR="00FE13BA" w:rsidRDefault="00FE13BA">
      <w:pPr>
        <w:spacing w:after="0" w:line="240" w:lineRule="auto"/>
        <w:jc w:val="both"/>
        <w:rPr>
          <w:rFonts w:ascii="Arial" w:eastAsia="Times New Roman" w:hAnsi="Arial" w:cs="Arial"/>
          <w:sz w:val="16"/>
          <w:szCs w:val="20"/>
        </w:rPr>
      </w:pPr>
    </w:p>
    <w:p w14:paraId="021CB1B4"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Data extraction was performed independently and cross-checked to minimize errors. Any discrepancies identified were resolved through discussion and agreement among reviewers.</w:t>
      </w:r>
    </w:p>
    <w:p w14:paraId="21D9ED81" w14:textId="77777777" w:rsidR="00FE13BA" w:rsidRDefault="00FE13BA">
      <w:pPr>
        <w:spacing w:after="0" w:line="240" w:lineRule="auto"/>
        <w:jc w:val="both"/>
        <w:rPr>
          <w:rFonts w:ascii="Arial" w:eastAsia="Times New Roman" w:hAnsi="Arial" w:cs="Arial"/>
          <w:sz w:val="16"/>
          <w:szCs w:val="20"/>
        </w:rPr>
      </w:pPr>
    </w:p>
    <w:p w14:paraId="407940A9" w14:textId="77777777" w:rsidR="00FE13BA" w:rsidRDefault="000C7AFA">
      <w:pPr>
        <w:spacing w:after="0" w:line="240" w:lineRule="auto"/>
        <w:ind w:left="360" w:hanging="360"/>
        <w:jc w:val="both"/>
        <w:rPr>
          <w:rFonts w:ascii="Arial" w:eastAsia="Times New Roman" w:hAnsi="Arial" w:cs="Arial"/>
          <w:b/>
          <w:bCs/>
          <w:szCs w:val="20"/>
        </w:rPr>
      </w:pPr>
      <w:r>
        <w:rPr>
          <w:rFonts w:ascii="Arial" w:eastAsia="Times New Roman" w:hAnsi="Arial" w:cs="Arial"/>
          <w:b/>
          <w:bCs/>
          <w:szCs w:val="20"/>
        </w:rPr>
        <w:t>2.6</w:t>
      </w:r>
      <w:r>
        <w:rPr>
          <w:rFonts w:ascii="Arial" w:eastAsia="Times New Roman" w:hAnsi="Arial" w:cs="Arial"/>
          <w:b/>
          <w:bCs/>
          <w:szCs w:val="20"/>
        </w:rPr>
        <w:tab/>
        <w:t>Quality Assessment of Included Studies</w:t>
      </w:r>
    </w:p>
    <w:p w14:paraId="06B2793A" w14:textId="77777777" w:rsidR="00FE13BA" w:rsidRDefault="00FE13BA">
      <w:pPr>
        <w:spacing w:after="0" w:line="240" w:lineRule="auto"/>
        <w:jc w:val="both"/>
        <w:rPr>
          <w:rFonts w:ascii="Arial" w:eastAsia="Times New Roman" w:hAnsi="Arial" w:cs="Arial"/>
          <w:b/>
          <w:bCs/>
          <w:sz w:val="16"/>
          <w:szCs w:val="20"/>
        </w:rPr>
      </w:pPr>
    </w:p>
    <w:p w14:paraId="07E153C8"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The methodological quality of all included studies was critically appraised to determine the reliability, validity, and risk of bias of the available evidence. Quality assessment was conducted using the Joanna Briggs Institute (JBI) critical appraisal tools, with specific checklists applied according to the design of each included study, including randomized controlled trails, quasi-experimental studies, cross-sectional studies, cohort studies, qualitative studies, and mixed-method research. Key domains assessed included appropriateness of study design, sampling procedures, participant selection, measurement of exposure and outcomes, control of confounding variables, completeness of follow-up, clarity of data analysis, and consistency of reported findings. Each study was independently reviewed, and disagreements were resolved through consensus. Studies were not excluded solely on the basis of methodological limitations rather, appraisal findings were considered during evidence synthesis and interpretation of results (Moola et al., 2020). </w:t>
      </w:r>
    </w:p>
    <w:p w14:paraId="6A57CB7D" w14:textId="77777777" w:rsidR="00FE13BA" w:rsidRDefault="00FE13BA">
      <w:pPr>
        <w:spacing w:after="0" w:line="240" w:lineRule="auto"/>
        <w:jc w:val="both"/>
        <w:rPr>
          <w:rFonts w:ascii="Arial" w:eastAsia="Times New Roman" w:hAnsi="Arial" w:cs="Arial"/>
          <w:sz w:val="20"/>
          <w:szCs w:val="20"/>
        </w:rPr>
      </w:pPr>
    </w:p>
    <w:p w14:paraId="45265E37" w14:textId="77777777" w:rsidR="00FE13BA" w:rsidRDefault="00FE13BA">
      <w:pPr>
        <w:spacing w:after="0" w:line="240" w:lineRule="auto"/>
        <w:jc w:val="both"/>
        <w:rPr>
          <w:rFonts w:ascii="Arial" w:eastAsia="Times New Roman" w:hAnsi="Arial" w:cs="Arial"/>
          <w:sz w:val="20"/>
          <w:szCs w:val="20"/>
        </w:rPr>
      </w:pPr>
    </w:p>
    <w:p w14:paraId="6BF93BB8" w14:textId="77777777" w:rsidR="00FE13BA" w:rsidRDefault="00FE13BA">
      <w:pPr>
        <w:spacing w:after="0" w:line="240" w:lineRule="auto"/>
        <w:jc w:val="both"/>
        <w:rPr>
          <w:rFonts w:ascii="Arial" w:eastAsia="Times New Roman" w:hAnsi="Arial" w:cs="Arial"/>
          <w:sz w:val="20"/>
          <w:szCs w:val="20"/>
        </w:rPr>
      </w:pPr>
    </w:p>
    <w:p w14:paraId="5374F695" w14:textId="77777777" w:rsidR="00FE13BA" w:rsidRDefault="00FE13BA">
      <w:pPr>
        <w:spacing w:after="0" w:line="240" w:lineRule="auto"/>
        <w:jc w:val="both"/>
        <w:rPr>
          <w:rFonts w:ascii="Arial" w:eastAsia="Times New Roman" w:hAnsi="Arial" w:cs="Arial"/>
          <w:sz w:val="20"/>
          <w:szCs w:val="20"/>
        </w:rPr>
      </w:pPr>
    </w:p>
    <w:p w14:paraId="49248BF8" w14:textId="77777777" w:rsidR="00FE13BA" w:rsidRDefault="00FE13BA">
      <w:pPr>
        <w:spacing w:after="0" w:line="240" w:lineRule="auto"/>
        <w:jc w:val="both"/>
        <w:rPr>
          <w:rFonts w:ascii="Arial" w:eastAsia="Times New Roman" w:hAnsi="Arial" w:cs="Arial"/>
          <w:sz w:val="20"/>
          <w:szCs w:val="20"/>
        </w:rPr>
        <w:sectPr w:rsidR="00FE13BA">
          <w:type w:val="continuous"/>
          <w:pgSz w:w="11909" w:h="16834"/>
          <w:pgMar w:top="1440" w:right="1440" w:bottom="1440" w:left="1440" w:header="720" w:footer="864" w:gutter="0"/>
          <w:cols w:num="2" w:space="288"/>
          <w:titlePg/>
          <w:docGrid w:linePitch="360"/>
        </w:sectPr>
      </w:pPr>
    </w:p>
    <w:p w14:paraId="1A1A7AC5" w14:textId="77777777" w:rsidR="00FE13BA" w:rsidRDefault="00FE13BA">
      <w:pPr>
        <w:spacing w:after="0" w:line="240" w:lineRule="auto"/>
        <w:jc w:val="center"/>
        <w:rPr>
          <w:rFonts w:ascii="Arial" w:eastAsia="Times New Roman" w:hAnsi="Arial" w:cs="Arial"/>
          <w:sz w:val="20"/>
          <w:szCs w:val="20"/>
          <w:lang w:val="en-IN" w:eastAsia="en-IN"/>
        </w:rPr>
      </w:pPr>
    </w:p>
    <w:p w14:paraId="04E48A99" w14:textId="77777777" w:rsidR="00FE13BA" w:rsidRDefault="00FE13BA">
      <w:pPr>
        <w:spacing w:after="0" w:line="240" w:lineRule="auto"/>
        <w:jc w:val="center"/>
        <w:rPr>
          <w:rFonts w:ascii="Arial" w:eastAsia="Times New Roman" w:hAnsi="Arial" w:cs="Arial"/>
          <w:sz w:val="20"/>
          <w:szCs w:val="20"/>
          <w:lang w:val="en-IN" w:eastAsia="en-IN"/>
        </w:rPr>
      </w:pPr>
    </w:p>
    <w:p w14:paraId="4EA5B771" w14:textId="77777777" w:rsidR="00FE13BA" w:rsidRDefault="00FE13BA">
      <w:pPr>
        <w:spacing w:after="0" w:line="240" w:lineRule="auto"/>
        <w:jc w:val="center"/>
        <w:rPr>
          <w:rFonts w:ascii="Arial" w:eastAsia="Times New Roman" w:hAnsi="Arial" w:cs="Arial"/>
          <w:sz w:val="20"/>
          <w:szCs w:val="20"/>
          <w:lang w:val="en-IN" w:eastAsia="en-IN"/>
        </w:rPr>
      </w:pPr>
    </w:p>
    <w:p w14:paraId="467B5C2B" w14:textId="77777777" w:rsidR="00FE13BA" w:rsidRDefault="000C7AFA">
      <w:pPr>
        <w:spacing w:after="0" w:line="240" w:lineRule="auto"/>
        <w:jc w:val="center"/>
        <w:rPr>
          <w:rFonts w:ascii="Arial" w:eastAsia="Times New Roman" w:hAnsi="Arial" w:cs="Arial"/>
          <w:sz w:val="20"/>
          <w:szCs w:val="20"/>
          <w:lang w:eastAsia="en-IN"/>
        </w:rPr>
      </w:pPr>
      <w:r>
        <w:rPr>
          <w:rFonts w:ascii="Arial" w:eastAsia="Times New Roman" w:hAnsi="Arial" w:cs="Arial"/>
          <w:noProof/>
          <w:sz w:val="20"/>
          <w:szCs w:val="20"/>
          <w:lang w:eastAsia="en-IN"/>
        </w:rPr>
        <w:lastRenderedPageBreak/>
        <w:drawing>
          <wp:inline distT="0" distB="0" distL="114300" distR="114300" wp14:anchorId="62C61D6E" wp14:editId="6563FDF8">
            <wp:extent cx="5084445" cy="6058535"/>
            <wp:effectExtent l="0" t="0" r="1905" b="18415"/>
            <wp:docPr id="1" name="Picture 1" descr="file_00000000fed8724684479dabd0939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le_00000000fed8724684479dabd09396c0"/>
                    <pic:cNvPicPr>
                      <a:picLocks noChangeAspect="1"/>
                    </pic:cNvPicPr>
                  </pic:nvPicPr>
                  <pic:blipFill>
                    <a:blip r:embed="rId12"/>
                    <a:stretch>
                      <a:fillRect/>
                    </a:stretch>
                  </pic:blipFill>
                  <pic:spPr>
                    <a:xfrm>
                      <a:off x="0" y="0"/>
                      <a:ext cx="5084445" cy="6058535"/>
                    </a:xfrm>
                    <a:prstGeom prst="rect">
                      <a:avLst/>
                    </a:prstGeom>
                  </pic:spPr>
                </pic:pic>
              </a:graphicData>
            </a:graphic>
          </wp:inline>
        </w:drawing>
      </w:r>
    </w:p>
    <w:p w14:paraId="058BA99A" w14:textId="77777777" w:rsidR="00FE13BA" w:rsidRDefault="00FE13BA">
      <w:pPr>
        <w:spacing w:after="0" w:line="240" w:lineRule="auto"/>
        <w:jc w:val="center"/>
        <w:rPr>
          <w:rFonts w:ascii="Arial" w:eastAsia="Times New Roman" w:hAnsi="Arial" w:cs="Arial"/>
          <w:b/>
          <w:bCs/>
          <w:sz w:val="20"/>
          <w:szCs w:val="20"/>
        </w:rPr>
      </w:pPr>
    </w:p>
    <w:p w14:paraId="59F63377" w14:textId="77777777" w:rsidR="00FE13BA" w:rsidRDefault="000C7AFA">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Fig. 1. PRISMA flow diagram</w:t>
      </w:r>
    </w:p>
    <w:p w14:paraId="552130C0" w14:textId="77777777" w:rsidR="00FE13BA" w:rsidRDefault="00FE13BA">
      <w:pPr>
        <w:spacing w:after="0" w:line="240" w:lineRule="auto"/>
        <w:jc w:val="both"/>
        <w:rPr>
          <w:rFonts w:ascii="Arial" w:eastAsia="Times New Roman" w:hAnsi="Arial" w:cs="Arial"/>
          <w:sz w:val="20"/>
          <w:szCs w:val="20"/>
        </w:rPr>
      </w:pPr>
    </w:p>
    <w:p w14:paraId="75580B64" w14:textId="77777777" w:rsidR="00FE13BA" w:rsidRDefault="00FE13BA">
      <w:pPr>
        <w:spacing w:after="0" w:line="240" w:lineRule="auto"/>
        <w:jc w:val="both"/>
        <w:rPr>
          <w:rFonts w:ascii="Arial" w:eastAsia="Times New Roman" w:hAnsi="Arial" w:cs="Arial"/>
          <w:sz w:val="20"/>
          <w:szCs w:val="20"/>
        </w:rPr>
        <w:sectPr w:rsidR="00FE13BA">
          <w:type w:val="continuous"/>
          <w:pgSz w:w="11909" w:h="16834"/>
          <w:pgMar w:top="1440" w:right="1440" w:bottom="1440" w:left="1440" w:header="720" w:footer="864" w:gutter="0"/>
          <w:cols w:space="720"/>
          <w:docGrid w:linePitch="360"/>
        </w:sectPr>
      </w:pPr>
    </w:p>
    <w:p w14:paraId="4DB9ECC5" w14:textId="77777777" w:rsidR="00FE13BA" w:rsidRDefault="00FE13BA">
      <w:pPr>
        <w:spacing w:after="0" w:line="240" w:lineRule="auto"/>
        <w:jc w:val="both"/>
        <w:rPr>
          <w:rFonts w:ascii="Arial" w:eastAsia="Times New Roman" w:hAnsi="Arial" w:cs="Arial"/>
          <w:sz w:val="14"/>
          <w:szCs w:val="16"/>
        </w:rPr>
      </w:pPr>
    </w:p>
    <w:p w14:paraId="70BD1BB4"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2.7 Data Synthesis and Analysis</w:t>
      </w:r>
    </w:p>
    <w:p w14:paraId="21DCB5F0" w14:textId="77777777" w:rsidR="00FE13BA" w:rsidRDefault="00FE13BA">
      <w:pPr>
        <w:spacing w:after="0" w:line="240" w:lineRule="auto"/>
        <w:jc w:val="both"/>
        <w:rPr>
          <w:rFonts w:ascii="Arial" w:eastAsia="Times New Roman" w:hAnsi="Arial" w:cs="Arial"/>
          <w:b/>
          <w:bCs/>
          <w:sz w:val="14"/>
          <w:szCs w:val="16"/>
        </w:rPr>
      </w:pPr>
    </w:p>
    <w:p w14:paraId="2B3C813F"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Data synthesis and analysis were conducted in accordance with the Preferred Reporting Items for Systematic Reviews and Meta-Analyses (PRISMA) guidelines to ensure transparency, rigor, and reproducibility (Page et al., 2021). Findings from eligible studies on community-based health education interventions and maternal health service uptake in Sub-Saharan Africa were systematically extracted, critically appraised, and synthesized. Quantitative data were summarized using descriptive statistics such as frequencies, percentages, and effect </w:t>
      </w:r>
      <w:r>
        <w:rPr>
          <w:rFonts w:ascii="Arial" w:eastAsia="Times New Roman" w:hAnsi="Arial" w:cs="Arial"/>
          <w:sz w:val="20"/>
          <w:szCs w:val="20"/>
        </w:rPr>
        <w:t>estimates where available, while qualitative findings were analyzed thematically to identify recurring patterns and contextual meanings. Given the expected heterogeneity in study, interventions, and outcome measures, a narrative synthesis approach was primarily adopted to integrate evidence coherently (Popay et al., 2006). This approach strengthened methodological consistency, minimized bias, and supported robust evidence synthesis.</w:t>
      </w:r>
    </w:p>
    <w:p w14:paraId="4B37052F" w14:textId="77777777" w:rsidR="00FE13BA" w:rsidRDefault="00FE13BA">
      <w:pPr>
        <w:spacing w:after="0" w:line="240" w:lineRule="auto"/>
        <w:jc w:val="both"/>
        <w:rPr>
          <w:rFonts w:ascii="Arial" w:eastAsia="Times New Roman" w:hAnsi="Arial" w:cs="Arial"/>
          <w:sz w:val="20"/>
          <w:szCs w:val="20"/>
        </w:rPr>
      </w:pPr>
    </w:p>
    <w:p w14:paraId="18CEB7DD"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2.8 Ethical Considerations</w:t>
      </w:r>
    </w:p>
    <w:p w14:paraId="4D706051" w14:textId="77777777" w:rsidR="00FE13BA" w:rsidRDefault="00FE13BA">
      <w:pPr>
        <w:spacing w:after="0" w:line="240" w:lineRule="auto"/>
        <w:jc w:val="both"/>
        <w:rPr>
          <w:rFonts w:ascii="Arial" w:eastAsia="Times New Roman" w:hAnsi="Arial" w:cs="Arial"/>
          <w:sz w:val="20"/>
          <w:szCs w:val="20"/>
        </w:rPr>
      </w:pPr>
    </w:p>
    <w:p w14:paraId="6B2BE4C1"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As this study was based on published literature and did not involve human subjects or identifiable </w:t>
      </w:r>
      <w:r>
        <w:rPr>
          <w:rFonts w:ascii="Arial" w:eastAsia="Times New Roman" w:hAnsi="Arial" w:cs="Arial"/>
          <w:sz w:val="20"/>
          <w:szCs w:val="20"/>
        </w:rPr>
        <w:lastRenderedPageBreak/>
        <w:t>personal data, ethical approval was not required. However, ethical principles of academic integrity, transparency, and proper citation were strictly adhered to throughout the review process. All included studies were credited to their original authors, and findings were presented without distortion or misrepresentation.</w:t>
      </w:r>
    </w:p>
    <w:p w14:paraId="0DF3BE72" w14:textId="77777777" w:rsidR="00FE13BA" w:rsidRDefault="00FE13BA">
      <w:pPr>
        <w:spacing w:after="0" w:line="240" w:lineRule="auto"/>
        <w:jc w:val="both"/>
        <w:rPr>
          <w:rFonts w:ascii="Arial" w:eastAsia="Times New Roman" w:hAnsi="Arial" w:cs="Arial"/>
          <w:sz w:val="20"/>
          <w:szCs w:val="20"/>
        </w:rPr>
      </w:pPr>
    </w:p>
    <w:p w14:paraId="5ADDD87B"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2.9 Limitations of the Review</w:t>
      </w:r>
    </w:p>
    <w:p w14:paraId="0BC6C1F3" w14:textId="77777777" w:rsidR="00FE13BA" w:rsidRDefault="00FE13BA">
      <w:pPr>
        <w:spacing w:after="0" w:line="240" w:lineRule="auto"/>
        <w:jc w:val="both"/>
        <w:rPr>
          <w:rFonts w:ascii="Arial" w:eastAsia="Times New Roman" w:hAnsi="Arial" w:cs="Arial"/>
          <w:sz w:val="20"/>
          <w:szCs w:val="20"/>
        </w:rPr>
      </w:pPr>
    </w:p>
    <w:p w14:paraId="630B43E4"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The review was limited by the heterogeneity of included studies in terms of design, intervention delivery, and outcome measurement, which restricted the possibility of meta-analysis. Variations in study quality and reporting standards across Sub-Saharan Africa may have introduced bias and affected comparability of findings. In addition, reliance on published literature may have led to publication bias, with exclusion of relevant grey literature. Language restrictions and limited access to some full-text articles could also have affected comprehensiveness. Despite these limitations, rigorous PRISMA-guided methods were applied to enhance validity and reliability of the synthesis.</w:t>
      </w:r>
    </w:p>
    <w:p w14:paraId="42388002" w14:textId="77777777" w:rsidR="00FE13BA" w:rsidRDefault="00FE13BA">
      <w:pPr>
        <w:spacing w:after="0" w:line="240" w:lineRule="auto"/>
        <w:jc w:val="both"/>
        <w:rPr>
          <w:rFonts w:ascii="Arial" w:eastAsia="Times New Roman" w:hAnsi="Arial" w:cs="Arial"/>
          <w:sz w:val="20"/>
          <w:szCs w:val="20"/>
        </w:rPr>
      </w:pPr>
    </w:p>
    <w:p w14:paraId="0C93A213" w14:textId="77777777" w:rsidR="00FE13BA" w:rsidRDefault="000C7AFA">
      <w:pPr>
        <w:pStyle w:val="Heading2"/>
        <w:rPr>
          <w:rFonts w:eastAsia="Times New Roman"/>
        </w:rPr>
      </w:pPr>
      <w:r>
        <w:rPr>
          <w:rFonts w:eastAsia="Times New Roman"/>
        </w:rPr>
        <w:t>3. RESULTS AND DISCUSSION</w:t>
      </w:r>
    </w:p>
    <w:p w14:paraId="16BD621C" w14:textId="77777777" w:rsidR="00FE13BA" w:rsidRDefault="00FE13BA">
      <w:pPr>
        <w:spacing w:after="0" w:line="240" w:lineRule="auto"/>
        <w:jc w:val="both"/>
        <w:rPr>
          <w:rFonts w:ascii="Arial" w:eastAsia="Times New Roman" w:hAnsi="Arial" w:cs="Arial"/>
          <w:b/>
          <w:bCs/>
          <w:sz w:val="20"/>
          <w:szCs w:val="20"/>
        </w:rPr>
      </w:pPr>
    </w:p>
    <w:p w14:paraId="7A699047"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3.1 Overview of Included Studies</w:t>
      </w:r>
    </w:p>
    <w:p w14:paraId="3ED0F844" w14:textId="77777777" w:rsidR="00FE13BA" w:rsidRDefault="00FE13BA">
      <w:pPr>
        <w:spacing w:after="0" w:line="240" w:lineRule="auto"/>
        <w:jc w:val="both"/>
        <w:rPr>
          <w:rFonts w:ascii="Arial" w:eastAsia="Times New Roman" w:hAnsi="Arial" w:cs="Arial"/>
          <w:sz w:val="20"/>
          <w:szCs w:val="20"/>
        </w:rPr>
      </w:pPr>
    </w:p>
    <w:p w14:paraId="71D127EF"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A total of 30 studies met the eligibility criteria and were included in this review. These studies were conducted across 18 countries in Sub-Saharan Africa, including Nigeria, Ghana, Kenya, Ethiopia, Uganda, Tanzania, Malawi, South Africa, and Rwanda. The majority of the studies were community-based cluster randomized trials, quasi-experimental studies, and cross-sectional surveys assessing the impact of health education interventions on maternal health service uptake.</w:t>
      </w:r>
    </w:p>
    <w:p w14:paraId="7FF5F6DA" w14:textId="77777777" w:rsidR="00FE13BA" w:rsidRDefault="00FE13BA">
      <w:pPr>
        <w:spacing w:after="0" w:line="240" w:lineRule="auto"/>
        <w:jc w:val="both"/>
        <w:rPr>
          <w:rFonts w:ascii="Arial" w:eastAsia="Times New Roman" w:hAnsi="Arial" w:cs="Arial"/>
          <w:sz w:val="20"/>
          <w:szCs w:val="20"/>
        </w:rPr>
      </w:pPr>
    </w:p>
    <w:p w14:paraId="1A0C134A"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Sample sizes ranges from 150 to 5,200 participants, primarily consisting of pregnant women and mothers of reproductive age. Most interventions were delivered through community health workers, peer educators, and integrated outreach programs. The studies were published between 2010 and 2025, reflecting increasing attention to community-level strategies for improving maternal health outcomes in the region.</w:t>
      </w:r>
    </w:p>
    <w:p w14:paraId="5C4CCEBB" w14:textId="77777777" w:rsidR="00FE13BA" w:rsidRDefault="00FE13BA">
      <w:pPr>
        <w:spacing w:after="0" w:line="240" w:lineRule="auto"/>
        <w:jc w:val="both"/>
        <w:rPr>
          <w:rFonts w:ascii="Arial" w:eastAsia="Times New Roman" w:hAnsi="Arial" w:cs="Arial"/>
          <w:sz w:val="20"/>
          <w:szCs w:val="20"/>
        </w:rPr>
      </w:pPr>
    </w:p>
    <w:p w14:paraId="09A3B567"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Approximately 60% of the studies employed quantitative designs, 25% used mixed-method approaches, and 15% were qualitative in nature. The thematic synthesis of findings revealed four major domains:</w:t>
      </w:r>
    </w:p>
    <w:p w14:paraId="6872DF3F" w14:textId="77777777" w:rsidR="00FE13BA" w:rsidRDefault="00FE13BA">
      <w:pPr>
        <w:spacing w:after="0" w:line="240" w:lineRule="auto"/>
        <w:jc w:val="both"/>
        <w:rPr>
          <w:rFonts w:ascii="Arial" w:eastAsia="Times New Roman" w:hAnsi="Arial" w:cs="Arial"/>
          <w:sz w:val="20"/>
          <w:szCs w:val="20"/>
        </w:rPr>
      </w:pPr>
    </w:p>
    <w:p w14:paraId="19EB61E2" w14:textId="77777777" w:rsidR="00FE13BA" w:rsidRDefault="000C7AFA">
      <w:pPr>
        <w:numPr>
          <w:ilvl w:val="0"/>
          <w:numId w:val="4"/>
        </w:numPr>
        <w:spacing w:after="0" w:line="240" w:lineRule="auto"/>
        <w:jc w:val="both"/>
        <w:rPr>
          <w:rFonts w:ascii="Arial" w:eastAsia="Times New Roman" w:hAnsi="Arial" w:cs="Arial"/>
          <w:sz w:val="20"/>
          <w:szCs w:val="20"/>
        </w:rPr>
      </w:pPr>
      <w:r>
        <w:rPr>
          <w:rFonts w:ascii="Arial" w:eastAsia="Times New Roman" w:hAnsi="Arial" w:cs="Arial"/>
          <w:sz w:val="20"/>
          <w:szCs w:val="20"/>
        </w:rPr>
        <w:t>Antenatal care (ANC) uptake</w:t>
      </w:r>
    </w:p>
    <w:p w14:paraId="7616E773" w14:textId="77777777" w:rsidR="00FE13BA" w:rsidRDefault="000C7AFA">
      <w:pPr>
        <w:numPr>
          <w:ilvl w:val="0"/>
          <w:numId w:val="4"/>
        </w:numPr>
        <w:spacing w:after="0" w:line="240" w:lineRule="auto"/>
        <w:jc w:val="both"/>
        <w:rPr>
          <w:rFonts w:ascii="Arial" w:eastAsia="Times New Roman" w:hAnsi="Arial" w:cs="Arial"/>
          <w:sz w:val="20"/>
          <w:szCs w:val="20"/>
        </w:rPr>
      </w:pPr>
      <w:r>
        <w:rPr>
          <w:rFonts w:ascii="Arial" w:eastAsia="Times New Roman" w:hAnsi="Arial" w:cs="Arial"/>
          <w:sz w:val="20"/>
          <w:szCs w:val="20"/>
        </w:rPr>
        <w:t>Skilled birth attendance (SBA) utilization</w:t>
      </w:r>
    </w:p>
    <w:p w14:paraId="67BA2A80" w14:textId="77777777" w:rsidR="00FE13BA" w:rsidRDefault="000C7AFA">
      <w:pPr>
        <w:numPr>
          <w:ilvl w:val="0"/>
          <w:numId w:val="4"/>
        </w:numPr>
        <w:spacing w:after="0" w:line="240" w:lineRule="auto"/>
        <w:jc w:val="both"/>
        <w:rPr>
          <w:rFonts w:ascii="Arial" w:eastAsia="Times New Roman" w:hAnsi="Arial" w:cs="Arial"/>
          <w:sz w:val="20"/>
          <w:szCs w:val="20"/>
        </w:rPr>
      </w:pPr>
      <w:proofErr w:type="spellStart"/>
      <w:r>
        <w:rPr>
          <w:rFonts w:ascii="Arial" w:eastAsia="Times New Roman" w:hAnsi="Arial" w:cs="Arial"/>
          <w:sz w:val="20"/>
          <w:szCs w:val="20"/>
        </w:rPr>
        <w:t>Postnatale</w:t>
      </w:r>
      <w:proofErr w:type="spellEnd"/>
      <w:r>
        <w:rPr>
          <w:rFonts w:ascii="Arial" w:eastAsia="Times New Roman" w:hAnsi="Arial" w:cs="Arial"/>
          <w:sz w:val="20"/>
          <w:szCs w:val="20"/>
        </w:rPr>
        <w:t xml:space="preserve"> care (PNC) attendance</w:t>
      </w:r>
    </w:p>
    <w:p w14:paraId="6BFD56ED" w14:textId="77777777" w:rsidR="00FE13BA" w:rsidRDefault="000C7AFA">
      <w:pPr>
        <w:numPr>
          <w:ilvl w:val="0"/>
          <w:numId w:val="4"/>
        </w:numPr>
        <w:spacing w:after="0" w:line="240" w:lineRule="auto"/>
        <w:jc w:val="both"/>
        <w:rPr>
          <w:rFonts w:ascii="Arial" w:eastAsia="Times New Roman" w:hAnsi="Arial" w:cs="Arial"/>
          <w:sz w:val="20"/>
          <w:szCs w:val="20"/>
        </w:rPr>
      </w:pPr>
      <w:r>
        <w:rPr>
          <w:rFonts w:ascii="Arial" w:eastAsia="Times New Roman" w:hAnsi="Arial" w:cs="Arial"/>
          <w:sz w:val="20"/>
          <w:szCs w:val="20"/>
        </w:rPr>
        <w:t>Barriers and facilitators to maternal health service utilization</w:t>
      </w:r>
    </w:p>
    <w:p w14:paraId="70FCA78C" w14:textId="77777777" w:rsidR="00FE13BA" w:rsidRDefault="00FE13BA">
      <w:pPr>
        <w:spacing w:after="0" w:line="240" w:lineRule="auto"/>
        <w:jc w:val="both"/>
        <w:rPr>
          <w:rFonts w:ascii="Arial" w:eastAsia="Times New Roman" w:hAnsi="Arial" w:cs="Arial"/>
          <w:sz w:val="20"/>
          <w:szCs w:val="20"/>
        </w:rPr>
      </w:pPr>
    </w:p>
    <w:p w14:paraId="27B4A3F7" w14:textId="77777777" w:rsidR="00FE13BA" w:rsidRDefault="000C7AFA">
      <w:pPr>
        <w:spacing w:after="0" w:line="240" w:lineRule="auto"/>
        <w:ind w:left="360" w:hanging="360"/>
        <w:jc w:val="both"/>
        <w:rPr>
          <w:rFonts w:ascii="Arial" w:eastAsia="Times New Roman" w:hAnsi="Arial" w:cs="Arial"/>
          <w:szCs w:val="20"/>
        </w:rPr>
      </w:pPr>
      <w:r>
        <w:rPr>
          <w:rFonts w:ascii="Arial" w:eastAsia="Times New Roman" w:hAnsi="Arial" w:cs="Arial"/>
          <w:b/>
          <w:bCs/>
          <w:szCs w:val="20"/>
        </w:rPr>
        <w:t>3.2</w:t>
      </w:r>
      <w:r>
        <w:rPr>
          <w:rFonts w:ascii="Arial" w:eastAsia="Times New Roman" w:hAnsi="Arial" w:cs="Arial"/>
          <w:b/>
          <w:bCs/>
          <w:szCs w:val="20"/>
        </w:rPr>
        <w:tab/>
        <w:t>Effectiveness of Community-Based Health Education on Antenatal Care Uptake</w:t>
      </w:r>
      <w:r>
        <w:rPr>
          <w:rFonts w:ascii="Arial" w:eastAsia="Times New Roman" w:hAnsi="Arial" w:cs="Arial"/>
          <w:szCs w:val="20"/>
        </w:rPr>
        <w:t xml:space="preserve"> </w:t>
      </w:r>
    </w:p>
    <w:p w14:paraId="5803092E" w14:textId="77777777" w:rsidR="00FE13BA" w:rsidRDefault="00FE13BA">
      <w:pPr>
        <w:spacing w:after="0" w:line="240" w:lineRule="auto"/>
        <w:jc w:val="both"/>
        <w:rPr>
          <w:rFonts w:ascii="Arial" w:eastAsia="Times New Roman" w:hAnsi="Arial" w:cs="Arial"/>
          <w:sz w:val="20"/>
          <w:szCs w:val="20"/>
        </w:rPr>
      </w:pPr>
    </w:p>
    <w:p w14:paraId="07840A5F"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Community-based health education interventions consistently demonstrated a positive effect on antenatal care utilization across Sub-Saharan Africa. The majority of studies reported increased ANC attendance following structured educational interventions delivered at the community level (Bain et al., 2022).</w:t>
      </w:r>
    </w:p>
    <w:p w14:paraId="6F8E9E20" w14:textId="77777777" w:rsidR="00FE13BA" w:rsidRDefault="00FE13BA">
      <w:pPr>
        <w:spacing w:after="0" w:line="240" w:lineRule="auto"/>
        <w:jc w:val="both"/>
        <w:rPr>
          <w:rFonts w:ascii="Arial" w:eastAsia="Times New Roman" w:hAnsi="Arial" w:cs="Arial"/>
          <w:sz w:val="20"/>
          <w:szCs w:val="20"/>
        </w:rPr>
      </w:pPr>
    </w:p>
    <w:p w14:paraId="4D5513A1"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In Nigeria, Kenya, and Ethiopia, women exposed to health education through community health workers were significantly more likely to initiate ANC visits within the first trimester compared to those in control groups (</w:t>
      </w:r>
      <w:proofErr w:type="spellStart"/>
      <w:r>
        <w:rPr>
          <w:rFonts w:ascii="Arial" w:eastAsia="Times New Roman" w:hAnsi="Arial" w:cs="Arial"/>
          <w:sz w:val="20"/>
          <w:szCs w:val="20"/>
        </w:rPr>
        <w:t>Olapeju</w:t>
      </w:r>
      <w:proofErr w:type="spellEnd"/>
      <w:r>
        <w:rPr>
          <w:rFonts w:ascii="Arial" w:eastAsia="Times New Roman" w:hAnsi="Arial" w:cs="Arial"/>
          <w:sz w:val="20"/>
          <w:szCs w:val="20"/>
        </w:rPr>
        <w:t xml:space="preserve"> et al., 2025). Intervention packages typically included home visits, group sensitization sessions, and maternal health counselling focused on the importance of early booking and regular ANC attendance.</w:t>
      </w:r>
    </w:p>
    <w:p w14:paraId="53DEF7CE" w14:textId="77777777" w:rsidR="00FE13BA" w:rsidRDefault="00FE13BA">
      <w:pPr>
        <w:spacing w:after="0" w:line="240" w:lineRule="auto"/>
        <w:jc w:val="both"/>
        <w:rPr>
          <w:rFonts w:ascii="Arial" w:eastAsia="Times New Roman" w:hAnsi="Arial" w:cs="Arial"/>
          <w:sz w:val="20"/>
          <w:szCs w:val="20"/>
        </w:rPr>
      </w:pPr>
    </w:p>
    <w:p w14:paraId="2BD57E64"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Comparatively, randomized trials conducted in rural Ghana and Uganda showed that structured rates by 25%-45% over baseline levels. The effectiveness was attributed to improved awareness, reduced cultural misconceptions, and enhanced decision-making autonomy among pregnant women.</w:t>
      </w:r>
    </w:p>
    <w:p w14:paraId="385E9307" w14:textId="77777777" w:rsidR="00FE13BA" w:rsidRDefault="00FE13BA">
      <w:pPr>
        <w:spacing w:after="0" w:line="240" w:lineRule="auto"/>
        <w:jc w:val="both"/>
        <w:rPr>
          <w:rFonts w:ascii="Arial" w:eastAsia="Times New Roman" w:hAnsi="Arial" w:cs="Arial"/>
          <w:sz w:val="20"/>
          <w:szCs w:val="20"/>
        </w:rPr>
      </w:pPr>
    </w:p>
    <w:p w14:paraId="1F3B3F13"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However, studies from some regions reported moderate effectiveness due to persistent barriers such as transportation challenges, financial constraints, and gender-based decision-making dynamics. These findings suggest that while health education improves awareness, structural barriers still limit optimal service uptake (Alhaji et al., 2025).</w:t>
      </w:r>
    </w:p>
    <w:p w14:paraId="3EEF72FA" w14:textId="77777777" w:rsidR="00FE13BA" w:rsidRDefault="00FE13BA">
      <w:pPr>
        <w:spacing w:after="0" w:line="240" w:lineRule="auto"/>
        <w:jc w:val="both"/>
        <w:rPr>
          <w:rFonts w:ascii="Arial" w:eastAsia="Times New Roman" w:hAnsi="Arial" w:cs="Arial"/>
          <w:sz w:val="20"/>
          <w:szCs w:val="20"/>
        </w:rPr>
      </w:pPr>
    </w:p>
    <w:p w14:paraId="031AA7B5"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Overall, evidence indicates that community-based education significantly improves ANC utilization when combined with supportive health system access.</w:t>
      </w:r>
    </w:p>
    <w:p w14:paraId="30A077C9" w14:textId="77777777" w:rsidR="00FE13BA" w:rsidRDefault="00FE13BA">
      <w:pPr>
        <w:spacing w:after="0" w:line="240" w:lineRule="auto"/>
        <w:jc w:val="both"/>
        <w:rPr>
          <w:rFonts w:ascii="Arial" w:eastAsia="Times New Roman" w:hAnsi="Arial" w:cs="Arial"/>
          <w:sz w:val="20"/>
          <w:szCs w:val="20"/>
        </w:rPr>
      </w:pPr>
    </w:p>
    <w:p w14:paraId="17203A3C" w14:textId="77777777" w:rsidR="00FE13BA" w:rsidRDefault="00FE13BA">
      <w:pPr>
        <w:spacing w:after="0" w:line="240" w:lineRule="auto"/>
        <w:jc w:val="both"/>
        <w:rPr>
          <w:rFonts w:ascii="Arial" w:eastAsia="Times New Roman" w:hAnsi="Arial" w:cs="Arial"/>
          <w:sz w:val="20"/>
          <w:szCs w:val="20"/>
        </w:rPr>
      </w:pPr>
    </w:p>
    <w:p w14:paraId="4A66BC9B"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3.3 Impact on Skilled Birth Attendance (SBA)</w:t>
      </w:r>
    </w:p>
    <w:p w14:paraId="625E519C" w14:textId="77777777" w:rsidR="00FE13BA" w:rsidRDefault="00FE13BA">
      <w:pPr>
        <w:spacing w:after="0" w:line="240" w:lineRule="auto"/>
        <w:jc w:val="both"/>
        <w:rPr>
          <w:rFonts w:ascii="Arial" w:eastAsia="Times New Roman" w:hAnsi="Arial" w:cs="Arial"/>
          <w:b/>
          <w:bCs/>
          <w:sz w:val="20"/>
          <w:szCs w:val="20"/>
        </w:rPr>
      </w:pPr>
    </w:p>
    <w:p w14:paraId="576DBC91"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Findings across the reviewed studies demonstrate that community-based health education interventions positively influence skilled birth attendance in Sub-Saharan Africa. Women exposed to targeted maternal health </w:t>
      </w:r>
      <w:r>
        <w:rPr>
          <w:rFonts w:ascii="Arial" w:eastAsia="Times New Roman" w:hAnsi="Arial" w:cs="Arial"/>
          <w:sz w:val="20"/>
          <w:szCs w:val="20"/>
        </w:rPr>
        <w:lastRenderedPageBreak/>
        <w:t xml:space="preserve">education were more likely to deliver in health facilities under the supervision of trained professionals. </w:t>
      </w:r>
    </w:p>
    <w:p w14:paraId="27E7D9EC" w14:textId="77777777" w:rsidR="00FE13BA" w:rsidRDefault="00FE13BA">
      <w:pPr>
        <w:spacing w:after="0" w:line="240" w:lineRule="auto"/>
        <w:jc w:val="both"/>
        <w:rPr>
          <w:rFonts w:ascii="Arial" w:eastAsia="Times New Roman" w:hAnsi="Arial" w:cs="Arial"/>
          <w:sz w:val="20"/>
          <w:szCs w:val="20"/>
        </w:rPr>
      </w:pPr>
    </w:p>
    <w:p w14:paraId="04A00502"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In Kenya and Rwanda, community mobilization campaigns led by trained health workers increased facility-based deliveries by more than 30% compared to baseline (</w:t>
      </w:r>
      <w:proofErr w:type="spellStart"/>
      <w:r>
        <w:rPr>
          <w:rFonts w:ascii="Arial" w:eastAsia="Times New Roman" w:hAnsi="Arial" w:cs="Arial"/>
          <w:sz w:val="20"/>
          <w:szCs w:val="20"/>
        </w:rPr>
        <w:t>Manyeh</w:t>
      </w:r>
      <w:proofErr w:type="spellEnd"/>
      <w:r>
        <w:rPr>
          <w:rFonts w:ascii="Arial" w:eastAsia="Times New Roman" w:hAnsi="Arial" w:cs="Arial"/>
          <w:sz w:val="20"/>
          <w:szCs w:val="20"/>
        </w:rPr>
        <w:t xml:space="preserve"> et al., 2024). Educational messages emphasizing the risks of home delivery and benefits of skilled attendance played a critical role in shaping maternal health-seeking behaviors.</w:t>
      </w:r>
    </w:p>
    <w:p w14:paraId="09ECE224" w14:textId="77777777" w:rsidR="00FE13BA" w:rsidRDefault="00FE13BA">
      <w:pPr>
        <w:spacing w:after="0" w:line="240" w:lineRule="auto"/>
        <w:jc w:val="both"/>
        <w:rPr>
          <w:rFonts w:ascii="Arial" w:eastAsia="Times New Roman" w:hAnsi="Arial" w:cs="Arial"/>
          <w:sz w:val="20"/>
          <w:szCs w:val="20"/>
        </w:rPr>
      </w:pPr>
    </w:p>
    <w:p w14:paraId="5FAC2C55"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Similarly, in Ethiopia and Malawi, the integration of male partner involvement into community education programs further strengthened decision making and improved delivery outcomes. Women reported greater support from family members following exposure to health education interventions.</w:t>
      </w:r>
    </w:p>
    <w:p w14:paraId="6B2DADFD" w14:textId="77777777" w:rsidR="00FE13BA" w:rsidRDefault="00FE13BA">
      <w:pPr>
        <w:spacing w:after="0" w:line="240" w:lineRule="auto"/>
        <w:jc w:val="both"/>
        <w:rPr>
          <w:rFonts w:ascii="Arial" w:eastAsia="Times New Roman" w:hAnsi="Arial" w:cs="Arial"/>
          <w:sz w:val="20"/>
          <w:szCs w:val="20"/>
        </w:rPr>
      </w:pPr>
    </w:p>
    <w:p w14:paraId="5278BF71"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Despite these improvements, some studies highlighted persistent cultural and traditional birth preferences in rural and hard-to-reach communities. In such settings, trust in traditional birth attendants remained strong, limiting full transition to skilled delivery services.</w:t>
      </w:r>
    </w:p>
    <w:p w14:paraId="7D5527B1" w14:textId="77777777" w:rsidR="00FE13BA" w:rsidRDefault="00FE13BA">
      <w:pPr>
        <w:spacing w:after="0" w:line="240" w:lineRule="auto"/>
        <w:jc w:val="both"/>
        <w:rPr>
          <w:rFonts w:ascii="Arial" w:eastAsia="Times New Roman" w:hAnsi="Arial" w:cs="Arial"/>
          <w:sz w:val="20"/>
          <w:szCs w:val="20"/>
        </w:rPr>
      </w:pPr>
    </w:p>
    <w:p w14:paraId="46E0A2BE"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Nonetheless, the overall evidence suggests that community-based education is effective in increasing skilled birth attendance when culturally tailored and consistently implemented.</w:t>
      </w:r>
    </w:p>
    <w:p w14:paraId="32D02D2A" w14:textId="77777777" w:rsidR="00FE13BA" w:rsidRDefault="00FE13BA">
      <w:pPr>
        <w:spacing w:after="0" w:line="240" w:lineRule="auto"/>
        <w:jc w:val="both"/>
        <w:rPr>
          <w:rFonts w:ascii="Arial" w:eastAsia="Times New Roman" w:hAnsi="Arial" w:cs="Arial"/>
          <w:sz w:val="20"/>
          <w:szCs w:val="20"/>
        </w:rPr>
      </w:pPr>
    </w:p>
    <w:p w14:paraId="77616B70" w14:textId="77777777" w:rsidR="00FE13BA" w:rsidRDefault="000C7AFA">
      <w:pPr>
        <w:spacing w:after="0" w:line="240" w:lineRule="auto"/>
        <w:ind w:left="360" w:hanging="360"/>
        <w:jc w:val="both"/>
        <w:rPr>
          <w:rFonts w:ascii="Arial" w:eastAsia="Times New Roman" w:hAnsi="Arial" w:cs="Arial"/>
          <w:b/>
          <w:bCs/>
          <w:szCs w:val="20"/>
        </w:rPr>
      </w:pPr>
      <w:r>
        <w:rPr>
          <w:rFonts w:ascii="Arial" w:eastAsia="Times New Roman" w:hAnsi="Arial" w:cs="Arial"/>
          <w:b/>
          <w:bCs/>
          <w:szCs w:val="20"/>
        </w:rPr>
        <w:t>3.4</w:t>
      </w:r>
      <w:r>
        <w:rPr>
          <w:rFonts w:ascii="Arial" w:eastAsia="Times New Roman" w:hAnsi="Arial" w:cs="Arial"/>
          <w:b/>
          <w:bCs/>
          <w:szCs w:val="20"/>
        </w:rPr>
        <w:tab/>
        <w:t>Effects on Postnatal Care Utilization</w:t>
      </w:r>
    </w:p>
    <w:p w14:paraId="6F6396F4" w14:textId="77777777" w:rsidR="00FE13BA" w:rsidRDefault="00FE13BA">
      <w:pPr>
        <w:spacing w:after="0" w:line="240" w:lineRule="auto"/>
        <w:jc w:val="both"/>
        <w:rPr>
          <w:rFonts w:ascii="Arial" w:eastAsia="Times New Roman" w:hAnsi="Arial" w:cs="Arial"/>
          <w:b/>
          <w:bCs/>
          <w:sz w:val="20"/>
          <w:szCs w:val="20"/>
        </w:rPr>
      </w:pPr>
    </w:p>
    <w:p w14:paraId="5AA304CD"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Postnatal care (PNC) uptake was the least utilized maternal health service prior to intervention exposure; however, community-based health education significantly improved attendance rates across most studies.</w:t>
      </w:r>
    </w:p>
    <w:p w14:paraId="3AFC178C" w14:textId="77777777" w:rsidR="00FE13BA" w:rsidRDefault="00FE13BA">
      <w:pPr>
        <w:spacing w:after="0" w:line="240" w:lineRule="auto"/>
        <w:jc w:val="both"/>
        <w:rPr>
          <w:rFonts w:ascii="Arial" w:eastAsia="Times New Roman" w:hAnsi="Arial" w:cs="Arial"/>
          <w:sz w:val="20"/>
          <w:szCs w:val="20"/>
        </w:rPr>
      </w:pPr>
    </w:p>
    <w:p w14:paraId="74201EFD"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In Nigeria, Tanzania, and South Africa, structured home-based education programs increased postnatal check-ups within 48 hours of delivery by up to 40% in intervention communities (Kassa et al., 2019). Educational sessions emphasized new born care, maternal danger signs, and immunization schedules.</w:t>
      </w:r>
    </w:p>
    <w:p w14:paraId="0F51B48B" w14:textId="77777777" w:rsidR="00FE13BA" w:rsidRDefault="00FE13BA">
      <w:pPr>
        <w:spacing w:after="0" w:line="240" w:lineRule="auto"/>
        <w:jc w:val="both"/>
        <w:rPr>
          <w:rFonts w:ascii="Arial" w:eastAsia="Times New Roman" w:hAnsi="Arial" w:cs="Arial"/>
          <w:sz w:val="20"/>
          <w:szCs w:val="20"/>
        </w:rPr>
      </w:pPr>
    </w:p>
    <w:p w14:paraId="4C87E9E0"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Community health worker follow-ups were identified as a key determinant of improved PNC uptake. Women who received post-delivery home visits were more likely to return for postnatal services compared to those who only received antenatal education.</w:t>
      </w:r>
    </w:p>
    <w:p w14:paraId="152404C1" w14:textId="77777777" w:rsidR="00FE13BA" w:rsidRDefault="00FE13BA">
      <w:pPr>
        <w:spacing w:after="0" w:line="240" w:lineRule="auto"/>
        <w:jc w:val="both"/>
        <w:rPr>
          <w:rFonts w:ascii="Arial" w:eastAsia="Times New Roman" w:hAnsi="Arial" w:cs="Arial"/>
          <w:sz w:val="20"/>
          <w:szCs w:val="20"/>
        </w:rPr>
      </w:pPr>
    </w:p>
    <w:p w14:paraId="21D71371"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However, dropout rates after delivery remained a challenges in several rural settings due to postpartum fatigue, lack of support, and cultural </w:t>
      </w:r>
      <w:r>
        <w:rPr>
          <w:rFonts w:ascii="Arial" w:eastAsia="Times New Roman" w:hAnsi="Arial" w:cs="Arial"/>
          <w:sz w:val="20"/>
          <w:szCs w:val="20"/>
        </w:rPr>
        <w:t>practices discouraging early hospital visits after childbirth.</w:t>
      </w:r>
    </w:p>
    <w:p w14:paraId="531199C9" w14:textId="77777777" w:rsidR="00FE13BA" w:rsidRDefault="00FE13BA">
      <w:pPr>
        <w:spacing w:after="0" w:line="240" w:lineRule="auto"/>
        <w:jc w:val="both"/>
        <w:rPr>
          <w:rFonts w:ascii="Arial" w:eastAsia="Times New Roman" w:hAnsi="Arial" w:cs="Arial"/>
          <w:sz w:val="20"/>
          <w:szCs w:val="20"/>
        </w:rPr>
      </w:pPr>
    </w:p>
    <w:p w14:paraId="654595A6"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Overall, findings indicate that sustained and continuous education from pregnancy through the postnatal period is essential for improving full maternal care continuum.</w:t>
      </w:r>
    </w:p>
    <w:p w14:paraId="398AF525" w14:textId="77777777" w:rsidR="00FE13BA" w:rsidRDefault="00FE13BA">
      <w:pPr>
        <w:spacing w:after="0" w:line="240" w:lineRule="auto"/>
        <w:jc w:val="both"/>
        <w:rPr>
          <w:rFonts w:ascii="Arial" w:eastAsia="Times New Roman" w:hAnsi="Arial" w:cs="Arial"/>
          <w:sz w:val="14"/>
          <w:szCs w:val="16"/>
        </w:rPr>
      </w:pPr>
    </w:p>
    <w:p w14:paraId="22EB5F3D"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3.5 Barriers and Facilitators to Maternal Health Service Uptake</w:t>
      </w:r>
    </w:p>
    <w:p w14:paraId="3AB175FC" w14:textId="77777777" w:rsidR="00FE13BA" w:rsidRDefault="00FE13BA">
      <w:pPr>
        <w:spacing w:after="0" w:line="240" w:lineRule="auto"/>
        <w:jc w:val="both"/>
        <w:rPr>
          <w:rFonts w:ascii="Arial" w:eastAsia="Times New Roman" w:hAnsi="Arial" w:cs="Arial"/>
          <w:b/>
          <w:bCs/>
          <w:sz w:val="14"/>
          <w:szCs w:val="16"/>
        </w:rPr>
      </w:pPr>
    </w:p>
    <w:p w14:paraId="450821AF"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Several barriers influencing maternal health service uptake were identifies across studies. The most common included low educational attainment, financial constraints, distance to health facilities, cultural beliefs, and gender inequality in decision making.</w:t>
      </w:r>
    </w:p>
    <w:p w14:paraId="640107F2" w14:textId="77777777" w:rsidR="00FE13BA" w:rsidRDefault="00FE13BA">
      <w:pPr>
        <w:spacing w:after="0" w:line="240" w:lineRule="auto"/>
        <w:jc w:val="both"/>
        <w:rPr>
          <w:rFonts w:ascii="Arial" w:eastAsia="Times New Roman" w:hAnsi="Arial" w:cs="Arial"/>
          <w:sz w:val="20"/>
          <w:szCs w:val="20"/>
        </w:rPr>
      </w:pPr>
    </w:p>
    <w:p w14:paraId="169AB2CC"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In many rural communities, pregnant women required spousal permission before accessing healthcare services, limiting timely utilization of ANC and facility-based delivery services (Eze et al., 2021). Additionally, misconceptions regarding pregnancy as a natural process not requiring medical supervision were widely reported.</w:t>
      </w:r>
    </w:p>
    <w:p w14:paraId="47C9F475" w14:textId="77777777" w:rsidR="00FE13BA" w:rsidRDefault="00FE13BA">
      <w:pPr>
        <w:spacing w:after="0" w:line="240" w:lineRule="auto"/>
        <w:jc w:val="both"/>
        <w:rPr>
          <w:rFonts w:ascii="Arial" w:eastAsia="Times New Roman" w:hAnsi="Arial" w:cs="Arial"/>
          <w:sz w:val="20"/>
          <w:szCs w:val="20"/>
        </w:rPr>
      </w:pPr>
    </w:p>
    <w:p w14:paraId="29B3F6C2"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However, facilitators included increased awareness through community health education, involvement of community leaders, male partner engagement, and trust in community health workers. Studies consistently showed that interventions delivered by trusted local personnel were more effective than facility-based messaging alone.</w:t>
      </w:r>
    </w:p>
    <w:p w14:paraId="780E4A8A" w14:textId="77777777" w:rsidR="00FE13BA" w:rsidRDefault="00FE13BA">
      <w:pPr>
        <w:spacing w:after="0" w:line="240" w:lineRule="auto"/>
        <w:jc w:val="both"/>
        <w:rPr>
          <w:rFonts w:ascii="Arial" w:eastAsia="Times New Roman" w:hAnsi="Arial" w:cs="Arial"/>
          <w:sz w:val="20"/>
          <w:szCs w:val="20"/>
        </w:rPr>
      </w:pPr>
    </w:p>
    <w:p w14:paraId="574E76B5"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This suggests that social and cultural acceptability plays a critical role in determining intervention success.</w:t>
      </w:r>
    </w:p>
    <w:p w14:paraId="782CF137" w14:textId="77777777" w:rsidR="00FE13BA" w:rsidRDefault="00FE13BA">
      <w:pPr>
        <w:spacing w:after="0" w:line="240" w:lineRule="auto"/>
        <w:jc w:val="both"/>
        <w:rPr>
          <w:rFonts w:ascii="Arial" w:eastAsia="Times New Roman" w:hAnsi="Arial" w:cs="Arial"/>
          <w:sz w:val="14"/>
          <w:szCs w:val="16"/>
        </w:rPr>
      </w:pPr>
    </w:p>
    <w:p w14:paraId="6F2EC7A9"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3.6 Comparative Effectiveness Across Regions</w:t>
      </w:r>
    </w:p>
    <w:p w14:paraId="70AE81D2" w14:textId="77777777" w:rsidR="00FE13BA" w:rsidRDefault="00FE13BA">
      <w:pPr>
        <w:spacing w:after="0" w:line="240" w:lineRule="auto"/>
        <w:jc w:val="both"/>
        <w:rPr>
          <w:rFonts w:ascii="Arial" w:eastAsia="Times New Roman" w:hAnsi="Arial" w:cs="Arial"/>
          <w:sz w:val="14"/>
          <w:szCs w:val="16"/>
        </w:rPr>
      </w:pPr>
    </w:p>
    <w:p w14:paraId="71B756FD"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A comparative synthesis across Sub-Saharan African regions revealed variations in intervention effectiveness based on health system strength and community engagement levels.</w:t>
      </w:r>
    </w:p>
    <w:p w14:paraId="219111F0" w14:textId="77777777" w:rsidR="00FE13BA" w:rsidRDefault="00FE13BA">
      <w:pPr>
        <w:spacing w:after="0" w:line="240" w:lineRule="auto"/>
        <w:jc w:val="both"/>
        <w:rPr>
          <w:rFonts w:ascii="Arial" w:eastAsia="Times New Roman" w:hAnsi="Arial" w:cs="Arial"/>
          <w:sz w:val="20"/>
          <w:szCs w:val="20"/>
        </w:rPr>
      </w:pPr>
    </w:p>
    <w:p w14:paraId="5569D890" w14:textId="77777777" w:rsidR="00FE13BA" w:rsidRDefault="00FE13BA">
      <w:pPr>
        <w:spacing w:after="0" w:line="240" w:lineRule="auto"/>
        <w:jc w:val="both"/>
        <w:rPr>
          <w:rFonts w:ascii="Arial" w:eastAsia="Times New Roman" w:hAnsi="Arial" w:cs="Arial"/>
          <w:sz w:val="20"/>
          <w:szCs w:val="20"/>
        </w:rPr>
      </w:pPr>
    </w:p>
    <w:p w14:paraId="58A5E4E0" w14:textId="77777777" w:rsidR="00FE13BA" w:rsidRDefault="00FE13BA">
      <w:pPr>
        <w:spacing w:after="0" w:line="240" w:lineRule="auto"/>
        <w:jc w:val="both"/>
        <w:rPr>
          <w:rFonts w:ascii="Arial" w:eastAsia="Times New Roman" w:hAnsi="Arial" w:cs="Arial"/>
          <w:sz w:val="20"/>
          <w:szCs w:val="20"/>
        </w:rPr>
      </w:pPr>
    </w:p>
    <w:p w14:paraId="6F4A5A09" w14:textId="77777777" w:rsidR="00FE13BA" w:rsidRDefault="00FE13BA">
      <w:pPr>
        <w:spacing w:after="0" w:line="240" w:lineRule="auto"/>
        <w:jc w:val="both"/>
        <w:rPr>
          <w:rFonts w:ascii="Arial" w:eastAsia="Times New Roman" w:hAnsi="Arial" w:cs="Arial"/>
          <w:sz w:val="20"/>
          <w:szCs w:val="20"/>
        </w:rPr>
      </w:pPr>
    </w:p>
    <w:p w14:paraId="126D045B" w14:textId="77777777" w:rsidR="00FE13BA" w:rsidRDefault="00FE13BA">
      <w:pPr>
        <w:spacing w:after="0" w:line="240" w:lineRule="auto"/>
        <w:jc w:val="both"/>
        <w:rPr>
          <w:rFonts w:ascii="Arial" w:eastAsia="Times New Roman" w:hAnsi="Arial" w:cs="Arial"/>
          <w:sz w:val="20"/>
          <w:szCs w:val="20"/>
        </w:rPr>
      </w:pPr>
    </w:p>
    <w:p w14:paraId="7B4CDEE9"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Overall, East African countries demonstrated the highest intervention effectiveness, largely due to stronger community health worker programs and better integration of maternal health education into primary healthcare systems.</w:t>
      </w:r>
    </w:p>
    <w:p w14:paraId="4F109844" w14:textId="77777777" w:rsidR="00FE13BA" w:rsidRDefault="00FE13BA">
      <w:pPr>
        <w:spacing w:after="0" w:line="240" w:lineRule="auto"/>
        <w:jc w:val="both"/>
        <w:rPr>
          <w:rFonts w:ascii="Arial" w:eastAsia="Times New Roman" w:hAnsi="Arial" w:cs="Arial"/>
          <w:sz w:val="20"/>
          <w:szCs w:val="20"/>
        </w:rPr>
      </w:pPr>
    </w:p>
    <w:p w14:paraId="4AAE39DA"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West and Southern African regions showed improvements but faced persistent structural and socioeconomic barriers.</w:t>
      </w:r>
    </w:p>
    <w:p w14:paraId="18EE2F2C" w14:textId="77777777" w:rsidR="00FE13BA" w:rsidRDefault="00FE13BA">
      <w:pPr>
        <w:spacing w:after="0" w:line="240" w:lineRule="auto"/>
        <w:jc w:val="both"/>
        <w:rPr>
          <w:rFonts w:ascii="Arial" w:eastAsia="Times New Roman" w:hAnsi="Arial" w:cs="Arial"/>
          <w:b/>
          <w:bCs/>
          <w:szCs w:val="20"/>
        </w:rPr>
      </w:pPr>
    </w:p>
    <w:p w14:paraId="04946FB3" w14:textId="77777777" w:rsidR="00FE13BA" w:rsidRDefault="00FE13BA">
      <w:pPr>
        <w:spacing w:after="0" w:line="240" w:lineRule="auto"/>
        <w:jc w:val="both"/>
        <w:rPr>
          <w:rFonts w:ascii="Arial" w:eastAsia="Times New Roman" w:hAnsi="Arial" w:cs="Arial"/>
          <w:sz w:val="20"/>
          <w:szCs w:val="20"/>
        </w:rPr>
      </w:pPr>
    </w:p>
    <w:p w14:paraId="4D8DC8CB" w14:textId="77777777" w:rsidR="00FE13BA" w:rsidRDefault="00FE13BA">
      <w:pPr>
        <w:spacing w:after="0" w:line="240" w:lineRule="auto"/>
        <w:jc w:val="both"/>
        <w:rPr>
          <w:rFonts w:ascii="Arial" w:eastAsia="Times New Roman" w:hAnsi="Arial" w:cs="Arial"/>
          <w:sz w:val="20"/>
          <w:szCs w:val="20"/>
        </w:rPr>
        <w:sectPr w:rsidR="00FE13BA">
          <w:type w:val="continuous"/>
          <w:pgSz w:w="11909" w:h="16834"/>
          <w:pgMar w:top="1440" w:right="1440" w:bottom="1440" w:left="1440" w:header="720" w:footer="864" w:gutter="0"/>
          <w:cols w:num="2" w:space="288"/>
          <w:docGrid w:linePitch="360"/>
        </w:sectPr>
      </w:pPr>
    </w:p>
    <w:p w14:paraId="535CF860" w14:textId="77777777" w:rsidR="00FE13BA" w:rsidRDefault="00FE13BA">
      <w:pPr>
        <w:spacing w:after="0" w:line="240" w:lineRule="auto"/>
        <w:jc w:val="both"/>
        <w:rPr>
          <w:rFonts w:ascii="Arial" w:eastAsia="Times New Roman" w:hAnsi="Arial" w:cs="Arial"/>
          <w:sz w:val="14"/>
          <w:szCs w:val="16"/>
        </w:rPr>
      </w:pPr>
    </w:p>
    <w:p w14:paraId="30B1528B" w14:textId="77777777" w:rsidR="00FE13BA" w:rsidRDefault="000C7AFA">
      <w:pPr>
        <w:spacing w:after="0" w:line="240" w:lineRule="auto"/>
        <w:jc w:val="center"/>
        <w:rPr>
          <w:rFonts w:ascii="Arial" w:eastAsia="Times New Roman" w:hAnsi="Arial" w:cs="Arial"/>
          <w:b/>
          <w:bCs/>
          <w:sz w:val="20"/>
          <w:szCs w:val="20"/>
        </w:rPr>
      </w:pPr>
      <w:r>
        <w:rPr>
          <w:rFonts w:ascii="Arial" w:eastAsia="Times New Roman" w:hAnsi="Arial" w:cs="Arial"/>
          <w:b/>
          <w:sz w:val="20"/>
          <w:szCs w:val="20"/>
        </w:rPr>
        <w:t xml:space="preserve">Table 1. </w:t>
      </w:r>
      <w:r>
        <w:rPr>
          <w:rFonts w:ascii="Arial" w:eastAsia="Times New Roman" w:hAnsi="Arial" w:cs="Arial"/>
          <w:b/>
          <w:bCs/>
          <w:sz w:val="20"/>
          <w:szCs w:val="20"/>
        </w:rPr>
        <w:t>Regional intervention effectiveness and key challenges</w:t>
      </w:r>
    </w:p>
    <w:p w14:paraId="1DB865E8" w14:textId="77777777" w:rsidR="00FE13BA" w:rsidRDefault="00FE13BA">
      <w:pPr>
        <w:spacing w:after="0" w:line="240" w:lineRule="auto"/>
        <w:jc w:val="both"/>
        <w:rPr>
          <w:rFonts w:ascii="Arial" w:eastAsia="Times New Roman" w:hAnsi="Arial" w:cs="Arial"/>
          <w:sz w:val="14"/>
          <w:szCs w:val="16"/>
        </w:rPr>
      </w:pPr>
    </w:p>
    <w:tbl>
      <w:tblPr>
        <w:tblStyle w:val="TableGridLight1"/>
        <w:tblW w:w="4772"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4270"/>
        <w:gridCol w:w="3012"/>
      </w:tblGrid>
      <w:tr w:rsidR="00FE13BA" w14:paraId="038A3224" w14:textId="77777777">
        <w:trPr>
          <w:cantSplit/>
          <w:tblHeader/>
          <w:jc w:val="center"/>
        </w:trPr>
        <w:tc>
          <w:tcPr>
            <w:tcW w:w="0" w:type="auto"/>
            <w:tcBorders>
              <w:top w:val="single" w:sz="4" w:space="0" w:color="auto"/>
              <w:bottom w:val="single" w:sz="4" w:space="0" w:color="auto"/>
            </w:tcBorders>
          </w:tcPr>
          <w:p w14:paraId="462A2CBA" w14:textId="77777777" w:rsidR="00FE13BA" w:rsidRDefault="000C7AFA">
            <w:pPr>
              <w:spacing w:after="0" w:line="240" w:lineRule="auto"/>
              <w:rPr>
                <w:rFonts w:ascii="Arial" w:eastAsia="Times New Roman" w:hAnsi="Arial" w:cs="Arial"/>
                <w:b/>
                <w:bCs/>
                <w:sz w:val="18"/>
                <w:szCs w:val="20"/>
              </w:rPr>
            </w:pPr>
            <w:r>
              <w:rPr>
                <w:rFonts w:ascii="Arial" w:eastAsia="Times New Roman" w:hAnsi="Arial" w:cs="Arial"/>
                <w:b/>
                <w:bCs/>
                <w:sz w:val="18"/>
                <w:szCs w:val="20"/>
              </w:rPr>
              <w:t>Region</w:t>
            </w:r>
          </w:p>
        </w:tc>
        <w:tc>
          <w:tcPr>
            <w:tcW w:w="0" w:type="auto"/>
            <w:tcBorders>
              <w:top w:val="single" w:sz="4" w:space="0" w:color="auto"/>
              <w:bottom w:val="single" w:sz="4" w:space="0" w:color="auto"/>
            </w:tcBorders>
          </w:tcPr>
          <w:p w14:paraId="5B02C54B" w14:textId="77777777" w:rsidR="00FE13BA" w:rsidRDefault="000C7AFA">
            <w:pPr>
              <w:spacing w:after="0" w:line="240" w:lineRule="auto"/>
              <w:rPr>
                <w:rFonts w:ascii="Arial" w:eastAsia="Times New Roman" w:hAnsi="Arial" w:cs="Arial"/>
                <w:b/>
                <w:bCs/>
                <w:sz w:val="18"/>
                <w:szCs w:val="20"/>
              </w:rPr>
            </w:pPr>
            <w:r>
              <w:rPr>
                <w:rFonts w:ascii="Arial" w:eastAsia="Times New Roman" w:hAnsi="Arial" w:cs="Arial"/>
                <w:b/>
                <w:bCs/>
                <w:sz w:val="18"/>
                <w:szCs w:val="20"/>
              </w:rPr>
              <w:t>Intervention Effectiveness</w:t>
            </w:r>
          </w:p>
        </w:tc>
        <w:tc>
          <w:tcPr>
            <w:tcW w:w="0" w:type="auto"/>
            <w:tcBorders>
              <w:top w:val="single" w:sz="4" w:space="0" w:color="auto"/>
              <w:bottom w:val="single" w:sz="4" w:space="0" w:color="auto"/>
            </w:tcBorders>
          </w:tcPr>
          <w:p w14:paraId="1457B367" w14:textId="77777777" w:rsidR="00FE13BA" w:rsidRDefault="000C7AFA">
            <w:pPr>
              <w:spacing w:after="0" w:line="240" w:lineRule="auto"/>
              <w:rPr>
                <w:rFonts w:ascii="Arial" w:eastAsia="Times New Roman" w:hAnsi="Arial" w:cs="Arial"/>
                <w:b/>
                <w:bCs/>
                <w:sz w:val="18"/>
                <w:szCs w:val="20"/>
              </w:rPr>
            </w:pPr>
            <w:r>
              <w:rPr>
                <w:rFonts w:ascii="Arial" w:eastAsia="Times New Roman" w:hAnsi="Arial" w:cs="Arial"/>
                <w:b/>
                <w:bCs/>
                <w:sz w:val="18"/>
                <w:szCs w:val="20"/>
              </w:rPr>
              <w:t>Key Challenges</w:t>
            </w:r>
          </w:p>
        </w:tc>
      </w:tr>
      <w:tr w:rsidR="00FE13BA" w14:paraId="1B38303F" w14:textId="77777777">
        <w:trPr>
          <w:jc w:val="center"/>
        </w:trPr>
        <w:tc>
          <w:tcPr>
            <w:tcW w:w="0" w:type="auto"/>
            <w:tcBorders>
              <w:top w:val="single" w:sz="4" w:space="0" w:color="auto"/>
              <w:bottom w:val="single" w:sz="4" w:space="0" w:color="auto"/>
            </w:tcBorders>
          </w:tcPr>
          <w:p w14:paraId="67B239A3" w14:textId="77777777" w:rsidR="00FE13BA" w:rsidRDefault="000C7AFA">
            <w:pPr>
              <w:spacing w:after="0" w:line="240" w:lineRule="auto"/>
              <w:rPr>
                <w:rFonts w:ascii="Arial" w:eastAsia="Times New Roman" w:hAnsi="Arial" w:cs="Arial"/>
                <w:sz w:val="18"/>
                <w:szCs w:val="20"/>
              </w:rPr>
            </w:pPr>
            <w:r>
              <w:rPr>
                <w:rFonts w:ascii="Arial" w:eastAsia="Times New Roman" w:hAnsi="Arial" w:cs="Arial"/>
                <w:bCs/>
                <w:sz w:val="18"/>
                <w:szCs w:val="20"/>
              </w:rPr>
              <w:t>West Africa</w:t>
            </w:r>
          </w:p>
        </w:tc>
        <w:tc>
          <w:tcPr>
            <w:tcW w:w="0" w:type="auto"/>
            <w:tcBorders>
              <w:top w:val="single" w:sz="4" w:space="0" w:color="auto"/>
              <w:bottom w:val="single" w:sz="4" w:space="0" w:color="auto"/>
            </w:tcBorders>
          </w:tcPr>
          <w:p w14:paraId="3B5A02A6" w14:textId="77777777" w:rsidR="00FE13BA" w:rsidRDefault="000C7AFA">
            <w:pPr>
              <w:spacing w:after="0" w:line="240" w:lineRule="auto"/>
              <w:rPr>
                <w:rFonts w:ascii="Arial" w:eastAsia="Times New Roman" w:hAnsi="Arial" w:cs="Arial"/>
                <w:sz w:val="18"/>
                <w:szCs w:val="20"/>
              </w:rPr>
            </w:pPr>
            <w:r>
              <w:rPr>
                <w:rFonts w:ascii="Arial" w:eastAsia="Times New Roman" w:hAnsi="Arial" w:cs="Arial"/>
                <w:sz w:val="18"/>
                <w:szCs w:val="20"/>
              </w:rPr>
              <w:t>Moderate to high improvement in ANC and SBA</w:t>
            </w:r>
          </w:p>
        </w:tc>
        <w:tc>
          <w:tcPr>
            <w:tcW w:w="0" w:type="auto"/>
            <w:tcBorders>
              <w:top w:val="single" w:sz="4" w:space="0" w:color="auto"/>
              <w:bottom w:val="single" w:sz="4" w:space="0" w:color="auto"/>
            </w:tcBorders>
          </w:tcPr>
          <w:p w14:paraId="07246B62" w14:textId="77777777" w:rsidR="00FE13BA" w:rsidRDefault="000C7AFA">
            <w:pPr>
              <w:spacing w:after="0" w:line="240" w:lineRule="auto"/>
              <w:rPr>
                <w:rFonts w:ascii="Arial" w:eastAsia="Times New Roman" w:hAnsi="Arial" w:cs="Arial"/>
                <w:sz w:val="18"/>
                <w:szCs w:val="20"/>
              </w:rPr>
            </w:pPr>
            <w:r>
              <w:rPr>
                <w:rFonts w:ascii="Arial" w:eastAsia="Times New Roman" w:hAnsi="Arial" w:cs="Arial"/>
                <w:sz w:val="18"/>
                <w:szCs w:val="20"/>
              </w:rPr>
              <w:t>Poverty, distance, cultural beliefs</w:t>
            </w:r>
          </w:p>
        </w:tc>
      </w:tr>
      <w:tr w:rsidR="00FE13BA" w14:paraId="7ED01334" w14:textId="77777777">
        <w:trPr>
          <w:jc w:val="center"/>
        </w:trPr>
        <w:tc>
          <w:tcPr>
            <w:tcW w:w="0" w:type="auto"/>
            <w:tcBorders>
              <w:top w:val="single" w:sz="4" w:space="0" w:color="auto"/>
              <w:bottom w:val="single" w:sz="4" w:space="0" w:color="auto"/>
            </w:tcBorders>
          </w:tcPr>
          <w:p w14:paraId="559FA9B7" w14:textId="77777777" w:rsidR="00FE13BA" w:rsidRDefault="000C7AFA">
            <w:pPr>
              <w:spacing w:after="0" w:line="240" w:lineRule="auto"/>
              <w:rPr>
                <w:rFonts w:ascii="Arial" w:eastAsia="Times New Roman" w:hAnsi="Arial" w:cs="Arial"/>
                <w:sz w:val="18"/>
                <w:szCs w:val="20"/>
              </w:rPr>
            </w:pPr>
            <w:r>
              <w:rPr>
                <w:rFonts w:ascii="Arial" w:eastAsia="Times New Roman" w:hAnsi="Arial" w:cs="Arial"/>
                <w:bCs/>
                <w:sz w:val="18"/>
                <w:szCs w:val="20"/>
              </w:rPr>
              <w:t>East Africa</w:t>
            </w:r>
          </w:p>
        </w:tc>
        <w:tc>
          <w:tcPr>
            <w:tcW w:w="0" w:type="auto"/>
            <w:tcBorders>
              <w:top w:val="single" w:sz="4" w:space="0" w:color="auto"/>
              <w:bottom w:val="single" w:sz="4" w:space="0" w:color="auto"/>
            </w:tcBorders>
          </w:tcPr>
          <w:p w14:paraId="693EC099" w14:textId="77777777" w:rsidR="00FE13BA" w:rsidRDefault="000C7AFA">
            <w:pPr>
              <w:spacing w:after="0" w:line="240" w:lineRule="auto"/>
              <w:rPr>
                <w:rFonts w:ascii="Arial" w:eastAsia="Times New Roman" w:hAnsi="Arial" w:cs="Arial"/>
                <w:sz w:val="18"/>
                <w:szCs w:val="20"/>
              </w:rPr>
            </w:pPr>
            <w:r>
              <w:rPr>
                <w:rFonts w:ascii="Arial" w:eastAsia="Times New Roman" w:hAnsi="Arial" w:cs="Arial"/>
                <w:sz w:val="18"/>
                <w:szCs w:val="20"/>
              </w:rPr>
              <w:t>High effectiveness in ANC and SBA uptake</w:t>
            </w:r>
          </w:p>
        </w:tc>
        <w:tc>
          <w:tcPr>
            <w:tcW w:w="0" w:type="auto"/>
            <w:tcBorders>
              <w:top w:val="single" w:sz="4" w:space="0" w:color="auto"/>
              <w:bottom w:val="single" w:sz="4" w:space="0" w:color="auto"/>
            </w:tcBorders>
          </w:tcPr>
          <w:p w14:paraId="276F95BC" w14:textId="77777777" w:rsidR="00FE13BA" w:rsidRDefault="000C7AFA">
            <w:pPr>
              <w:spacing w:after="0" w:line="240" w:lineRule="auto"/>
              <w:rPr>
                <w:rFonts w:ascii="Arial" w:eastAsia="Times New Roman" w:hAnsi="Arial" w:cs="Arial"/>
                <w:sz w:val="18"/>
                <w:szCs w:val="20"/>
              </w:rPr>
            </w:pPr>
            <w:r>
              <w:rPr>
                <w:rFonts w:ascii="Arial" w:eastAsia="Times New Roman" w:hAnsi="Arial" w:cs="Arial"/>
                <w:sz w:val="18"/>
                <w:szCs w:val="20"/>
              </w:rPr>
              <w:t>Health system disparities</w:t>
            </w:r>
          </w:p>
        </w:tc>
      </w:tr>
      <w:tr w:rsidR="00FE13BA" w14:paraId="42C38F1F" w14:textId="77777777">
        <w:trPr>
          <w:jc w:val="center"/>
        </w:trPr>
        <w:tc>
          <w:tcPr>
            <w:tcW w:w="0" w:type="auto"/>
            <w:tcBorders>
              <w:top w:val="single" w:sz="4" w:space="0" w:color="auto"/>
              <w:bottom w:val="single" w:sz="4" w:space="0" w:color="auto"/>
            </w:tcBorders>
          </w:tcPr>
          <w:p w14:paraId="0F7D9DCA" w14:textId="77777777" w:rsidR="00FE13BA" w:rsidRDefault="000C7AFA">
            <w:pPr>
              <w:spacing w:after="0" w:line="240" w:lineRule="auto"/>
              <w:rPr>
                <w:rFonts w:ascii="Arial" w:eastAsia="Times New Roman" w:hAnsi="Arial" w:cs="Arial"/>
                <w:sz w:val="18"/>
                <w:szCs w:val="20"/>
              </w:rPr>
            </w:pPr>
            <w:r>
              <w:rPr>
                <w:rFonts w:ascii="Arial" w:eastAsia="Times New Roman" w:hAnsi="Arial" w:cs="Arial"/>
                <w:bCs/>
                <w:sz w:val="18"/>
                <w:szCs w:val="20"/>
              </w:rPr>
              <w:t>Southern Africa</w:t>
            </w:r>
          </w:p>
        </w:tc>
        <w:tc>
          <w:tcPr>
            <w:tcW w:w="0" w:type="auto"/>
            <w:tcBorders>
              <w:top w:val="single" w:sz="4" w:space="0" w:color="auto"/>
              <w:bottom w:val="single" w:sz="4" w:space="0" w:color="auto"/>
            </w:tcBorders>
          </w:tcPr>
          <w:p w14:paraId="611B1770" w14:textId="77777777" w:rsidR="00FE13BA" w:rsidRDefault="000C7AFA">
            <w:pPr>
              <w:spacing w:after="0" w:line="240" w:lineRule="auto"/>
              <w:rPr>
                <w:rFonts w:ascii="Arial" w:eastAsia="Times New Roman" w:hAnsi="Arial" w:cs="Arial"/>
                <w:sz w:val="18"/>
                <w:szCs w:val="20"/>
              </w:rPr>
            </w:pPr>
            <w:r>
              <w:rPr>
                <w:rFonts w:ascii="Arial" w:eastAsia="Times New Roman" w:hAnsi="Arial" w:cs="Arial"/>
                <w:sz w:val="18"/>
                <w:szCs w:val="20"/>
              </w:rPr>
              <w:t>Strong PNC improvement outcomes</w:t>
            </w:r>
          </w:p>
        </w:tc>
        <w:tc>
          <w:tcPr>
            <w:tcW w:w="0" w:type="auto"/>
            <w:tcBorders>
              <w:top w:val="single" w:sz="4" w:space="0" w:color="auto"/>
              <w:bottom w:val="single" w:sz="4" w:space="0" w:color="auto"/>
            </w:tcBorders>
          </w:tcPr>
          <w:p w14:paraId="675F0159" w14:textId="77777777" w:rsidR="00FE13BA" w:rsidRDefault="000C7AFA">
            <w:pPr>
              <w:spacing w:after="0" w:line="240" w:lineRule="auto"/>
              <w:rPr>
                <w:rFonts w:ascii="Arial" w:eastAsia="Times New Roman" w:hAnsi="Arial" w:cs="Arial"/>
                <w:sz w:val="18"/>
                <w:szCs w:val="20"/>
              </w:rPr>
            </w:pPr>
            <w:r>
              <w:rPr>
                <w:rFonts w:ascii="Arial" w:eastAsia="Times New Roman" w:hAnsi="Arial" w:cs="Arial"/>
                <w:sz w:val="18"/>
                <w:szCs w:val="20"/>
              </w:rPr>
              <w:t>Urban-rural inequality</w:t>
            </w:r>
          </w:p>
        </w:tc>
      </w:tr>
    </w:tbl>
    <w:p w14:paraId="63565F4B" w14:textId="77777777" w:rsidR="00FE13BA" w:rsidRDefault="00FE13BA">
      <w:pPr>
        <w:spacing w:after="0" w:line="240" w:lineRule="auto"/>
        <w:jc w:val="both"/>
        <w:rPr>
          <w:rFonts w:ascii="Arial" w:eastAsia="Times New Roman" w:hAnsi="Arial" w:cs="Arial"/>
          <w:sz w:val="20"/>
          <w:szCs w:val="20"/>
        </w:rPr>
      </w:pPr>
    </w:p>
    <w:p w14:paraId="0392A195" w14:textId="77777777" w:rsidR="00FE13BA" w:rsidRDefault="00FE13BA">
      <w:pPr>
        <w:spacing w:after="0" w:line="240" w:lineRule="auto"/>
        <w:jc w:val="both"/>
        <w:rPr>
          <w:rFonts w:ascii="Arial" w:eastAsia="Times New Roman" w:hAnsi="Arial" w:cs="Arial"/>
          <w:sz w:val="20"/>
          <w:szCs w:val="20"/>
        </w:rPr>
        <w:sectPr w:rsidR="00FE13BA">
          <w:type w:val="continuous"/>
          <w:pgSz w:w="11909" w:h="16834"/>
          <w:pgMar w:top="1440" w:right="1440" w:bottom="1440" w:left="1440" w:header="720" w:footer="864" w:gutter="0"/>
          <w:cols w:space="720"/>
          <w:docGrid w:linePitch="360"/>
        </w:sectPr>
      </w:pPr>
    </w:p>
    <w:p w14:paraId="2B4D82BC" w14:textId="77777777" w:rsidR="00FE13BA" w:rsidRDefault="00FE13BA">
      <w:pPr>
        <w:spacing w:after="0" w:line="240" w:lineRule="auto"/>
        <w:jc w:val="both"/>
        <w:rPr>
          <w:rFonts w:ascii="Arial" w:eastAsia="Times New Roman" w:hAnsi="Arial" w:cs="Arial"/>
          <w:sz w:val="20"/>
          <w:szCs w:val="20"/>
        </w:rPr>
      </w:pPr>
    </w:p>
    <w:p w14:paraId="579D2336"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3.7 Discussion of Findings</w:t>
      </w:r>
    </w:p>
    <w:p w14:paraId="425CC24F" w14:textId="77777777" w:rsidR="00FE13BA" w:rsidRDefault="00FE13BA">
      <w:pPr>
        <w:spacing w:after="0" w:line="240" w:lineRule="auto"/>
        <w:jc w:val="both"/>
        <w:rPr>
          <w:rFonts w:ascii="Arial" w:eastAsia="Times New Roman" w:hAnsi="Arial" w:cs="Arial"/>
          <w:b/>
          <w:bCs/>
          <w:szCs w:val="20"/>
        </w:rPr>
      </w:pPr>
    </w:p>
    <w:p w14:paraId="7B97158E"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The findings from the 30 included studies indicate that this systematic review demonstrate that community-based health education interventions are effective in improving maternal health service uptake across Sub-Saharan Africa. The strongest effects were observed in antenatal care utilization and skilled birth attendance, indicating that early-stage maternal health decisions are most responsive to educational interventions.</w:t>
      </w:r>
    </w:p>
    <w:p w14:paraId="6E22E603" w14:textId="77777777" w:rsidR="00FE13BA" w:rsidRDefault="00FE13BA">
      <w:pPr>
        <w:spacing w:after="0" w:line="240" w:lineRule="auto"/>
        <w:jc w:val="both"/>
        <w:rPr>
          <w:rFonts w:ascii="Arial" w:eastAsia="Times New Roman" w:hAnsi="Arial" w:cs="Arial"/>
          <w:sz w:val="20"/>
          <w:szCs w:val="20"/>
        </w:rPr>
      </w:pPr>
    </w:p>
    <w:p w14:paraId="4BDF03FD"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These findings align with global evidence suggesting that community-level health promotion significantly improves maternal health-seeking behavior, particularly in low-resource settings (WHO, 2023). However, the persistence of structural barriers indicates that education alone is insufficient without complementary improvements in health system accessibility.</w:t>
      </w:r>
    </w:p>
    <w:p w14:paraId="45A8E756" w14:textId="77777777" w:rsidR="00FE13BA" w:rsidRDefault="00FE13BA">
      <w:pPr>
        <w:spacing w:after="0" w:line="240" w:lineRule="auto"/>
        <w:jc w:val="both"/>
        <w:rPr>
          <w:rFonts w:ascii="Arial" w:eastAsia="Times New Roman" w:hAnsi="Arial" w:cs="Arial"/>
          <w:sz w:val="20"/>
          <w:szCs w:val="20"/>
        </w:rPr>
      </w:pPr>
    </w:p>
    <w:p w14:paraId="7BBFB3B1"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sz w:val="20"/>
          <w:szCs w:val="20"/>
        </w:rPr>
        <w:t>The variability in effectiveness across regions highlights the importance of contextual adaption of interventions. Programs that incorporated cultural sensitivity, male involvement, and continuous follow-up demonstrated higher success rates.</w:t>
      </w:r>
    </w:p>
    <w:p w14:paraId="045D8B42" w14:textId="77777777" w:rsidR="00FE13BA" w:rsidRDefault="00FE13BA">
      <w:pPr>
        <w:spacing w:after="0" w:line="240" w:lineRule="auto"/>
        <w:jc w:val="both"/>
        <w:rPr>
          <w:rFonts w:ascii="Arial" w:eastAsia="Times New Roman" w:hAnsi="Arial" w:cs="Arial"/>
          <w:sz w:val="20"/>
          <w:szCs w:val="20"/>
        </w:rPr>
      </w:pPr>
    </w:p>
    <w:p w14:paraId="13B4237E" w14:textId="77777777" w:rsidR="00FE13BA" w:rsidRDefault="000C7AFA">
      <w:pPr>
        <w:pStyle w:val="Heading2"/>
        <w:ind w:left="360" w:hanging="360"/>
        <w:rPr>
          <w:rFonts w:eastAsia="Times New Roman"/>
        </w:rPr>
      </w:pPr>
      <w:r>
        <w:rPr>
          <w:rFonts w:eastAsia="Times New Roman"/>
        </w:rPr>
        <w:t>4.</w:t>
      </w:r>
      <w:r>
        <w:rPr>
          <w:rFonts w:eastAsia="Times New Roman"/>
        </w:rPr>
        <w:tab/>
        <w:t>CONCLUSION AND RECOMMENDATIONS</w:t>
      </w:r>
    </w:p>
    <w:p w14:paraId="00C25B50" w14:textId="77777777" w:rsidR="00FE13BA" w:rsidRDefault="00FE13BA">
      <w:pPr>
        <w:spacing w:after="0" w:line="240" w:lineRule="auto"/>
        <w:jc w:val="both"/>
        <w:rPr>
          <w:rFonts w:ascii="Arial" w:eastAsia="Times New Roman" w:hAnsi="Arial" w:cs="Arial"/>
          <w:b/>
          <w:bCs/>
          <w:sz w:val="20"/>
          <w:szCs w:val="20"/>
        </w:rPr>
      </w:pPr>
    </w:p>
    <w:p w14:paraId="3B35CAEE" w14:textId="77777777" w:rsidR="00FE13BA" w:rsidRDefault="000C7AFA">
      <w:pPr>
        <w:spacing w:after="0" w:line="240" w:lineRule="auto"/>
        <w:jc w:val="both"/>
        <w:rPr>
          <w:rFonts w:ascii="Arial" w:eastAsia="Times New Roman" w:hAnsi="Arial" w:cs="Arial"/>
          <w:szCs w:val="20"/>
        </w:rPr>
      </w:pPr>
      <w:r>
        <w:rPr>
          <w:rFonts w:ascii="Arial" w:eastAsia="Times New Roman" w:hAnsi="Arial" w:cs="Arial"/>
          <w:b/>
          <w:bCs/>
          <w:szCs w:val="20"/>
        </w:rPr>
        <w:t>4.1 Conclusion</w:t>
      </w:r>
    </w:p>
    <w:p w14:paraId="19B6CF27" w14:textId="77777777" w:rsidR="00FE13BA" w:rsidRDefault="00FE13BA">
      <w:pPr>
        <w:spacing w:after="0" w:line="240" w:lineRule="auto"/>
        <w:jc w:val="both"/>
        <w:rPr>
          <w:rFonts w:ascii="Arial" w:eastAsia="Times New Roman" w:hAnsi="Arial" w:cs="Arial"/>
          <w:sz w:val="20"/>
          <w:szCs w:val="20"/>
        </w:rPr>
      </w:pPr>
    </w:p>
    <w:p w14:paraId="1535BD13"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This systematic review examined the effectiveness of community-based health education interventions on maternal service uptake in Sub-Saharan Africa. Evidence from the reviewed studies demonstrates that community-based health education plays a significant role in improving the utilization of essential maternal health services, particularly antenatal care attendance, skilled birth attendance, and postnatal care visits. Interventions delivered through community health workers, peer educators, outreach campaigns, and local women’s groups were consistently associated with increased awareness, improved health-seeking behavior, and better maternal service utilization outcomes. The findings align with </w:t>
      </w:r>
      <w:r>
        <w:rPr>
          <w:rFonts w:ascii="Arial" w:eastAsia="Times New Roman" w:hAnsi="Arial" w:cs="Arial"/>
          <w:sz w:val="20"/>
          <w:szCs w:val="20"/>
        </w:rPr>
        <w:t xml:space="preserve">recent evidence demonstrating that community-level interventions, health literacy promotion, and household engagement improve maternal healthcare utilization in low-resource settings (WHO, 2023; Dickson et al., 2022; </w:t>
      </w:r>
      <w:proofErr w:type="spellStart"/>
      <w:r>
        <w:rPr>
          <w:rFonts w:ascii="Arial" w:eastAsia="Times New Roman" w:hAnsi="Arial" w:cs="Arial"/>
          <w:sz w:val="20"/>
          <w:szCs w:val="20"/>
        </w:rPr>
        <w:t>Manyeh</w:t>
      </w:r>
      <w:proofErr w:type="spellEnd"/>
      <w:r>
        <w:rPr>
          <w:rFonts w:ascii="Arial" w:eastAsia="Times New Roman" w:hAnsi="Arial" w:cs="Arial"/>
          <w:sz w:val="20"/>
          <w:szCs w:val="20"/>
        </w:rPr>
        <w:t xml:space="preserve"> et al., 2024).</w:t>
      </w:r>
    </w:p>
    <w:p w14:paraId="49A33454" w14:textId="77777777" w:rsidR="00FE13BA" w:rsidRDefault="00FE13BA">
      <w:pPr>
        <w:spacing w:after="0" w:line="240" w:lineRule="auto"/>
        <w:jc w:val="both"/>
        <w:rPr>
          <w:rFonts w:ascii="Arial" w:eastAsia="Times New Roman" w:hAnsi="Arial" w:cs="Arial"/>
          <w:sz w:val="20"/>
          <w:szCs w:val="20"/>
        </w:rPr>
      </w:pPr>
    </w:p>
    <w:p w14:paraId="151B5DB9"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The review further revealed that community-based approaches are particularly effective because they bring health information closer to women within their social and cultural environments. By using trusted community structures and local communication channels, these interventions help to address misconceptions, reduce fear, and encourage timely access to healthcare services during pregnancy and childbirth. In several studies, involvement of spouses, traditional leaders, and community influencers further strengthened acceptance and participation.</w:t>
      </w:r>
    </w:p>
    <w:p w14:paraId="55E74890" w14:textId="77777777" w:rsidR="00FE13BA" w:rsidRDefault="00FE13BA">
      <w:pPr>
        <w:spacing w:after="0" w:line="240" w:lineRule="auto"/>
        <w:jc w:val="both"/>
        <w:rPr>
          <w:rFonts w:ascii="Arial" w:eastAsia="Times New Roman" w:hAnsi="Arial" w:cs="Arial"/>
          <w:sz w:val="20"/>
          <w:szCs w:val="20"/>
        </w:rPr>
      </w:pPr>
    </w:p>
    <w:p w14:paraId="24D7ABA8"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However, despite the positive impact of health education, the review found that structural barriers such as poverty, transportation difficulties, poor road networks, inadequate healthcare facilities, and shortage of skilled health personnel continue to limit full maternal health service uptake in many communities. Cultural beliefs, low female autonomy, and decision-making dependence on family members also remain major challenges in some settings.</w:t>
      </w:r>
    </w:p>
    <w:p w14:paraId="00E122BA" w14:textId="77777777" w:rsidR="00FE13BA" w:rsidRDefault="00FE13BA">
      <w:pPr>
        <w:spacing w:after="0" w:line="240" w:lineRule="auto"/>
        <w:jc w:val="both"/>
        <w:rPr>
          <w:rFonts w:ascii="Arial" w:eastAsia="Times New Roman" w:hAnsi="Arial" w:cs="Arial"/>
          <w:sz w:val="20"/>
          <w:szCs w:val="20"/>
        </w:rPr>
      </w:pPr>
    </w:p>
    <w:p w14:paraId="57FDF31D"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Overall, the findings from the 30 included studies indicate that community-based health education interventions are valuable and cost-effective strategies for improving maternal health outcomes in Sub-Saharan Africa. Nevertheless, their effectiveness is greatest when combined with broader health system strengthening, poverty reduction, measures, and policies that improve women’s access to quality maternal healthcare services.</w:t>
      </w:r>
    </w:p>
    <w:p w14:paraId="44648C8F" w14:textId="77777777" w:rsidR="00FE13BA" w:rsidRDefault="00FE13BA">
      <w:pPr>
        <w:spacing w:after="0" w:line="240" w:lineRule="auto"/>
        <w:jc w:val="both"/>
        <w:rPr>
          <w:rFonts w:ascii="Arial" w:eastAsia="Times New Roman" w:hAnsi="Arial" w:cs="Arial"/>
          <w:sz w:val="20"/>
          <w:szCs w:val="20"/>
        </w:rPr>
      </w:pPr>
    </w:p>
    <w:p w14:paraId="607113E7" w14:textId="77777777" w:rsidR="00FE13BA" w:rsidRDefault="000C7AFA">
      <w:pPr>
        <w:spacing w:after="0" w:line="240" w:lineRule="auto"/>
        <w:jc w:val="both"/>
        <w:rPr>
          <w:rFonts w:ascii="Arial" w:eastAsia="Times New Roman" w:hAnsi="Arial" w:cs="Arial"/>
          <w:b/>
          <w:bCs/>
          <w:szCs w:val="20"/>
        </w:rPr>
      </w:pPr>
      <w:r>
        <w:rPr>
          <w:rFonts w:ascii="Arial" w:eastAsia="Times New Roman" w:hAnsi="Arial" w:cs="Arial"/>
          <w:b/>
          <w:bCs/>
          <w:szCs w:val="20"/>
        </w:rPr>
        <w:t>4.2 Recommendations</w:t>
      </w:r>
    </w:p>
    <w:p w14:paraId="6D156978" w14:textId="77777777" w:rsidR="00FE13BA" w:rsidRDefault="00FE13BA">
      <w:pPr>
        <w:spacing w:after="0" w:line="240" w:lineRule="auto"/>
        <w:jc w:val="both"/>
        <w:rPr>
          <w:rFonts w:ascii="Arial" w:eastAsia="Times New Roman" w:hAnsi="Arial" w:cs="Arial"/>
          <w:sz w:val="20"/>
          <w:szCs w:val="20"/>
        </w:rPr>
      </w:pPr>
    </w:p>
    <w:p w14:paraId="697C17A7"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Based on the findings of this review, governments in Sub-Saharan Africa should strengthen and scale up community-based health education programs as part of national maternal health strategies. These interventions should be </w:t>
      </w:r>
      <w:r>
        <w:rPr>
          <w:rFonts w:ascii="Arial" w:eastAsia="Times New Roman" w:hAnsi="Arial" w:cs="Arial"/>
          <w:sz w:val="20"/>
          <w:szCs w:val="20"/>
        </w:rPr>
        <w:lastRenderedPageBreak/>
        <w:t>integrated into adequate funding, supervision, and monitoring mechanisms.</w:t>
      </w:r>
    </w:p>
    <w:p w14:paraId="58A453A2" w14:textId="77777777" w:rsidR="00FE13BA" w:rsidRDefault="00FE13BA">
      <w:pPr>
        <w:spacing w:after="0" w:line="240" w:lineRule="auto"/>
        <w:jc w:val="both"/>
        <w:rPr>
          <w:rFonts w:ascii="Arial" w:eastAsia="Times New Roman" w:hAnsi="Arial" w:cs="Arial"/>
          <w:sz w:val="20"/>
          <w:szCs w:val="20"/>
        </w:rPr>
      </w:pPr>
    </w:p>
    <w:p w14:paraId="33295242"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Community health workers should be regularly trained and equipped with culturally appropriate educational materials to improve the quality and consistency of maternal health messaging. Incentives and supportive supervision should be provided to sustain motivation and effectiveness.</w:t>
      </w:r>
    </w:p>
    <w:p w14:paraId="534570BD" w14:textId="77777777" w:rsidR="00FE13BA" w:rsidRDefault="00FE13BA">
      <w:pPr>
        <w:spacing w:after="0" w:line="240" w:lineRule="auto"/>
        <w:jc w:val="both"/>
        <w:rPr>
          <w:rFonts w:ascii="Arial" w:eastAsia="Times New Roman" w:hAnsi="Arial" w:cs="Arial"/>
          <w:sz w:val="20"/>
          <w:szCs w:val="20"/>
        </w:rPr>
      </w:pPr>
    </w:p>
    <w:p w14:paraId="2A02D66F"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Policy makers should address structural barriers that reduce service uptake by improving transportation systems, expanding healthcare facilities in rural areas, and ensuring availability of skilled birth attendants and essential maternal health commodities.</w:t>
      </w:r>
    </w:p>
    <w:p w14:paraId="49E916A6" w14:textId="77777777" w:rsidR="00FE13BA" w:rsidRDefault="00FE13BA">
      <w:pPr>
        <w:spacing w:after="0" w:line="240" w:lineRule="auto"/>
        <w:jc w:val="both"/>
        <w:rPr>
          <w:rFonts w:ascii="Arial" w:eastAsia="Times New Roman" w:hAnsi="Arial" w:cs="Arial"/>
          <w:sz w:val="20"/>
          <w:szCs w:val="20"/>
        </w:rPr>
      </w:pPr>
    </w:p>
    <w:p w14:paraId="0E16AC3C"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Community engagement strategies should actively involve men, religious leaders, traditional rulers, and women’s groups to improve acceptance of maternal health services and promote shared decision making within </w:t>
      </w:r>
      <w:proofErr w:type="spellStart"/>
      <w:r>
        <w:rPr>
          <w:rFonts w:ascii="Arial" w:eastAsia="Times New Roman" w:hAnsi="Arial" w:cs="Arial"/>
          <w:sz w:val="20"/>
          <w:szCs w:val="20"/>
        </w:rPr>
        <w:t>households.Digital</w:t>
      </w:r>
      <w:proofErr w:type="spellEnd"/>
      <w:r>
        <w:rPr>
          <w:rFonts w:ascii="Arial" w:eastAsia="Times New Roman" w:hAnsi="Arial" w:cs="Arial"/>
          <w:sz w:val="20"/>
          <w:szCs w:val="20"/>
        </w:rPr>
        <w:t xml:space="preserve"> and mobile health education strategies should also be explored, as recent studies suggest growing effectiveness in improving appointment adherence and maternal awareness across low-resource settings (2022-2025 evidence).</w:t>
      </w:r>
    </w:p>
    <w:p w14:paraId="16DA29AE" w14:textId="77777777" w:rsidR="00FE13BA" w:rsidRDefault="00FE13BA">
      <w:pPr>
        <w:spacing w:after="0" w:line="240" w:lineRule="auto"/>
        <w:jc w:val="both"/>
        <w:rPr>
          <w:rFonts w:ascii="Arial" w:eastAsia="Times New Roman" w:hAnsi="Arial" w:cs="Arial"/>
          <w:sz w:val="20"/>
          <w:szCs w:val="20"/>
        </w:rPr>
      </w:pPr>
    </w:p>
    <w:p w14:paraId="4A7DAE4F"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Future researchers should conduct more high-quality longitudinal and intervention studies across diverse Sub-Saharan African settings to assess long-term effectiveness, cost-efficiency, and sustainability of community-based education interventions. Further studies should also explore digital and mobile health education approaches for improving maternal healthcare utilization in </w:t>
      </w:r>
      <w:proofErr w:type="spellStart"/>
      <w:r>
        <w:rPr>
          <w:rFonts w:ascii="Arial" w:eastAsia="Times New Roman" w:hAnsi="Arial" w:cs="Arial"/>
          <w:sz w:val="20"/>
          <w:szCs w:val="20"/>
        </w:rPr>
        <w:t>under served</w:t>
      </w:r>
      <w:proofErr w:type="spellEnd"/>
      <w:r>
        <w:rPr>
          <w:rFonts w:ascii="Arial" w:eastAsia="Times New Roman" w:hAnsi="Arial" w:cs="Arial"/>
          <w:sz w:val="20"/>
          <w:szCs w:val="20"/>
        </w:rPr>
        <w:t xml:space="preserve"> populations.</w:t>
      </w:r>
    </w:p>
    <w:p w14:paraId="5294EC15" w14:textId="77777777" w:rsidR="00FE13BA" w:rsidRDefault="00FE13BA">
      <w:pPr>
        <w:spacing w:after="0" w:line="240" w:lineRule="auto"/>
        <w:jc w:val="both"/>
        <w:rPr>
          <w:rFonts w:ascii="Arial" w:eastAsia="Times New Roman" w:hAnsi="Arial" w:cs="Arial"/>
        </w:rPr>
      </w:pPr>
    </w:p>
    <w:p w14:paraId="65644CAA" w14:textId="77777777" w:rsidR="00FE13BA" w:rsidRDefault="00FE13BA">
      <w:pPr>
        <w:spacing w:after="0" w:line="240" w:lineRule="auto"/>
        <w:jc w:val="both"/>
        <w:rPr>
          <w:rFonts w:ascii="Arial" w:eastAsia="Times New Roman" w:hAnsi="Arial" w:cs="Arial"/>
        </w:rPr>
      </w:pPr>
    </w:p>
    <w:p w14:paraId="53DE11D7" w14:textId="77777777" w:rsidR="00FE13BA" w:rsidRDefault="000C7AFA">
      <w:pPr>
        <w:pStyle w:val="Heading2"/>
        <w:rPr>
          <w:rFonts w:eastAsia="Times New Roman"/>
          <w:sz w:val="21"/>
          <w:szCs w:val="21"/>
        </w:rPr>
      </w:pPr>
      <w:r>
        <w:rPr>
          <w:rFonts w:eastAsia="Times New Roman"/>
          <w:sz w:val="21"/>
          <w:szCs w:val="21"/>
        </w:rPr>
        <w:t>DISCLAIMER (ARTIFICIAL INTELLIGENCE)</w:t>
      </w:r>
    </w:p>
    <w:p w14:paraId="095F3728" w14:textId="77777777" w:rsidR="00FE13BA" w:rsidRDefault="00FE13BA">
      <w:pPr>
        <w:spacing w:after="0" w:line="240" w:lineRule="auto"/>
        <w:jc w:val="both"/>
        <w:rPr>
          <w:rFonts w:ascii="Arial" w:eastAsia="Times New Roman" w:hAnsi="Arial" w:cs="Arial"/>
          <w:sz w:val="16"/>
          <w:szCs w:val="16"/>
        </w:rPr>
      </w:pPr>
    </w:p>
    <w:p w14:paraId="24D3A90A" w14:textId="77777777" w:rsidR="00FE13BA" w:rsidRDefault="000C7AFA">
      <w:pPr>
        <w:spacing w:after="0" w:line="240" w:lineRule="auto"/>
        <w:jc w:val="both"/>
        <w:rPr>
          <w:rFonts w:ascii="Arial" w:eastAsia="Times New Roman" w:hAnsi="Arial" w:cs="Arial"/>
          <w:sz w:val="20"/>
          <w:szCs w:val="20"/>
        </w:rPr>
      </w:pPr>
      <w:r>
        <w:rPr>
          <w:rFonts w:ascii="Arial" w:eastAsia="Times New Roman" w:hAnsi="Arial" w:cs="Arial"/>
          <w:sz w:val="20"/>
          <w:szCs w:val="20"/>
        </w:rPr>
        <w:t>Limited artificial intelligence tools were used to support language refinement, formatting, and editorial assistance. All conceptualization, literature selection, interpretation, critical analysis, and final approval of the manuscript were performed by the author. The author accepts full responsibility for the content of this work.</w:t>
      </w:r>
    </w:p>
    <w:p w14:paraId="67089E40" w14:textId="77777777" w:rsidR="00FE13BA" w:rsidRDefault="00FE13BA">
      <w:pPr>
        <w:spacing w:after="0" w:line="240" w:lineRule="auto"/>
        <w:jc w:val="both"/>
        <w:rPr>
          <w:rFonts w:ascii="Arial" w:eastAsia="Times New Roman" w:hAnsi="Arial" w:cs="Arial"/>
          <w:bCs/>
          <w:iCs/>
        </w:rPr>
      </w:pPr>
    </w:p>
    <w:p w14:paraId="50ABF13D" w14:textId="77777777" w:rsidR="00FE13BA" w:rsidRDefault="000C7AFA">
      <w:pPr>
        <w:pStyle w:val="ReferHead"/>
        <w:spacing w:after="0"/>
        <w:jc w:val="both"/>
        <w:rPr>
          <w:rFonts w:ascii="Arial" w:hAnsi="Arial" w:cs="Arial"/>
          <w:bCs/>
        </w:rPr>
      </w:pPr>
      <w:r>
        <w:rPr>
          <w:rFonts w:ascii="Arial" w:hAnsi="Arial" w:cs="Arial"/>
          <w:bCs/>
        </w:rPr>
        <w:t>Competing interests</w:t>
      </w:r>
    </w:p>
    <w:p w14:paraId="6F5291E4" w14:textId="77777777" w:rsidR="00FE13BA" w:rsidRDefault="00FE13BA">
      <w:pPr>
        <w:pStyle w:val="ReferHead"/>
        <w:spacing w:after="0"/>
        <w:rPr>
          <w:rFonts w:ascii="Arial" w:hAnsi="Arial" w:cs="Arial"/>
          <w:sz w:val="16"/>
        </w:rPr>
      </w:pPr>
    </w:p>
    <w:p w14:paraId="4DB3C4C6" w14:textId="77777777" w:rsidR="00FE13BA" w:rsidRDefault="000C7AFA">
      <w:pPr>
        <w:pStyle w:val="ReferHead"/>
        <w:spacing w:after="0"/>
        <w:jc w:val="both"/>
        <w:rPr>
          <w:rFonts w:ascii="Arial" w:hAnsi="Arial" w:cs="Arial"/>
          <w:b w:val="0"/>
          <w:caps w:val="0"/>
          <w:sz w:val="20"/>
        </w:rPr>
      </w:pPr>
      <w:r>
        <w:rPr>
          <w:rFonts w:ascii="Arial" w:hAnsi="Arial" w:cs="Arial"/>
          <w:b w:val="0"/>
          <w:caps w:val="0"/>
          <w:sz w:val="20"/>
        </w:rPr>
        <w:t>Author declares no competing interests.</w:t>
      </w:r>
    </w:p>
    <w:p w14:paraId="0490BDF8" w14:textId="77777777" w:rsidR="00FE13BA" w:rsidRDefault="00FE13BA">
      <w:pPr>
        <w:spacing w:after="0" w:line="240" w:lineRule="auto"/>
        <w:jc w:val="both"/>
        <w:rPr>
          <w:rFonts w:ascii="Arial" w:eastAsia="Times New Roman" w:hAnsi="Arial" w:cs="Arial"/>
          <w:sz w:val="20"/>
          <w:szCs w:val="20"/>
        </w:rPr>
      </w:pPr>
    </w:p>
    <w:p w14:paraId="3FD484FF" w14:textId="77777777" w:rsidR="00FE13BA" w:rsidRDefault="000C7AFA">
      <w:pPr>
        <w:pStyle w:val="Heading2"/>
        <w:rPr>
          <w:rFonts w:eastAsia="Times New Roman"/>
        </w:rPr>
      </w:pPr>
      <w:r>
        <w:rPr>
          <w:rFonts w:eastAsia="Times New Roman"/>
        </w:rPr>
        <w:t>REFERENCES</w:t>
      </w:r>
    </w:p>
    <w:p w14:paraId="56FF036D" w14:textId="77777777" w:rsidR="00FE13BA" w:rsidRDefault="000C7AFA">
      <w:pPr>
        <w:pStyle w:val="ListParagraph"/>
        <w:spacing w:after="0" w:line="240" w:lineRule="auto"/>
        <w:ind w:left="500" w:hangingChars="250" w:hanging="500"/>
        <w:contextualSpacing w:val="0"/>
        <w:jc w:val="both"/>
        <w:rPr>
          <w:rFonts w:ascii="Arial" w:hAnsi="Arial" w:cs="Arial"/>
          <w:sz w:val="20"/>
          <w:szCs w:val="20"/>
        </w:rPr>
      </w:pPr>
      <w:proofErr w:type="spellStart"/>
      <w:r>
        <w:rPr>
          <w:rFonts w:ascii="Arial" w:hAnsi="Arial" w:cs="Arial"/>
          <w:sz w:val="20"/>
          <w:szCs w:val="20"/>
        </w:rPr>
        <w:t>Acirucan</w:t>
      </w:r>
      <w:proofErr w:type="spellEnd"/>
      <w:r>
        <w:rPr>
          <w:rFonts w:ascii="Arial" w:hAnsi="Arial" w:cs="Arial"/>
          <w:sz w:val="20"/>
          <w:szCs w:val="20"/>
        </w:rPr>
        <w:t xml:space="preserve">, P., </w:t>
      </w:r>
      <w:proofErr w:type="spellStart"/>
      <w:r>
        <w:rPr>
          <w:rFonts w:ascii="Arial" w:hAnsi="Arial" w:cs="Arial"/>
          <w:sz w:val="20"/>
          <w:szCs w:val="20"/>
        </w:rPr>
        <w:t>Nankumbi</w:t>
      </w:r>
      <w:proofErr w:type="spellEnd"/>
      <w:r>
        <w:rPr>
          <w:rFonts w:ascii="Arial" w:hAnsi="Arial" w:cs="Arial"/>
          <w:sz w:val="20"/>
          <w:szCs w:val="20"/>
        </w:rPr>
        <w:t xml:space="preserve">, J., Ngabirano, T. D., et al. (2025). Factors associated with completion of maternal health services: A </w:t>
      </w:r>
      <w:r>
        <w:rPr>
          <w:rFonts w:ascii="Arial" w:hAnsi="Arial" w:cs="Arial"/>
          <w:sz w:val="20"/>
          <w:szCs w:val="20"/>
        </w:rPr>
        <w:t xml:space="preserve">cross-sectional study among women at an outpatient facility in Northern Uganda. BMC Health Services Research, 25, 706. </w:t>
      </w:r>
      <w:hyperlink r:id="rId13" w:history="1">
        <w:r>
          <w:rPr>
            <w:rStyle w:val="Hyperlink"/>
            <w:rFonts w:ascii="Arial" w:hAnsi="Arial" w:cs="Arial"/>
            <w:sz w:val="20"/>
            <w:szCs w:val="20"/>
          </w:rPr>
          <w:t>https://doi.org/10.1186/s12913-025-12764-z</w:t>
        </w:r>
      </w:hyperlink>
    </w:p>
    <w:p w14:paraId="10334FCE" w14:textId="77777777" w:rsidR="00FE13BA" w:rsidRDefault="000C7AFA">
      <w:pPr>
        <w:pStyle w:val="ListParagraph"/>
        <w:spacing w:after="0" w:line="240" w:lineRule="auto"/>
        <w:ind w:left="500" w:hangingChars="250" w:hanging="500"/>
        <w:contextualSpacing w:val="0"/>
        <w:jc w:val="both"/>
        <w:rPr>
          <w:rFonts w:ascii="Arial" w:hAnsi="Arial" w:cs="Arial"/>
          <w:sz w:val="20"/>
          <w:szCs w:val="20"/>
          <w:lang w:val="en-GB"/>
        </w:rPr>
      </w:pPr>
      <w:r>
        <w:rPr>
          <w:rFonts w:ascii="Arial" w:hAnsi="Arial" w:cs="Arial"/>
          <w:sz w:val="20"/>
          <w:szCs w:val="20"/>
          <w:lang w:val="en-GB"/>
        </w:rPr>
        <w:t>Afework, M. F., Admassu, K., Mekonnen, A., Hagos, S., Asegid, M., &amp; Ahmed, S. (2014). Effect of an innovative community based health program on maternal health service utilization in north and south central Ethiopia: a community based cross sectional study. Reproductive health, 11(1), 28</w:t>
      </w:r>
    </w:p>
    <w:p w14:paraId="1B895832" w14:textId="77777777" w:rsidR="00FE13BA" w:rsidRDefault="000C7AFA">
      <w:pPr>
        <w:pStyle w:val="ListParagraph"/>
        <w:spacing w:after="0" w:line="240" w:lineRule="auto"/>
        <w:ind w:left="500" w:hangingChars="250" w:hanging="500"/>
        <w:contextualSpacing w:val="0"/>
        <w:jc w:val="both"/>
        <w:rPr>
          <w:rFonts w:ascii="Arial" w:hAnsi="Arial" w:cs="Arial"/>
          <w:sz w:val="20"/>
          <w:szCs w:val="20"/>
        </w:rPr>
      </w:pPr>
      <w:r>
        <w:rPr>
          <w:rFonts w:ascii="Arial" w:hAnsi="Arial" w:cs="Arial"/>
          <w:sz w:val="20"/>
          <w:szCs w:val="20"/>
        </w:rPr>
        <w:t xml:space="preserve">Ahmed, R. et al., (2024). The continuum of care for maternal health in Africa: A systematic review and meta-analysis. PLOS ONE, 19(7), e0305780. </w:t>
      </w:r>
      <w:hyperlink r:id="rId14" w:history="1">
        <w:r>
          <w:rPr>
            <w:rStyle w:val="Hyperlink"/>
            <w:rFonts w:ascii="Arial" w:hAnsi="Arial" w:cs="Arial"/>
            <w:sz w:val="20"/>
            <w:szCs w:val="20"/>
          </w:rPr>
          <w:t>https://doi.org/10.1371/journal.pome.0305780</w:t>
        </w:r>
      </w:hyperlink>
    </w:p>
    <w:p w14:paraId="7F093F24" w14:textId="77777777" w:rsidR="00FE13BA" w:rsidRDefault="000C7AFA">
      <w:pPr>
        <w:pStyle w:val="ListParagraph"/>
        <w:spacing w:after="0" w:line="240" w:lineRule="auto"/>
        <w:ind w:left="500" w:hangingChars="250" w:hanging="500"/>
        <w:contextualSpacing w:val="0"/>
        <w:jc w:val="both"/>
        <w:rPr>
          <w:rFonts w:ascii="Arial" w:hAnsi="Arial" w:cs="Arial"/>
          <w:sz w:val="20"/>
          <w:szCs w:val="20"/>
          <w:lang w:eastAsia="en-IN"/>
        </w:rPr>
      </w:pPr>
      <w:r>
        <w:rPr>
          <w:rFonts w:ascii="Arial" w:hAnsi="Arial" w:cs="Arial"/>
          <w:sz w:val="20"/>
          <w:szCs w:val="20"/>
        </w:rPr>
        <w:t xml:space="preserve">Alhaji, M. M., Umar, L., Yusuf, M. A., et al. (2025). Supply and demand barriers to PHC maternal care services uptake: Qualitative and </w:t>
      </w:r>
      <w:proofErr w:type="spellStart"/>
      <w:r>
        <w:rPr>
          <w:rFonts w:ascii="Arial" w:hAnsi="Arial" w:cs="Arial"/>
          <w:sz w:val="20"/>
          <w:szCs w:val="20"/>
        </w:rPr>
        <w:t>behavioural</w:t>
      </w:r>
      <w:proofErr w:type="spellEnd"/>
      <w:r>
        <w:rPr>
          <w:rFonts w:ascii="Arial" w:hAnsi="Arial" w:cs="Arial"/>
          <w:sz w:val="20"/>
          <w:szCs w:val="20"/>
        </w:rPr>
        <w:t xml:space="preserve"> insights from Gombe State, Nigeria. BMC Pregnancy and Childbirth, 25, 939. </w:t>
      </w:r>
      <w:hyperlink r:id="rId15" w:history="1">
        <w:r>
          <w:rPr>
            <w:rStyle w:val="Hyperlink"/>
            <w:rFonts w:ascii="Arial" w:hAnsi="Arial" w:cs="Arial"/>
            <w:sz w:val="20"/>
            <w:szCs w:val="20"/>
          </w:rPr>
          <w:t>https://doi.org/10.1186/s12884-025-08071-4</w:t>
        </w:r>
      </w:hyperlink>
    </w:p>
    <w:p w14:paraId="20C84523"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Babalola, S., &amp; </w:t>
      </w:r>
      <w:proofErr w:type="spellStart"/>
      <w:r>
        <w:rPr>
          <w:rFonts w:ascii="Arial" w:eastAsia="Times New Roman" w:hAnsi="Arial" w:cs="Arial"/>
          <w:sz w:val="20"/>
          <w:szCs w:val="20"/>
          <w:lang w:eastAsia="en-IN"/>
        </w:rPr>
        <w:t>Fatusi</w:t>
      </w:r>
      <w:proofErr w:type="spellEnd"/>
      <w:r>
        <w:rPr>
          <w:rFonts w:ascii="Arial" w:eastAsia="Times New Roman" w:hAnsi="Arial" w:cs="Arial"/>
          <w:sz w:val="20"/>
          <w:szCs w:val="20"/>
          <w:lang w:eastAsia="en-IN"/>
        </w:rPr>
        <w:t xml:space="preserve">, A. (2009). Determinants of use of maternal health services in Nigeria. BMC Pregnancy and </w:t>
      </w:r>
      <w:proofErr w:type="spellStart"/>
      <w:r>
        <w:rPr>
          <w:rFonts w:ascii="Arial" w:eastAsia="Times New Roman" w:hAnsi="Arial" w:cs="Arial"/>
          <w:sz w:val="20"/>
          <w:szCs w:val="20"/>
          <w:lang w:eastAsia="en-IN"/>
        </w:rPr>
        <w:t>Chilbirth</w:t>
      </w:r>
      <w:proofErr w:type="spellEnd"/>
      <w:r>
        <w:rPr>
          <w:rFonts w:ascii="Arial" w:eastAsia="Times New Roman" w:hAnsi="Arial" w:cs="Arial"/>
          <w:sz w:val="20"/>
          <w:szCs w:val="20"/>
          <w:lang w:eastAsia="en-IN"/>
        </w:rPr>
        <w:t xml:space="preserve">, 9, 43. </w:t>
      </w:r>
      <w:hyperlink r:id="rId16" w:history="1">
        <w:r>
          <w:rPr>
            <w:rStyle w:val="Hyperlink"/>
            <w:rFonts w:ascii="Arial" w:eastAsia="Times New Roman" w:hAnsi="Arial" w:cs="Arial"/>
            <w:sz w:val="20"/>
            <w:szCs w:val="20"/>
            <w:lang w:eastAsia="en-IN"/>
          </w:rPr>
          <w:t>https://doi.org/10.1186/1471-2393-9-43</w:t>
        </w:r>
      </w:hyperlink>
    </w:p>
    <w:p w14:paraId="3E110956"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Bain, L.E et al., (2022). Prevalence and determinants of maternal healthcare utilization among young women in Sub-Saharan Africa: Cross-sectional analysis of demographic and health survey data. BMC Public Health, 22, 647. </w:t>
      </w:r>
      <w:hyperlink r:id="rId17" w:history="1">
        <w:r>
          <w:rPr>
            <w:rStyle w:val="Hyperlink"/>
            <w:rFonts w:ascii="Arial" w:eastAsia="Times New Roman" w:hAnsi="Arial" w:cs="Arial"/>
            <w:sz w:val="20"/>
            <w:szCs w:val="20"/>
            <w:lang w:eastAsia="en-IN"/>
          </w:rPr>
          <w:t>https://doi.org/10.1186/s12889-022-13037-8</w:t>
        </w:r>
      </w:hyperlink>
    </w:p>
    <w:p w14:paraId="2E9FF5DF"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Bohren, M. A et al. (2014). Facilitators and barriers to facility-based delivery in low- and middle-income countries: A qualitative evidence synthesis. Reproductive Health, 11, 71. </w:t>
      </w:r>
      <w:hyperlink r:id="rId18" w:history="1">
        <w:r>
          <w:rPr>
            <w:rStyle w:val="Hyperlink"/>
            <w:rFonts w:ascii="Arial" w:eastAsia="Times New Roman" w:hAnsi="Arial" w:cs="Arial"/>
            <w:sz w:val="20"/>
            <w:szCs w:val="20"/>
            <w:lang w:eastAsia="en-IN"/>
          </w:rPr>
          <w:t>https://doi.org/10.1186/1742-4755-11-71</w:t>
        </w:r>
      </w:hyperlink>
    </w:p>
    <w:p w14:paraId="49A82661"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Campbell, O. M. R., &amp; Graham, W. J. (2006). Strategies for reducing maternal mortality: Getting on with what works. The Lancet, 368(9543), 1284-1299. </w:t>
      </w:r>
      <w:hyperlink r:id="rId19" w:history="1">
        <w:r>
          <w:rPr>
            <w:rStyle w:val="Hyperlink"/>
            <w:rFonts w:ascii="Arial" w:eastAsia="Times New Roman" w:hAnsi="Arial" w:cs="Arial"/>
            <w:sz w:val="20"/>
            <w:szCs w:val="20"/>
            <w:lang w:eastAsia="en-IN"/>
          </w:rPr>
          <w:t>https://doi.org/10.1016/S0140-6736(06)69381-1</w:t>
        </w:r>
      </w:hyperlink>
    </w:p>
    <w:p w14:paraId="52D5442F"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Dickson, K. S., Adde, K. S., &amp; Amu, H. (2022). Coverage and factors associated with completion of continuum of care for maternal health in sub-Saharan Africa: A </w:t>
      </w:r>
      <w:proofErr w:type="spellStart"/>
      <w:r>
        <w:rPr>
          <w:rFonts w:ascii="Arial" w:eastAsia="Times New Roman" w:hAnsi="Arial" w:cs="Arial"/>
          <w:sz w:val="20"/>
          <w:szCs w:val="20"/>
          <w:lang w:eastAsia="en-IN"/>
        </w:rPr>
        <w:t>multicountry</w:t>
      </w:r>
      <w:proofErr w:type="spellEnd"/>
      <w:r>
        <w:rPr>
          <w:rFonts w:ascii="Arial" w:eastAsia="Times New Roman" w:hAnsi="Arial" w:cs="Arial"/>
          <w:sz w:val="20"/>
          <w:szCs w:val="20"/>
          <w:lang w:eastAsia="en-IN"/>
        </w:rPr>
        <w:t xml:space="preserve"> analysis. BMC Pregnancy and Childbirth, 22, 424. </w:t>
      </w:r>
      <w:hyperlink r:id="rId20" w:history="1">
        <w:r>
          <w:rPr>
            <w:rStyle w:val="Hyperlink"/>
            <w:rFonts w:ascii="Arial" w:eastAsia="Times New Roman" w:hAnsi="Arial" w:cs="Arial"/>
            <w:sz w:val="20"/>
            <w:szCs w:val="20"/>
            <w:lang w:eastAsia="en-IN"/>
          </w:rPr>
          <w:t>https://doi.org/10.1186/s12884-022-04757-1</w:t>
        </w:r>
      </w:hyperlink>
    </w:p>
    <w:p w14:paraId="5AA59CF5"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lastRenderedPageBreak/>
        <w:t xml:space="preserve">Doctor, H. V., Findley, S. E/. </w:t>
      </w:r>
      <w:proofErr w:type="spellStart"/>
      <w:r>
        <w:rPr>
          <w:rFonts w:ascii="Arial" w:eastAsia="Times New Roman" w:hAnsi="Arial" w:cs="Arial"/>
          <w:sz w:val="20"/>
          <w:szCs w:val="20"/>
          <w:lang w:eastAsia="en-IN"/>
        </w:rPr>
        <w:t>Afenyadu</w:t>
      </w:r>
      <w:proofErr w:type="spellEnd"/>
      <w:r>
        <w:rPr>
          <w:rFonts w:ascii="Arial" w:eastAsia="Times New Roman" w:hAnsi="Arial" w:cs="Arial"/>
          <w:sz w:val="20"/>
          <w:szCs w:val="20"/>
          <w:lang w:eastAsia="en-IN"/>
        </w:rPr>
        <w:t xml:space="preserve">, G. Y., </w:t>
      </w:r>
      <w:proofErr w:type="spellStart"/>
      <w:r>
        <w:rPr>
          <w:rFonts w:ascii="Arial" w:eastAsia="Times New Roman" w:hAnsi="Arial" w:cs="Arial"/>
          <w:sz w:val="20"/>
          <w:szCs w:val="20"/>
          <w:lang w:eastAsia="en-IN"/>
        </w:rPr>
        <w:t>Uzondu</w:t>
      </w:r>
      <w:proofErr w:type="spellEnd"/>
      <w:r>
        <w:rPr>
          <w:rFonts w:ascii="Arial" w:eastAsia="Times New Roman" w:hAnsi="Arial" w:cs="Arial"/>
          <w:sz w:val="20"/>
          <w:szCs w:val="20"/>
          <w:lang w:eastAsia="en-IN"/>
        </w:rPr>
        <w:t xml:space="preserve">, C., Ashir, G. M., &amp; Green, C. (2011). Using community-based research to shape the design and delivery of maternal health services in Northern Nigeria. Reproductive Health Matters, 19(37), 104-112. </w:t>
      </w:r>
      <w:hyperlink r:id="rId21" w:history="1">
        <w:r>
          <w:rPr>
            <w:rStyle w:val="Hyperlink"/>
            <w:rFonts w:ascii="Arial" w:eastAsia="Times New Roman" w:hAnsi="Arial" w:cs="Arial"/>
            <w:sz w:val="20"/>
            <w:szCs w:val="20"/>
            <w:lang w:eastAsia="en-IN"/>
          </w:rPr>
          <w:t>https://doi.org/10.1016/S0968-8080(11)37557-6</w:t>
        </w:r>
      </w:hyperlink>
    </w:p>
    <w:p w14:paraId="1E8353B3"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hAnsi="Arial" w:cs="Arial"/>
          <w:sz w:val="20"/>
          <w:szCs w:val="20"/>
          <w:lang w:val="en-GB"/>
        </w:rPr>
        <w:t xml:space="preserve">Doctor, H. V., Findley, S. E., Ager, A., Cometto, G., </w:t>
      </w:r>
      <w:proofErr w:type="spellStart"/>
      <w:r>
        <w:rPr>
          <w:rFonts w:ascii="Arial" w:hAnsi="Arial" w:cs="Arial"/>
          <w:sz w:val="20"/>
          <w:szCs w:val="20"/>
          <w:lang w:val="en-GB"/>
        </w:rPr>
        <w:t>Afenyadu</w:t>
      </w:r>
      <w:proofErr w:type="spellEnd"/>
      <w:r>
        <w:rPr>
          <w:rFonts w:ascii="Arial" w:hAnsi="Arial" w:cs="Arial"/>
          <w:sz w:val="20"/>
          <w:szCs w:val="20"/>
          <w:lang w:val="en-GB"/>
        </w:rPr>
        <w:t>, G. Y., Adamu, F., &amp; Green, C. (2012). Using community-based research to shape the design and delivery of maternal health services in Northern Nigeria. Reproductive health matters, 20(39), 104-112</w:t>
      </w:r>
    </w:p>
    <w:p w14:paraId="2F2EB4B3"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Eze, P., Lawani, L. O., &amp; </w:t>
      </w:r>
      <w:proofErr w:type="spellStart"/>
      <w:r>
        <w:rPr>
          <w:rFonts w:ascii="Arial" w:eastAsia="Times New Roman" w:hAnsi="Arial" w:cs="Arial"/>
          <w:sz w:val="20"/>
          <w:szCs w:val="20"/>
          <w:lang w:eastAsia="en-IN"/>
        </w:rPr>
        <w:t>Ijoke</w:t>
      </w:r>
      <w:proofErr w:type="spellEnd"/>
      <w:r>
        <w:rPr>
          <w:rFonts w:ascii="Arial" w:eastAsia="Times New Roman" w:hAnsi="Arial" w:cs="Arial"/>
          <w:sz w:val="20"/>
          <w:szCs w:val="20"/>
          <w:lang w:eastAsia="en-IN"/>
        </w:rPr>
        <w:t xml:space="preserve">, C. A. (2021). Determinants of maternal health service utilization in rural Nigeria. BMC Pregnancy and </w:t>
      </w:r>
      <w:proofErr w:type="spellStart"/>
      <w:r>
        <w:rPr>
          <w:rFonts w:ascii="Arial" w:eastAsia="Times New Roman" w:hAnsi="Arial" w:cs="Arial"/>
          <w:sz w:val="20"/>
          <w:szCs w:val="20"/>
          <w:lang w:eastAsia="en-IN"/>
        </w:rPr>
        <w:t>Childbrith</w:t>
      </w:r>
      <w:proofErr w:type="spellEnd"/>
      <w:r>
        <w:rPr>
          <w:rFonts w:ascii="Arial" w:eastAsia="Times New Roman" w:hAnsi="Arial" w:cs="Arial"/>
          <w:sz w:val="20"/>
          <w:szCs w:val="20"/>
          <w:lang w:eastAsia="en-IN"/>
        </w:rPr>
        <w:t xml:space="preserve">, 21, 312. </w:t>
      </w:r>
      <w:hyperlink r:id="rId22" w:history="1">
        <w:r>
          <w:rPr>
            <w:rStyle w:val="Hyperlink"/>
            <w:rFonts w:ascii="Arial" w:eastAsia="Times New Roman" w:hAnsi="Arial" w:cs="Arial"/>
            <w:sz w:val="20"/>
            <w:szCs w:val="20"/>
            <w:lang w:eastAsia="en-IN"/>
          </w:rPr>
          <w:t>https://doi.org/10.1186/s12884-021-03765-8</w:t>
        </w:r>
      </w:hyperlink>
    </w:p>
    <w:p w14:paraId="2DD6F31F"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Gabrysch, S., &amp; Campbell, O. M. R. (2009). Still too far to walk: Literature review of the determinants of delivery service use. BMC Pregnancy and Childbirth, 9, 34. </w:t>
      </w:r>
      <w:hyperlink r:id="rId23" w:history="1">
        <w:r>
          <w:rPr>
            <w:rStyle w:val="Hyperlink"/>
            <w:rFonts w:ascii="Arial" w:eastAsia="Times New Roman" w:hAnsi="Arial" w:cs="Arial"/>
            <w:sz w:val="20"/>
            <w:szCs w:val="20"/>
            <w:lang w:eastAsia="en-IN"/>
          </w:rPr>
          <w:t>https://doi.org/10.6/1471-2393-9-34</w:t>
        </w:r>
      </w:hyperlink>
    </w:p>
    <w:p w14:paraId="2A39B9AA"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Habte, A., </w:t>
      </w:r>
      <w:proofErr w:type="spellStart"/>
      <w:r>
        <w:rPr>
          <w:rFonts w:ascii="Arial" w:eastAsia="Times New Roman" w:hAnsi="Arial" w:cs="Arial"/>
          <w:sz w:val="20"/>
          <w:szCs w:val="20"/>
          <w:lang w:eastAsia="en-IN"/>
        </w:rPr>
        <w:t>Hailegebreal</w:t>
      </w:r>
      <w:proofErr w:type="spellEnd"/>
      <w:r>
        <w:rPr>
          <w:rFonts w:ascii="Arial" w:eastAsia="Times New Roman" w:hAnsi="Arial" w:cs="Arial"/>
          <w:sz w:val="20"/>
          <w:szCs w:val="20"/>
          <w:lang w:eastAsia="en-IN"/>
        </w:rPr>
        <w:t xml:space="preserve">, S., &amp; </w:t>
      </w:r>
      <w:proofErr w:type="spellStart"/>
      <w:r>
        <w:rPr>
          <w:rFonts w:ascii="Arial" w:eastAsia="Times New Roman" w:hAnsi="Arial" w:cs="Arial"/>
          <w:sz w:val="20"/>
          <w:szCs w:val="20"/>
          <w:lang w:eastAsia="en-IN"/>
        </w:rPr>
        <w:t>Sinegn</w:t>
      </w:r>
      <w:proofErr w:type="spellEnd"/>
      <w:r>
        <w:rPr>
          <w:rFonts w:ascii="Arial" w:eastAsia="Times New Roman" w:hAnsi="Arial" w:cs="Arial"/>
          <w:sz w:val="20"/>
          <w:szCs w:val="20"/>
          <w:lang w:eastAsia="en-IN"/>
        </w:rPr>
        <w:t xml:space="preserve">, A. E. (2024). Predictors of maternal health services uptake in West African region: A multilevel multinomial regression analysis of demographic health survey reports. Reproductive Health, 21, 45. </w:t>
      </w:r>
      <w:hyperlink r:id="rId24" w:history="1">
        <w:r>
          <w:rPr>
            <w:rStyle w:val="Hyperlink"/>
            <w:rFonts w:ascii="Arial" w:eastAsia="Times New Roman" w:hAnsi="Arial" w:cs="Arial"/>
            <w:sz w:val="20"/>
            <w:szCs w:val="20"/>
            <w:lang w:eastAsia="en-IN"/>
          </w:rPr>
          <w:t>https://doi.org/10.1186/s12978-024-01782-5</w:t>
        </w:r>
      </w:hyperlink>
    </w:p>
    <w:p w14:paraId="03947A97"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Kassa, G. M., </w:t>
      </w:r>
      <w:proofErr w:type="spellStart"/>
      <w:r>
        <w:rPr>
          <w:rFonts w:ascii="Arial" w:eastAsia="Times New Roman" w:hAnsi="Arial" w:cs="Arial"/>
          <w:sz w:val="20"/>
          <w:szCs w:val="20"/>
          <w:lang w:eastAsia="en-IN"/>
        </w:rPr>
        <w:t>Arowojolu</w:t>
      </w:r>
      <w:proofErr w:type="spellEnd"/>
      <w:r>
        <w:rPr>
          <w:rFonts w:ascii="Arial" w:eastAsia="Times New Roman" w:hAnsi="Arial" w:cs="Arial"/>
          <w:sz w:val="20"/>
          <w:szCs w:val="20"/>
          <w:lang w:eastAsia="en-IN"/>
        </w:rPr>
        <w:t xml:space="preserve">, A. O., </w:t>
      </w:r>
      <w:proofErr w:type="spellStart"/>
      <w:r>
        <w:rPr>
          <w:rFonts w:ascii="Arial" w:eastAsia="Times New Roman" w:hAnsi="Arial" w:cs="Arial"/>
          <w:sz w:val="20"/>
          <w:szCs w:val="20"/>
          <w:lang w:eastAsia="en-IN"/>
        </w:rPr>
        <w:t>Odukogbe</w:t>
      </w:r>
      <w:proofErr w:type="spellEnd"/>
      <w:r>
        <w:rPr>
          <w:rFonts w:ascii="Arial" w:eastAsia="Times New Roman" w:hAnsi="Arial" w:cs="Arial"/>
          <w:sz w:val="20"/>
          <w:szCs w:val="20"/>
          <w:lang w:eastAsia="en-IN"/>
        </w:rPr>
        <w:t xml:space="preserve">, A. A., &amp; </w:t>
      </w:r>
      <w:proofErr w:type="spellStart"/>
      <w:r>
        <w:rPr>
          <w:rFonts w:ascii="Arial" w:eastAsia="Times New Roman" w:hAnsi="Arial" w:cs="Arial"/>
          <w:sz w:val="20"/>
          <w:szCs w:val="20"/>
          <w:lang w:eastAsia="en-IN"/>
        </w:rPr>
        <w:t>Yalew</w:t>
      </w:r>
      <w:proofErr w:type="spellEnd"/>
      <w:r>
        <w:rPr>
          <w:rFonts w:ascii="Arial" w:eastAsia="Times New Roman" w:hAnsi="Arial" w:cs="Arial"/>
          <w:sz w:val="20"/>
          <w:szCs w:val="20"/>
          <w:lang w:eastAsia="en-IN"/>
        </w:rPr>
        <w:t xml:space="preserve">, A. W. (2019). Maternal health service utilization of adolescent women in sub-Saharan Africa: A systematic scoping </w:t>
      </w:r>
      <w:proofErr w:type="spellStart"/>
      <w:r>
        <w:rPr>
          <w:rFonts w:ascii="Arial" w:eastAsia="Times New Roman" w:hAnsi="Arial" w:cs="Arial"/>
          <w:sz w:val="20"/>
          <w:szCs w:val="20"/>
          <w:lang w:eastAsia="en-IN"/>
        </w:rPr>
        <w:t>reveiew</w:t>
      </w:r>
      <w:proofErr w:type="spellEnd"/>
      <w:r>
        <w:rPr>
          <w:rFonts w:ascii="Arial" w:eastAsia="Times New Roman" w:hAnsi="Arial" w:cs="Arial"/>
          <w:sz w:val="20"/>
          <w:szCs w:val="20"/>
          <w:lang w:eastAsia="en-IN"/>
        </w:rPr>
        <w:t xml:space="preserve">. BMC Pregnancy and Childbirth, 19, 366. </w:t>
      </w:r>
      <w:hyperlink r:id="rId25" w:history="1">
        <w:r>
          <w:rPr>
            <w:rStyle w:val="Hyperlink"/>
            <w:rFonts w:ascii="Arial" w:eastAsia="Times New Roman" w:hAnsi="Arial" w:cs="Arial"/>
            <w:sz w:val="20"/>
            <w:szCs w:val="20"/>
            <w:lang w:eastAsia="en-IN"/>
          </w:rPr>
          <w:t>https://doi.org/10.1186/s12884-019-2501-6</w:t>
        </w:r>
      </w:hyperlink>
    </w:p>
    <w:p w14:paraId="722F9F6F"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Kassebaum, N. J., et al. (2014). Global, regional, and national levels and causes of maternal mortality during 1990-2013: A systematic analysis. The Lancet, 384(9947), 980-1004. </w:t>
      </w:r>
      <w:hyperlink r:id="rId26" w:history="1">
        <w:r>
          <w:rPr>
            <w:rStyle w:val="Hyperlink"/>
            <w:rFonts w:ascii="Arial" w:eastAsia="Times New Roman" w:hAnsi="Arial" w:cs="Arial"/>
            <w:sz w:val="20"/>
            <w:szCs w:val="20"/>
            <w:lang w:eastAsia="en-IN"/>
          </w:rPr>
          <w:t>https://doi.org/10.1016/S0140-6736(14)60696-6</w:t>
        </w:r>
      </w:hyperlink>
    </w:p>
    <w:p w14:paraId="28046873"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Kok, M. C et al. (2015). Which intervention design factors influence performance of community health workers in low- and middle-income countries? A systematic review, Health Policy and Planning, 30(9), 1207-1227. </w:t>
      </w:r>
      <w:hyperlink r:id="rId27" w:history="1">
        <w:r>
          <w:rPr>
            <w:rStyle w:val="Hyperlink"/>
            <w:rFonts w:ascii="Arial" w:eastAsia="Times New Roman" w:hAnsi="Arial" w:cs="Arial"/>
            <w:sz w:val="20"/>
            <w:szCs w:val="20"/>
            <w:lang w:eastAsia="en-IN"/>
          </w:rPr>
          <w:t>https://doi.org/10.1093/heapol/czu126</w:t>
        </w:r>
      </w:hyperlink>
    </w:p>
    <w:p w14:paraId="4C27D8D2"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Lassi, Z. S., Middleton, P. F., Bhutta, Z. A., &amp; Crowther, C. (2015). Strategies for improving healthcare seeking for maternal and newborn illnesses in low- and middle-</w:t>
      </w:r>
      <w:r>
        <w:rPr>
          <w:rFonts w:ascii="Arial" w:eastAsia="Times New Roman" w:hAnsi="Arial" w:cs="Arial"/>
          <w:sz w:val="20"/>
          <w:szCs w:val="20"/>
          <w:lang w:eastAsia="en-IN"/>
        </w:rPr>
        <w:t xml:space="preserve">incomes countries: A systematic review. BMC Pregnancy and Childbirth, 15, 169. </w:t>
      </w:r>
      <w:hyperlink r:id="rId28" w:history="1">
        <w:r>
          <w:rPr>
            <w:rStyle w:val="Hyperlink"/>
            <w:rFonts w:ascii="Arial" w:eastAsia="Times New Roman" w:hAnsi="Arial" w:cs="Arial"/>
            <w:sz w:val="20"/>
            <w:szCs w:val="20"/>
            <w:lang w:eastAsia="en-IN"/>
          </w:rPr>
          <w:t>https://doi.org/10.1186/s12884-015-0600-7</w:t>
        </w:r>
      </w:hyperlink>
    </w:p>
    <w:p w14:paraId="2FB5D059"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Lunsford, S. S., Fatta, K., Stover, K. E., &amp; Shrestha, R. (2015). Supporting close to community providers through a community health system approach: Case examples from Ethiopia and Tanzania. Human Resources for Health, 13, 12. </w:t>
      </w:r>
      <w:hyperlink r:id="rId29" w:history="1">
        <w:r>
          <w:rPr>
            <w:rStyle w:val="Hyperlink"/>
            <w:rFonts w:ascii="Arial" w:eastAsia="Times New Roman" w:hAnsi="Arial" w:cs="Arial"/>
            <w:sz w:val="20"/>
            <w:szCs w:val="20"/>
            <w:lang w:eastAsia="en-IN"/>
          </w:rPr>
          <w:t>https://doi.org/10.1186/s12960-015-0006-6</w:t>
        </w:r>
      </w:hyperlink>
    </w:p>
    <w:p w14:paraId="6D06BAEC"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roofErr w:type="spellStart"/>
      <w:r>
        <w:rPr>
          <w:rFonts w:ascii="Arial" w:eastAsia="Times New Roman" w:hAnsi="Arial" w:cs="Arial"/>
          <w:sz w:val="20"/>
          <w:szCs w:val="20"/>
          <w:lang w:eastAsia="en-IN"/>
        </w:rPr>
        <w:t>Manyeh</w:t>
      </w:r>
      <w:proofErr w:type="spellEnd"/>
      <w:r>
        <w:rPr>
          <w:rFonts w:ascii="Arial" w:eastAsia="Times New Roman" w:hAnsi="Arial" w:cs="Arial"/>
          <w:sz w:val="20"/>
          <w:szCs w:val="20"/>
          <w:lang w:eastAsia="en-IN"/>
        </w:rPr>
        <w:t xml:space="preserve">, A. K., Amu, H., &amp; Seidu, A. A. (2024). Quality of antenatal care in 13 sub-Saharan African countries in the SDG era: Evidence from Demographic and Health Surveys. BMC Pregnancy and Childbirth, 24, 412. </w:t>
      </w:r>
      <w:hyperlink r:id="rId30" w:history="1">
        <w:r>
          <w:rPr>
            <w:rStyle w:val="Hyperlink"/>
            <w:rFonts w:ascii="Arial" w:eastAsia="Times New Roman" w:hAnsi="Arial" w:cs="Arial"/>
            <w:sz w:val="20"/>
            <w:szCs w:val="20"/>
            <w:lang w:eastAsia="en-IN"/>
          </w:rPr>
          <w:t>https://doi.org/10.1186/s12884-024-06459-2</w:t>
        </w:r>
      </w:hyperlink>
    </w:p>
    <w:p w14:paraId="363DF2B6"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roofErr w:type="spellStart"/>
      <w:r>
        <w:rPr>
          <w:rFonts w:ascii="Arial" w:eastAsia="Times New Roman" w:hAnsi="Arial" w:cs="Arial"/>
          <w:sz w:val="20"/>
          <w:szCs w:val="20"/>
          <w:lang w:eastAsia="en-IN"/>
        </w:rPr>
        <w:t>Mbuagbaw</w:t>
      </w:r>
      <w:proofErr w:type="spellEnd"/>
      <w:r>
        <w:rPr>
          <w:rFonts w:ascii="Arial" w:eastAsia="Times New Roman" w:hAnsi="Arial" w:cs="Arial"/>
          <w:sz w:val="20"/>
          <w:szCs w:val="20"/>
          <w:lang w:eastAsia="en-IN"/>
        </w:rPr>
        <w:t xml:space="preserve">, L., Medley, N., Darzi, A. J., Richarson, M., Habiba Garga, K., &amp; Ongolo-Zogo, P. (2015). Health system and community level interventions for improving antenatal care coverage and health outcomes. </w:t>
      </w:r>
      <w:proofErr w:type="spellStart"/>
      <w:r>
        <w:rPr>
          <w:rFonts w:ascii="Arial" w:eastAsia="Times New Roman" w:hAnsi="Arial" w:cs="Arial"/>
          <w:sz w:val="20"/>
          <w:szCs w:val="20"/>
          <w:lang w:eastAsia="en-IN"/>
        </w:rPr>
        <w:t>Cochrance</w:t>
      </w:r>
      <w:proofErr w:type="spellEnd"/>
      <w:r>
        <w:rPr>
          <w:rFonts w:ascii="Arial" w:eastAsia="Times New Roman" w:hAnsi="Arial" w:cs="Arial"/>
          <w:sz w:val="20"/>
          <w:szCs w:val="20"/>
          <w:lang w:eastAsia="en-IN"/>
        </w:rPr>
        <w:t xml:space="preserve"> Database of Systematic Reviews, 12, CD010994. </w:t>
      </w:r>
      <w:hyperlink r:id="rId31" w:history="1">
        <w:r>
          <w:rPr>
            <w:rStyle w:val="Hyperlink"/>
            <w:rFonts w:ascii="Arial" w:eastAsia="Times New Roman" w:hAnsi="Arial" w:cs="Arial"/>
            <w:sz w:val="20"/>
            <w:szCs w:val="20"/>
            <w:lang w:eastAsia="en-IN"/>
          </w:rPr>
          <w:t>https://doi.org/10.1002/14651858.CD010994.pub2</w:t>
        </w:r>
      </w:hyperlink>
    </w:p>
    <w:p w14:paraId="0194F714"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Montagu, D., </w:t>
      </w:r>
      <w:proofErr w:type="spellStart"/>
      <w:r>
        <w:rPr>
          <w:rFonts w:ascii="Arial" w:eastAsia="Times New Roman" w:hAnsi="Arial" w:cs="Arial"/>
          <w:sz w:val="20"/>
          <w:szCs w:val="20"/>
          <w:lang w:eastAsia="en-IN"/>
        </w:rPr>
        <w:t>Yamey</w:t>
      </w:r>
      <w:proofErr w:type="spellEnd"/>
      <w:r>
        <w:rPr>
          <w:rFonts w:ascii="Arial" w:eastAsia="Times New Roman" w:hAnsi="Arial" w:cs="Arial"/>
          <w:sz w:val="20"/>
          <w:szCs w:val="20"/>
          <w:lang w:eastAsia="en-IN"/>
        </w:rPr>
        <w:t xml:space="preserve">, G., Visconti, A., Harding, A., &amp; Yoong, J. (2011). Where do poor women in developing countries give birth? A multi-country analysis. </w:t>
      </w:r>
      <w:proofErr w:type="spellStart"/>
      <w:r>
        <w:rPr>
          <w:rFonts w:ascii="Arial" w:eastAsia="Times New Roman" w:hAnsi="Arial" w:cs="Arial"/>
          <w:sz w:val="20"/>
          <w:szCs w:val="20"/>
          <w:lang w:eastAsia="en-IN"/>
        </w:rPr>
        <w:t>PLos</w:t>
      </w:r>
      <w:proofErr w:type="spellEnd"/>
      <w:r>
        <w:rPr>
          <w:rFonts w:ascii="Arial" w:eastAsia="Times New Roman" w:hAnsi="Arial" w:cs="Arial"/>
          <w:sz w:val="20"/>
          <w:szCs w:val="20"/>
          <w:lang w:eastAsia="en-IN"/>
        </w:rPr>
        <w:t xml:space="preserve"> ONE, 6(2), e17155. </w:t>
      </w:r>
      <w:hyperlink r:id="rId32" w:history="1">
        <w:r>
          <w:rPr>
            <w:rStyle w:val="Hyperlink"/>
            <w:rFonts w:ascii="Arial" w:eastAsia="Times New Roman" w:hAnsi="Arial" w:cs="Arial"/>
            <w:sz w:val="20"/>
            <w:szCs w:val="20"/>
            <w:lang w:eastAsia="en-IN"/>
          </w:rPr>
          <w:t>https://doi.org/10.1371/journal.pone.0017155</w:t>
        </w:r>
      </w:hyperlink>
    </w:p>
    <w:p w14:paraId="4AD76E44"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Moyer, C. A., &amp; Mustafa, A. (2013). Drivers and deterrents of facility delivery in sub-Saharan Africa: A systematic review. </w:t>
      </w:r>
      <w:proofErr w:type="spellStart"/>
      <w:r>
        <w:rPr>
          <w:rFonts w:ascii="Arial" w:eastAsia="Times New Roman" w:hAnsi="Arial" w:cs="Arial"/>
          <w:sz w:val="20"/>
          <w:szCs w:val="20"/>
          <w:lang w:eastAsia="en-IN"/>
        </w:rPr>
        <w:t>Repreductive</w:t>
      </w:r>
      <w:proofErr w:type="spellEnd"/>
      <w:r>
        <w:rPr>
          <w:rFonts w:ascii="Arial" w:eastAsia="Times New Roman" w:hAnsi="Arial" w:cs="Arial"/>
          <w:sz w:val="20"/>
          <w:szCs w:val="20"/>
          <w:lang w:eastAsia="en-IN"/>
        </w:rPr>
        <w:t xml:space="preserve"> Health, 10, 40. </w:t>
      </w:r>
      <w:hyperlink r:id="rId33" w:history="1">
        <w:r>
          <w:rPr>
            <w:rStyle w:val="Hyperlink"/>
            <w:rFonts w:ascii="Arial" w:eastAsia="Times New Roman" w:hAnsi="Arial" w:cs="Arial"/>
            <w:sz w:val="20"/>
            <w:szCs w:val="20"/>
            <w:lang w:eastAsia="en-IN"/>
          </w:rPr>
          <w:t>https://doi.org/10.1186/1742-4755-10-40</w:t>
        </w:r>
      </w:hyperlink>
    </w:p>
    <w:p w14:paraId="45AE02CB"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Olapeju, B., Bride, M., Wamala, M., </w:t>
      </w:r>
      <w:proofErr w:type="spellStart"/>
      <w:r>
        <w:rPr>
          <w:rFonts w:ascii="Arial" w:eastAsia="Times New Roman" w:hAnsi="Arial" w:cs="Arial"/>
          <w:sz w:val="20"/>
          <w:szCs w:val="20"/>
          <w:lang w:eastAsia="en-IN"/>
        </w:rPr>
        <w:t>Atobrah</w:t>
      </w:r>
      <w:proofErr w:type="spellEnd"/>
      <w:r>
        <w:rPr>
          <w:rFonts w:ascii="Arial" w:eastAsia="Times New Roman" w:hAnsi="Arial" w:cs="Arial"/>
          <w:sz w:val="20"/>
          <w:szCs w:val="20"/>
          <w:lang w:eastAsia="en-IN"/>
        </w:rPr>
        <w:t xml:space="preserve">, D., &amp; Hendrickson, Z. M. (2025). Antenatal care and breastfeeding practices in Sub-Saharan Africa: An analysis of demographic and health surveys. BMC Pregnancy and Childbirth, 25, 77. </w:t>
      </w:r>
      <w:hyperlink r:id="rId34" w:history="1">
        <w:r>
          <w:rPr>
            <w:rStyle w:val="Hyperlink"/>
            <w:rFonts w:ascii="Arial" w:eastAsia="Times New Roman" w:hAnsi="Arial" w:cs="Arial"/>
            <w:sz w:val="20"/>
            <w:szCs w:val="20"/>
            <w:lang w:eastAsia="en-IN"/>
          </w:rPr>
          <w:t>https://doi.org/10.1186/s12884-025-07188-w</w:t>
        </w:r>
      </w:hyperlink>
    </w:p>
    <w:p w14:paraId="3FADEDC1"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Page, M. J et al., (2021). The PRISMA 2020 statement: An updated guideline for reporting systematic reviews. BMJ, 372, n71. </w:t>
      </w:r>
      <w:hyperlink r:id="rId35" w:history="1">
        <w:r>
          <w:rPr>
            <w:rStyle w:val="Hyperlink"/>
            <w:rFonts w:ascii="Arial" w:eastAsia="Times New Roman" w:hAnsi="Arial" w:cs="Arial"/>
            <w:sz w:val="20"/>
            <w:szCs w:val="20"/>
            <w:lang w:eastAsia="en-IN"/>
          </w:rPr>
          <w:t>https://doi.org/10.1136/bmj.n71</w:t>
        </w:r>
      </w:hyperlink>
    </w:p>
    <w:p w14:paraId="0E86CDF2"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Popay, J. et al., (2006). Guidance on the conduct of narrative synthesis in systematic reviews. ESRC Methods </w:t>
      </w:r>
      <w:proofErr w:type="spellStart"/>
      <w:r>
        <w:rPr>
          <w:rFonts w:ascii="Arial" w:eastAsia="Times New Roman" w:hAnsi="Arial" w:cs="Arial"/>
          <w:sz w:val="20"/>
          <w:szCs w:val="20"/>
          <w:lang w:eastAsia="en-IN"/>
        </w:rPr>
        <w:t>Programme</w:t>
      </w:r>
      <w:proofErr w:type="spellEnd"/>
      <w:r>
        <w:rPr>
          <w:rFonts w:ascii="Arial" w:eastAsia="Times New Roman" w:hAnsi="Arial" w:cs="Arial"/>
          <w:sz w:val="20"/>
          <w:szCs w:val="20"/>
          <w:lang w:eastAsia="en-IN"/>
        </w:rPr>
        <w:t xml:space="preserve">. </w:t>
      </w:r>
      <w:hyperlink r:id="rId36" w:history="1">
        <w:r>
          <w:rPr>
            <w:rStyle w:val="Hyperlink"/>
            <w:rFonts w:ascii="Arial" w:eastAsia="Times New Roman" w:hAnsi="Arial" w:cs="Arial"/>
            <w:sz w:val="20"/>
            <w:szCs w:val="20"/>
            <w:lang w:eastAsia="en-IN"/>
          </w:rPr>
          <w:t>https://doi.org/10.13140/2.1.1018.4643</w:t>
        </w:r>
      </w:hyperlink>
    </w:p>
    <w:p w14:paraId="649785AB"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Prost, A., et al. (2013). Women’s groups practicing participatory learning and action to improve maternal and newborn health outcomes: A meta-analysis. The Lancet, 381(9879), 1736-1746. </w:t>
      </w:r>
      <w:hyperlink r:id="rId37" w:history="1">
        <w:r>
          <w:rPr>
            <w:rStyle w:val="Hyperlink"/>
            <w:rFonts w:ascii="Arial" w:eastAsia="Times New Roman" w:hAnsi="Arial" w:cs="Arial"/>
            <w:sz w:val="20"/>
            <w:szCs w:val="20"/>
            <w:lang w:eastAsia="en-IN"/>
          </w:rPr>
          <w:t>https://doi.org/10.1016/S0140-6736(13)60685-6</w:t>
        </w:r>
      </w:hyperlink>
    </w:p>
    <w:p w14:paraId="23EFD946"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Sacks, E et al., (2017). Beyond the building blocks: Integrating community roles into health systems frameworks. BMC Health Services Research, 17, 297. </w:t>
      </w:r>
      <w:hyperlink r:id="rId38" w:history="1">
        <w:r>
          <w:rPr>
            <w:rStyle w:val="Hyperlink"/>
            <w:rFonts w:ascii="Arial" w:eastAsia="Times New Roman" w:hAnsi="Arial" w:cs="Arial"/>
            <w:sz w:val="20"/>
            <w:szCs w:val="20"/>
            <w:lang w:eastAsia="en-IN"/>
          </w:rPr>
          <w:t>https://doi.org/10.1186/s12913-017-2235-5</w:t>
        </w:r>
      </w:hyperlink>
    </w:p>
    <w:p w14:paraId="436F1857"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Say, L., et al. (2014). Global causes of maternal A WHO systematic analysis. The Lancet Global Health, 2(6), e323-e333. </w:t>
      </w:r>
      <w:hyperlink r:id="rId39" w:history="1">
        <w:r>
          <w:rPr>
            <w:rStyle w:val="Hyperlink"/>
            <w:rFonts w:ascii="Arial" w:eastAsia="Times New Roman" w:hAnsi="Arial" w:cs="Arial"/>
            <w:sz w:val="20"/>
            <w:szCs w:val="20"/>
            <w:lang w:eastAsia="en-IN"/>
          </w:rPr>
          <w:t>https://doi.org/10.1016/S2214-109X(14)70227-X</w:t>
        </w:r>
      </w:hyperlink>
    </w:p>
    <w:p w14:paraId="18058724"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roofErr w:type="spellStart"/>
      <w:r>
        <w:rPr>
          <w:rFonts w:ascii="Arial" w:eastAsia="Times New Roman" w:hAnsi="Arial" w:cs="Arial"/>
          <w:sz w:val="20"/>
          <w:szCs w:val="20"/>
          <w:lang w:eastAsia="en-IN"/>
        </w:rPr>
        <w:t>Sialubanje</w:t>
      </w:r>
      <w:proofErr w:type="spellEnd"/>
      <w:r>
        <w:rPr>
          <w:rFonts w:ascii="Arial" w:eastAsia="Times New Roman" w:hAnsi="Arial" w:cs="Arial"/>
          <w:sz w:val="20"/>
          <w:szCs w:val="20"/>
          <w:lang w:eastAsia="en-IN"/>
        </w:rPr>
        <w:t xml:space="preserve">, C., Massar, K., Hamer, D. H., &amp; Ruiter, R. A. C. (2015). Reasons for home delivery and use of traditional birth attendants in rural Zambia. BMC Pregnancy and Childbirth, 15, 216. </w:t>
      </w:r>
      <w:hyperlink r:id="rId40" w:history="1">
        <w:r>
          <w:rPr>
            <w:rStyle w:val="Hyperlink"/>
            <w:rFonts w:ascii="Arial" w:eastAsia="Times New Roman" w:hAnsi="Arial" w:cs="Arial"/>
            <w:sz w:val="20"/>
            <w:szCs w:val="20"/>
            <w:lang w:eastAsia="en-IN"/>
          </w:rPr>
          <w:t>https://doi.org/10.1186/s12884-015-0652-8</w:t>
        </w:r>
      </w:hyperlink>
    </w:p>
    <w:p w14:paraId="271E3923"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Singh, K., Story, W. T., Moran, A. C., &amp; </w:t>
      </w:r>
      <w:proofErr w:type="spellStart"/>
      <w:r>
        <w:rPr>
          <w:rFonts w:ascii="Arial" w:eastAsia="Times New Roman" w:hAnsi="Arial" w:cs="Arial"/>
          <w:sz w:val="20"/>
          <w:szCs w:val="20"/>
          <w:lang w:eastAsia="en-IN"/>
        </w:rPr>
        <w:t>Mbuagbaw</w:t>
      </w:r>
      <w:proofErr w:type="spellEnd"/>
      <w:r>
        <w:rPr>
          <w:rFonts w:ascii="Arial" w:eastAsia="Times New Roman" w:hAnsi="Arial" w:cs="Arial"/>
          <w:sz w:val="20"/>
          <w:szCs w:val="20"/>
          <w:lang w:eastAsia="en-IN"/>
        </w:rPr>
        <w:t>, L. (2018). Assessing the impact of community-based interventions on maternal healthcare utilization in low-resource settings. Global Health Action, 11(1), 1483016. https://doi.org/10.1080/16549716.2018.1483016</w:t>
      </w:r>
    </w:p>
    <w:p w14:paraId="4D82AB03"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28E76DE1"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Story, W. T., et al. (2012). Husbands’ </w:t>
      </w:r>
      <w:proofErr w:type="spellStart"/>
      <w:r>
        <w:rPr>
          <w:rFonts w:ascii="Arial" w:eastAsia="Times New Roman" w:hAnsi="Arial" w:cs="Arial"/>
          <w:sz w:val="20"/>
          <w:szCs w:val="20"/>
          <w:lang w:eastAsia="en-IN"/>
        </w:rPr>
        <w:t>invlovement</w:t>
      </w:r>
      <w:proofErr w:type="spellEnd"/>
      <w:r>
        <w:rPr>
          <w:rFonts w:ascii="Arial" w:eastAsia="Times New Roman" w:hAnsi="Arial" w:cs="Arial"/>
          <w:sz w:val="20"/>
          <w:szCs w:val="20"/>
          <w:lang w:eastAsia="en-IN"/>
        </w:rPr>
        <w:t xml:space="preserve"> in delivery care utilization in rural Bangladesh. BMC Pregnancy and Childbirth, 12, 28. </w:t>
      </w:r>
      <w:hyperlink r:id="rId41" w:history="1">
        <w:r>
          <w:rPr>
            <w:rStyle w:val="Hyperlink"/>
            <w:rFonts w:ascii="Arial" w:eastAsia="Times New Roman" w:hAnsi="Arial" w:cs="Arial"/>
            <w:sz w:val="20"/>
            <w:szCs w:val="20"/>
            <w:lang w:eastAsia="en-IN"/>
          </w:rPr>
          <w:t>https://doi.org/10.1186/1471-2393-12-28</w:t>
        </w:r>
      </w:hyperlink>
    </w:p>
    <w:p w14:paraId="516F17C5"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Tey, N. P., &amp; Lai, S. I., (2013). Correlates of and barriers to the utilization of health services for delivery in </w:t>
      </w:r>
      <w:proofErr w:type="spellStart"/>
      <w:r>
        <w:rPr>
          <w:rFonts w:ascii="Arial" w:eastAsia="Times New Roman" w:hAnsi="Arial" w:cs="Arial"/>
          <w:sz w:val="20"/>
          <w:szCs w:val="20"/>
          <w:lang w:eastAsia="en-IN"/>
        </w:rPr>
        <w:t>SOuth</w:t>
      </w:r>
      <w:proofErr w:type="spellEnd"/>
      <w:r>
        <w:rPr>
          <w:rFonts w:ascii="Arial" w:eastAsia="Times New Roman" w:hAnsi="Arial" w:cs="Arial"/>
          <w:sz w:val="20"/>
          <w:szCs w:val="20"/>
          <w:lang w:eastAsia="en-IN"/>
        </w:rPr>
        <w:t xml:space="preserve"> Asia and Sub-</w:t>
      </w:r>
      <w:r>
        <w:rPr>
          <w:rFonts w:ascii="Arial" w:eastAsia="Times New Roman" w:hAnsi="Arial" w:cs="Arial"/>
          <w:sz w:val="20"/>
          <w:szCs w:val="20"/>
          <w:lang w:eastAsia="en-IN"/>
        </w:rPr>
        <w:t xml:space="preserve">Saharan Africa. The Scientific World </w:t>
      </w:r>
      <w:proofErr w:type="spellStart"/>
      <w:r>
        <w:rPr>
          <w:rFonts w:ascii="Arial" w:eastAsia="Times New Roman" w:hAnsi="Arial" w:cs="Arial"/>
          <w:sz w:val="20"/>
          <w:szCs w:val="20"/>
          <w:lang w:eastAsia="en-IN"/>
        </w:rPr>
        <w:t>Jounral</w:t>
      </w:r>
      <w:proofErr w:type="spellEnd"/>
      <w:r>
        <w:rPr>
          <w:rFonts w:ascii="Arial" w:eastAsia="Times New Roman" w:hAnsi="Arial" w:cs="Arial"/>
          <w:sz w:val="20"/>
          <w:szCs w:val="20"/>
          <w:lang w:eastAsia="en-IN"/>
        </w:rPr>
        <w:t xml:space="preserve">, 2013, 423403. </w:t>
      </w:r>
      <w:hyperlink r:id="rId42" w:history="1">
        <w:r>
          <w:rPr>
            <w:rStyle w:val="Hyperlink"/>
            <w:rFonts w:ascii="Arial" w:eastAsia="Times New Roman" w:hAnsi="Arial" w:cs="Arial"/>
            <w:sz w:val="20"/>
            <w:szCs w:val="20"/>
            <w:lang w:eastAsia="en-IN"/>
          </w:rPr>
          <w:t>https://doi.org/10.1155/2013/423403</w:t>
        </w:r>
      </w:hyperlink>
    </w:p>
    <w:p w14:paraId="2DEFC1E6"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Tripathy, P., et al. (2010). Effect of a participatory intervention with women’s groups on birth outcomes in India: Cluster-</w:t>
      </w:r>
      <w:proofErr w:type="spellStart"/>
      <w:r>
        <w:rPr>
          <w:rFonts w:ascii="Arial" w:eastAsia="Times New Roman" w:hAnsi="Arial" w:cs="Arial"/>
          <w:sz w:val="20"/>
          <w:szCs w:val="20"/>
          <w:lang w:eastAsia="en-IN"/>
        </w:rPr>
        <w:t>randomised</w:t>
      </w:r>
      <w:proofErr w:type="spellEnd"/>
      <w:r>
        <w:rPr>
          <w:rFonts w:ascii="Arial" w:eastAsia="Times New Roman" w:hAnsi="Arial" w:cs="Arial"/>
          <w:sz w:val="20"/>
          <w:szCs w:val="20"/>
          <w:lang w:eastAsia="en-IN"/>
        </w:rPr>
        <w:t xml:space="preserve"> controlled trial. The Lancet, 375(9721), 1182-1192. </w:t>
      </w:r>
      <w:hyperlink r:id="rId43" w:history="1">
        <w:r>
          <w:rPr>
            <w:rStyle w:val="Hyperlink"/>
            <w:rFonts w:ascii="Arial" w:eastAsia="Times New Roman" w:hAnsi="Arial" w:cs="Arial"/>
            <w:sz w:val="20"/>
            <w:szCs w:val="20"/>
            <w:lang w:eastAsia="en-IN"/>
          </w:rPr>
          <w:t>https://doi.org/10.1016/S0140-6736(10)60692-1</w:t>
        </w:r>
      </w:hyperlink>
    </w:p>
    <w:p w14:paraId="61EE6C85"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Wang, W., Alva, S., Wang, S., &amp; Fort, A. (2011). Levels and trends in the use of maternal health services in developing countries, ICF Macro Calverton. </w:t>
      </w:r>
      <w:hyperlink r:id="rId44" w:history="1">
        <w:r>
          <w:rPr>
            <w:rStyle w:val="Hyperlink"/>
            <w:rFonts w:ascii="Arial" w:eastAsia="Times New Roman" w:hAnsi="Arial" w:cs="Arial"/>
            <w:sz w:val="20"/>
            <w:szCs w:val="20"/>
            <w:lang w:eastAsia="en-IN"/>
          </w:rPr>
          <w:t>https://doi.org/10.13140/RG.2.1.4418.8560</w:t>
        </w:r>
      </w:hyperlink>
    </w:p>
    <w:p w14:paraId="12C60D99"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WHO. (2023). Maternal health in Sub-Saharan Africa: Progress and challenges. World Health Organization. </w:t>
      </w:r>
      <w:hyperlink r:id="rId45" w:history="1">
        <w:r>
          <w:rPr>
            <w:rStyle w:val="Hyperlink"/>
            <w:rFonts w:ascii="Arial" w:eastAsia="Times New Roman" w:hAnsi="Arial" w:cs="Arial"/>
            <w:sz w:val="20"/>
            <w:szCs w:val="20"/>
            <w:lang w:eastAsia="en-IN"/>
          </w:rPr>
          <w:t>https://doi.org/10.2471/BLT.23.000123</w:t>
        </w:r>
      </w:hyperlink>
    </w:p>
    <w:p w14:paraId="530473E8" w14:textId="77777777" w:rsidR="00FE13BA" w:rsidRDefault="000C7AF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WHO. (2024). Maternal health in Sub-Saharan Africa: Progress and challenges. World Health Organization. </w:t>
      </w:r>
      <w:hyperlink r:id="rId46" w:history="1">
        <w:r>
          <w:rPr>
            <w:rStyle w:val="Hyperlink"/>
            <w:rFonts w:ascii="Arial" w:eastAsia="Times New Roman" w:hAnsi="Arial" w:cs="Arial"/>
            <w:sz w:val="20"/>
            <w:szCs w:val="20"/>
            <w:lang w:eastAsia="en-IN"/>
          </w:rPr>
          <w:t>https://doi.org/10.2471/BLT.23.000123</w:t>
        </w:r>
      </w:hyperlink>
    </w:p>
    <w:p w14:paraId="6CDF7680"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53D209EE"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3BD3CBFF"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4745DBFD"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5E155765"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73C69967"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24F7EAD9"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55F945FF"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56FF2632"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15692ED9"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7F36F6C5"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7AA5EFC1" w14:textId="77777777" w:rsidR="00FE13BA" w:rsidRDefault="00FE13BA">
      <w:pPr>
        <w:pStyle w:val="ListParagraph"/>
        <w:spacing w:after="0" w:line="240" w:lineRule="auto"/>
        <w:ind w:left="500" w:hangingChars="250" w:hanging="500"/>
        <w:contextualSpacing w:val="0"/>
        <w:jc w:val="both"/>
        <w:rPr>
          <w:rFonts w:ascii="Arial" w:eastAsia="Times New Roman" w:hAnsi="Arial" w:cs="Arial"/>
          <w:sz w:val="20"/>
          <w:szCs w:val="20"/>
          <w:lang w:eastAsia="en-IN"/>
        </w:rPr>
      </w:pPr>
    </w:p>
    <w:p w14:paraId="4AEBB99F" w14:textId="77777777" w:rsidR="00FE13BA" w:rsidRDefault="00FE13BA">
      <w:pPr>
        <w:spacing w:after="0" w:line="240" w:lineRule="auto"/>
        <w:ind w:left="540" w:hanging="540"/>
        <w:jc w:val="both"/>
        <w:rPr>
          <w:rFonts w:ascii="Arial" w:eastAsia="Times New Roman" w:hAnsi="Arial" w:cs="Arial"/>
          <w:sz w:val="20"/>
          <w:szCs w:val="20"/>
        </w:rPr>
        <w:sectPr w:rsidR="00FE13BA">
          <w:type w:val="continuous"/>
          <w:pgSz w:w="11909" w:h="16834"/>
          <w:pgMar w:top="1440" w:right="1440" w:bottom="1440" w:left="1440" w:header="720" w:footer="864" w:gutter="0"/>
          <w:cols w:num="2" w:space="288"/>
          <w:docGrid w:linePitch="360"/>
        </w:sectPr>
      </w:pPr>
    </w:p>
    <w:p w14:paraId="503CE200" w14:textId="77777777" w:rsidR="00FE13BA" w:rsidRDefault="000C7AFA">
      <w:pPr>
        <w:rPr>
          <w:rFonts w:ascii="Arial" w:eastAsia="Times New Roman" w:hAnsi="Arial" w:cs="Arial"/>
          <w:sz w:val="20"/>
          <w:szCs w:val="20"/>
        </w:rPr>
      </w:pPr>
      <w:r>
        <w:rPr>
          <w:rFonts w:ascii="Arial" w:eastAsia="Times New Roman" w:hAnsi="Arial" w:cs="Arial"/>
          <w:sz w:val="20"/>
          <w:szCs w:val="20"/>
        </w:rPr>
        <w:br w:type="page"/>
      </w:r>
    </w:p>
    <w:p w14:paraId="4AB700A7" w14:textId="77777777" w:rsidR="00FE13BA" w:rsidRDefault="000C7AFA">
      <w:pPr>
        <w:pStyle w:val="Heading2"/>
        <w:jc w:val="center"/>
        <w:rPr>
          <w:rFonts w:eastAsia="Times New Roman"/>
        </w:rPr>
      </w:pPr>
      <w:r>
        <w:rPr>
          <w:rFonts w:eastAsia="Times New Roman"/>
        </w:rPr>
        <w:lastRenderedPageBreak/>
        <w:t>SUPPLEMENTARY MATERIALS</w:t>
      </w:r>
    </w:p>
    <w:p w14:paraId="69A0DAA9" w14:textId="77777777" w:rsidR="00FE13BA" w:rsidRDefault="00FE13BA">
      <w:pPr>
        <w:spacing w:after="0" w:line="240" w:lineRule="auto"/>
        <w:jc w:val="both"/>
        <w:rPr>
          <w:rFonts w:ascii="Arial" w:eastAsia="Times New Roman" w:hAnsi="Arial" w:cs="Arial"/>
          <w:b/>
          <w:bCs/>
          <w:sz w:val="20"/>
          <w:szCs w:val="20"/>
        </w:rPr>
      </w:pPr>
    </w:p>
    <w:p w14:paraId="5AF176FC" w14:textId="77777777" w:rsidR="00FE13BA" w:rsidRDefault="000C7AFA">
      <w:pPr>
        <w:spacing w:after="0" w:line="240" w:lineRule="auto"/>
        <w:jc w:val="center"/>
        <w:rPr>
          <w:rFonts w:ascii="Arial" w:eastAsia="Times New Roman" w:hAnsi="Arial" w:cs="Arial"/>
          <w:sz w:val="20"/>
          <w:szCs w:val="20"/>
        </w:rPr>
      </w:pPr>
      <w:r>
        <w:rPr>
          <w:rFonts w:ascii="Arial" w:eastAsia="Times New Roman" w:hAnsi="Arial" w:cs="Arial"/>
          <w:b/>
          <w:bCs/>
          <w:sz w:val="20"/>
          <w:szCs w:val="20"/>
        </w:rPr>
        <w:t>Table 2. Primary research studies</w:t>
      </w:r>
    </w:p>
    <w:p w14:paraId="7C6E8978" w14:textId="77777777" w:rsidR="00FE13BA" w:rsidRDefault="00FE13BA">
      <w:pPr>
        <w:spacing w:after="0" w:line="240" w:lineRule="auto"/>
        <w:jc w:val="both"/>
        <w:rPr>
          <w:rFonts w:ascii="Arial" w:eastAsia="Times New Roman" w:hAnsi="Arial" w:cs="Arial"/>
          <w:b/>
          <w:bCs/>
          <w:sz w:val="20"/>
          <w:szCs w:val="20"/>
        </w:rPr>
      </w:pPr>
    </w:p>
    <w:tbl>
      <w:tblPr>
        <w:tblStyle w:val="TableGridLight1"/>
        <w:tblW w:w="4364"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0"/>
        <w:gridCol w:w="970"/>
        <w:gridCol w:w="1340"/>
        <w:gridCol w:w="960"/>
        <w:gridCol w:w="1320"/>
        <w:gridCol w:w="1959"/>
      </w:tblGrid>
      <w:tr w:rsidR="00FE13BA" w14:paraId="63E35CE2" w14:textId="77777777">
        <w:trPr>
          <w:jc w:val="center"/>
        </w:trPr>
        <w:tc>
          <w:tcPr>
            <w:tcW w:w="1521" w:type="dxa"/>
            <w:tcBorders>
              <w:bottom w:val="single" w:sz="4" w:space="0" w:color="auto"/>
            </w:tcBorders>
          </w:tcPr>
          <w:p w14:paraId="379CBE53" w14:textId="77777777" w:rsidR="00FE13BA" w:rsidRDefault="000C7AFA">
            <w:pPr>
              <w:spacing w:after="0" w:line="240" w:lineRule="auto"/>
              <w:rPr>
                <w:rFonts w:ascii="Arial" w:eastAsia="Times New Roman" w:hAnsi="Arial" w:cs="Arial"/>
                <w:b/>
                <w:bCs/>
                <w:sz w:val="17"/>
                <w:szCs w:val="17"/>
              </w:rPr>
            </w:pPr>
            <w:r>
              <w:rPr>
                <w:rFonts w:ascii="Arial" w:eastAsia="Times New Roman" w:hAnsi="Arial" w:cs="Arial"/>
                <w:b/>
                <w:bCs/>
                <w:sz w:val="17"/>
                <w:szCs w:val="17"/>
              </w:rPr>
              <w:t>Author (s) and Year</w:t>
            </w:r>
          </w:p>
        </w:tc>
        <w:tc>
          <w:tcPr>
            <w:tcW w:w="970" w:type="dxa"/>
            <w:tcBorders>
              <w:bottom w:val="single" w:sz="4" w:space="0" w:color="auto"/>
            </w:tcBorders>
          </w:tcPr>
          <w:p w14:paraId="133E4834" w14:textId="77777777" w:rsidR="00FE13BA" w:rsidRDefault="000C7AFA">
            <w:pPr>
              <w:spacing w:after="0" w:line="240" w:lineRule="auto"/>
              <w:rPr>
                <w:rFonts w:ascii="Arial" w:eastAsia="Times New Roman" w:hAnsi="Arial" w:cs="Arial"/>
                <w:b/>
                <w:bCs/>
                <w:sz w:val="17"/>
                <w:szCs w:val="17"/>
              </w:rPr>
            </w:pPr>
            <w:r>
              <w:rPr>
                <w:rFonts w:ascii="Arial" w:eastAsia="Times New Roman" w:hAnsi="Arial" w:cs="Arial"/>
                <w:b/>
                <w:bCs/>
                <w:sz w:val="17"/>
                <w:szCs w:val="17"/>
              </w:rPr>
              <w:t>Country/Region of study</w:t>
            </w:r>
          </w:p>
        </w:tc>
        <w:tc>
          <w:tcPr>
            <w:tcW w:w="1340" w:type="dxa"/>
            <w:tcBorders>
              <w:bottom w:val="single" w:sz="4" w:space="0" w:color="auto"/>
            </w:tcBorders>
          </w:tcPr>
          <w:p w14:paraId="5764A265" w14:textId="77777777" w:rsidR="00FE13BA" w:rsidRDefault="000C7AFA">
            <w:pPr>
              <w:spacing w:after="0" w:line="240" w:lineRule="auto"/>
              <w:rPr>
                <w:rFonts w:ascii="Arial" w:eastAsia="Times New Roman" w:hAnsi="Arial" w:cs="Arial"/>
                <w:b/>
                <w:bCs/>
                <w:sz w:val="17"/>
                <w:szCs w:val="17"/>
              </w:rPr>
            </w:pPr>
            <w:r>
              <w:rPr>
                <w:rFonts w:ascii="Arial" w:eastAsia="Times New Roman" w:hAnsi="Arial" w:cs="Arial"/>
                <w:b/>
                <w:bCs/>
                <w:sz w:val="17"/>
                <w:szCs w:val="17"/>
              </w:rPr>
              <w:t>Study Design</w:t>
            </w:r>
          </w:p>
        </w:tc>
        <w:tc>
          <w:tcPr>
            <w:tcW w:w="960" w:type="dxa"/>
            <w:tcBorders>
              <w:bottom w:val="single" w:sz="4" w:space="0" w:color="auto"/>
            </w:tcBorders>
          </w:tcPr>
          <w:p w14:paraId="4AB6DCAD" w14:textId="77777777" w:rsidR="00FE13BA" w:rsidRDefault="000C7AFA">
            <w:pPr>
              <w:spacing w:after="0" w:line="240" w:lineRule="auto"/>
              <w:ind w:right="-20"/>
              <w:rPr>
                <w:rFonts w:ascii="Arial" w:eastAsia="Times New Roman" w:hAnsi="Arial" w:cs="Arial"/>
                <w:b/>
                <w:bCs/>
                <w:sz w:val="17"/>
                <w:szCs w:val="17"/>
              </w:rPr>
            </w:pPr>
            <w:r>
              <w:rPr>
                <w:rFonts w:ascii="Arial" w:eastAsia="Times New Roman" w:hAnsi="Arial" w:cs="Arial"/>
                <w:b/>
                <w:bCs/>
                <w:sz w:val="17"/>
                <w:szCs w:val="17"/>
              </w:rPr>
              <w:t>Sample Size</w:t>
            </w:r>
          </w:p>
        </w:tc>
        <w:tc>
          <w:tcPr>
            <w:tcW w:w="1320" w:type="dxa"/>
            <w:tcBorders>
              <w:bottom w:val="single" w:sz="4" w:space="0" w:color="auto"/>
            </w:tcBorders>
          </w:tcPr>
          <w:p w14:paraId="643CA679" w14:textId="77777777" w:rsidR="00FE13BA" w:rsidRDefault="000C7AFA">
            <w:pPr>
              <w:spacing w:after="0" w:line="240" w:lineRule="auto"/>
              <w:rPr>
                <w:rFonts w:ascii="Arial" w:eastAsia="Times New Roman" w:hAnsi="Arial" w:cs="Arial"/>
                <w:b/>
                <w:bCs/>
                <w:sz w:val="17"/>
                <w:szCs w:val="17"/>
              </w:rPr>
            </w:pPr>
            <w:r>
              <w:rPr>
                <w:rFonts w:ascii="Arial" w:eastAsia="Times New Roman" w:hAnsi="Arial" w:cs="Arial"/>
                <w:b/>
                <w:bCs/>
                <w:sz w:val="17"/>
                <w:szCs w:val="17"/>
              </w:rPr>
              <w:t>Key Focus</w:t>
            </w:r>
          </w:p>
        </w:tc>
        <w:tc>
          <w:tcPr>
            <w:tcW w:w="1959" w:type="dxa"/>
            <w:tcBorders>
              <w:bottom w:val="single" w:sz="4" w:space="0" w:color="auto"/>
            </w:tcBorders>
          </w:tcPr>
          <w:p w14:paraId="05CB50B1" w14:textId="77777777" w:rsidR="00FE13BA" w:rsidRDefault="000C7AFA">
            <w:pPr>
              <w:spacing w:after="0" w:line="240" w:lineRule="auto"/>
              <w:rPr>
                <w:rFonts w:ascii="Arial" w:eastAsia="Times New Roman" w:hAnsi="Arial" w:cs="Arial"/>
                <w:b/>
                <w:bCs/>
                <w:sz w:val="17"/>
                <w:szCs w:val="17"/>
              </w:rPr>
            </w:pPr>
            <w:r>
              <w:rPr>
                <w:rFonts w:ascii="Arial" w:eastAsia="Times New Roman" w:hAnsi="Arial" w:cs="Arial"/>
                <w:b/>
                <w:bCs/>
                <w:sz w:val="17"/>
                <w:szCs w:val="17"/>
              </w:rPr>
              <w:t>Main findings</w:t>
            </w:r>
          </w:p>
        </w:tc>
      </w:tr>
      <w:tr w:rsidR="00FE13BA" w14:paraId="3679C2FE" w14:textId="77777777">
        <w:trPr>
          <w:jc w:val="center"/>
        </w:trPr>
        <w:tc>
          <w:tcPr>
            <w:tcW w:w="1521" w:type="dxa"/>
            <w:tcBorders>
              <w:top w:val="single" w:sz="4" w:space="0" w:color="auto"/>
              <w:bottom w:val="single" w:sz="4" w:space="0" w:color="auto"/>
            </w:tcBorders>
          </w:tcPr>
          <w:p w14:paraId="246F27FD"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Dickson et al. (2022)</w:t>
            </w:r>
          </w:p>
        </w:tc>
        <w:tc>
          <w:tcPr>
            <w:tcW w:w="970" w:type="dxa"/>
            <w:tcBorders>
              <w:top w:val="single" w:sz="4" w:space="0" w:color="auto"/>
              <w:bottom w:val="single" w:sz="4" w:space="0" w:color="auto"/>
            </w:tcBorders>
          </w:tcPr>
          <w:p w14:paraId="575DDF3D"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Sub-Saharan Africa</w:t>
            </w:r>
          </w:p>
        </w:tc>
        <w:tc>
          <w:tcPr>
            <w:tcW w:w="1340" w:type="dxa"/>
            <w:tcBorders>
              <w:top w:val="single" w:sz="4" w:space="0" w:color="auto"/>
              <w:bottom w:val="single" w:sz="4" w:space="0" w:color="auto"/>
            </w:tcBorders>
          </w:tcPr>
          <w:p w14:paraId="474A0831" w14:textId="77777777" w:rsidR="00FE13BA" w:rsidRDefault="000C7AFA">
            <w:pPr>
              <w:spacing w:after="0" w:line="240" w:lineRule="auto"/>
              <w:ind w:right="-106"/>
              <w:rPr>
                <w:rFonts w:ascii="Arial" w:eastAsia="Times New Roman" w:hAnsi="Arial" w:cs="Arial"/>
                <w:sz w:val="17"/>
                <w:szCs w:val="17"/>
              </w:rPr>
            </w:pPr>
            <w:proofErr w:type="spellStart"/>
            <w:r>
              <w:rPr>
                <w:rFonts w:ascii="Arial" w:eastAsia="Times New Roman" w:hAnsi="Arial" w:cs="Arial"/>
                <w:sz w:val="17"/>
                <w:szCs w:val="17"/>
              </w:rPr>
              <w:t>Multicountry</w:t>
            </w:r>
            <w:proofErr w:type="spellEnd"/>
            <w:r>
              <w:rPr>
                <w:rFonts w:ascii="Arial" w:eastAsia="Times New Roman" w:hAnsi="Arial" w:cs="Arial"/>
                <w:sz w:val="17"/>
                <w:szCs w:val="17"/>
              </w:rPr>
              <w:t xml:space="preserve"> DHS analysis</w:t>
            </w:r>
          </w:p>
        </w:tc>
        <w:tc>
          <w:tcPr>
            <w:tcW w:w="960" w:type="dxa"/>
            <w:tcBorders>
              <w:top w:val="single" w:sz="4" w:space="0" w:color="auto"/>
              <w:bottom w:val="single" w:sz="4" w:space="0" w:color="auto"/>
            </w:tcBorders>
          </w:tcPr>
          <w:p w14:paraId="7E292241"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245,000+ women</w:t>
            </w:r>
          </w:p>
        </w:tc>
        <w:tc>
          <w:tcPr>
            <w:tcW w:w="1320" w:type="dxa"/>
            <w:tcBorders>
              <w:top w:val="single" w:sz="4" w:space="0" w:color="auto"/>
              <w:bottom w:val="single" w:sz="4" w:space="0" w:color="auto"/>
            </w:tcBorders>
          </w:tcPr>
          <w:p w14:paraId="0B140B62"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Continuum of maternal care</w:t>
            </w:r>
          </w:p>
        </w:tc>
        <w:tc>
          <w:tcPr>
            <w:tcW w:w="1959" w:type="dxa"/>
            <w:tcBorders>
              <w:top w:val="single" w:sz="4" w:space="0" w:color="auto"/>
              <w:bottom w:val="single" w:sz="4" w:space="0" w:color="auto"/>
            </w:tcBorders>
          </w:tcPr>
          <w:p w14:paraId="1B055425"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Only 25% completed ANC, SBA, and PNC continuum</w:t>
            </w:r>
          </w:p>
        </w:tc>
      </w:tr>
      <w:tr w:rsidR="00FE13BA" w14:paraId="59371B4A" w14:textId="77777777">
        <w:trPr>
          <w:jc w:val="center"/>
        </w:trPr>
        <w:tc>
          <w:tcPr>
            <w:tcW w:w="1521" w:type="dxa"/>
            <w:tcBorders>
              <w:top w:val="single" w:sz="4" w:space="0" w:color="auto"/>
              <w:bottom w:val="single" w:sz="4" w:space="0" w:color="auto"/>
            </w:tcBorders>
          </w:tcPr>
          <w:p w14:paraId="783A62E9" w14:textId="77777777" w:rsidR="00FE13BA" w:rsidRDefault="000C7AFA">
            <w:pPr>
              <w:spacing w:after="0" w:line="240" w:lineRule="auto"/>
              <w:rPr>
                <w:rFonts w:ascii="Arial" w:eastAsia="Times New Roman" w:hAnsi="Arial" w:cs="Arial"/>
                <w:sz w:val="17"/>
                <w:szCs w:val="17"/>
              </w:rPr>
            </w:pPr>
            <w:proofErr w:type="spellStart"/>
            <w:r>
              <w:rPr>
                <w:rFonts w:ascii="Arial" w:eastAsia="Times New Roman" w:hAnsi="Arial" w:cs="Arial"/>
                <w:sz w:val="17"/>
                <w:szCs w:val="17"/>
              </w:rPr>
              <w:t>Manyeh</w:t>
            </w:r>
            <w:proofErr w:type="spellEnd"/>
            <w:r>
              <w:rPr>
                <w:rFonts w:ascii="Arial" w:eastAsia="Times New Roman" w:hAnsi="Arial" w:cs="Arial"/>
                <w:sz w:val="17"/>
                <w:szCs w:val="17"/>
              </w:rPr>
              <w:t xml:space="preserve"> et al. (2024)</w:t>
            </w:r>
          </w:p>
        </w:tc>
        <w:tc>
          <w:tcPr>
            <w:tcW w:w="970" w:type="dxa"/>
            <w:tcBorders>
              <w:top w:val="single" w:sz="4" w:space="0" w:color="auto"/>
              <w:bottom w:val="single" w:sz="4" w:space="0" w:color="auto"/>
            </w:tcBorders>
          </w:tcPr>
          <w:p w14:paraId="72F18046"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13 SSA countries</w:t>
            </w:r>
          </w:p>
        </w:tc>
        <w:tc>
          <w:tcPr>
            <w:tcW w:w="1340" w:type="dxa"/>
            <w:tcBorders>
              <w:top w:val="single" w:sz="4" w:space="0" w:color="auto"/>
              <w:bottom w:val="single" w:sz="4" w:space="0" w:color="auto"/>
            </w:tcBorders>
          </w:tcPr>
          <w:p w14:paraId="35D2F28B" w14:textId="77777777" w:rsidR="00FE13BA" w:rsidRDefault="000C7AFA">
            <w:pPr>
              <w:spacing w:after="0" w:line="240" w:lineRule="auto"/>
              <w:ind w:right="-106"/>
              <w:rPr>
                <w:rFonts w:ascii="Arial" w:eastAsia="Times New Roman" w:hAnsi="Arial" w:cs="Arial"/>
                <w:sz w:val="17"/>
                <w:szCs w:val="17"/>
              </w:rPr>
            </w:pPr>
            <w:r>
              <w:rPr>
                <w:rFonts w:ascii="Arial" w:eastAsia="Times New Roman" w:hAnsi="Arial" w:cs="Arial"/>
                <w:sz w:val="17"/>
                <w:szCs w:val="17"/>
              </w:rPr>
              <w:t>Cross-sectional DHS study</w:t>
            </w:r>
          </w:p>
        </w:tc>
        <w:tc>
          <w:tcPr>
            <w:tcW w:w="960" w:type="dxa"/>
            <w:tcBorders>
              <w:top w:val="single" w:sz="4" w:space="0" w:color="auto"/>
              <w:bottom w:val="single" w:sz="4" w:space="0" w:color="auto"/>
            </w:tcBorders>
          </w:tcPr>
          <w:p w14:paraId="78AF94BC"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Large national samples</w:t>
            </w:r>
          </w:p>
        </w:tc>
        <w:tc>
          <w:tcPr>
            <w:tcW w:w="1320" w:type="dxa"/>
            <w:tcBorders>
              <w:top w:val="single" w:sz="4" w:space="0" w:color="auto"/>
              <w:bottom w:val="single" w:sz="4" w:space="0" w:color="auto"/>
            </w:tcBorders>
          </w:tcPr>
          <w:p w14:paraId="02E9F320"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Quality antenatal care</w:t>
            </w:r>
          </w:p>
        </w:tc>
        <w:tc>
          <w:tcPr>
            <w:tcW w:w="1959" w:type="dxa"/>
            <w:tcBorders>
              <w:top w:val="single" w:sz="4" w:space="0" w:color="auto"/>
              <w:bottom w:val="single" w:sz="4" w:space="0" w:color="auto"/>
            </w:tcBorders>
          </w:tcPr>
          <w:p w14:paraId="6420CBCB"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Maternal education and media exposure improved ANC quality</w:t>
            </w:r>
          </w:p>
        </w:tc>
      </w:tr>
      <w:tr w:rsidR="00FE13BA" w14:paraId="684DF2D4" w14:textId="77777777">
        <w:trPr>
          <w:jc w:val="center"/>
        </w:trPr>
        <w:tc>
          <w:tcPr>
            <w:tcW w:w="1521" w:type="dxa"/>
            <w:tcBorders>
              <w:top w:val="single" w:sz="4" w:space="0" w:color="auto"/>
              <w:bottom w:val="single" w:sz="4" w:space="0" w:color="auto"/>
            </w:tcBorders>
          </w:tcPr>
          <w:p w14:paraId="321ECFFC" w14:textId="77777777" w:rsidR="00FE13BA" w:rsidRDefault="000C7AFA">
            <w:pPr>
              <w:spacing w:after="0" w:line="240" w:lineRule="auto"/>
              <w:rPr>
                <w:rFonts w:ascii="Arial" w:eastAsia="Times New Roman" w:hAnsi="Arial" w:cs="Arial"/>
                <w:sz w:val="17"/>
                <w:szCs w:val="17"/>
              </w:rPr>
            </w:pPr>
            <w:proofErr w:type="spellStart"/>
            <w:r>
              <w:rPr>
                <w:rFonts w:ascii="Arial" w:eastAsia="Times New Roman" w:hAnsi="Arial" w:cs="Arial"/>
                <w:sz w:val="17"/>
                <w:szCs w:val="17"/>
              </w:rPr>
              <w:t>Olapeju</w:t>
            </w:r>
            <w:proofErr w:type="spellEnd"/>
            <w:r>
              <w:rPr>
                <w:rFonts w:ascii="Arial" w:eastAsia="Times New Roman" w:hAnsi="Arial" w:cs="Arial"/>
                <w:sz w:val="17"/>
                <w:szCs w:val="17"/>
              </w:rPr>
              <w:t xml:space="preserve"> et al. (2025)</w:t>
            </w:r>
          </w:p>
        </w:tc>
        <w:tc>
          <w:tcPr>
            <w:tcW w:w="970" w:type="dxa"/>
            <w:tcBorders>
              <w:top w:val="single" w:sz="4" w:space="0" w:color="auto"/>
              <w:bottom w:val="single" w:sz="4" w:space="0" w:color="auto"/>
            </w:tcBorders>
          </w:tcPr>
          <w:p w14:paraId="631DB1D0"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SSA</w:t>
            </w:r>
          </w:p>
        </w:tc>
        <w:tc>
          <w:tcPr>
            <w:tcW w:w="1340" w:type="dxa"/>
            <w:tcBorders>
              <w:top w:val="single" w:sz="4" w:space="0" w:color="auto"/>
              <w:bottom w:val="single" w:sz="4" w:space="0" w:color="auto"/>
            </w:tcBorders>
          </w:tcPr>
          <w:p w14:paraId="053B6C68" w14:textId="77777777" w:rsidR="00FE13BA" w:rsidRDefault="000C7AFA">
            <w:pPr>
              <w:spacing w:after="0" w:line="240" w:lineRule="auto"/>
              <w:ind w:right="-106"/>
              <w:rPr>
                <w:rFonts w:ascii="Arial" w:eastAsia="Times New Roman" w:hAnsi="Arial" w:cs="Arial"/>
                <w:sz w:val="17"/>
                <w:szCs w:val="17"/>
              </w:rPr>
            </w:pPr>
            <w:r>
              <w:rPr>
                <w:rFonts w:ascii="Arial" w:eastAsia="Times New Roman" w:hAnsi="Arial" w:cs="Arial"/>
                <w:sz w:val="17"/>
                <w:szCs w:val="17"/>
              </w:rPr>
              <w:t>Secondary data analysis</w:t>
            </w:r>
          </w:p>
        </w:tc>
        <w:tc>
          <w:tcPr>
            <w:tcW w:w="960" w:type="dxa"/>
            <w:tcBorders>
              <w:top w:val="single" w:sz="4" w:space="0" w:color="auto"/>
              <w:bottom w:val="single" w:sz="4" w:space="0" w:color="auto"/>
            </w:tcBorders>
          </w:tcPr>
          <w:p w14:paraId="53BA7E36" w14:textId="77777777" w:rsidR="00FE13BA" w:rsidRDefault="000C7AFA">
            <w:pPr>
              <w:spacing w:after="0" w:line="240" w:lineRule="auto"/>
              <w:rPr>
                <w:rFonts w:ascii="Arial" w:eastAsia="Times New Roman" w:hAnsi="Arial" w:cs="Arial"/>
                <w:sz w:val="17"/>
                <w:szCs w:val="17"/>
              </w:rPr>
            </w:pPr>
            <w:proofErr w:type="spellStart"/>
            <w:r>
              <w:rPr>
                <w:rFonts w:ascii="Arial" w:eastAsia="Times New Roman" w:hAnsi="Arial" w:cs="Arial"/>
                <w:sz w:val="17"/>
                <w:szCs w:val="17"/>
              </w:rPr>
              <w:t>Multicountry</w:t>
            </w:r>
            <w:proofErr w:type="spellEnd"/>
          </w:p>
        </w:tc>
        <w:tc>
          <w:tcPr>
            <w:tcW w:w="1320" w:type="dxa"/>
            <w:tcBorders>
              <w:top w:val="single" w:sz="4" w:space="0" w:color="auto"/>
              <w:bottom w:val="single" w:sz="4" w:space="0" w:color="auto"/>
            </w:tcBorders>
          </w:tcPr>
          <w:p w14:paraId="3488D2CE"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ANC and breastfeeding</w:t>
            </w:r>
          </w:p>
        </w:tc>
        <w:tc>
          <w:tcPr>
            <w:tcW w:w="1959" w:type="dxa"/>
            <w:tcBorders>
              <w:top w:val="single" w:sz="4" w:space="0" w:color="auto"/>
              <w:bottom w:val="single" w:sz="4" w:space="0" w:color="auto"/>
            </w:tcBorders>
          </w:tcPr>
          <w:p w14:paraId="000C05FA"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ANC attendance improved maternal behaviors</w:t>
            </w:r>
          </w:p>
        </w:tc>
      </w:tr>
      <w:tr w:rsidR="00FE13BA" w14:paraId="21AA7B4E" w14:textId="77777777">
        <w:trPr>
          <w:jc w:val="center"/>
        </w:trPr>
        <w:tc>
          <w:tcPr>
            <w:tcW w:w="1521" w:type="dxa"/>
            <w:tcBorders>
              <w:top w:val="single" w:sz="4" w:space="0" w:color="auto"/>
            </w:tcBorders>
          </w:tcPr>
          <w:p w14:paraId="116992E6"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 xml:space="preserve">Babalola &amp; </w:t>
            </w:r>
            <w:proofErr w:type="spellStart"/>
            <w:r>
              <w:rPr>
                <w:rFonts w:ascii="Arial" w:eastAsia="Times New Roman" w:hAnsi="Arial" w:cs="Arial"/>
                <w:sz w:val="17"/>
                <w:szCs w:val="17"/>
              </w:rPr>
              <w:t>Fatusi</w:t>
            </w:r>
            <w:proofErr w:type="spellEnd"/>
            <w:r>
              <w:rPr>
                <w:rFonts w:ascii="Arial" w:eastAsia="Times New Roman" w:hAnsi="Arial" w:cs="Arial"/>
                <w:sz w:val="17"/>
                <w:szCs w:val="17"/>
              </w:rPr>
              <w:t xml:space="preserve"> et al. (2009)</w:t>
            </w:r>
          </w:p>
        </w:tc>
        <w:tc>
          <w:tcPr>
            <w:tcW w:w="970" w:type="dxa"/>
            <w:tcBorders>
              <w:top w:val="single" w:sz="4" w:space="0" w:color="auto"/>
            </w:tcBorders>
          </w:tcPr>
          <w:p w14:paraId="1A35478A"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Nigeria</w:t>
            </w:r>
          </w:p>
        </w:tc>
        <w:tc>
          <w:tcPr>
            <w:tcW w:w="1340" w:type="dxa"/>
            <w:tcBorders>
              <w:top w:val="single" w:sz="4" w:space="0" w:color="auto"/>
            </w:tcBorders>
          </w:tcPr>
          <w:p w14:paraId="090645A3" w14:textId="77777777" w:rsidR="00FE13BA" w:rsidRDefault="000C7AFA">
            <w:pPr>
              <w:spacing w:after="0" w:line="240" w:lineRule="auto"/>
              <w:ind w:right="-106"/>
              <w:rPr>
                <w:rFonts w:ascii="Arial" w:eastAsia="Times New Roman" w:hAnsi="Arial" w:cs="Arial"/>
                <w:sz w:val="17"/>
                <w:szCs w:val="17"/>
              </w:rPr>
            </w:pPr>
            <w:r>
              <w:rPr>
                <w:rFonts w:ascii="Arial" w:eastAsia="Times New Roman" w:hAnsi="Arial" w:cs="Arial"/>
                <w:sz w:val="17"/>
                <w:szCs w:val="17"/>
              </w:rPr>
              <w:t>Cross-sectional survey</w:t>
            </w:r>
          </w:p>
        </w:tc>
        <w:tc>
          <w:tcPr>
            <w:tcW w:w="960" w:type="dxa"/>
            <w:tcBorders>
              <w:top w:val="single" w:sz="4" w:space="0" w:color="auto"/>
            </w:tcBorders>
          </w:tcPr>
          <w:p w14:paraId="50AA4326"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2,148 women</w:t>
            </w:r>
          </w:p>
        </w:tc>
        <w:tc>
          <w:tcPr>
            <w:tcW w:w="1320" w:type="dxa"/>
            <w:tcBorders>
              <w:top w:val="single" w:sz="4" w:space="0" w:color="auto"/>
            </w:tcBorders>
          </w:tcPr>
          <w:p w14:paraId="2EDEE6D7"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Maternal service utilization</w:t>
            </w:r>
          </w:p>
        </w:tc>
        <w:tc>
          <w:tcPr>
            <w:tcW w:w="1959" w:type="dxa"/>
            <w:tcBorders>
              <w:top w:val="single" w:sz="4" w:space="0" w:color="auto"/>
            </w:tcBorders>
          </w:tcPr>
          <w:p w14:paraId="384A9E5F"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Wealth and education predicted service uptake</w:t>
            </w:r>
          </w:p>
        </w:tc>
      </w:tr>
    </w:tbl>
    <w:p w14:paraId="24491C2E" w14:textId="77777777" w:rsidR="00FE13BA" w:rsidRDefault="00FE13BA">
      <w:pPr>
        <w:spacing w:after="0" w:line="240" w:lineRule="auto"/>
        <w:jc w:val="both"/>
        <w:rPr>
          <w:rFonts w:ascii="Arial" w:eastAsia="Times New Roman" w:hAnsi="Arial" w:cs="Arial"/>
          <w:sz w:val="20"/>
          <w:szCs w:val="20"/>
        </w:rPr>
      </w:pPr>
    </w:p>
    <w:p w14:paraId="23CAD712" w14:textId="77777777" w:rsidR="00FE13BA" w:rsidRDefault="000C7AFA">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Table 3. Review articles and guidelines</w:t>
      </w:r>
    </w:p>
    <w:p w14:paraId="37A99685" w14:textId="77777777" w:rsidR="00FE13BA" w:rsidRDefault="00FE13BA">
      <w:pPr>
        <w:spacing w:after="0" w:line="240" w:lineRule="auto"/>
        <w:jc w:val="both"/>
        <w:rPr>
          <w:rFonts w:ascii="Arial" w:eastAsia="Times New Roman" w:hAnsi="Arial" w:cs="Arial"/>
          <w:b/>
          <w:bCs/>
          <w:sz w:val="20"/>
          <w:szCs w:val="20"/>
        </w:rPr>
      </w:pPr>
    </w:p>
    <w:tbl>
      <w:tblPr>
        <w:tblStyle w:val="TableGridLight1"/>
        <w:tblW w:w="4899"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1800"/>
        <w:gridCol w:w="1800"/>
        <w:gridCol w:w="2563"/>
      </w:tblGrid>
      <w:tr w:rsidR="00FE13BA" w14:paraId="4175400F" w14:textId="77777777">
        <w:trPr>
          <w:jc w:val="center"/>
        </w:trPr>
        <w:tc>
          <w:tcPr>
            <w:tcW w:w="2896" w:type="dxa"/>
            <w:tcBorders>
              <w:top w:val="single" w:sz="4" w:space="0" w:color="auto"/>
              <w:bottom w:val="single" w:sz="4" w:space="0" w:color="auto"/>
            </w:tcBorders>
          </w:tcPr>
          <w:p w14:paraId="00004303" w14:textId="77777777" w:rsidR="00FE13BA" w:rsidRDefault="000C7AFA">
            <w:pPr>
              <w:spacing w:after="0" w:line="240" w:lineRule="auto"/>
              <w:rPr>
                <w:rFonts w:ascii="Arial" w:eastAsia="Times New Roman" w:hAnsi="Arial" w:cs="Arial"/>
                <w:b/>
                <w:bCs/>
                <w:sz w:val="17"/>
                <w:szCs w:val="17"/>
              </w:rPr>
            </w:pPr>
            <w:r>
              <w:rPr>
                <w:rFonts w:ascii="Arial" w:eastAsia="Times New Roman" w:hAnsi="Arial" w:cs="Arial"/>
                <w:b/>
                <w:bCs/>
                <w:sz w:val="17"/>
                <w:szCs w:val="17"/>
              </w:rPr>
              <w:t>Author(s)/ Organization and Year</w:t>
            </w:r>
          </w:p>
        </w:tc>
        <w:tc>
          <w:tcPr>
            <w:tcW w:w="1800" w:type="dxa"/>
            <w:tcBorders>
              <w:top w:val="single" w:sz="4" w:space="0" w:color="auto"/>
              <w:bottom w:val="single" w:sz="4" w:space="0" w:color="auto"/>
            </w:tcBorders>
          </w:tcPr>
          <w:p w14:paraId="251783A3" w14:textId="77777777" w:rsidR="00FE13BA" w:rsidRDefault="000C7AFA">
            <w:pPr>
              <w:spacing w:after="0" w:line="240" w:lineRule="auto"/>
              <w:rPr>
                <w:rFonts w:ascii="Arial" w:eastAsia="Times New Roman" w:hAnsi="Arial" w:cs="Arial"/>
                <w:b/>
                <w:bCs/>
                <w:sz w:val="17"/>
                <w:szCs w:val="17"/>
              </w:rPr>
            </w:pPr>
            <w:r>
              <w:rPr>
                <w:rFonts w:ascii="Arial" w:eastAsia="Times New Roman" w:hAnsi="Arial" w:cs="Arial"/>
                <w:b/>
                <w:bCs/>
                <w:sz w:val="17"/>
                <w:szCs w:val="17"/>
              </w:rPr>
              <w:t>Type of Source</w:t>
            </w:r>
          </w:p>
        </w:tc>
        <w:tc>
          <w:tcPr>
            <w:tcW w:w="1800" w:type="dxa"/>
            <w:tcBorders>
              <w:top w:val="single" w:sz="4" w:space="0" w:color="auto"/>
              <w:bottom w:val="single" w:sz="4" w:space="0" w:color="auto"/>
            </w:tcBorders>
          </w:tcPr>
          <w:p w14:paraId="1221CAE0" w14:textId="77777777" w:rsidR="00FE13BA" w:rsidRDefault="000C7AFA">
            <w:pPr>
              <w:spacing w:after="0" w:line="240" w:lineRule="auto"/>
              <w:rPr>
                <w:rFonts w:ascii="Arial" w:eastAsia="Times New Roman" w:hAnsi="Arial" w:cs="Arial"/>
                <w:b/>
                <w:bCs/>
                <w:sz w:val="17"/>
                <w:szCs w:val="17"/>
              </w:rPr>
            </w:pPr>
            <w:r>
              <w:rPr>
                <w:rFonts w:ascii="Arial" w:eastAsia="Times New Roman" w:hAnsi="Arial" w:cs="Arial"/>
                <w:b/>
                <w:bCs/>
                <w:sz w:val="17"/>
                <w:szCs w:val="17"/>
              </w:rPr>
              <w:t>Geographic Scope</w:t>
            </w:r>
          </w:p>
        </w:tc>
        <w:tc>
          <w:tcPr>
            <w:tcW w:w="2564" w:type="dxa"/>
            <w:tcBorders>
              <w:top w:val="single" w:sz="4" w:space="0" w:color="auto"/>
              <w:bottom w:val="single" w:sz="4" w:space="0" w:color="auto"/>
            </w:tcBorders>
          </w:tcPr>
          <w:p w14:paraId="3570BFA7" w14:textId="77777777" w:rsidR="00FE13BA" w:rsidRDefault="000C7AFA">
            <w:pPr>
              <w:spacing w:after="0" w:line="240" w:lineRule="auto"/>
              <w:rPr>
                <w:rFonts w:ascii="Arial" w:eastAsia="Times New Roman" w:hAnsi="Arial" w:cs="Arial"/>
                <w:b/>
                <w:bCs/>
                <w:sz w:val="17"/>
                <w:szCs w:val="17"/>
              </w:rPr>
            </w:pPr>
            <w:r>
              <w:rPr>
                <w:rFonts w:ascii="Arial" w:eastAsia="Times New Roman" w:hAnsi="Arial" w:cs="Arial"/>
                <w:b/>
                <w:bCs/>
                <w:sz w:val="17"/>
                <w:szCs w:val="17"/>
              </w:rPr>
              <w:t>Key Contribution</w:t>
            </w:r>
          </w:p>
        </w:tc>
      </w:tr>
      <w:tr w:rsidR="00FE13BA" w14:paraId="767AE6A8" w14:textId="77777777">
        <w:trPr>
          <w:jc w:val="center"/>
        </w:trPr>
        <w:tc>
          <w:tcPr>
            <w:tcW w:w="2896" w:type="dxa"/>
            <w:tcBorders>
              <w:top w:val="single" w:sz="4" w:space="0" w:color="auto"/>
              <w:bottom w:val="single" w:sz="4" w:space="0" w:color="auto"/>
            </w:tcBorders>
          </w:tcPr>
          <w:p w14:paraId="4A2769D9" w14:textId="77777777" w:rsidR="00FE13BA" w:rsidRDefault="000C7AFA">
            <w:pPr>
              <w:spacing w:after="0" w:line="240" w:lineRule="auto"/>
              <w:rPr>
                <w:rFonts w:ascii="Arial" w:eastAsia="Times New Roman" w:hAnsi="Arial" w:cs="Arial"/>
                <w:bCs/>
                <w:sz w:val="17"/>
                <w:szCs w:val="17"/>
              </w:rPr>
            </w:pPr>
            <w:r>
              <w:rPr>
                <w:rFonts w:ascii="Arial" w:eastAsia="Times New Roman" w:hAnsi="Arial" w:cs="Arial"/>
                <w:bCs/>
                <w:sz w:val="17"/>
                <w:szCs w:val="17"/>
              </w:rPr>
              <w:t>WHO (2023)</w:t>
            </w:r>
          </w:p>
        </w:tc>
        <w:tc>
          <w:tcPr>
            <w:tcW w:w="1800" w:type="dxa"/>
            <w:tcBorders>
              <w:top w:val="single" w:sz="4" w:space="0" w:color="auto"/>
              <w:bottom w:val="single" w:sz="4" w:space="0" w:color="auto"/>
            </w:tcBorders>
          </w:tcPr>
          <w:p w14:paraId="651480F9" w14:textId="77777777" w:rsidR="00FE13BA" w:rsidRDefault="000C7AFA">
            <w:pPr>
              <w:spacing w:after="0" w:line="240" w:lineRule="auto"/>
              <w:rPr>
                <w:rFonts w:ascii="Arial" w:eastAsia="Times New Roman" w:hAnsi="Arial" w:cs="Arial"/>
                <w:sz w:val="17"/>
                <w:szCs w:val="17"/>
              </w:rPr>
            </w:pPr>
            <w:proofErr w:type="spellStart"/>
            <w:r>
              <w:rPr>
                <w:rFonts w:ascii="Arial" w:eastAsia="Times New Roman" w:hAnsi="Arial" w:cs="Arial"/>
                <w:sz w:val="17"/>
                <w:szCs w:val="17"/>
              </w:rPr>
              <w:t>Guildeline</w:t>
            </w:r>
            <w:proofErr w:type="spellEnd"/>
            <w:r>
              <w:rPr>
                <w:rFonts w:ascii="Arial" w:eastAsia="Times New Roman" w:hAnsi="Arial" w:cs="Arial"/>
                <w:sz w:val="17"/>
                <w:szCs w:val="17"/>
              </w:rPr>
              <w:t>/Report</w:t>
            </w:r>
          </w:p>
        </w:tc>
        <w:tc>
          <w:tcPr>
            <w:tcW w:w="1800" w:type="dxa"/>
            <w:tcBorders>
              <w:top w:val="single" w:sz="4" w:space="0" w:color="auto"/>
              <w:bottom w:val="single" w:sz="4" w:space="0" w:color="auto"/>
            </w:tcBorders>
          </w:tcPr>
          <w:p w14:paraId="5EA4B3CF"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Global/SSA</w:t>
            </w:r>
          </w:p>
        </w:tc>
        <w:tc>
          <w:tcPr>
            <w:tcW w:w="2564" w:type="dxa"/>
            <w:tcBorders>
              <w:top w:val="single" w:sz="4" w:space="0" w:color="auto"/>
              <w:bottom w:val="single" w:sz="4" w:space="0" w:color="auto"/>
            </w:tcBorders>
          </w:tcPr>
          <w:p w14:paraId="6F9306DB"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Maternal mortality trends and strategies</w:t>
            </w:r>
          </w:p>
        </w:tc>
      </w:tr>
      <w:tr w:rsidR="00FE13BA" w14:paraId="001872D3" w14:textId="77777777">
        <w:trPr>
          <w:jc w:val="center"/>
        </w:trPr>
        <w:tc>
          <w:tcPr>
            <w:tcW w:w="2896" w:type="dxa"/>
            <w:tcBorders>
              <w:top w:val="single" w:sz="4" w:space="0" w:color="auto"/>
              <w:bottom w:val="single" w:sz="4" w:space="0" w:color="auto"/>
            </w:tcBorders>
          </w:tcPr>
          <w:p w14:paraId="63EFB8D6" w14:textId="77777777" w:rsidR="00FE13BA" w:rsidRDefault="000C7AFA">
            <w:pPr>
              <w:spacing w:after="0" w:line="240" w:lineRule="auto"/>
              <w:rPr>
                <w:rFonts w:ascii="Arial" w:eastAsia="Times New Roman" w:hAnsi="Arial" w:cs="Arial"/>
                <w:bCs/>
                <w:sz w:val="17"/>
                <w:szCs w:val="17"/>
              </w:rPr>
            </w:pPr>
            <w:r>
              <w:rPr>
                <w:rFonts w:ascii="Arial" w:eastAsia="Times New Roman" w:hAnsi="Arial" w:cs="Arial"/>
                <w:bCs/>
                <w:sz w:val="17"/>
                <w:szCs w:val="17"/>
              </w:rPr>
              <w:t>Kassa et al. (2019)</w:t>
            </w:r>
          </w:p>
        </w:tc>
        <w:tc>
          <w:tcPr>
            <w:tcW w:w="1800" w:type="dxa"/>
            <w:tcBorders>
              <w:top w:val="single" w:sz="4" w:space="0" w:color="auto"/>
              <w:bottom w:val="single" w:sz="4" w:space="0" w:color="auto"/>
            </w:tcBorders>
          </w:tcPr>
          <w:p w14:paraId="7E92C2AE"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Systematic Review</w:t>
            </w:r>
          </w:p>
        </w:tc>
        <w:tc>
          <w:tcPr>
            <w:tcW w:w="1800" w:type="dxa"/>
            <w:tcBorders>
              <w:top w:val="single" w:sz="4" w:space="0" w:color="auto"/>
              <w:bottom w:val="single" w:sz="4" w:space="0" w:color="auto"/>
            </w:tcBorders>
          </w:tcPr>
          <w:p w14:paraId="5F437E5A"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SSA adolescents</w:t>
            </w:r>
          </w:p>
        </w:tc>
        <w:tc>
          <w:tcPr>
            <w:tcW w:w="2564" w:type="dxa"/>
            <w:tcBorders>
              <w:top w:val="single" w:sz="4" w:space="0" w:color="auto"/>
              <w:bottom w:val="single" w:sz="4" w:space="0" w:color="auto"/>
            </w:tcBorders>
          </w:tcPr>
          <w:p w14:paraId="3B532753"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Barriers to maternal service use</w:t>
            </w:r>
          </w:p>
        </w:tc>
      </w:tr>
      <w:tr w:rsidR="00FE13BA" w14:paraId="1F087FF8" w14:textId="77777777">
        <w:trPr>
          <w:jc w:val="center"/>
        </w:trPr>
        <w:tc>
          <w:tcPr>
            <w:tcW w:w="2896" w:type="dxa"/>
            <w:tcBorders>
              <w:top w:val="single" w:sz="4" w:space="0" w:color="auto"/>
              <w:bottom w:val="single" w:sz="4" w:space="0" w:color="auto"/>
            </w:tcBorders>
          </w:tcPr>
          <w:p w14:paraId="44F9A9B2" w14:textId="77777777" w:rsidR="00FE13BA" w:rsidRDefault="000C7AFA">
            <w:pPr>
              <w:spacing w:after="0" w:line="240" w:lineRule="auto"/>
              <w:rPr>
                <w:rFonts w:ascii="Arial" w:eastAsia="Times New Roman" w:hAnsi="Arial" w:cs="Arial"/>
                <w:bCs/>
                <w:sz w:val="17"/>
                <w:szCs w:val="17"/>
              </w:rPr>
            </w:pPr>
            <w:r>
              <w:rPr>
                <w:rFonts w:ascii="Arial" w:eastAsia="Times New Roman" w:hAnsi="Arial" w:cs="Arial"/>
                <w:bCs/>
                <w:sz w:val="17"/>
                <w:szCs w:val="17"/>
              </w:rPr>
              <w:t>Page et al. (2021)</w:t>
            </w:r>
          </w:p>
        </w:tc>
        <w:tc>
          <w:tcPr>
            <w:tcW w:w="1800" w:type="dxa"/>
            <w:tcBorders>
              <w:top w:val="single" w:sz="4" w:space="0" w:color="auto"/>
              <w:bottom w:val="single" w:sz="4" w:space="0" w:color="auto"/>
            </w:tcBorders>
          </w:tcPr>
          <w:p w14:paraId="38EFEF7A"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PRISMA Guideline</w:t>
            </w:r>
          </w:p>
        </w:tc>
        <w:tc>
          <w:tcPr>
            <w:tcW w:w="1800" w:type="dxa"/>
            <w:tcBorders>
              <w:top w:val="single" w:sz="4" w:space="0" w:color="auto"/>
              <w:bottom w:val="single" w:sz="4" w:space="0" w:color="auto"/>
            </w:tcBorders>
          </w:tcPr>
          <w:p w14:paraId="67C2EC51"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Global</w:t>
            </w:r>
          </w:p>
        </w:tc>
        <w:tc>
          <w:tcPr>
            <w:tcW w:w="2564" w:type="dxa"/>
            <w:tcBorders>
              <w:top w:val="single" w:sz="4" w:space="0" w:color="auto"/>
              <w:bottom w:val="single" w:sz="4" w:space="0" w:color="auto"/>
            </w:tcBorders>
          </w:tcPr>
          <w:p w14:paraId="3BF0C6D4"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Reporting standards for systematic reviews</w:t>
            </w:r>
          </w:p>
        </w:tc>
      </w:tr>
      <w:tr w:rsidR="00FE13BA" w14:paraId="12DC3BD9" w14:textId="77777777">
        <w:trPr>
          <w:jc w:val="center"/>
        </w:trPr>
        <w:tc>
          <w:tcPr>
            <w:tcW w:w="2896" w:type="dxa"/>
            <w:tcBorders>
              <w:top w:val="single" w:sz="4" w:space="0" w:color="auto"/>
              <w:bottom w:val="single" w:sz="4" w:space="0" w:color="auto"/>
            </w:tcBorders>
          </w:tcPr>
          <w:p w14:paraId="2422157A" w14:textId="77777777" w:rsidR="00FE13BA" w:rsidRDefault="000C7AFA">
            <w:pPr>
              <w:spacing w:after="0" w:line="240" w:lineRule="auto"/>
              <w:rPr>
                <w:rFonts w:ascii="Arial" w:eastAsia="Times New Roman" w:hAnsi="Arial" w:cs="Arial"/>
                <w:bCs/>
                <w:sz w:val="17"/>
                <w:szCs w:val="17"/>
              </w:rPr>
            </w:pPr>
            <w:r>
              <w:rPr>
                <w:rFonts w:ascii="Arial" w:eastAsia="Times New Roman" w:hAnsi="Arial" w:cs="Arial"/>
                <w:bCs/>
                <w:sz w:val="17"/>
                <w:szCs w:val="17"/>
              </w:rPr>
              <w:t>Campbell et al. (2016)</w:t>
            </w:r>
          </w:p>
        </w:tc>
        <w:tc>
          <w:tcPr>
            <w:tcW w:w="1800" w:type="dxa"/>
            <w:tcBorders>
              <w:top w:val="single" w:sz="4" w:space="0" w:color="auto"/>
              <w:bottom w:val="single" w:sz="4" w:space="0" w:color="auto"/>
            </w:tcBorders>
          </w:tcPr>
          <w:p w14:paraId="4A9EAEA1"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Review Article</w:t>
            </w:r>
          </w:p>
        </w:tc>
        <w:tc>
          <w:tcPr>
            <w:tcW w:w="1800" w:type="dxa"/>
            <w:tcBorders>
              <w:top w:val="single" w:sz="4" w:space="0" w:color="auto"/>
              <w:bottom w:val="single" w:sz="4" w:space="0" w:color="auto"/>
            </w:tcBorders>
          </w:tcPr>
          <w:p w14:paraId="449E3100"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LMICs</w:t>
            </w:r>
          </w:p>
        </w:tc>
        <w:tc>
          <w:tcPr>
            <w:tcW w:w="2564" w:type="dxa"/>
            <w:tcBorders>
              <w:top w:val="single" w:sz="4" w:space="0" w:color="auto"/>
              <w:bottom w:val="single" w:sz="4" w:space="0" w:color="auto"/>
            </w:tcBorders>
          </w:tcPr>
          <w:p w14:paraId="03CAB707" w14:textId="77777777" w:rsidR="00FE13BA" w:rsidRDefault="000C7AFA">
            <w:pPr>
              <w:spacing w:after="0" w:line="240" w:lineRule="auto"/>
              <w:rPr>
                <w:rFonts w:ascii="Arial" w:eastAsia="Times New Roman" w:hAnsi="Arial" w:cs="Arial"/>
                <w:sz w:val="17"/>
                <w:szCs w:val="17"/>
              </w:rPr>
            </w:pPr>
            <w:r>
              <w:rPr>
                <w:rFonts w:ascii="Arial" w:eastAsia="Times New Roman" w:hAnsi="Arial" w:cs="Arial"/>
                <w:sz w:val="17"/>
                <w:szCs w:val="17"/>
              </w:rPr>
              <w:t>Community health worker awareness</w:t>
            </w:r>
          </w:p>
        </w:tc>
      </w:tr>
    </w:tbl>
    <w:p w14:paraId="25F09F11" w14:textId="77777777" w:rsidR="00FE13BA" w:rsidRDefault="00FE13BA">
      <w:pPr>
        <w:spacing w:after="0" w:line="240" w:lineRule="auto"/>
        <w:jc w:val="both"/>
        <w:rPr>
          <w:rFonts w:ascii="Arial" w:eastAsia="Times New Roman" w:hAnsi="Arial" w:cs="Arial"/>
          <w:sz w:val="20"/>
          <w:szCs w:val="20"/>
        </w:rPr>
      </w:pPr>
    </w:p>
    <w:p w14:paraId="1B132199" w14:textId="77777777" w:rsidR="00FE13BA" w:rsidRDefault="00FE13BA">
      <w:pPr>
        <w:jc w:val="right"/>
        <w:rPr>
          <w:rFonts w:ascii="Arial" w:hAnsi="Arial" w:cs="Arial"/>
        </w:rPr>
      </w:pPr>
    </w:p>
    <w:p w14:paraId="47FCBCEE" w14:textId="77777777" w:rsidR="00FE13BA" w:rsidRDefault="00FE13BA">
      <w:pPr>
        <w:rPr>
          <w:rFonts w:ascii="Arial" w:hAnsi="Arial" w:cs="Arial"/>
        </w:rPr>
      </w:pPr>
    </w:p>
    <w:sectPr w:rsidR="00FE13BA">
      <w:type w:val="continuous"/>
      <w:pgSz w:w="11909" w:h="16834"/>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FC419" w14:textId="77777777" w:rsidR="000A63A0" w:rsidRDefault="000A63A0">
      <w:pPr>
        <w:spacing w:line="240" w:lineRule="auto"/>
      </w:pPr>
      <w:r>
        <w:separator/>
      </w:r>
    </w:p>
  </w:endnote>
  <w:endnote w:type="continuationSeparator" w:id="0">
    <w:p w14:paraId="38B69611" w14:textId="77777777" w:rsidR="000A63A0" w:rsidRDefault="000A6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13F29" w14:textId="77777777" w:rsidR="00FE13BA" w:rsidRDefault="00FE13BA">
    <w:pPr>
      <w:pStyle w:val="Footer"/>
      <w:jc w:val="center"/>
      <w:rPr>
        <w:rFonts w:ascii="Arial" w:hAnsi="Arial" w:cs="Arial"/>
        <w:sz w:val="28"/>
      </w:rPr>
    </w:pPr>
  </w:p>
  <w:p w14:paraId="2F40EE79" w14:textId="77777777" w:rsidR="00FE13BA" w:rsidRDefault="00000000">
    <w:pPr>
      <w:pStyle w:val="Footer"/>
      <w:jc w:val="center"/>
      <w:rPr>
        <w:rFonts w:ascii="Arial" w:hAnsi="Arial" w:cs="Arial"/>
        <w:sz w:val="20"/>
      </w:rPr>
    </w:pPr>
    <w:sdt>
      <w:sdtPr>
        <w:rPr>
          <w:rFonts w:ascii="Arial" w:hAnsi="Arial" w:cs="Arial"/>
          <w:sz w:val="20"/>
        </w:rPr>
        <w:id w:val="2976702"/>
      </w:sdtPr>
      <w:sdtContent>
        <w:r w:rsidR="000C7AFA">
          <w:rPr>
            <w:rFonts w:ascii="Arial" w:hAnsi="Arial" w:cs="Arial"/>
            <w:sz w:val="20"/>
          </w:rPr>
          <w:fldChar w:fldCharType="begin"/>
        </w:r>
        <w:r w:rsidR="000C7AFA">
          <w:rPr>
            <w:rFonts w:ascii="Arial" w:hAnsi="Arial" w:cs="Arial"/>
            <w:sz w:val="20"/>
          </w:rPr>
          <w:instrText xml:space="preserve"> PAGE   \* MERGEFORMAT </w:instrText>
        </w:r>
        <w:r w:rsidR="000C7AFA">
          <w:rPr>
            <w:rFonts w:ascii="Arial" w:hAnsi="Arial" w:cs="Arial"/>
            <w:sz w:val="20"/>
          </w:rPr>
          <w:fldChar w:fldCharType="separate"/>
        </w:r>
        <w:r w:rsidR="000C7AFA">
          <w:rPr>
            <w:rFonts w:ascii="Arial" w:hAnsi="Arial" w:cs="Arial"/>
            <w:sz w:val="20"/>
          </w:rPr>
          <w:t>6</w:t>
        </w:r>
        <w:r w:rsidR="000C7AFA">
          <w:rPr>
            <w:rFonts w:ascii="Arial" w:hAnsi="Arial" w:cs="Arial"/>
            <w:sz w:val="20"/>
          </w:rPr>
          <w:fldChar w:fldCharType="end"/>
        </w:r>
      </w:sdtContent>
    </w:sdt>
  </w:p>
  <w:p w14:paraId="69097098" w14:textId="77777777" w:rsidR="00FE13BA" w:rsidRDefault="00FE13BA">
    <w:pPr>
      <w:pStyle w:val="Footer"/>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FE3CC" w14:textId="77777777" w:rsidR="00FE13BA" w:rsidRDefault="00FE13BA">
    <w:pPr>
      <w:tabs>
        <w:tab w:val="center" w:pos="4320"/>
        <w:tab w:val="right" w:pos="8640"/>
      </w:tabs>
      <w:spacing w:after="0" w:line="240" w:lineRule="auto"/>
      <w:rPr>
        <w:rFonts w:ascii="Arial" w:hAnsi="Arial" w:cs="Arial"/>
        <w:i/>
        <w:sz w:val="16"/>
      </w:rPr>
    </w:pPr>
  </w:p>
  <w:p w14:paraId="6AA2D157" w14:textId="77777777" w:rsidR="00FE13BA" w:rsidRDefault="00FE13BA">
    <w:pPr>
      <w:pStyle w:val="Footer"/>
      <w:jc w:val="both"/>
      <w:rPr>
        <w:rFonts w:ascii="Arial" w:hAnsi="Arial" w:cs="Arial"/>
        <w:i/>
        <w:sz w:val="16"/>
      </w:rPr>
    </w:pPr>
  </w:p>
  <w:p w14:paraId="0345D458" w14:textId="77777777" w:rsidR="00FE13BA" w:rsidRDefault="00FE13BA">
    <w:pPr>
      <w:pStyle w:val="Footer"/>
      <w:jc w:val="both"/>
      <w:rPr>
        <w:rFonts w:ascii="Arial" w:hAnsi="Arial" w:cs="Arial"/>
        <w:i/>
        <w:sz w:val="16"/>
      </w:rPr>
    </w:pPr>
  </w:p>
  <w:p w14:paraId="28EFF05D" w14:textId="77777777" w:rsidR="00FE13BA" w:rsidRDefault="00FE13BA">
    <w:pPr>
      <w:tabs>
        <w:tab w:val="center" w:pos="4320"/>
        <w:tab w:val="right" w:pos="8640"/>
      </w:tabs>
      <w:spacing w:after="0" w:line="240" w:lineRule="auto"/>
      <w:jc w:val="both"/>
      <w:rPr>
        <w:rFonts w:ascii="Arial" w:eastAsia="Times New Roman" w:hAnsi="Arial" w:cs="Arial"/>
        <w:i/>
        <w:sz w:val="20"/>
        <w:szCs w:val="20"/>
      </w:rPr>
    </w:pPr>
  </w:p>
  <w:p w14:paraId="17E4E2B4" w14:textId="77777777" w:rsidR="00FE13BA" w:rsidRDefault="00FE13BA">
    <w:pPr>
      <w:tabs>
        <w:tab w:val="center" w:pos="4320"/>
        <w:tab w:val="right" w:pos="8640"/>
      </w:tabs>
      <w:spacing w:after="0" w:line="240" w:lineRule="auto"/>
      <w:jc w:val="both"/>
      <w:rPr>
        <w:rFonts w:ascii="Arial" w:eastAsia="Times New Roman"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BE224" w14:textId="77777777" w:rsidR="000A63A0" w:rsidRDefault="000A63A0">
      <w:pPr>
        <w:spacing w:after="0"/>
      </w:pPr>
      <w:r>
        <w:separator/>
      </w:r>
    </w:p>
  </w:footnote>
  <w:footnote w:type="continuationSeparator" w:id="0">
    <w:p w14:paraId="74F688CD" w14:textId="77777777" w:rsidR="000A63A0" w:rsidRDefault="000A63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2962" w14:textId="77777777" w:rsidR="00FE13BA" w:rsidRDefault="00FE13BA">
    <w:pPr>
      <w:tabs>
        <w:tab w:val="center" w:pos="4320"/>
        <w:tab w:val="right" w:pos="8640"/>
      </w:tabs>
      <w:spacing w:after="0" w:line="240" w:lineRule="auto"/>
      <w:jc w:val="right"/>
      <w:rPr>
        <w:rFonts w:ascii="Arial" w:eastAsia="Times New Roman" w:hAnsi="Arial" w:cs="Arial"/>
        <w:i/>
        <w:sz w:val="16"/>
        <w:szCs w:val="20"/>
        <w:highlight w:val="yellow"/>
      </w:rPr>
    </w:pPr>
  </w:p>
  <w:p w14:paraId="4E31521E" w14:textId="77777777" w:rsidR="00FE13BA" w:rsidRDefault="00FE13BA">
    <w:pPr>
      <w:tabs>
        <w:tab w:val="center" w:pos="4320"/>
        <w:tab w:val="right" w:pos="8640"/>
      </w:tabs>
      <w:spacing w:after="0" w:line="240" w:lineRule="auto"/>
      <w:jc w:val="right"/>
      <w:rPr>
        <w:rFonts w:ascii="Arial" w:eastAsia="Times New Roman" w:hAnsi="Arial" w:cs="Arial"/>
        <w:i/>
        <w:sz w:val="16"/>
        <w:szCs w:val="20"/>
        <w:highlight w:val="yellow"/>
      </w:rPr>
    </w:pPr>
  </w:p>
  <w:p w14:paraId="5528279B" w14:textId="77777777" w:rsidR="00FE13BA" w:rsidRDefault="00FE13BA">
    <w:pPr>
      <w:tabs>
        <w:tab w:val="center" w:pos="4320"/>
        <w:tab w:val="right" w:pos="8640"/>
      </w:tabs>
      <w:spacing w:after="0" w:line="240" w:lineRule="auto"/>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C99AB55"/>
    <w:multiLevelType w:val="singleLevel"/>
    <w:tmpl w:val="BC99AB5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C251F78"/>
    <w:multiLevelType w:val="multilevel"/>
    <w:tmpl w:val="0C251F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F200E18"/>
    <w:multiLevelType w:val="multilevel"/>
    <w:tmpl w:val="2F200E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6C2F06E5"/>
    <w:multiLevelType w:val="multilevel"/>
    <w:tmpl w:val="6C2F06E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70155598">
    <w:abstractNumId w:val="2"/>
  </w:num>
  <w:num w:numId="2" w16cid:durableId="1767774068">
    <w:abstractNumId w:val="1"/>
  </w:num>
  <w:num w:numId="3" w16cid:durableId="1843736593">
    <w:abstractNumId w:val="3"/>
  </w:num>
  <w:num w:numId="4" w16cid:durableId="187061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1FAF"/>
    <w:rsid w:val="00021DF1"/>
    <w:rsid w:val="00034FBC"/>
    <w:rsid w:val="00041C7F"/>
    <w:rsid w:val="00052F2B"/>
    <w:rsid w:val="000843B9"/>
    <w:rsid w:val="0008581B"/>
    <w:rsid w:val="00095EA8"/>
    <w:rsid w:val="000A227E"/>
    <w:rsid w:val="000A63A0"/>
    <w:rsid w:val="000B42BC"/>
    <w:rsid w:val="000C26D0"/>
    <w:rsid w:val="000C7AFA"/>
    <w:rsid w:val="000D1EC1"/>
    <w:rsid w:val="000F3B68"/>
    <w:rsid w:val="00100C28"/>
    <w:rsid w:val="00104476"/>
    <w:rsid w:val="00122265"/>
    <w:rsid w:val="00126EFD"/>
    <w:rsid w:val="0014207E"/>
    <w:rsid w:val="00145750"/>
    <w:rsid w:val="001667ED"/>
    <w:rsid w:val="00167145"/>
    <w:rsid w:val="0019503E"/>
    <w:rsid w:val="001A0C23"/>
    <w:rsid w:val="001A445F"/>
    <w:rsid w:val="001A763D"/>
    <w:rsid w:val="001C3908"/>
    <w:rsid w:val="001E5D46"/>
    <w:rsid w:val="001F49B1"/>
    <w:rsid w:val="002003C3"/>
    <w:rsid w:val="00200949"/>
    <w:rsid w:val="0020723B"/>
    <w:rsid w:val="00214D69"/>
    <w:rsid w:val="00223281"/>
    <w:rsid w:val="0023465D"/>
    <w:rsid w:val="00250A1C"/>
    <w:rsid w:val="002523E5"/>
    <w:rsid w:val="00260707"/>
    <w:rsid w:val="00262FEB"/>
    <w:rsid w:val="00273E09"/>
    <w:rsid w:val="00281C76"/>
    <w:rsid w:val="0029578E"/>
    <w:rsid w:val="002A1E5B"/>
    <w:rsid w:val="002B75AE"/>
    <w:rsid w:val="002C07A8"/>
    <w:rsid w:val="002F5763"/>
    <w:rsid w:val="002F606A"/>
    <w:rsid w:val="00306395"/>
    <w:rsid w:val="00313D9D"/>
    <w:rsid w:val="0032586C"/>
    <w:rsid w:val="00327A2E"/>
    <w:rsid w:val="00365BC2"/>
    <w:rsid w:val="00366413"/>
    <w:rsid w:val="00373349"/>
    <w:rsid w:val="003841B4"/>
    <w:rsid w:val="003867A2"/>
    <w:rsid w:val="00390683"/>
    <w:rsid w:val="00390AB3"/>
    <w:rsid w:val="003A2329"/>
    <w:rsid w:val="003B58C5"/>
    <w:rsid w:val="003B65EB"/>
    <w:rsid w:val="003C39CD"/>
    <w:rsid w:val="003C6F7B"/>
    <w:rsid w:val="003D512F"/>
    <w:rsid w:val="003E38D6"/>
    <w:rsid w:val="003F3F89"/>
    <w:rsid w:val="004018D1"/>
    <w:rsid w:val="00416A83"/>
    <w:rsid w:val="004313DD"/>
    <w:rsid w:val="004336DD"/>
    <w:rsid w:val="00444654"/>
    <w:rsid w:val="00451BC8"/>
    <w:rsid w:val="00452A30"/>
    <w:rsid w:val="00463B34"/>
    <w:rsid w:val="004644E2"/>
    <w:rsid w:val="00464728"/>
    <w:rsid w:val="00482958"/>
    <w:rsid w:val="0048799E"/>
    <w:rsid w:val="00490886"/>
    <w:rsid w:val="004B2C0B"/>
    <w:rsid w:val="004C151C"/>
    <w:rsid w:val="004C386A"/>
    <w:rsid w:val="004F407B"/>
    <w:rsid w:val="004F72EA"/>
    <w:rsid w:val="0051633C"/>
    <w:rsid w:val="00526E26"/>
    <w:rsid w:val="00532B18"/>
    <w:rsid w:val="00534AD9"/>
    <w:rsid w:val="00557B68"/>
    <w:rsid w:val="00580A3A"/>
    <w:rsid w:val="0058677B"/>
    <w:rsid w:val="005A3270"/>
    <w:rsid w:val="005C0D31"/>
    <w:rsid w:val="005D625D"/>
    <w:rsid w:val="005F0170"/>
    <w:rsid w:val="005F3204"/>
    <w:rsid w:val="00602332"/>
    <w:rsid w:val="006155DA"/>
    <w:rsid w:val="006175A6"/>
    <w:rsid w:val="00627C70"/>
    <w:rsid w:val="00634952"/>
    <w:rsid w:val="00642E88"/>
    <w:rsid w:val="0066204D"/>
    <w:rsid w:val="00666EAD"/>
    <w:rsid w:val="006776FC"/>
    <w:rsid w:val="00681377"/>
    <w:rsid w:val="00681A1C"/>
    <w:rsid w:val="00685A13"/>
    <w:rsid w:val="00696F2E"/>
    <w:rsid w:val="006A02DC"/>
    <w:rsid w:val="006A0891"/>
    <w:rsid w:val="006A1B48"/>
    <w:rsid w:val="006A5E92"/>
    <w:rsid w:val="006A6B9B"/>
    <w:rsid w:val="006B62F9"/>
    <w:rsid w:val="006C0AA0"/>
    <w:rsid w:val="006C56FD"/>
    <w:rsid w:val="006E1FAF"/>
    <w:rsid w:val="006E4B06"/>
    <w:rsid w:val="006E4E91"/>
    <w:rsid w:val="006E7E6B"/>
    <w:rsid w:val="00706CCB"/>
    <w:rsid w:val="00713C28"/>
    <w:rsid w:val="00717A1E"/>
    <w:rsid w:val="007217FD"/>
    <w:rsid w:val="00736C04"/>
    <w:rsid w:val="007401B9"/>
    <w:rsid w:val="0074417C"/>
    <w:rsid w:val="007561F7"/>
    <w:rsid w:val="0077167E"/>
    <w:rsid w:val="00776717"/>
    <w:rsid w:val="00777384"/>
    <w:rsid w:val="007831DD"/>
    <w:rsid w:val="007D09EA"/>
    <w:rsid w:val="007E1ABC"/>
    <w:rsid w:val="007E4B91"/>
    <w:rsid w:val="00803F0D"/>
    <w:rsid w:val="00812B59"/>
    <w:rsid w:val="00817E1D"/>
    <w:rsid w:val="00825F35"/>
    <w:rsid w:val="008347A4"/>
    <w:rsid w:val="00836223"/>
    <w:rsid w:val="00845112"/>
    <w:rsid w:val="008476B0"/>
    <w:rsid w:val="0085334C"/>
    <w:rsid w:val="008628CC"/>
    <w:rsid w:val="00892034"/>
    <w:rsid w:val="00892250"/>
    <w:rsid w:val="0089683B"/>
    <w:rsid w:val="008A651B"/>
    <w:rsid w:val="008B37C2"/>
    <w:rsid w:val="008C1E01"/>
    <w:rsid w:val="008E25DC"/>
    <w:rsid w:val="00906E18"/>
    <w:rsid w:val="009164FE"/>
    <w:rsid w:val="00924FB4"/>
    <w:rsid w:val="00937842"/>
    <w:rsid w:val="009631F1"/>
    <w:rsid w:val="00987EC7"/>
    <w:rsid w:val="009901F0"/>
    <w:rsid w:val="009A161F"/>
    <w:rsid w:val="009B19D3"/>
    <w:rsid w:val="009C0C6D"/>
    <w:rsid w:val="009C200D"/>
    <w:rsid w:val="009D16A2"/>
    <w:rsid w:val="009D6E5A"/>
    <w:rsid w:val="009E56DF"/>
    <w:rsid w:val="009F017B"/>
    <w:rsid w:val="009F271A"/>
    <w:rsid w:val="009F49F8"/>
    <w:rsid w:val="00A04044"/>
    <w:rsid w:val="00A1609C"/>
    <w:rsid w:val="00A332F9"/>
    <w:rsid w:val="00A40016"/>
    <w:rsid w:val="00A60CB6"/>
    <w:rsid w:val="00A641A4"/>
    <w:rsid w:val="00A647C3"/>
    <w:rsid w:val="00A672BF"/>
    <w:rsid w:val="00A75685"/>
    <w:rsid w:val="00A82BB0"/>
    <w:rsid w:val="00A917A9"/>
    <w:rsid w:val="00AB2A7D"/>
    <w:rsid w:val="00AB5870"/>
    <w:rsid w:val="00AD1404"/>
    <w:rsid w:val="00AD6252"/>
    <w:rsid w:val="00B00C1F"/>
    <w:rsid w:val="00B03434"/>
    <w:rsid w:val="00B20048"/>
    <w:rsid w:val="00B25D35"/>
    <w:rsid w:val="00B33583"/>
    <w:rsid w:val="00B42940"/>
    <w:rsid w:val="00B552F7"/>
    <w:rsid w:val="00B724BA"/>
    <w:rsid w:val="00B777B1"/>
    <w:rsid w:val="00B81F7B"/>
    <w:rsid w:val="00B84086"/>
    <w:rsid w:val="00B86BB6"/>
    <w:rsid w:val="00BA3B87"/>
    <w:rsid w:val="00BB1F92"/>
    <w:rsid w:val="00BD555F"/>
    <w:rsid w:val="00BE129D"/>
    <w:rsid w:val="00BF260C"/>
    <w:rsid w:val="00C024B2"/>
    <w:rsid w:val="00C114B2"/>
    <w:rsid w:val="00C310F7"/>
    <w:rsid w:val="00C36759"/>
    <w:rsid w:val="00C36DB7"/>
    <w:rsid w:val="00C64149"/>
    <w:rsid w:val="00C7003F"/>
    <w:rsid w:val="00C91702"/>
    <w:rsid w:val="00C927B5"/>
    <w:rsid w:val="00C9308E"/>
    <w:rsid w:val="00C9332F"/>
    <w:rsid w:val="00C9653A"/>
    <w:rsid w:val="00CA69A1"/>
    <w:rsid w:val="00CB4503"/>
    <w:rsid w:val="00CC05D8"/>
    <w:rsid w:val="00CC1CAF"/>
    <w:rsid w:val="00D22A45"/>
    <w:rsid w:val="00D25F9C"/>
    <w:rsid w:val="00D26FFE"/>
    <w:rsid w:val="00D36E5E"/>
    <w:rsid w:val="00D57B0E"/>
    <w:rsid w:val="00D64F26"/>
    <w:rsid w:val="00D656E8"/>
    <w:rsid w:val="00D730C6"/>
    <w:rsid w:val="00D73630"/>
    <w:rsid w:val="00D7379A"/>
    <w:rsid w:val="00D75A53"/>
    <w:rsid w:val="00D92D18"/>
    <w:rsid w:val="00D953A9"/>
    <w:rsid w:val="00DA2A2F"/>
    <w:rsid w:val="00DA3E21"/>
    <w:rsid w:val="00DB28D8"/>
    <w:rsid w:val="00DC0910"/>
    <w:rsid w:val="00DC1D9C"/>
    <w:rsid w:val="00DC32EF"/>
    <w:rsid w:val="00DC3A98"/>
    <w:rsid w:val="00DC6ABA"/>
    <w:rsid w:val="00DD08B5"/>
    <w:rsid w:val="00DF0C78"/>
    <w:rsid w:val="00E0329E"/>
    <w:rsid w:val="00E146A3"/>
    <w:rsid w:val="00E26B35"/>
    <w:rsid w:val="00E32A55"/>
    <w:rsid w:val="00E63B72"/>
    <w:rsid w:val="00E70E3B"/>
    <w:rsid w:val="00EB7905"/>
    <w:rsid w:val="00EC3597"/>
    <w:rsid w:val="00EC686F"/>
    <w:rsid w:val="00EE678D"/>
    <w:rsid w:val="00EF1CBF"/>
    <w:rsid w:val="00EF3EB0"/>
    <w:rsid w:val="00F32CF5"/>
    <w:rsid w:val="00F549C5"/>
    <w:rsid w:val="00F60CF1"/>
    <w:rsid w:val="00F72858"/>
    <w:rsid w:val="00F82926"/>
    <w:rsid w:val="00F90A10"/>
    <w:rsid w:val="00FA3DA6"/>
    <w:rsid w:val="00FB09DC"/>
    <w:rsid w:val="00FB465D"/>
    <w:rsid w:val="00FB6518"/>
    <w:rsid w:val="00FC0258"/>
    <w:rsid w:val="00FC5348"/>
    <w:rsid w:val="00FC7AA1"/>
    <w:rsid w:val="00FD1538"/>
    <w:rsid w:val="00FE13BA"/>
    <w:rsid w:val="013E11E6"/>
    <w:rsid w:val="037C62F7"/>
    <w:rsid w:val="057761BE"/>
    <w:rsid w:val="0A405ADE"/>
    <w:rsid w:val="0A4807C4"/>
    <w:rsid w:val="16555F0E"/>
    <w:rsid w:val="1C435A8A"/>
    <w:rsid w:val="21C47272"/>
    <w:rsid w:val="23C258EC"/>
    <w:rsid w:val="29C84181"/>
    <w:rsid w:val="2AA4299E"/>
    <w:rsid w:val="2C4B7EF5"/>
    <w:rsid w:val="330E43EA"/>
    <w:rsid w:val="35615503"/>
    <w:rsid w:val="449608EA"/>
    <w:rsid w:val="454416FB"/>
    <w:rsid w:val="4A3D4EF5"/>
    <w:rsid w:val="4FB14B62"/>
    <w:rsid w:val="57647AB7"/>
    <w:rsid w:val="5A24309A"/>
    <w:rsid w:val="5AF87BEF"/>
    <w:rsid w:val="5C757A75"/>
    <w:rsid w:val="5CC91E53"/>
    <w:rsid w:val="6536289C"/>
    <w:rsid w:val="666E6F5A"/>
    <w:rsid w:val="6ACF47A1"/>
    <w:rsid w:val="6F7318F6"/>
    <w:rsid w:val="6F7934B3"/>
    <w:rsid w:val="7E9937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rules v:ext="edit">
        <o:r id="V:Rule1" type="connector" idref="#_x0000_s1026"/>
      </o:rules>
    </o:shapelayout>
  </w:shapeDefaults>
  <w:decimalSymbol w:val="."/>
  <w:listSeparator w:val=","/>
  <w14:docId w14:val="4EF639A9"/>
  <w15:docId w15:val="{387E7DF6-AC89-432A-BEE4-EA58B12D0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ReferHead">
    <w:name w:val="Refer Head"/>
    <w:basedOn w:val="Normal"/>
    <w:qFormat/>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qFormat/>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qFormat/>
    <w:rPr>
      <w:rFonts w:ascii="Arial" w:eastAsiaTheme="majorEastAsia" w:hAnsi="Arial" w:cstheme="majorBidi"/>
      <w:b/>
      <w:bCs/>
      <w:szCs w:val="26"/>
    </w:rPr>
  </w:style>
  <w:style w:type="character" w:customStyle="1" w:styleId="Heading3Char">
    <w:name w:val="Heading 3 Char"/>
    <w:basedOn w:val="DefaultParagraphFont"/>
    <w:link w:val="Heading3"/>
    <w:uiPriority w:val="9"/>
    <w:qFormat/>
    <w:rPr>
      <w:rFonts w:ascii="Arial" w:eastAsiaTheme="majorEastAsia" w:hAnsi="Arial" w:cstheme="majorBidi"/>
      <w:b/>
      <w:bCs/>
      <w:i/>
      <w:sz w:val="24"/>
    </w:rPr>
  </w:style>
  <w:style w:type="character" w:customStyle="1" w:styleId="Heading4Char">
    <w:name w:val="Heading 4 Char"/>
    <w:basedOn w:val="DefaultParagraphFont"/>
    <w:link w:val="Heading4"/>
    <w:uiPriority w:val="9"/>
    <w:qFormat/>
    <w:rPr>
      <w:rFonts w:ascii="Arial" w:eastAsiaTheme="majorEastAsia" w:hAnsi="Arial" w:cstheme="majorBidi"/>
      <w:b/>
      <w:bCs/>
      <w:i/>
      <w:iCs/>
      <w:sz w:val="20"/>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86/s12913-025-12764-z" TargetMode="External"/><Relationship Id="rId18" Type="http://schemas.openxmlformats.org/officeDocument/2006/relationships/hyperlink" Target="https://doi.org/10.1186/1742-4755-11-71" TargetMode="External"/><Relationship Id="rId26" Type="http://schemas.openxmlformats.org/officeDocument/2006/relationships/hyperlink" Target="https://doi.org/10.1016/S0140-6736(14)60696-6" TargetMode="External"/><Relationship Id="rId39" Type="http://schemas.openxmlformats.org/officeDocument/2006/relationships/hyperlink" Target="https://doi.org/10.1016/S2214-109X(14)70227-X" TargetMode="External"/><Relationship Id="rId3" Type="http://schemas.openxmlformats.org/officeDocument/2006/relationships/numbering" Target="numbering.xml"/><Relationship Id="rId21" Type="http://schemas.openxmlformats.org/officeDocument/2006/relationships/hyperlink" Target="https://doi.org/10.1016/S0968-8080(11)37557-6" TargetMode="External"/><Relationship Id="rId34" Type="http://schemas.openxmlformats.org/officeDocument/2006/relationships/hyperlink" Target="https://doi.org/10.1186/s12884-025-07188-w" TargetMode="External"/><Relationship Id="rId42" Type="http://schemas.openxmlformats.org/officeDocument/2006/relationships/hyperlink" Target="https://doi.org/10.1155/2013/423403"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i.org/10.1186/s12889-022-13037-8" TargetMode="External"/><Relationship Id="rId25" Type="http://schemas.openxmlformats.org/officeDocument/2006/relationships/hyperlink" Target="https://doi.org/10.1186/s12884-019-2501-6" TargetMode="External"/><Relationship Id="rId33" Type="http://schemas.openxmlformats.org/officeDocument/2006/relationships/hyperlink" Target="https://doi.org/10.1186/1742-4755-10-40" TargetMode="External"/><Relationship Id="rId38" Type="http://schemas.openxmlformats.org/officeDocument/2006/relationships/hyperlink" Target="https://doi.org/10.1186/s12913-017-2235-5" TargetMode="External"/><Relationship Id="rId46" Type="http://schemas.openxmlformats.org/officeDocument/2006/relationships/hyperlink" Target="https://doi.org/10.2471/BLT.23.000123" TargetMode="External"/><Relationship Id="rId2" Type="http://schemas.openxmlformats.org/officeDocument/2006/relationships/customXml" Target="../customXml/item2.xml"/><Relationship Id="rId16" Type="http://schemas.openxmlformats.org/officeDocument/2006/relationships/hyperlink" Target="https://doi.org/10.1186/1471-2393-9-43" TargetMode="External"/><Relationship Id="rId20" Type="http://schemas.openxmlformats.org/officeDocument/2006/relationships/hyperlink" Target="https://doi.org/10.1186/s12884-022-04757-1" TargetMode="External"/><Relationship Id="rId29" Type="http://schemas.openxmlformats.org/officeDocument/2006/relationships/hyperlink" Target="https://doi.org/10.1186/s12960-015-0006-6" TargetMode="External"/><Relationship Id="rId41" Type="http://schemas.openxmlformats.org/officeDocument/2006/relationships/hyperlink" Target="https://doi.org/10.1186/1471-2393-12-2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i.org/10.1186/s12978-024-01782-5" TargetMode="External"/><Relationship Id="rId32" Type="http://schemas.openxmlformats.org/officeDocument/2006/relationships/hyperlink" Target="https://doi.org/10.1371/journal.pone.0017155" TargetMode="External"/><Relationship Id="rId37" Type="http://schemas.openxmlformats.org/officeDocument/2006/relationships/hyperlink" Target="https://doi.org/10.1016/S0140-6736(13)60685-6" TargetMode="External"/><Relationship Id="rId40" Type="http://schemas.openxmlformats.org/officeDocument/2006/relationships/hyperlink" Target="https://doi.org/10.1186/s12884-015-0652-8" TargetMode="External"/><Relationship Id="rId45" Type="http://schemas.openxmlformats.org/officeDocument/2006/relationships/hyperlink" Target="https://doi.org/10.2471/BLT.23.000123" TargetMode="External"/><Relationship Id="rId5" Type="http://schemas.openxmlformats.org/officeDocument/2006/relationships/settings" Target="settings.xml"/><Relationship Id="rId15" Type="http://schemas.openxmlformats.org/officeDocument/2006/relationships/hyperlink" Target="https://doi.org/10.1186/s12884-025-08071-4" TargetMode="External"/><Relationship Id="rId23" Type="http://schemas.openxmlformats.org/officeDocument/2006/relationships/hyperlink" Target="https://doi.org/10.6/1471-2393-9-34" TargetMode="External"/><Relationship Id="rId28" Type="http://schemas.openxmlformats.org/officeDocument/2006/relationships/hyperlink" Target="https://doi.org/10.1016/S0140-6736(12)61959-X" TargetMode="External"/><Relationship Id="rId36" Type="http://schemas.openxmlformats.org/officeDocument/2006/relationships/hyperlink" Target="https://doi.org/10.13140/2.1.1018.4643" TargetMode="External"/><Relationship Id="rId10" Type="http://schemas.openxmlformats.org/officeDocument/2006/relationships/footer" Target="footer1.xml"/><Relationship Id="rId19" Type="http://schemas.openxmlformats.org/officeDocument/2006/relationships/hyperlink" Target="https://doi.org/10.1016/S0140-6736(06)69381-1" TargetMode="External"/><Relationship Id="rId31" Type="http://schemas.openxmlformats.org/officeDocument/2006/relationships/hyperlink" Target="https://doi.org/10.1002/14651858.CD010994.pub2" TargetMode="External"/><Relationship Id="rId44" Type="http://schemas.openxmlformats.org/officeDocument/2006/relationships/hyperlink" Target="https://doi.org/10.13140/RG.2.1.4418.856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doi.org/10.1371/journal.pome.0305780" TargetMode="External"/><Relationship Id="rId22" Type="http://schemas.openxmlformats.org/officeDocument/2006/relationships/hyperlink" Target="https://doi.org/10.1186/s12884-021-03765-8" TargetMode="External"/><Relationship Id="rId27" Type="http://schemas.openxmlformats.org/officeDocument/2006/relationships/hyperlink" Target="https://doi.org/10.1093/heapol/czu126" TargetMode="External"/><Relationship Id="rId30" Type="http://schemas.openxmlformats.org/officeDocument/2006/relationships/hyperlink" Target="https://doi.org/10.1186/s12884-024-06459-2" TargetMode="External"/><Relationship Id="rId35" Type="http://schemas.openxmlformats.org/officeDocument/2006/relationships/hyperlink" Target="https://doi.org/10.1136/bmj.n71" TargetMode="External"/><Relationship Id="rId43" Type="http://schemas.openxmlformats.org/officeDocument/2006/relationships/hyperlink" Target="https://doi.org/10.1016/S0140-6736(10)60692-1"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64"/>
  </customShpExts>
</s:customData>
</file>

<file path=customXml/itemProps1.xml><?xml version="1.0" encoding="utf-8"?>
<ds:datastoreItem xmlns:ds="http://schemas.openxmlformats.org/officeDocument/2006/customXml" ds:itemID="{E938D0E9-4C42-4F78-931A-52124BE7C5B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7535</Words>
  <Characters>42953</Characters>
  <Application>Microsoft Office Word</Application>
  <DocSecurity>0</DocSecurity>
  <Lines>357</Lines>
  <Paragraphs>100</Paragraphs>
  <ScaleCrop>false</ScaleCrop>
  <Company/>
  <LinksUpToDate>false</LinksUpToDate>
  <CharactersWithSpaces>50388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Editor Acc 101</cp:lastModifiedBy>
  <cp:revision>122</cp:revision>
  <cp:lastPrinted>2025-11-22T07:44:00Z</cp:lastPrinted>
  <dcterms:created xsi:type="dcterms:W3CDTF">2014-09-22T13:32:00Z</dcterms:created>
  <dcterms:modified xsi:type="dcterms:W3CDTF">2026-05-02T04:27:00Z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806189295F9346018F08D93FCD709879_12</vt:lpwstr>
  </property>
</Properties>
</file>