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461ED" w14:textId="77777777" w:rsidR="001554B0" w:rsidRPr="00FE657B" w:rsidRDefault="001554B0" w:rsidP="001554B0">
      <w:pPr>
        <w:spacing w:after="0"/>
        <w:jc w:val="center"/>
        <w:rPr>
          <w:rFonts w:ascii="Times New Roman" w:hAnsi="Times New Roman" w:cs="Times New Roman"/>
          <w:b/>
        </w:rPr>
      </w:pPr>
      <w:r w:rsidRPr="00FE657B">
        <w:rPr>
          <w:rFonts w:ascii="Times New Roman" w:hAnsi="Times New Roman" w:cs="Times New Roman"/>
          <w:b/>
        </w:rPr>
        <w:t>Effect of Lamivudine Administration on Serum Corticosterone Levels in Adult Male Wistar Rats</w:t>
      </w:r>
    </w:p>
    <w:p w14:paraId="416D8475" w14:textId="77777777" w:rsidR="001554B0" w:rsidRDefault="001554B0" w:rsidP="001554B0">
      <w:pPr>
        <w:pStyle w:val="Heading2"/>
        <w:spacing w:before="0" w:after="0"/>
        <w:jc w:val="both"/>
        <w:rPr>
          <w:rStyle w:val="Strong"/>
          <w:bCs w:val="0"/>
          <w:sz w:val="24"/>
          <w:szCs w:val="24"/>
        </w:rPr>
      </w:pPr>
    </w:p>
    <w:p w14:paraId="217F61A9" w14:textId="77777777" w:rsidR="001554B0" w:rsidRDefault="001554B0" w:rsidP="001554B0">
      <w:pPr>
        <w:pStyle w:val="Heading2"/>
        <w:spacing w:before="0" w:after="0"/>
        <w:jc w:val="both"/>
        <w:rPr>
          <w:rStyle w:val="Strong"/>
          <w:bCs w:val="0"/>
          <w:sz w:val="24"/>
          <w:szCs w:val="24"/>
        </w:rPr>
      </w:pPr>
    </w:p>
    <w:p w14:paraId="618EA4F2" w14:textId="77777777" w:rsidR="001554B0" w:rsidRPr="00F536E5" w:rsidRDefault="001554B0" w:rsidP="001554B0">
      <w:pPr>
        <w:pStyle w:val="Heading2"/>
        <w:spacing w:before="0" w:after="0"/>
        <w:jc w:val="both"/>
        <w:rPr>
          <w:rStyle w:val="Strong"/>
          <w:bCs w:val="0"/>
          <w:sz w:val="24"/>
          <w:szCs w:val="24"/>
        </w:rPr>
      </w:pPr>
    </w:p>
    <w:p w14:paraId="385AD56B" w14:textId="77777777" w:rsidR="001554B0" w:rsidRDefault="001554B0" w:rsidP="001554B0">
      <w:pPr>
        <w:pStyle w:val="Heading2"/>
        <w:spacing w:before="0" w:after="0"/>
        <w:jc w:val="both"/>
        <w:rPr>
          <w:rStyle w:val="Strong"/>
          <w:b w:val="0"/>
          <w:bCs w:val="0"/>
          <w:sz w:val="24"/>
          <w:szCs w:val="24"/>
        </w:rPr>
      </w:pPr>
    </w:p>
    <w:p w14:paraId="0E6CDFCA" w14:textId="77777777" w:rsidR="00A71C42" w:rsidRPr="00973D59" w:rsidRDefault="00A71C42" w:rsidP="00744DF0">
      <w:pPr>
        <w:jc w:val="center"/>
        <w:rPr>
          <w:rFonts w:ascii="Times New Roman" w:hAnsi="Times New Roman" w:cs="Times New Roman"/>
          <w:b/>
        </w:rPr>
      </w:pPr>
      <w:r w:rsidRPr="00973D59">
        <w:rPr>
          <w:rFonts w:ascii="Times New Roman" w:hAnsi="Times New Roman" w:cs="Times New Roman"/>
          <w:b/>
        </w:rPr>
        <w:t>Abstract</w:t>
      </w:r>
    </w:p>
    <w:p w14:paraId="7D67E446" w14:textId="0DB686B1" w:rsidR="002A0442" w:rsidRDefault="002A0442" w:rsidP="00744DF0">
      <w:pPr>
        <w:spacing w:after="0" w:line="240" w:lineRule="auto"/>
        <w:jc w:val="both"/>
        <w:rPr>
          <w:rFonts w:ascii="Times New Roman" w:hAnsi="Times New Roman" w:cs="Times New Roman"/>
        </w:rPr>
      </w:pPr>
      <w:r>
        <w:rPr>
          <w:rFonts w:ascii="Times New Roman" w:hAnsi="Times New Roman" w:cs="Times New Roman"/>
          <w:b/>
        </w:rPr>
        <w:t xml:space="preserve">Background: </w:t>
      </w:r>
      <w:r w:rsidRPr="0007157A">
        <w:rPr>
          <w:rFonts w:ascii="Times New Roman" w:hAnsi="Times New Roman" w:cs="Times New Roman"/>
          <w:bCs/>
        </w:rPr>
        <w:t>Lamivudine is a nucleoside reverse transcriptase inhibitor widely used in the management of Human Immunodeficiency Virus (HIV) infection and chronic Hepatitis B virus disease. Although considered relatively safe, accumulating evidence suggests that prolonged exposure to nucleoside analogues may induce mitochondrial dysfunction and oxidative stress, which could potentially affect endocrine regulation, particularly the hypothalamic–pituitary–adrenal (HPA) axis. Given the central role of glucocorticoids in metabolic homeostasis and stress adaptation, evaluating the effects of Lamivudine on adrenal function is of considerable importance.</w:t>
      </w:r>
      <w:r w:rsidR="0007157A">
        <w:rPr>
          <w:rFonts w:ascii="Times New Roman" w:hAnsi="Times New Roman" w:cs="Times New Roman"/>
          <w:bCs/>
        </w:rPr>
        <w:t xml:space="preserve"> </w:t>
      </w:r>
      <w:r w:rsidRPr="005A0661">
        <w:rPr>
          <w:rFonts w:ascii="Times New Roman" w:hAnsi="Times New Roman" w:cs="Times New Roman"/>
          <w:b/>
          <w:bCs/>
        </w:rPr>
        <w:t>Objective</w:t>
      </w:r>
      <w:r>
        <w:rPr>
          <w:rFonts w:ascii="Times New Roman" w:hAnsi="Times New Roman" w:cs="Times New Roman"/>
        </w:rPr>
        <w:t>: This study investigated the effect of graded doses of Lamivudine on serum corticosterone levels and adrenal gland histology in adult male Wistar rats.</w:t>
      </w:r>
      <w:r w:rsidR="00311AE6">
        <w:rPr>
          <w:rFonts w:ascii="Times New Roman" w:hAnsi="Times New Roman" w:cs="Times New Roman"/>
          <w:bCs/>
        </w:rPr>
        <w:t xml:space="preserve"> </w:t>
      </w:r>
      <w:r w:rsidRPr="00311AE6">
        <w:rPr>
          <w:rFonts w:ascii="Times New Roman" w:hAnsi="Times New Roman" w:cs="Times New Roman"/>
          <w:b/>
          <w:bCs/>
        </w:rPr>
        <w:t>Methods</w:t>
      </w:r>
      <w:r>
        <w:rPr>
          <w:rFonts w:ascii="Times New Roman" w:hAnsi="Times New Roman" w:cs="Times New Roman"/>
        </w:rPr>
        <w:t xml:space="preserve">: Sixteen adult male Wistar rats aged 8–10 weeks were randomly assigned into four groups (n = 4). Group A served as control and received distilled water, while Groups B, C, and D received Lamivudine at doses of 100 mg/kg, 200 mg/kg, and 400 mg/kg respectively for 30 consecutive days via oral gavage. Serum corticosterone levels were measured using enzyme-linked immunosorbent assay (ELISA). Adrenal glands were harvested for histological evaluation using </w:t>
      </w:r>
      <w:proofErr w:type="spellStart"/>
      <w:r>
        <w:rPr>
          <w:rFonts w:ascii="Times New Roman" w:hAnsi="Times New Roman" w:cs="Times New Roman"/>
        </w:rPr>
        <w:t>hematoxylin</w:t>
      </w:r>
      <w:proofErr w:type="spellEnd"/>
      <w:r>
        <w:rPr>
          <w:rFonts w:ascii="Times New Roman" w:hAnsi="Times New Roman" w:cs="Times New Roman"/>
        </w:rPr>
        <w:t xml:space="preserve"> and eosin staining. Data were </w:t>
      </w:r>
      <w:proofErr w:type="spellStart"/>
      <w:r>
        <w:rPr>
          <w:rFonts w:ascii="Times New Roman" w:hAnsi="Times New Roman" w:cs="Times New Roman"/>
        </w:rPr>
        <w:t>analyzed</w:t>
      </w:r>
      <w:proofErr w:type="spellEnd"/>
      <w:r>
        <w:rPr>
          <w:rFonts w:ascii="Times New Roman" w:hAnsi="Times New Roman" w:cs="Times New Roman"/>
        </w:rPr>
        <w:t xml:space="preserve"> using one-way analysis of variance (ANOVA) followed by least significant difference (LSD) post hoc test, with statistical significance set at </w:t>
      </w:r>
      <w:r w:rsidRPr="00684617">
        <w:rPr>
          <w:rFonts w:ascii="Times New Roman" w:hAnsi="Times New Roman" w:cs="Times New Roman"/>
          <w:i/>
        </w:rPr>
        <w:t>p ≤ 0.05</w:t>
      </w:r>
      <w:r>
        <w:rPr>
          <w:rFonts w:ascii="Times New Roman" w:hAnsi="Times New Roman" w:cs="Times New Roman"/>
        </w:rPr>
        <w:t>.</w:t>
      </w:r>
      <w:r w:rsidR="005A0661">
        <w:rPr>
          <w:rFonts w:ascii="Times New Roman" w:hAnsi="Times New Roman" w:cs="Times New Roman"/>
        </w:rPr>
        <w:t xml:space="preserve"> </w:t>
      </w:r>
      <w:r w:rsidRPr="005A0661">
        <w:rPr>
          <w:rFonts w:ascii="Times New Roman" w:hAnsi="Times New Roman" w:cs="Times New Roman"/>
          <w:b/>
          <w:bCs/>
        </w:rPr>
        <w:t>Results</w:t>
      </w:r>
      <w:r>
        <w:rPr>
          <w:rFonts w:ascii="Times New Roman" w:hAnsi="Times New Roman" w:cs="Times New Roman"/>
        </w:rPr>
        <w:t>: A mild dose-dependent increase in serum corticosterone levels was observed in Lamivudine-treated groups compared to control; however, these differences were no</w:t>
      </w:r>
      <w:r w:rsidR="00684617">
        <w:rPr>
          <w:rFonts w:ascii="Times New Roman" w:hAnsi="Times New Roman" w:cs="Times New Roman"/>
        </w:rPr>
        <w:t>t statistically significant (</w:t>
      </w:r>
      <w:r w:rsidR="00684617" w:rsidRPr="00684617">
        <w:rPr>
          <w:rFonts w:ascii="Times New Roman" w:hAnsi="Times New Roman" w:cs="Times New Roman"/>
          <w:i/>
        </w:rPr>
        <w:t>p ≥ 0.05</w:t>
      </w:r>
      <w:r>
        <w:rPr>
          <w:rFonts w:ascii="Times New Roman" w:hAnsi="Times New Roman" w:cs="Times New Roman"/>
        </w:rPr>
        <w:t>). Histological examination revealed increased lipid accumulation within the zona fasciculata of treated groups, indicating enhanced steroidogenic activity. No evidence of cellular degeneration, necrosis, or architectural distortion was observed.</w:t>
      </w:r>
      <w:r w:rsidR="005A0661">
        <w:rPr>
          <w:rFonts w:ascii="Times New Roman" w:hAnsi="Times New Roman" w:cs="Times New Roman"/>
        </w:rPr>
        <w:t xml:space="preserve"> </w:t>
      </w:r>
      <w:r w:rsidRPr="005A0661">
        <w:rPr>
          <w:rFonts w:ascii="Times New Roman" w:hAnsi="Times New Roman" w:cs="Times New Roman"/>
          <w:b/>
          <w:bCs/>
        </w:rPr>
        <w:t>Conclusion</w:t>
      </w:r>
      <w:r>
        <w:rPr>
          <w:rFonts w:ascii="Times New Roman" w:hAnsi="Times New Roman" w:cs="Times New Roman"/>
        </w:rPr>
        <w:t>: Lamivudine administration may lead to mild activation of the HPA axis without causing significant endocrine disruption. The findings suggest that Lamivudine is relatively safe with respect to adrenal function, although subtle biochemical and histological changes indicate the possibility of subclinical effects that warrant further investigation, particularly in long-term exposure scenarios.</w:t>
      </w:r>
    </w:p>
    <w:p w14:paraId="2E59FA6F" w14:textId="77777777" w:rsidR="004A0EE4" w:rsidRPr="00311AE6" w:rsidRDefault="004A0EE4" w:rsidP="00744DF0">
      <w:pPr>
        <w:spacing w:after="0" w:line="240" w:lineRule="auto"/>
        <w:jc w:val="both"/>
        <w:rPr>
          <w:rFonts w:ascii="Times New Roman" w:hAnsi="Times New Roman" w:cs="Times New Roman"/>
          <w:bCs/>
        </w:rPr>
      </w:pPr>
    </w:p>
    <w:p w14:paraId="0FB4D4EC" w14:textId="1F911EA0" w:rsidR="00A71C42" w:rsidRPr="00973D59" w:rsidRDefault="00A71C42" w:rsidP="00744DF0">
      <w:pPr>
        <w:spacing w:after="0" w:line="240" w:lineRule="auto"/>
        <w:jc w:val="both"/>
        <w:rPr>
          <w:rFonts w:ascii="Times New Roman" w:hAnsi="Times New Roman" w:cs="Times New Roman"/>
        </w:rPr>
      </w:pPr>
      <w:r w:rsidRPr="00973D59">
        <w:rPr>
          <w:rFonts w:ascii="Times New Roman" w:hAnsi="Times New Roman" w:cs="Times New Roman"/>
          <w:b/>
        </w:rPr>
        <w:t>Keywords:</w:t>
      </w:r>
      <w:r w:rsidRPr="00973D59">
        <w:rPr>
          <w:rFonts w:ascii="Times New Roman" w:hAnsi="Times New Roman" w:cs="Times New Roman"/>
        </w:rPr>
        <w:t xml:space="preserve"> Lamivudine, corticosterone, adrenal gland, oxidative stress, HPA axis, Wistar rats</w:t>
      </w:r>
    </w:p>
    <w:p w14:paraId="21779B5D" w14:textId="77777777" w:rsidR="00744DF0" w:rsidRDefault="00744DF0" w:rsidP="00744DF0">
      <w:pPr>
        <w:spacing w:after="0" w:line="240" w:lineRule="auto"/>
        <w:jc w:val="both"/>
        <w:rPr>
          <w:rFonts w:ascii="Times New Roman" w:hAnsi="Times New Roman" w:cs="Times New Roman"/>
        </w:rPr>
      </w:pPr>
    </w:p>
    <w:p w14:paraId="016E2241" w14:textId="77777777" w:rsidR="00334EF0" w:rsidRPr="00973D59" w:rsidRDefault="00334EF0" w:rsidP="00744DF0">
      <w:pPr>
        <w:spacing w:after="0" w:line="240" w:lineRule="auto"/>
        <w:jc w:val="both"/>
        <w:rPr>
          <w:rFonts w:ascii="Times New Roman" w:hAnsi="Times New Roman" w:cs="Times New Roman"/>
        </w:rPr>
      </w:pPr>
    </w:p>
    <w:p w14:paraId="27590A59" w14:textId="0FAE73BD" w:rsidR="00A71C42" w:rsidRPr="00973D59" w:rsidRDefault="00A71C42" w:rsidP="00E74DF1">
      <w:pPr>
        <w:spacing w:after="0" w:line="360" w:lineRule="auto"/>
        <w:jc w:val="both"/>
        <w:rPr>
          <w:rFonts w:ascii="Times New Roman" w:hAnsi="Times New Roman" w:cs="Times New Roman"/>
          <w:b/>
        </w:rPr>
      </w:pPr>
      <w:r w:rsidRPr="00973D59">
        <w:rPr>
          <w:rFonts w:ascii="Times New Roman" w:hAnsi="Times New Roman" w:cs="Times New Roman"/>
          <w:b/>
        </w:rPr>
        <w:t>Introduction</w:t>
      </w:r>
    </w:p>
    <w:p w14:paraId="66E78233" w14:textId="52E4C8FA" w:rsidR="00313162" w:rsidRDefault="001440CE" w:rsidP="00E74DF1">
      <w:pPr>
        <w:spacing w:line="360" w:lineRule="auto"/>
        <w:jc w:val="both"/>
        <w:rPr>
          <w:rFonts w:ascii="Times New Roman" w:hAnsi="Times New Roman" w:cs="Times New Roman"/>
        </w:rPr>
      </w:pPr>
      <w:r w:rsidRPr="001440CE">
        <w:rPr>
          <w:rFonts w:ascii="Times New Roman" w:hAnsi="Times New Roman" w:cs="Times New Roman"/>
        </w:rPr>
        <w:t>Antiretroviral therapy (ART) has revolutionized the management of Human Immunodeficiency Virus (HIV) infection and chronic Hepatitis B virus disease, transforming them from life-threatening conditions into</w:t>
      </w:r>
      <w:r w:rsidR="004B6F40">
        <w:rPr>
          <w:rFonts w:ascii="Times New Roman" w:hAnsi="Times New Roman" w:cs="Times New Roman"/>
        </w:rPr>
        <w:t xml:space="preserve"> manageable chronic illnesses</w:t>
      </w:r>
      <w:r w:rsidR="004B6F40" w:rsidRPr="00E54165">
        <w:rPr>
          <w:rFonts w:ascii="Times New Roman" w:hAnsi="Times New Roman" w:cs="Times New Roman"/>
          <w:vertAlign w:val="superscript"/>
        </w:rPr>
        <w:t>¹</w:t>
      </w:r>
      <w:r w:rsidR="00E54165" w:rsidRPr="00E54165">
        <w:rPr>
          <w:rFonts w:ascii="Times New Roman" w:hAnsi="Times New Roman" w:cs="Times New Roman"/>
          <w:vertAlign w:val="superscript"/>
        </w:rPr>
        <w:t>,2</w:t>
      </w:r>
      <w:r w:rsidRPr="001440CE">
        <w:rPr>
          <w:rFonts w:ascii="Times New Roman" w:hAnsi="Times New Roman" w:cs="Times New Roman"/>
        </w:rPr>
        <w:t>.</w:t>
      </w:r>
      <w:r w:rsidR="00313162">
        <w:rPr>
          <w:rFonts w:ascii="Times New Roman" w:hAnsi="Times New Roman" w:cs="Times New Roman"/>
        </w:rPr>
        <w:t xml:space="preserve"> The success of ART is largely attributed to combination therapy, which targets different stages of viral replication to suppress viral load effectively and prevent disease progression</w:t>
      </w:r>
      <w:r w:rsidR="00E54165">
        <w:rPr>
          <w:rFonts w:ascii="Times New Roman" w:hAnsi="Times New Roman" w:cs="Times New Roman"/>
          <w:vertAlign w:val="superscript"/>
        </w:rPr>
        <w:t>3</w:t>
      </w:r>
      <w:r w:rsidR="00313162">
        <w:rPr>
          <w:rFonts w:ascii="Times New Roman" w:hAnsi="Times New Roman" w:cs="Times New Roman"/>
        </w:rPr>
        <w:t xml:space="preserve">. Among the various classes of antiretroviral agents, nucleoside reverse transcriptase inhibitors (NRTIs) remain a fundamental </w:t>
      </w:r>
      <w:r w:rsidR="00313162">
        <w:rPr>
          <w:rFonts w:ascii="Times New Roman" w:hAnsi="Times New Roman" w:cs="Times New Roman"/>
        </w:rPr>
        <w:lastRenderedPageBreak/>
        <w:t xml:space="preserve">component of most first-line treatment regimens due to their efficacy, accessibility, and relatively </w:t>
      </w:r>
      <w:r w:rsidR="00B954DC">
        <w:rPr>
          <w:rFonts w:ascii="Times New Roman" w:hAnsi="Times New Roman" w:cs="Times New Roman"/>
        </w:rPr>
        <w:t>favourable</w:t>
      </w:r>
      <w:r w:rsidR="00313162">
        <w:rPr>
          <w:rFonts w:ascii="Times New Roman" w:hAnsi="Times New Roman" w:cs="Times New Roman"/>
        </w:rPr>
        <w:t xml:space="preserve"> safety profile</w:t>
      </w:r>
      <w:r w:rsidR="00E54165">
        <w:rPr>
          <w:rFonts w:ascii="Times New Roman" w:hAnsi="Times New Roman" w:cs="Times New Roman"/>
          <w:vertAlign w:val="superscript"/>
        </w:rPr>
        <w:t>1-3</w:t>
      </w:r>
      <w:r w:rsidR="00313162">
        <w:rPr>
          <w:rFonts w:ascii="Times New Roman" w:hAnsi="Times New Roman" w:cs="Times New Roman"/>
        </w:rPr>
        <w:t>.</w:t>
      </w:r>
    </w:p>
    <w:p w14:paraId="234F0BF2" w14:textId="4EA3E958" w:rsidR="00313162" w:rsidRDefault="00313162" w:rsidP="00E74DF1">
      <w:pPr>
        <w:spacing w:line="360" w:lineRule="auto"/>
        <w:jc w:val="both"/>
        <w:rPr>
          <w:rFonts w:ascii="Times New Roman" w:hAnsi="Times New Roman" w:cs="Times New Roman"/>
        </w:rPr>
      </w:pPr>
      <w:r>
        <w:rPr>
          <w:rFonts w:ascii="Times New Roman" w:hAnsi="Times New Roman" w:cs="Times New Roman"/>
        </w:rPr>
        <w:t>Lamivudine (3TC), a cytidine analogue, is one of the most widely prescribed NRTIs in both HIV an</w:t>
      </w:r>
      <w:r w:rsidR="004B6F40">
        <w:rPr>
          <w:rFonts w:ascii="Times New Roman" w:hAnsi="Times New Roman" w:cs="Times New Roman"/>
        </w:rPr>
        <w:t>d Hepatitis B virus management</w:t>
      </w:r>
      <w:r w:rsidR="004B6F40" w:rsidRPr="004B6F40">
        <w:rPr>
          <w:rFonts w:ascii="Times New Roman" w:hAnsi="Times New Roman" w:cs="Times New Roman"/>
          <w:vertAlign w:val="superscript"/>
        </w:rPr>
        <w:t>4</w:t>
      </w:r>
      <w:r>
        <w:rPr>
          <w:rFonts w:ascii="Times New Roman" w:hAnsi="Times New Roman" w:cs="Times New Roman"/>
        </w:rPr>
        <w:t>. It functions by inhibiting the viral reverse transcriptase enzyme, leading to premature termination of viral DNA synthesis and suppression of viral replication</w:t>
      </w:r>
      <w:r w:rsidR="00E54165" w:rsidRPr="00E54165">
        <w:rPr>
          <w:rFonts w:ascii="Times New Roman" w:hAnsi="Times New Roman" w:cs="Times New Roman"/>
          <w:vertAlign w:val="superscript"/>
        </w:rPr>
        <w:t>5</w:t>
      </w:r>
      <w:r>
        <w:rPr>
          <w:rFonts w:ascii="Times New Roman" w:hAnsi="Times New Roman" w:cs="Times New Roman"/>
        </w:rPr>
        <w:t>. Because of its low cost, oral bioavailability, and generally good tolerability, Lamivudine has been extensively used in long-term therapeutic protocols, often for extended periods in combination w</w:t>
      </w:r>
      <w:r w:rsidR="00E54165">
        <w:rPr>
          <w:rFonts w:ascii="Times New Roman" w:hAnsi="Times New Roman" w:cs="Times New Roman"/>
        </w:rPr>
        <w:t>ith other antiretroviral agents</w:t>
      </w:r>
      <w:r w:rsidR="00E54165" w:rsidRPr="00E54165">
        <w:rPr>
          <w:rFonts w:ascii="Times New Roman" w:hAnsi="Times New Roman" w:cs="Times New Roman"/>
          <w:vertAlign w:val="superscript"/>
        </w:rPr>
        <w:t>4</w:t>
      </w:r>
      <w:r>
        <w:rPr>
          <w:rFonts w:ascii="Times New Roman" w:hAnsi="Times New Roman" w:cs="Times New Roman"/>
        </w:rPr>
        <w:t>.</w:t>
      </w:r>
    </w:p>
    <w:p w14:paraId="003E34B1" w14:textId="67ECF378" w:rsidR="00313162" w:rsidRDefault="00313162" w:rsidP="00E74DF1">
      <w:pPr>
        <w:spacing w:line="360" w:lineRule="auto"/>
        <w:jc w:val="both"/>
        <w:rPr>
          <w:rFonts w:ascii="Times New Roman" w:hAnsi="Times New Roman" w:cs="Times New Roman"/>
        </w:rPr>
      </w:pPr>
      <w:r>
        <w:rPr>
          <w:rFonts w:ascii="Times New Roman" w:hAnsi="Times New Roman" w:cs="Times New Roman"/>
        </w:rPr>
        <w:t>Despite its clinical benefits, increasing attention has been directed toward the potential long-term</w:t>
      </w:r>
      <w:r w:rsidR="00355A22">
        <w:rPr>
          <w:rFonts w:ascii="Times New Roman" w:hAnsi="Times New Roman" w:cs="Times New Roman"/>
        </w:rPr>
        <w:t xml:space="preserve"> toxicological effects of NRTIs, and o</w:t>
      </w:r>
      <w:r>
        <w:rPr>
          <w:rFonts w:ascii="Times New Roman" w:hAnsi="Times New Roman" w:cs="Times New Roman"/>
        </w:rPr>
        <w:t>ne of the major concerns associated with this drug class is mitochondrial dysfunction</w:t>
      </w:r>
      <w:r w:rsidR="00355A22" w:rsidRPr="00355A22">
        <w:rPr>
          <w:rFonts w:ascii="Times New Roman" w:hAnsi="Times New Roman" w:cs="Times New Roman"/>
          <w:vertAlign w:val="superscript"/>
        </w:rPr>
        <w:t>6</w:t>
      </w:r>
      <w:r>
        <w:rPr>
          <w:rFonts w:ascii="Times New Roman" w:hAnsi="Times New Roman" w:cs="Times New Roman"/>
        </w:rPr>
        <w:t>. NRTIs have been reported to inhibit mitochondrial DNA polymerase-γ, an enzyme essential for mitochondrial DN</w:t>
      </w:r>
      <w:r w:rsidR="00355A22">
        <w:rPr>
          <w:rFonts w:ascii="Times New Roman" w:hAnsi="Times New Roman" w:cs="Times New Roman"/>
        </w:rPr>
        <w:t>A replication and maintenance</w:t>
      </w:r>
      <w:r w:rsidR="00355A22" w:rsidRPr="00355A22">
        <w:rPr>
          <w:rFonts w:ascii="Times New Roman" w:hAnsi="Times New Roman" w:cs="Times New Roman"/>
          <w:vertAlign w:val="superscript"/>
        </w:rPr>
        <w:t>6</w:t>
      </w:r>
      <w:r>
        <w:rPr>
          <w:rFonts w:ascii="Times New Roman" w:hAnsi="Times New Roman" w:cs="Times New Roman"/>
        </w:rPr>
        <w:t>. This inhibition can lead to mitochondrial DNA depletion, impaired oxidative phosphorylation, reduced ATP production, and subsequent cellular dysfunction</w:t>
      </w:r>
      <w:r w:rsidR="00355A22" w:rsidRPr="00355A22">
        <w:rPr>
          <w:rFonts w:ascii="Times New Roman" w:hAnsi="Times New Roman" w:cs="Times New Roman"/>
          <w:vertAlign w:val="superscript"/>
        </w:rPr>
        <w:t>5,6</w:t>
      </w:r>
      <w:r>
        <w:rPr>
          <w:rFonts w:ascii="Times New Roman" w:hAnsi="Times New Roman" w:cs="Times New Roman"/>
        </w:rPr>
        <w:t>.</w:t>
      </w:r>
    </w:p>
    <w:p w14:paraId="3C8886CD" w14:textId="155CF9CE" w:rsidR="00313162" w:rsidRDefault="00313162" w:rsidP="00E74DF1">
      <w:pPr>
        <w:spacing w:line="360" w:lineRule="auto"/>
        <w:jc w:val="both"/>
        <w:rPr>
          <w:rFonts w:ascii="Times New Roman" w:hAnsi="Times New Roman" w:cs="Times New Roman"/>
        </w:rPr>
      </w:pPr>
      <w:r>
        <w:rPr>
          <w:rFonts w:ascii="Times New Roman" w:hAnsi="Times New Roman" w:cs="Times New Roman"/>
        </w:rPr>
        <w:t>A critical consequence of mitochondrial impairment is the excessive production of reactive oxygen species (ROS), wh</w:t>
      </w:r>
      <w:r w:rsidR="00355A22">
        <w:rPr>
          <w:rFonts w:ascii="Times New Roman" w:hAnsi="Times New Roman" w:cs="Times New Roman"/>
        </w:rPr>
        <w:t>ich results in oxidative stress</w:t>
      </w:r>
      <w:r w:rsidR="00355A22" w:rsidRPr="00355A22">
        <w:rPr>
          <w:rFonts w:ascii="Times New Roman" w:hAnsi="Times New Roman" w:cs="Times New Roman"/>
          <w:vertAlign w:val="superscript"/>
        </w:rPr>
        <w:t>7</w:t>
      </w:r>
      <w:r>
        <w:rPr>
          <w:rFonts w:ascii="Times New Roman" w:hAnsi="Times New Roman" w:cs="Times New Roman"/>
        </w:rPr>
        <w:t xml:space="preserve">. Oxidative stress occurs when there is an imbalance between the generation of free radicals and the capacity of antioxidant </w:t>
      </w:r>
      <w:proofErr w:type="spellStart"/>
      <w:r>
        <w:rPr>
          <w:rFonts w:ascii="Times New Roman" w:hAnsi="Times New Roman" w:cs="Times New Roman"/>
        </w:rPr>
        <w:t>defense</w:t>
      </w:r>
      <w:proofErr w:type="spellEnd"/>
      <w:r>
        <w:rPr>
          <w:rFonts w:ascii="Times New Roman" w:hAnsi="Times New Roman" w:cs="Times New Roman"/>
        </w:rPr>
        <w:t xml:space="preserve"> systems to neutralize them. When prolonged, oxidative stress can damage lipids, proteins, and nucleic acids, thereby disrupting normal cellular function and contributing to tiss</w:t>
      </w:r>
      <w:r w:rsidR="00355A22">
        <w:rPr>
          <w:rFonts w:ascii="Times New Roman" w:hAnsi="Times New Roman" w:cs="Times New Roman"/>
        </w:rPr>
        <w:t>ue injury and organ dysfunction</w:t>
      </w:r>
      <w:r w:rsidR="00355A22" w:rsidRPr="00355A22">
        <w:rPr>
          <w:rFonts w:ascii="Times New Roman" w:hAnsi="Times New Roman" w:cs="Times New Roman"/>
          <w:vertAlign w:val="superscript"/>
        </w:rPr>
        <w:t>5</w:t>
      </w:r>
      <w:r>
        <w:rPr>
          <w:rFonts w:ascii="Times New Roman" w:hAnsi="Times New Roman" w:cs="Times New Roman"/>
        </w:rPr>
        <w:t>.</w:t>
      </w:r>
    </w:p>
    <w:p w14:paraId="304F9A99" w14:textId="7B37D515" w:rsidR="00313162" w:rsidRDefault="00313162" w:rsidP="00E74DF1">
      <w:pPr>
        <w:spacing w:line="360" w:lineRule="auto"/>
        <w:jc w:val="both"/>
        <w:rPr>
          <w:rFonts w:ascii="Times New Roman" w:hAnsi="Times New Roman" w:cs="Times New Roman"/>
        </w:rPr>
      </w:pPr>
      <w:r>
        <w:rPr>
          <w:rFonts w:ascii="Times New Roman" w:hAnsi="Times New Roman" w:cs="Times New Roman"/>
        </w:rPr>
        <w:t>Importantly, oxidative stress has been increasingly implicated in endocrine dysregulation, particularly involving the hypothalamic–pituitary–adrenal (HPA) axis</w:t>
      </w:r>
      <w:r w:rsidR="00484BB9" w:rsidRPr="00484BB9">
        <w:rPr>
          <w:rFonts w:ascii="Times New Roman" w:hAnsi="Times New Roman" w:cs="Times New Roman"/>
          <w:vertAlign w:val="superscript"/>
        </w:rPr>
        <w:t>8</w:t>
      </w:r>
      <w:r>
        <w:rPr>
          <w:rFonts w:ascii="Times New Roman" w:hAnsi="Times New Roman" w:cs="Times New Roman"/>
        </w:rPr>
        <w:t>. The HPA axis is a central neuroendocrine system responsible for maintaining homeostasis and coordinating the body’s response to stress</w:t>
      </w:r>
      <w:r w:rsidR="00484BB9" w:rsidRPr="00484BB9">
        <w:rPr>
          <w:rFonts w:ascii="Times New Roman" w:hAnsi="Times New Roman" w:cs="Times New Roman"/>
          <w:vertAlign w:val="superscript"/>
        </w:rPr>
        <w:t>9</w:t>
      </w:r>
      <w:r>
        <w:rPr>
          <w:rFonts w:ascii="Times New Roman" w:hAnsi="Times New Roman" w:cs="Times New Roman"/>
        </w:rPr>
        <w:t>. Activation of this axis begins with the secretion of corticotropin-releasing hormone (CRH) from the hypothalamus, followed by adrenocorticotropic hormone (ACTH) release from the anterior pituitary gland, ultimately stimulating glucocorticoid pro</w:t>
      </w:r>
      <w:r w:rsidR="00484BB9">
        <w:rPr>
          <w:rFonts w:ascii="Times New Roman" w:hAnsi="Times New Roman" w:cs="Times New Roman"/>
        </w:rPr>
        <w:t>duction from the adrenal cortex</w:t>
      </w:r>
      <w:r w:rsidR="00484BB9" w:rsidRPr="00484BB9">
        <w:rPr>
          <w:rFonts w:ascii="Times New Roman" w:hAnsi="Times New Roman" w:cs="Times New Roman"/>
          <w:vertAlign w:val="superscript"/>
        </w:rPr>
        <w:t>8-10</w:t>
      </w:r>
      <w:r>
        <w:rPr>
          <w:rFonts w:ascii="Times New Roman" w:hAnsi="Times New Roman" w:cs="Times New Roman"/>
        </w:rPr>
        <w:t>.</w:t>
      </w:r>
    </w:p>
    <w:p w14:paraId="1A7D943B" w14:textId="5B174AAF" w:rsidR="00313162" w:rsidRDefault="00313162" w:rsidP="00E74DF1">
      <w:pPr>
        <w:spacing w:line="360" w:lineRule="auto"/>
        <w:jc w:val="both"/>
        <w:rPr>
          <w:rFonts w:ascii="Times New Roman" w:hAnsi="Times New Roman" w:cs="Times New Roman"/>
        </w:rPr>
      </w:pPr>
      <w:r>
        <w:rPr>
          <w:rFonts w:ascii="Times New Roman" w:hAnsi="Times New Roman" w:cs="Times New Roman"/>
        </w:rPr>
        <w:t>In rodents, corticosterone is the primary glucocorticoid hormone and plays a vital role in regulating metabolism, immune responses, and stress adaptation</w:t>
      </w:r>
      <w:r w:rsidR="00484BB9" w:rsidRPr="00484BB9">
        <w:rPr>
          <w:rFonts w:ascii="Times New Roman" w:hAnsi="Times New Roman" w:cs="Times New Roman"/>
          <w:vertAlign w:val="superscript"/>
        </w:rPr>
        <w:t>9</w:t>
      </w:r>
      <w:r>
        <w:rPr>
          <w:rFonts w:ascii="Times New Roman" w:hAnsi="Times New Roman" w:cs="Times New Roman"/>
        </w:rPr>
        <w:t>. Its secretion is tightly controlled through negative feedback mechanisms involving the hypothalamus, pituitary gland, and adrenal cortex</w:t>
      </w:r>
      <w:r w:rsidR="00484BB9" w:rsidRPr="00484BB9">
        <w:rPr>
          <w:rFonts w:ascii="Times New Roman" w:hAnsi="Times New Roman" w:cs="Times New Roman"/>
          <w:vertAlign w:val="superscript"/>
        </w:rPr>
        <w:t>9-10</w:t>
      </w:r>
      <w:r>
        <w:rPr>
          <w:rFonts w:ascii="Times New Roman" w:hAnsi="Times New Roman" w:cs="Times New Roman"/>
        </w:rPr>
        <w:t>. Disruption of this regulatory axis may lead to altered stress responses, metabolic imbalance, and immune dysfunction</w:t>
      </w:r>
      <w:r w:rsidR="00484BB9" w:rsidRPr="00484BB9">
        <w:rPr>
          <w:rFonts w:ascii="Times New Roman" w:hAnsi="Times New Roman" w:cs="Times New Roman"/>
          <w:vertAlign w:val="superscript"/>
        </w:rPr>
        <w:t>8</w:t>
      </w:r>
      <w:r>
        <w:rPr>
          <w:rFonts w:ascii="Times New Roman" w:hAnsi="Times New Roman" w:cs="Times New Roman"/>
        </w:rPr>
        <w:t>.</w:t>
      </w:r>
    </w:p>
    <w:p w14:paraId="10B48598" w14:textId="2039652D" w:rsidR="00313162" w:rsidRDefault="00313162" w:rsidP="00E74DF1">
      <w:pPr>
        <w:spacing w:line="360" w:lineRule="auto"/>
        <w:jc w:val="both"/>
        <w:rPr>
          <w:rFonts w:ascii="Times New Roman" w:hAnsi="Times New Roman" w:cs="Times New Roman"/>
        </w:rPr>
      </w:pPr>
      <w:r>
        <w:rPr>
          <w:rFonts w:ascii="Times New Roman" w:hAnsi="Times New Roman" w:cs="Times New Roman"/>
        </w:rPr>
        <w:lastRenderedPageBreak/>
        <w:t xml:space="preserve">The adrenal cortex, particularly the zona fasciculata, is highly dependent on mitochondrial function for steroid hormone </w:t>
      </w:r>
      <w:r w:rsidR="00DC28C9">
        <w:rPr>
          <w:rFonts w:ascii="Times New Roman" w:hAnsi="Times New Roman" w:cs="Times New Roman"/>
        </w:rPr>
        <w:t>biosynthesis</w:t>
      </w:r>
      <w:r w:rsidR="00F65450">
        <w:rPr>
          <w:rFonts w:ascii="Times New Roman" w:hAnsi="Times New Roman" w:cs="Times New Roman"/>
          <w:vertAlign w:val="superscript"/>
        </w:rPr>
        <w:t>11</w:t>
      </w:r>
      <w:r>
        <w:rPr>
          <w:rFonts w:ascii="Times New Roman" w:hAnsi="Times New Roman" w:cs="Times New Roman"/>
        </w:rPr>
        <w:t xml:space="preserve">. The rate-limiting step in glucocorticoid production involves the transport of cholesterol into mitochondria, where it is converted into pregnenolone, the precursor of all steroid hormones </w:t>
      </w:r>
      <w:r w:rsidR="00F30D40">
        <w:rPr>
          <w:rFonts w:ascii="Times New Roman" w:hAnsi="Times New Roman" w:cs="Times New Roman"/>
        </w:rPr>
        <w:t>i</w:t>
      </w:r>
      <w:r>
        <w:rPr>
          <w:rFonts w:ascii="Times New Roman" w:hAnsi="Times New Roman" w:cs="Times New Roman"/>
        </w:rPr>
        <w:t xml:space="preserve">s mitochondrial-dependent, any disruption in mitochondrial integrity can significantly affect corticosterone </w:t>
      </w:r>
      <w:r w:rsidR="00F30D40">
        <w:rPr>
          <w:rFonts w:ascii="Times New Roman" w:hAnsi="Times New Roman" w:cs="Times New Roman"/>
        </w:rPr>
        <w:t>synthesis</w:t>
      </w:r>
      <w:r w:rsidR="007076BD">
        <w:rPr>
          <w:rFonts w:ascii="Times New Roman" w:hAnsi="Times New Roman" w:cs="Times New Roman"/>
          <w:vertAlign w:val="superscript"/>
        </w:rPr>
        <w:t>12</w:t>
      </w:r>
      <w:r w:rsidR="00F30D40">
        <w:rPr>
          <w:rFonts w:ascii="Times New Roman" w:hAnsi="Times New Roman" w:cs="Times New Roman"/>
        </w:rPr>
        <w:t>.</w:t>
      </w:r>
    </w:p>
    <w:p w14:paraId="43A9326A" w14:textId="5D9DB390" w:rsidR="00313162" w:rsidRDefault="00313162" w:rsidP="00E74DF1">
      <w:pPr>
        <w:spacing w:line="360" w:lineRule="auto"/>
        <w:jc w:val="both"/>
        <w:rPr>
          <w:rFonts w:ascii="Times New Roman" w:hAnsi="Times New Roman" w:cs="Times New Roman"/>
        </w:rPr>
      </w:pPr>
      <w:r>
        <w:rPr>
          <w:rFonts w:ascii="Times New Roman" w:hAnsi="Times New Roman" w:cs="Times New Roman"/>
        </w:rPr>
        <w:t>Previous studies have demonstrated that oxidative stress can influence adrenal steroidogenesis in a dose-dependent manner</w:t>
      </w:r>
      <w:r w:rsidR="00A87E26">
        <w:rPr>
          <w:rFonts w:ascii="Times New Roman" w:hAnsi="Times New Roman" w:cs="Times New Roman"/>
        </w:rPr>
        <w:t>,</w:t>
      </w:r>
      <w:r w:rsidR="00615592">
        <w:rPr>
          <w:rFonts w:ascii="Times New Roman" w:hAnsi="Times New Roman" w:cs="Times New Roman"/>
        </w:rPr>
        <w:t xml:space="preserve"> by</w:t>
      </w:r>
      <w:r>
        <w:rPr>
          <w:rFonts w:ascii="Times New Roman" w:hAnsi="Times New Roman" w:cs="Times New Roman"/>
        </w:rPr>
        <w:t xml:space="preserve"> </w:t>
      </w:r>
      <w:r w:rsidR="00615592">
        <w:rPr>
          <w:rFonts w:ascii="Times New Roman" w:hAnsi="Times New Roman" w:cs="Times New Roman"/>
        </w:rPr>
        <w:t>stimulating</w:t>
      </w:r>
      <w:r>
        <w:rPr>
          <w:rFonts w:ascii="Times New Roman" w:hAnsi="Times New Roman" w:cs="Times New Roman"/>
        </w:rPr>
        <w:t xml:space="preserve"> adaptive glucocorticoid secretion</w:t>
      </w:r>
      <w:r w:rsidR="00CB4457">
        <w:rPr>
          <w:rFonts w:ascii="Times New Roman" w:hAnsi="Times New Roman" w:cs="Times New Roman"/>
        </w:rPr>
        <w:t xml:space="preserve"> in mild oxidative stress, </w:t>
      </w:r>
      <w:r>
        <w:rPr>
          <w:rFonts w:ascii="Times New Roman" w:hAnsi="Times New Roman" w:cs="Times New Roman"/>
        </w:rPr>
        <w:t>while severe oxidative stress can impair enzymatic activity and lead to reduced hormone synthesis⁸. This dual effect highlights the complexity of redox regulation in endocrine tissues and suggests that pharmacological agents capable of inducing oxidative stress may have indirect effects on hormonal balance</w:t>
      </w:r>
      <w:r w:rsidR="007076BD" w:rsidRPr="007076BD">
        <w:rPr>
          <w:rFonts w:ascii="Times New Roman" w:hAnsi="Times New Roman" w:cs="Times New Roman"/>
          <w:vertAlign w:val="superscript"/>
        </w:rPr>
        <w:t>13</w:t>
      </w:r>
      <w:r>
        <w:rPr>
          <w:rFonts w:ascii="Times New Roman" w:hAnsi="Times New Roman" w:cs="Times New Roman"/>
        </w:rPr>
        <w:t>.</w:t>
      </w:r>
    </w:p>
    <w:p w14:paraId="3359809F" w14:textId="7D7D40EE" w:rsidR="00313162" w:rsidRDefault="00313162" w:rsidP="00E74DF1">
      <w:pPr>
        <w:spacing w:line="360" w:lineRule="auto"/>
        <w:jc w:val="both"/>
        <w:rPr>
          <w:rFonts w:ascii="Times New Roman" w:hAnsi="Times New Roman" w:cs="Times New Roman"/>
        </w:rPr>
      </w:pPr>
      <w:r>
        <w:rPr>
          <w:rFonts w:ascii="Times New Roman" w:hAnsi="Times New Roman" w:cs="Times New Roman"/>
        </w:rPr>
        <w:t>In addition to peripheral adrenal effects, oxidative stress can also influence central components of the HPA axis</w:t>
      </w:r>
      <w:r w:rsidR="00D53DF1" w:rsidRPr="00D53DF1">
        <w:rPr>
          <w:rFonts w:ascii="Times New Roman" w:hAnsi="Times New Roman" w:cs="Times New Roman"/>
          <w:vertAlign w:val="superscript"/>
        </w:rPr>
        <w:t>14</w:t>
      </w:r>
      <w:r>
        <w:rPr>
          <w:rFonts w:ascii="Times New Roman" w:hAnsi="Times New Roman" w:cs="Times New Roman"/>
        </w:rPr>
        <w:t>. Reactive oxygen species have been shown to modulate hypothalamic neurons responsible for CRH secretion, thereby indirectly affecting ACTH release and downs</w:t>
      </w:r>
      <w:r w:rsidR="00D53DF1">
        <w:rPr>
          <w:rFonts w:ascii="Times New Roman" w:hAnsi="Times New Roman" w:cs="Times New Roman"/>
        </w:rPr>
        <w:t>tream glucocorticoid production</w:t>
      </w:r>
      <w:r w:rsidR="00D53DF1">
        <w:rPr>
          <w:rFonts w:ascii="Times New Roman" w:hAnsi="Times New Roman" w:cs="Times New Roman"/>
          <w:vertAlign w:val="superscript"/>
        </w:rPr>
        <w:t>15</w:t>
      </w:r>
      <w:r>
        <w:rPr>
          <w:rFonts w:ascii="Times New Roman" w:hAnsi="Times New Roman" w:cs="Times New Roman"/>
        </w:rPr>
        <w:t>. This indicates that oxidative imbalance may alter endocrine function at multiple regulatory levels</w:t>
      </w:r>
      <w:r w:rsidR="00D53DF1" w:rsidRPr="00D53DF1">
        <w:rPr>
          <w:rFonts w:ascii="Times New Roman" w:hAnsi="Times New Roman" w:cs="Times New Roman"/>
          <w:vertAlign w:val="superscript"/>
        </w:rPr>
        <w:t>8</w:t>
      </w:r>
      <w:r>
        <w:rPr>
          <w:rFonts w:ascii="Times New Roman" w:hAnsi="Times New Roman" w:cs="Times New Roman"/>
        </w:rPr>
        <w:t>.</w:t>
      </w:r>
    </w:p>
    <w:p w14:paraId="3AD34E07" w14:textId="148281D0" w:rsidR="00313162" w:rsidRDefault="00313162" w:rsidP="00A46F31">
      <w:pPr>
        <w:jc w:val="both"/>
        <w:rPr>
          <w:rFonts w:ascii="Times New Roman" w:hAnsi="Times New Roman" w:cs="Times New Roman"/>
        </w:rPr>
      </w:pPr>
      <w:r>
        <w:rPr>
          <w:rFonts w:ascii="Times New Roman" w:hAnsi="Times New Roman" w:cs="Times New Roman"/>
        </w:rPr>
        <w:t xml:space="preserve">Although Lamivudine is generally considered less toxic compared to other NRTIs, emerging evidence suggests that it may still contribute to oxidative </w:t>
      </w:r>
      <w:r w:rsidR="00D53DF1">
        <w:rPr>
          <w:rFonts w:ascii="Times New Roman" w:hAnsi="Times New Roman" w:cs="Times New Roman"/>
        </w:rPr>
        <w:t>stress under certain conditions</w:t>
      </w:r>
      <w:r w:rsidR="00D53DF1" w:rsidRPr="00D53DF1">
        <w:rPr>
          <w:rFonts w:ascii="Times New Roman" w:hAnsi="Times New Roman" w:cs="Times New Roman"/>
          <w:vertAlign w:val="superscript"/>
        </w:rPr>
        <w:t>5,16</w:t>
      </w:r>
      <w:r>
        <w:rPr>
          <w:rFonts w:ascii="Times New Roman" w:hAnsi="Times New Roman" w:cs="Times New Roman"/>
        </w:rPr>
        <w:t>. Experimental studies have reported alterations in antioxidant enzyme activity, increased lipid peroxidation, and mild histological changes in various tissue</w:t>
      </w:r>
      <w:r w:rsidR="00AE276C">
        <w:rPr>
          <w:rFonts w:ascii="Times New Roman" w:hAnsi="Times New Roman" w:cs="Times New Roman"/>
        </w:rPr>
        <w:t>s following Lamivudine exposure</w:t>
      </w:r>
      <w:r w:rsidR="00AE276C" w:rsidRPr="00AE276C">
        <w:rPr>
          <w:rFonts w:ascii="Times New Roman" w:hAnsi="Times New Roman" w:cs="Times New Roman"/>
          <w:vertAlign w:val="superscript"/>
        </w:rPr>
        <w:t>16</w:t>
      </w:r>
      <w:r>
        <w:rPr>
          <w:rFonts w:ascii="Times New Roman" w:hAnsi="Times New Roman" w:cs="Times New Roman"/>
        </w:rPr>
        <w:t xml:space="preserve">. </w:t>
      </w:r>
      <w:r w:rsidR="00AE276C">
        <w:rPr>
          <w:rFonts w:ascii="Times New Roman" w:hAnsi="Times New Roman" w:cs="Times New Roman"/>
        </w:rPr>
        <w:t xml:space="preserve">Similarly, </w:t>
      </w:r>
      <w:r w:rsidR="00AE276C" w:rsidRPr="00A45BC2">
        <w:rPr>
          <w:rFonts w:ascii="Times New Roman" w:hAnsi="Times New Roman" w:cs="Times New Roman"/>
        </w:rPr>
        <w:t xml:space="preserve">Lamivudine </w:t>
      </w:r>
      <w:r w:rsidR="00AE276C">
        <w:rPr>
          <w:rFonts w:ascii="Times New Roman" w:hAnsi="Times New Roman" w:cs="Times New Roman"/>
        </w:rPr>
        <w:t xml:space="preserve">has been reported to </w:t>
      </w:r>
      <w:r w:rsidR="00AE276C" w:rsidRPr="00A45BC2">
        <w:rPr>
          <w:rFonts w:ascii="Times New Roman" w:hAnsi="Times New Roman" w:cs="Times New Roman"/>
        </w:rPr>
        <w:t xml:space="preserve">produce </w:t>
      </w:r>
      <w:r w:rsidR="00AE276C">
        <w:rPr>
          <w:rFonts w:ascii="Times New Roman" w:hAnsi="Times New Roman" w:cs="Times New Roman"/>
        </w:rPr>
        <w:t xml:space="preserve">a </w:t>
      </w:r>
      <w:r w:rsidR="00AE276C" w:rsidRPr="00A45BC2">
        <w:rPr>
          <w:rFonts w:ascii="Times New Roman" w:hAnsi="Times New Roman" w:cs="Times New Roman"/>
        </w:rPr>
        <w:t>dose- and time-dependent alterations in hepatic enzymes (ALT, AST, and ALP) in albino rats, suggesting possible liver enzyme disruption and potential hepatocellular effects with prolonged exposure</w:t>
      </w:r>
      <w:r w:rsidR="00A46F31" w:rsidRPr="00A46F31">
        <w:rPr>
          <w:rFonts w:ascii="Times New Roman" w:hAnsi="Times New Roman" w:cs="Times New Roman"/>
          <w:vertAlign w:val="superscript"/>
        </w:rPr>
        <w:t>17</w:t>
      </w:r>
      <w:r w:rsidR="00AE276C" w:rsidRPr="00A45BC2">
        <w:rPr>
          <w:rFonts w:ascii="Times New Roman" w:hAnsi="Times New Roman" w:cs="Times New Roman"/>
        </w:rPr>
        <w:t>.</w:t>
      </w:r>
      <w:r w:rsidR="00A46F31">
        <w:rPr>
          <w:rFonts w:ascii="Times New Roman" w:hAnsi="Times New Roman" w:cs="Times New Roman"/>
        </w:rPr>
        <w:t xml:space="preserve"> </w:t>
      </w:r>
      <w:r w:rsidR="00A46F31" w:rsidRPr="00A45BC2">
        <w:rPr>
          <w:rFonts w:ascii="Times New Roman" w:hAnsi="Times New Roman" w:cs="Times New Roman"/>
        </w:rPr>
        <w:t>Lamivudine, as an NRTI, can alter mitochondrial activity and lipid metabolism by increasing lipid accumulation and reducing mitochondrial function in microglial cells, suggesting potential cellular metabolic disturbances associated with prolonged exposure</w:t>
      </w:r>
      <w:r w:rsidR="00A46F31" w:rsidRPr="00A46F31">
        <w:rPr>
          <w:rFonts w:ascii="Times New Roman" w:hAnsi="Times New Roman" w:cs="Times New Roman"/>
          <w:vertAlign w:val="superscript"/>
        </w:rPr>
        <w:t>18</w:t>
      </w:r>
      <w:r w:rsidR="00A46F31" w:rsidRPr="00A45BC2">
        <w:rPr>
          <w:rFonts w:ascii="Times New Roman" w:hAnsi="Times New Roman" w:cs="Times New Roman"/>
        </w:rPr>
        <w:t>.</w:t>
      </w:r>
      <w:r w:rsidR="00A46F31">
        <w:rPr>
          <w:rFonts w:ascii="Times New Roman" w:hAnsi="Times New Roman" w:cs="Times New Roman"/>
        </w:rPr>
        <w:t xml:space="preserve"> Furthermore, in a </w:t>
      </w:r>
      <w:r w:rsidR="00A46F31" w:rsidRPr="00054079">
        <w:rPr>
          <w:rFonts w:ascii="Times New Roman" w:hAnsi="Times New Roman" w:cs="Times New Roman"/>
        </w:rPr>
        <w:t xml:space="preserve">combined therapy involving Lamivudine as part of HAART aggravates oxidative hepatorenal damage by depleting glutathione, increasing lipid peroxidation, and enhancing </w:t>
      </w:r>
      <w:proofErr w:type="spellStart"/>
      <w:r w:rsidR="00A46F31" w:rsidRPr="00054079">
        <w:rPr>
          <w:rFonts w:ascii="Times New Roman" w:hAnsi="Times New Roman" w:cs="Times New Roman"/>
        </w:rPr>
        <w:t>nitrosative</w:t>
      </w:r>
      <w:proofErr w:type="spellEnd"/>
      <w:r w:rsidR="00A46F31" w:rsidRPr="00054079">
        <w:rPr>
          <w:rFonts w:ascii="Times New Roman" w:hAnsi="Times New Roman" w:cs="Times New Roman"/>
        </w:rPr>
        <w:t xml:space="preserve"> stress through dysregulation of the ADA/XO pathway, indicating increased oxidative toxicity in liver and kidney tissues under combination treatment</w:t>
      </w:r>
      <w:r w:rsidR="00A46F31">
        <w:rPr>
          <w:rFonts w:ascii="Times New Roman" w:hAnsi="Times New Roman" w:cs="Times New Roman"/>
        </w:rPr>
        <w:t xml:space="preserve"> was reported</w:t>
      </w:r>
      <w:r w:rsidR="00A46F31" w:rsidRPr="00A46F31">
        <w:rPr>
          <w:rFonts w:ascii="Times New Roman" w:hAnsi="Times New Roman" w:cs="Times New Roman"/>
          <w:vertAlign w:val="superscript"/>
        </w:rPr>
        <w:t>19</w:t>
      </w:r>
      <w:r w:rsidR="00A46F31" w:rsidRPr="00054079">
        <w:rPr>
          <w:rFonts w:ascii="Times New Roman" w:hAnsi="Times New Roman" w:cs="Times New Roman"/>
        </w:rPr>
        <w:t>.</w:t>
      </w:r>
      <w:r w:rsidR="00A46F31">
        <w:rPr>
          <w:rFonts w:ascii="Times New Roman" w:hAnsi="Times New Roman" w:cs="Times New Roman"/>
        </w:rPr>
        <w:t xml:space="preserve"> </w:t>
      </w:r>
      <w:r>
        <w:rPr>
          <w:rFonts w:ascii="Times New Roman" w:hAnsi="Times New Roman" w:cs="Times New Roman"/>
        </w:rPr>
        <w:t>However, its specific effects on adrenal function and corticosterone regulation remain insufficiently explored.</w:t>
      </w:r>
    </w:p>
    <w:p w14:paraId="48C7D104"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Given the widespread and often lifelong use of Lamivudine in clinical practice, understanding its potential endocrine effects is essential. The adrenal gland is a critical organ in stress regulation and metabolic control; therefore, even subtle alterations in its function may have physiological significance if sustained over time.</w:t>
      </w:r>
    </w:p>
    <w:p w14:paraId="743D0DF9" w14:textId="34AA6D55" w:rsidR="0075518C" w:rsidRDefault="00313162" w:rsidP="00E74DF1">
      <w:pPr>
        <w:spacing w:line="360" w:lineRule="auto"/>
        <w:jc w:val="both"/>
        <w:rPr>
          <w:rFonts w:ascii="Times New Roman" w:hAnsi="Times New Roman" w:cs="Times New Roman"/>
          <w:b/>
        </w:rPr>
      </w:pPr>
      <w:r>
        <w:rPr>
          <w:rFonts w:ascii="Times New Roman" w:hAnsi="Times New Roman" w:cs="Times New Roman"/>
        </w:rPr>
        <w:lastRenderedPageBreak/>
        <w:t>Therefore, this study aimed to investigate the effect of graded doses of Lamivudine on serum corticosterone levels and adrenal gland histology in adult male Wistar rats. By combining biochemical and histological approaches, the study seeks to provide a clearer understanding of whether Lamivudine has any measurable impact on adrenal endocrine function under experimental conditions.</w:t>
      </w:r>
      <w:r w:rsidR="001440CE" w:rsidRPr="001440CE">
        <w:rPr>
          <w:rFonts w:ascii="Times New Roman" w:hAnsi="Times New Roman" w:cs="Times New Roman"/>
        </w:rPr>
        <w:t>.</w:t>
      </w:r>
      <w:r w:rsidR="001440CE" w:rsidRPr="00973D59">
        <w:rPr>
          <w:rFonts w:ascii="Times New Roman" w:hAnsi="Times New Roman" w:cs="Times New Roman"/>
          <w:b/>
        </w:rPr>
        <w:t xml:space="preserve"> </w:t>
      </w:r>
    </w:p>
    <w:p w14:paraId="19EF3204" w14:textId="321895F1"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Materials and Methods</w:t>
      </w:r>
    </w:p>
    <w:p w14:paraId="085E9641" w14:textId="0A99A9B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Experimental Animals</w:t>
      </w:r>
    </w:p>
    <w:p w14:paraId="2FB6E413" w14:textId="4830E689" w:rsidR="00A71C42" w:rsidRPr="00973D59" w:rsidRDefault="00A71C42" w:rsidP="00E74DF1">
      <w:pPr>
        <w:spacing w:line="360" w:lineRule="auto"/>
        <w:jc w:val="both"/>
        <w:rPr>
          <w:rFonts w:ascii="Times New Roman" w:hAnsi="Times New Roman" w:cs="Times New Roman"/>
          <w:i/>
          <w:iCs/>
        </w:rPr>
      </w:pPr>
      <w:r w:rsidRPr="00973D59">
        <w:rPr>
          <w:rFonts w:ascii="Times New Roman" w:hAnsi="Times New Roman" w:cs="Times New Roman"/>
        </w:rPr>
        <w:t xml:space="preserve">Sixteen adult male Wistar rats aged 8–10 weeks and weighing between 150–200 g were used for this study. The animals were </w:t>
      </w:r>
      <w:r w:rsidR="00A46F31">
        <w:rPr>
          <w:rFonts w:ascii="Times New Roman" w:hAnsi="Times New Roman" w:cs="Times New Roman"/>
        </w:rPr>
        <w:t xml:space="preserve">procured and housed at the Animal facility of College of Health Sciences, Nnamdi Azikiwe University </w:t>
      </w:r>
      <w:proofErr w:type="spellStart"/>
      <w:r w:rsidR="00A46F31">
        <w:rPr>
          <w:rFonts w:ascii="Times New Roman" w:hAnsi="Times New Roman" w:cs="Times New Roman"/>
        </w:rPr>
        <w:t>Awka</w:t>
      </w:r>
      <w:proofErr w:type="spellEnd"/>
      <w:r w:rsidR="00A46F31">
        <w:rPr>
          <w:rFonts w:ascii="Times New Roman" w:hAnsi="Times New Roman" w:cs="Times New Roman"/>
        </w:rPr>
        <w:t>, Nnewi Campus</w:t>
      </w:r>
      <w:r w:rsidRPr="00973D59">
        <w:rPr>
          <w:rFonts w:ascii="Times New Roman" w:hAnsi="Times New Roman" w:cs="Times New Roman"/>
        </w:rPr>
        <w:t xml:space="preserve">. They were housed under controlled environmental conditions, including a temperature of 22–25°C, relative humidity of 50–60%, and a 12-hour light/dark cycle. Standard pellet diet and </w:t>
      </w:r>
      <w:r w:rsidR="00E124A0" w:rsidRPr="00973D59">
        <w:rPr>
          <w:rFonts w:ascii="Times New Roman" w:hAnsi="Times New Roman" w:cs="Times New Roman"/>
        </w:rPr>
        <w:t xml:space="preserve">distilled </w:t>
      </w:r>
      <w:r w:rsidRPr="00973D59">
        <w:rPr>
          <w:rFonts w:ascii="Times New Roman" w:hAnsi="Times New Roman" w:cs="Times New Roman"/>
        </w:rPr>
        <w:t xml:space="preserve">water were provided </w:t>
      </w:r>
      <w:r w:rsidRPr="00973D59">
        <w:rPr>
          <w:rFonts w:ascii="Times New Roman" w:hAnsi="Times New Roman" w:cs="Times New Roman"/>
          <w:i/>
          <w:iCs/>
        </w:rPr>
        <w:t>ad libitum.</w:t>
      </w:r>
    </w:p>
    <w:p w14:paraId="6EACD13D" w14:textId="43CE4834"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Experimental Design</w:t>
      </w:r>
    </w:p>
    <w:p w14:paraId="76E4163B"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The animals were randomly divided into four groups (n = 4 per group):</w:t>
      </w:r>
    </w:p>
    <w:p w14:paraId="2735C60D"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A (Control): Received distilled water</w:t>
      </w:r>
    </w:p>
    <w:p w14:paraId="54FBBADC"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B: Received 100 mg/kg Lamivudine</w:t>
      </w:r>
    </w:p>
    <w:p w14:paraId="583C7777"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C: Received 200 mg/kg Lamivudine</w:t>
      </w:r>
    </w:p>
    <w:p w14:paraId="22BFFF80" w14:textId="77777777" w:rsidR="00A71C42"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D: Received 400 mg/kg Lamivudine</w:t>
      </w:r>
    </w:p>
    <w:p w14:paraId="3EB7F95F" w14:textId="4B7717BB" w:rsidR="002E6ECC" w:rsidRDefault="002E6ECC" w:rsidP="00E74DF1">
      <w:pPr>
        <w:spacing w:line="360" w:lineRule="auto"/>
        <w:jc w:val="both"/>
        <w:rPr>
          <w:rFonts w:ascii="Times New Roman" w:hAnsi="Times New Roman" w:cs="Times New Roman"/>
        </w:rPr>
      </w:pPr>
      <w:r>
        <w:rPr>
          <w:rFonts w:ascii="Times New Roman" w:hAnsi="Times New Roman" w:cs="Times New Roman"/>
        </w:rPr>
        <w:t>The sample size was consistent with similar experimental toxicology studies and was considered sufficient to detect biologically relevant trends</w:t>
      </w:r>
      <w:r w:rsidR="00F0139C" w:rsidRPr="00F0139C">
        <w:rPr>
          <w:rFonts w:ascii="Times New Roman" w:hAnsi="Times New Roman" w:cs="Times New Roman"/>
          <w:vertAlign w:val="superscript"/>
        </w:rPr>
        <w:t>17</w:t>
      </w:r>
      <w:r>
        <w:rPr>
          <w:rFonts w:ascii="Times New Roman" w:hAnsi="Times New Roman" w:cs="Times New Roman"/>
        </w:rPr>
        <w:t>.</w:t>
      </w:r>
    </w:p>
    <w:p w14:paraId="62678B28" w14:textId="77777777" w:rsidR="00202FE9" w:rsidRPr="00202FE9" w:rsidRDefault="00202FE9" w:rsidP="00202FE9">
      <w:pPr>
        <w:spacing w:line="360" w:lineRule="auto"/>
        <w:jc w:val="both"/>
        <w:rPr>
          <w:rFonts w:ascii="Times New Roman" w:hAnsi="Times New Roman" w:cs="Times New Roman"/>
          <w:b/>
          <w:bCs/>
        </w:rPr>
      </w:pPr>
      <w:r w:rsidRPr="00202FE9">
        <w:rPr>
          <w:rFonts w:ascii="Times New Roman" w:hAnsi="Times New Roman" w:cs="Times New Roman"/>
          <w:b/>
          <w:bCs/>
        </w:rPr>
        <w:t>Acute Toxicity Test for Lamivudine</w:t>
      </w:r>
    </w:p>
    <w:p w14:paraId="20B1D162" w14:textId="3438D992" w:rsidR="00202FE9" w:rsidRPr="00973D59" w:rsidRDefault="00202FE9" w:rsidP="00E74DF1">
      <w:pPr>
        <w:spacing w:line="360" w:lineRule="auto"/>
        <w:jc w:val="both"/>
        <w:rPr>
          <w:rFonts w:ascii="Times New Roman" w:hAnsi="Times New Roman" w:cs="Times New Roman"/>
        </w:rPr>
      </w:pPr>
      <w:r w:rsidRPr="00202FE9">
        <w:rPr>
          <w:rFonts w:ascii="Times New Roman" w:hAnsi="Times New Roman" w:cs="Times New Roman"/>
        </w:rPr>
        <w:t>An acute toxicity (LD₅₀) study was conducted</w:t>
      </w:r>
      <w:r w:rsidR="00F0139C">
        <w:rPr>
          <w:rFonts w:ascii="Times New Roman" w:hAnsi="Times New Roman" w:cs="Times New Roman"/>
        </w:rPr>
        <w:t xml:space="preserve"> using the method as described by </w:t>
      </w:r>
      <w:proofErr w:type="spellStart"/>
      <w:r w:rsidR="00F0139C">
        <w:rPr>
          <w:rFonts w:ascii="Times New Roman" w:hAnsi="Times New Roman" w:cs="Times New Roman"/>
        </w:rPr>
        <w:t>Lorke</w:t>
      </w:r>
      <w:proofErr w:type="spellEnd"/>
      <w:r w:rsidR="00F0139C">
        <w:rPr>
          <w:rFonts w:ascii="Times New Roman" w:hAnsi="Times New Roman" w:cs="Times New Roman"/>
        </w:rPr>
        <w:t xml:space="preserve"> (1983),</w:t>
      </w:r>
      <w:r w:rsidRPr="00202FE9">
        <w:rPr>
          <w:rFonts w:ascii="Times New Roman" w:hAnsi="Times New Roman" w:cs="Times New Roman"/>
        </w:rPr>
        <w:t xml:space="preserve"> to evaluate the safety profile and determine the median lethal dose of Lamivudine in experimental rats.</w:t>
      </w:r>
      <w:r w:rsidR="001F10BE">
        <w:rPr>
          <w:rFonts w:ascii="Times New Roman" w:hAnsi="Times New Roman" w:cs="Times New Roman"/>
        </w:rPr>
        <w:t xml:space="preserve"> </w:t>
      </w:r>
      <w:r w:rsidR="001F10BE" w:rsidRPr="001F10BE">
        <w:rPr>
          <w:rFonts w:ascii="Times New Roman" w:hAnsi="Times New Roman" w:cs="Times New Roman"/>
        </w:rPr>
        <w:t>The outcome of the acute toxicity study provided essential information on the safety margin of Lamivudine and was subsequently used to guide the selection of safe and appropriate experimental doses administered to the various treatment groups in the main study.</w:t>
      </w:r>
    </w:p>
    <w:p w14:paraId="3AB9A139" w14:textId="17621DD6"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Drug Administration</w:t>
      </w:r>
    </w:p>
    <w:p w14:paraId="4ADB23E2" w14:textId="523CD92A" w:rsidR="0054293F" w:rsidRDefault="006E40B6" w:rsidP="00E74DF1">
      <w:pPr>
        <w:spacing w:line="360" w:lineRule="auto"/>
        <w:jc w:val="both"/>
        <w:rPr>
          <w:rFonts w:ascii="Times New Roman" w:hAnsi="Times New Roman" w:cs="Times New Roman"/>
        </w:rPr>
      </w:pPr>
      <w:r w:rsidRPr="006E40B6">
        <w:rPr>
          <w:rFonts w:ascii="Times New Roman" w:hAnsi="Times New Roman" w:cs="Times New Roman"/>
        </w:rPr>
        <w:lastRenderedPageBreak/>
        <w:t>Lamivudine was administered orally once daily for 30 consecutive days using an oral gavage to ensure accurate dosing.</w:t>
      </w:r>
      <w:r w:rsidR="002E0FD0">
        <w:rPr>
          <w:rFonts w:ascii="Times New Roman" w:hAnsi="Times New Roman" w:cs="Times New Roman"/>
        </w:rPr>
        <w:t xml:space="preserve"> </w:t>
      </w:r>
      <w:r w:rsidR="00BA1DB1">
        <w:rPr>
          <w:rFonts w:ascii="Times New Roman" w:hAnsi="Times New Roman" w:cs="Times New Roman"/>
        </w:rPr>
        <w:t>Oral administration was chosen to simulate the clinical route of drug intake in humans and to ensure consistent dosing.</w:t>
      </w:r>
      <w:r w:rsidR="002E0FD0" w:rsidRPr="006E40B6">
        <w:rPr>
          <w:rFonts w:ascii="Times New Roman" w:hAnsi="Times New Roman" w:cs="Times New Roman"/>
        </w:rPr>
        <w:t xml:space="preserve"> </w:t>
      </w:r>
      <w:r w:rsidRPr="006E40B6">
        <w:rPr>
          <w:rFonts w:ascii="Times New Roman" w:hAnsi="Times New Roman" w:cs="Times New Roman"/>
        </w:rPr>
        <w:t xml:space="preserve">The dosage selection was based on previous experimental studies </w:t>
      </w:r>
      <w:r w:rsidR="0048176B">
        <w:rPr>
          <w:rFonts w:ascii="Times New Roman" w:hAnsi="Times New Roman" w:cs="Times New Roman"/>
        </w:rPr>
        <w:t>and the outcome of the acute toxicity study.</w:t>
      </w:r>
    </w:p>
    <w:p w14:paraId="66E277F1" w14:textId="189297E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Sample Collection</w:t>
      </w:r>
    </w:p>
    <w:p w14:paraId="2E8068E6" w14:textId="4C20675A" w:rsidR="006E6D23" w:rsidRPr="00973D59" w:rsidRDefault="006E6D23" w:rsidP="00E74DF1">
      <w:pPr>
        <w:spacing w:line="360" w:lineRule="auto"/>
        <w:jc w:val="both"/>
        <w:rPr>
          <w:rFonts w:ascii="Times New Roman" w:hAnsi="Times New Roman" w:cs="Times New Roman"/>
        </w:rPr>
      </w:pPr>
      <w:r w:rsidRPr="00973D59">
        <w:rPr>
          <w:rFonts w:ascii="Times New Roman" w:hAnsi="Times New Roman" w:cs="Times New Roman"/>
        </w:rPr>
        <w:t xml:space="preserve">Blood samples were collected at the end of the experimental period </w:t>
      </w:r>
      <w:r w:rsidR="00E74DF1" w:rsidRPr="00973D59">
        <w:rPr>
          <w:rFonts w:ascii="Times New Roman" w:hAnsi="Times New Roman" w:cs="Times New Roman"/>
        </w:rPr>
        <w:t xml:space="preserve">via ocular puncture under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xml:space="preserve">. The animals were anesthetized using </w:t>
      </w:r>
      <w:proofErr w:type="spellStart"/>
      <w:r w:rsidRPr="00973D59">
        <w:rPr>
          <w:rFonts w:ascii="Times New Roman" w:hAnsi="Times New Roman" w:cs="Times New Roman"/>
        </w:rPr>
        <w:t>Katemine</w:t>
      </w:r>
      <w:proofErr w:type="spellEnd"/>
      <w:r w:rsidRPr="00973D59">
        <w:rPr>
          <w:rFonts w:ascii="Times New Roman" w:hAnsi="Times New Roman" w:cs="Times New Roman"/>
        </w:rPr>
        <w:t xml:space="preserve"> </w:t>
      </w:r>
      <w:r w:rsidR="00684617">
        <w:rPr>
          <w:rFonts w:ascii="Times New Roman" w:hAnsi="Times New Roman" w:cs="Times New Roman"/>
        </w:rPr>
        <w:t>(</w:t>
      </w:r>
      <w:r w:rsidRPr="00973D59">
        <w:rPr>
          <w:rFonts w:ascii="Times New Roman" w:hAnsi="Times New Roman" w:cs="Times New Roman"/>
        </w:rPr>
        <w:t>50</w:t>
      </w:r>
      <w:r w:rsidR="00F0139C">
        <w:rPr>
          <w:rFonts w:ascii="Times New Roman" w:hAnsi="Times New Roman" w:cs="Times New Roman"/>
        </w:rPr>
        <w:t xml:space="preserve"> </w:t>
      </w:r>
      <w:r w:rsidRPr="00973D59">
        <w:rPr>
          <w:rFonts w:ascii="Times New Roman" w:hAnsi="Times New Roman" w:cs="Times New Roman"/>
        </w:rPr>
        <w:t>mg/kg</w:t>
      </w:r>
      <w:r w:rsidR="00684617">
        <w:rPr>
          <w:rFonts w:ascii="Times New Roman" w:hAnsi="Times New Roman" w:cs="Times New Roman"/>
        </w:rPr>
        <w:t>)</w:t>
      </w:r>
      <w:r w:rsidRPr="00973D59">
        <w:rPr>
          <w:rFonts w:ascii="Times New Roman" w:hAnsi="Times New Roman" w:cs="Times New Roman"/>
        </w:rPr>
        <w:t xml:space="preserve"> injection intraperitoneally. This dosage was selected to ensure rapid onset of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loss of consciousness, and complete abolition of pain perception and reflex responses.</w:t>
      </w:r>
    </w:p>
    <w:p w14:paraId="192040EE" w14:textId="1DC50A71" w:rsidR="00A71C42" w:rsidRPr="00973D59" w:rsidRDefault="006E6D23" w:rsidP="00E74DF1">
      <w:pPr>
        <w:spacing w:line="360" w:lineRule="auto"/>
        <w:jc w:val="both"/>
        <w:rPr>
          <w:rFonts w:ascii="Times New Roman" w:hAnsi="Times New Roman" w:cs="Times New Roman"/>
        </w:rPr>
      </w:pPr>
      <w:r w:rsidRPr="00973D59">
        <w:rPr>
          <w:rFonts w:ascii="Times New Roman" w:hAnsi="Times New Roman" w:cs="Times New Roman"/>
        </w:rPr>
        <w:t xml:space="preserve">Following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blood samples were obtained through ocular puncture using a capillary tube. The collected blood was transferred into plain sample bottles and allowed to clot. Serum was subsequently separated by centrifugation at 3000 rpm for 10 minutes and stored at −20°C until further biochemical analysis.</w:t>
      </w:r>
    </w:p>
    <w:p w14:paraId="05679EEA" w14:textId="2DDDB4F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Hormonal Assay</w:t>
      </w:r>
    </w:p>
    <w:p w14:paraId="74688B19" w14:textId="77777777" w:rsidR="00123027" w:rsidRDefault="00123027" w:rsidP="00E74DF1">
      <w:pPr>
        <w:spacing w:line="360" w:lineRule="auto"/>
        <w:jc w:val="both"/>
        <w:rPr>
          <w:rFonts w:ascii="Times New Roman" w:hAnsi="Times New Roman" w:cs="Times New Roman"/>
          <w:b/>
        </w:rPr>
      </w:pPr>
      <w:r w:rsidRPr="00123027">
        <w:rPr>
          <w:rFonts w:ascii="Times New Roman" w:hAnsi="Times New Roman" w:cs="Times New Roman"/>
        </w:rPr>
        <w:t>Serum corticosterone levels were measured using a commercially available ELISA kit, which provides high sensitivity and specificity for hormone quantification. The assay is based on antigen-antibody interaction and allows for accurate measurement of corticosterone concentration.</w:t>
      </w:r>
      <w:r w:rsidRPr="00973D59">
        <w:rPr>
          <w:rFonts w:ascii="Times New Roman" w:hAnsi="Times New Roman" w:cs="Times New Roman"/>
          <w:b/>
        </w:rPr>
        <w:t xml:space="preserve"> </w:t>
      </w:r>
    </w:p>
    <w:p w14:paraId="336D1EE4" w14:textId="47FDF338"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Histological Analysis</w:t>
      </w:r>
    </w:p>
    <w:p w14:paraId="691E0294" w14:textId="77777777" w:rsidR="0058589C" w:rsidRDefault="00A413CA" w:rsidP="00E74DF1">
      <w:pPr>
        <w:spacing w:line="360" w:lineRule="auto"/>
        <w:jc w:val="both"/>
        <w:rPr>
          <w:rFonts w:ascii="Times New Roman" w:hAnsi="Times New Roman" w:cs="Times New Roman"/>
          <w:b/>
        </w:rPr>
      </w:pPr>
      <w:r w:rsidRPr="00A413CA">
        <w:rPr>
          <w:rFonts w:ascii="Times New Roman" w:hAnsi="Times New Roman" w:cs="Times New Roman"/>
        </w:rPr>
        <w:t xml:space="preserve">Following blood collection, adrenal glands were carefully dissected, fixed in 10% formalin, and processed using standard histological techniques. Tissue sections were stained with </w:t>
      </w:r>
      <w:proofErr w:type="spellStart"/>
      <w:r w:rsidRPr="00A413CA">
        <w:rPr>
          <w:rFonts w:ascii="Times New Roman" w:hAnsi="Times New Roman" w:cs="Times New Roman"/>
        </w:rPr>
        <w:t>hematoxylin</w:t>
      </w:r>
      <w:proofErr w:type="spellEnd"/>
      <w:r w:rsidRPr="00A413CA">
        <w:rPr>
          <w:rFonts w:ascii="Times New Roman" w:hAnsi="Times New Roman" w:cs="Times New Roman"/>
        </w:rPr>
        <w:t xml:space="preserve"> and eosin and examined under a light microscope for structural changes, including cellular integrity, lipid accumulation, and tissue organization.</w:t>
      </w:r>
      <w:r w:rsidRPr="00973D59">
        <w:rPr>
          <w:rFonts w:ascii="Times New Roman" w:hAnsi="Times New Roman" w:cs="Times New Roman"/>
          <w:b/>
        </w:rPr>
        <w:t xml:space="preserve"> </w:t>
      </w:r>
    </w:p>
    <w:p w14:paraId="46A2BF6F" w14:textId="3333E67C"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Statistical Analysis</w:t>
      </w:r>
    </w:p>
    <w:p w14:paraId="710236B0" w14:textId="64642D45" w:rsidR="00A71C42" w:rsidRPr="00973D59" w:rsidRDefault="007B1D50" w:rsidP="00E74DF1">
      <w:pPr>
        <w:spacing w:line="360" w:lineRule="auto"/>
        <w:jc w:val="both"/>
        <w:rPr>
          <w:rFonts w:ascii="Times New Roman" w:hAnsi="Times New Roman" w:cs="Times New Roman"/>
          <w:b/>
        </w:rPr>
      </w:pPr>
      <w:r w:rsidRPr="007B1D50">
        <w:rPr>
          <w:rFonts w:ascii="Times New Roman" w:hAnsi="Times New Roman" w:cs="Times New Roman"/>
        </w:rPr>
        <w:t>Data were expressed as mean ± standard error of mean (SEM). Statistical analysis was performed using one-way analysis of variance (ANOVA) followed by least significant difference (LSD) post hoc test. Differences were considered statistically significant at p ≤ 0.05.</w:t>
      </w:r>
      <w:r w:rsidRPr="00973D59">
        <w:rPr>
          <w:rFonts w:ascii="Times New Roman" w:hAnsi="Times New Roman" w:cs="Times New Roman"/>
          <w:b/>
        </w:rPr>
        <w:t xml:space="preserve"> </w:t>
      </w:r>
      <w:r w:rsidR="00A71C42" w:rsidRPr="00973D59">
        <w:rPr>
          <w:rFonts w:ascii="Times New Roman" w:hAnsi="Times New Roman" w:cs="Times New Roman"/>
          <w:b/>
        </w:rPr>
        <w:t>Results</w:t>
      </w:r>
    </w:p>
    <w:p w14:paraId="259B4FC7" w14:textId="77777777" w:rsidR="00E74DF1" w:rsidRPr="00973D59" w:rsidRDefault="00E74DF1" w:rsidP="00E74DF1">
      <w:pPr>
        <w:pStyle w:val="Heading1"/>
        <w:spacing w:before="0" w:line="360" w:lineRule="auto"/>
        <w:jc w:val="both"/>
        <w:rPr>
          <w:rStyle w:val="Strong"/>
          <w:rFonts w:ascii="Times New Roman" w:hAnsi="Times New Roman" w:cs="Times New Roman"/>
          <w:bCs w:val="0"/>
          <w:color w:val="auto"/>
          <w:sz w:val="24"/>
          <w:szCs w:val="24"/>
        </w:rPr>
      </w:pPr>
      <w:r w:rsidRPr="00973D59">
        <w:rPr>
          <w:rStyle w:val="Strong"/>
          <w:rFonts w:ascii="Times New Roman" w:hAnsi="Times New Roman" w:cs="Times New Roman"/>
          <w:color w:val="auto"/>
          <w:sz w:val="24"/>
          <w:szCs w:val="24"/>
        </w:rPr>
        <w:lastRenderedPageBreak/>
        <w:t>Serum Corticosterone Levels</w:t>
      </w:r>
    </w:p>
    <w:p w14:paraId="6CF49456" w14:textId="679FA1C7" w:rsidR="00E74DF1" w:rsidRPr="00973D59" w:rsidRDefault="003D7209" w:rsidP="00E74DF1">
      <w:pPr>
        <w:pStyle w:val="Heading3"/>
        <w:rPr>
          <w:rFonts w:ascii="Times New Roman" w:hAnsi="Times New Roman" w:cs="Times New Roman"/>
          <w:color w:val="auto"/>
          <w:sz w:val="24"/>
          <w:szCs w:val="24"/>
        </w:rPr>
      </w:pPr>
      <w:r w:rsidRPr="003D7209">
        <w:rPr>
          <w:rFonts w:ascii="Times New Roman" w:hAnsi="Times New Roman" w:cs="Times New Roman"/>
          <w:color w:val="auto"/>
          <w:sz w:val="24"/>
          <w:szCs w:val="24"/>
        </w:rPr>
        <w:t>Lamivudine-treated groups showed a mild increase in corticosterone levels compared to control; however, no statistically significant differences were observed</w:t>
      </w:r>
      <w:r w:rsidR="00AC0529">
        <w:rPr>
          <w:rFonts w:ascii="Times New Roman" w:hAnsi="Times New Roman" w:cs="Times New Roman"/>
          <w:color w:val="auto"/>
          <w:sz w:val="24"/>
          <w:szCs w:val="24"/>
        </w:rPr>
        <w:t xml:space="preserve"> as shown below </w:t>
      </w:r>
      <w:r w:rsidRPr="003D7209">
        <w:rPr>
          <w:rFonts w:ascii="Times New Roman" w:hAnsi="Times New Roman" w:cs="Times New Roman"/>
          <w:color w:val="auto"/>
          <w:sz w:val="24"/>
          <w:szCs w:val="24"/>
        </w:rPr>
        <w:t>.</w:t>
      </w:r>
      <w:r w:rsidRPr="00973D59">
        <w:rPr>
          <w:rStyle w:val="Strong"/>
          <w:rFonts w:ascii="Times New Roman" w:hAnsi="Times New Roman" w:cs="Times New Roman"/>
          <w:color w:val="auto"/>
          <w:sz w:val="24"/>
          <w:szCs w:val="24"/>
        </w:rPr>
        <w:t xml:space="preserve"> </w:t>
      </w:r>
      <w:r w:rsidR="00684617">
        <w:rPr>
          <w:rStyle w:val="Strong"/>
          <w:rFonts w:ascii="Times New Roman" w:hAnsi="Times New Roman" w:cs="Times New Roman"/>
          <w:color w:val="auto"/>
          <w:sz w:val="24"/>
          <w:szCs w:val="24"/>
        </w:rPr>
        <w:t xml:space="preserve">Table 1: </w:t>
      </w:r>
      <w:r w:rsidR="00684617" w:rsidRPr="00684617">
        <w:rPr>
          <w:rStyle w:val="Strong"/>
          <w:rFonts w:ascii="Times New Roman" w:hAnsi="Times New Roman" w:cs="Times New Roman"/>
          <w:b w:val="0"/>
          <w:color w:val="auto"/>
          <w:sz w:val="24"/>
          <w:szCs w:val="24"/>
        </w:rPr>
        <w:t>Serum Corticosterone L</w:t>
      </w:r>
      <w:r w:rsidR="00E74DF1" w:rsidRPr="00684617">
        <w:rPr>
          <w:rStyle w:val="Strong"/>
          <w:rFonts w:ascii="Times New Roman" w:hAnsi="Times New Roman" w:cs="Times New Roman"/>
          <w:b w:val="0"/>
          <w:color w:val="auto"/>
          <w:sz w:val="24"/>
          <w:szCs w:val="24"/>
        </w:rPr>
        <w:t>evels</w:t>
      </w:r>
      <w:r w:rsidR="00684617">
        <w:rPr>
          <w:rStyle w:val="Strong"/>
          <w:rFonts w:ascii="Times New Roman" w:hAnsi="Times New Roman" w:cs="Times New Roman"/>
          <w:color w:val="auto"/>
          <w:sz w:val="24"/>
          <w:szCs w:val="24"/>
        </w:rPr>
        <w:t>.</w:t>
      </w:r>
    </w:p>
    <w:tbl>
      <w:tblPr>
        <w:tblW w:w="8779" w:type="dxa"/>
        <w:tblCellSpacing w:w="15" w:type="dxa"/>
        <w:tblCellMar>
          <w:top w:w="15" w:type="dxa"/>
          <w:left w:w="15" w:type="dxa"/>
          <w:bottom w:w="15" w:type="dxa"/>
          <w:right w:w="15" w:type="dxa"/>
        </w:tblCellMar>
        <w:tblLook w:val="04A0" w:firstRow="1" w:lastRow="0" w:firstColumn="1" w:lastColumn="0" w:noHBand="0" w:noVBand="1"/>
      </w:tblPr>
      <w:tblGrid>
        <w:gridCol w:w="2209"/>
        <w:gridCol w:w="6570"/>
      </w:tblGrid>
      <w:tr w:rsidR="00E74DF1" w:rsidRPr="00973D59" w14:paraId="707BC739" w14:textId="77777777" w:rsidTr="00684617">
        <w:trPr>
          <w:trHeight w:val="248"/>
          <w:tblHeader/>
          <w:tblCellSpacing w:w="15" w:type="dxa"/>
        </w:trPr>
        <w:tc>
          <w:tcPr>
            <w:tcW w:w="0" w:type="auto"/>
            <w:tcBorders>
              <w:top w:val="single" w:sz="4" w:space="0" w:color="auto"/>
              <w:bottom w:val="single" w:sz="4" w:space="0" w:color="auto"/>
            </w:tcBorders>
            <w:vAlign w:val="center"/>
            <w:hideMark/>
          </w:tcPr>
          <w:p w14:paraId="7DEB99CE" w14:textId="77777777" w:rsidR="00E74DF1" w:rsidRPr="00973D59" w:rsidRDefault="00E74DF1" w:rsidP="00684617">
            <w:pPr>
              <w:spacing w:after="0" w:line="240" w:lineRule="auto"/>
              <w:rPr>
                <w:rFonts w:ascii="Times New Roman" w:eastAsia="Times New Roman" w:hAnsi="Times New Roman" w:cs="Times New Roman"/>
                <w:b/>
                <w:bCs/>
              </w:rPr>
            </w:pPr>
            <w:r w:rsidRPr="00973D59">
              <w:rPr>
                <w:rFonts w:ascii="Times New Roman" w:eastAsia="Times New Roman" w:hAnsi="Times New Roman" w:cs="Times New Roman"/>
                <w:b/>
                <w:bCs/>
              </w:rPr>
              <w:t>Group</w:t>
            </w:r>
          </w:p>
        </w:tc>
        <w:tc>
          <w:tcPr>
            <w:tcW w:w="0" w:type="auto"/>
            <w:tcBorders>
              <w:top w:val="single" w:sz="4" w:space="0" w:color="auto"/>
              <w:bottom w:val="single" w:sz="4" w:space="0" w:color="auto"/>
            </w:tcBorders>
            <w:vAlign w:val="center"/>
            <w:hideMark/>
          </w:tcPr>
          <w:p w14:paraId="527869B3" w14:textId="77777777" w:rsidR="00E74DF1" w:rsidRPr="00973D59" w:rsidRDefault="00E74DF1" w:rsidP="00684617">
            <w:pPr>
              <w:spacing w:after="0" w:line="240" w:lineRule="auto"/>
              <w:rPr>
                <w:rFonts w:ascii="Times New Roman" w:eastAsia="Times New Roman" w:hAnsi="Times New Roman" w:cs="Times New Roman"/>
                <w:b/>
                <w:bCs/>
              </w:rPr>
            </w:pPr>
            <w:r w:rsidRPr="00973D59">
              <w:rPr>
                <w:rFonts w:ascii="Times New Roman" w:eastAsia="Times New Roman" w:hAnsi="Times New Roman" w:cs="Times New Roman"/>
                <w:b/>
                <w:bCs/>
              </w:rPr>
              <w:t>Corticosterone (</w:t>
            </w:r>
            <w:proofErr w:type="spellStart"/>
            <w:r w:rsidRPr="00973D59">
              <w:rPr>
                <w:rFonts w:ascii="Times New Roman" w:eastAsia="Times New Roman" w:hAnsi="Times New Roman" w:cs="Times New Roman"/>
                <w:b/>
                <w:bCs/>
              </w:rPr>
              <w:t>pg</w:t>
            </w:r>
            <w:proofErr w:type="spellEnd"/>
            <w:r w:rsidRPr="00973D59">
              <w:rPr>
                <w:rFonts w:ascii="Times New Roman" w:eastAsia="Times New Roman" w:hAnsi="Times New Roman" w:cs="Times New Roman"/>
                <w:b/>
                <w:bCs/>
              </w:rPr>
              <w:t>/mg protein)</w:t>
            </w:r>
          </w:p>
        </w:tc>
      </w:tr>
      <w:tr w:rsidR="00E74DF1" w:rsidRPr="00973D59" w14:paraId="52334824" w14:textId="77777777" w:rsidTr="00684617">
        <w:trPr>
          <w:trHeight w:val="238"/>
          <w:tblCellSpacing w:w="15" w:type="dxa"/>
        </w:trPr>
        <w:tc>
          <w:tcPr>
            <w:tcW w:w="0" w:type="auto"/>
            <w:vAlign w:val="center"/>
            <w:hideMark/>
          </w:tcPr>
          <w:p w14:paraId="5796D5AF"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Control</w:t>
            </w:r>
          </w:p>
        </w:tc>
        <w:tc>
          <w:tcPr>
            <w:tcW w:w="0" w:type="auto"/>
            <w:vAlign w:val="center"/>
            <w:hideMark/>
          </w:tcPr>
          <w:p w14:paraId="50907DB4"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11.992 ± 2.684</w:t>
            </w:r>
          </w:p>
        </w:tc>
      </w:tr>
      <w:tr w:rsidR="00E74DF1" w:rsidRPr="00973D59" w14:paraId="6D4250FD" w14:textId="77777777" w:rsidTr="00684617">
        <w:trPr>
          <w:trHeight w:val="248"/>
          <w:tblCellSpacing w:w="15" w:type="dxa"/>
        </w:trPr>
        <w:tc>
          <w:tcPr>
            <w:tcW w:w="0" w:type="auto"/>
            <w:vAlign w:val="center"/>
            <w:hideMark/>
          </w:tcPr>
          <w:p w14:paraId="1463808C"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100 mg/kg</w:t>
            </w:r>
          </w:p>
        </w:tc>
        <w:tc>
          <w:tcPr>
            <w:tcW w:w="0" w:type="auto"/>
            <w:vAlign w:val="center"/>
            <w:hideMark/>
          </w:tcPr>
          <w:p w14:paraId="48472AD0"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13.116 ± 3.938</w:t>
            </w:r>
          </w:p>
        </w:tc>
      </w:tr>
      <w:tr w:rsidR="00E74DF1" w:rsidRPr="00973D59" w14:paraId="1453F24F" w14:textId="77777777" w:rsidTr="00684617">
        <w:trPr>
          <w:trHeight w:val="238"/>
          <w:tblCellSpacing w:w="15" w:type="dxa"/>
        </w:trPr>
        <w:tc>
          <w:tcPr>
            <w:tcW w:w="0" w:type="auto"/>
            <w:vAlign w:val="center"/>
            <w:hideMark/>
          </w:tcPr>
          <w:p w14:paraId="2429FB8A"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200 mg/kg</w:t>
            </w:r>
          </w:p>
        </w:tc>
        <w:tc>
          <w:tcPr>
            <w:tcW w:w="0" w:type="auto"/>
            <w:vAlign w:val="center"/>
            <w:hideMark/>
          </w:tcPr>
          <w:p w14:paraId="79A399E5"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13.785 ± 3.489</w:t>
            </w:r>
          </w:p>
        </w:tc>
      </w:tr>
      <w:tr w:rsidR="00E74DF1" w:rsidRPr="00973D59" w14:paraId="520147BE" w14:textId="77777777" w:rsidTr="00684617">
        <w:trPr>
          <w:trHeight w:val="238"/>
          <w:tblCellSpacing w:w="15" w:type="dxa"/>
        </w:trPr>
        <w:tc>
          <w:tcPr>
            <w:tcW w:w="0" w:type="auto"/>
            <w:tcBorders>
              <w:bottom w:val="single" w:sz="4" w:space="0" w:color="auto"/>
            </w:tcBorders>
            <w:vAlign w:val="center"/>
            <w:hideMark/>
          </w:tcPr>
          <w:p w14:paraId="73838DF3"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400 mg/kg</w:t>
            </w:r>
          </w:p>
        </w:tc>
        <w:tc>
          <w:tcPr>
            <w:tcW w:w="0" w:type="auto"/>
            <w:tcBorders>
              <w:bottom w:val="single" w:sz="4" w:space="0" w:color="auto"/>
            </w:tcBorders>
            <w:vAlign w:val="center"/>
            <w:hideMark/>
          </w:tcPr>
          <w:p w14:paraId="18E98789"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13.807 ± 2.462</w:t>
            </w:r>
          </w:p>
        </w:tc>
      </w:tr>
    </w:tbl>
    <w:p w14:paraId="162A2DFA" w14:textId="77777777" w:rsidR="00E74DF1" w:rsidRPr="00973D59" w:rsidRDefault="00E74DF1" w:rsidP="00E74DF1">
      <w:pPr>
        <w:spacing w:after="0"/>
        <w:rPr>
          <w:rFonts w:ascii="Times New Roman" w:hAnsi="Times New Roman" w:cs="Times New Roman"/>
        </w:rPr>
      </w:pPr>
      <w:r w:rsidRPr="00973D59">
        <w:rPr>
          <w:rFonts w:ascii="Times New Roman" w:hAnsi="Times New Roman" w:cs="Times New Roman"/>
        </w:rPr>
        <w:t xml:space="preserve">Data was </w:t>
      </w:r>
      <w:proofErr w:type="spellStart"/>
      <w:r w:rsidRPr="00973D59">
        <w:rPr>
          <w:rFonts w:ascii="Times New Roman" w:hAnsi="Times New Roman" w:cs="Times New Roman"/>
        </w:rPr>
        <w:t>analyzed</w:t>
      </w:r>
      <w:proofErr w:type="spellEnd"/>
      <w:r w:rsidRPr="00973D59">
        <w:rPr>
          <w:rFonts w:ascii="Times New Roman" w:hAnsi="Times New Roman" w:cs="Times New Roman"/>
        </w:rPr>
        <w:t xml:space="preserve"> using ANOVA followed by post Hoc LSD comparison and values were considered significant at </w:t>
      </w:r>
      <w:r w:rsidRPr="00973D59">
        <w:rPr>
          <w:rFonts w:ascii="Times New Roman" w:hAnsi="Times New Roman" w:cs="Times New Roman"/>
          <w:i/>
          <w:color w:val="000000" w:themeColor="text1"/>
        </w:rPr>
        <w:t xml:space="preserve">p≤0.05 </w:t>
      </w:r>
      <w:r w:rsidRPr="00973D59">
        <w:rPr>
          <w:rFonts w:ascii="Times New Roman" w:hAnsi="Times New Roman" w:cs="Times New Roman"/>
        </w:rPr>
        <w:t xml:space="preserve">*=significant comparison with group A.  </w:t>
      </w:r>
    </w:p>
    <w:p w14:paraId="6B327D26" w14:textId="77777777" w:rsidR="00E74DF1" w:rsidRPr="00973D59" w:rsidRDefault="00E74DF1" w:rsidP="00E74DF1">
      <w:pPr>
        <w:spacing w:after="0"/>
        <w:jc w:val="both"/>
        <w:rPr>
          <w:rFonts w:ascii="Times New Roman" w:hAnsi="Times New Roman" w:cs="Times New Roman"/>
        </w:rPr>
      </w:pPr>
    </w:p>
    <w:p w14:paraId="6A92D482" w14:textId="5CD70B11" w:rsidR="00E74DF1" w:rsidRPr="00973D59" w:rsidRDefault="00E74DF1" w:rsidP="00E74DF1">
      <w:pPr>
        <w:spacing w:after="0"/>
        <w:jc w:val="both"/>
        <w:rPr>
          <w:rFonts w:ascii="Times New Roman" w:hAnsi="Times New Roman" w:cs="Times New Roman"/>
        </w:rPr>
      </w:pPr>
      <w:r w:rsidRPr="00973D59">
        <w:rPr>
          <w:rFonts w:ascii="Times New Roman" w:hAnsi="Times New Roman" w:cs="Times New Roman"/>
        </w:rPr>
        <w:t xml:space="preserve">There were </w:t>
      </w:r>
      <w:r w:rsidRPr="00973D59">
        <w:rPr>
          <w:rStyle w:val="Strong"/>
          <w:rFonts w:ascii="Times New Roman" w:hAnsi="Times New Roman" w:cs="Times New Roman"/>
          <w:b w:val="0"/>
        </w:rPr>
        <w:t>no statistically significant differences</w:t>
      </w:r>
      <w:r w:rsidRPr="00973D59">
        <w:rPr>
          <w:rFonts w:ascii="Times New Roman" w:hAnsi="Times New Roman" w:cs="Times New Roman"/>
        </w:rPr>
        <w:t xml:space="preserve"> in serum corticos</w:t>
      </w:r>
      <w:r w:rsidR="006F7F19">
        <w:rPr>
          <w:rFonts w:ascii="Times New Roman" w:hAnsi="Times New Roman" w:cs="Times New Roman"/>
        </w:rPr>
        <w:t>terone levels between</w:t>
      </w:r>
      <w:r w:rsidRPr="00973D59">
        <w:rPr>
          <w:rFonts w:ascii="Times New Roman" w:hAnsi="Times New Roman" w:cs="Times New Roman"/>
        </w:rPr>
        <w:t xml:space="preserve"> groups (p &gt; 0.05), confirming that Lamivudine did not significantly alter corticosterone secretion (Table 2).</w:t>
      </w:r>
    </w:p>
    <w:p w14:paraId="1DEF7B76" w14:textId="720E3558" w:rsidR="00E74DF1" w:rsidRPr="00684617" w:rsidRDefault="00E74DF1" w:rsidP="00E74DF1">
      <w:pPr>
        <w:spacing w:after="0"/>
        <w:jc w:val="both"/>
        <w:rPr>
          <w:rFonts w:ascii="Times New Roman" w:hAnsi="Times New Roman" w:cs="Times New Roman"/>
        </w:rPr>
      </w:pPr>
      <w:r w:rsidRPr="00973D59">
        <w:rPr>
          <w:rFonts w:ascii="Times New Roman" w:hAnsi="Times New Roman" w:cs="Times New Roman"/>
          <w:b/>
        </w:rPr>
        <w:t xml:space="preserve">Table 2: </w:t>
      </w:r>
      <w:r w:rsidRPr="00684617">
        <w:rPr>
          <w:rFonts w:ascii="Times New Roman" w:hAnsi="Times New Roman" w:cs="Times New Roman"/>
        </w:rPr>
        <w:t>Multiple Comparison of Serum Corticosterone Between Groups (Post Hoc Analysis)</w:t>
      </w:r>
      <w:r w:rsidR="00684617" w:rsidRPr="00684617">
        <w:rPr>
          <w:rFonts w:ascii="Times New Roman" w:hAnsi="Times New Roman" w:cs="Times New Roman"/>
        </w:rPr>
        <w:t>.</w:t>
      </w:r>
    </w:p>
    <w:tbl>
      <w:tblPr>
        <w:tblW w:w="9082" w:type="dxa"/>
        <w:tblCellSpacing w:w="15" w:type="dxa"/>
        <w:tblCellMar>
          <w:top w:w="15" w:type="dxa"/>
          <w:left w:w="15" w:type="dxa"/>
          <w:bottom w:w="15" w:type="dxa"/>
          <w:right w:w="15" w:type="dxa"/>
        </w:tblCellMar>
        <w:tblLook w:val="04A0" w:firstRow="1" w:lastRow="0" w:firstColumn="1" w:lastColumn="0" w:noHBand="0" w:noVBand="1"/>
      </w:tblPr>
      <w:tblGrid>
        <w:gridCol w:w="2996"/>
        <w:gridCol w:w="3987"/>
        <w:gridCol w:w="1860"/>
        <w:gridCol w:w="112"/>
        <w:gridCol w:w="127"/>
      </w:tblGrid>
      <w:tr w:rsidR="00684617" w:rsidRPr="00973D59" w14:paraId="029402F3" w14:textId="0E31EB70" w:rsidTr="00684617">
        <w:trPr>
          <w:trHeight w:val="233"/>
          <w:tblHeader/>
          <w:tblCellSpacing w:w="15" w:type="dxa"/>
        </w:trPr>
        <w:tc>
          <w:tcPr>
            <w:tcW w:w="0" w:type="auto"/>
            <w:tcBorders>
              <w:top w:val="single" w:sz="4" w:space="0" w:color="auto"/>
              <w:bottom w:val="single" w:sz="4" w:space="0" w:color="auto"/>
            </w:tcBorders>
            <w:vAlign w:val="center"/>
            <w:hideMark/>
          </w:tcPr>
          <w:p w14:paraId="0760177E" w14:textId="77777777" w:rsidR="00684617" w:rsidRPr="00973D59" w:rsidRDefault="00684617" w:rsidP="00684617">
            <w:pPr>
              <w:spacing w:after="0" w:line="240" w:lineRule="auto"/>
              <w:rPr>
                <w:rFonts w:ascii="Times New Roman" w:eastAsia="Times New Roman" w:hAnsi="Times New Roman" w:cs="Times New Roman"/>
                <w:b/>
                <w:bCs/>
              </w:rPr>
            </w:pPr>
            <w:r w:rsidRPr="00973D59">
              <w:rPr>
                <w:rFonts w:ascii="Times New Roman" w:eastAsia="Times New Roman" w:hAnsi="Times New Roman" w:cs="Times New Roman"/>
                <w:b/>
                <w:bCs/>
              </w:rPr>
              <w:t>Comparison</w:t>
            </w:r>
          </w:p>
        </w:tc>
        <w:tc>
          <w:tcPr>
            <w:tcW w:w="0" w:type="auto"/>
            <w:tcBorders>
              <w:top w:val="single" w:sz="4" w:space="0" w:color="auto"/>
              <w:bottom w:val="single" w:sz="4" w:space="0" w:color="auto"/>
            </w:tcBorders>
            <w:vAlign w:val="center"/>
            <w:hideMark/>
          </w:tcPr>
          <w:p w14:paraId="0C71E40A" w14:textId="77777777" w:rsidR="00684617" w:rsidRPr="00973D59" w:rsidRDefault="00684617" w:rsidP="00684617">
            <w:pPr>
              <w:spacing w:after="0" w:line="240" w:lineRule="auto"/>
              <w:rPr>
                <w:rFonts w:ascii="Times New Roman" w:eastAsia="Times New Roman" w:hAnsi="Times New Roman" w:cs="Times New Roman"/>
                <w:b/>
                <w:bCs/>
              </w:rPr>
            </w:pPr>
            <w:r w:rsidRPr="00973D59">
              <w:rPr>
                <w:rFonts w:ascii="Times New Roman" w:eastAsia="Times New Roman" w:hAnsi="Times New Roman" w:cs="Times New Roman"/>
                <w:b/>
                <w:bCs/>
              </w:rPr>
              <w:t>Mean Difference</w:t>
            </w:r>
          </w:p>
        </w:tc>
        <w:tc>
          <w:tcPr>
            <w:tcW w:w="0" w:type="auto"/>
            <w:tcBorders>
              <w:top w:val="single" w:sz="4" w:space="0" w:color="auto"/>
              <w:bottom w:val="single" w:sz="4" w:space="0" w:color="auto"/>
            </w:tcBorders>
            <w:vAlign w:val="center"/>
            <w:hideMark/>
          </w:tcPr>
          <w:p w14:paraId="08460E01" w14:textId="77777777" w:rsidR="00684617" w:rsidRPr="00973D59" w:rsidRDefault="00684617" w:rsidP="00684617">
            <w:pPr>
              <w:spacing w:after="0" w:line="240" w:lineRule="auto"/>
              <w:rPr>
                <w:rFonts w:ascii="Times New Roman" w:eastAsia="Times New Roman" w:hAnsi="Times New Roman" w:cs="Times New Roman"/>
                <w:b/>
                <w:bCs/>
              </w:rPr>
            </w:pPr>
            <w:r w:rsidRPr="00973D59">
              <w:rPr>
                <w:rFonts w:ascii="Times New Roman" w:eastAsia="Times New Roman" w:hAnsi="Times New Roman" w:cs="Times New Roman"/>
                <w:b/>
                <w:bCs/>
              </w:rPr>
              <w:t>P-value</w:t>
            </w:r>
          </w:p>
        </w:tc>
        <w:tc>
          <w:tcPr>
            <w:tcW w:w="0" w:type="auto"/>
            <w:tcBorders>
              <w:top w:val="single" w:sz="4" w:space="0" w:color="auto"/>
              <w:bottom w:val="single" w:sz="4" w:space="0" w:color="auto"/>
            </w:tcBorders>
          </w:tcPr>
          <w:p w14:paraId="3FE73032" w14:textId="77777777" w:rsidR="00684617" w:rsidRPr="00973D59" w:rsidRDefault="00684617" w:rsidP="009025AB">
            <w:pPr>
              <w:spacing w:after="0" w:line="240" w:lineRule="auto"/>
              <w:jc w:val="center"/>
              <w:rPr>
                <w:rFonts w:ascii="Times New Roman" w:eastAsia="Times New Roman" w:hAnsi="Times New Roman" w:cs="Times New Roman"/>
                <w:b/>
                <w:bCs/>
              </w:rPr>
            </w:pPr>
          </w:p>
        </w:tc>
        <w:tc>
          <w:tcPr>
            <w:tcW w:w="0" w:type="auto"/>
            <w:tcBorders>
              <w:top w:val="single" w:sz="4" w:space="0" w:color="auto"/>
              <w:bottom w:val="single" w:sz="4" w:space="0" w:color="auto"/>
            </w:tcBorders>
          </w:tcPr>
          <w:p w14:paraId="2C21DD43" w14:textId="4E8ADA58" w:rsidR="00684617" w:rsidRPr="00973D59" w:rsidRDefault="00684617" w:rsidP="009025AB">
            <w:pPr>
              <w:spacing w:after="0" w:line="240" w:lineRule="auto"/>
              <w:jc w:val="center"/>
              <w:rPr>
                <w:rFonts w:ascii="Times New Roman" w:eastAsia="Times New Roman" w:hAnsi="Times New Roman" w:cs="Times New Roman"/>
                <w:b/>
                <w:bCs/>
              </w:rPr>
            </w:pPr>
          </w:p>
        </w:tc>
      </w:tr>
      <w:tr w:rsidR="00684617" w:rsidRPr="00973D59" w14:paraId="6CA36FA0" w14:textId="2A32284F" w:rsidTr="00684617">
        <w:trPr>
          <w:trHeight w:val="224"/>
          <w:tblCellSpacing w:w="15" w:type="dxa"/>
        </w:trPr>
        <w:tc>
          <w:tcPr>
            <w:tcW w:w="0" w:type="auto"/>
            <w:vAlign w:val="center"/>
            <w:hideMark/>
          </w:tcPr>
          <w:p w14:paraId="0341DBCE"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B</w:t>
            </w:r>
          </w:p>
        </w:tc>
        <w:tc>
          <w:tcPr>
            <w:tcW w:w="0" w:type="auto"/>
            <w:vAlign w:val="center"/>
            <w:hideMark/>
          </w:tcPr>
          <w:p w14:paraId="109A11CF"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-1.124</w:t>
            </w:r>
          </w:p>
        </w:tc>
        <w:tc>
          <w:tcPr>
            <w:tcW w:w="0" w:type="auto"/>
            <w:vAlign w:val="center"/>
            <w:hideMark/>
          </w:tcPr>
          <w:p w14:paraId="01A9DD82"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0.822</w:t>
            </w:r>
          </w:p>
        </w:tc>
        <w:tc>
          <w:tcPr>
            <w:tcW w:w="0" w:type="auto"/>
          </w:tcPr>
          <w:p w14:paraId="21110490"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Pr>
          <w:p w14:paraId="614137CA" w14:textId="2330C562" w:rsidR="00684617" w:rsidRPr="00973D59" w:rsidRDefault="00684617" w:rsidP="009025AB">
            <w:pPr>
              <w:spacing w:after="0" w:line="240" w:lineRule="auto"/>
              <w:rPr>
                <w:rFonts w:ascii="Times New Roman" w:eastAsia="Times New Roman" w:hAnsi="Times New Roman" w:cs="Times New Roman"/>
              </w:rPr>
            </w:pPr>
          </w:p>
        </w:tc>
      </w:tr>
      <w:tr w:rsidR="00684617" w:rsidRPr="00973D59" w14:paraId="7809E754" w14:textId="1E06191A" w:rsidTr="00684617">
        <w:trPr>
          <w:trHeight w:val="233"/>
          <w:tblCellSpacing w:w="15" w:type="dxa"/>
        </w:trPr>
        <w:tc>
          <w:tcPr>
            <w:tcW w:w="0" w:type="auto"/>
            <w:vAlign w:val="center"/>
            <w:hideMark/>
          </w:tcPr>
          <w:p w14:paraId="54FE4BFF"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C</w:t>
            </w:r>
          </w:p>
        </w:tc>
        <w:tc>
          <w:tcPr>
            <w:tcW w:w="0" w:type="auto"/>
            <w:vAlign w:val="center"/>
            <w:hideMark/>
          </w:tcPr>
          <w:p w14:paraId="3AB66701"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-1.793</w:t>
            </w:r>
          </w:p>
        </w:tc>
        <w:tc>
          <w:tcPr>
            <w:tcW w:w="0" w:type="auto"/>
            <w:vAlign w:val="center"/>
            <w:hideMark/>
          </w:tcPr>
          <w:p w14:paraId="029A6463"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0.634</w:t>
            </w:r>
          </w:p>
        </w:tc>
        <w:tc>
          <w:tcPr>
            <w:tcW w:w="0" w:type="auto"/>
          </w:tcPr>
          <w:p w14:paraId="13C5F487"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Pr>
          <w:p w14:paraId="6AFDB051" w14:textId="24E8D87D" w:rsidR="00684617" w:rsidRPr="00973D59" w:rsidRDefault="00684617" w:rsidP="009025AB">
            <w:pPr>
              <w:spacing w:after="0" w:line="240" w:lineRule="auto"/>
              <w:rPr>
                <w:rFonts w:ascii="Times New Roman" w:eastAsia="Times New Roman" w:hAnsi="Times New Roman" w:cs="Times New Roman"/>
              </w:rPr>
            </w:pPr>
          </w:p>
        </w:tc>
      </w:tr>
      <w:tr w:rsidR="00684617" w:rsidRPr="00973D59" w14:paraId="2EC101FC" w14:textId="21620445" w:rsidTr="00684617">
        <w:trPr>
          <w:trHeight w:val="224"/>
          <w:tblCellSpacing w:w="15" w:type="dxa"/>
        </w:trPr>
        <w:tc>
          <w:tcPr>
            <w:tcW w:w="0" w:type="auto"/>
            <w:vAlign w:val="center"/>
            <w:hideMark/>
          </w:tcPr>
          <w:p w14:paraId="2EFC78A8"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D</w:t>
            </w:r>
          </w:p>
        </w:tc>
        <w:tc>
          <w:tcPr>
            <w:tcW w:w="0" w:type="auto"/>
            <w:vAlign w:val="center"/>
            <w:hideMark/>
          </w:tcPr>
          <w:p w14:paraId="26AD883E"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-1.815</w:t>
            </w:r>
          </w:p>
        </w:tc>
        <w:tc>
          <w:tcPr>
            <w:tcW w:w="0" w:type="auto"/>
            <w:vAlign w:val="center"/>
            <w:hideMark/>
          </w:tcPr>
          <w:p w14:paraId="6A5089BD"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0.629</w:t>
            </w:r>
          </w:p>
        </w:tc>
        <w:tc>
          <w:tcPr>
            <w:tcW w:w="0" w:type="auto"/>
          </w:tcPr>
          <w:p w14:paraId="1018B435"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Pr>
          <w:p w14:paraId="484A93D2" w14:textId="2C428C9A" w:rsidR="00684617" w:rsidRPr="00973D59" w:rsidRDefault="00684617" w:rsidP="009025AB">
            <w:pPr>
              <w:spacing w:after="0" w:line="240" w:lineRule="auto"/>
              <w:rPr>
                <w:rFonts w:ascii="Times New Roman" w:eastAsia="Times New Roman" w:hAnsi="Times New Roman" w:cs="Times New Roman"/>
              </w:rPr>
            </w:pPr>
          </w:p>
        </w:tc>
      </w:tr>
      <w:tr w:rsidR="00684617" w:rsidRPr="00973D59" w14:paraId="0F3D0D61" w14:textId="7015C770" w:rsidTr="00684617">
        <w:trPr>
          <w:trHeight w:val="224"/>
          <w:tblCellSpacing w:w="15" w:type="dxa"/>
        </w:trPr>
        <w:tc>
          <w:tcPr>
            <w:tcW w:w="0" w:type="auto"/>
            <w:vAlign w:val="center"/>
            <w:hideMark/>
          </w:tcPr>
          <w:p w14:paraId="3D75F0B8"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B vs C</w:t>
            </w:r>
          </w:p>
        </w:tc>
        <w:tc>
          <w:tcPr>
            <w:tcW w:w="0" w:type="auto"/>
            <w:vAlign w:val="center"/>
            <w:hideMark/>
          </w:tcPr>
          <w:p w14:paraId="70A0AA51"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-0.669</w:t>
            </w:r>
          </w:p>
        </w:tc>
        <w:tc>
          <w:tcPr>
            <w:tcW w:w="0" w:type="auto"/>
            <w:vAlign w:val="center"/>
            <w:hideMark/>
          </w:tcPr>
          <w:p w14:paraId="5EB2DFB5"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0.895</w:t>
            </w:r>
          </w:p>
        </w:tc>
        <w:tc>
          <w:tcPr>
            <w:tcW w:w="0" w:type="auto"/>
          </w:tcPr>
          <w:p w14:paraId="3104402E"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Pr>
          <w:p w14:paraId="0E90FFF6" w14:textId="1EC61AF1" w:rsidR="00684617" w:rsidRPr="00973D59" w:rsidRDefault="00684617" w:rsidP="009025AB">
            <w:pPr>
              <w:spacing w:after="0" w:line="240" w:lineRule="auto"/>
              <w:rPr>
                <w:rFonts w:ascii="Times New Roman" w:eastAsia="Times New Roman" w:hAnsi="Times New Roman" w:cs="Times New Roman"/>
              </w:rPr>
            </w:pPr>
          </w:p>
        </w:tc>
      </w:tr>
      <w:tr w:rsidR="00684617" w:rsidRPr="00973D59" w14:paraId="067C2173" w14:textId="6BB845F9" w:rsidTr="00684617">
        <w:trPr>
          <w:trHeight w:val="224"/>
          <w:tblCellSpacing w:w="15" w:type="dxa"/>
        </w:trPr>
        <w:tc>
          <w:tcPr>
            <w:tcW w:w="0" w:type="auto"/>
            <w:vAlign w:val="center"/>
            <w:hideMark/>
          </w:tcPr>
          <w:p w14:paraId="343707EC"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B vs D</w:t>
            </w:r>
          </w:p>
        </w:tc>
        <w:tc>
          <w:tcPr>
            <w:tcW w:w="0" w:type="auto"/>
            <w:vAlign w:val="center"/>
            <w:hideMark/>
          </w:tcPr>
          <w:p w14:paraId="3E37BFBA"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-0.691</w:t>
            </w:r>
          </w:p>
        </w:tc>
        <w:tc>
          <w:tcPr>
            <w:tcW w:w="0" w:type="auto"/>
            <w:vAlign w:val="center"/>
            <w:hideMark/>
          </w:tcPr>
          <w:p w14:paraId="7BC317FC"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0.888</w:t>
            </w:r>
          </w:p>
        </w:tc>
        <w:tc>
          <w:tcPr>
            <w:tcW w:w="0" w:type="auto"/>
          </w:tcPr>
          <w:p w14:paraId="3E6EA086"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Pr>
          <w:p w14:paraId="176157D9" w14:textId="0B1EFA22" w:rsidR="00684617" w:rsidRPr="00973D59" w:rsidRDefault="00684617" w:rsidP="009025AB">
            <w:pPr>
              <w:spacing w:after="0" w:line="240" w:lineRule="auto"/>
              <w:rPr>
                <w:rFonts w:ascii="Times New Roman" w:eastAsia="Times New Roman" w:hAnsi="Times New Roman" w:cs="Times New Roman"/>
              </w:rPr>
            </w:pPr>
          </w:p>
        </w:tc>
      </w:tr>
      <w:tr w:rsidR="00684617" w:rsidRPr="00973D59" w14:paraId="05F342F0" w14:textId="0C73D303" w:rsidTr="00684617">
        <w:trPr>
          <w:trHeight w:val="224"/>
          <w:tblCellSpacing w:w="15" w:type="dxa"/>
        </w:trPr>
        <w:tc>
          <w:tcPr>
            <w:tcW w:w="0" w:type="auto"/>
            <w:tcBorders>
              <w:bottom w:val="single" w:sz="4" w:space="0" w:color="auto"/>
            </w:tcBorders>
            <w:vAlign w:val="center"/>
            <w:hideMark/>
          </w:tcPr>
          <w:p w14:paraId="631BF8D7"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C vs D</w:t>
            </w:r>
          </w:p>
        </w:tc>
        <w:tc>
          <w:tcPr>
            <w:tcW w:w="0" w:type="auto"/>
            <w:tcBorders>
              <w:bottom w:val="single" w:sz="4" w:space="0" w:color="auto"/>
            </w:tcBorders>
            <w:vAlign w:val="center"/>
            <w:hideMark/>
          </w:tcPr>
          <w:p w14:paraId="4326358F"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-0.022</w:t>
            </w:r>
          </w:p>
        </w:tc>
        <w:tc>
          <w:tcPr>
            <w:tcW w:w="0" w:type="auto"/>
            <w:tcBorders>
              <w:bottom w:val="single" w:sz="4" w:space="0" w:color="auto"/>
            </w:tcBorders>
            <w:vAlign w:val="center"/>
            <w:hideMark/>
          </w:tcPr>
          <w:p w14:paraId="2BE1868B" w14:textId="77777777" w:rsidR="00684617" w:rsidRPr="00973D59" w:rsidRDefault="00684617"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0.999</w:t>
            </w:r>
          </w:p>
        </w:tc>
        <w:tc>
          <w:tcPr>
            <w:tcW w:w="0" w:type="auto"/>
            <w:tcBorders>
              <w:bottom w:val="single" w:sz="4" w:space="0" w:color="auto"/>
            </w:tcBorders>
          </w:tcPr>
          <w:p w14:paraId="6C46E063" w14:textId="77777777" w:rsidR="00684617" w:rsidRPr="00973D59" w:rsidRDefault="00684617" w:rsidP="009025AB">
            <w:pPr>
              <w:spacing w:after="0" w:line="240" w:lineRule="auto"/>
              <w:rPr>
                <w:rFonts w:ascii="Times New Roman" w:eastAsia="Times New Roman" w:hAnsi="Times New Roman" w:cs="Times New Roman"/>
              </w:rPr>
            </w:pPr>
          </w:p>
        </w:tc>
        <w:tc>
          <w:tcPr>
            <w:tcW w:w="0" w:type="auto"/>
            <w:tcBorders>
              <w:bottom w:val="single" w:sz="4" w:space="0" w:color="auto"/>
            </w:tcBorders>
          </w:tcPr>
          <w:p w14:paraId="5272CFE3" w14:textId="35111B08" w:rsidR="00684617" w:rsidRPr="00973D59" w:rsidRDefault="00684617" w:rsidP="009025AB">
            <w:pPr>
              <w:spacing w:after="0" w:line="240" w:lineRule="auto"/>
              <w:rPr>
                <w:rFonts w:ascii="Times New Roman" w:eastAsia="Times New Roman" w:hAnsi="Times New Roman" w:cs="Times New Roman"/>
              </w:rPr>
            </w:pPr>
          </w:p>
        </w:tc>
      </w:tr>
    </w:tbl>
    <w:p w14:paraId="627B282C" w14:textId="77777777" w:rsidR="00684617" w:rsidRDefault="00E74DF1" w:rsidP="00684617">
      <w:pPr>
        <w:spacing w:line="360" w:lineRule="auto"/>
        <w:jc w:val="both"/>
        <w:rPr>
          <w:rFonts w:ascii="Times New Roman" w:hAnsi="Times New Roman" w:cs="Times New Roman"/>
        </w:rPr>
      </w:pPr>
      <w:r w:rsidRPr="00973D59">
        <w:rPr>
          <w:rFonts w:ascii="Times New Roman" w:hAnsi="Times New Roman" w:cs="Times New Roman"/>
        </w:rPr>
        <w:t>Values are expressed as MEAN</w:t>
      </w:r>
      <w:r w:rsidRPr="00973D59">
        <w:rPr>
          <w:rFonts w:ascii="Times New Roman" w:hAnsi="Times New Roman" w:cs="Times New Roman"/>
        </w:rPr>
        <w:sym w:font="Symbol" w:char="F0B1"/>
      </w:r>
      <w:r w:rsidRPr="00973D59">
        <w:rPr>
          <w:rFonts w:ascii="Times New Roman" w:hAnsi="Times New Roman" w:cs="Times New Roman"/>
        </w:rPr>
        <w:t xml:space="preserve">SEM. Significant differences were determined using Tukey’s LSD test.  * = statistical significance at </w:t>
      </w:r>
      <w:r w:rsidRPr="00973D59">
        <w:rPr>
          <w:rFonts w:ascii="Times New Roman" w:hAnsi="Times New Roman" w:cs="Times New Roman"/>
          <w:i/>
        </w:rPr>
        <w:t>p≤0.05.</w:t>
      </w:r>
    </w:p>
    <w:p w14:paraId="6F0FA940" w14:textId="77777777" w:rsidR="00684617" w:rsidRDefault="00684617" w:rsidP="00684617">
      <w:pPr>
        <w:spacing w:line="360" w:lineRule="auto"/>
        <w:jc w:val="both"/>
        <w:rPr>
          <w:rFonts w:ascii="Times New Roman" w:hAnsi="Times New Roman" w:cs="Times New Roman"/>
        </w:rPr>
      </w:pPr>
    </w:p>
    <w:p w14:paraId="46DCE261" w14:textId="77777777" w:rsidR="00684617" w:rsidRDefault="00684617" w:rsidP="00684617">
      <w:pPr>
        <w:spacing w:line="360" w:lineRule="auto"/>
        <w:jc w:val="both"/>
        <w:rPr>
          <w:rFonts w:ascii="Times New Roman" w:hAnsi="Times New Roman" w:cs="Times New Roman"/>
        </w:rPr>
      </w:pPr>
    </w:p>
    <w:p w14:paraId="22E56CE5" w14:textId="77777777" w:rsidR="00684617" w:rsidRDefault="00684617" w:rsidP="00684617">
      <w:pPr>
        <w:spacing w:line="360" w:lineRule="auto"/>
        <w:jc w:val="both"/>
        <w:rPr>
          <w:rFonts w:ascii="Times New Roman" w:hAnsi="Times New Roman" w:cs="Times New Roman"/>
        </w:rPr>
      </w:pPr>
    </w:p>
    <w:p w14:paraId="568F55DF" w14:textId="77777777" w:rsidR="00684617" w:rsidRDefault="00684617" w:rsidP="00684617">
      <w:pPr>
        <w:spacing w:line="360" w:lineRule="auto"/>
        <w:jc w:val="both"/>
        <w:rPr>
          <w:rFonts w:ascii="Times New Roman" w:hAnsi="Times New Roman" w:cs="Times New Roman"/>
        </w:rPr>
      </w:pPr>
    </w:p>
    <w:p w14:paraId="53DE2D31" w14:textId="77777777" w:rsidR="00684617" w:rsidRDefault="00684617" w:rsidP="00684617">
      <w:pPr>
        <w:spacing w:line="360" w:lineRule="auto"/>
        <w:jc w:val="both"/>
        <w:rPr>
          <w:rFonts w:ascii="Times New Roman" w:hAnsi="Times New Roman" w:cs="Times New Roman"/>
        </w:rPr>
      </w:pPr>
    </w:p>
    <w:p w14:paraId="18047221" w14:textId="29C11357" w:rsidR="00A71C42" w:rsidRPr="00684617" w:rsidRDefault="00A71C42" w:rsidP="00684617">
      <w:pPr>
        <w:spacing w:line="360" w:lineRule="auto"/>
        <w:jc w:val="both"/>
        <w:rPr>
          <w:rFonts w:ascii="Times New Roman" w:hAnsi="Times New Roman" w:cs="Times New Roman"/>
        </w:rPr>
      </w:pPr>
      <w:r w:rsidRPr="00973D59">
        <w:rPr>
          <w:rFonts w:ascii="Times New Roman" w:hAnsi="Times New Roman" w:cs="Times New Roman"/>
          <w:b/>
        </w:rPr>
        <w:t>Histological Findings</w:t>
      </w:r>
    </w:p>
    <w:p w14:paraId="42BBE7E8" w14:textId="77777777" w:rsidR="00E74DF1" w:rsidRPr="00973D59" w:rsidRDefault="00E74DF1" w:rsidP="00E74DF1">
      <w:pPr>
        <w:spacing w:before="240" w:after="0" w:line="360" w:lineRule="auto"/>
        <w:rPr>
          <w:rFonts w:ascii="Times New Roman" w:hAnsi="Times New Roman" w:cs="Times New Roman"/>
          <w:b/>
          <w:bCs/>
        </w:rPr>
      </w:pPr>
      <w:r w:rsidRPr="00973D59">
        <w:rPr>
          <w:rFonts w:ascii="Times New Roman" w:hAnsi="Times New Roman" w:cs="Times New Roman"/>
          <w:bCs/>
        </w:rPr>
        <w:t>100x</w:t>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Cs/>
        </w:rPr>
        <w:t>400x</w:t>
      </w:r>
    </w:p>
    <w:p w14:paraId="3DBC93E9" w14:textId="77777777" w:rsidR="00E74DF1" w:rsidRPr="00973D59" w:rsidRDefault="00E74DF1" w:rsidP="00E74DF1">
      <w:pPr>
        <w:tabs>
          <w:tab w:val="left" w:pos="5760"/>
        </w:tabs>
        <w:spacing w:line="360" w:lineRule="auto"/>
        <w:jc w:val="both"/>
        <w:rPr>
          <w:rFonts w:ascii="Times New Roman" w:hAnsi="Times New Roman" w:cs="Times New Roman"/>
          <w:b/>
          <w:bCs/>
        </w:rPr>
      </w:pPr>
      <w:r w:rsidRPr="00973D59">
        <w:rPr>
          <w:rFonts w:ascii="Times New Roman" w:hAnsi="Times New Roman" w:cs="Times New Roman"/>
          <w:b/>
          <w:bCs/>
          <w:noProof/>
          <w:lang w:val="en-US" w:eastAsia="en-US"/>
        </w:rPr>
        <w:lastRenderedPageBreak/>
        <mc:AlternateContent>
          <mc:Choice Requires="wps">
            <w:drawing>
              <wp:anchor distT="0" distB="0" distL="114300" distR="114300" simplePos="0" relativeHeight="251662336" behindDoc="0" locked="0" layoutInCell="1" allowOverlap="1" wp14:anchorId="7309DFD3" wp14:editId="5CDCA29A">
                <wp:simplePos x="0" y="0"/>
                <wp:positionH relativeFrom="column">
                  <wp:posOffset>1512762</wp:posOffset>
                </wp:positionH>
                <wp:positionV relativeFrom="paragraph">
                  <wp:posOffset>496150</wp:posOffset>
                </wp:positionV>
                <wp:extent cx="447675" cy="1190625"/>
                <wp:effectExtent l="0" t="0" r="28575" b="28575"/>
                <wp:wrapNone/>
                <wp:docPr id="1" name="Right Brace 1"/>
                <wp:cNvGraphicFramePr/>
                <a:graphic xmlns:a="http://schemas.openxmlformats.org/drawingml/2006/main">
                  <a:graphicData uri="http://schemas.microsoft.com/office/word/2010/wordprocessingShape">
                    <wps:wsp>
                      <wps:cNvSpPr/>
                      <wps:spPr>
                        <a:xfrm>
                          <a:off x="0" y="0"/>
                          <a:ext cx="447675" cy="1190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8CAD4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19.1pt;margin-top:39.05pt;width:35.2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" adj="677" strokecolor="black [3200]" strokeweight="1pt">
                <v:stroke joinstyle="miter"/>
              </v:shape>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60288" behindDoc="0" locked="0" layoutInCell="1" allowOverlap="1" wp14:anchorId="1756DF04" wp14:editId="7AB65399">
                <wp:simplePos x="0" y="0"/>
                <wp:positionH relativeFrom="column">
                  <wp:posOffset>3613030</wp:posOffset>
                </wp:positionH>
                <wp:positionV relativeFrom="paragraph">
                  <wp:posOffset>766505</wp:posOffset>
                </wp:positionV>
                <wp:extent cx="723900" cy="581025"/>
                <wp:effectExtent l="0" t="0" r="19050" b="28575"/>
                <wp:wrapNone/>
                <wp:docPr id="681916340" name="Oval 681916340"/>
                <wp:cNvGraphicFramePr/>
                <a:graphic xmlns:a="http://schemas.openxmlformats.org/drawingml/2006/main">
                  <a:graphicData uri="http://schemas.microsoft.com/office/word/2010/wordprocessingShape">
                    <wps:wsp>
                      <wps:cNvSpPr/>
                      <wps:spPr>
                        <a:xfrm>
                          <a:off x="0" y="0"/>
                          <a:ext cx="7239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1EDB7B8" id="Oval 681916340" o:spid="_x0000_s1026" style="position:absolute;margin-left:284.5pt;margin-top:60.35pt;width:57pt;height:4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" filled="f" strokecolor="black [3213]" strokeweight="1.5pt">
                <v:stroke joinstyle="miter"/>
              </v:oval>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61312" behindDoc="0" locked="0" layoutInCell="1" allowOverlap="1" wp14:anchorId="3FB208CC" wp14:editId="2C084976">
                <wp:simplePos x="0" y="0"/>
                <wp:positionH relativeFrom="column">
                  <wp:posOffset>4593746</wp:posOffset>
                </wp:positionH>
                <wp:positionV relativeFrom="paragraph">
                  <wp:posOffset>933641</wp:posOffset>
                </wp:positionV>
                <wp:extent cx="714375" cy="628650"/>
                <wp:effectExtent l="0" t="0" r="28575" b="19050"/>
                <wp:wrapNone/>
                <wp:docPr id="681916341" name="Oval 681916341"/>
                <wp:cNvGraphicFramePr/>
                <a:graphic xmlns:a="http://schemas.openxmlformats.org/drawingml/2006/main">
                  <a:graphicData uri="http://schemas.microsoft.com/office/word/2010/wordprocessingShape">
                    <wps:wsp>
                      <wps:cNvSpPr/>
                      <wps:spPr>
                        <a:xfrm>
                          <a:off x="0" y="0"/>
                          <a:ext cx="714375" cy="628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F74DC4F" id="Oval 681916341" o:spid="_x0000_s1026" style="position:absolute;margin-left:361.7pt;margin-top:73.5pt;width:56.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" filled="f" strokecolor="black [3213]" strokeweight="1.5pt">
                <v:stroke joinstyle="miter"/>
              </v:oval>
            </w:pict>
          </mc:Fallback>
        </mc:AlternateContent>
      </w:r>
      <w:r w:rsidRPr="00973D59">
        <w:rPr>
          <w:rFonts w:ascii="Times New Roman" w:hAnsi="Times New Roman" w:cs="Times New Roman"/>
          <w:b/>
          <w:bCs/>
          <w:noProof/>
          <w:lang w:val="en-US" w:eastAsia="en-US"/>
        </w:rPr>
        <w:drawing>
          <wp:anchor distT="0" distB="0" distL="114300" distR="114300" simplePos="0" relativeHeight="251659264" behindDoc="1" locked="0" layoutInCell="1" allowOverlap="1" wp14:anchorId="54F6F50E" wp14:editId="2123F4FA">
            <wp:simplePos x="0" y="0"/>
            <wp:positionH relativeFrom="margin">
              <wp:posOffset>3148642</wp:posOffset>
            </wp:positionH>
            <wp:positionV relativeFrom="paragraph">
              <wp:posOffset>3308</wp:posOffset>
            </wp:positionV>
            <wp:extent cx="2777705" cy="2310048"/>
            <wp:effectExtent l="0" t="0" r="3810" b="0"/>
            <wp:wrapNone/>
            <wp:docPr id="681916330" name="Picture 25" descr="A microscope view of a pink and purple cell&#10;&#10;AI-generated content may be incorrect.">
              <a:extLst xmlns:a="http://schemas.openxmlformats.org/drawingml/2006/main">
                <a:ext uri="{FF2B5EF4-FFF2-40B4-BE49-F238E27FC236}">
                  <a16:creationId xmlns:a16="http://schemas.microsoft.com/office/drawing/2014/main" id="{ACB9EF19-8D7C-6F01-C216-BDF78054B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microscope view of a pink and purple cell&#10;&#10;AI-generated content may be incorrect.">
                      <a:extLst>
                        <a:ext uri="{FF2B5EF4-FFF2-40B4-BE49-F238E27FC236}">
                          <a16:creationId xmlns:a16="http://schemas.microsoft.com/office/drawing/2014/main" id="{ACB9EF19-8D7C-6F01-C216-BDF78054B72A}"/>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8512" cy="2319035"/>
                    </a:xfrm>
                    <a:prstGeom prst="rect">
                      <a:avLst/>
                    </a:prstGeom>
                  </pic:spPr>
                </pic:pic>
              </a:graphicData>
            </a:graphic>
            <wp14:sizeRelH relativeFrom="margin">
              <wp14:pctWidth>0</wp14:pctWidth>
            </wp14:sizeRelH>
            <wp14:sizeRelV relativeFrom="margin">
              <wp14:pctHeight>0</wp14:pctHeight>
            </wp14:sizeRelV>
          </wp:anchor>
        </w:drawing>
      </w:r>
      <w:r w:rsidRPr="00973D59">
        <w:rPr>
          <w:rFonts w:ascii="Times New Roman" w:hAnsi="Times New Roman" w:cs="Times New Roman"/>
          <w:b/>
          <w:bCs/>
          <w:noProof/>
          <w:lang w:val="en-US" w:eastAsia="en-US"/>
        </w:rPr>
        <w:drawing>
          <wp:inline distT="0" distB="0" distL="0" distR="0" wp14:anchorId="7B79DAF5" wp14:editId="0CD1D56E">
            <wp:extent cx="2915713" cy="2302664"/>
            <wp:effectExtent l="0" t="0" r="0" b="2540"/>
            <wp:docPr id="681916325" name="Content Placeholder 23" descr="A close-up of a microscopic view of a lung&#10;&#10;AI-generated content may be incorrect.">
              <a:extLst xmlns:a="http://schemas.openxmlformats.org/drawingml/2006/main">
                <a:ext uri="{FF2B5EF4-FFF2-40B4-BE49-F238E27FC236}">
                  <a16:creationId xmlns:a16="http://schemas.microsoft.com/office/drawing/2014/main" id="{BB844837-C409-B4A3-93C6-8B7663BD65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23" descr="A close-up of a microscopic view of a lung&#10;&#10;AI-generated content may be incorrect.">
                      <a:extLst>
                        <a:ext uri="{FF2B5EF4-FFF2-40B4-BE49-F238E27FC236}">
                          <a16:creationId xmlns:a16="http://schemas.microsoft.com/office/drawing/2014/main" id="{BB844837-C409-B4A3-93C6-8B7663BD65F9}"/>
                        </a:ext>
                      </a:extLst>
                    </pic:cNvPr>
                    <pic:cNvPicPr>
                      <a:picLocks noGrp="1" noChangeAspect="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2950570" cy="2330192"/>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noProof/>
        </w:rPr>
        <w:tab/>
      </w:r>
    </w:p>
    <w:p w14:paraId="06832951" w14:textId="77777777" w:rsidR="00E74DF1" w:rsidRPr="00973D59" w:rsidRDefault="00E74DF1" w:rsidP="00E74DF1">
      <w:pPr>
        <w:spacing w:line="360" w:lineRule="auto"/>
        <w:rPr>
          <w:rFonts w:ascii="Times New Roman" w:hAnsi="Times New Roman" w:cs="Times New Roman"/>
          <w:b/>
          <w:bCs/>
        </w:rPr>
      </w:pPr>
      <w:r w:rsidRPr="00973D59">
        <w:rPr>
          <w:rFonts w:ascii="Times New Roman" w:hAnsi="Times New Roman" w:cs="Times New Roman"/>
          <w:b/>
          <w:bCs/>
        </w:rPr>
        <w:t>Plate 1: Effect of Lamivudine on Adrenal gland Tissue Histology, Group A (Control) H&amp;E.</w:t>
      </w:r>
    </w:p>
    <w:p w14:paraId="70D4A977" w14:textId="77777777" w:rsidR="00E74DF1" w:rsidRPr="00973D59" w:rsidRDefault="00E74DF1" w:rsidP="00E74DF1">
      <w:pPr>
        <w:spacing w:after="0" w:line="360" w:lineRule="auto"/>
        <w:jc w:val="both"/>
        <w:rPr>
          <w:rFonts w:ascii="Times New Roman" w:hAnsi="Times New Roman" w:cs="Times New Roman"/>
          <w:bCs/>
        </w:rPr>
      </w:pPr>
      <w:r w:rsidRPr="00973D59">
        <w:rPr>
          <w:rFonts w:ascii="Times New Roman" w:hAnsi="Times New Roman" w:cs="Times New Roman"/>
          <w:bCs/>
        </w:rPr>
        <w:t>100x</w:t>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t>400x</w:t>
      </w:r>
    </w:p>
    <w:p w14:paraId="29763E68" w14:textId="77777777" w:rsidR="00E74DF1" w:rsidRPr="00973D59" w:rsidRDefault="00E74DF1" w:rsidP="00E74DF1">
      <w:pPr>
        <w:spacing w:line="360" w:lineRule="auto"/>
        <w:jc w:val="both"/>
        <w:rPr>
          <w:rFonts w:ascii="Times New Roman" w:hAnsi="Times New Roman" w:cs="Times New Roman"/>
          <w:b/>
          <w:bCs/>
        </w:rPr>
      </w:pPr>
      <w:r w:rsidRPr="00973D59">
        <w:rPr>
          <w:rFonts w:ascii="Times New Roman" w:hAnsi="Times New Roman" w:cs="Times New Roman"/>
          <w:b/>
          <w:bCs/>
          <w:noProof/>
          <w:lang w:val="en-US" w:eastAsia="en-US"/>
        </w:rPr>
        <mc:AlternateContent>
          <mc:Choice Requires="wps">
            <w:drawing>
              <wp:anchor distT="0" distB="0" distL="114300" distR="114300" simplePos="0" relativeHeight="251665408" behindDoc="0" locked="0" layoutInCell="1" allowOverlap="1" wp14:anchorId="68F58A24" wp14:editId="2EC17539">
                <wp:simplePos x="0" y="0"/>
                <wp:positionH relativeFrom="column">
                  <wp:posOffset>4667250</wp:posOffset>
                </wp:positionH>
                <wp:positionV relativeFrom="paragraph">
                  <wp:posOffset>1310005</wp:posOffset>
                </wp:positionV>
                <wp:extent cx="638175" cy="676275"/>
                <wp:effectExtent l="0" t="0" r="28575" b="28575"/>
                <wp:wrapNone/>
                <wp:docPr id="681916346" name="Oval 681916346"/>
                <wp:cNvGraphicFramePr/>
                <a:graphic xmlns:a="http://schemas.openxmlformats.org/drawingml/2006/main">
                  <a:graphicData uri="http://schemas.microsoft.com/office/word/2010/wordprocessingShape">
                    <wps:wsp>
                      <wps:cNvSpPr/>
                      <wps:spPr>
                        <a:xfrm>
                          <a:off x="0" y="0"/>
                          <a:ext cx="638175" cy="676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66A907D" id="Oval 681916346" o:spid="_x0000_s1026" style="position:absolute;margin-left:367.5pt;margin-top:103.15pt;width:50.25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" filled="f" strokecolor="black [3213]" strokeweight="1.5pt">
                <v:stroke joinstyle="miter"/>
              </v:oval>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64384" behindDoc="0" locked="0" layoutInCell="1" allowOverlap="1" wp14:anchorId="4EBAE5FF" wp14:editId="73163CC1">
                <wp:simplePos x="0" y="0"/>
                <wp:positionH relativeFrom="column">
                  <wp:posOffset>4133850</wp:posOffset>
                </wp:positionH>
                <wp:positionV relativeFrom="paragraph">
                  <wp:posOffset>586105</wp:posOffset>
                </wp:positionV>
                <wp:extent cx="600075" cy="685800"/>
                <wp:effectExtent l="0" t="0" r="28575" b="19050"/>
                <wp:wrapNone/>
                <wp:docPr id="681916345" name="Oval 681916345"/>
                <wp:cNvGraphicFramePr/>
                <a:graphic xmlns:a="http://schemas.openxmlformats.org/drawingml/2006/main">
                  <a:graphicData uri="http://schemas.microsoft.com/office/word/2010/wordprocessingShape">
                    <wps:wsp>
                      <wps:cNvSpPr/>
                      <wps:spPr>
                        <a:xfrm>
                          <a:off x="0" y="0"/>
                          <a:ext cx="600075" cy="685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F399165" id="Oval 681916345" o:spid="_x0000_s1026" style="position:absolute;margin-left:325.5pt;margin-top:46.15pt;width:47.25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" filled="f" strokecolor="black [3213]" strokeweight="1.5pt">
                <v:stroke joinstyle="miter"/>
              </v:oval>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63360" behindDoc="0" locked="0" layoutInCell="1" allowOverlap="1" wp14:anchorId="37259F24" wp14:editId="3956F8A0">
                <wp:simplePos x="0" y="0"/>
                <wp:positionH relativeFrom="column">
                  <wp:posOffset>695325</wp:posOffset>
                </wp:positionH>
                <wp:positionV relativeFrom="paragraph">
                  <wp:posOffset>337820</wp:posOffset>
                </wp:positionV>
                <wp:extent cx="733425" cy="1952625"/>
                <wp:effectExtent l="0" t="0" r="28575" b="28575"/>
                <wp:wrapNone/>
                <wp:docPr id="681916344" name="Right Brace 681916344"/>
                <wp:cNvGraphicFramePr/>
                <a:graphic xmlns:a="http://schemas.openxmlformats.org/drawingml/2006/main">
                  <a:graphicData uri="http://schemas.microsoft.com/office/word/2010/wordprocessingShape">
                    <wps:wsp>
                      <wps:cNvSpPr/>
                      <wps:spPr>
                        <a:xfrm>
                          <a:off x="0" y="0"/>
                          <a:ext cx="733425" cy="1952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37FB83" id="Right Brace 681916344" o:spid="_x0000_s1026" type="#_x0000_t88" style="position:absolute;margin-left:54.75pt;margin-top:26.6pt;width:57.7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" adj="676" strokecolor="black [3200]" strokeweight="1pt">
                <v:stroke joinstyle="miter"/>
              </v:shape>
            </w:pict>
          </mc:Fallback>
        </mc:AlternateContent>
      </w:r>
      <w:r w:rsidRPr="00973D59">
        <w:rPr>
          <w:rFonts w:ascii="Times New Roman" w:hAnsi="Times New Roman" w:cs="Times New Roman"/>
          <w:b/>
          <w:bCs/>
          <w:noProof/>
          <w:lang w:val="en-US" w:eastAsia="en-US"/>
        </w:rPr>
        <w:drawing>
          <wp:inline distT="0" distB="0" distL="0" distR="0" wp14:anchorId="588CF614" wp14:editId="33EE19CA">
            <wp:extent cx="2736032" cy="2418715"/>
            <wp:effectExtent l="0" t="0" r="7620" b="635"/>
            <wp:docPr id="681916342" name="Content Placeholder 8" descr="A close-up of a red and white background&#10;&#10;AI-generated content may be incorrect.">
              <a:extLst xmlns:a="http://schemas.openxmlformats.org/drawingml/2006/main">
                <a:ext uri="{FF2B5EF4-FFF2-40B4-BE49-F238E27FC236}">
                  <a16:creationId xmlns:a16="http://schemas.microsoft.com/office/drawing/2014/main" id="{E574CEB0-AC86-F8C3-65E6-7359C2C202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lose-up of a red and white background&#10;&#10;AI-generated content may be incorrect.">
                      <a:extLst>
                        <a:ext uri="{FF2B5EF4-FFF2-40B4-BE49-F238E27FC236}">
                          <a16:creationId xmlns:a16="http://schemas.microsoft.com/office/drawing/2014/main" id="{E574CEB0-AC86-F8C3-65E6-7359C2C202F0}"/>
                        </a:ext>
                      </a:extLst>
                    </pic:cNvPr>
                    <pic:cNvPicPr>
                      <a:picLocks noGrp="1" noChangeAspect="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2736032" cy="2418715"/>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
          <w:bCs/>
          <w:noProof/>
          <w:lang w:val="en-US" w:eastAsia="en-US"/>
        </w:rPr>
        <w:drawing>
          <wp:inline distT="0" distB="0" distL="0" distR="0" wp14:anchorId="6E1A040B" wp14:editId="771A1ACB">
            <wp:extent cx="2867025" cy="2407131"/>
            <wp:effectExtent l="0" t="0" r="0" b="0"/>
            <wp:docPr id="681916343" name="Picture 10" descr="A close-up of a pink and black cell&#10;&#10;AI-generated content may be incorrect.">
              <a:extLst xmlns:a="http://schemas.openxmlformats.org/drawingml/2006/main">
                <a:ext uri="{FF2B5EF4-FFF2-40B4-BE49-F238E27FC236}">
                  <a16:creationId xmlns:a16="http://schemas.microsoft.com/office/drawing/2014/main" id="{7C6BD61B-917A-D291-7EED-5F480A4DB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ink and black cell&#10;&#10;AI-generated content may be incorrect.">
                      <a:extLst>
                        <a:ext uri="{FF2B5EF4-FFF2-40B4-BE49-F238E27FC236}">
                          <a16:creationId xmlns:a16="http://schemas.microsoft.com/office/drawing/2014/main" id="{7C6BD61B-917A-D291-7EED-5F480A4DB55B}"/>
                        </a:ext>
                      </a:extLst>
                    </pic:cNvPr>
                    <pic:cNvPicPr>
                      <a:picLocks noChangeAspect="1"/>
                    </pic:cNvPicPr>
                  </pic:nvPicPr>
                  <pic:blipFill>
                    <a:blip r:embed="rId13"/>
                    <a:stretch>
                      <a:fillRect/>
                    </a:stretch>
                  </pic:blipFill>
                  <pic:spPr>
                    <a:xfrm>
                      <a:off x="0" y="0"/>
                      <a:ext cx="2896374" cy="2431772"/>
                    </a:xfrm>
                    <a:prstGeom prst="rect">
                      <a:avLst/>
                    </a:prstGeom>
                  </pic:spPr>
                </pic:pic>
              </a:graphicData>
            </a:graphic>
          </wp:inline>
        </w:drawing>
      </w:r>
    </w:p>
    <w:p w14:paraId="24A44ACA" w14:textId="2228655A" w:rsidR="00684617" w:rsidRPr="00684617" w:rsidRDefault="00684617" w:rsidP="00684617">
      <w:pPr>
        <w:spacing w:after="0" w:line="360" w:lineRule="auto"/>
        <w:rPr>
          <w:rFonts w:ascii="Times New Roman" w:hAnsi="Times New Roman" w:cs="Times New Roman"/>
          <w:i/>
        </w:rPr>
      </w:pPr>
      <w:r w:rsidRPr="00684617">
        <w:rPr>
          <w:rFonts w:ascii="Times New Roman" w:hAnsi="Times New Roman" w:cs="Times New Roman"/>
          <w:i/>
        </w:rPr>
        <w:t>50 µm</w:t>
      </w:r>
    </w:p>
    <w:p w14:paraId="45314D3B" w14:textId="3C807A27" w:rsidR="00E74DF1" w:rsidRPr="00684617" w:rsidRDefault="00E74DF1" w:rsidP="00684617">
      <w:pPr>
        <w:spacing w:line="360" w:lineRule="auto"/>
        <w:jc w:val="both"/>
        <w:rPr>
          <w:rFonts w:ascii="Times New Roman" w:hAnsi="Times New Roman" w:cs="Times New Roman"/>
          <w:b/>
          <w:bCs/>
        </w:rPr>
      </w:pPr>
      <w:r w:rsidRPr="00973D59">
        <w:rPr>
          <w:rFonts w:ascii="Times New Roman" w:hAnsi="Times New Roman" w:cs="Times New Roman"/>
          <w:b/>
          <w:bCs/>
        </w:rPr>
        <w:t xml:space="preserve">Plate 2: Effect of Lamivudine on Adrenal Gland Tissue Histology, Group B </w:t>
      </w:r>
      <w:r w:rsidRPr="00973D59">
        <w:rPr>
          <w:rFonts w:ascii="Times New Roman" w:hAnsi="Times New Roman" w:cs="Times New Roman"/>
          <w:b/>
        </w:rPr>
        <w:t xml:space="preserve">(100mg/kg of </w:t>
      </w:r>
      <w:proofErr w:type="spellStart"/>
      <w:r w:rsidRPr="00973D59">
        <w:rPr>
          <w:rFonts w:ascii="Times New Roman" w:hAnsi="Times New Roman" w:cs="Times New Roman"/>
          <w:b/>
        </w:rPr>
        <w:t>LamivudineH&amp;E</w:t>
      </w:r>
      <w:proofErr w:type="spellEnd"/>
      <w:r w:rsidRPr="00973D59">
        <w:rPr>
          <w:rFonts w:ascii="Times New Roman" w:hAnsi="Times New Roman" w:cs="Times New Roman"/>
          <w:b/>
        </w:rPr>
        <w:t>).</w:t>
      </w:r>
    </w:p>
    <w:p w14:paraId="0F6CB285" w14:textId="77777777" w:rsidR="00E74DF1" w:rsidRPr="00973D59" w:rsidRDefault="00E74DF1" w:rsidP="00E74DF1">
      <w:pPr>
        <w:spacing w:after="0" w:line="360" w:lineRule="auto"/>
        <w:rPr>
          <w:rFonts w:ascii="Times New Roman" w:hAnsi="Times New Roman" w:cs="Times New Roman"/>
        </w:rPr>
      </w:pPr>
    </w:p>
    <w:p w14:paraId="580942E0" w14:textId="77777777" w:rsidR="00E74DF1" w:rsidRPr="00973D59" w:rsidRDefault="00E74DF1" w:rsidP="00E74DF1">
      <w:pPr>
        <w:spacing w:after="0" w:line="360" w:lineRule="auto"/>
        <w:rPr>
          <w:rFonts w:ascii="Times New Roman" w:hAnsi="Times New Roman" w:cs="Times New Roman"/>
        </w:rPr>
      </w:pPr>
    </w:p>
    <w:p w14:paraId="76576BCE" w14:textId="77777777" w:rsidR="00E74DF1" w:rsidRPr="00973D59" w:rsidRDefault="00E74DF1" w:rsidP="00E74DF1">
      <w:pPr>
        <w:spacing w:after="0" w:line="360" w:lineRule="auto"/>
        <w:rPr>
          <w:rFonts w:ascii="Times New Roman" w:hAnsi="Times New Roman" w:cs="Times New Roman"/>
        </w:rPr>
      </w:pPr>
    </w:p>
    <w:p w14:paraId="12CFB546" w14:textId="77777777" w:rsidR="00E74DF1" w:rsidRPr="00973D59" w:rsidRDefault="00E74DF1" w:rsidP="00E74DF1">
      <w:pPr>
        <w:spacing w:after="0" w:line="360" w:lineRule="auto"/>
        <w:rPr>
          <w:rFonts w:ascii="Times New Roman" w:hAnsi="Times New Roman" w:cs="Times New Roman"/>
        </w:rPr>
      </w:pPr>
    </w:p>
    <w:p w14:paraId="456A0696" w14:textId="77777777" w:rsidR="00E74DF1" w:rsidRPr="00973D59" w:rsidRDefault="00E74DF1" w:rsidP="00E74DF1">
      <w:pPr>
        <w:spacing w:after="0" w:line="360" w:lineRule="auto"/>
        <w:rPr>
          <w:rFonts w:ascii="Times New Roman" w:hAnsi="Times New Roman" w:cs="Times New Roman"/>
        </w:rPr>
      </w:pPr>
    </w:p>
    <w:p w14:paraId="0F8B7F43" w14:textId="77777777" w:rsidR="00E74DF1" w:rsidRPr="00973D59" w:rsidRDefault="00E74DF1" w:rsidP="00E74DF1">
      <w:pPr>
        <w:spacing w:after="0" w:line="360" w:lineRule="auto"/>
        <w:rPr>
          <w:rFonts w:ascii="Times New Roman" w:hAnsi="Times New Roman" w:cs="Times New Roman"/>
          <w:bCs/>
        </w:rPr>
      </w:pPr>
      <w:r w:rsidRPr="00973D59">
        <w:rPr>
          <w:rFonts w:ascii="Times New Roman" w:hAnsi="Times New Roman" w:cs="Times New Roman"/>
        </w:rPr>
        <w:t>100x</w:t>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t>400x</w:t>
      </w:r>
    </w:p>
    <w:p w14:paraId="759DEDDA" w14:textId="77777777" w:rsidR="00E74DF1" w:rsidRPr="00973D59" w:rsidRDefault="00E74DF1" w:rsidP="00E74DF1">
      <w:pPr>
        <w:spacing w:line="360" w:lineRule="auto"/>
        <w:jc w:val="both"/>
        <w:rPr>
          <w:rFonts w:ascii="Times New Roman" w:hAnsi="Times New Roman" w:cs="Times New Roman"/>
          <w:bCs/>
        </w:rPr>
      </w:pPr>
      <w:r w:rsidRPr="00973D59">
        <w:rPr>
          <w:rFonts w:ascii="Times New Roman" w:hAnsi="Times New Roman" w:cs="Times New Roman"/>
          <w:bCs/>
          <w:noProof/>
          <w:lang w:val="en-US" w:eastAsia="en-US"/>
        </w:rPr>
        <w:lastRenderedPageBreak/>
        <mc:AlternateContent>
          <mc:Choice Requires="wps">
            <w:drawing>
              <wp:anchor distT="0" distB="0" distL="114300" distR="114300" simplePos="0" relativeHeight="251668480" behindDoc="0" locked="0" layoutInCell="1" allowOverlap="1" wp14:anchorId="3F82E73D" wp14:editId="1BEDF4FD">
                <wp:simplePos x="0" y="0"/>
                <wp:positionH relativeFrom="column">
                  <wp:posOffset>4343400</wp:posOffset>
                </wp:positionH>
                <wp:positionV relativeFrom="paragraph">
                  <wp:posOffset>782320</wp:posOffset>
                </wp:positionV>
                <wp:extent cx="723900" cy="704850"/>
                <wp:effectExtent l="0" t="0" r="19050" b="19050"/>
                <wp:wrapNone/>
                <wp:docPr id="681916351" name="Oval 681916351"/>
                <wp:cNvGraphicFramePr/>
                <a:graphic xmlns:a="http://schemas.openxmlformats.org/drawingml/2006/main">
                  <a:graphicData uri="http://schemas.microsoft.com/office/word/2010/wordprocessingShape">
                    <wps:wsp>
                      <wps:cNvSpPr/>
                      <wps:spPr>
                        <a:xfrm>
                          <a:off x="0" y="0"/>
                          <a:ext cx="723900" cy="704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D2482C8" id="Oval 681916351" o:spid="_x0000_s1026" style="position:absolute;margin-left:342pt;margin-top:61.6pt;width:57pt;height:5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" filled="f" strokecolor="black [3213]" strokeweight="1.5pt">
                <v:stroke joinstyle="miter"/>
              </v:oval>
            </w:pict>
          </mc:Fallback>
        </mc:AlternateContent>
      </w:r>
      <w:r w:rsidRPr="00973D59">
        <w:rPr>
          <w:rFonts w:ascii="Times New Roman" w:hAnsi="Times New Roman" w:cs="Times New Roman"/>
          <w:bCs/>
          <w:noProof/>
          <w:lang w:val="en-US" w:eastAsia="en-US"/>
        </w:rPr>
        <mc:AlternateContent>
          <mc:Choice Requires="wps">
            <w:drawing>
              <wp:anchor distT="0" distB="0" distL="114300" distR="114300" simplePos="0" relativeHeight="251667456" behindDoc="0" locked="0" layoutInCell="1" allowOverlap="1" wp14:anchorId="12DC61FC" wp14:editId="2BA7AC62">
                <wp:simplePos x="0" y="0"/>
                <wp:positionH relativeFrom="column">
                  <wp:posOffset>3381375</wp:posOffset>
                </wp:positionH>
                <wp:positionV relativeFrom="paragraph">
                  <wp:posOffset>687070</wp:posOffset>
                </wp:positionV>
                <wp:extent cx="638175" cy="714375"/>
                <wp:effectExtent l="0" t="0" r="28575" b="28575"/>
                <wp:wrapNone/>
                <wp:docPr id="681916350" name="Oval 681916350"/>
                <wp:cNvGraphicFramePr/>
                <a:graphic xmlns:a="http://schemas.openxmlformats.org/drawingml/2006/main">
                  <a:graphicData uri="http://schemas.microsoft.com/office/word/2010/wordprocessingShape">
                    <wps:wsp>
                      <wps:cNvSpPr/>
                      <wps:spPr>
                        <a:xfrm>
                          <a:off x="0" y="0"/>
                          <a:ext cx="638175" cy="71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6C247B3" id="Oval 681916350" o:spid="_x0000_s1026" style="position:absolute;margin-left:266.25pt;margin-top:54.1pt;width:50.25pt;height:5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" filled="f" strokecolor="black [3213]" strokeweight="1.5pt">
                <v:stroke joinstyle="miter"/>
              </v:oval>
            </w:pict>
          </mc:Fallback>
        </mc:AlternateContent>
      </w:r>
      <w:r w:rsidRPr="00973D59">
        <w:rPr>
          <w:rFonts w:ascii="Times New Roman" w:hAnsi="Times New Roman" w:cs="Times New Roman"/>
          <w:bCs/>
          <w:noProof/>
          <w:lang w:val="en-US" w:eastAsia="en-US"/>
        </w:rPr>
        <mc:AlternateContent>
          <mc:Choice Requires="wps">
            <w:drawing>
              <wp:anchor distT="0" distB="0" distL="114300" distR="114300" simplePos="0" relativeHeight="251666432" behindDoc="0" locked="0" layoutInCell="1" allowOverlap="1" wp14:anchorId="5A8CE90B" wp14:editId="6AD522BC">
                <wp:simplePos x="0" y="0"/>
                <wp:positionH relativeFrom="column">
                  <wp:posOffset>885825</wp:posOffset>
                </wp:positionH>
                <wp:positionV relativeFrom="paragraph">
                  <wp:posOffset>325120</wp:posOffset>
                </wp:positionV>
                <wp:extent cx="476250" cy="1609725"/>
                <wp:effectExtent l="38100" t="0" r="19050" b="28575"/>
                <wp:wrapNone/>
                <wp:docPr id="681916349" name="Left Brace 681916349"/>
                <wp:cNvGraphicFramePr/>
                <a:graphic xmlns:a="http://schemas.openxmlformats.org/drawingml/2006/main">
                  <a:graphicData uri="http://schemas.microsoft.com/office/word/2010/wordprocessingShape">
                    <wps:wsp>
                      <wps:cNvSpPr/>
                      <wps:spPr>
                        <a:xfrm>
                          <a:off x="0" y="0"/>
                          <a:ext cx="476250" cy="16097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3A241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1916349" o:spid="_x0000_s1026" type="#_x0000_t87" style="position:absolute;margin-left:69.75pt;margin-top:25.6pt;width:37.5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" adj="533" strokecolor="black [3200]" strokeweight="1pt">
                <v:stroke joinstyle="miter"/>
              </v:shape>
            </w:pict>
          </mc:Fallback>
        </mc:AlternateContent>
      </w:r>
      <w:r w:rsidRPr="00973D59">
        <w:rPr>
          <w:rFonts w:ascii="Times New Roman" w:hAnsi="Times New Roman" w:cs="Times New Roman"/>
          <w:bCs/>
          <w:noProof/>
          <w:lang w:val="en-US" w:eastAsia="en-US"/>
        </w:rPr>
        <w:drawing>
          <wp:inline distT="0" distB="0" distL="0" distR="0" wp14:anchorId="0DA27B0A" wp14:editId="2D56E21C">
            <wp:extent cx="2705100" cy="2153711"/>
            <wp:effectExtent l="0" t="0" r="0" b="0"/>
            <wp:docPr id="681916347" name="Content Placeholder 4" descr="A close-up of a cell&#10;&#10;AI-generated content may be incorrect.">
              <a:extLst xmlns:a="http://schemas.openxmlformats.org/drawingml/2006/main">
                <a:ext uri="{FF2B5EF4-FFF2-40B4-BE49-F238E27FC236}">
                  <a16:creationId xmlns:a16="http://schemas.microsoft.com/office/drawing/2014/main" id="{2417C478-766D-7E5A-B9EF-9A936732C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up of a cell&#10;&#10;AI-generated content may be incorrect.">
                      <a:extLst>
                        <a:ext uri="{FF2B5EF4-FFF2-40B4-BE49-F238E27FC236}">
                          <a16:creationId xmlns:a16="http://schemas.microsoft.com/office/drawing/2014/main" id="{2417C478-766D-7E5A-B9EF-9A936732C9D1}"/>
                        </a:ext>
                      </a:extLst>
                    </pic:cNvPr>
                    <pic:cNvPicPr>
                      <a:picLocks noGrp="1" noChangeAspect="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2740642" cy="2182009"/>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Cs/>
          <w:noProof/>
          <w:lang w:val="en-US" w:eastAsia="en-US"/>
        </w:rPr>
        <w:drawing>
          <wp:inline distT="0" distB="0" distL="0" distR="0" wp14:anchorId="792D1DD7" wp14:editId="52DEC0DB">
            <wp:extent cx="2904518" cy="2134870"/>
            <wp:effectExtent l="0" t="0" r="0" b="0"/>
            <wp:docPr id="681916348" name="Picture 6" descr="A close-up of a microscope&#10;&#10;AI-generated content may be incorrect.">
              <a:extLst xmlns:a="http://schemas.openxmlformats.org/drawingml/2006/main">
                <a:ext uri="{FF2B5EF4-FFF2-40B4-BE49-F238E27FC236}">
                  <a16:creationId xmlns:a16="http://schemas.microsoft.com/office/drawing/2014/main" id="{97356CBD-7B62-1E79-5F64-59F1B6E7A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microscope&#10;&#10;AI-generated content may be incorrect.">
                      <a:extLst>
                        <a:ext uri="{FF2B5EF4-FFF2-40B4-BE49-F238E27FC236}">
                          <a16:creationId xmlns:a16="http://schemas.microsoft.com/office/drawing/2014/main" id="{97356CBD-7B62-1E79-5F64-59F1B6E7AAD3}"/>
                        </a:ext>
                      </a:extLst>
                    </pic:cNvPr>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2941569" cy="2162103"/>
                    </a:xfrm>
                    <a:prstGeom prst="rect">
                      <a:avLst/>
                    </a:prstGeom>
                  </pic:spPr>
                </pic:pic>
              </a:graphicData>
            </a:graphic>
          </wp:inline>
        </w:drawing>
      </w:r>
    </w:p>
    <w:p w14:paraId="27DAEC68" w14:textId="2999E0E3" w:rsidR="00684617" w:rsidRPr="00684617" w:rsidRDefault="00684617" w:rsidP="00684617">
      <w:pPr>
        <w:spacing w:after="0" w:line="360" w:lineRule="auto"/>
        <w:rPr>
          <w:rFonts w:ascii="Times New Roman" w:hAnsi="Times New Roman" w:cs="Times New Roman"/>
          <w:i/>
        </w:rPr>
      </w:pPr>
      <w:r w:rsidRPr="00684617">
        <w:rPr>
          <w:rFonts w:ascii="Times New Roman" w:hAnsi="Times New Roman" w:cs="Times New Roman"/>
          <w:i/>
        </w:rPr>
        <w:t>50 µm</w:t>
      </w:r>
    </w:p>
    <w:p w14:paraId="46BAAD18" w14:textId="77777777" w:rsidR="00E74DF1" w:rsidRPr="00973D59" w:rsidRDefault="00E74DF1" w:rsidP="00E74DF1">
      <w:pPr>
        <w:spacing w:line="360" w:lineRule="auto"/>
        <w:rPr>
          <w:rFonts w:ascii="Times New Roman" w:hAnsi="Times New Roman" w:cs="Times New Roman"/>
          <w:b/>
        </w:rPr>
      </w:pPr>
      <w:r w:rsidRPr="00973D59">
        <w:rPr>
          <w:rFonts w:ascii="Times New Roman" w:hAnsi="Times New Roman" w:cs="Times New Roman"/>
          <w:b/>
          <w:bCs/>
        </w:rPr>
        <w:t xml:space="preserve">Plate 3: Effect of Lamivudine on Adrenal Gland Tissue Histology, Group C </w:t>
      </w:r>
      <w:r w:rsidRPr="00973D59">
        <w:rPr>
          <w:rFonts w:ascii="Times New Roman" w:hAnsi="Times New Roman" w:cs="Times New Roman"/>
          <w:b/>
        </w:rPr>
        <w:t>(200mg/kg of Lamivudine H&amp;E).</w:t>
      </w:r>
    </w:p>
    <w:p w14:paraId="028F56F3" w14:textId="77777777" w:rsidR="00E74DF1" w:rsidRPr="00973D59" w:rsidRDefault="00E74DF1" w:rsidP="00E74DF1">
      <w:pPr>
        <w:spacing w:after="0" w:line="360" w:lineRule="auto"/>
        <w:rPr>
          <w:rFonts w:ascii="Times New Roman" w:hAnsi="Times New Roman" w:cs="Times New Roman"/>
          <w:bCs/>
        </w:rPr>
      </w:pPr>
      <w:r w:rsidRPr="00973D59">
        <w:rPr>
          <w:rFonts w:ascii="Times New Roman" w:hAnsi="Times New Roman" w:cs="Times New Roman"/>
        </w:rPr>
        <w:t>100x</w:t>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t xml:space="preserve">  400x</w:t>
      </w:r>
    </w:p>
    <w:p w14:paraId="50076AF6" w14:textId="77777777" w:rsidR="00E74DF1" w:rsidRPr="00973D59" w:rsidRDefault="00E74DF1" w:rsidP="00E74DF1">
      <w:pPr>
        <w:spacing w:line="360" w:lineRule="auto"/>
        <w:jc w:val="both"/>
        <w:rPr>
          <w:rFonts w:ascii="Times New Roman" w:hAnsi="Times New Roman" w:cs="Times New Roman"/>
          <w:b/>
          <w:bCs/>
        </w:rPr>
      </w:pPr>
      <w:r w:rsidRPr="00973D59">
        <w:rPr>
          <w:rFonts w:ascii="Times New Roman" w:hAnsi="Times New Roman" w:cs="Times New Roman"/>
          <w:b/>
          <w:bCs/>
          <w:noProof/>
          <w:lang w:val="en-US" w:eastAsia="en-US"/>
        </w:rPr>
        <mc:AlternateContent>
          <mc:Choice Requires="wps">
            <w:drawing>
              <wp:anchor distT="0" distB="0" distL="114300" distR="114300" simplePos="0" relativeHeight="251669504" behindDoc="0" locked="0" layoutInCell="1" allowOverlap="1" wp14:anchorId="46998639" wp14:editId="0ABF0B6E">
                <wp:simplePos x="0" y="0"/>
                <wp:positionH relativeFrom="column">
                  <wp:posOffset>1294765</wp:posOffset>
                </wp:positionH>
                <wp:positionV relativeFrom="paragraph">
                  <wp:posOffset>376555</wp:posOffset>
                </wp:positionV>
                <wp:extent cx="676275" cy="1922780"/>
                <wp:effectExtent l="0" t="0" r="47625" b="20320"/>
                <wp:wrapNone/>
                <wp:docPr id="1626668706" name="Right Brace 1626668706"/>
                <wp:cNvGraphicFramePr/>
                <a:graphic xmlns:a="http://schemas.openxmlformats.org/drawingml/2006/main">
                  <a:graphicData uri="http://schemas.microsoft.com/office/word/2010/wordprocessingShape">
                    <wps:wsp>
                      <wps:cNvSpPr/>
                      <wps:spPr>
                        <a:xfrm>
                          <a:off x="0" y="0"/>
                          <a:ext cx="676275" cy="19227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91B7CA" id="Right Brace 1626668706" o:spid="_x0000_s1026" type="#_x0000_t88" style="position:absolute;margin-left:101.95pt;margin-top:29.65pt;width:53.25pt;height:1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" adj="633" strokecolor="black [3200]" strokeweight="1pt">
                <v:stroke joinstyle="miter"/>
              </v:shape>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71552" behindDoc="0" locked="0" layoutInCell="1" allowOverlap="1" wp14:anchorId="5E2642D1" wp14:editId="7CDE2D2E">
                <wp:simplePos x="0" y="0"/>
                <wp:positionH relativeFrom="column">
                  <wp:posOffset>4314825</wp:posOffset>
                </wp:positionH>
                <wp:positionV relativeFrom="paragraph">
                  <wp:posOffset>776605</wp:posOffset>
                </wp:positionV>
                <wp:extent cx="742950" cy="742950"/>
                <wp:effectExtent l="0" t="0" r="19050" b="19050"/>
                <wp:wrapNone/>
                <wp:docPr id="1626668708" name="Oval 1626668708"/>
                <wp:cNvGraphicFramePr/>
                <a:graphic xmlns:a="http://schemas.openxmlformats.org/drawingml/2006/main">
                  <a:graphicData uri="http://schemas.microsoft.com/office/word/2010/wordprocessingShape">
                    <wps:wsp>
                      <wps:cNvSpPr/>
                      <wps:spPr>
                        <a:xfrm>
                          <a:off x="0" y="0"/>
                          <a:ext cx="742950" cy="742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E8CB31D" id="Oval 1626668708" o:spid="_x0000_s1026" style="position:absolute;margin-left:339.75pt;margin-top:61.15pt;width:58.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" filled="f" strokecolor="black [3213]" strokeweight="1.5pt">
                <v:stroke joinstyle="miter"/>
              </v:oval>
            </w:pict>
          </mc:Fallback>
        </mc:AlternateContent>
      </w:r>
      <w:r w:rsidRPr="00973D59">
        <w:rPr>
          <w:rFonts w:ascii="Times New Roman" w:hAnsi="Times New Roman" w:cs="Times New Roman"/>
          <w:b/>
          <w:bCs/>
          <w:noProof/>
          <w:lang w:val="en-US" w:eastAsia="en-US"/>
        </w:rPr>
        <mc:AlternateContent>
          <mc:Choice Requires="wps">
            <w:drawing>
              <wp:anchor distT="0" distB="0" distL="114300" distR="114300" simplePos="0" relativeHeight="251670528" behindDoc="0" locked="0" layoutInCell="1" allowOverlap="1" wp14:anchorId="72783512" wp14:editId="0898DB05">
                <wp:simplePos x="0" y="0"/>
                <wp:positionH relativeFrom="column">
                  <wp:posOffset>3371850</wp:posOffset>
                </wp:positionH>
                <wp:positionV relativeFrom="paragraph">
                  <wp:posOffset>357505</wp:posOffset>
                </wp:positionV>
                <wp:extent cx="723900" cy="704850"/>
                <wp:effectExtent l="0" t="0" r="19050" b="19050"/>
                <wp:wrapNone/>
                <wp:docPr id="1626668707" name="Oval 1626668707"/>
                <wp:cNvGraphicFramePr/>
                <a:graphic xmlns:a="http://schemas.openxmlformats.org/drawingml/2006/main">
                  <a:graphicData uri="http://schemas.microsoft.com/office/word/2010/wordprocessingShape">
                    <wps:wsp>
                      <wps:cNvSpPr/>
                      <wps:spPr>
                        <a:xfrm>
                          <a:off x="0" y="0"/>
                          <a:ext cx="723900" cy="704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E15621B" id="Oval 1626668707" o:spid="_x0000_s1026" style="position:absolute;margin-left:265.5pt;margin-top:28.15pt;width:57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" filled="f" strokecolor="black [3213]" strokeweight="1.5pt">
                <v:stroke joinstyle="miter"/>
              </v:oval>
            </w:pict>
          </mc:Fallback>
        </mc:AlternateContent>
      </w:r>
      <w:r w:rsidRPr="00973D59">
        <w:rPr>
          <w:rFonts w:ascii="Times New Roman" w:hAnsi="Times New Roman" w:cs="Times New Roman"/>
          <w:b/>
          <w:bCs/>
          <w:noProof/>
          <w:lang w:val="en-US" w:eastAsia="en-US"/>
        </w:rPr>
        <w:drawing>
          <wp:inline distT="0" distB="0" distL="0" distR="0" wp14:anchorId="6B16FC72" wp14:editId="6BDF9301">
            <wp:extent cx="2787006" cy="2294255"/>
            <wp:effectExtent l="0" t="0" r="0" b="0"/>
            <wp:docPr id="1626668704" name="Content Placeholder 4" descr="A close-up of a pink and purple background&#10;&#10;AI-generated content may be incorrect.">
              <a:extLst xmlns:a="http://schemas.openxmlformats.org/drawingml/2006/main">
                <a:ext uri="{FF2B5EF4-FFF2-40B4-BE49-F238E27FC236}">
                  <a16:creationId xmlns:a16="http://schemas.microsoft.com/office/drawing/2014/main" id="{A121DD9C-56C8-2A12-1DBA-5B95152BC0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up of a pink and purple background&#10;&#10;AI-generated content may be incorrect.">
                      <a:extLst>
                        <a:ext uri="{FF2B5EF4-FFF2-40B4-BE49-F238E27FC236}">
                          <a16:creationId xmlns:a16="http://schemas.microsoft.com/office/drawing/2014/main" id="{A121DD9C-56C8-2A12-1DBA-5B95152BC036}"/>
                        </a:ext>
                      </a:extLst>
                    </pic:cNvPr>
                    <pic:cNvPicPr>
                      <a:picLocks noGrp="1" noChangeAspect="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2830317" cy="2329908"/>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
          <w:bCs/>
          <w:noProof/>
          <w:lang w:val="en-US" w:eastAsia="en-US"/>
        </w:rPr>
        <w:drawing>
          <wp:inline distT="0" distB="0" distL="0" distR="0" wp14:anchorId="7B177549" wp14:editId="4DFB6F53">
            <wp:extent cx="2876550" cy="2305191"/>
            <wp:effectExtent l="0" t="0" r="0" b="0"/>
            <wp:docPr id="1626668705" name="Picture 6" descr="A close-up of a pink and purple background&#10;&#10;AI-generated content may be incorrect.">
              <a:extLst xmlns:a="http://schemas.openxmlformats.org/drawingml/2006/main">
                <a:ext uri="{FF2B5EF4-FFF2-40B4-BE49-F238E27FC236}">
                  <a16:creationId xmlns:a16="http://schemas.microsoft.com/office/drawing/2014/main" id="{17ABEED0-D541-F4B1-076E-8E49E7073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pink and purple background&#10;&#10;AI-generated content may be incorrect.">
                      <a:extLst>
                        <a:ext uri="{FF2B5EF4-FFF2-40B4-BE49-F238E27FC236}">
                          <a16:creationId xmlns:a16="http://schemas.microsoft.com/office/drawing/2014/main" id="{17ABEED0-D541-F4B1-076E-8E49E70730DB}"/>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2905221" cy="2328167"/>
                    </a:xfrm>
                    <a:prstGeom prst="rect">
                      <a:avLst/>
                    </a:prstGeom>
                  </pic:spPr>
                </pic:pic>
              </a:graphicData>
            </a:graphic>
          </wp:inline>
        </w:drawing>
      </w:r>
    </w:p>
    <w:p w14:paraId="0F552FC5" w14:textId="3F97CF54" w:rsidR="00684617" w:rsidRPr="00684617" w:rsidRDefault="00684617" w:rsidP="00684617">
      <w:pPr>
        <w:spacing w:after="0" w:line="360" w:lineRule="auto"/>
        <w:rPr>
          <w:rFonts w:ascii="Times New Roman" w:hAnsi="Times New Roman" w:cs="Times New Roman"/>
          <w:i/>
        </w:rPr>
      </w:pPr>
      <w:r w:rsidRPr="00684617">
        <w:rPr>
          <w:rFonts w:ascii="Times New Roman" w:hAnsi="Times New Roman" w:cs="Times New Roman"/>
          <w:i/>
        </w:rPr>
        <w:t>50 µm</w:t>
      </w:r>
    </w:p>
    <w:p w14:paraId="3A113F73" w14:textId="04EB0316" w:rsidR="00E74DF1" w:rsidRPr="00973D59" w:rsidRDefault="00E74DF1" w:rsidP="00E74DF1">
      <w:pPr>
        <w:spacing w:line="360" w:lineRule="auto"/>
        <w:rPr>
          <w:rFonts w:ascii="Times New Roman" w:hAnsi="Times New Roman" w:cs="Times New Roman"/>
          <w:b/>
        </w:rPr>
      </w:pPr>
      <w:r w:rsidRPr="00973D59">
        <w:rPr>
          <w:rFonts w:ascii="Times New Roman" w:hAnsi="Times New Roman" w:cs="Times New Roman"/>
          <w:b/>
          <w:bCs/>
        </w:rPr>
        <w:t xml:space="preserve">Plate 4: Effect of Lamivudine on Adrenal Gland Tissue Histology, Group D </w:t>
      </w:r>
      <w:r w:rsidRPr="00973D59">
        <w:rPr>
          <w:rFonts w:ascii="Times New Roman" w:hAnsi="Times New Roman" w:cs="Times New Roman"/>
          <w:b/>
        </w:rPr>
        <w:t>(400mg/kg of Lamivudine H&amp;E).</w:t>
      </w:r>
    </w:p>
    <w:p w14:paraId="7D9B20D8" w14:textId="54666384" w:rsidR="00A71C42" w:rsidRPr="00973D59" w:rsidRDefault="00A71C42" w:rsidP="00973D59">
      <w:pPr>
        <w:spacing w:line="360" w:lineRule="auto"/>
        <w:jc w:val="both"/>
        <w:rPr>
          <w:rFonts w:ascii="Times New Roman" w:hAnsi="Times New Roman" w:cs="Times New Roman"/>
        </w:rPr>
      </w:pPr>
      <w:r w:rsidRPr="00973D59">
        <w:rPr>
          <w:rFonts w:ascii="Times New Roman" w:hAnsi="Times New Roman" w:cs="Times New Roman"/>
        </w:rPr>
        <w:t>Histological examination of adrenal tissues revealed increased lipid droplets within the zona fasciculata cells in Lamivudine-treated groups</w:t>
      </w:r>
      <w:r w:rsidR="00E74DF1" w:rsidRPr="00973D59">
        <w:rPr>
          <w:rFonts w:ascii="Times New Roman" w:hAnsi="Times New Roman" w:cs="Times New Roman"/>
        </w:rPr>
        <w:t xml:space="preserve"> when compared with control group</w:t>
      </w:r>
      <w:r w:rsidRPr="00973D59">
        <w:rPr>
          <w:rFonts w:ascii="Times New Roman" w:hAnsi="Times New Roman" w:cs="Times New Roman"/>
        </w:rPr>
        <w:t>. This finding suggests enhanced steroidogenic activity. However, no evidence of cellular degeneration, necrosis, or structural distortion was observed, indicating preserved adrenal integrity.</w:t>
      </w:r>
    </w:p>
    <w:p w14:paraId="6375F5B8" w14:textId="77777777" w:rsidR="00EE1957" w:rsidRDefault="00EE1957" w:rsidP="00973D59">
      <w:pPr>
        <w:spacing w:line="360" w:lineRule="auto"/>
        <w:jc w:val="both"/>
        <w:rPr>
          <w:rFonts w:ascii="Times New Roman" w:hAnsi="Times New Roman" w:cs="Times New Roman"/>
          <w:b/>
        </w:rPr>
      </w:pPr>
    </w:p>
    <w:p w14:paraId="3F607494" w14:textId="77777777" w:rsidR="00EE1957" w:rsidRDefault="00EE1957" w:rsidP="00973D59">
      <w:pPr>
        <w:spacing w:line="360" w:lineRule="auto"/>
        <w:jc w:val="both"/>
        <w:rPr>
          <w:rFonts w:ascii="Times New Roman" w:hAnsi="Times New Roman" w:cs="Times New Roman"/>
          <w:b/>
        </w:rPr>
      </w:pPr>
    </w:p>
    <w:p w14:paraId="4347FBE6" w14:textId="36D0FE60" w:rsidR="00A71C42" w:rsidRPr="00973D59" w:rsidRDefault="00A71C42" w:rsidP="00973D59">
      <w:pPr>
        <w:spacing w:line="360" w:lineRule="auto"/>
        <w:jc w:val="both"/>
        <w:rPr>
          <w:rFonts w:ascii="Times New Roman" w:hAnsi="Times New Roman" w:cs="Times New Roman"/>
          <w:b/>
        </w:rPr>
      </w:pPr>
      <w:r w:rsidRPr="00973D59">
        <w:rPr>
          <w:rFonts w:ascii="Times New Roman" w:hAnsi="Times New Roman" w:cs="Times New Roman"/>
          <w:b/>
        </w:rPr>
        <w:lastRenderedPageBreak/>
        <w:t>Discussion</w:t>
      </w:r>
    </w:p>
    <w:p w14:paraId="3B9782F1" w14:textId="77777777" w:rsidR="00A71C42" w:rsidRPr="00973D59" w:rsidRDefault="00A71C42" w:rsidP="00973D59">
      <w:pPr>
        <w:spacing w:line="360" w:lineRule="auto"/>
        <w:jc w:val="both"/>
        <w:rPr>
          <w:rFonts w:ascii="Times New Roman" w:hAnsi="Times New Roman" w:cs="Times New Roman"/>
        </w:rPr>
      </w:pPr>
      <w:r w:rsidRPr="00973D59">
        <w:rPr>
          <w:rFonts w:ascii="Times New Roman" w:hAnsi="Times New Roman" w:cs="Times New Roman"/>
        </w:rPr>
        <w:t>The present study evaluated the effect of Lamivudine on adrenal corticosterone secretion and demonstrated a mild, dose-dependent increase that was not statistically significant. This suggests that Lamivudine exerts only minimal influence on adrenal endocrine function under the conditions of this study.</w:t>
      </w:r>
    </w:p>
    <w:p w14:paraId="40CB08CA" w14:textId="1025B916" w:rsidR="009237EB" w:rsidRDefault="009237EB" w:rsidP="00973D59">
      <w:pPr>
        <w:spacing w:line="360" w:lineRule="auto"/>
        <w:jc w:val="both"/>
        <w:rPr>
          <w:rFonts w:ascii="Times New Roman" w:hAnsi="Times New Roman" w:cs="Times New Roman"/>
        </w:rPr>
      </w:pPr>
      <w:r>
        <w:rPr>
          <w:rFonts w:ascii="Times New Roman" w:hAnsi="Times New Roman" w:cs="Times New Roman"/>
        </w:rPr>
        <w:t>The slight elevation in corticosterone levels observed across the treated groups may indicate a mild activation of the HPA axis. The HPA axis is a central component of the neuroendocrine stress response system, and even weak pharmacological or environmental stressors can stimulate its activity, leading to inc</w:t>
      </w:r>
      <w:r w:rsidR="00EE1957">
        <w:rPr>
          <w:rFonts w:ascii="Times New Roman" w:hAnsi="Times New Roman" w:cs="Times New Roman"/>
        </w:rPr>
        <w:t>reased glucocorticoid secretion</w:t>
      </w:r>
      <w:r w:rsidR="00EE1957" w:rsidRPr="00EE1957">
        <w:rPr>
          <w:rFonts w:ascii="Times New Roman" w:hAnsi="Times New Roman" w:cs="Times New Roman"/>
          <w:vertAlign w:val="superscript"/>
        </w:rPr>
        <w:t>22</w:t>
      </w:r>
      <w:r>
        <w:rPr>
          <w:rFonts w:ascii="Times New Roman" w:hAnsi="Times New Roman" w:cs="Times New Roman"/>
        </w:rPr>
        <w:t xml:space="preserve">. In this context, Lamivudine administration may have acted as a mild physiological stressor, triggering adaptive endocrine responses aimed at maintaining homeostasis. Such adaptive activation is often transient and does not necessarily translate into pathological </w:t>
      </w:r>
      <w:r w:rsidR="00217838">
        <w:rPr>
          <w:rFonts w:ascii="Times New Roman" w:hAnsi="Times New Roman" w:cs="Times New Roman"/>
        </w:rPr>
        <w:t>dysfunction</w:t>
      </w:r>
      <w:r w:rsidR="004A43B3">
        <w:rPr>
          <w:rFonts w:ascii="Times New Roman" w:hAnsi="Times New Roman" w:cs="Times New Roman"/>
          <w:vertAlign w:val="superscript"/>
        </w:rPr>
        <w:t>22</w:t>
      </w:r>
      <w:r w:rsidR="00217838">
        <w:rPr>
          <w:rFonts w:ascii="Times New Roman" w:hAnsi="Times New Roman" w:cs="Times New Roman"/>
        </w:rPr>
        <w:t>.</w:t>
      </w:r>
    </w:p>
    <w:p w14:paraId="7FAF7D72" w14:textId="32C920C8" w:rsidR="00A21861" w:rsidRDefault="00A21861" w:rsidP="00973D59">
      <w:pPr>
        <w:spacing w:line="360" w:lineRule="auto"/>
        <w:jc w:val="both"/>
        <w:rPr>
          <w:rFonts w:ascii="Times New Roman" w:hAnsi="Times New Roman" w:cs="Times New Roman"/>
        </w:rPr>
      </w:pPr>
      <w:r>
        <w:rPr>
          <w:rFonts w:ascii="Times New Roman" w:hAnsi="Times New Roman" w:cs="Times New Roman"/>
        </w:rPr>
        <w:t>A plausible mechanism for this response involves oxidative stress. Nucleoside reverse transcriptase inhibitors, including Lamivudine, have been reported to interfere with mitochondrial DNA polymerase-γ, resulting in impaired mitochondrial replication and f</w:t>
      </w:r>
      <w:r w:rsidR="004A43B3">
        <w:rPr>
          <w:rFonts w:ascii="Times New Roman" w:hAnsi="Times New Roman" w:cs="Times New Roman"/>
        </w:rPr>
        <w:t>unction</w:t>
      </w:r>
      <w:r w:rsidR="004A43B3" w:rsidRPr="004A43B3">
        <w:rPr>
          <w:rFonts w:ascii="Times New Roman" w:hAnsi="Times New Roman" w:cs="Times New Roman"/>
          <w:vertAlign w:val="superscript"/>
        </w:rPr>
        <w:t>5,6</w:t>
      </w:r>
      <w:r>
        <w:rPr>
          <w:rFonts w:ascii="Times New Roman" w:hAnsi="Times New Roman" w:cs="Times New Roman"/>
        </w:rPr>
        <w:t xml:space="preserve">. This dysfunction promotes excessive generation of reactive oxygen species (ROS), which contributes to oxidative stress and cellular </w:t>
      </w:r>
      <w:r w:rsidR="00892637">
        <w:rPr>
          <w:rFonts w:ascii="Times New Roman" w:hAnsi="Times New Roman" w:cs="Times New Roman"/>
        </w:rPr>
        <w:t>signalling</w:t>
      </w:r>
      <w:r w:rsidR="004A43B3">
        <w:rPr>
          <w:rFonts w:ascii="Times New Roman" w:hAnsi="Times New Roman" w:cs="Times New Roman"/>
        </w:rPr>
        <w:t xml:space="preserve"> alterations</w:t>
      </w:r>
      <w:r w:rsidR="004A43B3" w:rsidRPr="004A43B3">
        <w:rPr>
          <w:rFonts w:ascii="Times New Roman" w:hAnsi="Times New Roman" w:cs="Times New Roman"/>
          <w:vertAlign w:val="superscript"/>
        </w:rPr>
        <w:t>7</w:t>
      </w:r>
      <w:r>
        <w:rPr>
          <w:rFonts w:ascii="Times New Roman" w:hAnsi="Times New Roman" w:cs="Times New Roman"/>
        </w:rPr>
        <w:t>.</w:t>
      </w:r>
    </w:p>
    <w:p w14:paraId="0A6C794D" w14:textId="51AB3789" w:rsidR="00A21861" w:rsidRDefault="00A21861" w:rsidP="00973D59">
      <w:pPr>
        <w:spacing w:line="360" w:lineRule="auto"/>
        <w:jc w:val="both"/>
        <w:rPr>
          <w:rFonts w:ascii="Times New Roman" w:hAnsi="Times New Roman" w:cs="Times New Roman"/>
        </w:rPr>
      </w:pPr>
      <w:r>
        <w:rPr>
          <w:rFonts w:ascii="Times New Roman" w:hAnsi="Times New Roman" w:cs="Times New Roman"/>
        </w:rPr>
        <w:t xml:space="preserve">Oxidative stress can directly influence adrenal steroidogenesis by affecting mitochondrial integrity, which is essential for glucocorticoid </w:t>
      </w:r>
      <w:r w:rsidR="008F6C45">
        <w:rPr>
          <w:rFonts w:ascii="Times New Roman" w:hAnsi="Times New Roman" w:cs="Times New Roman"/>
        </w:rPr>
        <w:t>synthesis</w:t>
      </w:r>
      <w:r w:rsidR="004A43B3" w:rsidRPr="004A43B3">
        <w:rPr>
          <w:rFonts w:ascii="Times New Roman" w:hAnsi="Times New Roman" w:cs="Times New Roman"/>
          <w:vertAlign w:val="superscript"/>
        </w:rPr>
        <w:t>5,6</w:t>
      </w:r>
      <w:r>
        <w:rPr>
          <w:rFonts w:ascii="Times New Roman" w:hAnsi="Times New Roman" w:cs="Times New Roman"/>
        </w:rPr>
        <w:t>. The zona fasciculata of the adrenal cortex relies heavily on mitochondrial cholesterol transport as the rate-limiting st</w:t>
      </w:r>
      <w:r w:rsidR="007F52D5">
        <w:rPr>
          <w:rFonts w:ascii="Times New Roman" w:hAnsi="Times New Roman" w:cs="Times New Roman"/>
        </w:rPr>
        <w:t>ep in corticosterone production</w:t>
      </w:r>
      <w:r w:rsidR="007F52D5" w:rsidRPr="007F52D5">
        <w:rPr>
          <w:rFonts w:ascii="Times New Roman" w:hAnsi="Times New Roman" w:cs="Times New Roman"/>
          <w:vertAlign w:val="superscript"/>
        </w:rPr>
        <w:t>23</w:t>
      </w:r>
      <w:r>
        <w:rPr>
          <w:rFonts w:ascii="Times New Roman" w:hAnsi="Times New Roman" w:cs="Times New Roman"/>
        </w:rPr>
        <w:t>. Therefore, even mild mitochondrial disturbances induced by Lamivudine may subtly affect steroid hormone synthesis without causing structural damage.</w:t>
      </w:r>
    </w:p>
    <w:p w14:paraId="562B112E" w14:textId="464115B8" w:rsidR="009237EB" w:rsidRDefault="009237EB" w:rsidP="00973D59">
      <w:pPr>
        <w:spacing w:line="360" w:lineRule="auto"/>
        <w:jc w:val="both"/>
        <w:rPr>
          <w:rFonts w:ascii="Times New Roman" w:hAnsi="Times New Roman" w:cs="Times New Roman"/>
        </w:rPr>
      </w:pPr>
      <w:r>
        <w:rPr>
          <w:rFonts w:ascii="Times New Roman" w:hAnsi="Times New Roman" w:cs="Times New Roman"/>
        </w:rPr>
        <w:t>In addition, oxidative stress is known to exert complex effects on endocrine regulation</w:t>
      </w:r>
      <w:r w:rsidR="00A23783">
        <w:rPr>
          <w:rFonts w:ascii="Times New Roman" w:hAnsi="Times New Roman" w:cs="Times New Roman"/>
        </w:rPr>
        <w:t>, d</w:t>
      </w:r>
      <w:r>
        <w:rPr>
          <w:rFonts w:ascii="Times New Roman" w:hAnsi="Times New Roman" w:cs="Times New Roman"/>
        </w:rPr>
        <w:t>epending on its intensity and duration, oxidative stress may either enha</w:t>
      </w:r>
      <w:r w:rsidR="007F52D5">
        <w:rPr>
          <w:rFonts w:ascii="Times New Roman" w:hAnsi="Times New Roman" w:cs="Times New Roman"/>
        </w:rPr>
        <w:t>nce or suppress steroidogenesis</w:t>
      </w:r>
      <w:r w:rsidR="007F52D5" w:rsidRPr="007F52D5">
        <w:rPr>
          <w:rFonts w:ascii="Times New Roman" w:hAnsi="Times New Roman" w:cs="Times New Roman"/>
          <w:vertAlign w:val="superscript"/>
        </w:rPr>
        <w:t>24,25</w:t>
      </w:r>
      <w:r>
        <w:rPr>
          <w:rFonts w:ascii="Times New Roman" w:hAnsi="Times New Roman" w:cs="Times New Roman"/>
        </w:rPr>
        <w:t xml:space="preserve">. Mild oxidative stress can activate adaptive </w:t>
      </w:r>
      <w:r w:rsidR="000D6B5C">
        <w:rPr>
          <w:rFonts w:ascii="Times New Roman" w:hAnsi="Times New Roman" w:cs="Times New Roman"/>
        </w:rPr>
        <w:t>signalling</w:t>
      </w:r>
      <w:r>
        <w:rPr>
          <w:rFonts w:ascii="Times New Roman" w:hAnsi="Times New Roman" w:cs="Times New Roman"/>
        </w:rPr>
        <w:t xml:space="preserve"> pathways that temporarily increase glucocorticoid secretion as part of a compensatory survival mechanism</w:t>
      </w:r>
      <w:r w:rsidR="000D6B5C">
        <w:rPr>
          <w:rFonts w:ascii="Times New Roman" w:hAnsi="Times New Roman" w:cs="Times New Roman"/>
        </w:rPr>
        <w:t xml:space="preserve">, </w:t>
      </w:r>
      <w:r w:rsidR="00FA6457">
        <w:rPr>
          <w:rFonts w:ascii="Times New Roman" w:hAnsi="Times New Roman" w:cs="Times New Roman"/>
        </w:rPr>
        <w:t>co</w:t>
      </w:r>
      <w:r>
        <w:rPr>
          <w:rFonts w:ascii="Times New Roman" w:hAnsi="Times New Roman" w:cs="Times New Roman"/>
        </w:rPr>
        <w:t xml:space="preserve">nversely, chronic or severe oxidative stress may impair adrenal function by damaging steroidogenic </w:t>
      </w:r>
      <w:r w:rsidR="007F52D5">
        <w:rPr>
          <w:rFonts w:ascii="Times New Roman" w:hAnsi="Times New Roman" w:cs="Times New Roman"/>
        </w:rPr>
        <w:t>enzymes and cellular structures</w:t>
      </w:r>
      <w:r w:rsidR="007F52D5" w:rsidRPr="007F52D5">
        <w:rPr>
          <w:rFonts w:ascii="Times New Roman" w:hAnsi="Times New Roman" w:cs="Times New Roman"/>
          <w:vertAlign w:val="superscript"/>
        </w:rPr>
        <w:t>24,26</w:t>
      </w:r>
      <w:r>
        <w:rPr>
          <w:rFonts w:ascii="Times New Roman" w:hAnsi="Times New Roman" w:cs="Times New Roman"/>
        </w:rPr>
        <w:t>. The findings of the present study, which show increased corticosterone levels without statistical significance or tissue damage, suggest that Lamivudine may induce only a low-level oxidative stimulus insufficient to overwhelm adrenal compensatory mechanisms.</w:t>
      </w:r>
    </w:p>
    <w:p w14:paraId="4D3EF49E" w14:textId="39600253" w:rsidR="009237EB" w:rsidRPr="00973D59" w:rsidRDefault="009237EB" w:rsidP="00973D59">
      <w:pPr>
        <w:spacing w:line="360" w:lineRule="auto"/>
        <w:jc w:val="both"/>
        <w:rPr>
          <w:rFonts w:ascii="Times New Roman" w:hAnsi="Times New Roman" w:cs="Times New Roman"/>
        </w:rPr>
      </w:pPr>
      <w:r>
        <w:rPr>
          <w:rFonts w:ascii="Times New Roman" w:hAnsi="Times New Roman" w:cs="Times New Roman"/>
        </w:rPr>
        <w:lastRenderedPageBreak/>
        <w:t>Furthermore, oxidative stress may influence the central regulation of the HPA axis</w:t>
      </w:r>
      <w:r w:rsidR="00F071C4">
        <w:rPr>
          <w:rFonts w:ascii="Times New Roman" w:hAnsi="Times New Roman" w:cs="Times New Roman"/>
          <w:vertAlign w:val="superscript"/>
        </w:rPr>
        <w:t>14</w:t>
      </w:r>
      <w:r>
        <w:rPr>
          <w:rFonts w:ascii="Times New Roman" w:hAnsi="Times New Roman" w:cs="Times New Roman"/>
        </w:rPr>
        <w:t>. Reactive oxygen species have been shown to modulate hypothalamic neurons responsible for corticotropin-releasing hormone (CRH) secretion, thereby indirectly affecting downstream ACT</w:t>
      </w:r>
      <w:r w:rsidR="00F071C4">
        <w:rPr>
          <w:rFonts w:ascii="Times New Roman" w:hAnsi="Times New Roman" w:cs="Times New Roman"/>
        </w:rPr>
        <w:t>H and corticosterone production</w:t>
      </w:r>
      <w:r w:rsidR="00F071C4" w:rsidRPr="00F071C4">
        <w:rPr>
          <w:rFonts w:ascii="Times New Roman" w:hAnsi="Times New Roman" w:cs="Times New Roman"/>
          <w:vertAlign w:val="superscript"/>
        </w:rPr>
        <w:t>15</w:t>
      </w:r>
      <w:r>
        <w:rPr>
          <w:rFonts w:ascii="Times New Roman" w:hAnsi="Times New Roman" w:cs="Times New Roman"/>
        </w:rPr>
        <w:t>. This central effect provides an additional pathway through which Lamivudine-induced oxidative imbalance could contribute to the observed hormonal trends.</w:t>
      </w:r>
    </w:p>
    <w:p w14:paraId="417B6473" w14:textId="7CB993CC" w:rsidR="00215C53" w:rsidRPr="00215C53" w:rsidRDefault="00215C53" w:rsidP="00215C53">
      <w:pPr>
        <w:spacing w:line="360" w:lineRule="auto"/>
        <w:jc w:val="both"/>
        <w:rPr>
          <w:rFonts w:ascii="Times New Roman" w:hAnsi="Times New Roman" w:cs="Times New Roman"/>
        </w:rPr>
      </w:pPr>
      <w:r w:rsidRPr="00215C53">
        <w:rPr>
          <w:rFonts w:ascii="Times New Roman" w:hAnsi="Times New Roman" w:cs="Times New Roman"/>
        </w:rPr>
        <w:t>Histological findings from this study revealed increased lipid droplets within the zona fasciculata of Lamivudine-treated groups. Lipid droplets serve as intracellular cholesterol reservoirs necessary for steroid hormone synthesis</w:t>
      </w:r>
      <w:r w:rsidR="00B22E9F">
        <w:rPr>
          <w:rFonts w:ascii="Times New Roman" w:hAnsi="Times New Roman" w:cs="Times New Roman"/>
        </w:rPr>
        <w:t>, and t</w:t>
      </w:r>
      <w:r w:rsidRPr="00215C53">
        <w:rPr>
          <w:rFonts w:ascii="Times New Roman" w:hAnsi="Times New Roman" w:cs="Times New Roman"/>
        </w:rPr>
        <w:t>heir accumulation may indicate increased steroidogenic activity or altered lipid mobilizatio</w:t>
      </w:r>
      <w:r w:rsidR="00F071C4">
        <w:rPr>
          <w:rFonts w:ascii="Times New Roman" w:hAnsi="Times New Roman" w:cs="Times New Roman"/>
        </w:rPr>
        <w:t>n within adrenal cortical cells</w:t>
      </w:r>
      <w:r w:rsidR="00F071C4" w:rsidRPr="00F071C4">
        <w:rPr>
          <w:rFonts w:ascii="Times New Roman" w:hAnsi="Times New Roman" w:cs="Times New Roman"/>
          <w:vertAlign w:val="superscript"/>
        </w:rPr>
        <w:t>25</w:t>
      </w:r>
      <w:r w:rsidRPr="00215C53">
        <w:rPr>
          <w:rFonts w:ascii="Times New Roman" w:hAnsi="Times New Roman" w:cs="Times New Roman"/>
        </w:rPr>
        <w:t>. However, the absence of necrosis, inflammation, or architectural distortion suggests preserved adrenal structural integrity.</w:t>
      </w:r>
    </w:p>
    <w:p w14:paraId="7FE2BB14" w14:textId="3859F7F0" w:rsidR="00B22E9F" w:rsidRDefault="00215C53" w:rsidP="00973D59">
      <w:pPr>
        <w:spacing w:line="360" w:lineRule="auto"/>
        <w:jc w:val="both"/>
        <w:rPr>
          <w:rFonts w:ascii="Times New Roman" w:hAnsi="Times New Roman" w:cs="Times New Roman"/>
        </w:rPr>
      </w:pPr>
      <w:r w:rsidRPr="00215C53">
        <w:rPr>
          <w:rFonts w:ascii="Times New Roman" w:hAnsi="Times New Roman" w:cs="Times New Roman"/>
        </w:rPr>
        <w:t>Despite these histological and biochemical trends, the absence of statistically significant differences indicates that the HPA axis maintained effective regulatory control. The endocrine system is characterized by strong feedback mechanisms, particularly negative feedback mediated by glucocorticoids, which stabilize hormone levels ev</w:t>
      </w:r>
      <w:r w:rsidR="00F071C4">
        <w:rPr>
          <w:rFonts w:ascii="Times New Roman" w:hAnsi="Times New Roman" w:cs="Times New Roman"/>
        </w:rPr>
        <w:t>en under mild stress conditions</w:t>
      </w:r>
      <w:r w:rsidR="00F071C4" w:rsidRPr="00F071C4">
        <w:rPr>
          <w:rFonts w:ascii="Times New Roman" w:hAnsi="Times New Roman" w:cs="Times New Roman"/>
          <w:vertAlign w:val="superscript"/>
        </w:rPr>
        <w:t>27,28</w:t>
      </w:r>
      <w:r w:rsidRPr="00215C53">
        <w:rPr>
          <w:rFonts w:ascii="Times New Roman" w:hAnsi="Times New Roman" w:cs="Times New Roman"/>
        </w:rPr>
        <w:t>. This regulatory efficiency likely prevented any measurable endocrine imbalance in this study.</w:t>
      </w:r>
      <w:r w:rsidRPr="00973D59">
        <w:rPr>
          <w:rFonts w:ascii="Times New Roman" w:hAnsi="Times New Roman" w:cs="Times New Roman"/>
        </w:rPr>
        <w:t xml:space="preserve"> </w:t>
      </w:r>
    </w:p>
    <w:p w14:paraId="475BB71A" w14:textId="64B34BEF" w:rsidR="00953D2B" w:rsidRDefault="00953D2B" w:rsidP="00973D59">
      <w:pPr>
        <w:spacing w:line="360" w:lineRule="auto"/>
        <w:jc w:val="both"/>
        <w:rPr>
          <w:rFonts w:ascii="Times New Roman" w:hAnsi="Times New Roman" w:cs="Times New Roman"/>
        </w:rPr>
      </w:pPr>
      <w:r w:rsidRPr="00973D59">
        <w:rPr>
          <w:rFonts w:ascii="Times New Roman" w:hAnsi="Times New Roman" w:cs="Times New Roman"/>
        </w:rPr>
        <w:t>Furthermore, Lamivudine is considered to have relatively low mitochondrial toxicity compared to other nucleoside analogues</w:t>
      </w:r>
      <w:r w:rsidR="00C247FB">
        <w:rPr>
          <w:rFonts w:ascii="Times New Roman" w:hAnsi="Times New Roman" w:cs="Times New Roman"/>
        </w:rPr>
        <w:t>, as it</w:t>
      </w:r>
      <w:r w:rsidRPr="00973D59">
        <w:rPr>
          <w:rFonts w:ascii="Times New Roman" w:hAnsi="Times New Roman" w:cs="Times New Roman"/>
        </w:rPr>
        <w:t xml:space="preserve"> may exhibit antioxidant or protective effects under certain experimental conditions, reducing oxidative damag</w:t>
      </w:r>
      <w:r w:rsidR="001554B0">
        <w:rPr>
          <w:rFonts w:ascii="Times New Roman" w:hAnsi="Times New Roman" w:cs="Times New Roman"/>
        </w:rPr>
        <w:t>e in specific tissues</w:t>
      </w:r>
      <w:r w:rsidR="00F071C4">
        <w:rPr>
          <w:rFonts w:ascii="Times New Roman" w:hAnsi="Times New Roman" w:cs="Times New Roman"/>
          <w:vertAlign w:val="superscript"/>
        </w:rPr>
        <w:t>29</w:t>
      </w:r>
      <w:r w:rsidRPr="00973D59">
        <w:rPr>
          <w:rFonts w:ascii="Times New Roman" w:hAnsi="Times New Roman" w:cs="Times New Roman"/>
        </w:rPr>
        <w:t>. This dual role may explain the minimal endocrine disruption observed in this study.</w:t>
      </w:r>
    </w:p>
    <w:p w14:paraId="2AB4756F" w14:textId="6809E4CF" w:rsidR="005155A7" w:rsidRPr="00973D59" w:rsidRDefault="005155A7" w:rsidP="00973D59">
      <w:pPr>
        <w:spacing w:line="360" w:lineRule="auto"/>
        <w:jc w:val="both"/>
        <w:rPr>
          <w:rFonts w:ascii="Times New Roman" w:hAnsi="Times New Roman" w:cs="Times New Roman"/>
        </w:rPr>
      </w:pPr>
      <w:r>
        <w:rPr>
          <w:rFonts w:ascii="Times New Roman" w:hAnsi="Times New Roman" w:cs="Times New Roman"/>
        </w:rPr>
        <w:t>The findings therefore indicate that Lamivudine has limited impact on corticosterone regulation, suggesting relative safety regarding adrenal endocrine function under the conditions of this experiment.</w:t>
      </w:r>
    </w:p>
    <w:p w14:paraId="5591D813" w14:textId="6B56633E" w:rsidR="00A71C42" w:rsidRPr="00973D59" w:rsidRDefault="00A71C42" w:rsidP="00973D59">
      <w:pPr>
        <w:spacing w:line="360" w:lineRule="auto"/>
        <w:jc w:val="both"/>
        <w:rPr>
          <w:rFonts w:ascii="Times New Roman" w:hAnsi="Times New Roman" w:cs="Times New Roman"/>
          <w:b/>
        </w:rPr>
      </w:pPr>
      <w:r w:rsidRPr="00973D59">
        <w:rPr>
          <w:rFonts w:ascii="Times New Roman" w:hAnsi="Times New Roman" w:cs="Times New Roman"/>
          <w:b/>
        </w:rPr>
        <w:t>Conclusion</w:t>
      </w:r>
    </w:p>
    <w:p w14:paraId="571B4112" w14:textId="77777777" w:rsidR="00A71C42" w:rsidRDefault="00A71C42" w:rsidP="00973D59">
      <w:pPr>
        <w:spacing w:line="360" w:lineRule="auto"/>
        <w:jc w:val="both"/>
        <w:rPr>
          <w:rFonts w:ascii="Times New Roman" w:hAnsi="Times New Roman" w:cs="Times New Roman"/>
        </w:rPr>
      </w:pPr>
      <w:r w:rsidRPr="00973D59">
        <w:rPr>
          <w:rFonts w:ascii="Times New Roman" w:hAnsi="Times New Roman" w:cs="Times New Roman"/>
        </w:rPr>
        <w:t>Lamivudine administration resulted in a mild, non-significant increase in serum corticosterone levels, suggesting slight activation of the HPA axis without significant endocrine disruption. Histological findings indicate increased steroidogenic activity without structural damage. Overall, Lamivudine appears to be relatively safe with respect to adrenal function, although further studies are required to evaluate long-term effects.</w:t>
      </w:r>
    </w:p>
    <w:p w14:paraId="4673A274" w14:textId="77777777" w:rsidR="004662BF" w:rsidRPr="004662BF" w:rsidRDefault="004662BF" w:rsidP="00973D59">
      <w:pPr>
        <w:spacing w:line="360" w:lineRule="auto"/>
        <w:jc w:val="both"/>
        <w:rPr>
          <w:rFonts w:ascii="Times New Roman" w:hAnsi="Times New Roman" w:cs="Times New Roman"/>
          <w:b/>
          <w:bCs/>
        </w:rPr>
      </w:pPr>
      <w:r w:rsidRPr="004662BF">
        <w:rPr>
          <w:rFonts w:ascii="Times New Roman" w:hAnsi="Times New Roman" w:cs="Times New Roman"/>
          <w:b/>
          <w:bCs/>
        </w:rPr>
        <w:lastRenderedPageBreak/>
        <w:t>Study Limitations</w:t>
      </w:r>
    </w:p>
    <w:p w14:paraId="5D2C0498" w14:textId="77777777" w:rsidR="004662BF" w:rsidRDefault="004662BF" w:rsidP="00973D59">
      <w:pPr>
        <w:spacing w:line="360" w:lineRule="auto"/>
        <w:jc w:val="both"/>
        <w:rPr>
          <w:rFonts w:ascii="Times New Roman" w:hAnsi="Times New Roman" w:cs="Times New Roman"/>
        </w:rPr>
      </w:pPr>
      <w:r>
        <w:rPr>
          <w:rFonts w:ascii="Times New Roman" w:hAnsi="Times New Roman" w:cs="Times New Roman"/>
        </w:rPr>
        <w:t>This study has some limitations. The sample size was relatively small, which may reduce statistical power. Additionally, only corticosterone levels were assessed, and other markers of HPA axis activity were not evaluated. Future studies should include larger sample sizes, longer exposure durations, and additional biochemical parameters.</w:t>
      </w:r>
    </w:p>
    <w:p w14:paraId="06821B18" w14:textId="77777777" w:rsidR="004A0EE4" w:rsidRPr="00973D59" w:rsidRDefault="004A0EE4" w:rsidP="004A0EE4">
      <w:pPr>
        <w:spacing w:line="360" w:lineRule="auto"/>
        <w:jc w:val="both"/>
        <w:rPr>
          <w:rFonts w:ascii="Times New Roman" w:hAnsi="Times New Roman" w:cs="Times New Roman"/>
          <w:b/>
        </w:rPr>
      </w:pPr>
      <w:r w:rsidRPr="00973D59">
        <w:rPr>
          <w:rFonts w:ascii="Times New Roman" w:hAnsi="Times New Roman" w:cs="Times New Roman"/>
          <w:b/>
        </w:rPr>
        <w:t>Ethical Considerations</w:t>
      </w:r>
    </w:p>
    <w:p w14:paraId="485611E7" w14:textId="77777777" w:rsidR="004A0EE4" w:rsidRDefault="004A0EE4" w:rsidP="004A0EE4">
      <w:pPr>
        <w:spacing w:after="0" w:line="360" w:lineRule="auto"/>
        <w:jc w:val="both"/>
        <w:rPr>
          <w:rFonts w:ascii="Times New Roman" w:hAnsi="Times New Roman" w:cs="Times New Roman"/>
        </w:rPr>
      </w:pPr>
      <w:r>
        <w:rPr>
          <w:rFonts w:ascii="Times New Roman" w:hAnsi="Times New Roman" w:cs="Times New Roman"/>
        </w:rPr>
        <w:t xml:space="preserve">All experimental protocols were approved by the Animal Research Ethics Committee of Nnamdi Azikiwe University, </w:t>
      </w:r>
      <w:proofErr w:type="spellStart"/>
      <w:r>
        <w:rPr>
          <w:rFonts w:ascii="Times New Roman" w:hAnsi="Times New Roman" w:cs="Times New Roman"/>
        </w:rPr>
        <w:t>Awka</w:t>
      </w:r>
      <w:proofErr w:type="spellEnd"/>
      <w:r>
        <w:rPr>
          <w:rFonts w:ascii="Times New Roman" w:hAnsi="Times New Roman" w:cs="Times New Roman"/>
        </w:rPr>
        <w:t xml:space="preserve"> (Reference Number: NAU/AREC/2025/0167; issued 6th November, 2025) and conducted in accordance with the National Institutes of Health (NIH) guidelines for the care and use of laboratory animals</w:t>
      </w:r>
      <w:r w:rsidRPr="00F0139C">
        <w:rPr>
          <w:rFonts w:ascii="Times New Roman" w:hAnsi="Times New Roman" w:cs="Times New Roman"/>
          <w:vertAlign w:val="superscript"/>
        </w:rPr>
        <w:t>20</w:t>
      </w:r>
      <w:r>
        <w:rPr>
          <w:rFonts w:ascii="Times New Roman" w:hAnsi="Times New Roman" w:cs="Times New Roman"/>
        </w:rPr>
        <w:t>.</w:t>
      </w:r>
    </w:p>
    <w:p w14:paraId="480192E0" w14:textId="77777777" w:rsidR="00E81C69" w:rsidRDefault="00E81C69" w:rsidP="00973D59">
      <w:pPr>
        <w:spacing w:line="360" w:lineRule="auto"/>
        <w:jc w:val="both"/>
        <w:rPr>
          <w:rFonts w:ascii="Times New Roman" w:hAnsi="Times New Roman" w:cs="Times New Roman"/>
        </w:rPr>
      </w:pPr>
    </w:p>
    <w:p w14:paraId="315A3E19" w14:textId="77777777" w:rsidR="00E81C69" w:rsidRPr="00E81C69" w:rsidRDefault="00E81C69" w:rsidP="00E81C69">
      <w:pPr>
        <w:spacing w:line="360" w:lineRule="auto"/>
        <w:jc w:val="both"/>
        <w:rPr>
          <w:rFonts w:ascii="Times New Roman" w:hAnsi="Times New Roman" w:cs="Times New Roman"/>
        </w:rPr>
      </w:pPr>
      <w:r w:rsidRPr="00E81C69">
        <w:rPr>
          <w:rFonts w:ascii="Times New Roman" w:hAnsi="Times New Roman" w:cs="Times New Roman"/>
        </w:rPr>
        <w:t>COMPETING INTERESTS DISCLAIMER:</w:t>
      </w:r>
      <w:bookmarkStart w:id="0" w:name="_GoBack"/>
      <w:bookmarkEnd w:id="0"/>
    </w:p>
    <w:p w14:paraId="6E0D140E" w14:textId="77777777" w:rsidR="00E81C69" w:rsidRPr="00E81C69" w:rsidRDefault="00E81C69" w:rsidP="00E81C69">
      <w:pPr>
        <w:spacing w:line="360" w:lineRule="auto"/>
        <w:jc w:val="both"/>
        <w:rPr>
          <w:rFonts w:ascii="Times New Roman" w:hAnsi="Times New Roman" w:cs="Times New Roman"/>
        </w:rPr>
      </w:pPr>
      <w:r w:rsidRPr="00E81C69">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76377031" w14:textId="77777777" w:rsidR="0038452A" w:rsidRPr="00005ED1" w:rsidRDefault="0038452A" w:rsidP="0038452A">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7D80036" w14:textId="77777777" w:rsidR="0038452A" w:rsidRPr="00005ED1" w:rsidRDefault="0038452A" w:rsidP="0038452A">
      <w:pPr>
        <w:pStyle w:val="NoSpacing"/>
        <w:rPr>
          <w:rFonts w:ascii="Arial" w:hAnsi="Arial" w:cs="Arial"/>
          <w:highlight w:val="yellow"/>
        </w:rPr>
      </w:pPr>
    </w:p>
    <w:p w14:paraId="448CED8F" w14:textId="77777777" w:rsidR="0038452A" w:rsidRPr="00005ED1" w:rsidRDefault="0038452A" w:rsidP="0038452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06C7482A" w14:textId="77777777" w:rsidR="00E81C69" w:rsidRPr="00E81C69" w:rsidRDefault="00E81C69" w:rsidP="00E81C69">
      <w:pPr>
        <w:spacing w:line="360" w:lineRule="auto"/>
        <w:jc w:val="both"/>
        <w:rPr>
          <w:rFonts w:ascii="Times New Roman" w:hAnsi="Times New Roman" w:cs="Times New Roman"/>
        </w:rPr>
      </w:pPr>
    </w:p>
    <w:p w14:paraId="7C754C32" w14:textId="77777777" w:rsidR="00E81C69" w:rsidRPr="00973D59" w:rsidRDefault="00E81C69" w:rsidP="00973D59">
      <w:pPr>
        <w:spacing w:line="360" w:lineRule="auto"/>
        <w:jc w:val="both"/>
        <w:rPr>
          <w:rFonts w:ascii="Times New Roman" w:hAnsi="Times New Roman" w:cs="Times New Roman"/>
        </w:rPr>
      </w:pPr>
    </w:p>
    <w:p w14:paraId="434FC593" w14:textId="77777777" w:rsidR="00940E8C" w:rsidRPr="00B850AC" w:rsidRDefault="00940E8C" w:rsidP="00940E8C">
      <w:pPr>
        <w:spacing w:line="360" w:lineRule="auto"/>
        <w:jc w:val="both"/>
        <w:rPr>
          <w:rFonts w:ascii="Times New Roman" w:hAnsi="Times New Roman" w:cs="Times New Roman"/>
          <w:b/>
        </w:rPr>
      </w:pPr>
      <w:r w:rsidRPr="00B850AC">
        <w:rPr>
          <w:rFonts w:ascii="Times New Roman" w:hAnsi="Times New Roman" w:cs="Times New Roman"/>
          <w:b/>
        </w:rPr>
        <w:t>References</w:t>
      </w:r>
    </w:p>
    <w:p w14:paraId="6686B488" w14:textId="77777777"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Łupina</w:t>
      </w:r>
      <w:proofErr w:type="spellEnd"/>
      <w:r w:rsidRPr="006F7F19">
        <w:rPr>
          <w:rFonts w:ascii="Times New Roman" w:hAnsi="Times New Roman" w:cs="Times New Roman"/>
        </w:rPr>
        <w:t xml:space="preserve">, K., Nowak, K., </w:t>
      </w:r>
      <w:proofErr w:type="spellStart"/>
      <w:r w:rsidRPr="006F7F19">
        <w:rPr>
          <w:rFonts w:ascii="Times New Roman" w:hAnsi="Times New Roman" w:cs="Times New Roman"/>
        </w:rPr>
        <w:t>Lorek</w:t>
      </w:r>
      <w:proofErr w:type="spellEnd"/>
      <w:r w:rsidRPr="006F7F19">
        <w:rPr>
          <w:rFonts w:ascii="Times New Roman" w:hAnsi="Times New Roman" w:cs="Times New Roman"/>
        </w:rPr>
        <w:t xml:space="preserve">, D., Nowak, A., </w:t>
      </w:r>
      <w:proofErr w:type="spellStart"/>
      <w:r w:rsidRPr="006F7F19">
        <w:rPr>
          <w:rFonts w:ascii="Times New Roman" w:hAnsi="Times New Roman" w:cs="Times New Roman"/>
        </w:rPr>
        <w:t>Romac</w:t>
      </w:r>
      <w:proofErr w:type="spellEnd"/>
      <w:r w:rsidRPr="006F7F19">
        <w:rPr>
          <w:rFonts w:ascii="Times New Roman" w:hAnsi="Times New Roman" w:cs="Times New Roman"/>
        </w:rPr>
        <w:t xml:space="preserve">, A., </w:t>
      </w:r>
      <w:proofErr w:type="spellStart"/>
      <w:r w:rsidRPr="006F7F19">
        <w:rPr>
          <w:rFonts w:ascii="Times New Roman" w:hAnsi="Times New Roman" w:cs="Times New Roman"/>
        </w:rPr>
        <w:t>Głowacka</w:t>
      </w:r>
      <w:proofErr w:type="spellEnd"/>
      <w:r w:rsidRPr="006F7F19">
        <w:rPr>
          <w:rFonts w:ascii="Times New Roman" w:hAnsi="Times New Roman" w:cs="Times New Roman"/>
        </w:rPr>
        <w:t xml:space="preserve">, E., &amp; </w:t>
      </w:r>
      <w:proofErr w:type="spellStart"/>
      <w:r w:rsidRPr="006F7F19">
        <w:rPr>
          <w:rFonts w:ascii="Times New Roman" w:hAnsi="Times New Roman" w:cs="Times New Roman"/>
        </w:rPr>
        <w:t>Janczura</w:t>
      </w:r>
      <w:proofErr w:type="spellEnd"/>
      <w:r w:rsidRPr="006F7F19">
        <w:rPr>
          <w:rFonts w:ascii="Times New Roman" w:hAnsi="Times New Roman" w:cs="Times New Roman"/>
        </w:rPr>
        <w:t>, J. (2025). Pharmacological advances in HIV treatment: From ART to long-acting injectable therapies. Archives of Virology, 170(9), 195. https://doi.org/10.1007/s00705-025-06381-8⁠</w:t>
      </w:r>
    </w:p>
    <w:p w14:paraId="780B1EA4" w14:textId="77777777"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Sedibe</w:t>
      </w:r>
      <w:proofErr w:type="spellEnd"/>
      <w:r w:rsidRPr="006F7F19">
        <w:rPr>
          <w:rFonts w:ascii="Times New Roman" w:hAnsi="Times New Roman" w:cs="Times New Roman"/>
        </w:rPr>
        <w:t xml:space="preserve">, A., Sibiya, N., </w:t>
      </w:r>
      <w:proofErr w:type="spellStart"/>
      <w:r w:rsidRPr="006F7F19">
        <w:rPr>
          <w:rFonts w:ascii="Times New Roman" w:hAnsi="Times New Roman" w:cs="Times New Roman"/>
        </w:rPr>
        <w:t>Nyakudya</w:t>
      </w:r>
      <w:proofErr w:type="spellEnd"/>
      <w:r w:rsidRPr="006F7F19">
        <w:rPr>
          <w:rFonts w:ascii="Times New Roman" w:hAnsi="Times New Roman" w:cs="Times New Roman"/>
        </w:rPr>
        <w:t xml:space="preserve">, T., &amp; </w:t>
      </w:r>
      <w:proofErr w:type="spellStart"/>
      <w:r w:rsidRPr="006F7F19">
        <w:rPr>
          <w:rFonts w:ascii="Times New Roman" w:hAnsi="Times New Roman" w:cs="Times New Roman"/>
        </w:rPr>
        <w:t>Gamede</w:t>
      </w:r>
      <w:proofErr w:type="spellEnd"/>
      <w:r w:rsidRPr="006F7F19">
        <w:rPr>
          <w:rFonts w:ascii="Times New Roman" w:hAnsi="Times New Roman" w:cs="Times New Roman"/>
        </w:rPr>
        <w:t>, M. (2025). The impact of recent HIV non-nucleoside reverse transcriptase inhibitors and nucleoside reverse transcriptase inhibitors-based regimens on metabolic health outcomes: A narrative review. Biochemistry and Biophysics Reports, 44, 102345. https://doi.org/10.1016/j.bbrep.2025.102345⁠</w:t>
      </w:r>
    </w:p>
    <w:p w14:paraId="45767528" w14:textId="028EA247"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Foka</w:t>
      </w:r>
      <w:proofErr w:type="spellEnd"/>
      <w:r w:rsidRPr="006F7F19">
        <w:rPr>
          <w:rFonts w:ascii="Times New Roman" w:hAnsi="Times New Roman" w:cs="Times New Roman"/>
        </w:rPr>
        <w:t xml:space="preserve">, F. E. T., &amp; </w:t>
      </w:r>
      <w:proofErr w:type="spellStart"/>
      <w:r w:rsidRPr="006F7F19">
        <w:rPr>
          <w:rFonts w:ascii="Times New Roman" w:hAnsi="Times New Roman" w:cs="Times New Roman"/>
        </w:rPr>
        <w:t>Mufhandu</w:t>
      </w:r>
      <w:proofErr w:type="spellEnd"/>
      <w:r w:rsidRPr="006F7F19">
        <w:rPr>
          <w:rFonts w:ascii="Times New Roman" w:hAnsi="Times New Roman" w:cs="Times New Roman"/>
        </w:rPr>
        <w:t xml:space="preserve">, H. T. (2023). Current ARTs, virologic failure, and implications for AIDS management: A systematic review. Viruses, 15(8), 1732. </w:t>
      </w:r>
      <w:hyperlink r:id="rId22" w:history="1">
        <w:r w:rsidRPr="006F7F19">
          <w:rPr>
            <w:rStyle w:val="Hyperlink"/>
            <w:rFonts w:ascii="Times New Roman" w:hAnsi="Times New Roman" w:cs="Times New Roman"/>
            <w:color w:val="auto"/>
            <w:u w:val="none"/>
          </w:rPr>
          <w:t>https://doi.org/10.3390/v15081732</w:t>
        </w:r>
      </w:hyperlink>
    </w:p>
    <w:p w14:paraId="665B7EAD" w14:textId="6C796BBA" w:rsidR="00940E8C" w:rsidRPr="006F7F19" w:rsidRDefault="00940E8C"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lastRenderedPageBreak/>
        <w:t xml:space="preserve">Katherine, T., Fritz, K., Pellegrini, M. V., &amp; Parmar, M. (2024). Lamivudine. In </w:t>
      </w:r>
      <w:proofErr w:type="spellStart"/>
      <w:r w:rsidRPr="006F7F19">
        <w:rPr>
          <w:rFonts w:ascii="Times New Roman" w:hAnsi="Times New Roman" w:cs="Times New Roman"/>
        </w:rPr>
        <w:t>StatPearls</w:t>
      </w:r>
      <w:proofErr w:type="spellEnd"/>
      <w:r w:rsidRPr="006F7F19">
        <w:rPr>
          <w:rFonts w:ascii="Times New Roman" w:hAnsi="Times New Roman" w:cs="Times New Roman"/>
        </w:rPr>
        <w:t xml:space="preserve">. Treasure Island (FL): </w:t>
      </w:r>
      <w:proofErr w:type="spellStart"/>
      <w:r w:rsidRPr="006F7F19">
        <w:rPr>
          <w:rFonts w:ascii="Times New Roman" w:hAnsi="Times New Roman" w:cs="Times New Roman"/>
        </w:rPr>
        <w:t>StatPearls</w:t>
      </w:r>
      <w:proofErr w:type="spellEnd"/>
      <w:r w:rsidRPr="006F7F19">
        <w:rPr>
          <w:rFonts w:ascii="Times New Roman" w:hAnsi="Times New Roman" w:cs="Times New Roman"/>
        </w:rPr>
        <w:t xml:space="preserve"> Publishing. https://www.ncbi.nlm.nih.gov/books/NBK559252/</w:t>
      </w:r>
    </w:p>
    <w:p w14:paraId="2AE3AF68" w14:textId="77777777" w:rsidR="00940E8C" w:rsidRDefault="00940E8C" w:rsidP="006F7F19">
      <w:pPr>
        <w:pStyle w:val="ListParagraph"/>
        <w:numPr>
          <w:ilvl w:val="0"/>
          <w:numId w:val="3"/>
        </w:numPr>
        <w:spacing w:line="360" w:lineRule="auto"/>
        <w:jc w:val="both"/>
        <w:rPr>
          <w:rFonts w:ascii="Times New Roman" w:hAnsi="Times New Roman" w:cs="Times New Roman"/>
        </w:rPr>
      </w:pPr>
      <w:proofErr w:type="spellStart"/>
      <w:r w:rsidRPr="006F7F19">
        <w:rPr>
          <w:rFonts w:ascii="Times New Roman" w:hAnsi="Times New Roman" w:cs="Times New Roman"/>
        </w:rPr>
        <w:t>Iorjiim</w:t>
      </w:r>
      <w:proofErr w:type="spellEnd"/>
      <w:r w:rsidRPr="006F7F19">
        <w:rPr>
          <w:rFonts w:ascii="Times New Roman" w:hAnsi="Times New Roman" w:cs="Times New Roman"/>
        </w:rPr>
        <w:t xml:space="preserve">, W. M., </w:t>
      </w:r>
      <w:proofErr w:type="spellStart"/>
      <w:r w:rsidRPr="006F7F19">
        <w:rPr>
          <w:rFonts w:ascii="Times New Roman" w:hAnsi="Times New Roman" w:cs="Times New Roman"/>
        </w:rPr>
        <w:t>Omale</w:t>
      </w:r>
      <w:proofErr w:type="spellEnd"/>
      <w:r w:rsidRPr="006F7F19">
        <w:rPr>
          <w:rFonts w:ascii="Times New Roman" w:hAnsi="Times New Roman" w:cs="Times New Roman"/>
        </w:rPr>
        <w:t xml:space="preserve">, S., </w:t>
      </w:r>
      <w:proofErr w:type="spellStart"/>
      <w:r w:rsidRPr="006F7F19">
        <w:rPr>
          <w:rFonts w:ascii="Times New Roman" w:hAnsi="Times New Roman" w:cs="Times New Roman"/>
        </w:rPr>
        <w:t>Etuh</w:t>
      </w:r>
      <w:proofErr w:type="spellEnd"/>
      <w:r w:rsidRPr="006F7F19">
        <w:rPr>
          <w:rFonts w:ascii="Times New Roman" w:hAnsi="Times New Roman" w:cs="Times New Roman"/>
        </w:rPr>
        <w:t xml:space="preserve">, M. A., </w:t>
      </w:r>
      <w:proofErr w:type="spellStart"/>
      <w:r w:rsidRPr="006F7F19">
        <w:rPr>
          <w:rFonts w:ascii="Times New Roman" w:hAnsi="Times New Roman" w:cs="Times New Roman"/>
        </w:rPr>
        <w:t>Ubani</w:t>
      </w:r>
      <w:proofErr w:type="spellEnd"/>
      <w:r w:rsidRPr="006F7F19">
        <w:rPr>
          <w:rFonts w:ascii="Times New Roman" w:hAnsi="Times New Roman" w:cs="Times New Roman"/>
        </w:rPr>
        <w:t xml:space="preserve">, A., </w:t>
      </w:r>
      <w:proofErr w:type="spellStart"/>
      <w:r w:rsidRPr="006F7F19">
        <w:rPr>
          <w:rFonts w:ascii="Times New Roman" w:hAnsi="Times New Roman" w:cs="Times New Roman"/>
        </w:rPr>
        <w:t>Alemika</w:t>
      </w:r>
      <w:proofErr w:type="spellEnd"/>
      <w:r w:rsidRPr="006F7F19">
        <w:rPr>
          <w:rFonts w:ascii="Times New Roman" w:hAnsi="Times New Roman" w:cs="Times New Roman"/>
        </w:rPr>
        <w:t xml:space="preserve">, E. T., &amp; </w:t>
      </w:r>
      <w:proofErr w:type="spellStart"/>
      <w:r w:rsidRPr="006F7F19">
        <w:rPr>
          <w:rFonts w:ascii="Times New Roman" w:hAnsi="Times New Roman" w:cs="Times New Roman"/>
        </w:rPr>
        <w:t>Gyang</w:t>
      </w:r>
      <w:proofErr w:type="spellEnd"/>
      <w:r w:rsidRPr="006F7F19">
        <w:rPr>
          <w:rFonts w:ascii="Times New Roman" w:hAnsi="Times New Roman" w:cs="Times New Roman"/>
        </w:rPr>
        <w:t xml:space="preserve">, S. S. (2022). Senescence and oxidative stress toxicities induced by lamivudine and tenofovir in Drosophila melanogaster. Annales </w:t>
      </w:r>
      <w:proofErr w:type="spellStart"/>
      <w:r w:rsidRPr="006F7F19">
        <w:rPr>
          <w:rFonts w:ascii="Times New Roman" w:hAnsi="Times New Roman" w:cs="Times New Roman"/>
        </w:rPr>
        <w:t>Pharmaceutiques</w:t>
      </w:r>
      <w:proofErr w:type="spellEnd"/>
      <w:r w:rsidRPr="006F7F19">
        <w:rPr>
          <w:rFonts w:ascii="Times New Roman" w:hAnsi="Times New Roman" w:cs="Times New Roman"/>
        </w:rPr>
        <w:t xml:space="preserve"> </w:t>
      </w:r>
      <w:proofErr w:type="spellStart"/>
      <w:r w:rsidRPr="006F7F19">
        <w:rPr>
          <w:rFonts w:ascii="Times New Roman" w:hAnsi="Times New Roman" w:cs="Times New Roman"/>
        </w:rPr>
        <w:t>Françaises</w:t>
      </w:r>
      <w:proofErr w:type="spellEnd"/>
      <w:r w:rsidRPr="006F7F19">
        <w:rPr>
          <w:rFonts w:ascii="Times New Roman" w:hAnsi="Times New Roman" w:cs="Times New Roman"/>
        </w:rPr>
        <w:t>, 80(6), 864–875. https://doi.org/10.1016/j.pharma.2022.02.006⁠</w:t>
      </w:r>
    </w:p>
    <w:p w14:paraId="60CB2D39" w14:textId="117877DC" w:rsidR="006F7F19" w:rsidRDefault="006F7F19" w:rsidP="006F7F19">
      <w:pPr>
        <w:pStyle w:val="ListParagraph"/>
        <w:numPr>
          <w:ilvl w:val="0"/>
          <w:numId w:val="3"/>
        </w:numPr>
        <w:spacing w:line="360" w:lineRule="auto"/>
        <w:jc w:val="both"/>
        <w:rPr>
          <w:rFonts w:ascii="Times New Roman" w:hAnsi="Times New Roman" w:cs="Times New Roman"/>
        </w:rPr>
      </w:pPr>
      <w:r w:rsidRPr="00A45BC2">
        <w:rPr>
          <w:rFonts w:ascii="Times New Roman" w:hAnsi="Times New Roman" w:cs="Times New Roman"/>
        </w:rPr>
        <w:t>Haynes, J., Joshi, A., Larue, R. C., Eisenmann, E. D., &amp; Govindarajan, R. (2024). Nucleoside reverse transcriptase inhibitor (NRTI)-induced neuropathy and mitochondrial toxicity: Limitations of the poly-γ hypothesis and the potential roles of autophagy and drug transp</w:t>
      </w:r>
      <w:r w:rsidRPr="006F7F19">
        <w:rPr>
          <w:rFonts w:ascii="Times New Roman" w:hAnsi="Times New Roman" w:cs="Times New Roman"/>
        </w:rPr>
        <w:t xml:space="preserve">ort. Pharmaceutics, 16(12), 1592. </w:t>
      </w:r>
      <w:hyperlink r:id="rId23" w:history="1">
        <w:r w:rsidRPr="006F7F19">
          <w:rPr>
            <w:rStyle w:val="Hyperlink"/>
            <w:rFonts w:ascii="Times New Roman" w:hAnsi="Times New Roman" w:cs="Times New Roman"/>
            <w:color w:val="auto"/>
            <w:u w:val="none"/>
          </w:rPr>
          <w:t>https://doi.org/10.3390/pharmaceutics16121592</w:t>
        </w:r>
      </w:hyperlink>
    </w:p>
    <w:p w14:paraId="7EFF2C91" w14:textId="6D92BEE4" w:rsidR="00940E8C" w:rsidRDefault="00940E8C" w:rsidP="006F7F19">
      <w:pPr>
        <w:pStyle w:val="ListParagraph"/>
        <w:numPr>
          <w:ilvl w:val="0"/>
          <w:numId w:val="3"/>
        </w:numPr>
        <w:spacing w:line="360" w:lineRule="auto"/>
        <w:jc w:val="both"/>
        <w:rPr>
          <w:rFonts w:ascii="Times New Roman" w:hAnsi="Times New Roman" w:cs="Times New Roman"/>
        </w:rPr>
      </w:pPr>
      <w:r w:rsidRPr="006F7F19">
        <w:rPr>
          <w:rFonts w:ascii="Times New Roman" w:hAnsi="Times New Roman" w:cs="Times New Roman"/>
        </w:rPr>
        <w:t xml:space="preserve">Costa, B., Gouveia, M. J., &amp; Vale, N. (2024). Oxidative stress induced by antivirals: Implications for adverse outcomes during pregnancy and in </w:t>
      </w:r>
      <w:proofErr w:type="spellStart"/>
      <w:r w:rsidRPr="006F7F19">
        <w:rPr>
          <w:rFonts w:ascii="Times New Roman" w:hAnsi="Times New Roman" w:cs="Times New Roman"/>
        </w:rPr>
        <w:t>newborns</w:t>
      </w:r>
      <w:proofErr w:type="spellEnd"/>
      <w:r w:rsidRPr="006F7F19">
        <w:rPr>
          <w:rFonts w:ascii="Times New Roman" w:hAnsi="Times New Roman" w:cs="Times New Roman"/>
        </w:rPr>
        <w:t>. Antioxidants, 13(12), 1518. https://doi.org/10.3390/antiox13121518⁠</w:t>
      </w:r>
    </w:p>
    <w:p w14:paraId="161C94FA" w14:textId="77777777" w:rsidR="006F7F19" w:rsidRP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Patani</w:t>
      </w:r>
      <w:proofErr w:type="spellEnd"/>
      <w:r w:rsidRPr="006F7F19">
        <w:rPr>
          <w:rFonts w:ascii="Times New Roman" w:hAnsi="Times New Roman" w:cs="Times New Roman"/>
        </w:rPr>
        <w:t>, A., Balram, D., Yadav, V. K., Lian, K.-Y., Patel, A., &amp; Sahoo, D. K. (2023). Harnessing the power of nutritional antioxidants against adrenal hormone imbalance-associated oxidative stress. Frontiers in Endocrinology, 14, 1271521. https://doi.org/10.3389/fendo.2023.1271521⁠</w:t>
      </w:r>
    </w:p>
    <w:p w14:paraId="2FC0A30B" w14:textId="77777777" w:rsid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Gutierrez Nunez, S., Peixoto </w:t>
      </w:r>
      <w:proofErr w:type="spellStart"/>
      <w:r w:rsidRPr="006F7F19">
        <w:rPr>
          <w:rFonts w:ascii="Times New Roman" w:hAnsi="Times New Roman" w:cs="Times New Roman"/>
        </w:rPr>
        <w:t>Rabelo</w:t>
      </w:r>
      <w:proofErr w:type="spellEnd"/>
      <w:r w:rsidRPr="006F7F19">
        <w:rPr>
          <w:rFonts w:ascii="Times New Roman" w:hAnsi="Times New Roman" w:cs="Times New Roman"/>
        </w:rPr>
        <w:t xml:space="preserve">, S., </w:t>
      </w:r>
      <w:proofErr w:type="spellStart"/>
      <w:r w:rsidRPr="006F7F19">
        <w:rPr>
          <w:rFonts w:ascii="Times New Roman" w:hAnsi="Times New Roman" w:cs="Times New Roman"/>
        </w:rPr>
        <w:t>Subotic</w:t>
      </w:r>
      <w:proofErr w:type="spellEnd"/>
      <w:r w:rsidRPr="006F7F19">
        <w:rPr>
          <w:rFonts w:ascii="Times New Roman" w:hAnsi="Times New Roman" w:cs="Times New Roman"/>
        </w:rPr>
        <w:t xml:space="preserve">, N., Caruso, J. W., &amp; </w:t>
      </w:r>
      <w:proofErr w:type="spellStart"/>
      <w:r w:rsidRPr="006F7F19">
        <w:rPr>
          <w:rFonts w:ascii="Times New Roman" w:hAnsi="Times New Roman" w:cs="Times New Roman"/>
        </w:rPr>
        <w:t>Knezevic</w:t>
      </w:r>
      <w:proofErr w:type="spellEnd"/>
      <w:r w:rsidRPr="006F7F19">
        <w:rPr>
          <w:rFonts w:ascii="Times New Roman" w:hAnsi="Times New Roman" w:cs="Times New Roman"/>
        </w:rPr>
        <w:t>, N. N. (2025). Chronic stress and autoimmunity: The role of HPA axis and cortisol dysregulation. International Journal of Molecular Sciences, 26(20), 9994. https://doi.org/10.3390/ijms26209994⁠</w:t>
      </w:r>
    </w:p>
    <w:p w14:paraId="1E5DA2F3" w14:textId="0C3B97F8" w:rsidR="00940E8C" w:rsidRDefault="00940E8C"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Herman, J. P., </w:t>
      </w:r>
      <w:proofErr w:type="spellStart"/>
      <w:r w:rsidRPr="006F7F19">
        <w:rPr>
          <w:rFonts w:ascii="Times New Roman" w:hAnsi="Times New Roman" w:cs="Times New Roman"/>
        </w:rPr>
        <w:t>McKlveen</w:t>
      </w:r>
      <w:proofErr w:type="spellEnd"/>
      <w:r w:rsidRPr="006F7F19">
        <w:rPr>
          <w:rFonts w:ascii="Times New Roman" w:hAnsi="Times New Roman" w:cs="Times New Roman"/>
        </w:rPr>
        <w:t xml:space="preserve">, J. M., Ghosal, S., </w:t>
      </w:r>
      <w:proofErr w:type="spellStart"/>
      <w:r w:rsidRPr="006F7F19">
        <w:rPr>
          <w:rFonts w:ascii="Times New Roman" w:hAnsi="Times New Roman" w:cs="Times New Roman"/>
        </w:rPr>
        <w:t>Nagarkatti</w:t>
      </w:r>
      <w:proofErr w:type="spellEnd"/>
      <w:r w:rsidRPr="006F7F19">
        <w:rPr>
          <w:rFonts w:ascii="Times New Roman" w:hAnsi="Times New Roman" w:cs="Times New Roman"/>
        </w:rPr>
        <w:t xml:space="preserve">, M., </w:t>
      </w:r>
      <w:proofErr w:type="spellStart"/>
      <w:r w:rsidRPr="006F7F19">
        <w:rPr>
          <w:rFonts w:ascii="Times New Roman" w:hAnsi="Times New Roman" w:cs="Times New Roman"/>
        </w:rPr>
        <w:t>Nagarkatti</w:t>
      </w:r>
      <w:proofErr w:type="spellEnd"/>
      <w:r w:rsidRPr="006F7F19">
        <w:rPr>
          <w:rFonts w:ascii="Times New Roman" w:hAnsi="Times New Roman" w:cs="Times New Roman"/>
        </w:rPr>
        <w:t>, P. S., &amp; colleagues contributing to HPA axis regulation chapter (2023). Regulation of the hypothalamic–pituitary–adrenal stress response. Comprehensive Physiology, 13(1), 1–34.</w:t>
      </w:r>
    </w:p>
    <w:p w14:paraId="25BFEA3E" w14:textId="77777777" w:rsidR="006F7F19" w:rsidRP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Berger, I., </w:t>
      </w:r>
      <w:proofErr w:type="spellStart"/>
      <w:r w:rsidRPr="006F7F19">
        <w:rPr>
          <w:rFonts w:ascii="Times New Roman" w:hAnsi="Times New Roman" w:cs="Times New Roman"/>
        </w:rPr>
        <w:t>Werdermann</w:t>
      </w:r>
      <w:proofErr w:type="spellEnd"/>
      <w:r w:rsidRPr="006F7F19">
        <w:rPr>
          <w:rFonts w:ascii="Times New Roman" w:hAnsi="Times New Roman" w:cs="Times New Roman"/>
        </w:rPr>
        <w:t xml:space="preserve">, M., Bornstein, S. R., &amp; </w:t>
      </w:r>
      <w:proofErr w:type="spellStart"/>
      <w:r w:rsidRPr="006F7F19">
        <w:rPr>
          <w:rFonts w:ascii="Times New Roman" w:hAnsi="Times New Roman" w:cs="Times New Roman"/>
        </w:rPr>
        <w:t>Steenblock</w:t>
      </w:r>
      <w:proofErr w:type="spellEnd"/>
      <w:r w:rsidRPr="006F7F19">
        <w:rPr>
          <w:rFonts w:ascii="Times New Roman" w:hAnsi="Times New Roman" w:cs="Times New Roman"/>
        </w:rPr>
        <w:t>, C. (2019). The adrenal gland in stress – adaptation on a cellular level. Journal of Steroid Biochemistry and Molecular Biology, 190, 198–206. https://doi.org/10.1016/j.jsbmb.2019.04.006⁠</w:t>
      </w:r>
    </w:p>
    <w:p w14:paraId="30230C08" w14:textId="77777777" w:rsidR="006F7F19" w:rsidRDefault="006F7F19" w:rsidP="006F7F19">
      <w:pPr>
        <w:pStyle w:val="ListParagraph"/>
        <w:numPr>
          <w:ilvl w:val="0"/>
          <w:numId w:val="3"/>
        </w:numPr>
        <w:jc w:val="both"/>
        <w:rPr>
          <w:rFonts w:ascii="Times New Roman" w:hAnsi="Times New Roman" w:cs="Times New Roman"/>
        </w:rPr>
      </w:pPr>
      <w:proofErr w:type="spellStart"/>
      <w:r w:rsidRPr="00054079">
        <w:rPr>
          <w:rFonts w:ascii="Times New Roman" w:hAnsi="Times New Roman" w:cs="Times New Roman"/>
        </w:rPr>
        <w:t>Bassi</w:t>
      </w:r>
      <w:proofErr w:type="spellEnd"/>
      <w:r w:rsidRPr="00054079">
        <w:rPr>
          <w:rFonts w:ascii="Times New Roman" w:hAnsi="Times New Roman" w:cs="Times New Roman"/>
        </w:rPr>
        <w:t xml:space="preserve">, G., Sidhu, S. K., &amp; Mishra, S. (2021). The expanding role of mitochondria, autophagy and </w:t>
      </w:r>
      <w:proofErr w:type="spellStart"/>
      <w:r w:rsidRPr="00054079">
        <w:rPr>
          <w:rFonts w:ascii="Times New Roman" w:hAnsi="Times New Roman" w:cs="Times New Roman"/>
        </w:rPr>
        <w:t>lipophagy</w:t>
      </w:r>
      <w:proofErr w:type="spellEnd"/>
      <w:r w:rsidRPr="00054079">
        <w:rPr>
          <w:rFonts w:ascii="Times New Roman" w:hAnsi="Times New Roman" w:cs="Times New Roman"/>
        </w:rPr>
        <w:t xml:space="preserve"> </w:t>
      </w:r>
      <w:r w:rsidRPr="006F7F19">
        <w:rPr>
          <w:rFonts w:ascii="Times New Roman" w:hAnsi="Times New Roman" w:cs="Times New Roman"/>
        </w:rPr>
        <w:t xml:space="preserve">in steroidogenesis. Cells, 10(8), 1851. </w:t>
      </w:r>
      <w:hyperlink r:id="rId24" w:history="1">
        <w:r w:rsidRPr="006F7F19">
          <w:rPr>
            <w:rStyle w:val="Hyperlink"/>
            <w:rFonts w:ascii="Times New Roman" w:hAnsi="Times New Roman" w:cs="Times New Roman"/>
            <w:color w:val="auto"/>
            <w:u w:val="none"/>
          </w:rPr>
          <w:t>https://doi.org/10.3390/cells10081851</w:t>
        </w:r>
      </w:hyperlink>
    </w:p>
    <w:p w14:paraId="47EE8ADD" w14:textId="77777777"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Mladenov</w:t>
      </w:r>
      <w:proofErr w:type="spellEnd"/>
      <w:r w:rsidRPr="006F7F19">
        <w:rPr>
          <w:rFonts w:ascii="Times New Roman" w:hAnsi="Times New Roman" w:cs="Times New Roman"/>
        </w:rPr>
        <w:t xml:space="preserve">, M., </w:t>
      </w:r>
      <w:proofErr w:type="spellStart"/>
      <w:r w:rsidRPr="006F7F19">
        <w:rPr>
          <w:rFonts w:ascii="Times New Roman" w:hAnsi="Times New Roman" w:cs="Times New Roman"/>
        </w:rPr>
        <w:t>Sazdova</w:t>
      </w:r>
      <w:proofErr w:type="spellEnd"/>
      <w:r w:rsidRPr="006F7F19">
        <w:rPr>
          <w:rFonts w:ascii="Times New Roman" w:hAnsi="Times New Roman" w:cs="Times New Roman"/>
        </w:rPr>
        <w:t xml:space="preserve">, I., </w:t>
      </w:r>
      <w:proofErr w:type="spellStart"/>
      <w:r w:rsidRPr="006F7F19">
        <w:rPr>
          <w:rFonts w:ascii="Times New Roman" w:hAnsi="Times New Roman" w:cs="Times New Roman"/>
        </w:rPr>
        <w:t>Hadzi-Petrushev</w:t>
      </w:r>
      <w:proofErr w:type="spellEnd"/>
      <w:r w:rsidRPr="006F7F19">
        <w:rPr>
          <w:rFonts w:ascii="Times New Roman" w:hAnsi="Times New Roman" w:cs="Times New Roman"/>
        </w:rPr>
        <w:t xml:space="preserve">, N., </w:t>
      </w:r>
      <w:proofErr w:type="spellStart"/>
      <w:r w:rsidRPr="006F7F19">
        <w:rPr>
          <w:rFonts w:ascii="Times New Roman" w:hAnsi="Times New Roman" w:cs="Times New Roman"/>
        </w:rPr>
        <w:t>Konakchieva</w:t>
      </w:r>
      <w:proofErr w:type="spellEnd"/>
      <w:r w:rsidRPr="006F7F19">
        <w:rPr>
          <w:rFonts w:ascii="Times New Roman" w:hAnsi="Times New Roman" w:cs="Times New Roman"/>
        </w:rPr>
        <w:t xml:space="preserve">, R., &amp; </w:t>
      </w:r>
      <w:proofErr w:type="spellStart"/>
      <w:r w:rsidRPr="006F7F19">
        <w:rPr>
          <w:rFonts w:ascii="Times New Roman" w:hAnsi="Times New Roman" w:cs="Times New Roman"/>
        </w:rPr>
        <w:t>Gagov</w:t>
      </w:r>
      <w:proofErr w:type="spellEnd"/>
      <w:r w:rsidRPr="006F7F19">
        <w:rPr>
          <w:rFonts w:ascii="Times New Roman" w:hAnsi="Times New Roman" w:cs="Times New Roman"/>
        </w:rPr>
        <w:t>, H. (2025). The role of reductive stress in the pathogenesis of endocrine-related metabolic diseases and cancer. International Journal of Molecular Sciences, 26(5), 1910. https://doi.org/10.3390/ijms26051910⁠</w:t>
      </w:r>
    </w:p>
    <w:p w14:paraId="34C04A2C" w14:textId="2A40EC4D" w:rsidR="006F7F19" w:rsidRP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Trifunovic</w:t>
      </w:r>
      <w:proofErr w:type="spellEnd"/>
      <w:r w:rsidRPr="006F7F19">
        <w:rPr>
          <w:rFonts w:ascii="Times New Roman" w:hAnsi="Times New Roman" w:cs="Times New Roman"/>
        </w:rPr>
        <w:t xml:space="preserve">, S., </w:t>
      </w:r>
      <w:proofErr w:type="spellStart"/>
      <w:r w:rsidRPr="006F7F19">
        <w:rPr>
          <w:rFonts w:ascii="Times New Roman" w:hAnsi="Times New Roman" w:cs="Times New Roman"/>
        </w:rPr>
        <w:t>Stevanovic</w:t>
      </w:r>
      <w:proofErr w:type="spellEnd"/>
      <w:r w:rsidRPr="006F7F19">
        <w:rPr>
          <w:rFonts w:ascii="Times New Roman" w:hAnsi="Times New Roman" w:cs="Times New Roman"/>
        </w:rPr>
        <w:t xml:space="preserve">, I., Milosevic, A., </w:t>
      </w:r>
      <w:proofErr w:type="spellStart"/>
      <w:r w:rsidRPr="006F7F19">
        <w:rPr>
          <w:rFonts w:ascii="Times New Roman" w:hAnsi="Times New Roman" w:cs="Times New Roman"/>
        </w:rPr>
        <w:t>Ristic</w:t>
      </w:r>
      <w:proofErr w:type="spellEnd"/>
      <w:r w:rsidRPr="006F7F19">
        <w:rPr>
          <w:rFonts w:ascii="Times New Roman" w:hAnsi="Times New Roman" w:cs="Times New Roman"/>
        </w:rPr>
        <w:t xml:space="preserve">, N., </w:t>
      </w:r>
      <w:proofErr w:type="spellStart"/>
      <w:r w:rsidRPr="006F7F19">
        <w:rPr>
          <w:rFonts w:ascii="Times New Roman" w:hAnsi="Times New Roman" w:cs="Times New Roman"/>
        </w:rPr>
        <w:t>Janjic</w:t>
      </w:r>
      <w:proofErr w:type="spellEnd"/>
      <w:r w:rsidRPr="006F7F19">
        <w:rPr>
          <w:rFonts w:ascii="Times New Roman" w:hAnsi="Times New Roman" w:cs="Times New Roman"/>
        </w:rPr>
        <w:t xml:space="preserve">, M., </w:t>
      </w:r>
      <w:proofErr w:type="spellStart"/>
      <w:r w:rsidRPr="006F7F19">
        <w:rPr>
          <w:rFonts w:ascii="Times New Roman" w:hAnsi="Times New Roman" w:cs="Times New Roman"/>
        </w:rPr>
        <w:t>Bjelobaba</w:t>
      </w:r>
      <w:proofErr w:type="spellEnd"/>
      <w:r w:rsidRPr="006F7F19">
        <w:rPr>
          <w:rFonts w:ascii="Times New Roman" w:hAnsi="Times New Roman" w:cs="Times New Roman"/>
        </w:rPr>
        <w:t xml:space="preserve">, I., </w:t>
      </w:r>
      <w:proofErr w:type="spellStart"/>
      <w:r w:rsidRPr="006F7F19">
        <w:rPr>
          <w:rFonts w:ascii="Times New Roman" w:hAnsi="Times New Roman" w:cs="Times New Roman"/>
        </w:rPr>
        <w:t>Savic</w:t>
      </w:r>
      <w:proofErr w:type="spellEnd"/>
      <w:r w:rsidRPr="006F7F19">
        <w:rPr>
          <w:rFonts w:ascii="Times New Roman" w:hAnsi="Times New Roman" w:cs="Times New Roman"/>
        </w:rPr>
        <w:t xml:space="preserve">, D., </w:t>
      </w:r>
      <w:proofErr w:type="spellStart"/>
      <w:r w:rsidRPr="006F7F19">
        <w:rPr>
          <w:rFonts w:ascii="Times New Roman" w:hAnsi="Times New Roman" w:cs="Times New Roman"/>
        </w:rPr>
        <w:t>Bozic</w:t>
      </w:r>
      <w:proofErr w:type="spellEnd"/>
      <w:r w:rsidRPr="006F7F19">
        <w:rPr>
          <w:rFonts w:ascii="Times New Roman" w:hAnsi="Times New Roman" w:cs="Times New Roman"/>
        </w:rPr>
        <w:t xml:space="preserve">, I., </w:t>
      </w:r>
      <w:proofErr w:type="spellStart"/>
      <w:r w:rsidRPr="006F7F19">
        <w:rPr>
          <w:rFonts w:ascii="Times New Roman" w:hAnsi="Times New Roman" w:cs="Times New Roman"/>
        </w:rPr>
        <w:t>Jakovljevic</w:t>
      </w:r>
      <w:proofErr w:type="spellEnd"/>
      <w:r w:rsidRPr="006F7F19">
        <w:rPr>
          <w:rFonts w:ascii="Times New Roman" w:hAnsi="Times New Roman" w:cs="Times New Roman"/>
        </w:rPr>
        <w:t xml:space="preserve">, M., </w:t>
      </w:r>
      <w:proofErr w:type="spellStart"/>
      <w:r w:rsidRPr="006F7F19">
        <w:rPr>
          <w:rFonts w:ascii="Times New Roman" w:hAnsi="Times New Roman" w:cs="Times New Roman"/>
        </w:rPr>
        <w:t>Tesovic</w:t>
      </w:r>
      <w:proofErr w:type="spellEnd"/>
      <w:r w:rsidRPr="006F7F19">
        <w:rPr>
          <w:rFonts w:ascii="Times New Roman" w:hAnsi="Times New Roman" w:cs="Times New Roman"/>
        </w:rPr>
        <w:t xml:space="preserve">, K., </w:t>
      </w:r>
      <w:proofErr w:type="spellStart"/>
      <w:r w:rsidRPr="006F7F19">
        <w:rPr>
          <w:rFonts w:ascii="Times New Roman" w:hAnsi="Times New Roman" w:cs="Times New Roman"/>
        </w:rPr>
        <w:t>Laketa</w:t>
      </w:r>
      <w:proofErr w:type="spellEnd"/>
      <w:r w:rsidRPr="006F7F19">
        <w:rPr>
          <w:rFonts w:ascii="Times New Roman" w:hAnsi="Times New Roman" w:cs="Times New Roman"/>
        </w:rPr>
        <w:t xml:space="preserve">, D., &amp; </w:t>
      </w:r>
      <w:proofErr w:type="spellStart"/>
      <w:r w:rsidRPr="006F7F19">
        <w:rPr>
          <w:rFonts w:ascii="Times New Roman" w:hAnsi="Times New Roman" w:cs="Times New Roman"/>
        </w:rPr>
        <w:t>Lavrnja</w:t>
      </w:r>
      <w:proofErr w:type="spellEnd"/>
      <w:r w:rsidRPr="006F7F19">
        <w:rPr>
          <w:rFonts w:ascii="Times New Roman" w:hAnsi="Times New Roman" w:cs="Times New Roman"/>
        </w:rPr>
        <w:t xml:space="preserve">, I. (2021). The function of the hypothalamic–pituitary–adrenal axis during experimental autoimmune </w:t>
      </w:r>
      <w:r w:rsidRPr="006F7F19">
        <w:rPr>
          <w:rFonts w:ascii="Times New Roman" w:hAnsi="Times New Roman" w:cs="Times New Roman"/>
        </w:rPr>
        <w:lastRenderedPageBreak/>
        <w:t>encephalomyelitis: Involvement of oxidative stress mediators. Frontiers in Neuroscience, 15, 649485. https://doi.org/10.3389/fnins.2021.649485⁠</w:t>
      </w:r>
    </w:p>
    <w:p w14:paraId="57050586" w14:textId="52A23809"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Kageyama</w:t>
      </w:r>
      <w:proofErr w:type="spellEnd"/>
      <w:r w:rsidRPr="006F7F19">
        <w:rPr>
          <w:rFonts w:ascii="Times New Roman" w:hAnsi="Times New Roman" w:cs="Times New Roman"/>
        </w:rPr>
        <w:t xml:space="preserve">, K., Iwasaki, Y., &amp; </w:t>
      </w:r>
      <w:proofErr w:type="spellStart"/>
      <w:r w:rsidRPr="006F7F19">
        <w:rPr>
          <w:rFonts w:ascii="Times New Roman" w:hAnsi="Times New Roman" w:cs="Times New Roman"/>
        </w:rPr>
        <w:t>Daimon</w:t>
      </w:r>
      <w:proofErr w:type="spellEnd"/>
      <w:r w:rsidRPr="006F7F19">
        <w:rPr>
          <w:rFonts w:ascii="Times New Roman" w:hAnsi="Times New Roman" w:cs="Times New Roman"/>
        </w:rPr>
        <w:t xml:space="preserve">, M. (2021). Hypothalamic regulation of corticotropin-releasing factor under stress and stress resilience. International Journal of Molecular Sciences, 22(22), 12242. </w:t>
      </w:r>
      <w:hyperlink r:id="rId25" w:history="1">
        <w:r w:rsidRPr="006F7F19">
          <w:rPr>
            <w:rStyle w:val="Hyperlink"/>
            <w:rFonts w:ascii="Times New Roman" w:hAnsi="Times New Roman" w:cs="Times New Roman"/>
            <w:color w:val="auto"/>
            <w:u w:val="none"/>
          </w:rPr>
          <w:t>https://doi.org/10.3390/ijms222212242</w:t>
        </w:r>
      </w:hyperlink>
    </w:p>
    <w:p w14:paraId="344C814B" w14:textId="77777777" w:rsidR="006F7F19" w:rsidRPr="00B850AC" w:rsidRDefault="006F7F19" w:rsidP="006F7F19">
      <w:pPr>
        <w:pStyle w:val="ListParagraph"/>
        <w:numPr>
          <w:ilvl w:val="0"/>
          <w:numId w:val="3"/>
        </w:numPr>
        <w:spacing w:line="360" w:lineRule="auto"/>
        <w:jc w:val="both"/>
        <w:rPr>
          <w:rFonts w:ascii="Times New Roman" w:hAnsi="Times New Roman" w:cs="Times New Roman"/>
        </w:rPr>
      </w:pPr>
      <w:proofErr w:type="spellStart"/>
      <w:r w:rsidRPr="00B850AC">
        <w:rPr>
          <w:rFonts w:ascii="Times New Roman" w:hAnsi="Times New Roman" w:cs="Times New Roman"/>
        </w:rPr>
        <w:t>Edagha</w:t>
      </w:r>
      <w:proofErr w:type="spellEnd"/>
      <w:r w:rsidRPr="00B850AC">
        <w:rPr>
          <w:rFonts w:ascii="Times New Roman" w:hAnsi="Times New Roman" w:cs="Times New Roman"/>
        </w:rPr>
        <w:t xml:space="preserve">, I. A., </w:t>
      </w:r>
      <w:proofErr w:type="spellStart"/>
      <w:r w:rsidRPr="00B850AC">
        <w:rPr>
          <w:rFonts w:ascii="Times New Roman" w:hAnsi="Times New Roman" w:cs="Times New Roman"/>
        </w:rPr>
        <w:t>Ekanem</w:t>
      </w:r>
      <w:proofErr w:type="spellEnd"/>
      <w:r w:rsidRPr="00B850AC">
        <w:rPr>
          <w:rFonts w:ascii="Times New Roman" w:hAnsi="Times New Roman" w:cs="Times New Roman"/>
        </w:rPr>
        <w:t xml:space="preserve">, A. U., </w:t>
      </w:r>
      <w:proofErr w:type="spellStart"/>
      <w:r w:rsidRPr="00B850AC">
        <w:rPr>
          <w:rFonts w:ascii="Times New Roman" w:hAnsi="Times New Roman" w:cs="Times New Roman"/>
        </w:rPr>
        <w:t>Usoh</w:t>
      </w:r>
      <w:proofErr w:type="spellEnd"/>
      <w:r w:rsidRPr="00B850AC">
        <w:rPr>
          <w:rFonts w:ascii="Times New Roman" w:hAnsi="Times New Roman" w:cs="Times New Roman"/>
        </w:rPr>
        <w:t xml:space="preserve">, I. F., </w:t>
      </w:r>
      <w:proofErr w:type="spellStart"/>
      <w:r w:rsidRPr="00B850AC">
        <w:rPr>
          <w:rFonts w:ascii="Times New Roman" w:hAnsi="Times New Roman" w:cs="Times New Roman"/>
        </w:rPr>
        <w:t>Umoh</w:t>
      </w:r>
      <w:proofErr w:type="spellEnd"/>
      <w:r w:rsidRPr="00B850AC">
        <w:rPr>
          <w:rFonts w:ascii="Times New Roman" w:hAnsi="Times New Roman" w:cs="Times New Roman"/>
        </w:rPr>
        <w:t xml:space="preserve">, V. A., </w:t>
      </w:r>
      <w:proofErr w:type="spellStart"/>
      <w:r w:rsidRPr="00B850AC">
        <w:rPr>
          <w:rFonts w:ascii="Times New Roman" w:hAnsi="Times New Roman" w:cs="Times New Roman"/>
        </w:rPr>
        <w:t>Ataben</w:t>
      </w:r>
      <w:proofErr w:type="spellEnd"/>
      <w:r w:rsidRPr="00B850AC">
        <w:rPr>
          <w:rFonts w:ascii="Times New Roman" w:hAnsi="Times New Roman" w:cs="Times New Roman"/>
        </w:rPr>
        <w:t>, M. M., &amp; Akpan, A. A. (2022). Brain antioxidants and hippocampal alterations following antiretroviral combinations in Wistar rats. IBRO Neuroscience Reports, 12, 210–216.</w:t>
      </w:r>
    </w:p>
    <w:p w14:paraId="32F1E195" w14:textId="77777777" w:rsidR="006F7F19" w:rsidRP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Asuelimen</w:t>
      </w:r>
      <w:proofErr w:type="spellEnd"/>
      <w:r w:rsidRPr="006F7F19">
        <w:rPr>
          <w:rFonts w:ascii="Times New Roman" w:hAnsi="Times New Roman" w:cs="Times New Roman"/>
        </w:rPr>
        <w:t>, S., &amp; Gabriel, B. O. (2020). Effect of lamivudine on selected hepatic enzymes (alanine aminotransferase, alkaline phosphatase, aspartate aminotransferase) in albino rats. https://doi.org/10.13140/RG.2.2.26674.43202⁠</w:t>
      </w:r>
    </w:p>
    <w:p w14:paraId="62727275" w14:textId="77777777" w:rsid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Lipke</w:t>
      </w:r>
      <w:proofErr w:type="spellEnd"/>
      <w:r w:rsidRPr="006F7F19">
        <w:rPr>
          <w:rFonts w:ascii="Times New Roman" w:hAnsi="Times New Roman" w:cs="Times New Roman"/>
        </w:rPr>
        <w:t xml:space="preserve">, K., </w:t>
      </w:r>
      <w:proofErr w:type="spellStart"/>
      <w:r w:rsidRPr="006F7F19">
        <w:rPr>
          <w:rFonts w:ascii="Times New Roman" w:hAnsi="Times New Roman" w:cs="Times New Roman"/>
        </w:rPr>
        <w:t>Kubis</w:t>
      </w:r>
      <w:proofErr w:type="spellEnd"/>
      <w:r w:rsidRPr="006F7F19">
        <w:rPr>
          <w:rFonts w:ascii="Times New Roman" w:hAnsi="Times New Roman" w:cs="Times New Roman"/>
        </w:rPr>
        <w:t>-Kubiak, A., &amp; Piwowar, A. (2023). The influence of nucleoside reverse transcriptase inhibitors on mitochondrial activity, lipid content, and fatty-acid-binding protein levels in microglial HMC3 cells. Pharmaceuticals, 16(12), 1661. https://doi.org/10.3390/ph16121661⁠</w:t>
      </w:r>
    </w:p>
    <w:p w14:paraId="7C76CF75" w14:textId="5B9DDC3A" w:rsidR="006F7F19" w:rsidRP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Hamed, M. A., </w:t>
      </w:r>
      <w:proofErr w:type="spellStart"/>
      <w:r w:rsidRPr="006F7F19">
        <w:rPr>
          <w:rFonts w:ascii="Times New Roman" w:hAnsi="Times New Roman" w:cs="Times New Roman"/>
        </w:rPr>
        <w:t>Aremu</w:t>
      </w:r>
      <w:proofErr w:type="spellEnd"/>
      <w:r w:rsidRPr="006F7F19">
        <w:rPr>
          <w:rFonts w:ascii="Times New Roman" w:hAnsi="Times New Roman" w:cs="Times New Roman"/>
        </w:rPr>
        <w:t xml:space="preserve">, A. O., &amp; </w:t>
      </w:r>
      <w:proofErr w:type="spellStart"/>
      <w:r w:rsidRPr="006F7F19">
        <w:rPr>
          <w:rFonts w:ascii="Times New Roman" w:hAnsi="Times New Roman" w:cs="Times New Roman"/>
        </w:rPr>
        <w:t>Akhigbe</w:t>
      </w:r>
      <w:proofErr w:type="spellEnd"/>
      <w:r w:rsidRPr="006F7F19">
        <w:rPr>
          <w:rFonts w:ascii="Times New Roman" w:hAnsi="Times New Roman" w:cs="Times New Roman"/>
        </w:rPr>
        <w:t>, R. E. (2021). Concomitant administration of HAART aggravates anti-Koch-induced oxidative hepatorenal damage via dysregulation of glutathione and elevation of uric acid production. Biomedicine &amp; Pharmacotherapy, 111309. https://doi.org/10.1016/j.biopha.2021.111309⁠</w:t>
      </w:r>
    </w:p>
    <w:p w14:paraId="448EA6CA" w14:textId="77777777" w:rsidR="006F7F19" w:rsidRDefault="006F7F19" w:rsidP="006F7F1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rPr>
      </w:pPr>
      <w:r w:rsidRPr="00F0139C">
        <w:rPr>
          <w:rFonts w:ascii="Times New Roman" w:eastAsia="Times New Roman" w:hAnsi="Times New Roman" w:cs="Times New Roman"/>
          <w:color w:val="000000"/>
        </w:rPr>
        <w:t xml:space="preserve">NIH. (2011). </w:t>
      </w:r>
      <w:r w:rsidRPr="00F0139C">
        <w:rPr>
          <w:rFonts w:ascii="Times New Roman" w:eastAsia="Times New Roman" w:hAnsi="Times New Roman" w:cs="Times New Roman"/>
          <w:i/>
          <w:iCs/>
          <w:color w:val="000000"/>
        </w:rPr>
        <w:t>Guide for the Care and Use of Laboratory Animals</w:t>
      </w:r>
      <w:r w:rsidRPr="00F0139C">
        <w:rPr>
          <w:rFonts w:ascii="Times New Roman" w:eastAsia="Times New Roman" w:hAnsi="Times New Roman" w:cs="Times New Roman"/>
          <w:color w:val="000000"/>
        </w:rPr>
        <w:t>. 8th Edition, Institute for Laboratory Animal Research, Division on Earth and Life Studies, National Research Council of the National Academies Press, Washington DC, 1-246.</w:t>
      </w:r>
    </w:p>
    <w:p w14:paraId="5D91E4C4" w14:textId="77777777" w:rsidR="006F7F19" w:rsidRPr="00F0139C" w:rsidRDefault="006F7F19" w:rsidP="006F7F19">
      <w:pPr>
        <w:pStyle w:val="ListParagraph"/>
        <w:numPr>
          <w:ilvl w:val="0"/>
          <w:numId w:val="3"/>
        </w:numPr>
        <w:spacing w:before="100" w:beforeAutospacing="1" w:after="100" w:afterAutospacing="1" w:line="360" w:lineRule="auto"/>
        <w:jc w:val="both"/>
        <w:rPr>
          <w:rFonts w:ascii="Times New Roman" w:eastAsia="Times New Roman" w:hAnsi="Times New Roman" w:cs="Times New Roman"/>
        </w:rPr>
      </w:pPr>
      <w:proofErr w:type="spellStart"/>
      <w:r w:rsidRPr="00F0139C">
        <w:rPr>
          <w:rFonts w:ascii="Times New Roman" w:eastAsia="Times New Roman" w:hAnsi="Times New Roman" w:cs="Times New Roman"/>
          <w:bCs/>
        </w:rPr>
        <w:t>Lorke</w:t>
      </w:r>
      <w:proofErr w:type="spellEnd"/>
      <w:r w:rsidRPr="00F0139C">
        <w:rPr>
          <w:rFonts w:ascii="Times New Roman" w:eastAsia="Times New Roman" w:hAnsi="Times New Roman" w:cs="Times New Roman"/>
          <w:bCs/>
        </w:rPr>
        <w:t xml:space="preserve">, D. (1983). A new approach to practical acute toxicity testing. </w:t>
      </w:r>
      <w:r w:rsidRPr="00F0139C">
        <w:rPr>
          <w:rFonts w:ascii="Times New Roman" w:eastAsia="Times New Roman" w:hAnsi="Times New Roman" w:cs="Times New Roman"/>
          <w:bCs/>
          <w:i/>
          <w:iCs/>
        </w:rPr>
        <w:t>Archives of Toxicology</w:t>
      </w:r>
      <w:r w:rsidRPr="00F0139C">
        <w:rPr>
          <w:rFonts w:ascii="Times New Roman" w:eastAsia="Times New Roman" w:hAnsi="Times New Roman" w:cs="Times New Roman"/>
          <w:bCs/>
        </w:rPr>
        <w:t>, 54(4), 275–287.</w:t>
      </w:r>
      <w:r w:rsidRPr="00F0139C">
        <w:rPr>
          <w:rFonts w:ascii="Times New Roman" w:eastAsia="Times New Roman" w:hAnsi="Times New Roman" w:cs="Times New Roman"/>
        </w:rPr>
        <w:t xml:space="preserve"> </w:t>
      </w:r>
      <w:r w:rsidRPr="00F0139C">
        <w:rPr>
          <w:rFonts w:ascii="Times New Roman" w:eastAsia="Times New Roman" w:hAnsi="Times New Roman" w:cs="Times New Roman"/>
          <w:bCs/>
        </w:rPr>
        <w:t>DOI:</w:t>
      </w:r>
      <w:r w:rsidRPr="00F0139C">
        <w:rPr>
          <w:rFonts w:ascii="Times New Roman" w:eastAsia="Times New Roman" w:hAnsi="Times New Roman" w:cs="Times New Roman"/>
        </w:rPr>
        <w:t xml:space="preserve"> 10.1007/BF01234480</w:t>
      </w:r>
    </w:p>
    <w:p w14:paraId="0B2A9D96" w14:textId="77777777" w:rsidR="006F7F19" w:rsidRP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Sheng, J. A., Bales, N. J., Myers, S. A., Bautista, A. I., </w:t>
      </w:r>
      <w:proofErr w:type="spellStart"/>
      <w:r w:rsidRPr="006F7F19">
        <w:rPr>
          <w:rFonts w:ascii="Times New Roman" w:hAnsi="Times New Roman" w:cs="Times New Roman"/>
        </w:rPr>
        <w:t>Roueinfar</w:t>
      </w:r>
      <w:proofErr w:type="spellEnd"/>
      <w:r w:rsidRPr="006F7F19">
        <w:rPr>
          <w:rFonts w:ascii="Times New Roman" w:hAnsi="Times New Roman" w:cs="Times New Roman"/>
        </w:rPr>
        <w:t xml:space="preserve">, M., Hale, T. M., &amp; </w:t>
      </w:r>
      <w:proofErr w:type="spellStart"/>
      <w:r w:rsidRPr="006F7F19">
        <w:rPr>
          <w:rFonts w:ascii="Times New Roman" w:hAnsi="Times New Roman" w:cs="Times New Roman"/>
        </w:rPr>
        <w:t>Handa</w:t>
      </w:r>
      <w:proofErr w:type="spellEnd"/>
      <w:r w:rsidRPr="006F7F19">
        <w:rPr>
          <w:rFonts w:ascii="Times New Roman" w:hAnsi="Times New Roman" w:cs="Times New Roman"/>
        </w:rPr>
        <w:t>, R. J. (2021). The hypothalamic-pituitary-adrenal axis: Development, programming actions of hormones, and maternal–</w:t>
      </w:r>
      <w:proofErr w:type="spellStart"/>
      <w:r w:rsidRPr="006F7F19">
        <w:rPr>
          <w:rFonts w:ascii="Times New Roman" w:hAnsi="Times New Roman" w:cs="Times New Roman"/>
        </w:rPr>
        <w:t>fetal</w:t>
      </w:r>
      <w:proofErr w:type="spellEnd"/>
      <w:r w:rsidRPr="006F7F19">
        <w:rPr>
          <w:rFonts w:ascii="Times New Roman" w:hAnsi="Times New Roman" w:cs="Times New Roman"/>
        </w:rPr>
        <w:t xml:space="preserve"> interactions. Frontiers in </w:t>
      </w:r>
      <w:proofErr w:type="spellStart"/>
      <w:r w:rsidRPr="006F7F19">
        <w:rPr>
          <w:rFonts w:ascii="Times New Roman" w:hAnsi="Times New Roman" w:cs="Times New Roman"/>
        </w:rPr>
        <w:t>Behavioral</w:t>
      </w:r>
      <w:proofErr w:type="spellEnd"/>
      <w:r w:rsidRPr="006F7F19">
        <w:rPr>
          <w:rFonts w:ascii="Times New Roman" w:hAnsi="Times New Roman" w:cs="Times New Roman"/>
        </w:rPr>
        <w:t xml:space="preserve"> Neuroscience, 14, 601939. https://doi.org/10.3389/fnbeh.2020.601939⁠</w:t>
      </w:r>
    </w:p>
    <w:p w14:paraId="4A738927" w14:textId="77777777" w:rsid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Aderhold, A., &amp; </w:t>
      </w:r>
      <w:proofErr w:type="spellStart"/>
      <w:r w:rsidRPr="006F7F19">
        <w:rPr>
          <w:rFonts w:ascii="Times New Roman" w:hAnsi="Times New Roman" w:cs="Times New Roman"/>
        </w:rPr>
        <w:t>Alexaki</w:t>
      </w:r>
      <w:proofErr w:type="spellEnd"/>
      <w:r w:rsidRPr="006F7F19">
        <w:rPr>
          <w:rFonts w:ascii="Times New Roman" w:hAnsi="Times New Roman" w:cs="Times New Roman"/>
        </w:rPr>
        <w:t>, V. I. (2025). Lipid metabolism in the adrenal gland. Frontiers in Endocrinology, 16, 1577505. https://doi.org/10.3389/fendo.2025.1577505⁠</w:t>
      </w:r>
    </w:p>
    <w:p w14:paraId="02561D40" w14:textId="3CACD90C" w:rsidR="006F7F19" w:rsidRDefault="006F7F19" w:rsidP="006F7F19">
      <w:pPr>
        <w:pStyle w:val="ListParagraph"/>
        <w:numPr>
          <w:ilvl w:val="0"/>
          <w:numId w:val="3"/>
        </w:numPr>
        <w:jc w:val="both"/>
        <w:rPr>
          <w:rFonts w:ascii="Times New Roman" w:hAnsi="Times New Roman" w:cs="Times New Roman"/>
        </w:rPr>
      </w:pPr>
      <w:r w:rsidRPr="005F1ADC">
        <w:rPr>
          <w:rFonts w:ascii="Times New Roman" w:hAnsi="Times New Roman" w:cs="Times New Roman"/>
        </w:rPr>
        <w:t xml:space="preserve">Rotimi, D. E., </w:t>
      </w:r>
      <w:proofErr w:type="spellStart"/>
      <w:r w:rsidRPr="005F1ADC">
        <w:rPr>
          <w:rFonts w:ascii="Times New Roman" w:hAnsi="Times New Roman" w:cs="Times New Roman"/>
        </w:rPr>
        <w:t>Ojo</w:t>
      </w:r>
      <w:proofErr w:type="spellEnd"/>
      <w:r w:rsidRPr="005F1ADC">
        <w:rPr>
          <w:rFonts w:ascii="Times New Roman" w:hAnsi="Times New Roman" w:cs="Times New Roman"/>
        </w:rPr>
        <w:t>, O. A., &amp; Adeyemi, O. S. (2024). Atrazine exposure caused oxidative stress in male rats and inhibited brain–pituitary–testicular functions. Journal of Biochemical and Molecular Toxicology, 38(1), e23579. https://doi.org/10.1002/jbt.23579⁠</w:t>
      </w:r>
    </w:p>
    <w:p w14:paraId="0BE9B72F" w14:textId="77777777" w:rsidR="006F7F19" w:rsidRPr="001554B0" w:rsidRDefault="006F7F19" w:rsidP="006F7F19">
      <w:pPr>
        <w:pStyle w:val="ListParagraph"/>
        <w:numPr>
          <w:ilvl w:val="0"/>
          <w:numId w:val="3"/>
        </w:numPr>
        <w:spacing w:line="360" w:lineRule="auto"/>
        <w:jc w:val="both"/>
        <w:rPr>
          <w:rFonts w:ascii="Times New Roman" w:hAnsi="Times New Roman" w:cs="Times New Roman"/>
        </w:rPr>
      </w:pPr>
      <w:r w:rsidRPr="00940E8C">
        <w:rPr>
          <w:rFonts w:ascii="Times New Roman" w:hAnsi="Times New Roman" w:cs="Times New Roman"/>
        </w:rPr>
        <w:t xml:space="preserve">Navarro, B. F., Aguayo, A. A. C., Gómez, Y. L. T., Alfaro, M. C., &amp; </w:t>
      </w:r>
      <w:proofErr w:type="spellStart"/>
      <w:r w:rsidRPr="00940E8C">
        <w:rPr>
          <w:rFonts w:ascii="Times New Roman" w:hAnsi="Times New Roman" w:cs="Times New Roman"/>
        </w:rPr>
        <w:t>Torner</w:t>
      </w:r>
      <w:proofErr w:type="spellEnd"/>
      <w:r w:rsidRPr="00940E8C">
        <w:rPr>
          <w:rFonts w:ascii="Times New Roman" w:hAnsi="Times New Roman" w:cs="Times New Roman"/>
        </w:rPr>
        <w:t>, L. (2024). Early life stress influences oxidative stress enzyme activities in liver, heart, kidney, suprarenal glands, and pancreas in male and female rat pups. Antioxidants, 13(7), 802. https://doi.org/10.3390/antiox13070802⁠</w:t>
      </w:r>
    </w:p>
    <w:p w14:paraId="32E164ED" w14:textId="50E4394C" w:rsidR="006F7F19" w:rsidRPr="006F7F19" w:rsidRDefault="006F7F19" w:rsidP="006F7F19">
      <w:pPr>
        <w:pStyle w:val="ListParagraph"/>
        <w:numPr>
          <w:ilvl w:val="0"/>
          <w:numId w:val="3"/>
        </w:numPr>
        <w:spacing w:line="360" w:lineRule="auto"/>
        <w:jc w:val="both"/>
        <w:rPr>
          <w:rFonts w:ascii="Times New Roman" w:hAnsi="Times New Roman" w:cs="Times New Roman"/>
        </w:rPr>
      </w:pPr>
      <w:r w:rsidRPr="00B850AC">
        <w:rPr>
          <w:rFonts w:ascii="Times New Roman" w:hAnsi="Times New Roman" w:cs="Times New Roman"/>
        </w:rPr>
        <w:lastRenderedPageBreak/>
        <w:t xml:space="preserve">Forrester, S. J., Kikuchi, D. S., </w:t>
      </w:r>
      <w:proofErr w:type="spellStart"/>
      <w:r w:rsidRPr="00B850AC">
        <w:rPr>
          <w:rFonts w:ascii="Times New Roman" w:hAnsi="Times New Roman" w:cs="Times New Roman"/>
        </w:rPr>
        <w:t>Hernandes</w:t>
      </w:r>
      <w:proofErr w:type="spellEnd"/>
      <w:r w:rsidRPr="00B850AC">
        <w:rPr>
          <w:rFonts w:ascii="Times New Roman" w:hAnsi="Times New Roman" w:cs="Times New Roman"/>
        </w:rPr>
        <w:t xml:space="preserve">, M. S., Xu, Q., &amp; </w:t>
      </w:r>
      <w:proofErr w:type="spellStart"/>
      <w:r w:rsidRPr="00B850AC">
        <w:rPr>
          <w:rFonts w:ascii="Times New Roman" w:hAnsi="Times New Roman" w:cs="Times New Roman"/>
        </w:rPr>
        <w:t>Griendling</w:t>
      </w:r>
      <w:proofErr w:type="spellEnd"/>
      <w:r w:rsidRPr="00B850AC">
        <w:rPr>
          <w:rFonts w:ascii="Times New Roman" w:hAnsi="Times New Roman" w:cs="Times New Roman"/>
        </w:rPr>
        <w:t xml:space="preserve">, K. K. (2018). Reactive oxygen species in metabolic and inflammatory </w:t>
      </w:r>
      <w:proofErr w:type="spellStart"/>
      <w:r w:rsidRPr="00B850AC">
        <w:rPr>
          <w:rFonts w:ascii="Times New Roman" w:hAnsi="Times New Roman" w:cs="Times New Roman"/>
        </w:rPr>
        <w:t>signaling</w:t>
      </w:r>
      <w:proofErr w:type="spellEnd"/>
      <w:r w:rsidRPr="00B850AC">
        <w:rPr>
          <w:rFonts w:ascii="Times New Roman" w:hAnsi="Times New Roman" w:cs="Times New Roman"/>
        </w:rPr>
        <w:t>. Circulation Research, 122(6), 877–902. https://doi.org/10.1161/CIRCRESAHA.117.311401⁠</w:t>
      </w:r>
    </w:p>
    <w:p w14:paraId="4D61773B" w14:textId="77777777" w:rsidR="006F7F19" w:rsidRPr="006F7F19" w:rsidRDefault="006F7F19" w:rsidP="006F7F19">
      <w:pPr>
        <w:pStyle w:val="ListParagraph"/>
        <w:numPr>
          <w:ilvl w:val="0"/>
          <w:numId w:val="3"/>
        </w:numPr>
        <w:jc w:val="both"/>
        <w:rPr>
          <w:rFonts w:ascii="Times New Roman" w:hAnsi="Times New Roman" w:cs="Times New Roman"/>
        </w:rPr>
      </w:pPr>
      <w:proofErr w:type="spellStart"/>
      <w:r w:rsidRPr="006F7F19">
        <w:rPr>
          <w:rFonts w:ascii="Times New Roman" w:hAnsi="Times New Roman" w:cs="Times New Roman"/>
        </w:rPr>
        <w:t>Gjerstad</w:t>
      </w:r>
      <w:proofErr w:type="spellEnd"/>
      <w:r w:rsidRPr="006F7F19">
        <w:rPr>
          <w:rFonts w:ascii="Times New Roman" w:hAnsi="Times New Roman" w:cs="Times New Roman"/>
        </w:rPr>
        <w:t xml:space="preserve">, J. K., Lightman, S. L., &amp; Spiga, F. (2018). Role of glucocorticoid negative feedback in the regulation of HPA axis </w:t>
      </w:r>
      <w:proofErr w:type="spellStart"/>
      <w:r w:rsidRPr="006F7F19">
        <w:rPr>
          <w:rFonts w:ascii="Times New Roman" w:hAnsi="Times New Roman" w:cs="Times New Roman"/>
        </w:rPr>
        <w:t>pulsatility</w:t>
      </w:r>
      <w:proofErr w:type="spellEnd"/>
      <w:r w:rsidRPr="006F7F19">
        <w:rPr>
          <w:rFonts w:ascii="Times New Roman" w:hAnsi="Times New Roman" w:cs="Times New Roman"/>
        </w:rPr>
        <w:t>. Stress, 21(5), 403–416. https://doi.org/10.1080/10253890.2018.1470238⁠</w:t>
      </w:r>
    </w:p>
    <w:p w14:paraId="2F27F903" w14:textId="77777777" w:rsidR="006F7F19" w:rsidRPr="006F7F19" w:rsidRDefault="006F7F19"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Lockett, J., </w:t>
      </w:r>
      <w:proofErr w:type="spellStart"/>
      <w:r w:rsidRPr="006F7F19">
        <w:rPr>
          <w:rFonts w:ascii="Times New Roman" w:hAnsi="Times New Roman" w:cs="Times New Roman"/>
        </w:rPr>
        <w:t>Inder</w:t>
      </w:r>
      <w:proofErr w:type="spellEnd"/>
      <w:r w:rsidRPr="006F7F19">
        <w:rPr>
          <w:rFonts w:ascii="Times New Roman" w:hAnsi="Times New Roman" w:cs="Times New Roman"/>
        </w:rPr>
        <w:t>, W. J., &amp; Clifton, V. L. (2024). The glucocorticoid receptor: Isoforms, functions, and contribution to glucocorticoid sensitivity. Endocrine Reviews, 45(4), 593–624. https://doi.org/10.1210/</w:t>
      </w:r>
      <w:proofErr w:type="spellStart"/>
      <w:r w:rsidRPr="006F7F19">
        <w:rPr>
          <w:rFonts w:ascii="Times New Roman" w:hAnsi="Times New Roman" w:cs="Times New Roman"/>
        </w:rPr>
        <w:t>endrev</w:t>
      </w:r>
      <w:proofErr w:type="spellEnd"/>
      <w:r w:rsidRPr="006F7F19">
        <w:rPr>
          <w:rFonts w:ascii="Times New Roman" w:hAnsi="Times New Roman" w:cs="Times New Roman"/>
        </w:rPr>
        <w:t>/bnae008⁠</w:t>
      </w:r>
    </w:p>
    <w:p w14:paraId="3AED4BB6" w14:textId="6322705B" w:rsidR="00F0139C" w:rsidRPr="006F7F19" w:rsidRDefault="00940E8C" w:rsidP="006F7F19">
      <w:pPr>
        <w:pStyle w:val="ListParagraph"/>
        <w:numPr>
          <w:ilvl w:val="0"/>
          <w:numId w:val="3"/>
        </w:numPr>
        <w:jc w:val="both"/>
        <w:rPr>
          <w:rFonts w:ascii="Times New Roman" w:hAnsi="Times New Roman" w:cs="Times New Roman"/>
        </w:rPr>
      </w:pPr>
      <w:r w:rsidRPr="006F7F19">
        <w:rPr>
          <w:rFonts w:ascii="Times New Roman" w:hAnsi="Times New Roman" w:cs="Times New Roman"/>
        </w:rPr>
        <w:t xml:space="preserve">Rafi, S., Maqbool, T., Sarwar, M., Qureshi, Z. H., Nasreen, M., </w:t>
      </w:r>
      <w:proofErr w:type="spellStart"/>
      <w:r w:rsidRPr="006F7F19">
        <w:rPr>
          <w:rFonts w:ascii="Times New Roman" w:hAnsi="Times New Roman" w:cs="Times New Roman"/>
        </w:rPr>
        <w:t>Naz</w:t>
      </w:r>
      <w:proofErr w:type="spellEnd"/>
      <w:r w:rsidRPr="006F7F19">
        <w:rPr>
          <w:rFonts w:ascii="Times New Roman" w:hAnsi="Times New Roman" w:cs="Times New Roman"/>
        </w:rPr>
        <w:t xml:space="preserve">, S., Atif, M., &amp; </w:t>
      </w:r>
      <w:proofErr w:type="spellStart"/>
      <w:r w:rsidRPr="006F7F19">
        <w:rPr>
          <w:rFonts w:ascii="Times New Roman" w:hAnsi="Times New Roman" w:cs="Times New Roman"/>
        </w:rPr>
        <w:t>Azhar</w:t>
      </w:r>
      <w:proofErr w:type="spellEnd"/>
      <w:r w:rsidRPr="006F7F19">
        <w:rPr>
          <w:rFonts w:ascii="Times New Roman" w:hAnsi="Times New Roman" w:cs="Times New Roman"/>
        </w:rPr>
        <w:t>, M. M. (2024). Hepatoprotective potential of lamivudine through activation of gamma-</w:t>
      </w:r>
      <w:proofErr w:type="spellStart"/>
      <w:r w:rsidRPr="006F7F19">
        <w:rPr>
          <w:rFonts w:ascii="Times New Roman" w:hAnsi="Times New Roman" w:cs="Times New Roman"/>
        </w:rPr>
        <w:t>glutamyltransferase</w:t>
      </w:r>
      <w:proofErr w:type="spellEnd"/>
      <w:r w:rsidRPr="006F7F19">
        <w:rPr>
          <w:rFonts w:ascii="Times New Roman" w:hAnsi="Times New Roman" w:cs="Times New Roman"/>
        </w:rPr>
        <w:t xml:space="preserve"> and down-regulation of p53 in HepG2 cells. International Journal of Chemical and Biochemical Sciences, 25(19), 1139–1147. https://www.iscientific.org/Journal.html</w:t>
      </w:r>
    </w:p>
    <w:p w14:paraId="2437AB71" w14:textId="77777777" w:rsidR="00940E8C" w:rsidRPr="00B850AC" w:rsidRDefault="00940E8C" w:rsidP="00940E8C">
      <w:pPr>
        <w:spacing w:line="360" w:lineRule="auto"/>
        <w:jc w:val="both"/>
        <w:rPr>
          <w:rFonts w:ascii="Times New Roman" w:hAnsi="Times New Roman" w:cs="Times New Roman"/>
        </w:rPr>
      </w:pPr>
    </w:p>
    <w:p w14:paraId="3D41B15A" w14:textId="77777777" w:rsidR="00C34F60" w:rsidRPr="00973D59" w:rsidRDefault="00C34F60" w:rsidP="00973D59">
      <w:pPr>
        <w:spacing w:line="360" w:lineRule="auto"/>
        <w:jc w:val="both"/>
        <w:rPr>
          <w:rFonts w:ascii="Times New Roman" w:hAnsi="Times New Roman" w:cs="Times New Roman"/>
        </w:rPr>
      </w:pPr>
    </w:p>
    <w:sectPr w:rsidR="00C34F60" w:rsidRPr="00973D5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CF4FE" w14:textId="77777777" w:rsidR="00FC1EE9" w:rsidRDefault="00FC1EE9" w:rsidP="00A61C84">
      <w:pPr>
        <w:spacing w:after="0" w:line="240" w:lineRule="auto"/>
      </w:pPr>
      <w:r>
        <w:separator/>
      </w:r>
    </w:p>
  </w:endnote>
  <w:endnote w:type="continuationSeparator" w:id="0">
    <w:p w14:paraId="3C4DFE57" w14:textId="77777777" w:rsidR="00FC1EE9" w:rsidRDefault="00FC1EE9" w:rsidP="00A6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2550" w14:textId="77777777" w:rsidR="00A61C84" w:rsidRDefault="00A61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4944" w14:textId="77777777" w:rsidR="00A61C84" w:rsidRDefault="00A61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D77E" w14:textId="77777777" w:rsidR="00A61C84" w:rsidRDefault="00A61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E3FBF" w14:textId="77777777" w:rsidR="00FC1EE9" w:rsidRDefault="00FC1EE9" w:rsidP="00A61C84">
      <w:pPr>
        <w:spacing w:after="0" w:line="240" w:lineRule="auto"/>
      </w:pPr>
      <w:r>
        <w:separator/>
      </w:r>
    </w:p>
  </w:footnote>
  <w:footnote w:type="continuationSeparator" w:id="0">
    <w:p w14:paraId="47ABC427" w14:textId="77777777" w:rsidR="00FC1EE9" w:rsidRDefault="00FC1EE9" w:rsidP="00A61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ED76" w14:textId="1788F0EC" w:rsidR="00A61C84" w:rsidRDefault="00FC1EE9">
    <w:pPr>
      <w:pStyle w:val="Header"/>
    </w:pPr>
    <w:r>
      <w:rPr>
        <w:noProof/>
      </w:rPr>
      <w:pict w14:anchorId="28B3D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09F5" w14:textId="56C3ED0D" w:rsidR="00A61C84" w:rsidRDefault="00FC1EE9">
    <w:pPr>
      <w:pStyle w:val="Header"/>
    </w:pPr>
    <w:r>
      <w:rPr>
        <w:noProof/>
      </w:rPr>
      <w:pict w14:anchorId="2118F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3276" w14:textId="29C4BBE4" w:rsidR="00A61C84" w:rsidRDefault="00FC1EE9">
    <w:pPr>
      <w:pStyle w:val="Header"/>
    </w:pPr>
    <w:r>
      <w:rPr>
        <w:noProof/>
      </w:rPr>
      <w:pict w14:anchorId="54931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53F2DF26"/>
    <w:lvl w:ilvl="0">
      <w:start w:val="1"/>
      <w:numFmt w:val="decimal"/>
      <w:lvlText w:val="%1."/>
      <w:lvlJc w:val="left"/>
      <w:pPr>
        <w:ind w:left="720" w:hanging="360"/>
      </w:pPr>
    </w:lvl>
    <w:lvl w:ilvl="1">
      <w:start w:val="1"/>
      <w:numFmt w:val="decimal"/>
      <w:isLgl/>
      <w:lvlText w:val="%1.%2"/>
      <w:lvlJc w:val="left"/>
      <w:pPr>
        <w:ind w:left="722" w:hanging="36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12"/>
    <w:multiLevelType w:val="multilevel"/>
    <w:tmpl w:val="40F8F2E4"/>
    <w:lvl w:ilvl="0">
      <w:start w:val="1"/>
      <w:numFmt w:val="decimal"/>
      <w:lvlText w:val="%1."/>
      <w:lvlJc w:val="left"/>
      <w:pPr>
        <w:ind w:left="720" w:hanging="360"/>
      </w:pPr>
    </w:lvl>
    <w:lvl w:ilvl="1">
      <w:start w:val="1"/>
      <w:numFmt w:val="decimal"/>
      <w:isLgl/>
      <w:lvlText w:val="%1.%2"/>
      <w:lvlJc w:val="left"/>
      <w:pPr>
        <w:ind w:left="722" w:hanging="36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A04E01"/>
    <w:multiLevelType w:val="hybridMultilevel"/>
    <w:tmpl w:val="E18AF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3378D"/>
    <w:multiLevelType w:val="hybridMultilevel"/>
    <w:tmpl w:val="E18AF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73DE7"/>
    <w:multiLevelType w:val="hybridMultilevel"/>
    <w:tmpl w:val="E920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C42"/>
    <w:rsid w:val="00003316"/>
    <w:rsid w:val="00010CAF"/>
    <w:rsid w:val="00013C4A"/>
    <w:rsid w:val="00034945"/>
    <w:rsid w:val="000507C1"/>
    <w:rsid w:val="00052379"/>
    <w:rsid w:val="0007157A"/>
    <w:rsid w:val="000A2F48"/>
    <w:rsid w:val="000D6B5C"/>
    <w:rsid w:val="000E10D3"/>
    <w:rsid w:val="001051C3"/>
    <w:rsid w:val="00123027"/>
    <w:rsid w:val="001308FF"/>
    <w:rsid w:val="00137C3C"/>
    <w:rsid w:val="001440CE"/>
    <w:rsid w:val="001554B0"/>
    <w:rsid w:val="001B62A1"/>
    <w:rsid w:val="001F10BE"/>
    <w:rsid w:val="00202FE9"/>
    <w:rsid w:val="0021272C"/>
    <w:rsid w:val="00215C53"/>
    <w:rsid w:val="00216B6A"/>
    <w:rsid w:val="00217838"/>
    <w:rsid w:val="00230E64"/>
    <w:rsid w:val="002702F0"/>
    <w:rsid w:val="002709A4"/>
    <w:rsid w:val="00294038"/>
    <w:rsid w:val="00296742"/>
    <w:rsid w:val="002A0442"/>
    <w:rsid w:val="002A6661"/>
    <w:rsid w:val="002D17B7"/>
    <w:rsid w:val="002E0FD0"/>
    <w:rsid w:val="002E6ECC"/>
    <w:rsid w:val="002F12A3"/>
    <w:rsid w:val="00311AE6"/>
    <w:rsid w:val="00313162"/>
    <w:rsid w:val="00327F17"/>
    <w:rsid w:val="00334EF0"/>
    <w:rsid w:val="00355A22"/>
    <w:rsid w:val="0036072B"/>
    <w:rsid w:val="0038452A"/>
    <w:rsid w:val="003A0F63"/>
    <w:rsid w:val="003A123D"/>
    <w:rsid w:val="003B5156"/>
    <w:rsid w:val="003D7209"/>
    <w:rsid w:val="003F677A"/>
    <w:rsid w:val="00413A12"/>
    <w:rsid w:val="00456EE2"/>
    <w:rsid w:val="004662BF"/>
    <w:rsid w:val="0048176B"/>
    <w:rsid w:val="00484BB9"/>
    <w:rsid w:val="0049297E"/>
    <w:rsid w:val="0049697A"/>
    <w:rsid w:val="004A0EE4"/>
    <w:rsid w:val="004A43B3"/>
    <w:rsid w:val="004B6F40"/>
    <w:rsid w:val="004C26C0"/>
    <w:rsid w:val="004E6AEE"/>
    <w:rsid w:val="00502335"/>
    <w:rsid w:val="005155A7"/>
    <w:rsid w:val="00526A13"/>
    <w:rsid w:val="0054293F"/>
    <w:rsid w:val="00571F35"/>
    <w:rsid w:val="0058589C"/>
    <w:rsid w:val="005A0661"/>
    <w:rsid w:val="005C04A3"/>
    <w:rsid w:val="005F6E7E"/>
    <w:rsid w:val="00615592"/>
    <w:rsid w:val="006665B6"/>
    <w:rsid w:val="00684617"/>
    <w:rsid w:val="006978A3"/>
    <w:rsid w:val="006A1D15"/>
    <w:rsid w:val="006A5A66"/>
    <w:rsid w:val="006C071E"/>
    <w:rsid w:val="006E40B6"/>
    <w:rsid w:val="006E5BB6"/>
    <w:rsid w:val="006E65B7"/>
    <w:rsid w:val="006E6D23"/>
    <w:rsid w:val="006F7F19"/>
    <w:rsid w:val="007076BD"/>
    <w:rsid w:val="00736712"/>
    <w:rsid w:val="007418F5"/>
    <w:rsid w:val="00744DF0"/>
    <w:rsid w:val="0075518C"/>
    <w:rsid w:val="0076366D"/>
    <w:rsid w:val="007B1D50"/>
    <w:rsid w:val="007C73CE"/>
    <w:rsid w:val="007D48D5"/>
    <w:rsid w:val="007F0CDF"/>
    <w:rsid w:val="007F3171"/>
    <w:rsid w:val="007F52D5"/>
    <w:rsid w:val="00820B12"/>
    <w:rsid w:val="008211B4"/>
    <w:rsid w:val="00892637"/>
    <w:rsid w:val="008A415E"/>
    <w:rsid w:val="008F6C45"/>
    <w:rsid w:val="009237EB"/>
    <w:rsid w:val="00940E8C"/>
    <w:rsid w:val="00953D2B"/>
    <w:rsid w:val="009631C7"/>
    <w:rsid w:val="00973D59"/>
    <w:rsid w:val="0097424B"/>
    <w:rsid w:val="009B23D9"/>
    <w:rsid w:val="009E66F6"/>
    <w:rsid w:val="00A21861"/>
    <w:rsid w:val="00A23783"/>
    <w:rsid w:val="00A32993"/>
    <w:rsid w:val="00A36714"/>
    <w:rsid w:val="00A413CA"/>
    <w:rsid w:val="00A46F31"/>
    <w:rsid w:val="00A54219"/>
    <w:rsid w:val="00A61C84"/>
    <w:rsid w:val="00A71C42"/>
    <w:rsid w:val="00A73786"/>
    <w:rsid w:val="00A80563"/>
    <w:rsid w:val="00A87E26"/>
    <w:rsid w:val="00A94A97"/>
    <w:rsid w:val="00AC0529"/>
    <w:rsid w:val="00AE0258"/>
    <w:rsid w:val="00AE276C"/>
    <w:rsid w:val="00B22E9F"/>
    <w:rsid w:val="00B3348B"/>
    <w:rsid w:val="00B47E8D"/>
    <w:rsid w:val="00B54AE6"/>
    <w:rsid w:val="00B619AB"/>
    <w:rsid w:val="00B70A8D"/>
    <w:rsid w:val="00B954DC"/>
    <w:rsid w:val="00BA1DB1"/>
    <w:rsid w:val="00BB161F"/>
    <w:rsid w:val="00BB318A"/>
    <w:rsid w:val="00C247FB"/>
    <w:rsid w:val="00C26AF8"/>
    <w:rsid w:val="00C34F60"/>
    <w:rsid w:val="00C42082"/>
    <w:rsid w:val="00C76CA9"/>
    <w:rsid w:val="00C94FE9"/>
    <w:rsid w:val="00CB4457"/>
    <w:rsid w:val="00CE7092"/>
    <w:rsid w:val="00CF57B6"/>
    <w:rsid w:val="00D12FD8"/>
    <w:rsid w:val="00D46810"/>
    <w:rsid w:val="00D53DF1"/>
    <w:rsid w:val="00D63321"/>
    <w:rsid w:val="00D774BD"/>
    <w:rsid w:val="00D83F26"/>
    <w:rsid w:val="00DC0234"/>
    <w:rsid w:val="00DC28C9"/>
    <w:rsid w:val="00DD3C7A"/>
    <w:rsid w:val="00E124A0"/>
    <w:rsid w:val="00E5274B"/>
    <w:rsid w:val="00E54165"/>
    <w:rsid w:val="00E74DF1"/>
    <w:rsid w:val="00E81C69"/>
    <w:rsid w:val="00EB062A"/>
    <w:rsid w:val="00EE1957"/>
    <w:rsid w:val="00F0139C"/>
    <w:rsid w:val="00F071C4"/>
    <w:rsid w:val="00F105F4"/>
    <w:rsid w:val="00F27CC8"/>
    <w:rsid w:val="00F30D40"/>
    <w:rsid w:val="00F43305"/>
    <w:rsid w:val="00F536E5"/>
    <w:rsid w:val="00F65450"/>
    <w:rsid w:val="00F91D4F"/>
    <w:rsid w:val="00F94639"/>
    <w:rsid w:val="00FA6457"/>
    <w:rsid w:val="00FA692A"/>
    <w:rsid w:val="00FA7597"/>
    <w:rsid w:val="00FC1EE9"/>
    <w:rsid w:val="00FC7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F38469"/>
  <w15:chartTrackingRefBased/>
  <w15:docId w15:val="{379CD41D-832E-DF47-8297-E8378710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C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1C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1C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1C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1C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1C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C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C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C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C42"/>
    <w:rPr>
      <w:rFonts w:eastAsiaTheme="majorEastAsia" w:cstheme="majorBidi"/>
      <w:color w:val="272727" w:themeColor="text1" w:themeTint="D8"/>
    </w:rPr>
  </w:style>
  <w:style w:type="paragraph" w:styleId="Title">
    <w:name w:val="Title"/>
    <w:basedOn w:val="Normal"/>
    <w:next w:val="Normal"/>
    <w:link w:val="TitleChar"/>
    <w:uiPriority w:val="10"/>
    <w:qFormat/>
    <w:rsid w:val="00A71C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C42"/>
    <w:pPr>
      <w:spacing w:before="160"/>
      <w:jc w:val="center"/>
    </w:pPr>
    <w:rPr>
      <w:i/>
      <w:iCs/>
      <w:color w:val="404040" w:themeColor="text1" w:themeTint="BF"/>
    </w:rPr>
  </w:style>
  <w:style w:type="character" w:customStyle="1" w:styleId="QuoteChar">
    <w:name w:val="Quote Char"/>
    <w:basedOn w:val="DefaultParagraphFont"/>
    <w:link w:val="Quote"/>
    <w:uiPriority w:val="29"/>
    <w:rsid w:val="00A71C42"/>
    <w:rPr>
      <w:i/>
      <w:iCs/>
      <w:color w:val="404040" w:themeColor="text1" w:themeTint="BF"/>
    </w:rPr>
  </w:style>
  <w:style w:type="paragraph" w:styleId="ListParagraph">
    <w:name w:val="List Paragraph"/>
    <w:basedOn w:val="Normal"/>
    <w:uiPriority w:val="34"/>
    <w:qFormat/>
    <w:rsid w:val="00A71C42"/>
    <w:pPr>
      <w:ind w:left="720"/>
      <w:contextualSpacing/>
    </w:pPr>
  </w:style>
  <w:style w:type="character" w:styleId="IntenseEmphasis">
    <w:name w:val="Intense Emphasis"/>
    <w:basedOn w:val="DefaultParagraphFont"/>
    <w:uiPriority w:val="21"/>
    <w:qFormat/>
    <w:rsid w:val="00A71C42"/>
    <w:rPr>
      <w:i/>
      <w:iCs/>
      <w:color w:val="0F4761" w:themeColor="accent1" w:themeShade="BF"/>
    </w:rPr>
  </w:style>
  <w:style w:type="paragraph" w:styleId="IntenseQuote">
    <w:name w:val="Intense Quote"/>
    <w:basedOn w:val="Normal"/>
    <w:next w:val="Normal"/>
    <w:link w:val="IntenseQuoteChar"/>
    <w:uiPriority w:val="30"/>
    <w:qFormat/>
    <w:rsid w:val="00A71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C42"/>
    <w:rPr>
      <w:i/>
      <w:iCs/>
      <w:color w:val="0F4761" w:themeColor="accent1" w:themeShade="BF"/>
    </w:rPr>
  </w:style>
  <w:style w:type="character" w:styleId="IntenseReference">
    <w:name w:val="Intense Reference"/>
    <w:basedOn w:val="DefaultParagraphFont"/>
    <w:uiPriority w:val="32"/>
    <w:qFormat/>
    <w:rsid w:val="00A71C42"/>
    <w:rPr>
      <w:b/>
      <w:bCs/>
      <w:smallCaps/>
      <w:color w:val="0F4761" w:themeColor="accent1" w:themeShade="BF"/>
      <w:spacing w:val="5"/>
    </w:rPr>
  </w:style>
  <w:style w:type="character" w:styleId="Strong">
    <w:name w:val="Strong"/>
    <w:basedOn w:val="DefaultParagraphFont"/>
    <w:uiPriority w:val="22"/>
    <w:qFormat/>
    <w:rsid w:val="00E74DF1"/>
    <w:rPr>
      <w:b/>
      <w:bCs/>
    </w:rPr>
  </w:style>
  <w:style w:type="character" w:styleId="Hyperlink">
    <w:name w:val="Hyperlink"/>
    <w:basedOn w:val="DefaultParagraphFont"/>
    <w:uiPriority w:val="99"/>
    <w:unhideWhenUsed/>
    <w:rsid w:val="00E81C69"/>
    <w:rPr>
      <w:color w:val="467886" w:themeColor="hyperlink"/>
      <w:u w:val="single"/>
    </w:rPr>
  </w:style>
  <w:style w:type="character" w:customStyle="1" w:styleId="UnresolvedMention1">
    <w:name w:val="Unresolved Mention1"/>
    <w:basedOn w:val="DefaultParagraphFont"/>
    <w:uiPriority w:val="99"/>
    <w:semiHidden/>
    <w:unhideWhenUsed/>
    <w:rsid w:val="00E81C69"/>
    <w:rPr>
      <w:color w:val="605E5C"/>
      <w:shd w:val="clear" w:color="auto" w:fill="E1DFDD"/>
    </w:rPr>
  </w:style>
  <w:style w:type="paragraph" w:styleId="Header">
    <w:name w:val="header"/>
    <w:basedOn w:val="Normal"/>
    <w:link w:val="HeaderChar"/>
    <w:uiPriority w:val="99"/>
    <w:unhideWhenUsed/>
    <w:rsid w:val="00A61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C84"/>
  </w:style>
  <w:style w:type="paragraph" w:styleId="Footer">
    <w:name w:val="footer"/>
    <w:basedOn w:val="Normal"/>
    <w:link w:val="FooterChar"/>
    <w:uiPriority w:val="99"/>
    <w:unhideWhenUsed/>
    <w:rsid w:val="00A61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C84"/>
  </w:style>
  <w:style w:type="paragraph" w:styleId="NoSpacing">
    <w:name w:val="No Spacing"/>
    <w:uiPriority w:val="1"/>
    <w:qFormat/>
    <w:rsid w:val="0038452A"/>
    <w:pPr>
      <w:spacing w:after="0" w:line="240" w:lineRule="auto"/>
    </w:pPr>
    <w:rPr>
      <w:rFonts w:eastAsiaTheme="minorHAnsi"/>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hyperlink" Target="https://doi.org/10.3390/ijms22221224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3390/cells10081851" TargetMode="Externa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doi.org/10.3390/pharmaceutics16121592" TargetMode="External"/><Relationship Id="rId28" Type="http://schemas.openxmlformats.org/officeDocument/2006/relationships/footer" Target="footer1.xml"/><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3390/v15081732" TargetMode="External"/><Relationship Id="rId27" Type="http://schemas.openxmlformats.org/officeDocument/2006/relationships/header" Target="header2.xml"/><Relationship Id="rId30" Type="http://schemas.openxmlformats.org/officeDocument/2006/relationships/header" Target="header3.xml"/><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166</TotalTime>
  <Pages>14</Pages>
  <Words>4261</Words>
  <Characters>24289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joelchukwudumebi@gmail.com</dc:creator>
  <cp:keywords/>
  <dc:description/>
  <cp:lastModifiedBy>SDI 1089</cp:lastModifiedBy>
  <cp:revision>7</cp:revision>
  <dcterms:created xsi:type="dcterms:W3CDTF">2026-04-14T16:00:00Z</dcterms:created>
  <dcterms:modified xsi:type="dcterms:W3CDTF">2026-04-24T08:04:00Z</dcterms:modified>
</cp:coreProperties>
</file>