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9F30CE" w14:textId="5E1FF86B" w:rsidR="00EC467D" w:rsidRDefault="00EC467D" w:rsidP="00EF5AA7">
      <w:pPr>
        <w:spacing w:before="60" w:after="60"/>
        <w:jc w:val="center"/>
        <w:rPr>
          <w:rFonts w:ascii="Arial" w:hAnsi="Arial" w:cs="Arial"/>
          <w:color w:val="000000" w:themeColor="text1"/>
          <w:sz w:val="36"/>
          <w:szCs w:val="36"/>
          <w:lang w:val="en-IN"/>
        </w:rPr>
      </w:pPr>
      <w:r w:rsidRPr="007B1647">
        <w:rPr>
          <w:sz w:val="20"/>
          <w:szCs w:val="20"/>
        </w:rPr>
        <w:t>Original Research Article</w:t>
      </w:r>
    </w:p>
    <w:p w14:paraId="4FE1E6A1" w14:textId="3990F1F6" w:rsidR="00EF5AA7" w:rsidRDefault="00EF5AA7" w:rsidP="00EF5AA7">
      <w:pPr>
        <w:spacing w:before="60" w:after="60"/>
        <w:jc w:val="center"/>
        <w:rPr>
          <w:rFonts w:ascii="Arial" w:hAnsi="Arial" w:cs="Arial"/>
          <w:color w:val="000000" w:themeColor="text1"/>
          <w:sz w:val="36"/>
          <w:szCs w:val="36"/>
          <w:lang w:val="en-IN"/>
        </w:rPr>
      </w:pPr>
      <w:r w:rsidRPr="00EF5AA7">
        <w:rPr>
          <w:rFonts w:ascii="Arial" w:hAnsi="Arial" w:cs="Arial"/>
          <w:color w:val="000000" w:themeColor="text1"/>
          <w:sz w:val="36"/>
          <w:szCs w:val="36"/>
          <w:lang w:val="en-IN"/>
        </w:rPr>
        <w:t xml:space="preserve">Changing Landscapes of Rewa District: </w:t>
      </w:r>
      <w:r>
        <w:rPr>
          <w:rFonts w:ascii="Arial" w:hAnsi="Arial" w:cs="Arial"/>
          <w:color w:val="000000" w:themeColor="text1"/>
          <w:sz w:val="36"/>
          <w:szCs w:val="36"/>
          <w:lang w:val="en-IN"/>
        </w:rPr>
        <w:t xml:space="preserve">A Geospatial </w:t>
      </w:r>
      <w:r w:rsidRPr="00EF5AA7">
        <w:rPr>
          <w:rFonts w:ascii="Arial" w:hAnsi="Arial" w:cs="Arial"/>
          <w:color w:val="000000" w:themeColor="text1"/>
          <w:sz w:val="36"/>
          <w:szCs w:val="36"/>
          <w:lang w:val="en-IN"/>
        </w:rPr>
        <w:t>Analysis of Land Use and Land Cover Dynamics</w:t>
      </w:r>
    </w:p>
    <w:p w14:paraId="1EA8AD8F" w14:textId="66CF46C4" w:rsidR="00EF5AA7" w:rsidRDefault="00036551" w:rsidP="00036551">
      <w:pPr>
        <w:tabs>
          <w:tab w:val="left" w:pos="979"/>
        </w:tabs>
        <w:rPr>
          <w:rFonts w:ascii="Arial" w:hAnsi="Arial" w:cs="Arial"/>
          <w:sz w:val="20"/>
          <w:szCs w:val="20"/>
        </w:rPr>
      </w:pPr>
      <w:r>
        <w:rPr>
          <w:rFonts w:ascii="Arial" w:hAnsi="Arial" w:cs="Arial"/>
          <w:sz w:val="20"/>
          <w:szCs w:val="20"/>
        </w:rPr>
        <w:tab/>
      </w:r>
    </w:p>
    <w:p w14:paraId="67ED3F8C" w14:textId="77777777" w:rsidR="002773FF" w:rsidRDefault="002773FF" w:rsidP="00EF5AA7">
      <w:pPr>
        <w:rPr>
          <w:rFonts w:ascii="Arial" w:hAnsi="Arial" w:cs="Arial"/>
          <w:sz w:val="20"/>
          <w:szCs w:val="20"/>
        </w:rPr>
      </w:pPr>
    </w:p>
    <w:p w14:paraId="4817170C" w14:textId="77777777" w:rsidR="00EF5AA7" w:rsidRPr="002229C2" w:rsidRDefault="00EF5AA7" w:rsidP="00565746">
      <w:pPr>
        <w:spacing w:before="240" w:after="240"/>
        <w:rPr>
          <w:rFonts w:ascii="Arial" w:hAnsi="Arial" w:cs="Arial"/>
          <w:b/>
          <w:bCs/>
          <w:sz w:val="22"/>
          <w:szCs w:val="22"/>
        </w:rPr>
      </w:pPr>
      <w:r w:rsidRPr="002229C2">
        <w:rPr>
          <w:rFonts w:ascii="Arial" w:hAnsi="Arial" w:cs="Arial"/>
          <w:b/>
          <w:bCs/>
          <w:sz w:val="22"/>
          <w:szCs w:val="22"/>
        </w:rPr>
        <w:t>ABSTRACT</w:t>
      </w:r>
    </w:p>
    <w:p w14:paraId="38DC07DE" w14:textId="43C333BC" w:rsidR="00EF5AA7" w:rsidRPr="00EF5AA7" w:rsidRDefault="00EF5AA7" w:rsidP="00565746">
      <w:pPr>
        <w:spacing w:before="120" w:after="120"/>
        <w:jc w:val="both"/>
        <w:rPr>
          <w:rFonts w:ascii="Arial" w:hAnsi="Arial" w:cs="Arial"/>
          <w:sz w:val="20"/>
          <w:szCs w:val="20"/>
        </w:rPr>
      </w:pPr>
      <w:r w:rsidRPr="00EF5AA7">
        <w:rPr>
          <w:rFonts w:ascii="Arial" w:hAnsi="Arial" w:cs="Arial"/>
          <w:color w:val="000000"/>
          <w:sz w:val="20"/>
          <w:szCs w:val="20"/>
        </w:rPr>
        <w:t>Land use and land cover (LULC) change is a fundamental indicator of environmental trans</w:t>
      </w:r>
      <w:r w:rsidR="004C22A6">
        <w:rPr>
          <w:rFonts w:ascii="Arial" w:hAnsi="Arial" w:cs="Arial"/>
          <w:color w:val="000000"/>
          <w:sz w:val="20"/>
          <w:szCs w:val="20"/>
        </w:rPr>
        <w:t>formation, resource consumption</w:t>
      </w:r>
      <w:r w:rsidRPr="00EF5AA7">
        <w:rPr>
          <w:rFonts w:ascii="Arial" w:hAnsi="Arial" w:cs="Arial"/>
          <w:color w:val="000000"/>
          <w:sz w:val="20"/>
          <w:szCs w:val="20"/>
        </w:rPr>
        <w:t xml:space="preserve"> and anthropogenic pressure on natural systems. This study presents a temporal analysis of LULC dynamics i</w:t>
      </w:r>
      <w:r w:rsidR="004C22A6">
        <w:rPr>
          <w:rFonts w:ascii="Arial" w:hAnsi="Arial" w:cs="Arial"/>
          <w:color w:val="000000"/>
          <w:sz w:val="20"/>
          <w:szCs w:val="20"/>
        </w:rPr>
        <w:t>n Rewa District, Madhya Pradesh</w:t>
      </w:r>
      <w:r w:rsidRPr="00EF5AA7">
        <w:rPr>
          <w:rFonts w:ascii="Arial" w:hAnsi="Arial" w:cs="Arial"/>
          <w:color w:val="000000"/>
          <w:sz w:val="20"/>
          <w:szCs w:val="20"/>
        </w:rPr>
        <w:t xml:space="preserve"> for the years 2020 and 2025, using Sentinel-2 multispectral imagery processed through the Google Earth Engine (GEE) cloud platform. A supervised Random Forest classification approach was adopted, integrating a comprehensive feature set comprising spectral bands, veget</w:t>
      </w:r>
      <w:r w:rsidR="004C22A6">
        <w:rPr>
          <w:rFonts w:ascii="Arial" w:hAnsi="Arial" w:cs="Arial"/>
          <w:color w:val="000000"/>
          <w:sz w:val="20"/>
          <w:szCs w:val="20"/>
        </w:rPr>
        <w:t>ation indices (NDVI, EVI, SAVI)</w:t>
      </w:r>
      <w:r w:rsidRPr="00EF5AA7">
        <w:rPr>
          <w:rFonts w:ascii="Arial" w:hAnsi="Arial" w:cs="Arial"/>
          <w:color w:val="000000"/>
          <w:sz w:val="20"/>
          <w:szCs w:val="20"/>
        </w:rPr>
        <w:t xml:space="preserve"> water and buil</w:t>
      </w:r>
      <w:r w:rsidR="004C22A6">
        <w:rPr>
          <w:rFonts w:ascii="Arial" w:hAnsi="Arial" w:cs="Arial"/>
          <w:color w:val="000000"/>
          <w:sz w:val="20"/>
          <w:szCs w:val="20"/>
        </w:rPr>
        <w:t>t-up indices (MNDWI, NDBI, BSI)</w:t>
      </w:r>
      <w:r w:rsidRPr="00EF5AA7">
        <w:rPr>
          <w:rFonts w:ascii="Arial" w:hAnsi="Arial" w:cs="Arial"/>
          <w:color w:val="000000"/>
          <w:sz w:val="20"/>
          <w:szCs w:val="20"/>
        </w:rPr>
        <w:t xml:space="preserve"> Grey Level Co-occurrenc</w:t>
      </w:r>
      <w:r w:rsidR="004C22A6">
        <w:rPr>
          <w:rFonts w:ascii="Arial" w:hAnsi="Arial" w:cs="Arial"/>
          <w:color w:val="000000"/>
          <w:sz w:val="20"/>
          <w:szCs w:val="20"/>
        </w:rPr>
        <w:t>e Matrix (GLCM) texture metrics</w:t>
      </w:r>
      <w:r w:rsidRPr="00EF5AA7">
        <w:rPr>
          <w:rFonts w:ascii="Arial" w:hAnsi="Arial" w:cs="Arial"/>
          <w:color w:val="000000"/>
          <w:sz w:val="20"/>
          <w:szCs w:val="20"/>
        </w:rPr>
        <w:t xml:space="preserve"> and terrain derivatives (DEM, slope, aspe</w:t>
      </w:r>
      <w:r w:rsidR="004C22A6">
        <w:rPr>
          <w:rFonts w:ascii="Arial" w:hAnsi="Arial" w:cs="Arial"/>
          <w:color w:val="000000"/>
          <w:sz w:val="20"/>
          <w:szCs w:val="20"/>
        </w:rPr>
        <w:t xml:space="preserve">ct) from the SRTM dataset. A </w:t>
      </w:r>
      <w:r w:rsidRPr="00EF5AA7">
        <w:rPr>
          <w:rFonts w:ascii="Arial" w:hAnsi="Arial" w:cs="Arial"/>
          <w:color w:val="000000"/>
          <w:sz w:val="20"/>
          <w:szCs w:val="20"/>
        </w:rPr>
        <w:t xml:space="preserve">year (January–December) cloud-free median composites were used to </w:t>
      </w:r>
      <w:proofErr w:type="spellStart"/>
      <w:r w:rsidRPr="00EF5AA7">
        <w:rPr>
          <w:rFonts w:ascii="Arial" w:hAnsi="Arial" w:cs="Arial"/>
          <w:color w:val="000000"/>
          <w:sz w:val="20"/>
          <w:szCs w:val="20"/>
        </w:rPr>
        <w:t>minimise</w:t>
      </w:r>
      <w:proofErr w:type="spellEnd"/>
      <w:r w:rsidRPr="00EF5AA7">
        <w:rPr>
          <w:rFonts w:ascii="Arial" w:hAnsi="Arial" w:cs="Arial"/>
          <w:color w:val="000000"/>
          <w:sz w:val="20"/>
          <w:szCs w:val="20"/>
        </w:rPr>
        <w:t xml:space="preserve"> seasonal bias.</w:t>
      </w:r>
    </w:p>
    <w:p w14:paraId="6C26A7B0" w14:textId="42097F56" w:rsidR="00EF5AA7" w:rsidRPr="00EF5AA7" w:rsidRDefault="00EF5AA7" w:rsidP="00565746">
      <w:pPr>
        <w:spacing w:before="120" w:after="120"/>
        <w:jc w:val="both"/>
        <w:rPr>
          <w:rFonts w:ascii="Arial" w:hAnsi="Arial" w:cs="Arial"/>
          <w:sz w:val="20"/>
          <w:szCs w:val="20"/>
        </w:rPr>
      </w:pPr>
      <w:r w:rsidRPr="00EF5AA7">
        <w:rPr>
          <w:rFonts w:ascii="Arial" w:hAnsi="Arial" w:cs="Arial"/>
          <w:color w:val="000000"/>
          <w:sz w:val="20"/>
          <w:szCs w:val="20"/>
        </w:rPr>
        <w:t xml:space="preserve">Five LULC classes were mapped: </w:t>
      </w:r>
      <w:r w:rsidR="00537B5E">
        <w:rPr>
          <w:rFonts w:ascii="Arial" w:hAnsi="Arial" w:cs="Arial"/>
          <w:color w:val="000000"/>
          <w:sz w:val="20"/>
          <w:szCs w:val="20"/>
        </w:rPr>
        <w:t>Agriculture Land</w:t>
      </w:r>
      <w:r w:rsidRPr="00EF5AA7">
        <w:rPr>
          <w:rFonts w:ascii="Arial" w:hAnsi="Arial" w:cs="Arial"/>
          <w:color w:val="000000"/>
          <w:sz w:val="20"/>
          <w:szCs w:val="20"/>
        </w:rPr>
        <w:t xml:space="preserve">, </w:t>
      </w:r>
      <w:r w:rsidR="00BA660F">
        <w:rPr>
          <w:rFonts w:ascii="Arial" w:hAnsi="Arial" w:cs="Arial"/>
          <w:color w:val="000000"/>
          <w:sz w:val="20"/>
          <w:szCs w:val="20"/>
        </w:rPr>
        <w:t>Vegetation Land</w:t>
      </w:r>
      <w:r w:rsidRPr="00EF5AA7">
        <w:rPr>
          <w:rFonts w:ascii="Arial" w:hAnsi="Arial" w:cs="Arial"/>
          <w:color w:val="000000"/>
          <w:sz w:val="20"/>
          <w:szCs w:val="20"/>
        </w:rPr>
        <w:t xml:space="preserve">, </w:t>
      </w:r>
      <w:r w:rsidR="00BA660F">
        <w:rPr>
          <w:rFonts w:ascii="Arial" w:hAnsi="Arial" w:cs="Arial"/>
          <w:color w:val="000000"/>
          <w:sz w:val="20"/>
          <w:szCs w:val="20"/>
        </w:rPr>
        <w:t>Water Body</w:t>
      </w:r>
      <w:r w:rsidRPr="00EF5AA7">
        <w:rPr>
          <w:rFonts w:ascii="Arial" w:hAnsi="Arial" w:cs="Arial"/>
          <w:color w:val="000000"/>
          <w:sz w:val="20"/>
          <w:szCs w:val="20"/>
        </w:rPr>
        <w:t xml:space="preserve">, </w:t>
      </w:r>
      <w:r w:rsidR="00F94046">
        <w:rPr>
          <w:rFonts w:ascii="Arial" w:hAnsi="Arial" w:cs="Arial"/>
          <w:color w:val="000000"/>
          <w:sz w:val="20"/>
          <w:szCs w:val="20"/>
        </w:rPr>
        <w:t>Built-up Land</w:t>
      </w:r>
      <w:r w:rsidR="004C22A6">
        <w:rPr>
          <w:rFonts w:ascii="Arial" w:hAnsi="Arial" w:cs="Arial"/>
          <w:color w:val="000000"/>
          <w:sz w:val="20"/>
          <w:szCs w:val="20"/>
        </w:rPr>
        <w:t>, and Waste Land</w:t>
      </w:r>
      <w:r w:rsidRPr="00EF5AA7">
        <w:rPr>
          <w:rFonts w:ascii="Arial" w:hAnsi="Arial" w:cs="Arial"/>
          <w:color w:val="000000"/>
          <w:sz w:val="20"/>
          <w:szCs w:val="20"/>
        </w:rPr>
        <w:t>. The classification achieved an Overall Accuracy of 94.59% and a Kappa coefficient of 0.9308 for 2020, and 95.45% and 0.9387 respectively for 2025. Post-classification change analysis reveals a landscape undergoing active transformation driven by agricultural intensific</w:t>
      </w:r>
      <w:r w:rsidR="004C22A6">
        <w:rPr>
          <w:rFonts w:ascii="Arial" w:hAnsi="Arial" w:cs="Arial"/>
          <w:color w:val="000000"/>
          <w:sz w:val="20"/>
          <w:szCs w:val="20"/>
        </w:rPr>
        <w:t>ation, rapid built-up expansion</w:t>
      </w:r>
      <w:r w:rsidRPr="00EF5AA7">
        <w:rPr>
          <w:rFonts w:ascii="Arial" w:hAnsi="Arial" w:cs="Arial"/>
          <w:color w:val="000000"/>
          <w:sz w:val="20"/>
          <w:szCs w:val="20"/>
        </w:rPr>
        <w:t xml:space="preserve"> and large-scale wasteland reclamation. </w:t>
      </w:r>
      <w:r w:rsidR="00537B5E">
        <w:rPr>
          <w:rFonts w:ascii="Arial" w:hAnsi="Arial" w:cs="Arial"/>
          <w:color w:val="000000"/>
          <w:sz w:val="20"/>
          <w:szCs w:val="20"/>
        </w:rPr>
        <w:t>Agriculture Land</w:t>
      </w:r>
      <w:r w:rsidRPr="00EF5AA7">
        <w:rPr>
          <w:rFonts w:ascii="Arial" w:hAnsi="Arial" w:cs="Arial"/>
          <w:color w:val="000000"/>
          <w:sz w:val="20"/>
          <w:szCs w:val="20"/>
        </w:rPr>
        <w:t xml:space="preserve"> remained dominant, expanding from 3,441 km² (54.5%) in 2020 to 3,548 km² (56.2%) in 2025. The </w:t>
      </w:r>
      <w:r w:rsidR="00F94046">
        <w:rPr>
          <w:rFonts w:ascii="Arial" w:hAnsi="Arial" w:cs="Arial"/>
          <w:color w:val="000000"/>
          <w:sz w:val="20"/>
          <w:szCs w:val="20"/>
        </w:rPr>
        <w:t>Built-up Land</w:t>
      </w:r>
      <w:r w:rsidRPr="00EF5AA7">
        <w:rPr>
          <w:rFonts w:ascii="Arial" w:hAnsi="Arial" w:cs="Arial"/>
          <w:color w:val="000000"/>
          <w:sz w:val="20"/>
          <w:szCs w:val="20"/>
        </w:rPr>
        <w:t xml:space="preserve"> class recorded the most dramatic proportional change, expanding by 113 km² (+44.66%), driven by highway corridor development along NH-30 and NH-27 and the creation of </w:t>
      </w:r>
      <w:proofErr w:type="spellStart"/>
      <w:r w:rsidRPr="00EF5AA7">
        <w:rPr>
          <w:rFonts w:ascii="Arial" w:hAnsi="Arial" w:cs="Arial"/>
          <w:color w:val="000000"/>
          <w:sz w:val="20"/>
          <w:szCs w:val="20"/>
        </w:rPr>
        <w:t>Mauganj</w:t>
      </w:r>
      <w:proofErr w:type="spellEnd"/>
      <w:r w:rsidRPr="00EF5AA7">
        <w:rPr>
          <w:rFonts w:ascii="Arial" w:hAnsi="Arial" w:cs="Arial"/>
          <w:color w:val="000000"/>
          <w:sz w:val="20"/>
          <w:szCs w:val="20"/>
        </w:rPr>
        <w:t xml:space="preserve"> as a new administrative district. </w:t>
      </w:r>
      <w:r w:rsidR="00F94046">
        <w:rPr>
          <w:rFonts w:ascii="Arial" w:hAnsi="Arial" w:cs="Arial"/>
          <w:color w:val="000000"/>
          <w:sz w:val="20"/>
          <w:szCs w:val="20"/>
        </w:rPr>
        <w:t xml:space="preserve">Waste </w:t>
      </w:r>
      <w:r w:rsidRPr="00EF5AA7">
        <w:rPr>
          <w:rFonts w:ascii="Arial" w:hAnsi="Arial" w:cs="Arial"/>
          <w:color w:val="000000"/>
          <w:sz w:val="20"/>
          <w:szCs w:val="20"/>
        </w:rPr>
        <w:t>land declined most substantially by 239 km² (−13.87%), as ravines and degraded surfaces were reclaimed for cultivation and solar energy infrastructure. Forest cover recorded a margi</w:t>
      </w:r>
      <w:r w:rsidR="004C22A6">
        <w:rPr>
          <w:rFonts w:ascii="Arial" w:hAnsi="Arial" w:cs="Arial"/>
          <w:color w:val="000000"/>
          <w:sz w:val="20"/>
          <w:szCs w:val="20"/>
        </w:rPr>
        <w:t>nal increase of 17 km² (+2.16%)</w:t>
      </w:r>
      <w:r w:rsidRPr="00EF5AA7">
        <w:rPr>
          <w:rFonts w:ascii="Arial" w:hAnsi="Arial" w:cs="Arial"/>
          <w:color w:val="000000"/>
          <w:sz w:val="20"/>
          <w:szCs w:val="20"/>
        </w:rPr>
        <w:t xml:space="preserve"> attributable to open forest regeneration and social forestry on the Kaimur Range escarpment. The study demonstrates the utility of cloud-based geospatial analysis for regional LULC monitoring and provides a spatial evidence base for land management and development planning in Rewa District.</w:t>
      </w:r>
    </w:p>
    <w:p w14:paraId="21FBF530" w14:textId="77777777" w:rsidR="00EF5AA7" w:rsidRPr="002229C2" w:rsidRDefault="00EF5AA7" w:rsidP="00565746">
      <w:pPr>
        <w:spacing w:before="120"/>
        <w:jc w:val="both"/>
        <w:rPr>
          <w:rFonts w:ascii="Arial" w:hAnsi="Arial" w:cs="Arial"/>
          <w:b/>
          <w:bCs/>
          <w:color w:val="000000"/>
          <w:sz w:val="22"/>
          <w:szCs w:val="22"/>
        </w:rPr>
      </w:pPr>
      <w:r w:rsidRPr="002229C2">
        <w:rPr>
          <w:rFonts w:ascii="Arial" w:hAnsi="Arial" w:cs="Arial"/>
          <w:b/>
          <w:bCs/>
          <w:color w:val="000000"/>
          <w:sz w:val="22"/>
          <w:szCs w:val="22"/>
        </w:rPr>
        <w:t>KEYWORDS</w:t>
      </w:r>
    </w:p>
    <w:p w14:paraId="59F9FBA4" w14:textId="77777777" w:rsidR="00EF5AA7" w:rsidRDefault="00EF5AA7" w:rsidP="00565746">
      <w:pPr>
        <w:spacing w:after="200"/>
        <w:jc w:val="both"/>
        <w:rPr>
          <w:rFonts w:ascii="Arial" w:hAnsi="Arial" w:cs="Arial"/>
          <w:sz w:val="20"/>
          <w:szCs w:val="20"/>
        </w:rPr>
      </w:pPr>
      <w:r w:rsidRPr="00EF5AA7">
        <w:rPr>
          <w:rFonts w:ascii="Arial" w:hAnsi="Arial" w:cs="Arial"/>
          <w:color w:val="000000"/>
          <w:sz w:val="20"/>
          <w:szCs w:val="20"/>
        </w:rPr>
        <w:t xml:space="preserve">LULC change, Sentinel-2, Random Forest, Google Earth Engine, </w:t>
      </w:r>
      <w:proofErr w:type="spellStart"/>
      <w:r w:rsidRPr="00EF5AA7">
        <w:rPr>
          <w:rFonts w:ascii="Arial" w:hAnsi="Arial" w:cs="Arial"/>
          <w:color w:val="000000"/>
          <w:sz w:val="20"/>
          <w:szCs w:val="20"/>
        </w:rPr>
        <w:t>Rewa</w:t>
      </w:r>
      <w:proofErr w:type="spellEnd"/>
      <w:r w:rsidRPr="00EF5AA7">
        <w:rPr>
          <w:rFonts w:ascii="Arial" w:hAnsi="Arial" w:cs="Arial"/>
          <w:color w:val="000000"/>
          <w:sz w:val="20"/>
          <w:szCs w:val="20"/>
        </w:rPr>
        <w:t xml:space="preserve"> District, </w:t>
      </w:r>
      <w:proofErr w:type="spellStart"/>
      <w:r w:rsidRPr="00EF5AA7">
        <w:rPr>
          <w:rFonts w:ascii="Arial" w:hAnsi="Arial" w:cs="Arial"/>
          <w:color w:val="000000"/>
          <w:sz w:val="20"/>
          <w:szCs w:val="20"/>
        </w:rPr>
        <w:t>Kaimur</w:t>
      </w:r>
      <w:proofErr w:type="spellEnd"/>
      <w:r w:rsidRPr="00EF5AA7">
        <w:rPr>
          <w:rFonts w:ascii="Arial" w:hAnsi="Arial" w:cs="Arial"/>
          <w:color w:val="000000"/>
          <w:sz w:val="20"/>
          <w:szCs w:val="20"/>
        </w:rPr>
        <w:t xml:space="preserve"> Range, </w:t>
      </w:r>
      <w:proofErr w:type="spellStart"/>
      <w:r w:rsidRPr="00EF5AA7">
        <w:rPr>
          <w:rFonts w:ascii="Arial" w:hAnsi="Arial" w:cs="Arial"/>
          <w:color w:val="000000"/>
          <w:sz w:val="20"/>
          <w:szCs w:val="20"/>
        </w:rPr>
        <w:t>Bansagar</w:t>
      </w:r>
      <w:proofErr w:type="spellEnd"/>
      <w:r w:rsidRPr="00EF5AA7">
        <w:rPr>
          <w:rFonts w:ascii="Arial" w:hAnsi="Arial" w:cs="Arial"/>
          <w:color w:val="000000"/>
          <w:sz w:val="20"/>
          <w:szCs w:val="20"/>
        </w:rPr>
        <w:t xml:space="preserve"> Dam, Temporal Analysis, Remote Sensing</w:t>
      </w:r>
    </w:p>
    <w:p w14:paraId="6637AE2C" w14:textId="77777777" w:rsidR="00565746" w:rsidRPr="002229C2" w:rsidRDefault="00565746" w:rsidP="00565746">
      <w:pPr>
        <w:spacing w:before="240" w:after="240"/>
        <w:rPr>
          <w:rFonts w:ascii="Arial" w:hAnsi="Arial" w:cs="Arial"/>
          <w:b/>
          <w:bCs/>
          <w:sz w:val="22"/>
          <w:szCs w:val="22"/>
        </w:rPr>
      </w:pPr>
      <w:r w:rsidRPr="002229C2">
        <w:rPr>
          <w:rFonts w:ascii="Arial" w:hAnsi="Arial" w:cs="Arial"/>
          <w:b/>
          <w:bCs/>
          <w:sz w:val="22"/>
          <w:szCs w:val="22"/>
        </w:rPr>
        <w:t>1.  INTRODUCTION</w:t>
      </w:r>
    </w:p>
    <w:p w14:paraId="0C2D5671" w14:textId="3771C812" w:rsidR="0029568F" w:rsidRPr="0036670C" w:rsidRDefault="0029568F" w:rsidP="0029568F">
      <w:pPr>
        <w:spacing w:before="240" w:after="240"/>
        <w:jc w:val="both"/>
        <w:rPr>
          <w:rFonts w:ascii="Arial" w:hAnsi="Arial" w:cs="Arial"/>
          <w:bCs/>
          <w:sz w:val="20"/>
          <w:szCs w:val="20"/>
        </w:rPr>
      </w:pPr>
      <w:r w:rsidRPr="0036670C">
        <w:rPr>
          <w:rFonts w:ascii="Arial" w:hAnsi="Arial" w:cs="Arial"/>
          <w:bCs/>
          <w:sz w:val="20"/>
          <w:szCs w:val="20"/>
        </w:rPr>
        <w:t>Land use and land cover (LULC) change stands as one of the most consequential dimensions of glob</w:t>
      </w:r>
      <w:r w:rsidR="00F45DFF" w:rsidRPr="0036670C">
        <w:rPr>
          <w:rFonts w:ascii="Arial" w:hAnsi="Arial" w:cs="Arial"/>
          <w:bCs/>
          <w:sz w:val="20"/>
          <w:szCs w:val="20"/>
        </w:rPr>
        <w:t>al environmental transformation</w:t>
      </w:r>
      <w:r w:rsidRPr="0036670C">
        <w:rPr>
          <w:rFonts w:ascii="Arial" w:hAnsi="Arial" w:cs="Arial"/>
          <w:bCs/>
          <w:sz w:val="20"/>
          <w:szCs w:val="20"/>
        </w:rPr>
        <w:t xml:space="preserve"> </w:t>
      </w:r>
      <w:r w:rsidR="00F45DFF" w:rsidRPr="0036670C">
        <w:rPr>
          <w:rFonts w:ascii="Arial" w:hAnsi="Arial" w:cs="Arial"/>
          <w:bCs/>
          <w:sz w:val="20"/>
          <w:szCs w:val="20"/>
        </w:rPr>
        <w:t xml:space="preserve">(Khatun et al., 2026). </w:t>
      </w:r>
      <w:r w:rsidRPr="0036670C">
        <w:rPr>
          <w:rFonts w:ascii="Arial" w:hAnsi="Arial" w:cs="Arial"/>
          <w:bCs/>
          <w:sz w:val="20"/>
          <w:szCs w:val="20"/>
        </w:rPr>
        <w:t>The conversion of natural landscapes to agricultural land, the expansion of impervious urban surfaces, and the degradation of forest and wetland ecosystems collectively alter biodiversity, disrupt hydrological regimes, deplete carbon stocks, and m</w:t>
      </w:r>
      <w:r w:rsidR="00666189" w:rsidRPr="0036670C">
        <w:rPr>
          <w:rFonts w:ascii="Arial" w:hAnsi="Arial" w:cs="Arial"/>
          <w:bCs/>
          <w:sz w:val="20"/>
          <w:szCs w:val="20"/>
        </w:rPr>
        <w:t>odify regional climate patterns</w:t>
      </w:r>
      <w:r w:rsidR="00E36BC8" w:rsidRPr="0036670C">
        <w:rPr>
          <w:rFonts w:ascii="Arial" w:hAnsi="Arial" w:cs="Arial"/>
          <w:bCs/>
          <w:sz w:val="20"/>
          <w:szCs w:val="20"/>
        </w:rPr>
        <w:t>.</w:t>
      </w:r>
      <w:r w:rsidRPr="0036670C">
        <w:rPr>
          <w:rFonts w:ascii="Arial" w:hAnsi="Arial" w:cs="Arial"/>
          <w:bCs/>
          <w:sz w:val="20"/>
          <w:szCs w:val="20"/>
        </w:rPr>
        <w:t xml:space="preserve"> </w:t>
      </w:r>
      <w:r w:rsidR="00666189" w:rsidRPr="0036670C">
        <w:rPr>
          <w:rFonts w:ascii="Arial" w:hAnsi="Arial" w:cs="Arial"/>
          <w:bCs/>
          <w:sz w:val="20"/>
          <w:szCs w:val="20"/>
        </w:rPr>
        <w:t xml:space="preserve">Lambin et al., </w:t>
      </w:r>
      <w:r w:rsidR="00E36BC8" w:rsidRPr="0036670C">
        <w:rPr>
          <w:rFonts w:ascii="Arial" w:hAnsi="Arial" w:cs="Arial"/>
          <w:bCs/>
          <w:sz w:val="20"/>
          <w:szCs w:val="20"/>
        </w:rPr>
        <w:t>(</w:t>
      </w:r>
      <w:r w:rsidRPr="0036670C">
        <w:rPr>
          <w:rFonts w:ascii="Arial" w:hAnsi="Arial" w:cs="Arial"/>
          <w:bCs/>
          <w:sz w:val="20"/>
          <w:szCs w:val="20"/>
        </w:rPr>
        <w:t xml:space="preserve">2001) established that most land-cover change is the product of multiple </w:t>
      </w:r>
      <w:r w:rsidR="006A5472" w:rsidRPr="0036670C">
        <w:rPr>
          <w:rFonts w:ascii="Arial" w:hAnsi="Arial" w:cs="Arial"/>
          <w:bCs/>
          <w:sz w:val="20"/>
          <w:szCs w:val="20"/>
        </w:rPr>
        <w:t xml:space="preserve">interacting </w:t>
      </w:r>
      <w:proofErr w:type="gramStart"/>
      <w:r w:rsidR="006A5472" w:rsidRPr="0036670C">
        <w:rPr>
          <w:rFonts w:ascii="Arial" w:hAnsi="Arial" w:cs="Arial"/>
          <w:bCs/>
          <w:sz w:val="20"/>
          <w:szCs w:val="20"/>
        </w:rPr>
        <w:t>drivers</w:t>
      </w:r>
      <w:proofErr w:type="gramEnd"/>
      <w:r w:rsidR="006A5472" w:rsidRPr="0036670C">
        <w:rPr>
          <w:rFonts w:ascii="Arial" w:hAnsi="Arial" w:cs="Arial"/>
          <w:bCs/>
          <w:sz w:val="20"/>
          <w:szCs w:val="20"/>
        </w:rPr>
        <w:t xml:space="preserve"> </w:t>
      </w:r>
      <w:r w:rsidRPr="0036670C">
        <w:rPr>
          <w:rFonts w:ascii="Arial" w:hAnsi="Arial" w:cs="Arial"/>
          <w:bCs/>
          <w:sz w:val="20"/>
          <w:szCs w:val="20"/>
        </w:rPr>
        <w:t>demographic pressure, market forces, governance structur</w:t>
      </w:r>
      <w:r w:rsidR="006A5472" w:rsidRPr="0036670C">
        <w:rPr>
          <w:rFonts w:ascii="Arial" w:hAnsi="Arial" w:cs="Arial"/>
          <w:bCs/>
          <w:sz w:val="20"/>
          <w:szCs w:val="20"/>
        </w:rPr>
        <w:t>es, and biophysical conditions</w:t>
      </w:r>
      <w:r w:rsidRPr="0036670C">
        <w:rPr>
          <w:rFonts w:ascii="Arial" w:hAnsi="Arial" w:cs="Arial"/>
          <w:bCs/>
          <w:sz w:val="20"/>
          <w:szCs w:val="20"/>
        </w:rPr>
        <w:t xml:space="preserve"> rather than a single proximate cause. Their framework remains the foundational reference for understanding why landscapes change and how to interpret the sp</w:t>
      </w:r>
      <w:r w:rsidR="00666189" w:rsidRPr="0036670C">
        <w:rPr>
          <w:rFonts w:ascii="Arial" w:hAnsi="Arial" w:cs="Arial"/>
          <w:bCs/>
          <w:sz w:val="20"/>
          <w:szCs w:val="20"/>
        </w:rPr>
        <w:t>atial signatures of that change</w:t>
      </w:r>
      <w:r w:rsidR="00E36BC8" w:rsidRPr="0036670C">
        <w:rPr>
          <w:rFonts w:ascii="Arial" w:hAnsi="Arial" w:cs="Arial"/>
          <w:bCs/>
          <w:sz w:val="20"/>
          <w:szCs w:val="20"/>
        </w:rPr>
        <w:t>.</w:t>
      </w:r>
      <w:r w:rsidRPr="0036670C">
        <w:rPr>
          <w:rFonts w:ascii="Arial" w:hAnsi="Arial" w:cs="Arial"/>
          <w:bCs/>
          <w:sz w:val="20"/>
          <w:szCs w:val="20"/>
        </w:rPr>
        <w:t xml:space="preserve"> </w:t>
      </w:r>
      <w:r w:rsidR="00E36BC8" w:rsidRPr="0036670C">
        <w:rPr>
          <w:rFonts w:ascii="Arial" w:hAnsi="Arial" w:cs="Arial"/>
          <w:bCs/>
          <w:sz w:val="20"/>
          <w:szCs w:val="20"/>
        </w:rPr>
        <w:t>Foley et al.</w:t>
      </w:r>
      <w:r w:rsidR="00666189" w:rsidRPr="0036670C">
        <w:rPr>
          <w:rFonts w:ascii="Arial" w:hAnsi="Arial" w:cs="Arial"/>
          <w:bCs/>
          <w:sz w:val="20"/>
          <w:szCs w:val="20"/>
        </w:rPr>
        <w:t xml:space="preserve"> </w:t>
      </w:r>
      <w:r w:rsidR="00E36BC8" w:rsidRPr="0036670C">
        <w:rPr>
          <w:rFonts w:ascii="Arial" w:hAnsi="Arial" w:cs="Arial"/>
          <w:bCs/>
          <w:sz w:val="20"/>
          <w:szCs w:val="20"/>
        </w:rPr>
        <w:t>(</w:t>
      </w:r>
      <w:r w:rsidRPr="0036670C">
        <w:rPr>
          <w:rFonts w:ascii="Arial" w:hAnsi="Arial" w:cs="Arial"/>
          <w:bCs/>
          <w:sz w:val="20"/>
          <w:szCs w:val="20"/>
        </w:rPr>
        <w:t xml:space="preserve">2011) demonstrated that approximately 40 per cent of the ice-free land surface is now under cultivation or pasture, a figure that places agriculture at the </w:t>
      </w:r>
      <w:proofErr w:type="spellStart"/>
      <w:r w:rsidRPr="0036670C">
        <w:rPr>
          <w:rFonts w:ascii="Arial" w:hAnsi="Arial" w:cs="Arial"/>
          <w:bCs/>
          <w:sz w:val="20"/>
          <w:szCs w:val="20"/>
        </w:rPr>
        <w:t>centre</w:t>
      </w:r>
      <w:proofErr w:type="spellEnd"/>
      <w:r w:rsidRPr="0036670C">
        <w:rPr>
          <w:rFonts w:ascii="Arial" w:hAnsi="Arial" w:cs="Arial"/>
          <w:bCs/>
          <w:sz w:val="20"/>
          <w:szCs w:val="20"/>
        </w:rPr>
        <w:t xml:space="preserve"> of planetary-scale environmental negotiations. In India, the post-independence period has been defined by a continuous expansion of the cultivated frontier, simultaneous </w:t>
      </w:r>
      <w:proofErr w:type="spellStart"/>
      <w:r w:rsidRPr="0036670C">
        <w:rPr>
          <w:rFonts w:ascii="Arial" w:hAnsi="Arial" w:cs="Arial"/>
          <w:bCs/>
          <w:sz w:val="20"/>
          <w:szCs w:val="20"/>
        </w:rPr>
        <w:t>urbanisation</w:t>
      </w:r>
      <w:proofErr w:type="spellEnd"/>
      <w:r w:rsidRPr="0036670C">
        <w:rPr>
          <w:rFonts w:ascii="Arial" w:hAnsi="Arial" w:cs="Arial"/>
          <w:bCs/>
          <w:sz w:val="20"/>
          <w:szCs w:val="20"/>
        </w:rPr>
        <w:t>, and the progressive pressure on remaining</w:t>
      </w:r>
      <w:r w:rsidR="006A5472" w:rsidRPr="0036670C">
        <w:rPr>
          <w:rFonts w:ascii="Arial" w:hAnsi="Arial" w:cs="Arial"/>
          <w:bCs/>
          <w:sz w:val="20"/>
          <w:szCs w:val="20"/>
        </w:rPr>
        <w:t xml:space="preserve"> forest and wasteland reserves</w:t>
      </w:r>
      <w:r w:rsidRPr="0036670C">
        <w:rPr>
          <w:rFonts w:ascii="Arial" w:hAnsi="Arial" w:cs="Arial"/>
          <w:bCs/>
          <w:sz w:val="20"/>
          <w:szCs w:val="20"/>
        </w:rPr>
        <w:t xml:space="preserve"> a trajectory that makes LULC monitoring at the district scale both scientifically necessary and practically urgent.</w:t>
      </w:r>
    </w:p>
    <w:p w14:paraId="4259E5EC" w14:textId="638DB1B1" w:rsidR="0029568F" w:rsidRPr="0036670C" w:rsidRDefault="0029568F" w:rsidP="0029568F">
      <w:pPr>
        <w:spacing w:before="240" w:after="240"/>
        <w:jc w:val="both"/>
        <w:rPr>
          <w:rFonts w:ascii="Arial" w:hAnsi="Arial" w:cs="Arial"/>
          <w:bCs/>
          <w:sz w:val="20"/>
          <w:szCs w:val="20"/>
        </w:rPr>
      </w:pPr>
      <w:r w:rsidRPr="0036670C">
        <w:rPr>
          <w:rFonts w:ascii="Arial" w:hAnsi="Arial" w:cs="Arial"/>
          <w:bCs/>
          <w:sz w:val="20"/>
          <w:szCs w:val="20"/>
        </w:rPr>
        <w:t>Remote sensing has been the principal tool for LULC mo</w:t>
      </w:r>
      <w:r w:rsidR="00666189" w:rsidRPr="0036670C">
        <w:rPr>
          <w:rFonts w:ascii="Arial" w:hAnsi="Arial" w:cs="Arial"/>
          <w:bCs/>
          <w:sz w:val="20"/>
          <w:szCs w:val="20"/>
        </w:rPr>
        <w:t>nitoring since the early work</w:t>
      </w:r>
      <w:r w:rsidRPr="0036670C">
        <w:rPr>
          <w:rFonts w:ascii="Arial" w:hAnsi="Arial" w:cs="Arial"/>
          <w:bCs/>
          <w:sz w:val="20"/>
          <w:szCs w:val="20"/>
        </w:rPr>
        <w:t xml:space="preserve"> </w:t>
      </w:r>
      <w:r w:rsidR="00E36BC8" w:rsidRPr="0036670C">
        <w:rPr>
          <w:rFonts w:ascii="Arial" w:hAnsi="Arial" w:cs="Arial"/>
          <w:bCs/>
          <w:sz w:val="20"/>
          <w:szCs w:val="20"/>
        </w:rPr>
        <w:t>Anderson et al.</w:t>
      </w:r>
      <w:r w:rsidR="00666189" w:rsidRPr="0036670C">
        <w:rPr>
          <w:rFonts w:ascii="Arial" w:hAnsi="Arial" w:cs="Arial"/>
          <w:bCs/>
          <w:sz w:val="20"/>
          <w:szCs w:val="20"/>
        </w:rPr>
        <w:t xml:space="preserve"> </w:t>
      </w:r>
      <w:r w:rsidR="00E36BC8" w:rsidRPr="0036670C">
        <w:rPr>
          <w:rFonts w:ascii="Arial" w:hAnsi="Arial" w:cs="Arial"/>
          <w:bCs/>
          <w:sz w:val="20"/>
          <w:szCs w:val="20"/>
        </w:rPr>
        <w:t>(1976),</w:t>
      </w:r>
      <w:r w:rsidRPr="0036670C">
        <w:rPr>
          <w:rFonts w:ascii="Arial" w:hAnsi="Arial" w:cs="Arial"/>
          <w:bCs/>
          <w:sz w:val="20"/>
          <w:szCs w:val="20"/>
        </w:rPr>
        <w:t xml:space="preserve"> whose hierarchical classification system established the taxonomic standards that continue to guide land-cover mapping globally. The advent of machine learning classifiers has significantly </w:t>
      </w:r>
      <w:r w:rsidRPr="0036670C">
        <w:rPr>
          <w:rFonts w:ascii="Arial" w:hAnsi="Arial" w:cs="Arial"/>
          <w:bCs/>
          <w:sz w:val="20"/>
          <w:szCs w:val="20"/>
        </w:rPr>
        <w:lastRenderedPageBreak/>
        <w:t>advanced the analytical capability of remote sens</w:t>
      </w:r>
      <w:r w:rsidR="00666189" w:rsidRPr="0036670C">
        <w:rPr>
          <w:rFonts w:ascii="Arial" w:hAnsi="Arial" w:cs="Arial"/>
          <w:bCs/>
          <w:sz w:val="20"/>
          <w:szCs w:val="20"/>
        </w:rPr>
        <w:t>ing in heterogeneous landscapes</w:t>
      </w:r>
      <w:r w:rsidR="00E36BC8" w:rsidRPr="0036670C">
        <w:rPr>
          <w:rFonts w:ascii="Arial" w:hAnsi="Arial" w:cs="Arial"/>
          <w:bCs/>
          <w:sz w:val="20"/>
          <w:szCs w:val="20"/>
        </w:rPr>
        <w:t xml:space="preserve">. </w:t>
      </w:r>
      <w:proofErr w:type="spellStart"/>
      <w:r w:rsidRPr="0036670C">
        <w:rPr>
          <w:rFonts w:ascii="Arial" w:hAnsi="Arial" w:cs="Arial"/>
          <w:bCs/>
          <w:sz w:val="20"/>
          <w:szCs w:val="20"/>
        </w:rPr>
        <w:t>Breiman</w:t>
      </w:r>
      <w:proofErr w:type="spellEnd"/>
      <w:r w:rsidRPr="0036670C">
        <w:rPr>
          <w:rFonts w:ascii="Arial" w:hAnsi="Arial" w:cs="Arial"/>
          <w:bCs/>
          <w:sz w:val="20"/>
          <w:szCs w:val="20"/>
        </w:rPr>
        <w:t xml:space="preserve"> </w:t>
      </w:r>
      <w:r w:rsidR="00E36BC8" w:rsidRPr="0036670C">
        <w:rPr>
          <w:rFonts w:ascii="Arial" w:hAnsi="Arial" w:cs="Arial"/>
          <w:bCs/>
          <w:sz w:val="20"/>
          <w:szCs w:val="20"/>
        </w:rPr>
        <w:t>(</w:t>
      </w:r>
      <w:r w:rsidRPr="0036670C">
        <w:rPr>
          <w:rFonts w:ascii="Arial" w:hAnsi="Arial" w:cs="Arial"/>
          <w:bCs/>
          <w:sz w:val="20"/>
          <w:szCs w:val="20"/>
        </w:rPr>
        <w:t>2001)</w:t>
      </w:r>
      <w:r w:rsidR="00E36BC8" w:rsidRPr="0036670C">
        <w:rPr>
          <w:rFonts w:ascii="Arial" w:hAnsi="Arial" w:cs="Arial"/>
          <w:bCs/>
          <w:sz w:val="20"/>
          <w:szCs w:val="20"/>
        </w:rPr>
        <w:t xml:space="preserve"> i</w:t>
      </w:r>
      <w:r w:rsidRPr="0036670C">
        <w:rPr>
          <w:rFonts w:ascii="Arial" w:hAnsi="Arial" w:cs="Arial"/>
          <w:bCs/>
          <w:sz w:val="20"/>
          <w:szCs w:val="20"/>
        </w:rPr>
        <w:t xml:space="preserve">ntroduced the Random Forest algorithm as an ensemble of decision trees trained on bootstrap samples and combined by majority vote, producing classifiers that are robust to noise, resistant to overfitting, and able to handle high-dimensional feature spaces. </w:t>
      </w:r>
      <w:proofErr w:type="spellStart"/>
      <w:r w:rsidRPr="0036670C">
        <w:rPr>
          <w:rFonts w:ascii="Arial" w:hAnsi="Arial" w:cs="Arial"/>
          <w:bCs/>
          <w:sz w:val="20"/>
          <w:szCs w:val="20"/>
        </w:rPr>
        <w:t>Belgiu</w:t>
      </w:r>
      <w:proofErr w:type="spellEnd"/>
      <w:r w:rsidRPr="0036670C">
        <w:rPr>
          <w:rFonts w:ascii="Arial" w:hAnsi="Arial" w:cs="Arial"/>
          <w:bCs/>
          <w:sz w:val="20"/>
          <w:szCs w:val="20"/>
        </w:rPr>
        <w:t xml:space="preserve"> and </w:t>
      </w:r>
      <w:proofErr w:type="spellStart"/>
      <w:r w:rsidRPr="0036670C">
        <w:rPr>
          <w:rFonts w:ascii="Arial" w:hAnsi="Arial" w:cs="Arial"/>
          <w:bCs/>
          <w:sz w:val="20"/>
          <w:szCs w:val="20"/>
        </w:rPr>
        <w:t>Draguț</w:t>
      </w:r>
      <w:proofErr w:type="spellEnd"/>
      <w:r w:rsidRPr="0036670C">
        <w:rPr>
          <w:rFonts w:ascii="Arial" w:hAnsi="Arial" w:cs="Arial"/>
          <w:bCs/>
          <w:sz w:val="20"/>
          <w:szCs w:val="20"/>
        </w:rPr>
        <w:t xml:space="preserve"> (2016) confirmed, through a comprehensive review, that Random Forest consistently outperforms parametric approaches for LULC mapping, particularly </w:t>
      </w:r>
      <w:r w:rsidR="006A5472" w:rsidRPr="0036670C">
        <w:rPr>
          <w:rFonts w:ascii="Arial" w:hAnsi="Arial" w:cs="Arial"/>
          <w:bCs/>
          <w:sz w:val="20"/>
          <w:szCs w:val="20"/>
        </w:rPr>
        <w:t>with moderate training samples</w:t>
      </w:r>
      <w:r w:rsidRPr="0036670C">
        <w:rPr>
          <w:rFonts w:ascii="Arial" w:hAnsi="Arial" w:cs="Arial"/>
          <w:bCs/>
          <w:sz w:val="20"/>
          <w:szCs w:val="20"/>
        </w:rPr>
        <w:t xml:space="preserve"> the condition typical of district-scale studies. The availability of high-resolution multispectral satellite data from the Sentinel-2 constellation (Drusch et al., 2012), providing 13 spectral bands at 10–60 m resolution and a 5-day revisit time, has elevated LULC classification precision by enabling discrimination of land-cover types indistinguishable at the 30 m Landsat resolution</w:t>
      </w:r>
      <w:r w:rsidR="0036670C" w:rsidRPr="0036670C">
        <w:rPr>
          <w:rFonts w:ascii="Arial" w:hAnsi="Arial" w:cs="Arial"/>
          <w:bCs/>
          <w:sz w:val="20"/>
          <w:szCs w:val="20"/>
        </w:rPr>
        <w:t xml:space="preserve"> </w:t>
      </w:r>
      <w:r w:rsidR="0036670C" w:rsidRPr="0036670C">
        <w:rPr>
          <w:rFonts w:ascii="Arial" w:hAnsi="Arial" w:cs="Arial"/>
          <w:bCs/>
          <w:sz w:val="20"/>
          <w:szCs w:val="20"/>
          <w:highlight w:val="yellow"/>
        </w:rPr>
        <w:t xml:space="preserve">(El-Hamid, H. T. A., </w:t>
      </w:r>
      <w:proofErr w:type="spellStart"/>
      <w:r w:rsidR="0036670C" w:rsidRPr="0036670C">
        <w:rPr>
          <w:rFonts w:ascii="Arial" w:hAnsi="Arial" w:cs="Arial"/>
          <w:bCs/>
          <w:sz w:val="20"/>
          <w:szCs w:val="20"/>
          <w:highlight w:val="yellow"/>
        </w:rPr>
        <w:t>Caiyong</w:t>
      </w:r>
      <w:proofErr w:type="spellEnd"/>
      <w:r w:rsidR="0036670C" w:rsidRPr="0036670C">
        <w:rPr>
          <w:rFonts w:ascii="Arial" w:hAnsi="Arial" w:cs="Arial"/>
          <w:bCs/>
          <w:sz w:val="20"/>
          <w:szCs w:val="20"/>
          <w:highlight w:val="yellow"/>
        </w:rPr>
        <w:t xml:space="preserve">, W., &amp; </w:t>
      </w:r>
      <w:proofErr w:type="spellStart"/>
      <w:r w:rsidR="0036670C" w:rsidRPr="0036670C">
        <w:rPr>
          <w:rFonts w:ascii="Arial" w:hAnsi="Arial" w:cs="Arial"/>
          <w:bCs/>
          <w:sz w:val="20"/>
          <w:szCs w:val="20"/>
          <w:highlight w:val="yellow"/>
        </w:rPr>
        <w:t>Yongting</w:t>
      </w:r>
      <w:proofErr w:type="spellEnd"/>
      <w:r w:rsidR="0036670C" w:rsidRPr="0036670C">
        <w:rPr>
          <w:rFonts w:ascii="Arial" w:hAnsi="Arial" w:cs="Arial"/>
          <w:bCs/>
          <w:sz w:val="20"/>
          <w:szCs w:val="20"/>
          <w:highlight w:val="yellow"/>
        </w:rPr>
        <w:t>, Z. 2021)</w:t>
      </w:r>
      <w:r w:rsidRPr="0036670C">
        <w:rPr>
          <w:rFonts w:ascii="Arial" w:hAnsi="Arial" w:cs="Arial"/>
          <w:bCs/>
          <w:sz w:val="20"/>
          <w:szCs w:val="20"/>
          <w:highlight w:val="yellow"/>
        </w:rPr>
        <w:t>.</w:t>
      </w:r>
      <w:r w:rsidRPr="0036670C">
        <w:rPr>
          <w:rFonts w:ascii="Arial" w:hAnsi="Arial" w:cs="Arial"/>
          <w:bCs/>
          <w:sz w:val="20"/>
          <w:szCs w:val="20"/>
        </w:rPr>
        <w:t xml:space="preserve"> The integration of these tools within Google Earth Engine, a planetary-scale cloud-based geospatial processing platform described by Gorelick et al. (2017), has made district-level temporal LULC analysis reproducible and computationally feasible at near-zero data cost.</w:t>
      </w:r>
    </w:p>
    <w:p w14:paraId="0DD66368" w14:textId="15244B6C" w:rsidR="0029568F" w:rsidRPr="0036670C" w:rsidRDefault="0029568F" w:rsidP="0029568F">
      <w:pPr>
        <w:spacing w:before="240" w:after="240"/>
        <w:jc w:val="both"/>
        <w:rPr>
          <w:rFonts w:ascii="Arial" w:hAnsi="Arial" w:cs="Arial"/>
          <w:bCs/>
          <w:sz w:val="20"/>
          <w:szCs w:val="20"/>
        </w:rPr>
      </w:pPr>
      <w:r w:rsidRPr="0036670C">
        <w:rPr>
          <w:rFonts w:ascii="Arial" w:hAnsi="Arial" w:cs="Arial"/>
          <w:bCs/>
          <w:sz w:val="20"/>
          <w:szCs w:val="20"/>
        </w:rPr>
        <w:t>Madhya Pradesh, the geographically largest state of India, presents one of the most complex LULC dynamics in peninsular India. The state encompasses extensive agricultural plains, significant forest re</w:t>
      </w:r>
      <w:r w:rsidR="00E36BC8" w:rsidRPr="0036670C">
        <w:rPr>
          <w:rFonts w:ascii="Arial" w:hAnsi="Arial" w:cs="Arial"/>
          <w:bCs/>
          <w:sz w:val="20"/>
          <w:szCs w:val="20"/>
        </w:rPr>
        <w:t xml:space="preserve">serves in the </w:t>
      </w:r>
      <w:proofErr w:type="spellStart"/>
      <w:r w:rsidR="00E36BC8" w:rsidRPr="0036670C">
        <w:rPr>
          <w:rFonts w:ascii="Arial" w:hAnsi="Arial" w:cs="Arial"/>
          <w:bCs/>
          <w:sz w:val="20"/>
          <w:szCs w:val="20"/>
        </w:rPr>
        <w:t>Vindhyan</w:t>
      </w:r>
      <w:proofErr w:type="spellEnd"/>
      <w:r w:rsidR="00E36BC8" w:rsidRPr="0036670C">
        <w:rPr>
          <w:rFonts w:ascii="Arial" w:hAnsi="Arial" w:cs="Arial"/>
          <w:bCs/>
          <w:sz w:val="20"/>
          <w:szCs w:val="20"/>
        </w:rPr>
        <w:t xml:space="preserve">, </w:t>
      </w:r>
      <w:proofErr w:type="spellStart"/>
      <w:r w:rsidR="00E36BC8" w:rsidRPr="0036670C">
        <w:rPr>
          <w:rFonts w:ascii="Arial" w:hAnsi="Arial" w:cs="Arial"/>
          <w:bCs/>
          <w:sz w:val="20"/>
          <w:szCs w:val="20"/>
        </w:rPr>
        <w:t>Satpura</w:t>
      </w:r>
      <w:proofErr w:type="spellEnd"/>
      <w:r w:rsidR="00E36BC8" w:rsidRPr="0036670C">
        <w:rPr>
          <w:rFonts w:ascii="Arial" w:hAnsi="Arial" w:cs="Arial"/>
          <w:bCs/>
          <w:sz w:val="20"/>
          <w:szCs w:val="20"/>
        </w:rPr>
        <w:t xml:space="preserve"> and </w:t>
      </w:r>
      <w:proofErr w:type="spellStart"/>
      <w:r w:rsidR="00E36BC8" w:rsidRPr="0036670C">
        <w:rPr>
          <w:rFonts w:ascii="Arial" w:hAnsi="Arial" w:cs="Arial"/>
          <w:bCs/>
          <w:sz w:val="20"/>
          <w:szCs w:val="20"/>
        </w:rPr>
        <w:t>Maikal</w:t>
      </w:r>
      <w:proofErr w:type="spellEnd"/>
      <w:r w:rsidR="00E36BC8" w:rsidRPr="0036670C">
        <w:rPr>
          <w:rFonts w:ascii="Arial" w:hAnsi="Arial" w:cs="Arial"/>
          <w:bCs/>
          <w:sz w:val="20"/>
          <w:szCs w:val="20"/>
        </w:rPr>
        <w:t xml:space="preserve"> hill systems</w:t>
      </w:r>
      <w:r w:rsidRPr="0036670C">
        <w:rPr>
          <w:rFonts w:ascii="Arial" w:hAnsi="Arial" w:cs="Arial"/>
          <w:bCs/>
          <w:sz w:val="20"/>
          <w:szCs w:val="20"/>
        </w:rPr>
        <w:t xml:space="preserve"> and a rapidly growing network of medium-sized cities. Reddy et al. (2016) documented significant forest degradation across the Vindhyan and Satpura ranges, attributing change to shifting c</w:t>
      </w:r>
      <w:r w:rsidR="00E36BC8" w:rsidRPr="0036670C">
        <w:rPr>
          <w:rFonts w:ascii="Arial" w:hAnsi="Arial" w:cs="Arial"/>
          <w:bCs/>
          <w:sz w:val="20"/>
          <w:szCs w:val="20"/>
        </w:rPr>
        <w:t>ultivation, fuelwood extraction</w:t>
      </w:r>
      <w:r w:rsidR="006A5472" w:rsidRPr="0036670C">
        <w:rPr>
          <w:rFonts w:ascii="Arial" w:hAnsi="Arial" w:cs="Arial"/>
          <w:bCs/>
          <w:sz w:val="20"/>
          <w:szCs w:val="20"/>
        </w:rPr>
        <w:t xml:space="preserve"> and agricultural encroachment</w:t>
      </w:r>
      <w:r w:rsidRPr="0036670C">
        <w:rPr>
          <w:rFonts w:ascii="Arial" w:hAnsi="Arial" w:cs="Arial"/>
          <w:bCs/>
          <w:sz w:val="20"/>
          <w:szCs w:val="20"/>
        </w:rPr>
        <w:t xml:space="preserve"> processes directly relevant to the Kaimur Range forests of Rewa District. Within this regional context, Rewa District, situated on the Rewa-Panna Plateau in the northeastern corner of the state, represents a district at a particular developmental inflection point </w:t>
      </w:r>
      <w:proofErr w:type="spellStart"/>
      <w:r w:rsidRPr="0036670C">
        <w:rPr>
          <w:rFonts w:ascii="Arial" w:hAnsi="Arial" w:cs="Arial"/>
          <w:bCs/>
          <w:sz w:val="20"/>
          <w:szCs w:val="20"/>
        </w:rPr>
        <w:t>characterised</w:t>
      </w:r>
      <w:proofErr w:type="spellEnd"/>
      <w:r w:rsidRPr="0036670C">
        <w:rPr>
          <w:rFonts w:ascii="Arial" w:hAnsi="Arial" w:cs="Arial"/>
          <w:bCs/>
          <w:sz w:val="20"/>
          <w:szCs w:val="20"/>
        </w:rPr>
        <w:t xml:space="preserve"> by the convergence of four distinct and simultaneous land transformation drivers. First, the </w:t>
      </w:r>
      <w:proofErr w:type="spellStart"/>
      <w:r w:rsidRPr="0036670C">
        <w:rPr>
          <w:rFonts w:ascii="Arial" w:hAnsi="Arial" w:cs="Arial"/>
          <w:bCs/>
          <w:sz w:val="20"/>
          <w:szCs w:val="20"/>
        </w:rPr>
        <w:t>Bansagar</w:t>
      </w:r>
      <w:proofErr w:type="spellEnd"/>
      <w:r w:rsidRPr="0036670C">
        <w:rPr>
          <w:rFonts w:ascii="Arial" w:hAnsi="Arial" w:cs="Arial"/>
          <w:bCs/>
          <w:sz w:val="20"/>
          <w:szCs w:val="20"/>
        </w:rPr>
        <w:t xml:space="preserve"> Dam multipurpose project on the Tons River has progressively extended its canal irrigation network into the </w:t>
      </w:r>
      <w:proofErr w:type="spellStart"/>
      <w:r w:rsidRPr="0036670C">
        <w:rPr>
          <w:rFonts w:ascii="Arial" w:hAnsi="Arial" w:cs="Arial"/>
          <w:bCs/>
          <w:sz w:val="20"/>
          <w:szCs w:val="20"/>
        </w:rPr>
        <w:t>Teonthar</w:t>
      </w:r>
      <w:proofErr w:type="spellEnd"/>
      <w:r w:rsidRPr="0036670C">
        <w:rPr>
          <w:rFonts w:ascii="Arial" w:hAnsi="Arial" w:cs="Arial"/>
          <w:bCs/>
          <w:sz w:val="20"/>
          <w:szCs w:val="20"/>
        </w:rPr>
        <w:t xml:space="preserve"> and </w:t>
      </w:r>
      <w:proofErr w:type="spellStart"/>
      <w:r w:rsidRPr="0036670C">
        <w:rPr>
          <w:rFonts w:ascii="Arial" w:hAnsi="Arial" w:cs="Arial"/>
          <w:bCs/>
          <w:sz w:val="20"/>
          <w:szCs w:val="20"/>
        </w:rPr>
        <w:t>Hanumana</w:t>
      </w:r>
      <w:proofErr w:type="spellEnd"/>
      <w:r w:rsidRPr="0036670C">
        <w:rPr>
          <w:rFonts w:ascii="Arial" w:hAnsi="Arial" w:cs="Arial"/>
          <w:bCs/>
          <w:sz w:val="20"/>
          <w:szCs w:val="20"/>
        </w:rPr>
        <w:t xml:space="preserve"> tehsils, converting previously fallow and degraded land to cultivation. Second, the commissioning of the Rewa Ultra Mega Solar Power Project (750 MW), one of the largest solar parks in Asia when inaugurated in 2020, has transformed large tracts of degraded barren land to solar infrastructure. Third, the construction and improvement of National Highways 30 and 27 has </w:t>
      </w:r>
      <w:proofErr w:type="spellStart"/>
      <w:r w:rsidRPr="0036670C">
        <w:rPr>
          <w:rFonts w:ascii="Arial" w:hAnsi="Arial" w:cs="Arial"/>
          <w:bCs/>
          <w:sz w:val="20"/>
          <w:szCs w:val="20"/>
        </w:rPr>
        <w:t>catalysed</w:t>
      </w:r>
      <w:proofErr w:type="spellEnd"/>
      <w:r w:rsidRPr="0036670C">
        <w:rPr>
          <w:rFonts w:ascii="Arial" w:hAnsi="Arial" w:cs="Arial"/>
          <w:bCs/>
          <w:sz w:val="20"/>
          <w:szCs w:val="20"/>
        </w:rPr>
        <w:t xml:space="preserve"> ribbon development and peri-urban expansion along highway corridors. Fourth, the administrative elevation of </w:t>
      </w:r>
      <w:proofErr w:type="spellStart"/>
      <w:r w:rsidRPr="0036670C">
        <w:rPr>
          <w:rFonts w:ascii="Arial" w:hAnsi="Arial" w:cs="Arial"/>
          <w:bCs/>
          <w:sz w:val="20"/>
          <w:szCs w:val="20"/>
        </w:rPr>
        <w:t>Mauganj</w:t>
      </w:r>
      <w:proofErr w:type="spellEnd"/>
      <w:r w:rsidRPr="0036670C">
        <w:rPr>
          <w:rFonts w:ascii="Arial" w:hAnsi="Arial" w:cs="Arial"/>
          <w:bCs/>
          <w:sz w:val="20"/>
          <w:szCs w:val="20"/>
        </w:rPr>
        <w:t xml:space="preserve"> to a separate district in 2023 generated substantial new construction activity in the southeastern portion of the study area. Each of these drivers leaves a distinct spatial imprint on the satellite-derived LULC record, making Rewa District a particularly informative case study for understanding the multi-driver landscape change typical of rapidly developing Tier-3 districts in central India.</w:t>
      </w:r>
    </w:p>
    <w:p w14:paraId="74B049FF" w14:textId="157754E0" w:rsidR="0029568F" w:rsidRPr="0036670C" w:rsidRDefault="0029568F" w:rsidP="0029568F">
      <w:pPr>
        <w:spacing w:before="240" w:after="240"/>
        <w:jc w:val="both"/>
        <w:rPr>
          <w:rFonts w:ascii="Arial" w:hAnsi="Arial" w:cs="Arial"/>
          <w:bCs/>
          <w:sz w:val="20"/>
          <w:szCs w:val="20"/>
        </w:rPr>
      </w:pPr>
      <w:r w:rsidRPr="0036670C">
        <w:rPr>
          <w:rFonts w:ascii="Arial" w:hAnsi="Arial" w:cs="Arial"/>
          <w:bCs/>
          <w:sz w:val="20"/>
          <w:szCs w:val="20"/>
        </w:rPr>
        <w:t>Despite the documented importance of LULC monitoring in Madhya Pradesh, district-level temporal analyses for Rewa using high-resolution Sentinel-2 imagery remain absent from the peer-reviewed literature. Most existing studies for this region have relied on coarser Landsat data (30 m) or single time-point classifications. The spectral confusion between</w:t>
      </w:r>
      <w:r w:rsidR="000A02CA" w:rsidRPr="0036670C">
        <w:rPr>
          <w:rFonts w:ascii="Arial" w:hAnsi="Arial" w:cs="Arial"/>
          <w:bCs/>
          <w:sz w:val="20"/>
          <w:szCs w:val="20"/>
        </w:rPr>
        <w:t xml:space="preserve"> built-up surfaces, barren land</w:t>
      </w:r>
      <w:r w:rsidRPr="0036670C">
        <w:rPr>
          <w:rFonts w:ascii="Arial" w:hAnsi="Arial" w:cs="Arial"/>
          <w:bCs/>
          <w:sz w:val="20"/>
          <w:szCs w:val="20"/>
        </w:rPr>
        <w:t xml:space="preserve"> and fallow agricultura</w:t>
      </w:r>
      <w:r w:rsidR="000A02CA" w:rsidRPr="0036670C">
        <w:rPr>
          <w:rFonts w:ascii="Arial" w:hAnsi="Arial" w:cs="Arial"/>
          <w:bCs/>
          <w:sz w:val="20"/>
          <w:szCs w:val="20"/>
        </w:rPr>
        <w:t>l soil in semi-arid landscapes</w:t>
      </w:r>
      <w:r w:rsidRPr="0036670C">
        <w:rPr>
          <w:rFonts w:ascii="Arial" w:hAnsi="Arial" w:cs="Arial"/>
          <w:bCs/>
          <w:sz w:val="20"/>
          <w:szCs w:val="20"/>
        </w:rPr>
        <w:t xml:space="preserve"> a persistent me</w:t>
      </w:r>
      <w:r w:rsidR="000A02CA" w:rsidRPr="0036670C">
        <w:rPr>
          <w:rFonts w:ascii="Arial" w:hAnsi="Arial" w:cs="Arial"/>
          <w:bCs/>
          <w:sz w:val="20"/>
          <w:szCs w:val="20"/>
        </w:rPr>
        <w:t>thodological challenge</w:t>
      </w:r>
      <w:r w:rsidRPr="0036670C">
        <w:rPr>
          <w:rFonts w:ascii="Arial" w:hAnsi="Arial" w:cs="Arial"/>
          <w:bCs/>
          <w:sz w:val="20"/>
          <w:szCs w:val="20"/>
        </w:rPr>
        <w:t xml:space="preserve"> has also been insufficiently addressed in previous work. The present study fills this gap by generating 10-metre classified LULC maps for Rewa District for the years 2020 and 2025 through a supervised Random Forest classification in Google Earth Engine, using a comprehensive multi-feature input stack integrating Sentinel-2 spectral bands, vegetation indices (NDVI, EVI, SAVI), water and built-up indices (MNDWI, NDBI, BSI), Grey Level Co-occurrence Matrix (GLCM) texture features, and SRTM terrain derivatives. Full-year (January–December) cloud-free median composites were used to </w:t>
      </w:r>
      <w:proofErr w:type="spellStart"/>
      <w:r w:rsidRPr="0036670C">
        <w:rPr>
          <w:rFonts w:ascii="Arial" w:hAnsi="Arial" w:cs="Arial"/>
          <w:bCs/>
          <w:sz w:val="20"/>
          <w:szCs w:val="20"/>
        </w:rPr>
        <w:t>minimise</w:t>
      </w:r>
      <w:proofErr w:type="spellEnd"/>
      <w:r w:rsidRPr="0036670C">
        <w:rPr>
          <w:rFonts w:ascii="Arial" w:hAnsi="Arial" w:cs="Arial"/>
          <w:bCs/>
          <w:sz w:val="20"/>
          <w:szCs w:val="20"/>
        </w:rPr>
        <w:t xml:space="preserve"> seasonal bias and integrate the full phenological range of the landscape. Post-classification change analysis quantifies the net change and transition</w:t>
      </w:r>
      <w:r w:rsidR="000A02CA" w:rsidRPr="0036670C">
        <w:rPr>
          <w:rFonts w:ascii="Arial" w:hAnsi="Arial" w:cs="Arial"/>
          <w:bCs/>
          <w:sz w:val="20"/>
          <w:szCs w:val="20"/>
        </w:rPr>
        <w:t xml:space="preserve"> dynamics between the two years</w:t>
      </w:r>
      <w:r w:rsidRPr="0036670C">
        <w:rPr>
          <w:rFonts w:ascii="Arial" w:hAnsi="Arial" w:cs="Arial"/>
          <w:bCs/>
          <w:sz w:val="20"/>
          <w:szCs w:val="20"/>
        </w:rPr>
        <w:t xml:space="preserve"> and the results are interpreted within the ecological, hydrological, and socio-economic context of the Vindhyan plateau. The study demonstrates the utility of cloud-based, high-resolution geospatial analysis for regional LULC monitoring and provides a spatial evidence base for land management and development planning in Rewa District.</w:t>
      </w:r>
    </w:p>
    <w:p w14:paraId="61717D01" w14:textId="77777777" w:rsidR="00565746" w:rsidRPr="00565746" w:rsidRDefault="00565746" w:rsidP="00565746">
      <w:pPr>
        <w:spacing w:before="240" w:after="240"/>
        <w:jc w:val="both"/>
        <w:rPr>
          <w:rFonts w:ascii="Arial" w:hAnsi="Arial" w:cs="Arial"/>
          <w:b/>
          <w:sz w:val="22"/>
          <w:szCs w:val="22"/>
        </w:rPr>
      </w:pPr>
      <w:r>
        <w:rPr>
          <w:rFonts w:ascii="Arial" w:hAnsi="Arial" w:cs="Arial"/>
          <w:b/>
          <w:sz w:val="22"/>
          <w:szCs w:val="22"/>
        </w:rPr>
        <w:t xml:space="preserve">2. </w:t>
      </w:r>
      <w:r w:rsidRPr="00565746">
        <w:rPr>
          <w:rFonts w:ascii="Arial" w:hAnsi="Arial" w:cs="Arial"/>
          <w:b/>
          <w:sz w:val="22"/>
          <w:szCs w:val="22"/>
        </w:rPr>
        <w:t>OBJECTIVE</w:t>
      </w:r>
    </w:p>
    <w:p w14:paraId="59D58513" w14:textId="77777777" w:rsidR="00565746" w:rsidRDefault="00565746" w:rsidP="004C22A6">
      <w:pPr>
        <w:spacing w:before="240" w:after="240"/>
        <w:jc w:val="both"/>
        <w:rPr>
          <w:rFonts w:ascii="Arial" w:hAnsi="Arial" w:cs="Arial"/>
          <w:bCs/>
          <w:sz w:val="20"/>
          <w:szCs w:val="20"/>
        </w:rPr>
      </w:pPr>
      <w:r w:rsidRPr="00565746">
        <w:rPr>
          <w:rFonts w:ascii="Arial" w:hAnsi="Arial" w:cs="Arial"/>
          <w:bCs/>
          <w:sz w:val="20"/>
          <w:szCs w:val="20"/>
        </w:rPr>
        <w:t xml:space="preserve">The present study aims to analyze the </w:t>
      </w:r>
      <w:proofErr w:type="spellStart"/>
      <w:r w:rsidRPr="00565746">
        <w:rPr>
          <w:rFonts w:ascii="Arial" w:hAnsi="Arial" w:cs="Arial"/>
          <w:bCs/>
          <w:sz w:val="20"/>
          <w:szCs w:val="20"/>
        </w:rPr>
        <w:t>spatio</w:t>
      </w:r>
      <w:proofErr w:type="spellEnd"/>
      <w:r w:rsidRPr="00565746">
        <w:rPr>
          <w:rFonts w:ascii="Arial" w:hAnsi="Arial" w:cs="Arial"/>
          <w:bCs/>
          <w:sz w:val="20"/>
          <w:szCs w:val="20"/>
        </w:rPr>
        <w:t xml:space="preserve">-temporal changes in land use and land cover (LULC) in Rewa District over the period 2020–2025 using geospatial techniques. It further seeks to examine the spatial patterns and emerging trends of land transformation within the study area to understand the dynamics of landscape change. The study also focuses on identifying and evaluating the major natural and anthropogenic driving factors responsible for these LULC changes. Based on the findings, </w:t>
      </w:r>
      <w:r w:rsidRPr="00565746">
        <w:rPr>
          <w:rFonts w:ascii="Arial" w:hAnsi="Arial" w:cs="Arial"/>
          <w:bCs/>
          <w:sz w:val="20"/>
          <w:szCs w:val="20"/>
        </w:rPr>
        <w:lastRenderedPageBreak/>
        <w:t>the research intends to propose suitable strategies for sustainable land use planning and effective resource management in the study area.</w:t>
      </w:r>
    </w:p>
    <w:p w14:paraId="6F5F1173" w14:textId="77777777" w:rsidR="00565746" w:rsidRDefault="000E544F" w:rsidP="00565746">
      <w:pPr>
        <w:spacing w:before="240" w:after="240"/>
        <w:rPr>
          <w:rFonts w:ascii="Arial" w:hAnsi="Arial" w:cs="Arial"/>
          <w:b/>
          <w:bCs/>
          <w:sz w:val="22"/>
          <w:szCs w:val="20"/>
          <w:lang w:bidi="hi-IN"/>
        </w:rPr>
      </w:pPr>
      <w:r>
        <w:rPr>
          <w:rFonts w:ascii="Arial" w:hAnsi="Arial" w:cs="Arial"/>
          <w:b/>
          <w:bCs/>
          <w:sz w:val="22"/>
          <w:szCs w:val="20"/>
          <w:lang w:bidi="hi-IN"/>
        </w:rPr>
        <w:t xml:space="preserve">3. </w:t>
      </w:r>
      <w:r w:rsidR="00565746">
        <w:rPr>
          <w:rFonts w:ascii="Arial" w:hAnsi="Arial" w:cs="Arial"/>
          <w:b/>
          <w:bCs/>
          <w:sz w:val="22"/>
          <w:szCs w:val="20"/>
          <w:lang w:bidi="hi-IN"/>
        </w:rPr>
        <w:t>STUDY AREA</w:t>
      </w:r>
    </w:p>
    <w:p w14:paraId="2D2D6A08" w14:textId="77777777" w:rsidR="00565746" w:rsidRDefault="00565746" w:rsidP="00565746">
      <w:pPr>
        <w:spacing w:before="120" w:after="120"/>
        <w:jc w:val="both"/>
      </w:pPr>
      <w:r w:rsidRPr="00565746">
        <w:rPr>
          <w:rFonts w:ascii="Arial" w:hAnsi="Arial" w:cs="Arial"/>
          <w:color w:val="000000"/>
          <w:sz w:val="20"/>
          <w:szCs w:val="20"/>
        </w:rPr>
        <w:t>Rewa District is located in the northeastern portion of Madhya Pradesh, India, situated between approximately 24°18'N to 25°12'N latitude and 81°18'E to 82°12'E longitude, with the district headquarters at Rewa city positioned at 24°53'N, 81°30'E, at an altitude of 304 m above mean sea level. The district encompasses a total geographical area of 6,314 sq km and ranks 22nd in the state and 163rd in India by area (Datanet India, 2026).</w:t>
      </w:r>
    </w:p>
    <w:p w14:paraId="4249751F" w14:textId="1819DA42" w:rsidR="00FB5548" w:rsidRDefault="00C41919" w:rsidP="000E544F">
      <w:pPr>
        <w:spacing w:before="240" w:after="240"/>
        <w:jc w:val="center"/>
        <w:rPr>
          <w:rFonts w:ascii="Arial" w:hAnsi="Arial" w:cs="Arial"/>
          <w:b/>
          <w:bCs/>
          <w:color w:val="000000" w:themeColor="text1"/>
          <w:sz w:val="20"/>
          <w:szCs w:val="20"/>
        </w:rPr>
      </w:pPr>
      <w:r>
        <w:rPr>
          <w:i/>
          <w:iCs/>
          <w:noProof/>
          <w:color w:val="555555"/>
          <w:sz w:val="20"/>
          <w:szCs w:val="20"/>
          <w:lang w:val="en-IN" w:eastAsia="en-IN" w:bidi="hi-IN"/>
        </w:rPr>
        <w:t>1`</w:t>
      </w:r>
      <w:r w:rsidR="000E544F">
        <w:rPr>
          <w:i/>
          <w:iCs/>
          <w:noProof/>
          <w:color w:val="555555"/>
          <w:sz w:val="20"/>
          <w:szCs w:val="20"/>
          <w:lang w:val="en-IN" w:eastAsia="en-IN" w:bidi="hi-IN"/>
        </w:rPr>
        <w:drawing>
          <wp:inline distT="0" distB="0" distL="0" distR="0" wp14:anchorId="6F74057F" wp14:editId="2EB5769F">
            <wp:extent cx="4229611" cy="2924175"/>
            <wp:effectExtent l="19050" t="19050" r="19050" b="9525"/>
            <wp:docPr id="18259223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22366" name="Picture 2"/>
                    <pic:cNvPicPr/>
                  </pic:nvPicPr>
                  <pic:blipFill rotWithShape="1">
                    <a:blip r:embed="rId8" cstate="print">
                      <a:extLst>
                        <a:ext uri="{28A0092B-C50C-407E-A947-70E740481C1C}">
                          <a14:useLocalDpi xmlns:a14="http://schemas.microsoft.com/office/drawing/2010/main" val="0"/>
                        </a:ext>
                      </a:extLst>
                    </a:blip>
                    <a:srcRect l="7481" t="6448" r="3832" b="6888"/>
                    <a:stretch/>
                  </pic:blipFill>
                  <pic:spPr bwMode="auto">
                    <a:xfrm>
                      <a:off x="0" y="0"/>
                      <a:ext cx="4253325" cy="294057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sidR="000E544F" w:rsidRPr="000E544F">
        <w:rPr>
          <w:rFonts w:ascii="Arial" w:hAnsi="Arial" w:cs="Arial"/>
          <w:b/>
          <w:bCs/>
          <w:color w:val="000000" w:themeColor="text1"/>
          <w:sz w:val="20"/>
          <w:szCs w:val="20"/>
        </w:rPr>
        <w:t xml:space="preserve"> </w:t>
      </w:r>
    </w:p>
    <w:p w14:paraId="171EF34A" w14:textId="77777777" w:rsidR="000E544F" w:rsidRPr="000E544F" w:rsidRDefault="00FB5548" w:rsidP="000E544F">
      <w:pPr>
        <w:spacing w:before="240" w:after="240"/>
        <w:jc w:val="center"/>
        <w:rPr>
          <w:rFonts w:ascii="Arial" w:hAnsi="Arial" w:cs="Arial"/>
          <w:color w:val="000000" w:themeColor="text1"/>
          <w:sz w:val="22"/>
          <w:szCs w:val="22"/>
        </w:rPr>
      </w:pPr>
      <w:r>
        <w:rPr>
          <w:rFonts w:ascii="Arial" w:hAnsi="Arial" w:cs="Arial"/>
          <w:b/>
          <w:bCs/>
          <w:color w:val="000000" w:themeColor="text1"/>
          <w:sz w:val="20"/>
          <w:szCs w:val="20"/>
        </w:rPr>
        <w:t>Fig.</w:t>
      </w:r>
      <w:r w:rsidR="000E544F" w:rsidRPr="000E544F">
        <w:rPr>
          <w:rFonts w:ascii="Arial" w:hAnsi="Arial" w:cs="Arial"/>
          <w:b/>
          <w:bCs/>
          <w:color w:val="000000" w:themeColor="text1"/>
          <w:sz w:val="20"/>
          <w:szCs w:val="20"/>
        </w:rPr>
        <w:t xml:space="preserve"> 1</w:t>
      </w:r>
      <w:r w:rsidR="000E544F">
        <w:rPr>
          <w:rFonts w:ascii="Arial" w:hAnsi="Arial" w:cs="Arial"/>
          <w:b/>
          <w:bCs/>
          <w:color w:val="000000" w:themeColor="text1"/>
          <w:sz w:val="20"/>
          <w:szCs w:val="20"/>
        </w:rPr>
        <w:t>:</w:t>
      </w:r>
      <w:r w:rsidR="000E544F" w:rsidRPr="000E544F">
        <w:rPr>
          <w:rFonts w:ascii="Arial" w:hAnsi="Arial" w:cs="Arial"/>
          <w:b/>
          <w:bCs/>
          <w:color w:val="000000" w:themeColor="text1"/>
          <w:sz w:val="20"/>
          <w:szCs w:val="20"/>
        </w:rPr>
        <w:t xml:space="preserve"> Study Area Map of Rewa, Madhya Pradesh</w:t>
      </w:r>
    </w:p>
    <w:p w14:paraId="19682D3C" w14:textId="6C40C1EF" w:rsidR="00565746" w:rsidRPr="000E544F" w:rsidRDefault="00565746" w:rsidP="000E544F">
      <w:pPr>
        <w:spacing w:before="120" w:after="120"/>
        <w:jc w:val="both"/>
        <w:rPr>
          <w:rFonts w:ascii="Arial" w:hAnsi="Arial" w:cs="Arial"/>
          <w:sz w:val="20"/>
          <w:szCs w:val="20"/>
        </w:rPr>
      </w:pPr>
      <w:r w:rsidRPr="000E544F">
        <w:rPr>
          <w:rFonts w:ascii="Arial" w:hAnsi="Arial" w:cs="Arial"/>
          <w:color w:val="000000"/>
          <w:sz w:val="20"/>
          <w:szCs w:val="20"/>
        </w:rPr>
        <w:t>Administratively, the district is bounded by Prayagraj District (Uttar Pradesh) to the north, Satna District (Madhya Pradesh) to the west, Mirzapur District (Uttar Pradesh) to the east, and Sidhi District (Madhya Pradesh) to the south. This position on the Madhya Pradesh–Uttar Pradesh border gives the district a transitional character, straddling the agricultural plains of the Ganga basin to the north and the forested uplands of the Vindhyan range to the south. The district is administratively divided into 11 sub-districts (tehsils</w:t>
      </w:r>
      <w:r w:rsidR="00FA4C4D">
        <w:rPr>
          <w:rFonts w:ascii="Arial" w:hAnsi="Arial" w:cs="Arial"/>
          <w:color w:val="000000"/>
          <w:sz w:val="20"/>
          <w:szCs w:val="20"/>
        </w:rPr>
        <w:t>), 13 towns, and 2,719 villages</w:t>
      </w:r>
      <w:r w:rsidRPr="000E544F">
        <w:rPr>
          <w:rFonts w:ascii="Arial" w:hAnsi="Arial" w:cs="Arial"/>
          <w:color w:val="000000"/>
          <w:sz w:val="20"/>
          <w:szCs w:val="20"/>
        </w:rPr>
        <w:t xml:space="preserve"> with Rewa Municipal Corporation as the principal urban </w:t>
      </w:r>
      <w:proofErr w:type="spellStart"/>
      <w:r w:rsidRPr="000E544F">
        <w:rPr>
          <w:rFonts w:ascii="Arial" w:hAnsi="Arial" w:cs="Arial"/>
          <w:color w:val="000000"/>
          <w:sz w:val="20"/>
          <w:szCs w:val="20"/>
        </w:rPr>
        <w:t>centre</w:t>
      </w:r>
      <w:proofErr w:type="spellEnd"/>
      <w:r w:rsidRPr="000E544F">
        <w:rPr>
          <w:rFonts w:ascii="Arial" w:hAnsi="Arial" w:cs="Arial"/>
          <w:color w:val="000000"/>
          <w:sz w:val="20"/>
          <w:szCs w:val="20"/>
        </w:rPr>
        <w:t xml:space="preserve"> (Census of India, 2011). The district was carved further in 2023 with </w:t>
      </w:r>
      <w:proofErr w:type="spellStart"/>
      <w:r w:rsidRPr="000E544F">
        <w:rPr>
          <w:rFonts w:ascii="Arial" w:hAnsi="Arial" w:cs="Arial"/>
          <w:color w:val="000000"/>
          <w:sz w:val="20"/>
          <w:szCs w:val="20"/>
        </w:rPr>
        <w:t>Mauganj</w:t>
      </w:r>
      <w:proofErr w:type="spellEnd"/>
      <w:r w:rsidRPr="000E544F">
        <w:rPr>
          <w:rFonts w:ascii="Arial" w:hAnsi="Arial" w:cs="Arial"/>
          <w:color w:val="000000"/>
          <w:sz w:val="20"/>
          <w:szCs w:val="20"/>
        </w:rPr>
        <w:t xml:space="preserve"> being elevated to a separate district, though for the purposes of this study the 2020 administrative boundary corresponding to the pre-bifurcation Rewa District is used.</w:t>
      </w:r>
    </w:p>
    <w:p w14:paraId="4C9C17FC" w14:textId="77777777" w:rsidR="00565746" w:rsidRDefault="000E544F" w:rsidP="00565746">
      <w:pPr>
        <w:spacing w:before="240" w:after="240"/>
        <w:rPr>
          <w:rFonts w:ascii="Arial" w:hAnsi="Arial" w:cs="Arial"/>
          <w:b/>
          <w:bCs/>
          <w:sz w:val="22"/>
          <w:szCs w:val="20"/>
          <w:lang w:bidi="hi-IN"/>
        </w:rPr>
      </w:pPr>
      <w:r>
        <w:rPr>
          <w:rFonts w:ascii="Arial" w:hAnsi="Arial" w:cs="Arial"/>
          <w:b/>
          <w:bCs/>
          <w:sz w:val="22"/>
          <w:szCs w:val="20"/>
          <w:lang w:bidi="hi-IN"/>
        </w:rPr>
        <w:t xml:space="preserve">4. </w:t>
      </w:r>
      <w:r w:rsidR="004147E0">
        <w:rPr>
          <w:rFonts w:ascii="Arial" w:hAnsi="Arial" w:cs="Arial"/>
          <w:b/>
          <w:bCs/>
          <w:sz w:val="22"/>
          <w:szCs w:val="20"/>
          <w:lang w:bidi="hi-IN"/>
        </w:rPr>
        <w:t>METHODOLOGY</w:t>
      </w:r>
    </w:p>
    <w:p w14:paraId="1B50F970" w14:textId="77777777" w:rsidR="00C9678F" w:rsidRPr="002229C2" w:rsidRDefault="00C9678F" w:rsidP="00565746">
      <w:pPr>
        <w:spacing w:before="240" w:after="240"/>
        <w:rPr>
          <w:rFonts w:ascii="Arial" w:hAnsi="Arial" w:cs="Arial"/>
          <w:b/>
          <w:bCs/>
          <w:sz w:val="22"/>
          <w:szCs w:val="20"/>
          <w:lang w:bidi="hi-IN"/>
        </w:rPr>
      </w:pPr>
      <w:r w:rsidRPr="002229C2">
        <w:rPr>
          <w:rFonts w:ascii="Arial" w:hAnsi="Arial" w:cs="Arial"/>
          <w:b/>
          <w:bCs/>
          <w:sz w:val="22"/>
          <w:szCs w:val="20"/>
          <w:lang w:bidi="hi-IN"/>
        </w:rPr>
        <w:t xml:space="preserve">4.1 </w:t>
      </w:r>
      <w:r w:rsidR="002229C2" w:rsidRPr="002229C2">
        <w:rPr>
          <w:rFonts w:ascii="Arial" w:hAnsi="Arial" w:cs="Arial"/>
          <w:b/>
          <w:bCs/>
          <w:sz w:val="22"/>
          <w:szCs w:val="20"/>
          <w:lang w:bidi="hi-IN"/>
        </w:rPr>
        <w:t>Database</w:t>
      </w:r>
    </w:p>
    <w:p w14:paraId="0C7DFDD4" w14:textId="77777777" w:rsidR="000E544F" w:rsidRPr="000E544F" w:rsidRDefault="000E544F" w:rsidP="000E544F">
      <w:pPr>
        <w:spacing w:before="240" w:after="240"/>
        <w:jc w:val="center"/>
        <w:rPr>
          <w:rFonts w:ascii="Arial" w:hAnsi="Arial" w:cs="Arial"/>
          <w:b/>
          <w:bCs/>
          <w:sz w:val="20"/>
          <w:szCs w:val="18"/>
          <w:lang w:bidi="hi-IN"/>
        </w:rPr>
      </w:pPr>
      <w:r w:rsidRPr="000E544F">
        <w:rPr>
          <w:rFonts w:ascii="Arial" w:hAnsi="Arial" w:cs="Arial"/>
          <w:b/>
          <w:bCs/>
          <w:sz w:val="20"/>
          <w:szCs w:val="18"/>
          <w:lang w:bidi="hi-IN"/>
        </w:rPr>
        <w:t>Table No 1: Dataset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2060"/>
        <w:gridCol w:w="1400"/>
        <w:gridCol w:w="1400"/>
        <w:gridCol w:w="2400"/>
      </w:tblGrid>
      <w:tr w:rsidR="000E544F" w:rsidRPr="000E544F" w14:paraId="3B968F73" w14:textId="77777777" w:rsidTr="005A2BD5">
        <w:tc>
          <w:tcPr>
            <w:tcW w:w="2100" w:type="dxa"/>
            <w:tcBorders>
              <w:top w:val="single" w:sz="2" w:space="0" w:color="2E74B5"/>
              <w:left w:val="single" w:sz="2" w:space="0" w:color="2E74B5"/>
              <w:bottom w:val="single" w:sz="2" w:space="0" w:color="2E74B5"/>
              <w:right w:val="single" w:sz="2" w:space="0" w:color="2E74B5"/>
            </w:tcBorders>
            <w:shd w:val="clear" w:color="auto" w:fill="D6E4F0"/>
            <w:tcMar>
              <w:top w:w="80" w:type="dxa"/>
              <w:left w:w="110" w:type="dxa"/>
              <w:bottom w:w="80" w:type="dxa"/>
              <w:right w:w="110" w:type="dxa"/>
            </w:tcMar>
            <w:vAlign w:val="center"/>
          </w:tcPr>
          <w:p w14:paraId="587F7413" w14:textId="77777777" w:rsidR="000E544F" w:rsidRPr="000E544F" w:rsidRDefault="000E544F" w:rsidP="005A2BD5">
            <w:pPr>
              <w:jc w:val="center"/>
              <w:rPr>
                <w:rFonts w:ascii="Arial" w:hAnsi="Arial" w:cs="Arial"/>
                <w:sz w:val="18"/>
                <w:szCs w:val="18"/>
              </w:rPr>
            </w:pPr>
            <w:r w:rsidRPr="000E544F">
              <w:rPr>
                <w:rFonts w:ascii="Arial" w:hAnsi="Arial" w:cs="Arial"/>
                <w:b/>
                <w:bCs/>
                <w:sz w:val="18"/>
                <w:szCs w:val="18"/>
              </w:rPr>
              <w:t>Dataset</w:t>
            </w:r>
          </w:p>
        </w:tc>
        <w:tc>
          <w:tcPr>
            <w:tcW w:w="2060" w:type="dxa"/>
            <w:tcBorders>
              <w:top w:val="single" w:sz="2" w:space="0" w:color="2E74B5"/>
              <w:left w:val="single" w:sz="2" w:space="0" w:color="2E74B5"/>
              <w:bottom w:val="single" w:sz="2" w:space="0" w:color="2E74B5"/>
              <w:right w:val="single" w:sz="2" w:space="0" w:color="2E74B5"/>
            </w:tcBorders>
            <w:shd w:val="clear" w:color="auto" w:fill="D6E4F0"/>
            <w:tcMar>
              <w:top w:w="80" w:type="dxa"/>
              <w:left w:w="110" w:type="dxa"/>
              <w:bottom w:w="80" w:type="dxa"/>
              <w:right w:w="110" w:type="dxa"/>
            </w:tcMar>
            <w:vAlign w:val="center"/>
          </w:tcPr>
          <w:p w14:paraId="2C94D060" w14:textId="77777777" w:rsidR="000E544F" w:rsidRPr="000E544F" w:rsidRDefault="000E544F" w:rsidP="005A2BD5">
            <w:pPr>
              <w:jc w:val="center"/>
              <w:rPr>
                <w:rFonts w:ascii="Arial" w:hAnsi="Arial" w:cs="Arial"/>
                <w:sz w:val="18"/>
                <w:szCs w:val="18"/>
              </w:rPr>
            </w:pPr>
            <w:r w:rsidRPr="000E544F">
              <w:rPr>
                <w:rFonts w:ascii="Arial" w:hAnsi="Arial" w:cs="Arial"/>
                <w:b/>
                <w:bCs/>
                <w:sz w:val="18"/>
                <w:szCs w:val="18"/>
              </w:rPr>
              <w:t>Source</w:t>
            </w:r>
          </w:p>
        </w:tc>
        <w:tc>
          <w:tcPr>
            <w:tcW w:w="1400" w:type="dxa"/>
            <w:tcBorders>
              <w:top w:val="single" w:sz="2" w:space="0" w:color="2E74B5"/>
              <w:left w:val="single" w:sz="2" w:space="0" w:color="2E74B5"/>
              <w:bottom w:val="single" w:sz="2" w:space="0" w:color="2E74B5"/>
              <w:right w:val="single" w:sz="2" w:space="0" w:color="2E74B5"/>
            </w:tcBorders>
            <w:shd w:val="clear" w:color="auto" w:fill="D6E4F0"/>
            <w:tcMar>
              <w:top w:w="80" w:type="dxa"/>
              <w:left w:w="110" w:type="dxa"/>
              <w:bottom w:w="80" w:type="dxa"/>
              <w:right w:w="110" w:type="dxa"/>
            </w:tcMar>
            <w:vAlign w:val="center"/>
          </w:tcPr>
          <w:p w14:paraId="640AB3B0" w14:textId="77777777" w:rsidR="000E544F" w:rsidRPr="000E544F" w:rsidRDefault="000E544F" w:rsidP="005A2BD5">
            <w:pPr>
              <w:jc w:val="center"/>
              <w:rPr>
                <w:rFonts w:ascii="Arial" w:hAnsi="Arial" w:cs="Arial"/>
                <w:sz w:val="18"/>
                <w:szCs w:val="18"/>
              </w:rPr>
            </w:pPr>
            <w:r w:rsidRPr="000E544F">
              <w:rPr>
                <w:rFonts w:ascii="Arial" w:hAnsi="Arial" w:cs="Arial"/>
                <w:b/>
                <w:bCs/>
                <w:sz w:val="18"/>
                <w:szCs w:val="18"/>
              </w:rPr>
              <w:t>Resolution</w:t>
            </w:r>
          </w:p>
        </w:tc>
        <w:tc>
          <w:tcPr>
            <w:tcW w:w="1400" w:type="dxa"/>
            <w:tcBorders>
              <w:top w:val="single" w:sz="2" w:space="0" w:color="2E74B5"/>
              <w:left w:val="single" w:sz="2" w:space="0" w:color="2E74B5"/>
              <w:bottom w:val="single" w:sz="2" w:space="0" w:color="2E74B5"/>
              <w:right w:val="single" w:sz="2" w:space="0" w:color="2E74B5"/>
            </w:tcBorders>
            <w:shd w:val="clear" w:color="auto" w:fill="D6E4F0"/>
            <w:tcMar>
              <w:top w:w="80" w:type="dxa"/>
              <w:left w:w="110" w:type="dxa"/>
              <w:bottom w:w="80" w:type="dxa"/>
              <w:right w:w="110" w:type="dxa"/>
            </w:tcMar>
            <w:vAlign w:val="center"/>
          </w:tcPr>
          <w:p w14:paraId="099C455A" w14:textId="77777777" w:rsidR="000E544F" w:rsidRPr="000E544F" w:rsidRDefault="000E544F" w:rsidP="005A2BD5">
            <w:pPr>
              <w:jc w:val="center"/>
              <w:rPr>
                <w:rFonts w:ascii="Arial" w:hAnsi="Arial" w:cs="Arial"/>
                <w:sz w:val="18"/>
                <w:szCs w:val="18"/>
              </w:rPr>
            </w:pPr>
            <w:r w:rsidRPr="000E544F">
              <w:rPr>
                <w:rFonts w:ascii="Arial" w:hAnsi="Arial" w:cs="Arial"/>
                <w:b/>
                <w:bCs/>
                <w:sz w:val="18"/>
                <w:szCs w:val="18"/>
              </w:rPr>
              <w:t>Period</w:t>
            </w:r>
          </w:p>
        </w:tc>
        <w:tc>
          <w:tcPr>
            <w:tcW w:w="2400" w:type="dxa"/>
            <w:tcBorders>
              <w:top w:val="single" w:sz="2" w:space="0" w:color="2E74B5"/>
              <w:left w:val="single" w:sz="2" w:space="0" w:color="2E74B5"/>
              <w:bottom w:val="single" w:sz="2" w:space="0" w:color="2E74B5"/>
              <w:right w:val="single" w:sz="2" w:space="0" w:color="2E74B5"/>
            </w:tcBorders>
            <w:shd w:val="clear" w:color="auto" w:fill="D6E4F0"/>
            <w:tcMar>
              <w:top w:w="80" w:type="dxa"/>
              <w:left w:w="110" w:type="dxa"/>
              <w:bottom w:w="80" w:type="dxa"/>
              <w:right w:w="110" w:type="dxa"/>
            </w:tcMar>
            <w:vAlign w:val="center"/>
          </w:tcPr>
          <w:p w14:paraId="4B1D3C13" w14:textId="77777777" w:rsidR="000E544F" w:rsidRPr="000E544F" w:rsidRDefault="000E544F" w:rsidP="005A2BD5">
            <w:pPr>
              <w:jc w:val="center"/>
              <w:rPr>
                <w:rFonts w:ascii="Arial" w:hAnsi="Arial" w:cs="Arial"/>
                <w:sz w:val="18"/>
                <w:szCs w:val="18"/>
              </w:rPr>
            </w:pPr>
            <w:r w:rsidRPr="000E544F">
              <w:rPr>
                <w:rFonts w:ascii="Arial" w:hAnsi="Arial" w:cs="Arial"/>
                <w:b/>
                <w:bCs/>
                <w:sz w:val="18"/>
                <w:szCs w:val="18"/>
              </w:rPr>
              <w:t>Purpose</w:t>
            </w:r>
          </w:p>
        </w:tc>
      </w:tr>
      <w:tr w:rsidR="000E544F" w:rsidRPr="000E544F" w14:paraId="3C492B3F" w14:textId="77777777" w:rsidTr="005A2BD5">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1A0A13DC" w14:textId="77777777" w:rsidR="000E544F" w:rsidRPr="000E544F" w:rsidRDefault="000E544F" w:rsidP="005A2BD5">
            <w:pPr>
              <w:rPr>
                <w:rFonts w:ascii="Arial" w:hAnsi="Arial" w:cs="Arial"/>
                <w:sz w:val="18"/>
                <w:szCs w:val="18"/>
              </w:rPr>
            </w:pPr>
            <w:r w:rsidRPr="000E544F">
              <w:rPr>
                <w:rFonts w:ascii="Arial" w:hAnsi="Arial" w:cs="Arial"/>
                <w:color w:val="000000"/>
                <w:sz w:val="18"/>
                <w:szCs w:val="18"/>
              </w:rPr>
              <w:t>Sentinel-2 MSI Level-2A SR</w:t>
            </w:r>
          </w:p>
        </w:tc>
        <w:tc>
          <w:tcPr>
            <w:tcW w:w="206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0FA893AD" w14:textId="77777777" w:rsidR="000E544F" w:rsidRPr="000E544F" w:rsidRDefault="000E544F" w:rsidP="005A2BD5">
            <w:pPr>
              <w:rPr>
                <w:rFonts w:ascii="Arial" w:hAnsi="Arial" w:cs="Arial"/>
                <w:sz w:val="18"/>
                <w:szCs w:val="18"/>
              </w:rPr>
            </w:pPr>
            <w:r w:rsidRPr="000E544F">
              <w:rPr>
                <w:rFonts w:ascii="Arial" w:hAnsi="Arial" w:cs="Arial"/>
                <w:color w:val="000000"/>
                <w:sz w:val="18"/>
                <w:szCs w:val="18"/>
              </w:rPr>
              <w:t>ESA / Google Earth Engine</w:t>
            </w:r>
          </w:p>
        </w:tc>
        <w:tc>
          <w:tcPr>
            <w:tcW w:w="1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51360287" w14:textId="77777777" w:rsidR="000E544F" w:rsidRPr="000E544F" w:rsidRDefault="000E544F" w:rsidP="005A2BD5">
            <w:pPr>
              <w:jc w:val="center"/>
              <w:rPr>
                <w:rFonts w:ascii="Arial" w:hAnsi="Arial" w:cs="Arial"/>
                <w:sz w:val="18"/>
                <w:szCs w:val="18"/>
              </w:rPr>
            </w:pPr>
            <w:r w:rsidRPr="000E544F">
              <w:rPr>
                <w:rFonts w:ascii="Arial" w:hAnsi="Arial" w:cs="Arial"/>
                <w:color w:val="000000"/>
                <w:sz w:val="18"/>
                <w:szCs w:val="18"/>
              </w:rPr>
              <w:t>10 m</w:t>
            </w:r>
          </w:p>
        </w:tc>
        <w:tc>
          <w:tcPr>
            <w:tcW w:w="1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200BD51A" w14:textId="77777777" w:rsidR="000E544F" w:rsidRPr="000E544F" w:rsidRDefault="000E544F" w:rsidP="005A2BD5">
            <w:pPr>
              <w:jc w:val="center"/>
              <w:rPr>
                <w:rFonts w:ascii="Arial" w:hAnsi="Arial" w:cs="Arial"/>
                <w:sz w:val="18"/>
                <w:szCs w:val="18"/>
              </w:rPr>
            </w:pPr>
            <w:r w:rsidRPr="000E544F">
              <w:rPr>
                <w:rFonts w:ascii="Arial" w:hAnsi="Arial" w:cs="Arial"/>
                <w:color w:val="000000"/>
                <w:sz w:val="18"/>
                <w:szCs w:val="18"/>
              </w:rPr>
              <w:t>2020, 2025 (Jan–Dec)</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00FB1B0B" w14:textId="77777777" w:rsidR="000E544F" w:rsidRPr="000E544F" w:rsidRDefault="000E544F" w:rsidP="005A2BD5">
            <w:pPr>
              <w:rPr>
                <w:rFonts w:ascii="Arial" w:hAnsi="Arial" w:cs="Arial"/>
                <w:sz w:val="18"/>
                <w:szCs w:val="18"/>
              </w:rPr>
            </w:pPr>
            <w:r w:rsidRPr="000E544F">
              <w:rPr>
                <w:rFonts w:ascii="Arial" w:hAnsi="Arial" w:cs="Arial"/>
                <w:color w:val="000000"/>
                <w:sz w:val="18"/>
                <w:szCs w:val="18"/>
              </w:rPr>
              <w:t>LULC classification</w:t>
            </w:r>
          </w:p>
        </w:tc>
      </w:tr>
      <w:tr w:rsidR="000E544F" w:rsidRPr="000E544F" w14:paraId="32D7C93C" w14:textId="77777777" w:rsidTr="005A2BD5">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5E0CD6D8" w14:textId="77777777" w:rsidR="000E544F" w:rsidRPr="000E544F" w:rsidRDefault="000E544F" w:rsidP="005A2BD5">
            <w:pPr>
              <w:rPr>
                <w:rFonts w:ascii="Arial" w:hAnsi="Arial" w:cs="Arial"/>
                <w:sz w:val="18"/>
                <w:szCs w:val="18"/>
              </w:rPr>
            </w:pPr>
            <w:r w:rsidRPr="000E544F">
              <w:rPr>
                <w:rFonts w:ascii="Arial" w:hAnsi="Arial" w:cs="Arial"/>
                <w:color w:val="000000"/>
                <w:sz w:val="18"/>
                <w:szCs w:val="18"/>
              </w:rPr>
              <w:t>SRTM Digital Elevation Model</w:t>
            </w:r>
          </w:p>
        </w:tc>
        <w:tc>
          <w:tcPr>
            <w:tcW w:w="206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2D9B024C" w14:textId="77777777" w:rsidR="000E544F" w:rsidRPr="000E544F" w:rsidRDefault="000E544F" w:rsidP="005A2BD5">
            <w:pPr>
              <w:rPr>
                <w:rFonts w:ascii="Arial" w:hAnsi="Arial" w:cs="Arial"/>
                <w:sz w:val="18"/>
                <w:szCs w:val="18"/>
              </w:rPr>
            </w:pPr>
            <w:r w:rsidRPr="000E544F">
              <w:rPr>
                <w:rFonts w:ascii="Arial" w:hAnsi="Arial" w:cs="Arial"/>
                <w:color w:val="000000"/>
                <w:sz w:val="18"/>
                <w:szCs w:val="18"/>
              </w:rPr>
              <w:t>USGS / NASA</w:t>
            </w:r>
          </w:p>
        </w:tc>
        <w:tc>
          <w:tcPr>
            <w:tcW w:w="1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2EB3F1AE" w14:textId="77777777" w:rsidR="000E544F" w:rsidRPr="000E544F" w:rsidRDefault="000E544F" w:rsidP="005A2BD5">
            <w:pPr>
              <w:jc w:val="center"/>
              <w:rPr>
                <w:rFonts w:ascii="Arial" w:hAnsi="Arial" w:cs="Arial"/>
                <w:sz w:val="18"/>
                <w:szCs w:val="18"/>
              </w:rPr>
            </w:pPr>
            <w:r w:rsidRPr="000E544F">
              <w:rPr>
                <w:rFonts w:ascii="Arial" w:hAnsi="Arial" w:cs="Arial"/>
                <w:color w:val="000000"/>
                <w:sz w:val="18"/>
                <w:szCs w:val="18"/>
              </w:rPr>
              <w:t>30 m</w:t>
            </w:r>
          </w:p>
        </w:tc>
        <w:tc>
          <w:tcPr>
            <w:tcW w:w="1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484B7268" w14:textId="77777777" w:rsidR="000E544F" w:rsidRPr="000E544F" w:rsidRDefault="000E544F" w:rsidP="005A2BD5">
            <w:pPr>
              <w:jc w:val="center"/>
              <w:rPr>
                <w:rFonts w:ascii="Arial" w:hAnsi="Arial" w:cs="Arial"/>
                <w:sz w:val="18"/>
                <w:szCs w:val="18"/>
              </w:rPr>
            </w:pPr>
            <w:r w:rsidRPr="000E544F">
              <w:rPr>
                <w:rFonts w:ascii="Arial" w:hAnsi="Arial" w:cs="Arial"/>
                <w:color w:val="000000"/>
                <w:sz w:val="18"/>
                <w:szCs w:val="18"/>
              </w:rPr>
              <w:t>2000 (static)</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1170E397" w14:textId="77777777" w:rsidR="000E544F" w:rsidRPr="000E544F" w:rsidRDefault="000E544F" w:rsidP="005A2BD5">
            <w:pPr>
              <w:rPr>
                <w:rFonts w:ascii="Arial" w:hAnsi="Arial" w:cs="Arial"/>
                <w:sz w:val="18"/>
                <w:szCs w:val="18"/>
              </w:rPr>
            </w:pPr>
            <w:r w:rsidRPr="000E544F">
              <w:rPr>
                <w:rFonts w:ascii="Arial" w:hAnsi="Arial" w:cs="Arial"/>
                <w:color w:val="000000"/>
                <w:sz w:val="18"/>
                <w:szCs w:val="18"/>
              </w:rPr>
              <w:t>Terrain features</w:t>
            </w:r>
          </w:p>
        </w:tc>
      </w:tr>
      <w:tr w:rsidR="000E544F" w:rsidRPr="000E544F" w14:paraId="60FEEF38" w14:textId="77777777" w:rsidTr="005A2BD5">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1B4FD12D" w14:textId="77777777" w:rsidR="000E544F" w:rsidRPr="000E544F" w:rsidRDefault="000E544F" w:rsidP="005A2BD5">
            <w:pPr>
              <w:rPr>
                <w:rFonts w:ascii="Arial" w:hAnsi="Arial" w:cs="Arial"/>
                <w:sz w:val="18"/>
                <w:szCs w:val="18"/>
              </w:rPr>
            </w:pPr>
            <w:r w:rsidRPr="000E544F">
              <w:rPr>
                <w:rFonts w:ascii="Arial" w:hAnsi="Arial" w:cs="Arial"/>
                <w:color w:val="000000"/>
                <w:sz w:val="18"/>
                <w:szCs w:val="18"/>
              </w:rPr>
              <w:t>FAO GAUL Level-2 Boundary</w:t>
            </w:r>
          </w:p>
        </w:tc>
        <w:tc>
          <w:tcPr>
            <w:tcW w:w="206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60185EAC" w14:textId="77777777" w:rsidR="000E544F" w:rsidRPr="000E544F" w:rsidRDefault="000E544F" w:rsidP="005A2BD5">
            <w:pPr>
              <w:rPr>
                <w:rFonts w:ascii="Arial" w:hAnsi="Arial" w:cs="Arial"/>
                <w:sz w:val="18"/>
                <w:szCs w:val="18"/>
              </w:rPr>
            </w:pPr>
            <w:r w:rsidRPr="000E544F">
              <w:rPr>
                <w:rFonts w:ascii="Arial" w:hAnsi="Arial" w:cs="Arial"/>
                <w:color w:val="000000"/>
                <w:sz w:val="18"/>
                <w:szCs w:val="18"/>
              </w:rPr>
              <w:t>FAO / GEE Dataset</w:t>
            </w:r>
          </w:p>
        </w:tc>
        <w:tc>
          <w:tcPr>
            <w:tcW w:w="1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21F4D696" w14:textId="77777777" w:rsidR="000E544F" w:rsidRPr="000E544F" w:rsidRDefault="000E544F" w:rsidP="005A2BD5">
            <w:pPr>
              <w:jc w:val="center"/>
              <w:rPr>
                <w:rFonts w:ascii="Arial" w:hAnsi="Arial" w:cs="Arial"/>
                <w:sz w:val="18"/>
                <w:szCs w:val="18"/>
              </w:rPr>
            </w:pPr>
            <w:r w:rsidRPr="000E544F">
              <w:rPr>
                <w:rFonts w:ascii="Arial" w:hAnsi="Arial" w:cs="Arial"/>
                <w:color w:val="000000"/>
                <w:sz w:val="18"/>
                <w:szCs w:val="18"/>
              </w:rPr>
              <w:t>Vector</w:t>
            </w:r>
          </w:p>
        </w:tc>
        <w:tc>
          <w:tcPr>
            <w:tcW w:w="1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48D8F3C3" w14:textId="77777777" w:rsidR="000E544F" w:rsidRPr="000E544F" w:rsidRDefault="000E544F" w:rsidP="005A2BD5">
            <w:pPr>
              <w:jc w:val="center"/>
              <w:rPr>
                <w:rFonts w:ascii="Arial" w:hAnsi="Arial" w:cs="Arial"/>
                <w:sz w:val="18"/>
                <w:szCs w:val="18"/>
              </w:rPr>
            </w:pPr>
            <w:r w:rsidRPr="000E544F">
              <w:rPr>
                <w:rFonts w:ascii="Arial" w:hAnsi="Arial" w:cs="Arial"/>
                <w:color w:val="000000"/>
                <w:sz w:val="18"/>
                <w:szCs w:val="18"/>
              </w:rPr>
              <w:t>2015 edition</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460C4D51" w14:textId="77777777" w:rsidR="000E544F" w:rsidRPr="000E544F" w:rsidRDefault="000E544F" w:rsidP="005A2BD5">
            <w:pPr>
              <w:rPr>
                <w:rFonts w:ascii="Arial" w:hAnsi="Arial" w:cs="Arial"/>
                <w:sz w:val="18"/>
                <w:szCs w:val="18"/>
              </w:rPr>
            </w:pPr>
            <w:r w:rsidRPr="000E544F">
              <w:rPr>
                <w:rFonts w:ascii="Arial" w:hAnsi="Arial" w:cs="Arial"/>
                <w:color w:val="000000"/>
                <w:sz w:val="18"/>
                <w:szCs w:val="18"/>
              </w:rPr>
              <w:t>Study area delineation</w:t>
            </w:r>
          </w:p>
        </w:tc>
      </w:tr>
      <w:tr w:rsidR="000E544F" w:rsidRPr="000E544F" w14:paraId="3C85C65E" w14:textId="77777777" w:rsidTr="005A2BD5">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2F2C2C88" w14:textId="77777777" w:rsidR="000E544F" w:rsidRPr="000E544F" w:rsidRDefault="000E544F" w:rsidP="005A2BD5">
            <w:pPr>
              <w:rPr>
                <w:rFonts w:ascii="Arial" w:hAnsi="Arial" w:cs="Arial"/>
                <w:sz w:val="18"/>
                <w:szCs w:val="18"/>
              </w:rPr>
            </w:pPr>
            <w:r w:rsidRPr="000E544F">
              <w:rPr>
                <w:rFonts w:ascii="Arial" w:hAnsi="Arial" w:cs="Arial"/>
                <w:color w:val="000000"/>
                <w:sz w:val="18"/>
                <w:szCs w:val="18"/>
              </w:rPr>
              <w:lastRenderedPageBreak/>
              <w:t>Ground Truth Reference Points</w:t>
            </w:r>
          </w:p>
        </w:tc>
        <w:tc>
          <w:tcPr>
            <w:tcW w:w="206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4CB53A8B" w14:textId="77777777" w:rsidR="000E544F" w:rsidRPr="000E544F" w:rsidRDefault="000E544F" w:rsidP="005A2BD5">
            <w:pPr>
              <w:rPr>
                <w:rFonts w:ascii="Arial" w:hAnsi="Arial" w:cs="Arial"/>
                <w:sz w:val="18"/>
                <w:szCs w:val="18"/>
              </w:rPr>
            </w:pPr>
            <w:r w:rsidRPr="000E544F">
              <w:rPr>
                <w:rFonts w:ascii="Arial" w:hAnsi="Arial" w:cs="Arial"/>
                <w:color w:val="000000"/>
                <w:sz w:val="18"/>
                <w:szCs w:val="18"/>
              </w:rPr>
              <w:t>Field collection / high-res imagery interpretation</w:t>
            </w:r>
          </w:p>
        </w:tc>
        <w:tc>
          <w:tcPr>
            <w:tcW w:w="1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5F93B7DE" w14:textId="77777777" w:rsidR="000E544F" w:rsidRPr="000E544F" w:rsidRDefault="000E544F" w:rsidP="005A2BD5">
            <w:pPr>
              <w:jc w:val="center"/>
              <w:rPr>
                <w:rFonts w:ascii="Arial" w:hAnsi="Arial" w:cs="Arial"/>
                <w:sz w:val="18"/>
                <w:szCs w:val="18"/>
              </w:rPr>
            </w:pPr>
            <w:r w:rsidRPr="000E544F">
              <w:rPr>
                <w:rFonts w:ascii="Arial" w:hAnsi="Arial" w:cs="Arial"/>
                <w:color w:val="000000"/>
                <w:sz w:val="18"/>
                <w:szCs w:val="18"/>
              </w:rPr>
              <w:t>Point/Polygon</w:t>
            </w:r>
          </w:p>
        </w:tc>
        <w:tc>
          <w:tcPr>
            <w:tcW w:w="1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4101A387" w14:textId="77777777" w:rsidR="000E544F" w:rsidRPr="000E544F" w:rsidRDefault="000E544F" w:rsidP="005A2BD5">
            <w:pPr>
              <w:jc w:val="center"/>
              <w:rPr>
                <w:rFonts w:ascii="Arial" w:hAnsi="Arial" w:cs="Arial"/>
                <w:sz w:val="18"/>
                <w:szCs w:val="18"/>
              </w:rPr>
            </w:pPr>
            <w:r w:rsidRPr="000E544F">
              <w:rPr>
                <w:rFonts w:ascii="Arial" w:hAnsi="Arial" w:cs="Arial"/>
                <w:color w:val="000000"/>
                <w:sz w:val="18"/>
                <w:szCs w:val="18"/>
              </w:rPr>
              <w:t>2020–2025</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76EB50C0" w14:textId="77777777" w:rsidR="000E544F" w:rsidRPr="000E544F" w:rsidRDefault="000E544F" w:rsidP="005A2BD5">
            <w:pPr>
              <w:rPr>
                <w:rFonts w:ascii="Arial" w:hAnsi="Arial" w:cs="Arial"/>
                <w:sz w:val="18"/>
                <w:szCs w:val="18"/>
              </w:rPr>
            </w:pPr>
            <w:r w:rsidRPr="000E544F">
              <w:rPr>
                <w:rFonts w:ascii="Arial" w:hAnsi="Arial" w:cs="Arial"/>
                <w:color w:val="000000"/>
                <w:sz w:val="18"/>
                <w:szCs w:val="18"/>
              </w:rPr>
              <w:t>Training &amp; accuracy validation</w:t>
            </w:r>
          </w:p>
        </w:tc>
      </w:tr>
      <w:tr w:rsidR="000E544F" w:rsidRPr="000E544F" w14:paraId="204FB9BF" w14:textId="77777777" w:rsidTr="005A2BD5">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7317DE49" w14:textId="77777777" w:rsidR="000E544F" w:rsidRPr="000E544F" w:rsidRDefault="000E544F" w:rsidP="005A2BD5">
            <w:pPr>
              <w:rPr>
                <w:rFonts w:ascii="Arial" w:hAnsi="Arial" w:cs="Arial"/>
                <w:sz w:val="18"/>
                <w:szCs w:val="18"/>
              </w:rPr>
            </w:pPr>
            <w:r w:rsidRPr="000E544F">
              <w:rPr>
                <w:rFonts w:ascii="Arial" w:hAnsi="Arial" w:cs="Arial"/>
                <w:color w:val="000000"/>
                <w:sz w:val="18"/>
                <w:szCs w:val="18"/>
              </w:rPr>
              <w:t>India State of Forest Report 2023</w:t>
            </w:r>
          </w:p>
        </w:tc>
        <w:tc>
          <w:tcPr>
            <w:tcW w:w="206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75B78410" w14:textId="77777777" w:rsidR="000E544F" w:rsidRPr="000E544F" w:rsidRDefault="000E544F" w:rsidP="005A2BD5">
            <w:pPr>
              <w:rPr>
                <w:rFonts w:ascii="Arial" w:hAnsi="Arial" w:cs="Arial"/>
                <w:sz w:val="18"/>
                <w:szCs w:val="18"/>
              </w:rPr>
            </w:pPr>
            <w:r w:rsidRPr="000E544F">
              <w:rPr>
                <w:rFonts w:ascii="Arial" w:hAnsi="Arial" w:cs="Arial"/>
                <w:color w:val="000000"/>
                <w:sz w:val="18"/>
                <w:szCs w:val="18"/>
              </w:rPr>
              <w:t>FSI, Ministry of Environment, Forest and Climate Change</w:t>
            </w:r>
          </w:p>
        </w:tc>
        <w:tc>
          <w:tcPr>
            <w:tcW w:w="1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1C524915" w14:textId="77777777" w:rsidR="000E544F" w:rsidRPr="000E544F" w:rsidRDefault="000E544F" w:rsidP="005A2BD5">
            <w:pPr>
              <w:jc w:val="center"/>
              <w:rPr>
                <w:rFonts w:ascii="Arial" w:hAnsi="Arial" w:cs="Arial"/>
                <w:sz w:val="18"/>
                <w:szCs w:val="18"/>
              </w:rPr>
            </w:pPr>
            <w:r w:rsidRPr="000E544F">
              <w:rPr>
                <w:rFonts w:ascii="Arial" w:hAnsi="Arial" w:cs="Arial"/>
                <w:color w:val="000000"/>
                <w:sz w:val="18"/>
                <w:szCs w:val="18"/>
              </w:rPr>
              <w:t>District-level</w:t>
            </w:r>
          </w:p>
        </w:tc>
        <w:tc>
          <w:tcPr>
            <w:tcW w:w="1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1BCA7A6E" w14:textId="77777777" w:rsidR="000E544F" w:rsidRPr="000E544F" w:rsidRDefault="000E544F" w:rsidP="005A2BD5">
            <w:pPr>
              <w:jc w:val="center"/>
              <w:rPr>
                <w:rFonts w:ascii="Arial" w:hAnsi="Arial" w:cs="Arial"/>
                <w:sz w:val="18"/>
                <w:szCs w:val="18"/>
              </w:rPr>
            </w:pPr>
            <w:r w:rsidRPr="000E544F">
              <w:rPr>
                <w:rFonts w:ascii="Arial" w:hAnsi="Arial" w:cs="Arial"/>
                <w:color w:val="000000"/>
                <w:sz w:val="18"/>
                <w:szCs w:val="18"/>
              </w:rPr>
              <w:t>2023</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41C79298" w14:textId="77777777" w:rsidR="000E544F" w:rsidRPr="000E544F" w:rsidRDefault="000E544F" w:rsidP="005A2BD5">
            <w:pPr>
              <w:rPr>
                <w:rFonts w:ascii="Arial" w:hAnsi="Arial" w:cs="Arial"/>
                <w:sz w:val="18"/>
                <w:szCs w:val="18"/>
              </w:rPr>
            </w:pPr>
            <w:r w:rsidRPr="000E544F">
              <w:rPr>
                <w:rFonts w:ascii="Arial" w:hAnsi="Arial" w:cs="Arial"/>
                <w:color w:val="000000"/>
                <w:sz w:val="18"/>
                <w:szCs w:val="18"/>
              </w:rPr>
              <w:t>Forest cover context and validation</w:t>
            </w:r>
          </w:p>
        </w:tc>
      </w:tr>
    </w:tbl>
    <w:p w14:paraId="2D9596C6" w14:textId="77777777" w:rsidR="00C9678F" w:rsidRDefault="00C9678F" w:rsidP="000E544F">
      <w:pPr>
        <w:spacing w:before="120" w:after="120"/>
        <w:jc w:val="both"/>
        <w:rPr>
          <w:rFonts w:ascii="Arial" w:hAnsi="Arial" w:cs="Arial"/>
          <w:b/>
          <w:bCs/>
          <w:color w:val="000000"/>
          <w:sz w:val="20"/>
          <w:szCs w:val="20"/>
        </w:rPr>
      </w:pPr>
    </w:p>
    <w:p w14:paraId="5EC60138" w14:textId="77777777" w:rsidR="00C9678F" w:rsidRPr="00C9678F" w:rsidRDefault="00C9678F" w:rsidP="000E544F">
      <w:pPr>
        <w:spacing w:before="120" w:after="120"/>
        <w:jc w:val="both"/>
        <w:rPr>
          <w:rFonts w:ascii="Arial" w:hAnsi="Arial" w:cs="Arial"/>
          <w:b/>
          <w:bCs/>
          <w:color w:val="000000"/>
          <w:sz w:val="22"/>
          <w:szCs w:val="22"/>
        </w:rPr>
      </w:pPr>
      <w:r w:rsidRPr="00C9678F">
        <w:rPr>
          <w:rFonts w:ascii="Arial" w:hAnsi="Arial" w:cs="Arial"/>
          <w:b/>
          <w:bCs/>
          <w:color w:val="000000"/>
          <w:sz w:val="22"/>
          <w:szCs w:val="22"/>
        </w:rPr>
        <w:t xml:space="preserve">4.2 LULC </w:t>
      </w:r>
      <w:r w:rsidR="004147E0">
        <w:rPr>
          <w:rFonts w:ascii="Arial" w:hAnsi="Arial" w:cs="Arial"/>
          <w:b/>
          <w:bCs/>
          <w:color w:val="000000"/>
          <w:sz w:val="22"/>
          <w:szCs w:val="22"/>
        </w:rPr>
        <w:t>Classes</w:t>
      </w:r>
    </w:p>
    <w:p w14:paraId="6D29B2A2" w14:textId="3BEA5DA4" w:rsidR="000E544F" w:rsidRPr="000E544F" w:rsidRDefault="000E544F" w:rsidP="00C9678F">
      <w:pPr>
        <w:spacing w:before="120" w:after="120"/>
        <w:jc w:val="both"/>
        <w:rPr>
          <w:rFonts w:ascii="Arial" w:hAnsi="Arial" w:cs="Arial"/>
          <w:sz w:val="20"/>
          <w:szCs w:val="20"/>
        </w:rPr>
      </w:pPr>
      <w:r w:rsidRPr="000E544F">
        <w:rPr>
          <w:rFonts w:ascii="Arial" w:hAnsi="Arial" w:cs="Arial"/>
          <w:color w:val="000000"/>
          <w:sz w:val="20"/>
          <w:szCs w:val="20"/>
        </w:rPr>
        <w:t xml:space="preserve">A supervised, post-classification comparison approach was adopted. LULC maps were generated </w:t>
      </w:r>
      <w:r w:rsidR="00E36BC8">
        <w:rPr>
          <w:rFonts w:ascii="Arial" w:hAnsi="Arial" w:cs="Arial"/>
          <w:color w:val="000000"/>
          <w:sz w:val="20"/>
          <w:szCs w:val="20"/>
        </w:rPr>
        <w:t>independently for 2020 and 2025</w:t>
      </w:r>
      <w:r w:rsidRPr="000E544F">
        <w:rPr>
          <w:rFonts w:ascii="Arial" w:hAnsi="Arial" w:cs="Arial"/>
          <w:color w:val="000000"/>
          <w:sz w:val="20"/>
          <w:szCs w:val="20"/>
        </w:rPr>
        <w:t xml:space="preserve"> and change was subsequently quantified by spatial overlay of the two classified outputs. Five land-cover classes were defined:</w:t>
      </w:r>
    </w:p>
    <w:p w14:paraId="73B6E344" w14:textId="7C360587" w:rsidR="000E544F" w:rsidRPr="00C9678F" w:rsidRDefault="00C9678F" w:rsidP="00C9678F">
      <w:pPr>
        <w:pStyle w:val="ListParagraph"/>
        <w:numPr>
          <w:ilvl w:val="0"/>
          <w:numId w:val="3"/>
        </w:numPr>
        <w:spacing w:before="60" w:after="60"/>
        <w:jc w:val="both"/>
        <w:rPr>
          <w:rFonts w:ascii="Arial" w:hAnsi="Arial" w:cs="Arial"/>
          <w:sz w:val="20"/>
          <w:szCs w:val="20"/>
        </w:rPr>
      </w:pPr>
      <w:r>
        <w:rPr>
          <w:rFonts w:ascii="Arial" w:hAnsi="Arial" w:cs="Arial"/>
          <w:b/>
          <w:bCs/>
          <w:sz w:val="20"/>
          <w:szCs w:val="20"/>
        </w:rPr>
        <w:t>Agricultural Land</w:t>
      </w:r>
      <w:r w:rsidR="000E544F" w:rsidRPr="00C9678F">
        <w:rPr>
          <w:rFonts w:ascii="Arial" w:hAnsi="Arial" w:cs="Arial"/>
          <w:b/>
          <w:bCs/>
          <w:sz w:val="20"/>
          <w:szCs w:val="20"/>
        </w:rPr>
        <w:t xml:space="preserve"> (Class 0):</w:t>
      </w:r>
      <w:r w:rsidR="000E544F" w:rsidRPr="00C9678F">
        <w:rPr>
          <w:rFonts w:ascii="Arial" w:hAnsi="Arial" w:cs="Arial"/>
          <w:sz w:val="20"/>
          <w:szCs w:val="20"/>
        </w:rPr>
        <w:t xml:space="preserve"> Cultivated land in</w:t>
      </w:r>
      <w:r w:rsidR="00E36BC8">
        <w:rPr>
          <w:rFonts w:ascii="Arial" w:hAnsi="Arial" w:cs="Arial"/>
          <w:sz w:val="20"/>
          <w:szCs w:val="20"/>
        </w:rPr>
        <w:t>cluding cropland, fallow fields</w:t>
      </w:r>
      <w:r w:rsidR="000E544F" w:rsidRPr="00C9678F">
        <w:rPr>
          <w:rFonts w:ascii="Arial" w:hAnsi="Arial" w:cs="Arial"/>
          <w:sz w:val="20"/>
          <w:szCs w:val="20"/>
        </w:rPr>
        <w:t xml:space="preserve"> and irrigated plots under </w:t>
      </w:r>
      <w:proofErr w:type="spellStart"/>
      <w:r w:rsidR="000E544F" w:rsidRPr="00C9678F">
        <w:rPr>
          <w:rFonts w:ascii="Arial" w:hAnsi="Arial" w:cs="Arial"/>
          <w:sz w:val="20"/>
          <w:szCs w:val="20"/>
        </w:rPr>
        <w:t>Bansagar</w:t>
      </w:r>
      <w:proofErr w:type="spellEnd"/>
      <w:r w:rsidR="000E544F" w:rsidRPr="00C9678F">
        <w:rPr>
          <w:rFonts w:ascii="Arial" w:hAnsi="Arial" w:cs="Arial"/>
          <w:sz w:val="20"/>
          <w:szCs w:val="20"/>
        </w:rPr>
        <w:t xml:space="preserve"> Dam canal networks.</w:t>
      </w:r>
    </w:p>
    <w:p w14:paraId="4A398FA1" w14:textId="1DE883D7" w:rsidR="000E544F" w:rsidRPr="00C9678F" w:rsidRDefault="00BA660F" w:rsidP="00C9678F">
      <w:pPr>
        <w:pStyle w:val="ListParagraph"/>
        <w:numPr>
          <w:ilvl w:val="0"/>
          <w:numId w:val="3"/>
        </w:numPr>
        <w:spacing w:before="60" w:after="60"/>
        <w:jc w:val="both"/>
        <w:rPr>
          <w:rFonts w:ascii="Arial" w:hAnsi="Arial" w:cs="Arial"/>
          <w:sz w:val="20"/>
          <w:szCs w:val="20"/>
        </w:rPr>
      </w:pPr>
      <w:r>
        <w:rPr>
          <w:rFonts w:ascii="Arial" w:hAnsi="Arial" w:cs="Arial"/>
          <w:b/>
          <w:bCs/>
          <w:sz w:val="20"/>
          <w:szCs w:val="20"/>
        </w:rPr>
        <w:t>Vegetation</w:t>
      </w:r>
      <w:r w:rsidR="000E544F" w:rsidRPr="00C9678F">
        <w:rPr>
          <w:rFonts w:ascii="Arial" w:hAnsi="Arial" w:cs="Arial"/>
          <w:b/>
          <w:bCs/>
          <w:sz w:val="20"/>
          <w:szCs w:val="20"/>
        </w:rPr>
        <w:t xml:space="preserve"> </w:t>
      </w:r>
      <w:r w:rsidR="00C9678F">
        <w:rPr>
          <w:rFonts w:ascii="Arial" w:hAnsi="Arial" w:cs="Arial"/>
          <w:b/>
          <w:bCs/>
          <w:sz w:val="20"/>
          <w:szCs w:val="20"/>
        </w:rPr>
        <w:t xml:space="preserve">Land </w:t>
      </w:r>
      <w:r w:rsidR="000E544F" w:rsidRPr="00C9678F">
        <w:rPr>
          <w:rFonts w:ascii="Arial" w:hAnsi="Arial" w:cs="Arial"/>
          <w:b/>
          <w:bCs/>
          <w:sz w:val="20"/>
          <w:szCs w:val="20"/>
        </w:rPr>
        <w:t>(Class 1):</w:t>
      </w:r>
      <w:r w:rsidR="000E544F" w:rsidRPr="00C9678F">
        <w:rPr>
          <w:rFonts w:ascii="Arial" w:hAnsi="Arial" w:cs="Arial"/>
          <w:sz w:val="20"/>
          <w:szCs w:val="20"/>
        </w:rPr>
        <w:t xml:space="preserve"> Closed and open deciduous forest on the Kaimur Range escarpment and plateau edges.</w:t>
      </w:r>
    </w:p>
    <w:p w14:paraId="1D47EAEF" w14:textId="0927F180" w:rsidR="000E544F" w:rsidRPr="00C9678F" w:rsidRDefault="00BA660F" w:rsidP="00C9678F">
      <w:pPr>
        <w:pStyle w:val="ListParagraph"/>
        <w:numPr>
          <w:ilvl w:val="0"/>
          <w:numId w:val="3"/>
        </w:numPr>
        <w:spacing w:before="60" w:after="60"/>
        <w:jc w:val="both"/>
        <w:rPr>
          <w:rFonts w:ascii="Arial" w:hAnsi="Arial" w:cs="Arial"/>
          <w:sz w:val="20"/>
          <w:szCs w:val="20"/>
        </w:rPr>
      </w:pPr>
      <w:r>
        <w:rPr>
          <w:rFonts w:ascii="Arial" w:hAnsi="Arial" w:cs="Arial"/>
          <w:b/>
          <w:bCs/>
          <w:sz w:val="20"/>
          <w:szCs w:val="20"/>
        </w:rPr>
        <w:t>Water Body</w:t>
      </w:r>
      <w:r w:rsidR="00C9678F">
        <w:rPr>
          <w:rFonts w:ascii="Arial" w:hAnsi="Arial" w:cs="Arial"/>
          <w:b/>
          <w:bCs/>
          <w:sz w:val="20"/>
          <w:szCs w:val="20"/>
        </w:rPr>
        <w:t xml:space="preserve"> </w:t>
      </w:r>
      <w:r w:rsidR="000E544F" w:rsidRPr="00C9678F">
        <w:rPr>
          <w:rFonts w:ascii="Arial" w:hAnsi="Arial" w:cs="Arial"/>
          <w:b/>
          <w:bCs/>
          <w:sz w:val="20"/>
          <w:szCs w:val="20"/>
        </w:rPr>
        <w:t>(Class 2):</w:t>
      </w:r>
      <w:r w:rsidR="000E544F" w:rsidRPr="00C9678F">
        <w:rPr>
          <w:rFonts w:ascii="Arial" w:hAnsi="Arial" w:cs="Arial"/>
          <w:sz w:val="20"/>
          <w:szCs w:val="20"/>
        </w:rPr>
        <w:t xml:space="preserve"> Rivers, r</w:t>
      </w:r>
      <w:r w:rsidR="00E36BC8">
        <w:rPr>
          <w:rFonts w:ascii="Arial" w:hAnsi="Arial" w:cs="Arial"/>
          <w:sz w:val="20"/>
          <w:szCs w:val="20"/>
        </w:rPr>
        <w:t>eservoirs, irrigation tanks</w:t>
      </w:r>
      <w:r w:rsidR="000E544F" w:rsidRPr="00C9678F">
        <w:rPr>
          <w:rFonts w:ascii="Arial" w:hAnsi="Arial" w:cs="Arial"/>
          <w:sz w:val="20"/>
          <w:szCs w:val="20"/>
        </w:rPr>
        <w:t xml:space="preserve"> and perennial water bodies.</w:t>
      </w:r>
    </w:p>
    <w:p w14:paraId="6B0C8553" w14:textId="1A2151AF" w:rsidR="000E544F" w:rsidRPr="00C9678F" w:rsidRDefault="00F94046" w:rsidP="00C9678F">
      <w:pPr>
        <w:pStyle w:val="ListParagraph"/>
        <w:numPr>
          <w:ilvl w:val="0"/>
          <w:numId w:val="3"/>
        </w:numPr>
        <w:spacing w:before="60" w:after="60"/>
        <w:jc w:val="both"/>
        <w:rPr>
          <w:rFonts w:ascii="Arial" w:hAnsi="Arial" w:cs="Arial"/>
          <w:sz w:val="20"/>
          <w:szCs w:val="20"/>
        </w:rPr>
      </w:pPr>
      <w:r>
        <w:rPr>
          <w:rFonts w:ascii="Arial" w:hAnsi="Arial" w:cs="Arial"/>
          <w:b/>
          <w:bCs/>
          <w:sz w:val="20"/>
          <w:szCs w:val="20"/>
        </w:rPr>
        <w:t>Built-up Land</w:t>
      </w:r>
      <w:r w:rsidR="00C9678F">
        <w:rPr>
          <w:rFonts w:ascii="Arial" w:hAnsi="Arial" w:cs="Arial"/>
          <w:b/>
          <w:bCs/>
          <w:sz w:val="20"/>
          <w:szCs w:val="20"/>
        </w:rPr>
        <w:t xml:space="preserve"> </w:t>
      </w:r>
      <w:r w:rsidR="000E544F" w:rsidRPr="00C9678F">
        <w:rPr>
          <w:rFonts w:ascii="Arial" w:hAnsi="Arial" w:cs="Arial"/>
          <w:b/>
          <w:bCs/>
          <w:sz w:val="20"/>
          <w:szCs w:val="20"/>
        </w:rPr>
        <w:t>(Class 3):</w:t>
      </w:r>
      <w:r w:rsidR="000E544F" w:rsidRPr="00C9678F">
        <w:rPr>
          <w:rFonts w:ascii="Arial" w:hAnsi="Arial" w:cs="Arial"/>
          <w:sz w:val="20"/>
          <w:szCs w:val="20"/>
        </w:rPr>
        <w:t xml:space="preserve"> Urban and peri-urban impervious surfaces, roads, and constructed infrastructure.</w:t>
      </w:r>
    </w:p>
    <w:p w14:paraId="5A63AB53" w14:textId="2E425550" w:rsidR="000E544F" w:rsidRPr="00C9678F" w:rsidRDefault="00BA660F" w:rsidP="00C9678F">
      <w:pPr>
        <w:pStyle w:val="ListParagraph"/>
        <w:numPr>
          <w:ilvl w:val="0"/>
          <w:numId w:val="3"/>
        </w:numPr>
        <w:spacing w:before="60" w:after="60"/>
        <w:jc w:val="both"/>
        <w:rPr>
          <w:rFonts w:ascii="Arial" w:hAnsi="Arial" w:cs="Arial"/>
          <w:sz w:val="20"/>
          <w:szCs w:val="20"/>
        </w:rPr>
      </w:pPr>
      <w:r>
        <w:rPr>
          <w:rFonts w:ascii="Arial" w:hAnsi="Arial" w:cs="Arial"/>
          <w:b/>
          <w:bCs/>
          <w:sz w:val="20"/>
          <w:szCs w:val="20"/>
        </w:rPr>
        <w:t>Waste Land</w:t>
      </w:r>
      <w:r w:rsidR="000E544F" w:rsidRPr="00C9678F">
        <w:rPr>
          <w:rFonts w:ascii="Arial" w:hAnsi="Arial" w:cs="Arial"/>
          <w:b/>
          <w:bCs/>
          <w:sz w:val="20"/>
          <w:szCs w:val="20"/>
        </w:rPr>
        <w:t xml:space="preserve"> (Class 4):</w:t>
      </w:r>
      <w:r w:rsidR="000E544F" w:rsidRPr="00C9678F">
        <w:rPr>
          <w:rFonts w:ascii="Arial" w:hAnsi="Arial" w:cs="Arial"/>
          <w:sz w:val="20"/>
          <w:szCs w:val="20"/>
        </w:rPr>
        <w:t xml:space="preserve"> Exposed soil, rav</w:t>
      </w:r>
      <w:r w:rsidR="00E36BC8">
        <w:rPr>
          <w:rFonts w:ascii="Arial" w:hAnsi="Arial" w:cs="Arial"/>
          <w:sz w:val="20"/>
          <w:szCs w:val="20"/>
        </w:rPr>
        <w:t>ines, rocky outcrops, wasteland</w:t>
      </w:r>
      <w:r w:rsidR="000E544F" w:rsidRPr="00C9678F">
        <w:rPr>
          <w:rFonts w:ascii="Arial" w:hAnsi="Arial" w:cs="Arial"/>
          <w:sz w:val="20"/>
          <w:szCs w:val="20"/>
        </w:rPr>
        <w:t xml:space="preserve"> and degraded surfaces.</w:t>
      </w:r>
    </w:p>
    <w:p w14:paraId="3CB077D4" w14:textId="77777777" w:rsidR="004147E0" w:rsidRPr="004147E0" w:rsidRDefault="004147E0" w:rsidP="004147E0">
      <w:pPr>
        <w:pStyle w:val="heading20"/>
        <w:rPr>
          <w:rFonts w:ascii="Arial" w:hAnsi="Arial" w:cs="Arial"/>
          <w:color w:val="000000" w:themeColor="text1"/>
          <w:sz w:val="22"/>
          <w:szCs w:val="22"/>
        </w:rPr>
      </w:pPr>
      <w:r w:rsidRPr="004147E0">
        <w:rPr>
          <w:rFonts w:ascii="Arial" w:hAnsi="Arial" w:cs="Arial"/>
          <w:color w:val="000000" w:themeColor="text1"/>
          <w:sz w:val="22"/>
          <w:szCs w:val="22"/>
        </w:rPr>
        <w:t>4.3 Study Area Delineation</w:t>
      </w:r>
    </w:p>
    <w:p w14:paraId="58F1D056" w14:textId="77777777" w:rsidR="004147E0" w:rsidRPr="004147E0" w:rsidRDefault="004147E0" w:rsidP="004147E0">
      <w:pPr>
        <w:spacing w:before="120" w:after="120"/>
        <w:jc w:val="both"/>
        <w:rPr>
          <w:rFonts w:ascii="Arial" w:hAnsi="Arial" w:cs="Arial"/>
          <w:sz w:val="20"/>
          <w:szCs w:val="20"/>
        </w:rPr>
      </w:pPr>
      <w:r w:rsidRPr="004147E0">
        <w:rPr>
          <w:rFonts w:ascii="Arial" w:hAnsi="Arial" w:cs="Arial"/>
          <w:color w:val="000000"/>
          <w:sz w:val="20"/>
          <w:szCs w:val="20"/>
        </w:rPr>
        <w:t>The study area boundary was derived from the FAO Global Administrative Unit Layers (GAUL) Level-2 dataset within GEE, filtered to ADM1_NAME = "Madhya Pradesh" and ADM2_NAME = "Rewa". This web-based boundary ensured reproducibility without a separately uploaded personal asset. All classification and export operations were clipped to this geometry.</w:t>
      </w:r>
    </w:p>
    <w:p w14:paraId="4FD268A7" w14:textId="77777777" w:rsidR="004147E0" w:rsidRPr="004147E0" w:rsidRDefault="004147E0" w:rsidP="004147E0">
      <w:pPr>
        <w:pStyle w:val="heading20"/>
        <w:rPr>
          <w:rFonts w:ascii="Arial" w:hAnsi="Arial" w:cs="Arial"/>
          <w:color w:val="000000" w:themeColor="text1"/>
          <w:sz w:val="22"/>
          <w:szCs w:val="22"/>
        </w:rPr>
      </w:pPr>
      <w:r w:rsidRPr="004147E0">
        <w:rPr>
          <w:rFonts w:ascii="Arial" w:hAnsi="Arial" w:cs="Arial"/>
          <w:color w:val="000000" w:themeColor="text1"/>
          <w:sz w:val="22"/>
          <w:szCs w:val="22"/>
        </w:rPr>
        <w:t>4.4 Composite Generation</w:t>
      </w:r>
      <w:r w:rsidR="00C73DB9">
        <w:rPr>
          <w:rFonts w:ascii="Arial" w:hAnsi="Arial" w:cs="Arial"/>
          <w:color w:val="000000" w:themeColor="text1"/>
          <w:sz w:val="22"/>
          <w:szCs w:val="22"/>
        </w:rPr>
        <w:t xml:space="preserve"> </w:t>
      </w:r>
    </w:p>
    <w:p w14:paraId="5605C0B5" w14:textId="77777777" w:rsidR="004147E0" w:rsidRPr="002229C2" w:rsidRDefault="00C73DB9" w:rsidP="002229C2">
      <w:pPr>
        <w:spacing w:before="120" w:after="120"/>
        <w:jc w:val="both"/>
        <w:rPr>
          <w:rFonts w:ascii="Arial" w:hAnsi="Arial" w:cs="Arial"/>
          <w:sz w:val="20"/>
          <w:szCs w:val="20"/>
        </w:rPr>
      </w:pPr>
      <w:r w:rsidRPr="004147E0">
        <w:rPr>
          <w:rFonts w:ascii="Arial" w:hAnsi="Arial" w:cs="Arial"/>
          <w:color w:val="000000" w:themeColor="text1"/>
          <w:sz w:val="22"/>
          <w:szCs w:val="22"/>
        </w:rPr>
        <w:t>Sentinel-2</w:t>
      </w:r>
      <w:r>
        <w:rPr>
          <w:rFonts w:ascii="Arial" w:hAnsi="Arial" w:cs="Arial"/>
          <w:color w:val="000000" w:themeColor="text1"/>
          <w:sz w:val="22"/>
          <w:szCs w:val="22"/>
        </w:rPr>
        <w:t xml:space="preserve"> </w:t>
      </w:r>
      <w:r w:rsidR="004147E0" w:rsidRPr="002229C2">
        <w:rPr>
          <w:rFonts w:ascii="Arial" w:hAnsi="Arial" w:cs="Arial"/>
          <w:color w:val="000000"/>
          <w:sz w:val="20"/>
          <w:szCs w:val="20"/>
        </w:rPr>
        <w:t>(January 1 – December 31) cloud-free median composites were generated for 2020 and 2025 from the COPERNICUS/S2_SR_HARMONIZED collection. Cloud masking was applied using the QA60 band, filtering imagery with cloud pixel percentage below 20% and applying bitwise masks for cirrus and opaque cloud flags. The annual median composite integrates spectral information across both the dry Rabi and wet Kharif phenological phases without prescribing a fixed seasonal window, producing a stable representation of the landscape across each full calendar year.</w:t>
      </w:r>
    </w:p>
    <w:p w14:paraId="35BECB21" w14:textId="77777777" w:rsidR="004147E0" w:rsidRDefault="004147E0" w:rsidP="002229C2">
      <w:pPr>
        <w:spacing w:before="120" w:after="120"/>
        <w:jc w:val="both"/>
        <w:rPr>
          <w:rFonts w:ascii="Arial" w:hAnsi="Arial" w:cs="Arial"/>
          <w:color w:val="000000"/>
          <w:sz w:val="20"/>
          <w:szCs w:val="20"/>
        </w:rPr>
      </w:pPr>
      <w:r w:rsidRPr="002229C2">
        <w:rPr>
          <w:rFonts w:ascii="Arial" w:hAnsi="Arial" w:cs="Arial"/>
          <w:color w:val="000000"/>
          <w:sz w:val="20"/>
          <w:szCs w:val="20"/>
        </w:rPr>
        <w:t>Ten spectral bands were used: B2 (Blue, 10 m), B3 (Green, 10 m), B4 (Red, 10 m), B5–B7 and B8A (Red-edge, 20 m), B8 (NIR, 10 m), B11 and B12 (SWIR, 20 m). Twenty-</w:t>
      </w:r>
      <w:proofErr w:type="spellStart"/>
      <w:r w:rsidRPr="002229C2">
        <w:rPr>
          <w:rFonts w:ascii="Arial" w:hAnsi="Arial" w:cs="Arial"/>
          <w:color w:val="000000"/>
          <w:sz w:val="20"/>
          <w:szCs w:val="20"/>
        </w:rPr>
        <w:t>metre</w:t>
      </w:r>
      <w:proofErr w:type="spellEnd"/>
      <w:r w:rsidRPr="002229C2">
        <w:rPr>
          <w:rFonts w:ascii="Arial" w:hAnsi="Arial" w:cs="Arial"/>
          <w:color w:val="000000"/>
          <w:sz w:val="20"/>
          <w:szCs w:val="20"/>
        </w:rPr>
        <w:t xml:space="preserve"> bands were resampled to 10 m through the GEE bilinear resampling during composite generation.</w:t>
      </w:r>
    </w:p>
    <w:p w14:paraId="741D7B93" w14:textId="77777777" w:rsidR="007A1BDF" w:rsidRDefault="007A1BDF" w:rsidP="002229C2">
      <w:pPr>
        <w:spacing w:before="120" w:after="120"/>
        <w:jc w:val="both"/>
        <w:rPr>
          <w:rFonts w:ascii="Arial" w:hAnsi="Arial" w:cs="Arial"/>
          <w:color w:val="000000"/>
          <w:sz w:val="20"/>
          <w:szCs w:val="20"/>
        </w:rPr>
      </w:pPr>
    </w:p>
    <w:p w14:paraId="2A1AAB4B" w14:textId="77777777" w:rsidR="007A1BDF" w:rsidRDefault="007A1BDF" w:rsidP="002229C2">
      <w:pPr>
        <w:spacing w:before="120" w:after="120"/>
        <w:jc w:val="both"/>
        <w:rPr>
          <w:rFonts w:ascii="Arial" w:hAnsi="Arial" w:cs="Arial"/>
          <w:color w:val="000000"/>
          <w:sz w:val="20"/>
          <w:szCs w:val="20"/>
        </w:rPr>
      </w:pPr>
    </w:p>
    <w:p w14:paraId="73836FA0" w14:textId="77777777" w:rsidR="002229C2" w:rsidRPr="002229C2" w:rsidRDefault="002229C2" w:rsidP="002229C2">
      <w:pPr>
        <w:spacing w:before="120" w:after="120"/>
        <w:jc w:val="both"/>
        <w:rPr>
          <w:rFonts w:ascii="Arial" w:hAnsi="Arial" w:cs="Arial"/>
          <w:b/>
          <w:bCs/>
          <w:sz w:val="22"/>
          <w:szCs w:val="22"/>
        </w:rPr>
      </w:pPr>
      <w:r w:rsidRPr="002229C2">
        <w:rPr>
          <w:rFonts w:ascii="Arial" w:hAnsi="Arial" w:cs="Arial"/>
          <w:b/>
          <w:bCs/>
          <w:color w:val="000000"/>
          <w:sz w:val="22"/>
          <w:szCs w:val="22"/>
        </w:rPr>
        <w:t xml:space="preserve">4.5 Feature Engineering </w:t>
      </w:r>
    </w:p>
    <w:p w14:paraId="145E47A3" w14:textId="77777777" w:rsidR="004147E0" w:rsidRPr="002229C2" w:rsidRDefault="00FB5548" w:rsidP="002229C2">
      <w:pPr>
        <w:pStyle w:val="ListParagraph"/>
        <w:spacing w:before="80" w:after="200"/>
        <w:ind w:left="720"/>
        <w:jc w:val="center"/>
        <w:rPr>
          <w:rFonts w:ascii="Arial" w:hAnsi="Arial" w:cs="Arial"/>
          <w:color w:val="000000" w:themeColor="text1"/>
          <w:sz w:val="20"/>
          <w:szCs w:val="20"/>
        </w:rPr>
      </w:pPr>
      <w:r>
        <w:rPr>
          <w:rFonts w:ascii="Arial" w:hAnsi="Arial" w:cs="Arial"/>
          <w:color w:val="000000" w:themeColor="text1"/>
          <w:sz w:val="20"/>
          <w:szCs w:val="20"/>
        </w:rPr>
        <w:t xml:space="preserve">Table No. </w:t>
      </w:r>
      <w:r w:rsidR="002229C2" w:rsidRPr="002229C2">
        <w:rPr>
          <w:rFonts w:ascii="Arial" w:hAnsi="Arial" w:cs="Arial"/>
          <w:color w:val="000000" w:themeColor="text1"/>
          <w:sz w:val="20"/>
          <w:szCs w:val="20"/>
        </w:rPr>
        <w:t>2. Feature stack used in Random Forest classification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3360"/>
        <w:gridCol w:w="3600"/>
      </w:tblGrid>
      <w:tr w:rsidR="004147E0" w:rsidRPr="002229C2" w14:paraId="727A9C6F" w14:textId="77777777" w:rsidTr="005A2BD5">
        <w:tc>
          <w:tcPr>
            <w:tcW w:w="2400" w:type="dxa"/>
            <w:tcBorders>
              <w:top w:val="single" w:sz="2" w:space="0" w:color="2E74B5"/>
              <w:left w:val="single" w:sz="2" w:space="0" w:color="2E74B5"/>
              <w:bottom w:val="single" w:sz="2" w:space="0" w:color="2E74B5"/>
              <w:right w:val="single" w:sz="2" w:space="0" w:color="2E74B5"/>
            </w:tcBorders>
            <w:shd w:val="clear" w:color="auto" w:fill="D6E4F0"/>
            <w:tcMar>
              <w:top w:w="80" w:type="dxa"/>
              <w:left w:w="110" w:type="dxa"/>
              <w:bottom w:w="80" w:type="dxa"/>
              <w:right w:w="110" w:type="dxa"/>
            </w:tcMar>
            <w:vAlign w:val="center"/>
          </w:tcPr>
          <w:p w14:paraId="7FEEEB16" w14:textId="77777777" w:rsidR="004147E0" w:rsidRPr="002229C2" w:rsidRDefault="004147E0" w:rsidP="002229C2">
            <w:pPr>
              <w:jc w:val="center"/>
              <w:rPr>
                <w:rFonts w:ascii="Arial" w:hAnsi="Arial" w:cs="Arial"/>
                <w:sz w:val="20"/>
                <w:szCs w:val="20"/>
              </w:rPr>
            </w:pPr>
            <w:r w:rsidRPr="002229C2">
              <w:rPr>
                <w:rFonts w:ascii="Arial" w:hAnsi="Arial" w:cs="Arial"/>
                <w:b/>
                <w:bCs/>
                <w:sz w:val="20"/>
                <w:szCs w:val="20"/>
              </w:rPr>
              <w:t>Feature Category</w:t>
            </w:r>
          </w:p>
        </w:tc>
        <w:tc>
          <w:tcPr>
            <w:tcW w:w="3360" w:type="dxa"/>
            <w:tcBorders>
              <w:top w:val="single" w:sz="2" w:space="0" w:color="2E74B5"/>
              <w:left w:val="single" w:sz="2" w:space="0" w:color="2E74B5"/>
              <w:bottom w:val="single" w:sz="2" w:space="0" w:color="2E74B5"/>
              <w:right w:val="single" w:sz="2" w:space="0" w:color="2E74B5"/>
            </w:tcBorders>
            <w:shd w:val="clear" w:color="auto" w:fill="D6E4F0"/>
            <w:tcMar>
              <w:top w:w="80" w:type="dxa"/>
              <w:left w:w="110" w:type="dxa"/>
              <w:bottom w:w="80" w:type="dxa"/>
              <w:right w:w="110" w:type="dxa"/>
            </w:tcMar>
            <w:vAlign w:val="center"/>
          </w:tcPr>
          <w:p w14:paraId="0BBDB803" w14:textId="77777777" w:rsidR="004147E0" w:rsidRPr="002229C2" w:rsidRDefault="004147E0" w:rsidP="002229C2">
            <w:pPr>
              <w:jc w:val="center"/>
              <w:rPr>
                <w:rFonts w:ascii="Arial" w:hAnsi="Arial" w:cs="Arial"/>
                <w:sz w:val="20"/>
                <w:szCs w:val="20"/>
              </w:rPr>
            </w:pPr>
            <w:r w:rsidRPr="002229C2">
              <w:rPr>
                <w:rFonts w:ascii="Arial" w:hAnsi="Arial" w:cs="Arial"/>
                <w:b/>
                <w:bCs/>
                <w:sz w:val="20"/>
                <w:szCs w:val="20"/>
              </w:rPr>
              <w:t>Features Included</w:t>
            </w:r>
          </w:p>
        </w:tc>
        <w:tc>
          <w:tcPr>
            <w:tcW w:w="3600" w:type="dxa"/>
            <w:tcBorders>
              <w:top w:val="single" w:sz="2" w:space="0" w:color="2E74B5"/>
              <w:left w:val="single" w:sz="2" w:space="0" w:color="2E74B5"/>
              <w:bottom w:val="single" w:sz="2" w:space="0" w:color="2E74B5"/>
              <w:right w:val="single" w:sz="2" w:space="0" w:color="2E74B5"/>
            </w:tcBorders>
            <w:shd w:val="clear" w:color="auto" w:fill="D6E4F0"/>
            <w:tcMar>
              <w:top w:w="80" w:type="dxa"/>
              <w:left w:w="110" w:type="dxa"/>
              <w:bottom w:w="80" w:type="dxa"/>
              <w:right w:w="110" w:type="dxa"/>
            </w:tcMar>
            <w:vAlign w:val="center"/>
          </w:tcPr>
          <w:p w14:paraId="0848F8BA" w14:textId="77777777" w:rsidR="004147E0" w:rsidRPr="002229C2" w:rsidRDefault="004147E0" w:rsidP="002229C2">
            <w:pPr>
              <w:jc w:val="center"/>
              <w:rPr>
                <w:rFonts w:ascii="Arial" w:hAnsi="Arial" w:cs="Arial"/>
                <w:sz w:val="20"/>
                <w:szCs w:val="20"/>
              </w:rPr>
            </w:pPr>
            <w:r w:rsidRPr="002229C2">
              <w:rPr>
                <w:rFonts w:ascii="Arial" w:hAnsi="Arial" w:cs="Arial"/>
                <w:b/>
                <w:bCs/>
                <w:sz w:val="20"/>
                <w:szCs w:val="20"/>
              </w:rPr>
              <w:t>Rationale</w:t>
            </w:r>
          </w:p>
        </w:tc>
      </w:tr>
      <w:tr w:rsidR="004147E0" w:rsidRPr="002229C2" w14:paraId="5A8E246E" w14:textId="77777777" w:rsidTr="005A2BD5">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64D0363F" w14:textId="77777777" w:rsidR="004147E0" w:rsidRPr="002229C2" w:rsidRDefault="004147E0" w:rsidP="002229C2">
            <w:pPr>
              <w:rPr>
                <w:rFonts w:ascii="Arial" w:hAnsi="Arial" w:cs="Arial"/>
                <w:sz w:val="20"/>
                <w:szCs w:val="20"/>
              </w:rPr>
            </w:pPr>
            <w:r w:rsidRPr="002229C2">
              <w:rPr>
                <w:rFonts w:ascii="Arial" w:hAnsi="Arial" w:cs="Arial"/>
                <w:color w:val="000000"/>
                <w:sz w:val="20"/>
                <w:szCs w:val="20"/>
              </w:rPr>
              <w:t>Spectral bands</w:t>
            </w:r>
          </w:p>
        </w:tc>
        <w:tc>
          <w:tcPr>
            <w:tcW w:w="336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22BE0CB2" w14:textId="77777777" w:rsidR="004147E0" w:rsidRPr="002229C2" w:rsidRDefault="004147E0" w:rsidP="00C73DB9">
            <w:pPr>
              <w:rPr>
                <w:rFonts w:ascii="Arial" w:hAnsi="Arial" w:cs="Arial"/>
                <w:sz w:val="20"/>
                <w:szCs w:val="20"/>
              </w:rPr>
            </w:pPr>
            <w:r w:rsidRPr="002229C2">
              <w:rPr>
                <w:rFonts w:ascii="Arial" w:hAnsi="Arial" w:cs="Arial"/>
                <w:color w:val="000000"/>
                <w:sz w:val="20"/>
                <w:szCs w:val="20"/>
              </w:rPr>
              <w:t xml:space="preserve">B2, B3, B4, B5, </w:t>
            </w:r>
            <w:r w:rsidR="00C73DB9">
              <w:rPr>
                <w:rFonts w:ascii="Arial" w:hAnsi="Arial" w:cs="Arial"/>
                <w:color w:val="000000"/>
                <w:sz w:val="20"/>
                <w:szCs w:val="20"/>
              </w:rPr>
              <w:t>B6, B7, B8, B8A, B11, B12 (</w:t>
            </w:r>
            <w:r w:rsidR="00C73DB9" w:rsidRPr="004147E0">
              <w:rPr>
                <w:rFonts w:ascii="Arial" w:hAnsi="Arial" w:cs="Arial"/>
                <w:color w:val="000000" w:themeColor="text1"/>
                <w:sz w:val="22"/>
                <w:szCs w:val="22"/>
              </w:rPr>
              <w:t>Sentinel-2</w:t>
            </w:r>
            <w:r w:rsidR="00C73DB9">
              <w:rPr>
                <w:rFonts w:ascii="Arial" w:hAnsi="Arial" w:cs="Arial"/>
                <w:color w:val="000000"/>
                <w:sz w:val="20"/>
                <w:szCs w:val="20"/>
              </w:rPr>
              <w:t xml:space="preserve"> (Jan–Dec) </w:t>
            </w:r>
            <w:r w:rsidRPr="002229C2">
              <w:rPr>
                <w:rFonts w:ascii="Arial" w:hAnsi="Arial" w:cs="Arial"/>
                <w:color w:val="000000"/>
                <w:sz w:val="20"/>
                <w:szCs w:val="20"/>
              </w:rPr>
              <w:t>composite)</w:t>
            </w:r>
          </w:p>
        </w:tc>
        <w:tc>
          <w:tcPr>
            <w:tcW w:w="36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6FF9BB2A" w14:textId="77777777" w:rsidR="004147E0" w:rsidRPr="002229C2" w:rsidRDefault="004147E0" w:rsidP="002229C2">
            <w:pPr>
              <w:rPr>
                <w:rFonts w:ascii="Arial" w:hAnsi="Arial" w:cs="Arial"/>
                <w:sz w:val="20"/>
                <w:szCs w:val="20"/>
              </w:rPr>
            </w:pPr>
            <w:r w:rsidRPr="002229C2">
              <w:rPr>
                <w:rFonts w:ascii="Arial" w:hAnsi="Arial" w:cs="Arial"/>
                <w:color w:val="000000"/>
                <w:sz w:val="20"/>
                <w:szCs w:val="20"/>
              </w:rPr>
              <w:t>Core multi-spectral signature; cloud-free annual median reduces phenological bias</w:t>
            </w:r>
          </w:p>
        </w:tc>
      </w:tr>
      <w:tr w:rsidR="004147E0" w:rsidRPr="002229C2" w14:paraId="484C7CC0" w14:textId="77777777" w:rsidTr="005A2BD5">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1A1878A3" w14:textId="77777777" w:rsidR="004147E0" w:rsidRPr="002229C2" w:rsidRDefault="004147E0" w:rsidP="002229C2">
            <w:pPr>
              <w:rPr>
                <w:rFonts w:ascii="Arial" w:hAnsi="Arial" w:cs="Arial"/>
                <w:sz w:val="20"/>
                <w:szCs w:val="20"/>
              </w:rPr>
            </w:pPr>
            <w:r w:rsidRPr="002229C2">
              <w:rPr>
                <w:rFonts w:ascii="Arial" w:hAnsi="Arial" w:cs="Arial"/>
                <w:color w:val="000000"/>
                <w:sz w:val="20"/>
                <w:szCs w:val="20"/>
              </w:rPr>
              <w:t>Vegetation indices</w:t>
            </w:r>
          </w:p>
        </w:tc>
        <w:tc>
          <w:tcPr>
            <w:tcW w:w="336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37D8D58A" w14:textId="77777777" w:rsidR="004147E0" w:rsidRPr="002229C2" w:rsidRDefault="004147E0" w:rsidP="002229C2">
            <w:pPr>
              <w:rPr>
                <w:rFonts w:ascii="Arial" w:hAnsi="Arial" w:cs="Arial"/>
                <w:sz w:val="20"/>
                <w:szCs w:val="20"/>
              </w:rPr>
            </w:pPr>
            <w:r w:rsidRPr="002229C2">
              <w:rPr>
                <w:rFonts w:ascii="Arial" w:hAnsi="Arial" w:cs="Arial"/>
                <w:color w:val="000000"/>
                <w:sz w:val="20"/>
                <w:szCs w:val="20"/>
              </w:rPr>
              <w:t>NDVI, EVI, SAVI (L=0.5)</w:t>
            </w:r>
          </w:p>
        </w:tc>
        <w:tc>
          <w:tcPr>
            <w:tcW w:w="36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1484DE2F" w14:textId="77777777" w:rsidR="004147E0" w:rsidRPr="002229C2" w:rsidRDefault="004147E0" w:rsidP="002229C2">
            <w:pPr>
              <w:rPr>
                <w:rFonts w:ascii="Arial" w:hAnsi="Arial" w:cs="Arial"/>
                <w:sz w:val="20"/>
                <w:szCs w:val="20"/>
              </w:rPr>
            </w:pPr>
            <w:r w:rsidRPr="002229C2">
              <w:rPr>
                <w:rFonts w:ascii="Arial" w:hAnsi="Arial" w:cs="Arial"/>
                <w:color w:val="000000"/>
                <w:sz w:val="20"/>
                <w:szCs w:val="20"/>
              </w:rPr>
              <w:t>Discriminates vegetation density and type; SAVI corrects for Vindhyan sandy soil brightness</w:t>
            </w:r>
          </w:p>
        </w:tc>
      </w:tr>
      <w:tr w:rsidR="004147E0" w:rsidRPr="002229C2" w14:paraId="5036DCFF" w14:textId="77777777" w:rsidTr="005A2BD5">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395ABD1F" w14:textId="7E36DF4C" w:rsidR="004147E0" w:rsidRPr="002229C2" w:rsidRDefault="00BA660F" w:rsidP="002229C2">
            <w:pPr>
              <w:rPr>
                <w:rFonts w:ascii="Arial" w:hAnsi="Arial" w:cs="Arial"/>
                <w:sz w:val="20"/>
                <w:szCs w:val="20"/>
              </w:rPr>
            </w:pPr>
            <w:r>
              <w:rPr>
                <w:rFonts w:ascii="Arial" w:hAnsi="Arial" w:cs="Arial"/>
                <w:color w:val="000000"/>
                <w:sz w:val="20"/>
                <w:szCs w:val="20"/>
              </w:rPr>
              <w:lastRenderedPageBreak/>
              <w:t>Water</w:t>
            </w:r>
            <w:r w:rsidR="004147E0" w:rsidRPr="002229C2">
              <w:rPr>
                <w:rFonts w:ascii="Arial" w:hAnsi="Arial" w:cs="Arial"/>
                <w:color w:val="000000"/>
                <w:sz w:val="20"/>
                <w:szCs w:val="20"/>
              </w:rPr>
              <w:t xml:space="preserve"> / </w:t>
            </w:r>
            <w:r w:rsidR="00F94046">
              <w:rPr>
                <w:rFonts w:ascii="Arial" w:hAnsi="Arial" w:cs="Arial"/>
                <w:color w:val="000000"/>
                <w:sz w:val="20"/>
                <w:szCs w:val="20"/>
              </w:rPr>
              <w:t xml:space="preserve">Built-up </w:t>
            </w:r>
            <w:r w:rsidR="004147E0" w:rsidRPr="002229C2">
              <w:rPr>
                <w:rFonts w:ascii="Arial" w:hAnsi="Arial" w:cs="Arial"/>
                <w:color w:val="000000"/>
                <w:sz w:val="20"/>
                <w:szCs w:val="20"/>
              </w:rPr>
              <w:t>indices</w:t>
            </w:r>
          </w:p>
        </w:tc>
        <w:tc>
          <w:tcPr>
            <w:tcW w:w="336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69163343" w14:textId="77777777" w:rsidR="004147E0" w:rsidRPr="002229C2" w:rsidRDefault="004147E0" w:rsidP="002229C2">
            <w:pPr>
              <w:rPr>
                <w:rFonts w:ascii="Arial" w:hAnsi="Arial" w:cs="Arial"/>
                <w:sz w:val="20"/>
                <w:szCs w:val="20"/>
              </w:rPr>
            </w:pPr>
            <w:r w:rsidRPr="002229C2">
              <w:rPr>
                <w:rFonts w:ascii="Arial" w:hAnsi="Arial" w:cs="Arial"/>
                <w:color w:val="000000"/>
                <w:sz w:val="20"/>
                <w:szCs w:val="20"/>
              </w:rPr>
              <w:t>NDWI, MNDWI, NDBI, BSI</w:t>
            </w:r>
          </w:p>
        </w:tc>
        <w:tc>
          <w:tcPr>
            <w:tcW w:w="36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13B98BDA" w14:textId="075BB23F" w:rsidR="004147E0" w:rsidRPr="002229C2" w:rsidRDefault="004147E0" w:rsidP="002229C2">
            <w:pPr>
              <w:rPr>
                <w:rFonts w:ascii="Arial" w:hAnsi="Arial" w:cs="Arial"/>
                <w:sz w:val="20"/>
                <w:szCs w:val="20"/>
              </w:rPr>
            </w:pPr>
            <w:r w:rsidRPr="002229C2">
              <w:rPr>
                <w:rFonts w:ascii="Arial" w:hAnsi="Arial" w:cs="Arial"/>
                <w:color w:val="000000"/>
                <w:sz w:val="20"/>
                <w:szCs w:val="20"/>
              </w:rPr>
              <w:t>Separates wa</w:t>
            </w:r>
            <w:r w:rsidR="00CD4D08">
              <w:rPr>
                <w:rFonts w:ascii="Arial" w:hAnsi="Arial" w:cs="Arial"/>
                <w:color w:val="000000"/>
                <w:sz w:val="20"/>
                <w:szCs w:val="20"/>
              </w:rPr>
              <w:t>ter bodies, impervious surfaces</w:t>
            </w:r>
            <w:r w:rsidRPr="002229C2">
              <w:rPr>
                <w:rFonts w:ascii="Arial" w:hAnsi="Arial" w:cs="Arial"/>
                <w:color w:val="000000"/>
                <w:sz w:val="20"/>
                <w:szCs w:val="20"/>
              </w:rPr>
              <w:t xml:space="preserve"> and exposed soil; MNDWI improves Tons river delineation</w:t>
            </w:r>
          </w:p>
        </w:tc>
      </w:tr>
      <w:tr w:rsidR="004147E0" w:rsidRPr="002229C2" w14:paraId="2027E9CD" w14:textId="77777777" w:rsidTr="005A2BD5">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63C90251" w14:textId="77777777" w:rsidR="004147E0" w:rsidRPr="002229C2" w:rsidRDefault="004147E0" w:rsidP="002229C2">
            <w:pPr>
              <w:rPr>
                <w:rFonts w:ascii="Arial" w:hAnsi="Arial" w:cs="Arial"/>
                <w:sz w:val="20"/>
                <w:szCs w:val="20"/>
              </w:rPr>
            </w:pPr>
            <w:r w:rsidRPr="002229C2">
              <w:rPr>
                <w:rFonts w:ascii="Arial" w:hAnsi="Arial" w:cs="Arial"/>
                <w:color w:val="000000"/>
                <w:sz w:val="20"/>
                <w:szCs w:val="20"/>
              </w:rPr>
              <w:t>GLCM Texture</w:t>
            </w:r>
          </w:p>
        </w:tc>
        <w:tc>
          <w:tcPr>
            <w:tcW w:w="336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316ADBE8" w14:textId="77777777" w:rsidR="004147E0" w:rsidRPr="002229C2" w:rsidRDefault="004147E0" w:rsidP="002229C2">
            <w:pPr>
              <w:rPr>
                <w:rFonts w:ascii="Arial" w:hAnsi="Arial" w:cs="Arial"/>
                <w:sz w:val="20"/>
                <w:szCs w:val="20"/>
              </w:rPr>
            </w:pPr>
            <w:r w:rsidRPr="002229C2">
              <w:rPr>
                <w:rFonts w:ascii="Arial" w:hAnsi="Arial" w:cs="Arial"/>
                <w:color w:val="000000"/>
                <w:sz w:val="20"/>
                <w:szCs w:val="20"/>
              </w:rPr>
              <w:t>Contrast, Entropy, Variance, Homogeneity, Dissimilarity, ASM</w:t>
            </w:r>
          </w:p>
        </w:tc>
        <w:tc>
          <w:tcPr>
            <w:tcW w:w="36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6B831E22" w14:textId="77777777" w:rsidR="004147E0" w:rsidRPr="002229C2" w:rsidRDefault="004147E0" w:rsidP="002229C2">
            <w:pPr>
              <w:rPr>
                <w:rFonts w:ascii="Arial" w:hAnsi="Arial" w:cs="Arial"/>
                <w:sz w:val="20"/>
                <w:szCs w:val="20"/>
              </w:rPr>
            </w:pPr>
            <w:r w:rsidRPr="002229C2">
              <w:rPr>
                <w:rFonts w:ascii="Arial" w:hAnsi="Arial" w:cs="Arial"/>
                <w:color w:val="000000"/>
                <w:sz w:val="20"/>
                <w:szCs w:val="20"/>
              </w:rPr>
              <w:t>Captures structural heterogeneity; critical for built-up vs. barren separation in peri-urban Rewa</w:t>
            </w:r>
          </w:p>
        </w:tc>
      </w:tr>
      <w:tr w:rsidR="004147E0" w:rsidRPr="002229C2" w14:paraId="351D397E" w14:textId="77777777" w:rsidTr="005A2BD5">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36412315" w14:textId="77777777" w:rsidR="004147E0" w:rsidRPr="002229C2" w:rsidRDefault="004147E0" w:rsidP="002229C2">
            <w:pPr>
              <w:rPr>
                <w:rFonts w:ascii="Arial" w:hAnsi="Arial" w:cs="Arial"/>
                <w:sz w:val="20"/>
                <w:szCs w:val="20"/>
              </w:rPr>
            </w:pPr>
            <w:r w:rsidRPr="002229C2">
              <w:rPr>
                <w:rFonts w:ascii="Arial" w:hAnsi="Arial" w:cs="Arial"/>
                <w:color w:val="000000"/>
                <w:sz w:val="20"/>
                <w:szCs w:val="20"/>
              </w:rPr>
              <w:t>Terrain (SRTM 30 m)</w:t>
            </w:r>
          </w:p>
        </w:tc>
        <w:tc>
          <w:tcPr>
            <w:tcW w:w="336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7BEBACA6" w14:textId="77777777" w:rsidR="004147E0" w:rsidRPr="002229C2" w:rsidRDefault="004147E0" w:rsidP="002229C2">
            <w:pPr>
              <w:rPr>
                <w:rFonts w:ascii="Arial" w:hAnsi="Arial" w:cs="Arial"/>
                <w:sz w:val="20"/>
                <w:szCs w:val="20"/>
              </w:rPr>
            </w:pPr>
            <w:r w:rsidRPr="002229C2">
              <w:rPr>
                <w:rFonts w:ascii="Arial" w:hAnsi="Arial" w:cs="Arial"/>
                <w:color w:val="000000"/>
                <w:sz w:val="20"/>
                <w:szCs w:val="20"/>
              </w:rPr>
              <w:t>DEM, Slope, Aspect</w:t>
            </w:r>
          </w:p>
        </w:tc>
        <w:tc>
          <w:tcPr>
            <w:tcW w:w="36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1B4B5C36" w14:textId="77777777" w:rsidR="004147E0" w:rsidRPr="002229C2" w:rsidRDefault="004147E0" w:rsidP="002229C2">
            <w:pPr>
              <w:rPr>
                <w:rFonts w:ascii="Arial" w:hAnsi="Arial" w:cs="Arial"/>
                <w:sz w:val="20"/>
                <w:szCs w:val="20"/>
              </w:rPr>
            </w:pPr>
            <w:r w:rsidRPr="002229C2">
              <w:rPr>
                <w:rFonts w:ascii="Arial" w:hAnsi="Arial" w:cs="Arial"/>
                <w:color w:val="000000"/>
                <w:sz w:val="20"/>
                <w:szCs w:val="20"/>
              </w:rPr>
              <w:t>Constrains forest (Kaimur escarpment), agriculture (flat plains), and water (valley floors)</w:t>
            </w:r>
          </w:p>
        </w:tc>
      </w:tr>
    </w:tbl>
    <w:p w14:paraId="3D336141" w14:textId="77777777" w:rsidR="004147E0" w:rsidRPr="002229C2" w:rsidRDefault="004147E0" w:rsidP="002229C2">
      <w:pPr>
        <w:spacing w:before="60" w:after="60"/>
        <w:rPr>
          <w:rFonts w:ascii="Arial" w:hAnsi="Arial" w:cs="Arial"/>
          <w:sz w:val="20"/>
          <w:szCs w:val="20"/>
        </w:rPr>
      </w:pPr>
    </w:p>
    <w:p w14:paraId="7726C337" w14:textId="77777777" w:rsidR="004147E0" w:rsidRPr="002229C2" w:rsidRDefault="004147E0" w:rsidP="002229C2">
      <w:pPr>
        <w:spacing w:before="120" w:after="120"/>
        <w:jc w:val="both"/>
        <w:rPr>
          <w:rFonts w:ascii="Arial" w:hAnsi="Arial" w:cs="Arial"/>
          <w:sz w:val="20"/>
          <w:szCs w:val="20"/>
        </w:rPr>
      </w:pPr>
      <w:r w:rsidRPr="002229C2">
        <w:rPr>
          <w:rFonts w:ascii="Arial" w:hAnsi="Arial" w:cs="Arial"/>
          <w:color w:val="000000"/>
          <w:sz w:val="20"/>
          <w:szCs w:val="20"/>
        </w:rPr>
        <w:t xml:space="preserve">SAVI with a soil adjustment factor L = 0.5 was selected as appropriate for the moderate vegetation density of the Vindhyan plateau. The MNDWI (Xu, 2006) was included specifically to improve delineation of the Tons and Bihar rivers against built-up backgrounds in the urban fringe. GLCM texture features were computed from a 3×3 window applied to a </w:t>
      </w:r>
      <w:proofErr w:type="spellStart"/>
      <w:r w:rsidRPr="002229C2">
        <w:rPr>
          <w:rFonts w:ascii="Arial" w:hAnsi="Arial" w:cs="Arial"/>
          <w:color w:val="000000"/>
          <w:sz w:val="20"/>
          <w:szCs w:val="20"/>
        </w:rPr>
        <w:t>quantised</w:t>
      </w:r>
      <w:proofErr w:type="spellEnd"/>
      <w:r w:rsidRPr="002229C2">
        <w:rPr>
          <w:rFonts w:ascii="Arial" w:hAnsi="Arial" w:cs="Arial"/>
          <w:color w:val="000000"/>
          <w:sz w:val="20"/>
          <w:szCs w:val="20"/>
        </w:rPr>
        <w:t xml:space="preserve"> NDVI image, with the SRTM DEM and derived slope and aspect bands providing topographic stratification of the Kaimur escarpment versus the plateau plains.</w:t>
      </w:r>
    </w:p>
    <w:p w14:paraId="251C158F" w14:textId="77777777" w:rsidR="004147E0" w:rsidRPr="002229C2" w:rsidRDefault="004147E0" w:rsidP="002229C2">
      <w:pPr>
        <w:pStyle w:val="heading20"/>
        <w:rPr>
          <w:rFonts w:ascii="Arial" w:hAnsi="Arial" w:cs="Arial"/>
          <w:color w:val="000000" w:themeColor="text1"/>
          <w:sz w:val="22"/>
          <w:szCs w:val="22"/>
        </w:rPr>
      </w:pPr>
      <w:r w:rsidRPr="002229C2">
        <w:rPr>
          <w:rFonts w:ascii="Arial" w:hAnsi="Arial" w:cs="Arial"/>
          <w:color w:val="000000" w:themeColor="text1"/>
          <w:sz w:val="22"/>
          <w:szCs w:val="22"/>
        </w:rPr>
        <w:t>4.6 Training Sample Collection</w:t>
      </w:r>
    </w:p>
    <w:p w14:paraId="4173DD1A" w14:textId="77777777" w:rsidR="004147E0" w:rsidRPr="00FB5548" w:rsidRDefault="00FB5548" w:rsidP="002C14F2">
      <w:pPr>
        <w:pStyle w:val="ListParagraph"/>
        <w:spacing w:before="80" w:after="200"/>
        <w:ind w:left="720"/>
        <w:rPr>
          <w:rFonts w:ascii="Arial" w:hAnsi="Arial" w:cs="Arial"/>
          <w:color w:val="000000" w:themeColor="text1"/>
          <w:sz w:val="20"/>
          <w:szCs w:val="20"/>
        </w:rPr>
      </w:pPr>
      <w:r w:rsidRPr="00FB5548">
        <w:rPr>
          <w:rFonts w:ascii="Arial" w:hAnsi="Arial" w:cs="Arial"/>
          <w:color w:val="000000" w:themeColor="text1"/>
          <w:sz w:val="20"/>
          <w:szCs w:val="20"/>
        </w:rPr>
        <w:t>Table</w:t>
      </w:r>
      <w:r w:rsidR="008D0949">
        <w:rPr>
          <w:rFonts w:ascii="Arial" w:hAnsi="Arial" w:cs="Arial"/>
          <w:color w:val="000000" w:themeColor="text1"/>
          <w:sz w:val="20"/>
          <w:szCs w:val="20"/>
        </w:rPr>
        <w:t xml:space="preserve"> No.</w:t>
      </w:r>
      <w:r w:rsidRPr="00FB5548">
        <w:rPr>
          <w:rFonts w:ascii="Arial" w:hAnsi="Arial" w:cs="Arial"/>
          <w:color w:val="000000" w:themeColor="text1"/>
          <w:sz w:val="20"/>
          <w:szCs w:val="20"/>
        </w:rPr>
        <w:t xml:space="preserve"> 3.</w:t>
      </w:r>
      <w:r w:rsidR="002C14F2" w:rsidRPr="00FB5548">
        <w:rPr>
          <w:rFonts w:ascii="Arial" w:hAnsi="Arial" w:cs="Arial"/>
          <w:color w:val="000000" w:themeColor="text1"/>
          <w:sz w:val="20"/>
          <w:szCs w:val="20"/>
        </w:rPr>
        <w:t xml:space="preserve"> Training sample collection by class f</w:t>
      </w:r>
      <w:r w:rsidR="008D0949">
        <w:rPr>
          <w:rFonts w:ascii="Arial" w:hAnsi="Arial" w:cs="Arial"/>
          <w:color w:val="000000" w:themeColor="text1"/>
          <w:sz w:val="20"/>
          <w:szCs w:val="20"/>
        </w:rPr>
        <w:t>or Random Forest classification</w:t>
      </w:r>
    </w:p>
    <w:tbl>
      <w:tblPr>
        <w:tblStyle w:val="LightShading-Accent1"/>
        <w:tblW w:w="8647" w:type="dxa"/>
        <w:tblInd w:w="250" w:type="dxa"/>
        <w:tblLook w:val="04A0" w:firstRow="1" w:lastRow="0" w:firstColumn="1" w:lastColumn="0" w:noHBand="0" w:noVBand="1"/>
      </w:tblPr>
      <w:tblGrid>
        <w:gridCol w:w="2552"/>
        <w:gridCol w:w="1701"/>
        <w:gridCol w:w="2164"/>
        <w:gridCol w:w="2230"/>
      </w:tblGrid>
      <w:tr w:rsidR="004147E0" w:rsidRPr="002229C2" w14:paraId="799A0AAE" w14:textId="77777777" w:rsidTr="007A1BDF">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14F5F33C" w14:textId="77777777" w:rsidR="004147E0" w:rsidRPr="008D0949" w:rsidRDefault="004147E0" w:rsidP="007A1BDF">
            <w:pPr>
              <w:rPr>
                <w:rFonts w:ascii="Arial" w:hAnsi="Arial" w:cs="Arial"/>
                <w:color w:val="000000" w:themeColor="text1"/>
                <w:sz w:val="20"/>
                <w:szCs w:val="20"/>
              </w:rPr>
            </w:pPr>
            <w:r w:rsidRPr="008D0949">
              <w:rPr>
                <w:rFonts w:ascii="Arial" w:hAnsi="Arial" w:cs="Arial"/>
                <w:color w:val="000000" w:themeColor="text1"/>
                <w:sz w:val="20"/>
                <w:szCs w:val="20"/>
              </w:rPr>
              <w:t>Class</w:t>
            </w:r>
          </w:p>
        </w:tc>
        <w:tc>
          <w:tcPr>
            <w:tcW w:w="1701" w:type="dxa"/>
            <w:vAlign w:val="center"/>
          </w:tcPr>
          <w:p w14:paraId="3A80EE88" w14:textId="77777777" w:rsidR="004147E0" w:rsidRPr="008D0949" w:rsidRDefault="004147E0" w:rsidP="007A1BDF">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D0949">
              <w:rPr>
                <w:rFonts w:ascii="Arial" w:hAnsi="Arial" w:cs="Arial"/>
                <w:color w:val="000000" w:themeColor="text1"/>
                <w:sz w:val="20"/>
                <w:szCs w:val="20"/>
              </w:rPr>
              <w:t>Label Code</w:t>
            </w:r>
          </w:p>
        </w:tc>
        <w:tc>
          <w:tcPr>
            <w:tcW w:w="2164" w:type="dxa"/>
            <w:vAlign w:val="center"/>
          </w:tcPr>
          <w:p w14:paraId="7F4BB7E9" w14:textId="77777777" w:rsidR="004147E0" w:rsidRPr="008D0949" w:rsidRDefault="004147E0" w:rsidP="007A1BDF">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D0949">
              <w:rPr>
                <w:rFonts w:ascii="Arial" w:hAnsi="Arial" w:cs="Arial"/>
                <w:color w:val="000000" w:themeColor="text1"/>
                <w:sz w:val="20"/>
                <w:szCs w:val="20"/>
              </w:rPr>
              <w:t>No. of Samples</w:t>
            </w:r>
          </w:p>
        </w:tc>
        <w:tc>
          <w:tcPr>
            <w:tcW w:w="2230" w:type="dxa"/>
            <w:vAlign w:val="center"/>
          </w:tcPr>
          <w:p w14:paraId="16DB640D" w14:textId="77777777" w:rsidR="004147E0" w:rsidRPr="008D0949" w:rsidRDefault="004147E0" w:rsidP="007A1BDF">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D0949">
              <w:rPr>
                <w:rFonts w:ascii="Arial" w:hAnsi="Arial" w:cs="Arial"/>
                <w:color w:val="000000" w:themeColor="text1"/>
                <w:sz w:val="20"/>
                <w:szCs w:val="20"/>
              </w:rPr>
              <w:t>Sample Type</w:t>
            </w:r>
          </w:p>
        </w:tc>
      </w:tr>
      <w:tr w:rsidR="004147E0" w:rsidRPr="002229C2" w14:paraId="3E3189B6" w14:textId="77777777" w:rsidTr="007A1BDF">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2598ABC0" w14:textId="386EEA94" w:rsidR="004147E0" w:rsidRPr="006A5472" w:rsidRDefault="00537B5E" w:rsidP="007A1BDF">
            <w:pPr>
              <w:rPr>
                <w:rFonts w:ascii="Arial" w:hAnsi="Arial" w:cs="Arial"/>
                <w:b w:val="0"/>
                <w:bCs w:val="0"/>
                <w:sz w:val="20"/>
                <w:szCs w:val="20"/>
              </w:rPr>
            </w:pPr>
            <w:r w:rsidRPr="006A5472">
              <w:rPr>
                <w:rFonts w:ascii="Arial" w:hAnsi="Arial" w:cs="Arial"/>
                <w:b w:val="0"/>
                <w:bCs w:val="0"/>
                <w:color w:val="000000"/>
                <w:sz w:val="20"/>
                <w:szCs w:val="20"/>
              </w:rPr>
              <w:t>Agriculture Land</w:t>
            </w:r>
          </w:p>
        </w:tc>
        <w:tc>
          <w:tcPr>
            <w:tcW w:w="1701" w:type="dxa"/>
            <w:vAlign w:val="center"/>
          </w:tcPr>
          <w:p w14:paraId="6D01A5DC" w14:textId="77777777" w:rsidR="004147E0" w:rsidRPr="006A5472" w:rsidRDefault="004147E0" w:rsidP="007A1BD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A5472">
              <w:rPr>
                <w:rFonts w:ascii="Arial" w:hAnsi="Arial" w:cs="Arial"/>
                <w:color w:val="000000"/>
                <w:sz w:val="20"/>
                <w:szCs w:val="20"/>
              </w:rPr>
              <w:t>0</w:t>
            </w:r>
          </w:p>
        </w:tc>
        <w:tc>
          <w:tcPr>
            <w:tcW w:w="2164" w:type="dxa"/>
            <w:vAlign w:val="center"/>
          </w:tcPr>
          <w:p w14:paraId="7344E334" w14:textId="77777777" w:rsidR="004147E0" w:rsidRPr="006A5472" w:rsidRDefault="004147E0" w:rsidP="007A1BD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A5472">
              <w:rPr>
                <w:rFonts w:ascii="Arial" w:hAnsi="Arial" w:cs="Arial"/>
                <w:color w:val="000000"/>
                <w:sz w:val="20"/>
                <w:szCs w:val="20"/>
              </w:rPr>
              <w:t>81</w:t>
            </w:r>
          </w:p>
        </w:tc>
        <w:tc>
          <w:tcPr>
            <w:tcW w:w="2230" w:type="dxa"/>
            <w:vAlign w:val="center"/>
          </w:tcPr>
          <w:p w14:paraId="34CD2C84" w14:textId="77777777" w:rsidR="004147E0" w:rsidRPr="006A5472" w:rsidRDefault="004147E0" w:rsidP="007A1BD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A5472">
              <w:rPr>
                <w:rFonts w:ascii="Arial" w:hAnsi="Arial" w:cs="Arial"/>
                <w:color w:val="000000"/>
                <w:sz w:val="20"/>
                <w:szCs w:val="20"/>
              </w:rPr>
              <w:t>Points &amp; Polygons</w:t>
            </w:r>
          </w:p>
        </w:tc>
      </w:tr>
      <w:tr w:rsidR="004147E0" w:rsidRPr="002229C2" w14:paraId="61181316" w14:textId="77777777" w:rsidTr="007A1BDF">
        <w:trPr>
          <w:trHeight w:val="402"/>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0D7CE915" w14:textId="10483E52" w:rsidR="004147E0" w:rsidRPr="006A5472" w:rsidRDefault="00BA660F" w:rsidP="007A1BDF">
            <w:pPr>
              <w:rPr>
                <w:rFonts w:ascii="Arial" w:hAnsi="Arial" w:cs="Arial"/>
                <w:b w:val="0"/>
                <w:bCs w:val="0"/>
                <w:sz w:val="20"/>
                <w:szCs w:val="20"/>
              </w:rPr>
            </w:pPr>
            <w:r w:rsidRPr="006A5472">
              <w:rPr>
                <w:rFonts w:ascii="Arial" w:hAnsi="Arial" w:cs="Arial"/>
                <w:b w:val="0"/>
                <w:bCs w:val="0"/>
                <w:color w:val="000000" w:themeColor="text1"/>
                <w:sz w:val="20"/>
                <w:szCs w:val="20"/>
              </w:rPr>
              <w:t>Vegetation Land</w:t>
            </w:r>
          </w:p>
        </w:tc>
        <w:tc>
          <w:tcPr>
            <w:tcW w:w="1701" w:type="dxa"/>
            <w:vAlign w:val="center"/>
          </w:tcPr>
          <w:p w14:paraId="0C067591" w14:textId="77777777" w:rsidR="004147E0" w:rsidRPr="006A5472" w:rsidRDefault="004147E0" w:rsidP="007A1BD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A5472">
              <w:rPr>
                <w:rFonts w:ascii="Arial" w:hAnsi="Arial" w:cs="Arial"/>
                <w:color w:val="000000"/>
                <w:sz w:val="20"/>
                <w:szCs w:val="20"/>
              </w:rPr>
              <w:t>1</w:t>
            </w:r>
          </w:p>
        </w:tc>
        <w:tc>
          <w:tcPr>
            <w:tcW w:w="2164" w:type="dxa"/>
            <w:vAlign w:val="center"/>
          </w:tcPr>
          <w:p w14:paraId="6ED8F239" w14:textId="77777777" w:rsidR="004147E0" w:rsidRPr="006A5472" w:rsidRDefault="004147E0" w:rsidP="007A1BD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A5472">
              <w:rPr>
                <w:rFonts w:ascii="Arial" w:hAnsi="Arial" w:cs="Arial"/>
                <w:color w:val="000000"/>
                <w:sz w:val="20"/>
                <w:szCs w:val="20"/>
              </w:rPr>
              <w:t>65</w:t>
            </w:r>
          </w:p>
        </w:tc>
        <w:tc>
          <w:tcPr>
            <w:tcW w:w="2230" w:type="dxa"/>
            <w:vAlign w:val="center"/>
          </w:tcPr>
          <w:p w14:paraId="13D1578A" w14:textId="77777777" w:rsidR="004147E0" w:rsidRPr="006A5472" w:rsidRDefault="004147E0" w:rsidP="007A1BD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A5472">
              <w:rPr>
                <w:rFonts w:ascii="Arial" w:hAnsi="Arial" w:cs="Arial"/>
                <w:color w:val="000000"/>
                <w:sz w:val="20"/>
                <w:szCs w:val="20"/>
              </w:rPr>
              <w:t>Points &amp; Polygons</w:t>
            </w:r>
          </w:p>
        </w:tc>
      </w:tr>
      <w:tr w:rsidR="004147E0" w:rsidRPr="002229C2" w14:paraId="7238333F" w14:textId="77777777" w:rsidTr="007A1BDF">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73A1178B" w14:textId="1EF5572A" w:rsidR="004147E0" w:rsidRPr="006A5472" w:rsidRDefault="00BA660F" w:rsidP="007A1BDF">
            <w:pPr>
              <w:rPr>
                <w:rFonts w:ascii="Arial" w:hAnsi="Arial" w:cs="Arial"/>
                <w:b w:val="0"/>
                <w:bCs w:val="0"/>
                <w:sz w:val="20"/>
                <w:szCs w:val="20"/>
              </w:rPr>
            </w:pPr>
            <w:r w:rsidRPr="006A5472">
              <w:rPr>
                <w:rFonts w:ascii="Arial" w:hAnsi="Arial" w:cs="Arial"/>
                <w:b w:val="0"/>
                <w:bCs w:val="0"/>
                <w:color w:val="000000"/>
                <w:sz w:val="20"/>
                <w:szCs w:val="20"/>
              </w:rPr>
              <w:t>Water Body</w:t>
            </w:r>
          </w:p>
        </w:tc>
        <w:tc>
          <w:tcPr>
            <w:tcW w:w="1701" w:type="dxa"/>
            <w:vAlign w:val="center"/>
          </w:tcPr>
          <w:p w14:paraId="06112690" w14:textId="77777777" w:rsidR="004147E0" w:rsidRPr="006A5472" w:rsidRDefault="004147E0" w:rsidP="007A1BD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A5472">
              <w:rPr>
                <w:rFonts w:ascii="Arial" w:hAnsi="Arial" w:cs="Arial"/>
                <w:color w:val="000000"/>
                <w:sz w:val="20"/>
                <w:szCs w:val="20"/>
              </w:rPr>
              <w:t>2</w:t>
            </w:r>
          </w:p>
        </w:tc>
        <w:tc>
          <w:tcPr>
            <w:tcW w:w="2164" w:type="dxa"/>
            <w:vAlign w:val="center"/>
          </w:tcPr>
          <w:p w14:paraId="5B01078D" w14:textId="77777777" w:rsidR="004147E0" w:rsidRPr="006A5472" w:rsidRDefault="004147E0" w:rsidP="007A1BD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A5472">
              <w:rPr>
                <w:rFonts w:ascii="Arial" w:hAnsi="Arial" w:cs="Arial"/>
                <w:color w:val="000000"/>
                <w:sz w:val="20"/>
                <w:szCs w:val="20"/>
              </w:rPr>
              <w:t>47</w:t>
            </w:r>
          </w:p>
        </w:tc>
        <w:tc>
          <w:tcPr>
            <w:tcW w:w="2230" w:type="dxa"/>
            <w:vAlign w:val="center"/>
          </w:tcPr>
          <w:p w14:paraId="518B90A0" w14:textId="77777777" w:rsidR="004147E0" w:rsidRPr="006A5472" w:rsidRDefault="004147E0" w:rsidP="007A1BD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A5472">
              <w:rPr>
                <w:rFonts w:ascii="Arial" w:hAnsi="Arial" w:cs="Arial"/>
                <w:color w:val="000000"/>
                <w:sz w:val="20"/>
                <w:szCs w:val="20"/>
              </w:rPr>
              <w:t>Points &amp; Polygons</w:t>
            </w:r>
          </w:p>
        </w:tc>
      </w:tr>
      <w:tr w:rsidR="004147E0" w:rsidRPr="002229C2" w14:paraId="1E673F5A" w14:textId="77777777" w:rsidTr="007A1BDF">
        <w:trPr>
          <w:trHeight w:val="376"/>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7112F204" w14:textId="06C53569" w:rsidR="004147E0" w:rsidRPr="006A5472" w:rsidRDefault="00F94046" w:rsidP="007A1BDF">
            <w:pPr>
              <w:rPr>
                <w:rFonts w:ascii="Arial" w:hAnsi="Arial" w:cs="Arial"/>
                <w:b w:val="0"/>
                <w:bCs w:val="0"/>
                <w:sz w:val="20"/>
                <w:szCs w:val="20"/>
              </w:rPr>
            </w:pPr>
            <w:r w:rsidRPr="006A5472">
              <w:rPr>
                <w:rFonts w:ascii="Arial" w:hAnsi="Arial" w:cs="Arial"/>
                <w:b w:val="0"/>
                <w:bCs w:val="0"/>
                <w:color w:val="000000"/>
                <w:sz w:val="20"/>
                <w:szCs w:val="20"/>
              </w:rPr>
              <w:t>Built-up Land</w:t>
            </w:r>
          </w:p>
        </w:tc>
        <w:tc>
          <w:tcPr>
            <w:tcW w:w="1701" w:type="dxa"/>
            <w:vAlign w:val="center"/>
          </w:tcPr>
          <w:p w14:paraId="7EDB8680" w14:textId="77777777" w:rsidR="004147E0" w:rsidRPr="006A5472" w:rsidRDefault="004147E0" w:rsidP="007A1BD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A5472">
              <w:rPr>
                <w:rFonts w:ascii="Arial" w:hAnsi="Arial" w:cs="Arial"/>
                <w:color w:val="000000"/>
                <w:sz w:val="20"/>
                <w:szCs w:val="20"/>
              </w:rPr>
              <w:t>3</w:t>
            </w:r>
          </w:p>
        </w:tc>
        <w:tc>
          <w:tcPr>
            <w:tcW w:w="2164" w:type="dxa"/>
            <w:vAlign w:val="center"/>
          </w:tcPr>
          <w:p w14:paraId="46C3D0DD" w14:textId="77777777" w:rsidR="004147E0" w:rsidRPr="006A5472" w:rsidRDefault="004147E0" w:rsidP="007A1BD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A5472">
              <w:rPr>
                <w:rFonts w:ascii="Arial" w:hAnsi="Arial" w:cs="Arial"/>
                <w:color w:val="000000"/>
                <w:sz w:val="20"/>
                <w:szCs w:val="20"/>
              </w:rPr>
              <w:t>26</w:t>
            </w:r>
          </w:p>
        </w:tc>
        <w:tc>
          <w:tcPr>
            <w:tcW w:w="2230" w:type="dxa"/>
            <w:vAlign w:val="center"/>
          </w:tcPr>
          <w:p w14:paraId="61308B92" w14:textId="77777777" w:rsidR="004147E0" w:rsidRPr="006A5472" w:rsidRDefault="004147E0" w:rsidP="007A1BD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A5472">
              <w:rPr>
                <w:rFonts w:ascii="Arial" w:hAnsi="Arial" w:cs="Arial"/>
                <w:color w:val="000000"/>
                <w:sz w:val="20"/>
                <w:szCs w:val="20"/>
              </w:rPr>
              <w:t>Points &amp; Polygons</w:t>
            </w:r>
          </w:p>
        </w:tc>
      </w:tr>
      <w:tr w:rsidR="004147E0" w:rsidRPr="002229C2" w14:paraId="6E87BA58" w14:textId="77777777" w:rsidTr="007A1BD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79F614F7" w14:textId="03E74B4A" w:rsidR="004147E0" w:rsidRPr="006A5472" w:rsidRDefault="00CD4D08" w:rsidP="007A1BDF">
            <w:pPr>
              <w:rPr>
                <w:rFonts w:ascii="Arial" w:hAnsi="Arial" w:cs="Arial"/>
                <w:b w:val="0"/>
                <w:bCs w:val="0"/>
                <w:sz w:val="20"/>
                <w:szCs w:val="20"/>
              </w:rPr>
            </w:pPr>
            <w:r>
              <w:rPr>
                <w:rFonts w:ascii="Arial" w:hAnsi="Arial" w:cs="Arial"/>
                <w:b w:val="0"/>
                <w:bCs w:val="0"/>
                <w:color w:val="000000"/>
                <w:sz w:val="20"/>
                <w:szCs w:val="20"/>
              </w:rPr>
              <w:t>Waste Land</w:t>
            </w:r>
          </w:p>
        </w:tc>
        <w:tc>
          <w:tcPr>
            <w:tcW w:w="1701" w:type="dxa"/>
            <w:vAlign w:val="center"/>
          </w:tcPr>
          <w:p w14:paraId="708F4D8D" w14:textId="77777777" w:rsidR="004147E0" w:rsidRPr="006A5472" w:rsidRDefault="004147E0" w:rsidP="007A1BD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A5472">
              <w:rPr>
                <w:rFonts w:ascii="Arial" w:hAnsi="Arial" w:cs="Arial"/>
                <w:color w:val="000000"/>
                <w:sz w:val="20"/>
                <w:szCs w:val="20"/>
              </w:rPr>
              <w:t>4</w:t>
            </w:r>
          </w:p>
        </w:tc>
        <w:tc>
          <w:tcPr>
            <w:tcW w:w="2164" w:type="dxa"/>
            <w:vAlign w:val="center"/>
          </w:tcPr>
          <w:p w14:paraId="449F03CC" w14:textId="77777777" w:rsidR="004147E0" w:rsidRPr="006A5472" w:rsidRDefault="004147E0" w:rsidP="007A1BD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A5472">
              <w:rPr>
                <w:rFonts w:ascii="Arial" w:hAnsi="Arial" w:cs="Arial"/>
                <w:color w:val="000000"/>
                <w:sz w:val="20"/>
                <w:szCs w:val="20"/>
              </w:rPr>
              <w:t>53</w:t>
            </w:r>
          </w:p>
        </w:tc>
        <w:tc>
          <w:tcPr>
            <w:tcW w:w="2230" w:type="dxa"/>
            <w:vAlign w:val="center"/>
          </w:tcPr>
          <w:p w14:paraId="23618067" w14:textId="77777777" w:rsidR="004147E0" w:rsidRPr="006A5472" w:rsidRDefault="004147E0" w:rsidP="007A1BD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A5472">
              <w:rPr>
                <w:rFonts w:ascii="Arial" w:hAnsi="Arial" w:cs="Arial"/>
                <w:color w:val="000000"/>
                <w:sz w:val="20"/>
                <w:szCs w:val="20"/>
              </w:rPr>
              <w:t>Points &amp; Polygons</w:t>
            </w:r>
          </w:p>
        </w:tc>
      </w:tr>
      <w:tr w:rsidR="004147E0" w:rsidRPr="002229C2" w14:paraId="31880D01" w14:textId="77777777" w:rsidTr="007A1BDF">
        <w:trPr>
          <w:trHeight w:val="376"/>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6804B462" w14:textId="77777777" w:rsidR="004147E0" w:rsidRPr="002229C2" w:rsidRDefault="004147E0" w:rsidP="007A1BDF">
            <w:pPr>
              <w:rPr>
                <w:rFonts w:ascii="Arial" w:hAnsi="Arial" w:cs="Arial"/>
                <w:sz w:val="20"/>
                <w:szCs w:val="20"/>
              </w:rPr>
            </w:pPr>
            <w:r w:rsidRPr="002229C2">
              <w:rPr>
                <w:rFonts w:ascii="Arial" w:hAnsi="Arial" w:cs="Arial"/>
                <w:b w:val="0"/>
                <w:bCs w:val="0"/>
                <w:color w:val="000000"/>
                <w:sz w:val="20"/>
                <w:szCs w:val="20"/>
              </w:rPr>
              <w:t>Total</w:t>
            </w:r>
          </w:p>
        </w:tc>
        <w:tc>
          <w:tcPr>
            <w:tcW w:w="1701" w:type="dxa"/>
            <w:vAlign w:val="center"/>
          </w:tcPr>
          <w:p w14:paraId="1788FB88" w14:textId="77777777" w:rsidR="004147E0" w:rsidRPr="002229C2" w:rsidRDefault="004147E0" w:rsidP="007A1BD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29C2">
              <w:rPr>
                <w:rFonts w:ascii="Arial" w:hAnsi="Arial" w:cs="Arial"/>
                <w:b/>
                <w:bCs/>
                <w:color w:val="000000"/>
                <w:sz w:val="20"/>
                <w:szCs w:val="20"/>
              </w:rPr>
              <w:t>—</w:t>
            </w:r>
          </w:p>
        </w:tc>
        <w:tc>
          <w:tcPr>
            <w:tcW w:w="2164" w:type="dxa"/>
            <w:vAlign w:val="center"/>
          </w:tcPr>
          <w:p w14:paraId="7D264168" w14:textId="77777777" w:rsidR="004147E0" w:rsidRPr="002229C2" w:rsidRDefault="004147E0" w:rsidP="007A1BD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29C2">
              <w:rPr>
                <w:rFonts w:ascii="Arial" w:hAnsi="Arial" w:cs="Arial"/>
                <w:b/>
                <w:bCs/>
                <w:color w:val="000000"/>
                <w:sz w:val="20"/>
                <w:szCs w:val="20"/>
              </w:rPr>
              <w:t>272</w:t>
            </w:r>
          </w:p>
        </w:tc>
        <w:tc>
          <w:tcPr>
            <w:tcW w:w="2230" w:type="dxa"/>
            <w:vAlign w:val="center"/>
          </w:tcPr>
          <w:p w14:paraId="3FA82B0B" w14:textId="77777777" w:rsidR="004147E0" w:rsidRPr="002229C2" w:rsidRDefault="004147E0" w:rsidP="007A1BD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29C2">
              <w:rPr>
                <w:rFonts w:ascii="Arial" w:hAnsi="Arial" w:cs="Arial"/>
                <w:b/>
                <w:bCs/>
                <w:color w:val="000000"/>
                <w:sz w:val="20"/>
                <w:szCs w:val="20"/>
              </w:rPr>
              <w:t>Mixed</w:t>
            </w:r>
          </w:p>
        </w:tc>
      </w:tr>
    </w:tbl>
    <w:p w14:paraId="4B67A831" w14:textId="77777777" w:rsidR="004147E0" w:rsidRPr="002229C2" w:rsidRDefault="004147E0" w:rsidP="002C14F2">
      <w:pPr>
        <w:pStyle w:val="ListParagraph"/>
        <w:spacing w:before="60" w:after="60"/>
        <w:ind w:left="720"/>
        <w:rPr>
          <w:rFonts w:ascii="Arial" w:hAnsi="Arial" w:cs="Arial"/>
          <w:sz w:val="20"/>
          <w:szCs w:val="20"/>
        </w:rPr>
      </w:pPr>
    </w:p>
    <w:p w14:paraId="62AC4EEB" w14:textId="77777777" w:rsidR="004147E0" w:rsidRPr="002C14F2" w:rsidRDefault="004147E0" w:rsidP="002C14F2">
      <w:pPr>
        <w:spacing w:before="120" w:after="120"/>
        <w:jc w:val="both"/>
        <w:rPr>
          <w:rFonts w:ascii="Arial" w:hAnsi="Arial" w:cs="Arial"/>
          <w:sz w:val="20"/>
          <w:szCs w:val="20"/>
        </w:rPr>
      </w:pPr>
      <w:r w:rsidRPr="002C14F2">
        <w:rPr>
          <w:rFonts w:ascii="Arial" w:hAnsi="Arial" w:cs="Arial"/>
          <w:color w:val="000000"/>
          <w:sz w:val="20"/>
          <w:szCs w:val="20"/>
        </w:rPr>
        <w:t xml:space="preserve">Samples were collected through manual </w:t>
      </w:r>
      <w:proofErr w:type="spellStart"/>
      <w:r w:rsidRPr="002C14F2">
        <w:rPr>
          <w:rFonts w:ascii="Arial" w:hAnsi="Arial" w:cs="Arial"/>
          <w:color w:val="000000"/>
          <w:sz w:val="20"/>
          <w:szCs w:val="20"/>
        </w:rPr>
        <w:t>digitisation</w:t>
      </w:r>
      <w:proofErr w:type="spellEnd"/>
      <w:r w:rsidRPr="002C14F2">
        <w:rPr>
          <w:rFonts w:ascii="Arial" w:hAnsi="Arial" w:cs="Arial"/>
          <w:color w:val="000000"/>
          <w:sz w:val="20"/>
          <w:szCs w:val="20"/>
        </w:rPr>
        <w:t xml:space="preserve"> in GEE, supported by visual interpretation of Sentinel-2 false-</w:t>
      </w:r>
      <w:proofErr w:type="spellStart"/>
      <w:r w:rsidRPr="002C14F2">
        <w:rPr>
          <w:rFonts w:ascii="Arial" w:hAnsi="Arial" w:cs="Arial"/>
          <w:color w:val="000000"/>
          <w:sz w:val="20"/>
          <w:szCs w:val="20"/>
        </w:rPr>
        <w:t>colour</w:t>
      </w:r>
      <w:proofErr w:type="spellEnd"/>
      <w:r w:rsidRPr="002C14F2">
        <w:rPr>
          <w:rFonts w:ascii="Arial" w:hAnsi="Arial" w:cs="Arial"/>
          <w:color w:val="000000"/>
          <w:sz w:val="20"/>
          <w:szCs w:val="20"/>
        </w:rPr>
        <w:t xml:space="preserve"> composites and high-resolution Google Earth imagery. An 80:20 stratified random split (seed = 42) was applied to create training and testing sets, ensuring reproducibility.</w:t>
      </w:r>
    </w:p>
    <w:p w14:paraId="075C7586" w14:textId="77777777" w:rsidR="004147E0" w:rsidRPr="002C14F2" w:rsidRDefault="004147E0" w:rsidP="002C14F2">
      <w:pPr>
        <w:pStyle w:val="heading20"/>
        <w:rPr>
          <w:rFonts w:ascii="Arial" w:hAnsi="Arial" w:cs="Arial"/>
          <w:color w:val="000000" w:themeColor="text1"/>
          <w:sz w:val="22"/>
          <w:szCs w:val="22"/>
        </w:rPr>
      </w:pPr>
      <w:r w:rsidRPr="002C14F2">
        <w:rPr>
          <w:rFonts w:ascii="Arial" w:hAnsi="Arial" w:cs="Arial"/>
          <w:color w:val="000000" w:themeColor="text1"/>
          <w:sz w:val="22"/>
          <w:szCs w:val="22"/>
        </w:rPr>
        <w:t>4.7 Classification and Post-Processing</w:t>
      </w:r>
    </w:p>
    <w:p w14:paraId="01155B98" w14:textId="375E6C8D" w:rsidR="004147E0" w:rsidRPr="002C14F2" w:rsidRDefault="004147E0" w:rsidP="002C14F2">
      <w:pPr>
        <w:spacing w:before="120" w:after="120"/>
        <w:jc w:val="both"/>
        <w:rPr>
          <w:rFonts w:ascii="Arial" w:hAnsi="Arial" w:cs="Arial"/>
          <w:sz w:val="20"/>
          <w:szCs w:val="20"/>
        </w:rPr>
      </w:pPr>
      <w:r w:rsidRPr="002C14F2">
        <w:rPr>
          <w:rFonts w:ascii="Arial" w:hAnsi="Arial" w:cs="Arial"/>
          <w:color w:val="000000"/>
          <w:sz w:val="20"/>
          <w:szCs w:val="20"/>
        </w:rPr>
        <w:t>The Random Forest classifier (</w:t>
      </w:r>
      <w:proofErr w:type="spellStart"/>
      <w:r w:rsidRPr="002C14F2">
        <w:rPr>
          <w:rFonts w:ascii="Arial" w:hAnsi="Arial" w:cs="Arial"/>
          <w:color w:val="000000"/>
          <w:sz w:val="20"/>
          <w:szCs w:val="20"/>
        </w:rPr>
        <w:t>smileRandomForest</w:t>
      </w:r>
      <w:proofErr w:type="spellEnd"/>
      <w:r w:rsidRPr="002C14F2">
        <w:rPr>
          <w:rFonts w:ascii="Arial" w:hAnsi="Arial" w:cs="Arial"/>
          <w:color w:val="000000"/>
          <w:sz w:val="20"/>
          <w:szCs w:val="20"/>
        </w:rPr>
        <w:t xml:space="preserve"> in GEE) was configured with 200 decision trees, bag</w:t>
      </w:r>
      <w:r w:rsidR="006A5472">
        <w:rPr>
          <w:rFonts w:ascii="Arial" w:hAnsi="Arial" w:cs="Arial"/>
          <w:color w:val="000000"/>
          <w:sz w:val="20"/>
          <w:szCs w:val="20"/>
        </w:rPr>
        <w:t xml:space="preserve"> </w:t>
      </w:r>
      <w:r w:rsidRPr="002C14F2">
        <w:rPr>
          <w:rFonts w:ascii="Arial" w:hAnsi="Arial" w:cs="Arial"/>
          <w:color w:val="000000"/>
          <w:sz w:val="20"/>
          <w:szCs w:val="20"/>
        </w:rPr>
        <w:t>Fraction = 0.70, min</w:t>
      </w:r>
      <w:r w:rsidR="006A5472">
        <w:rPr>
          <w:rFonts w:ascii="Arial" w:hAnsi="Arial" w:cs="Arial"/>
          <w:color w:val="000000"/>
          <w:sz w:val="20"/>
          <w:szCs w:val="20"/>
        </w:rPr>
        <w:t xml:space="preserve"> </w:t>
      </w:r>
      <w:r w:rsidRPr="002C14F2">
        <w:rPr>
          <w:rFonts w:ascii="Arial" w:hAnsi="Arial" w:cs="Arial"/>
          <w:color w:val="000000"/>
          <w:sz w:val="20"/>
          <w:szCs w:val="20"/>
        </w:rPr>
        <w:t>Leaf</w:t>
      </w:r>
      <w:r w:rsidR="006A5472">
        <w:rPr>
          <w:rFonts w:ascii="Arial" w:hAnsi="Arial" w:cs="Arial"/>
          <w:color w:val="000000"/>
          <w:sz w:val="20"/>
          <w:szCs w:val="20"/>
        </w:rPr>
        <w:t xml:space="preserve"> </w:t>
      </w:r>
      <w:r w:rsidRPr="002C14F2">
        <w:rPr>
          <w:rFonts w:ascii="Arial" w:hAnsi="Arial" w:cs="Arial"/>
          <w:color w:val="000000"/>
          <w:sz w:val="20"/>
          <w:szCs w:val="20"/>
        </w:rPr>
        <w:t>Population = 2, and variables</w:t>
      </w:r>
      <w:r w:rsidR="006A5472">
        <w:rPr>
          <w:rFonts w:ascii="Arial" w:hAnsi="Arial" w:cs="Arial"/>
          <w:color w:val="000000"/>
          <w:sz w:val="20"/>
          <w:szCs w:val="20"/>
        </w:rPr>
        <w:t xml:space="preserve"> </w:t>
      </w:r>
      <w:r w:rsidRPr="002C14F2">
        <w:rPr>
          <w:rFonts w:ascii="Arial" w:hAnsi="Arial" w:cs="Arial"/>
          <w:color w:val="000000"/>
          <w:sz w:val="20"/>
          <w:szCs w:val="20"/>
        </w:rPr>
        <w:t>Per</w:t>
      </w:r>
      <w:r w:rsidR="006A5472">
        <w:rPr>
          <w:rFonts w:ascii="Arial" w:hAnsi="Arial" w:cs="Arial"/>
          <w:color w:val="000000"/>
          <w:sz w:val="20"/>
          <w:szCs w:val="20"/>
        </w:rPr>
        <w:t xml:space="preserve"> </w:t>
      </w:r>
      <w:r w:rsidRPr="002C14F2">
        <w:rPr>
          <w:rFonts w:ascii="Arial" w:hAnsi="Arial" w:cs="Arial"/>
          <w:color w:val="000000"/>
          <w:sz w:val="20"/>
          <w:szCs w:val="20"/>
        </w:rPr>
        <w:t>Split set to auto (√n features). Following classification, a circular focal-mode filter (radius = 1 pixel) was applied to reduce salt-and-pepper noise while preserving class boundaries. Area statistics were computed using GEE's pixel</w:t>
      </w:r>
      <w:r w:rsidR="006A5472">
        <w:rPr>
          <w:rFonts w:ascii="Arial" w:hAnsi="Arial" w:cs="Arial"/>
          <w:color w:val="000000"/>
          <w:sz w:val="20"/>
          <w:szCs w:val="20"/>
        </w:rPr>
        <w:t xml:space="preserve"> </w:t>
      </w:r>
      <w:proofErr w:type="gramStart"/>
      <w:r w:rsidRPr="002C14F2">
        <w:rPr>
          <w:rFonts w:ascii="Arial" w:hAnsi="Arial" w:cs="Arial"/>
          <w:color w:val="000000"/>
          <w:sz w:val="20"/>
          <w:szCs w:val="20"/>
        </w:rPr>
        <w:t>Area(</w:t>
      </w:r>
      <w:proofErr w:type="gramEnd"/>
      <w:r w:rsidRPr="002C14F2">
        <w:rPr>
          <w:rFonts w:ascii="Arial" w:hAnsi="Arial" w:cs="Arial"/>
          <w:color w:val="000000"/>
          <w:sz w:val="20"/>
          <w:szCs w:val="20"/>
        </w:rPr>
        <w:t>) function at 10 m resolution with tile</w:t>
      </w:r>
      <w:r w:rsidR="006A5472">
        <w:rPr>
          <w:rFonts w:ascii="Arial" w:hAnsi="Arial" w:cs="Arial"/>
          <w:color w:val="000000"/>
          <w:sz w:val="20"/>
          <w:szCs w:val="20"/>
        </w:rPr>
        <w:t xml:space="preserve"> </w:t>
      </w:r>
      <w:r w:rsidRPr="002C14F2">
        <w:rPr>
          <w:rFonts w:ascii="Arial" w:hAnsi="Arial" w:cs="Arial"/>
          <w:color w:val="000000"/>
          <w:sz w:val="20"/>
          <w:szCs w:val="20"/>
        </w:rPr>
        <w:t>Scale = 8 to handle the 6,314 sq km spatial extent.</w:t>
      </w:r>
    </w:p>
    <w:p w14:paraId="2B677564" w14:textId="77777777" w:rsidR="004147E0" w:rsidRPr="002C14F2" w:rsidRDefault="004147E0" w:rsidP="002C14F2">
      <w:pPr>
        <w:spacing w:before="120" w:after="120"/>
        <w:jc w:val="both"/>
        <w:rPr>
          <w:rFonts w:ascii="Arial" w:hAnsi="Arial" w:cs="Arial"/>
          <w:color w:val="000000" w:themeColor="text1"/>
          <w:sz w:val="22"/>
          <w:szCs w:val="22"/>
        </w:rPr>
      </w:pPr>
      <w:r w:rsidRPr="002C14F2">
        <w:rPr>
          <w:rFonts w:ascii="Arial" w:hAnsi="Arial" w:cs="Arial"/>
          <w:b/>
          <w:bCs/>
          <w:color w:val="000000" w:themeColor="text1"/>
          <w:sz w:val="22"/>
          <w:szCs w:val="22"/>
        </w:rPr>
        <w:t>4.8 Accuracy Assessment and Change Detection</w:t>
      </w:r>
    </w:p>
    <w:p w14:paraId="3B0F4663" w14:textId="77777777" w:rsidR="000E544F" w:rsidRDefault="004147E0" w:rsidP="002C14F2">
      <w:pPr>
        <w:spacing w:before="120" w:after="120"/>
        <w:jc w:val="both"/>
        <w:rPr>
          <w:rFonts w:ascii="Arial" w:hAnsi="Arial" w:cs="Arial"/>
          <w:color w:val="000000"/>
          <w:sz w:val="20"/>
          <w:szCs w:val="20"/>
        </w:rPr>
      </w:pPr>
      <w:r w:rsidRPr="002C14F2">
        <w:rPr>
          <w:rFonts w:ascii="Arial" w:hAnsi="Arial" w:cs="Arial"/>
          <w:color w:val="000000"/>
          <w:sz w:val="20"/>
          <w:szCs w:val="20"/>
        </w:rPr>
        <w:t xml:space="preserve">Accuracy was assessed on the held-out test set using the error matrix (confusion matrix), Overall Accuracy (OA), Kappa coefficient (κ), Producer's Accuracy (PA), and User's Accuracy (UA) following </w:t>
      </w:r>
      <w:proofErr w:type="spellStart"/>
      <w:r w:rsidRPr="002C14F2">
        <w:rPr>
          <w:rFonts w:ascii="Arial" w:hAnsi="Arial" w:cs="Arial"/>
          <w:color w:val="000000"/>
          <w:sz w:val="20"/>
          <w:szCs w:val="20"/>
        </w:rPr>
        <w:t>Congalton</w:t>
      </w:r>
      <w:proofErr w:type="spellEnd"/>
      <w:r w:rsidRPr="002C14F2">
        <w:rPr>
          <w:rFonts w:ascii="Arial" w:hAnsi="Arial" w:cs="Arial"/>
          <w:color w:val="000000"/>
          <w:sz w:val="20"/>
          <w:szCs w:val="20"/>
        </w:rPr>
        <w:t xml:space="preserve"> and Green (2009). Post-classification change was detected by pixel-wise overlay of the 2020 and 2025 maps, with area statistics computed per transition pair to produce the change matrix.</w:t>
      </w:r>
    </w:p>
    <w:p w14:paraId="61B31551" w14:textId="77777777" w:rsidR="007A1BDF" w:rsidRDefault="007A1BDF" w:rsidP="007A1BDF">
      <w:pPr>
        <w:spacing w:before="120" w:after="120"/>
        <w:jc w:val="center"/>
        <w:rPr>
          <w:rFonts w:ascii="Arial" w:hAnsi="Arial" w:cs="Arial"/>
          <w:sz w:val="20"/>
          <w:szCs w:val="18"/>
          <w:lang w:bidi="hi-IN"/>
        </w:rPr>
      </w:pPr>
      <w:r>
        <w:rPr>
          <w:rFonts w:ascii="Arial" w:hAnsi="Arial" w:cs="Arial"/>
          <w:noProof/>
          <w:sz w:val="20"/>
          <w:szCs w:val="20"/>
          <w:lang w:val="en-IN" w:eastAsia="en-IN" w:bidi="hi-IN"/>
        </w:rPr>
        <w:lastRenderedPageBreak/>
        <w:drawing>
          <wp:inline distT="0" distB="0" distL="0" distR="0" wp14:anchorId="46167622" wp14:editId="05456E11">
            <wp:extent cx="4891349" cy="6625057"/>
            <wp:effectExtent l="19050" t="19050" r="24130"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E_Workflow_Flowchart_v2_page-0001.jpg"/>
                    <pic:cNvPicPr/>
                  </pic:nvPicPr>
                  <pic:blipFill rotWithShape="1">
                    <a:blip r:embed="rId9" cstate="print">
                      <a:extLst>
                        <a:ext uri="{28A0092B-C50C-407E-A947-70E740481C1C}">
                          <a14:useLocalDpi xmlns:a14="http://schemas.microsoft.com/office/drawing/2010/main" val="0"/>
                        </a:ext>
                      </a:extLst>
                    </a:blip>
                    <a:srcRect t="4169"/>
                    <a:stretch>
                      <a:fillRect/>
                    </a:stretch>
                  </pic:blipFill>
                  <pic:spPr bwMode="auto">
                    <a:xfrm>
                      <a:off x="0" y="0"/>
                      <a:ext cx="4894299" cy="6629052"/>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C6C5150" w14:textId="2E45BA70" w:rsidR="00C73DB9" w:rsidRPr="00C73DB9" w:rsidRDefault="00FB5548" w:rsidP="007A1BDF">
      <w:pPr>
        <w:spacing w:before="120" w:after="120"/>
        <w:jc w:val="center"/>
        <w:rPr>
          <w:rFonts w:ascii="Arial" w:hAnsi="Arial" w:cs="Arial"/>
          <w:sz w:val="20"/>
          <w:szCs w:val="18"/>
          <w:lang w:bidi="hi-IN"/>
        </w:rPr>
      </w:pPr>
      <w:r>
        <w:rPr>
          <w:rFonts w:ascii="Arial" w:hAnsi="Arial" w:cs="Arial"/>
          <w:sz w:val="20"/>
          <w:szCs w:val="18"/>
          <w:lang w:bidi="hi-IN"/>
        </w:rPr>
        <w:t>Fig. 2</w:t>
      </w:r>
      <w:r w:rsidR="00C73DB9" w:rsidRPr="00C73DB9">
        <w:rPr>
          <w:rFonts w:ascii="Arial" w:hAnsi="Arial" w:cs="Arial"/>
          <w:sz w:val="20"/>
          <w:szCs w:val="18"/>
          <w:lang w:bidi="hi-IN"/>
        </w:rPr>
        <w:t>. Methodological workflow for temporal LULC classification of Rewa District using Sentinel-2 imagery and Random Forest in Google Earth Engine (2020–2025).</w:t>
      </w:r>
    </w:p>
    <w:p w14:paraId="1278482D" w14:textId="77777777" w:rsidR="00565746" w:rsidRDefault="000E544F" w:rsidP="00565746">
      <w:pPr>
        <w:spacing w:before="240" w:after="240"/>
        <w:rPr>
          <w:rFonts w:ascii="Arial" w:hAnsi="Arial" w:cs="Arial"/>
          <w:b/>
          <w:bCs/>
          <w:sz w:val="22"/>
          <w:szCs w:val="20"/>
          <w:lang w:bidi="hi-IN"/>
        </w:rPr>
      </w:pPr>
      <w:r>
        <w:rPr>
          <w:rFonts w:ascii="Arial" w:hAnsi="Arial" w:cs="Arial"/>
          <w:b/>
          <w:bCs/>
          <w:sz w:val="22"/>
          <w:szCs w:val="20"/>
          <w:lang w:bidi="hi-IN"/>
        </w:rPr>
        <w:t xml:space="preserve">5. </w:t>
      </w:r>
      <w:r w:rsidR="00562D0C">
        <w:rPr>
          <w:rFonts w:ascii="Arial" w:hAnsi="Arial" w:cs="Arial"/>
          <w:b/>
          <w:bCs/>
          <w:sz w:val="22"/>
          <w:szCs w:val="20"/>
          <w:lang w:bidi="hi-IN"/>
        </w:rPr>
        <w:t xml:space="preserve">RESULT AND </w:t>
      </w:r>
      <w:r w:rsidR="002C14F2">
        <w:rPr>
          <w:rFonts w:ascii="Arial" w:hAnsi="Arial" w:cs="Arial"/>
          <w:b/>
          <w:bCs/>
          <w:sz w:val="22"/>
          <w:szCs w:val="20"/>
          <w:lang w:bidi="hi-IN"/>
        </w:rPr>
        <w:t>DISCUSSION</w:t>
      </w:r>
    </w:p>
    <w:p w14:paraId="2B759F38" w14:textId="77777777" w:rsidR="000B0CBC" w:rsidRDefault="000B0CBC" w:rsidP="00F1235B">
      <w:pPr>
        <w:pStyle w:val="heading20"/>
        <w:rPr>
          <w:rFonts w:ascii="Arial" w:hAnsi="Arial" w:cs="Arial"/>
          <w:color w:val="auto"/>
          <w:sz w:val="22"/>
          <w:szCs w:val="22"/>
        </w:rPr>
      </w:pPr>
      <w:r w:rsidRPr="000B0CBC">
        <w:rPr>
          <w:rFonts w:ascii="Arial" w:hAnsi="Arial" w:cs="Arial"/>
          <w:color w:val="auto"/>
          <w:sz w:val="22"/>
          <w:szCs w:val="22"/>
        </w:rPr>
        <w:t>5.1 LULC Classification</w:t>
      </w:r>
    </w:p>
    <w:p w14:paraId="5A69FC03" w14:textId="3A5AF2FC" w:rsidR="00691644" w:rsidRDefault="00691644" w:rsidP="00691644">
      <w:pPr>
        <w:spacing w:before="120" w:after="120"/>
        <w:jc w:val="both"/>
        <w:rPr>
          <w:rFonts w:ascii="Arial" w:hAnsi="Arial" w:cs="Arial"/>
          <w:color w:val="000000"/>
          <w:sz w:val="20"/>
          <w:szCs w:val="20"/>
        </w:rPr>
      </w:pPr>
      <w:r w:rsidRPr="00CE36FE">
        <w:rPr>
          <w:rFonts w:ascii="Arial" w:hAnsi="Arial" w:cs="Arial"/>
          <w:color w:val="000000"/>
          <w:sz w:val="20"/>
          <w:szCs w:val="20"/>
        </w:rPr>
        <w:t xml:space="preserve">The 2020 classified map (Fig. 4.) shows agriculture as the dominant land cover, concentrated in the northern and central plains. Forest cover is distributed predominantly in the southern and southwestern portions, corresponding to the Kaimur Range escarpment. </w:t>
      </w:r>
      <w:r w:rsidR="00F94046">
        <w:rPr>
          <w:rFonts w:ascii="Arial" w:hAnsi="Arial" w:cs="Arial"/>
          <w:color w:val="000000"/>
          <w:sz w:val="20"/>
          <w:szCs w:val="20"/>
        </w:rPr>
        <w:t xml:space="preserve">Waste </w:t>
      </w:r>
      <w:r w:rsidRPr="00CE36FE">
        <w:rPr>
          <w:rFonts w:ascii="Arial" w:hAnsi="Arial" w:cs="Arial"/>
          <w:color w:val="000000"/>
          <w:sz w:val="20"/>
          <w:szCs w:val="20"/>
        </w:rPr>
        <w:t xml:space="preserve">and degraded land is extensive in the southeastern Vindhyan tableland and in the ravined terrain along the Tons river valley. </w:t>
      </w:r>
      <w:r w:rsidR="00F94046">
        <w:rPr>
          <w:rFonts w:ascii="Arial" w:hAnsi="Arial" w:cs="Arial"/>
          <w:color w:val="000000"/>
          <w:sz w:val="20"/>
          <w:szCs w:val="20"/>
        </w:rPr>
        <w:t>Built-up Land</w:t>
      </w:r>
      <w:r w:rsidRPr="00CE36FE">
        <w:rPr>
          <w:rFonts w:ascii="Arial" w:hAnsi="Arial" w:cs="Arial"/>
          <w:color w:val="000000"/>
          <w:sz w:val="20"/>
          <w:szCs w:val="20"/>
        </w:rPr>
        <w:t xml:space="preserve"> areas are concentrated around Rewa city in the west-</w:t>
      </w:r>
      <w:r w:rsidR="00CD4D08">
        <w:rPr>
          <w:rFonts w:ascii="Arial" w:hAnsi="Arial" w:cs="Arial"/>
          <w:color w:val="000000"/>
          <w:sz w:val="20"/>
          <w:szCs w:val="20"/>
        </w:rPr>
        <w:t>central portion of the district</w:t>
      </w:r>
      <w:r w:rsidRPr="00CE36FE">
        <w:rPr>
          <w:rFonts w:ascii="Arial" w:hAnsi="Arial" w:cs="Arial"/>
          <w:color w:val="000000"/>
          <w:sz w:val="20"/>
          <w:szCs w:val="20"/>
        </w:rPr>
        <w:t xml:space="preserve"> with smaller settlement nuclei along the NH-30 and NH-27 corridors.</w:t>
      </w:r>
    </w:p>
    <w:p w14:paraId="2EF5E2AC" w14:textId="77777777" w:rsidR="00691644" w:rsidRPr="00CE36FE" w:rsidRDefault="00691644" w:rsidP="00691644">
      <w:pPr>
        <w:spacing w:before="120" w:after="120"/>
        <w:jc w:val="both"/>
        <w:rPr>
          <w:rFonts w:ascii="Arial" w:hAnsi="Arial" w:cs="Arial"/>
          <w:sz w:val="20"/>
          <w:szCs w:val="20"/>
        </w:rPr>
      </w:pPr>
    </w:p>
    <w:p w14:paraId="2A05A352" w14:textId="77777777" w:rsidR="000B0CBC" w:rsidRDefault="000B0CBC" w:rsidP="008D0949">
      <w:pPr>
        <w:spacing w:before="60" w:after="60"/>
        <w:jc w:val="center"/>
      </w:pPr>
      <w:r>
        <w:rPr>
          <w:noProof/>
          <w:lang w:val="en-IN" w:eastAsia="en-IN" w:bidi="hi-IN"/>
        </w:rPr>
        <w:drawing>
          <wp:inline distT="0" distB="0" distL="0" distR="0" wp14:anchorId="218A3995" wp14:editId="6DCCD685">
            <wp:extent cx="5002358" cy="3327291"/>
            <wp:effectExtent l="12700" t="12700" r="14605" b="13335"/>
            <wp:docPr id="18326755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67551" name="drawing"/>
                    <pic:cNvPicPr/>
                  </pic:nvPicPr>
                  <pic:blipFill>
                    <a:blip r:embed="rId10" cstate="print">
                      <a:extLst>
                        <a:ext uri="{28A0092B-C50C-407E-A947-70E740481C1C}">
                          <a14:useLocalDpi xmlns:a14="http://schemas.microsoft.com/office/drawing/2010/main" val="0"/>
                        </a:ext>
                      </a:extLst>
                    </a:blip>
                    <a:srcRect t="2993" b="2993"/>
                    <a:stretch>
                      <a:fillRect/>
                    </a:stretch>
                  </pic:blipFill>
                  <pic:spPr bwMode="auto">
                    <a:xfrm>
                      <a:off x="0" y="0"/>
                      <a:ext cx="5002358" cy="3327291"/>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5575B87" w14:textId="77777777" w:rsidR="000B0CBC" w:rsidRPr="008D0949" w:rsidRDefault="00FB5548" w:rsidP="008D0949">
      <w:pPr>
        <w:jc w:val="center"/>
        <w:rPr>
          <w:rFonts w:ascii="Arial" w:hAnsi="Arial" w:cs="Arial"/>
        </w:rPr>
      </w:pPr>
      <w:r w:rsidRPr="008D0949">
        <w:rPr>
          <w:rFonts w:ascii="Arial" w:hAnsi="Arial" w:cs="Arial"/>
          <w:sz w:val="20"/>
          <w:szCs w:val="20"/>
        </w:rPr>
        <w:t>Fig. 3</w:t>
      </w:r>
      <w:r w:rsidR="000B0CBC" w:rsidRPr="008D0949">
        <w:rPr>
          <w:rFonts w:ascii="Arial" w:hAnsi="Arial" w:cs="Arial"/>
          <w:sz w:val="20"/>
          <w:szCs w:val="20"/>
        </w:rPr>
        <w:t>. LULC Map of Rewa District, 2020</w:t>
      </w:r>
    </w:p>
    <w:p w14:paraId="735F229B" w14:textId="68650A88" w:rsidR="00691644" w:rsidRDefault="00691644" w:rsidP="00691644">
      <w:pPr>
        <w:spacing w:before="120" w:after="120"/>
        <w:jc w:val="both"/>
        <w:rPr>
          <w:rFonts w:ascii="Arial" w:hAnsi="Arial" w:cs="Arial"/>
          <w:color w:val="000000"/>
          <w:sz w:val="20"/>
          <w:szCs w:val="20"/>
        </w:rPr>
      </w:pPr>
      <w:r w:rsidRPr="00CE36FE">
        <w:rPr>
          <w:rFonts w:ascii="Arial" w:hAnsi="Arial" w:cs="Arial"/>
          <w:color w:val="000000"/>
          <w:sz w:val="20"/>
          <w:szCs w:val="20"/>
        </w:rPr>
        <w:t>The 2025 map (Fig. 4.) shows a broadly similar spatial structure but with three notable differences: a visible contraction of barren land in the Tons valley and ravine terrain (converted to agriculture or sol</w:t>
      </w:r>
      <w:r w:rsidR="00CD4D08">
        <w:rPr>
          <w:rFonts w:ascii="Arial" w:hAnsi="Arial" w:cs="Arial"/>
          <w:color w:val="000000"/>
          <w:sz w:val="20"/>
          <w:szCs w:val="20"/>
        </w:rPr>
        <w:t>ar infrastructure)</w:t>
      </w:r>
      <w:r w:rsidRPr="00CE36FE">
        <w:rPr>
          <w:rFonts w:ascii="Arial" w:hAnsi="Arial" w:cs="Arial"/>
          <w:color w:val="000000"/>
          <w:sz w:val="20"/>
          <w:szCs w:val="20"/>
        </w:rPr>
        <w:t xml:space="preserve"> a discernible expansion of built-up patches along the national highway corridors and in th</w:t>
      </w:r>
      <w:r w:rsidR="00CD4D08">
        <w:rPr>
          <w:rFonts w:ascii="Arial" w:hAnsi="Arial" w:cs="Arial"/>
          <w:color w:val="000000"/>
          <w:sz w:val="20"/>
          <w:szCs w:val="20"/>
        </w:rPr>
        <w:t xml:space="preserve">e </w:t>
      </w:r>
      <w:proofErr w:type="spellStart"/>
      <w:r w:rsidR="00CD4D08">
        <w:rPr>
          <w:rFonts w:ascii="Arial" w:hAnsi="Arial" w:cs="Arial"/>
          <w:color w:val="000000"/>
          <w:sz w:val="20"/>
          <w:szCs w:val="20"/>
        </w:rPr>
        <w:t>Mauganj</w:t>
      </w:r>
      <w:proofErr w:type="spellEnd"/>
      <w:r w:rsidR="00CD4D08">
        <w:rPr>
          <w:rFonts w:ascii="Arial" w:hAnsi="Arial" w:cs="Arial"/>
          <w:color w:val="000000"/>
          <w:sz w:val="20"/>
          <w:szCs w:val="20"/>
        </w:rPr>
        <w:t xml:space="preserve"> area in the southeast</w:t>
      </w:r>
      <w:r w:rsidRPr="00CE36FE">
        <w:rPr>
          <w:rFonts w:ascii="Arial" w:hAnsi="Arial" w:cs="Arial"/>
          <w:color w:val="000000"/>
          <w:sz w:val="20"/>
          <w:szCs w:val="20"/>
        </w:rPr>
        <w:t xml:space="preserve"> and a marginal increase in forest greenness on the Kaimur escarpment consistent with open forest regeneration. The overall spat</w:t>
      </w:r>
      <w:r>
        <w:rPr>
          <w:rFonts w:ascii="Arial" w:hAnsi="Arial" w:cs="Arial"/>
          <w:color w:val="000000"/>
          <w:sz w:val="20"/>
          <w:szCs w:val="20"/>
        </w:rPr>
        <w:t xml:space="preserve">ial structure of the district </w:t>
      </w:r>
      <w:r w:rsidRPr="00CE36FE">
        <w:rPr>
          <w:rFonts w:ascii="Arial" w:hAnsi="Arial" w:cs="Arial"/>
          <w:color w:val="000000"/>
          <w:sz w:val="20"/>
          <w:szCs w:val="20"/>
        </w:rPr>
        <w:t>dominant yellow plains, green southern</w:t>
      </w:r>
      <w:r w:rsidR="0028335B">
        <w:rPr>
          <w:rFonts w:ascii="Arial" w:hAnsi="Arial" w:cs="Arial"/>
          <w:color w:val="000000"/>
          <w:sz w:val="20"/>
          <w:szCs w:val="20"/>
        </w:rPr>
        <w:t xml:space="preserve"> escarpment</w:t>
      </w:r>
      <w:r>
        <w:rPr>
          <w:rFonts w:ascii="Arial" w:hAnsi="Arial" w:cs="Arial"/>
          <w:color w:val="000000"/>
          <w:sz w:val="20"/>
          <w:szCs w:val="20"/>
        </w:rPr>
        <w:t xml:space="preserve"> and red city core</w:t>
      </w:r>
      <w:r w:rsidRPr="00CE36FE">
        <w:rPr>
          <w:rFonts w:ascii="Arial" w:hAnsi="Arial" w:cs="Arial"/>
          <w:color w:val="000000"/>
          <w:sz w:val="20"/>
          <w:szCs w:val="20"/>
        </w:rPr>
        <w:t xml:space="preserve"> is reproduced with high fidelity in both years, confirming the spatial coherence of the classification.</w:t>
      </w:r>
    </w:p>
    <w:p w14:paraId="23BF88F9" w14:textId="77777777" w:rsidR="008D0949" w:rsidRPr="00CE36FE" w:rsidRDefault="008D0949" w:rsidP="00691644">
      <w:pPr>
        <w:spacing w:before="120" w:after="120"/>
        <w:jc w:val="both"/>
        <w:rPr>
          <w:rFonts w:ascii="Arial" w:hAnsi="Arial" w:cs="Arial"/>
          <w:sz w:val="20"/>
          <w:szCs w:val="20"/>
        </w:rPr>
      </w:pPr>
    </w:p>
    <w:p w14:paraId="05F68B42" w14:textId="77777777" w:rsidR="000B0CBC" w:rsidRDefault="00F1235B" w:rsidP="008D0949">
      <w:pPr>
        <w:spacing w:before="60" w:after="60"/>
        <w:jc w:val="center"/>
      </w:pPr>
      <w:r>
        <w:rPr>
          <w:noProof/>
          <w:lang w:val="en-IN" w:eastAsia="en-IN" w:bidi="hi-IN"/>
        </w:rPr>
        <w:drawing>
          <wp:inline distT="0" distB="0" distL="0" distR="0" wp14:anchorId="67BF43E8" wp14:editId="67E8F762">
            <wp:extent cx="5119430" cy="3356199"/>
            <wp:effectExtent l="12700" t="12700" r="11430" b="9525"/>
            <wp:docPr id="92299896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98969" name="drawing"/>
                    <pic:cNvPicPr/>
                  </pic:nvPicPr>
                  <pic:blipFill>
                    <a:blip r:embed="rId11" cstate="print">
                      <a:extLst>
                        <a:ext uri="{28A0092B-C50C-407E-A947-70E740481C1C}">
                          <a14:useLocalDpi xmlns:a14="http://schemas.microsoft.com/office/drawing/2010/main" val="0"/>
                        </a:ext>
                      </a:extLst>
                    </a:blip>
                    <a:srcRect t="3669" b="3669"/>
                    <a:stretch>
                      <a:fillRect/>
                    </a:stretch>
                  </pic:blipFill>
                  <pic:spPr bwMode="auto">
                    <a:xfrm>
                      <a:off x="0" y="0"/>
                      <a:ext cx="5119430" cy="3356199"/>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E490B70" w14:textId="77777777" w:rsidR="00F1235B" w:rsidRPr="008D0949" w:rsidRDefault="00F1235B" w:rsidP="00F1235B">
      <w:pPr>
        <w:jc w:val="center"/>
        <w:rPr>
          <w:rFonts w:ascii="Arial" w:hAnsi="Arial" w:cs="Arial"/>
          <w:sz w:val="22"/>
          <w:szCs w:val="22"/>
        </w:rPr>
      </w:pPr>
      <w:r w:rsidRPr="008D0949">
        <w:rPr>
          <w:rFonts w:ascii="Arial" w:hAnsi="Arial" w:cs="Arial"/>
          <w:sz w:val="20"/>
          <w:szCs w:val="20"/>
        </w:rPr>
        <w:t>Fig. 4. LULC Map of Rewa District, 2025</w:t>
      </w:r>
    </w:p>
    <w:p w14:paraId="3348A4D3" w14:textId="46001A57" w:rsidR="001D1274" w:rsidRDefault="001D1274" w:rsidP="001D1274">
      <w:pPr>
        <w:spacing w:before="80" w:after="200"/>
        <w:jc w:val="center"/>
        <w:rPr>
          <w:i/>
          <w:iCs/>
          <w:color w:val="444444"/>
          <w:sz w:val="20"/>
          <w:szCs w:val="20"/>
        </w:rPr>
      </w:pPr>
    </w:p>
    <w:p w14:paraId="04E80407" w14:textId="4AE13E6F" w:rsidR="001D1274" w:rsidRPr="001D1274" w:rsidRDefault="008D0949" w:rsidP="001D1274">
      <w:pPr>
        <w:spacing w:before="80" w:after="200"/>
        <w:jc w:val="center"/>
        <w:rPr>
          <w:rFonts w:ascii="Arial" w:hAnsi="Arial" w:cs="Arial"/>
          <w:color w:val="000000" w:themeColor="text1"/>
          <w:sz w:val="20"/>
          <w:szCs w:val="20"/>
        </w:rPr>
      </w:pPr>
      <w:r>
        <w:rPr>
          <w:rFonts w:ascii="Arial" w:hAnsi="Arial" w:cs="Arial"/>
          <w:color w:val="000000" w:themeColor="text1"/>
          <w:sz w:val="20"/>
          <w:szCs w:val="20"/>
        </w:rPr>
        <w:t>Table No. 4</w:t>
      </w:r>
      <w:r w:rsidR="001D1274" w:rsidRPr="001D1274">
        <w:rPr>
          <w:rFonts w:ascii="Arial" w:hAnsi="Arial" w:cs="Arial"/>
          <w:color w:val="000000" w:themeColor="text1"/>
          <w:sz w:val="20"/>
          <w:szCs w:val="20"/>
        </w:rPr>
        <w:t>. LULC area distribution for Rewa District, 2020 and 2025</w:t>
      </w:r>
    </w:p>
    <w:tbl>
      <w:tblPr>
        <w:tblStyle w:val="LightShading-Accent1"/>
        <w:tblW w:w="8897" w:type="dxa"/>
        <w:tblLook w:val="04A0" w:firstRow="1" w:lastRow="0" w:firstColumn="1" w:lastColumn="0" w:noHBand="0" w:noVBand="1"/>
      </w:tblPr>
      <w:tblGrid>
        <w:gridCol w:w="1809"/>
        <w:gridCol w:w="1276"/>
        <w:gridCol w:w="1276"/>
        <w:gridCol w:w="1276"/>
        <w:gridCol w:w="1261"/>
        <w:gridCol w:w="950"/>
        <w:gridCol w:w="1049"/>
      </w:tblGrid>
      <w:tr w:rsidR="0028335B" w:rsidRPr="001D1274" w14:paraId="27518083" w14:textId="77777777" w:rsidTr="0028335B">
        <w:trPr>
          <w:cnfStyle w:val="100000000000" w:firstRow="1" w:lastRow="0" w:firstColumn="0" w:lastColumn="0" w:oddVBand="0" w:evenVBand="0" w:oddHBand="0"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53EF3E0F" w14:textId="77777777" w:rsidR="00691644" w:rsidRPr="0028335B" w:rsidRDefault="00691644" w:rsidP="001E28DC">
            <w:pPr>
              <w:rPr>
                <w:rFonts w:ascii="Arial" w:hAnsi="Arial" w:cs="Arial"/>
                <w:color w:val="000000" w:themeColor="text1"/>
                <w:sz w:val="16"/>
                <w:szCs w:val="16"/>
              </w:rPr>
            </w:pPr>
            <w:r w:rsidRPr="0028335B">
              <w:rPr>
                <w:rFonts w:ascii="Arial" w:hAnsi="Arial" w:cs="Arial"/>
                <w:color w:val="000000" w:themeColor="text1"/>
                <w:sz w:val="16"/>
                <w:szCs w:val="16"/>
              </w:rPr>
              <w:t>Class</w:t>
            </w:r>
          </w:p>
        </w:tc>
        <w:tc>
          <w:tcPr>
            <w:tcW w:w="1276" w:type="dxa"/>
            <w:vAlign w:val="center"/>
          </w:tcPr>
          <w:p w14:paraId="2517E634" w14:textId="77777777" w:rsidR="0028335B" w:rsidRPr="0028335B" w:rsidRDefault="00691644" w:rsidP="001E28DC">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 xml:space="preserve">2020 </w:t>
            </w:r>
          </w:p>
          <w:p w14:paraId="1C2CA429" w14:textId="7CA4C145" w:rsidR="00691644" w:rsidRPr="0028335B" w:rsidRDefault="0028335B" w:rsidP="001E28DC">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 xml:space="preserve">(Area in </w:t>
            </w:r>
            <w:r w:rsidR="00691644" w:rsidRPr="0028335B">
              <w:rPr>
                <w:rFonts w:ascii="Arial" w:hAnsi="Arial" w:cs="Arial"/>
                <w:color w:val="000000" w:themeColor="text1"/>
                <w:sz w:val="16"/>
                <w:szCs w:val="16"/>
              </w:rPr>
              <w:t>km²)</w:t>
            </w:r>
          </w:p>
        </w:tc>
        <w:tc>
          <w:tcPr>
            <w:tcW w:w="1276" w:type="dxa"/>
            <w:vAlign w:val="center"/>
          </w:tcPr>
          <w:p w14:paraId="6D87C034" w14:textId="77777777" w:rsidR="0028335B" w:rsidRPr="0028335B" w:rsidRDefault="00691644" w:rsidP="001E28DC">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 xml:space="preserve">2020 </w:t>
            </w:r>
          </w:p>
          <w:p w14:paraId="77A28325" w14:textId="0BE5804F" w:rsidR="00691644" w:rsidRPr="0028335B" w:rsidRDefault="0028335B" w:rsidP="001E28DC">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(Area in km²)</w:t>
            </w:r>
          </w:p>
        </w:tc>
        <w:tc>
          <w:tcPr>
            <w:tcW w:w="1276" w:type="dxa"/>
            <w:vAlign w:val="center"/>
          </w:tcPr>
          <w:p w14:paraId="3E74FFE9" w14:textId="77777777" w:rsidR="0028335B" w:rsidRPr="0028335B" w:rsidRDefault="00691644" w:rsidP="001E28DC">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 xml:space="preserve">2025 </w:t>
            </w:r>
          </w:p>
          <w:p w14:paraId="308E22DF" w14:textId="298A701A" w:rsidR="00691644" w:rsidRPr="0028335B" w:rsidRDefault="0028335B" w:rsidP="001E28DC">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(Area in km²)</w:t>
            </w:r>
          </w:p>
        </w:tc>
        <w:tc>
          <w:tcPr>
            <w:tcW w:w="1261" w:type="dxa"/>
            <w:vAlign w:val="center"/>
          </w:tcPr>
          <w:p w14:paraId="3EFB62D9" w14:textId="7EA3481C" w:rsidR="0028335B" w:rsidRPr="0028335B" w:rsidRDefault="00691644" w:rsidP="001E28DC">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 xml:space="preserve">2025 </w:t>
            </w:r>
          </w:p>
          <w:p w14:paraId="57DC8539" w14:textId="4D0BEAA9" w:rsidR="00691644" w:rsidRPr="0028335B" w:rsidRDefault="0028335B" w:rsidP="001E28DC">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(Area in km²)</w:t>
            </w:r>
          </w:p>
        </w:tc>
        <w:tc>
          <w:tcPr>
            <w:tcW w:w="950" w:type="dxa"/>
            <w:vAlign w:val="center"/>
          </w:tcPr>
          <w:p w14:paraId="41EFCF19" w14:textId="4EB4E10B" w:rsidR="00691644" w:rsidRPr="0028335B" w:rsidRDefault="00691644" w:rsidP="001E28DC">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Net Change (</w:t>
            </w:r>
            <w:r w:rsidR="0028335B">
              <w:rPr>
                <w:rFonts w:ascii="Arial" w:hAnsi="Arial" w:cs="Arial"/>
                <w:color w:val="000000" w:themeColor="text1"/>
                <w:sz w:val="16"/>
                <w:szCs w:val="16"/>
              </w:rPr>
              <w:t xml:space="preserve">In </w:t>
            </w:r>
            <w:r w:rsidRPr="0028335B">
              <w:rPr>
                <w:rFonts w:ascii="Arial" w:hAnsi="Arial" w:cs="Arial"/>
                <w:color w:val="000000" w:themeColor="text1"/>
                <w:sz w:val="16"/>
                <w:szCs w:val="16"/>
              </w:rPr>
              <w:t>km²)</w:t>
            </w:r>
          </w:p>
        </w:tc>
        <w:tc>
          <w:tcPr>
            <w:tcW w:w="1049" w:type="dxa"/>
            <w:vAlign w:val="center"/>
          </w:tcPr>
          <w:p w14:paraId="5D362857" w14:textId="77777777" w:rsidR="0028335B" w:rsidRPr="0028335B" w:rsidRDefault="00691644" w:rsidP="001E28DC">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Change</w:t>
            </w:r>
            <w:r w:rsidR="0028335B" w:rsidRPr="0028335B">
              <w:rPr>
                <w:rFonts w:ascii="Arial" w:hAnsi="Arial" w:cs="Arial"/>
                <w:color w:val="000000" w:themeColor="text1"/>
                <w:sz w:val="16"/>
                <w:szCs w:val="16"/>
              </w:rPr>
              <w:t xml:space="preserve"> </w:t>
            </w:r>
          </w:p>
          <w:p w14:paraId="27E8C16F" w14:textId="01B66E5F" w:rsidR="00691644" w:rsidRPr="0028335B" w:rsidRDefault="0028335B" w:rsidP="001E28DC">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(In %)</w:t>
            </w:r>
          </w:p>
        </w:tc>
      </w:tr>
      <w:tr w:rsidR="0028335B" w:rsidRPr="001D1274" w14:paraId="07CE345B" w14:textId="77777777" w:rsidTr="0028335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7CBBFC79" w14:textId="730FA1D9" w:rsidR="00691644" w:rsidRPr="0028335B" w:rsidRDefault="00537B5E" w:rsidP="001E28DC">
            <w:pPr>
              <w:rPr>
                <w:rFonts w:ascii="Arial" w:hAnsi="Arial" w:cs="Arial"/>
                <w:color w:val="000000" w:themeColor="text1"/>
                <w:sz w:val="16"/>
                <w:szCs w:val="16"/>
              </w:rPr>
            </w:pPr>
            <w:r w:rsidRPr="0028335B">
              <w:rPr>
                <w:rFonts w:ascii="Arial" w:hAnsi="Arial" w:cs="Arial"/>
                <w:color w:val="000000" w:themeColor="text1"/>
                <w:sz w:val="16"/>
                <w:szCs w:val="16"/>
              </w:rPr>
              <w:t>Agriculture Land</w:t>
            </w:r>
          </w:p>
        </w:tc>
        <w:tc>
          <w:tcPr>
            <w:tcW w:w="1276" w:type="dxa"/>
            <w:vAlign w:val="center"/>
          </w:tcPr>
          <w:p w14:paraId="52D1BAD2" w14:textId="77777777" w:rsidR="00691644" w:rsidRPr="0028335B" w:rsidRDefault="00691644" w:rsidP="001E28D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3,441</w:t>
            </w:r>
          </w:p>
        </w:tc>
        <w:tc>
          <w:tcPr>
            <w:tcW w:w="1276" w:type="dxa"/>
            <w:vAlign w:val="center"/>
          </w:tcPr>
          <w:p w14:paraId="52F8F6B6" w14:textId="77777777" w:rsidR="00691644" w:rsidRPr="0028335B" w:rsidRDefault="00691644" w:rsidP="001E28D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54.5</w:t>
            </w:r>
          </w:p>
        </w:tc>
        <w:tc>
          <w:tcPr>
            <w:tcW w:w="1276" w:type="dxa"/>
            <w:vAlign w:val="center"/>
          </w:tcPr>
          <w:p w14:paraId="341D7797" w14:textId="77777777" w:rsidR="00691644" w:rsidRPr="0028335B" w:rsidRDefault="00691644" w:rsidP="001E28D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3,548</w:t>
            </w:r>
          </w:p>
        </w:tc>
        <w:tc>
          <w:tcPr>
            <w:tcW w:w="1261" w:type="dxa"/>
            <w:vAlign w:val="center"/>
          </w:tcPr>
          <w:p w14:paraId="69819CAB" w14:textId="6953A403" w:rsidR="00691644" w:rsidRPr="0028335B" w:rsidRDefault="00691644" w:rsidP="001E28D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56.2</w:t>
            </w:r>
          </w:p>
        </w:tc>
        <w:tc>
          <w:tcPr>
            <w:tcW w:w="950" w:type="dxa"/>
            <w:vAlign w:val="center"/>
          </w:tcPr>
          <w:p w14:paraId="2C642A88" w14:textId="77777777" w:rsidR="00691644" w:rsidRPr="0028335B" w:rsidRDefault="00691644" w:rsidP="001E28D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+107</w:t>
            </w:r>
          </w:p>
        </w:tc>
        <w:tc>
          <w:tcPr>
            <w:tcW w:w="1049" w:type="dxa"/>
            <w:vAlign w:val="center"/>
          </w:tcPr>
          <w:p w14:paraId="19C07827" w14:textId="77777777" w:rsidR="00691644" w:rsidRPr="0028335B" w:rsidRDefault="00691644" w:rsidP="001E28D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+3.11%</w:t>
            </w:r>
          </w:p>
        </w:tc>
      </w:tr>
      <w:tr w:rsidR="0028335B" w:rsidRPr="001D1274" w14:paraId="4B51FE00" w14:textId="77777777" w:rsidTr="0028335B">
        <w:trPr>
          <w:trHeight w:val="285"/>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0CBB45C7" w14:textId="38621301" w:rsidR="00691644" w:rsidRPr="0028335B" w:rsidRDefault="00BA660F" w:rsidP="001E28DC">
            <w:pPr>
              <w:rPr>
                <w:rFonts w:ascii="Arial" w:hAnsi="Arial" w:cs="Arial"/>
                <w:color w:val="000000" w:themeColor="text1"/>
                <w:sz w:val="16"/>
                <w:szCs w:val="16"/>
              </w:rPr>
            </w:pPr>
            <w:r w:rsidRPr="0028335B">
              <w:rPr>
                <w:rFonts w:ascii="Arial" w:hAnsi="Arial" w:cs="Arial"/>
                <w:color w:val="000000" w:themeColor="text1"/>
                <w:sz w:val="16"/>
                <w:szCs w:val="16"/>
              </w:rPr>
              <w:t>Vegetation Land</w:t>
            </w:r>
          </w:p>
        </w:tc>
        <w:tc>
          <w:tcPr>
            <w:tcW w:w="1276" w:type="dxa"/>
            <w:vAlign w:val="center"/>
          </w:tcPr>
          <w:p w14:paraId="0770980C" w14:textId="77777777" w:rsidR="00691644" w:rsidRPr="0028335B" w:rsidRDefault="00691644" w:rsidP="001E28D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788</w:t>
            </w:r>
          </w:p>
        </w:tc>
        <w:tc>
          <w:tcPr>
            <w:tcW w:w="1276" w:type="dxa"/>
            <w:vAlign w:val="center"/>
          </w:tcPr>
          <w:p w14:paraId="0585B30B" w14:textId="77777777" w:rsidR="00691644" w:rsidRPr="0028335B" w:rsidRDefault="00691644" w:rsidP="001E28D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12.5</w:t>
            </w:r>
          </w:p>
        </w:tc>
        <w:tc>
          <w:tcPr>
            <w:tcW w:w="1276" w:type="dxa"/>
            <w:vAlign w:val="center"/>
          </w:tcPr>
          <w:p w14:paraId="753266B0" w14:textId="77777777" w:rsidR="00691644" w:rsidRPr="0028335B" w:rsidRDefault="00691644" w:rsidP="001E28D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805</w:t>
            </w:r>
          </w:p>
        </w:tc>
        <w:tc>
          <w:tcPr>
            <w:tcW w:w="1261" w:type="dxa"/>
            <w:vAlign w:val="center"/>
          </w:tcPr>
          <w:p w14:paraId="299A68E6" w14:textId="7FF69F6B" w:rsidR="00691644" w:rsidRPr="0028335B" w:rsidRDefault="00691644" w:rsidP="001E28D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12.7</w:t>
            </w:r>
          </w:p>
        </w:tc>
        <w:tc>
          <w:tcPr>
            <w:tcW w:w="950" w:type="dxa"/>
            <w:vAlign w:val="center"/>
          </w:tcPr>
          <w:p w14:paraId="23B6F5E1" w14:textId="77777777" w:rsidR="00691644" w:rsidRPr="0028335B" w:rsidRDefault="00691644" w:rsidP="001E28D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+17</w:t>
            </w:r>
          </w:p>
        </w:tc>
        <w:tc>
          <w:tcPr>
            <w:tcW w:w="1049" w:type="dxa"/>
            <w:vAlign w:val="center"/>
          </w:tcPr>
          <w:p w14:paraId="3D0386AA" w14:textId="77777777" w:rsidR="00691644" w:rsidRPr="0028335B" w:rsidRDefault="00691644" w:rsidP="001E28D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+2.16%</w:t>
            </w:r>
          </w:p>
        </w:tc>
      </w:tr>
      <w:tr w:rsidR="0028335B" w:rsidRPr="001D1274" w14:paraId="01BCC75B" w14:textId="77777777" w:rsidTr="0028335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6BAFA8C0" w14:textId="77777777" w:rsidR="0028335B" w:rsidRPr="0028335B" w:rsidRDefault="0028335B" w:rsidP="00F45DFF">
            <w:pPr>
              <w:rPr>
                <w:rFonts w:ascii="Arial" w:hAnsi="Arial" w:cs="Arial"/>
                <w:color w:val="000000" w:themeColor="text1"/>
                <w:sz w:val="16"/>
                <w:szCs w:val="16"/>
              </w:rPr>
            </w:pPr>
            <w:r w:rsidRPr="0028335B">
              <w:rPr>
                <w:rFonts w:ascii="Arial" w:hAnsi="Arial" w:cs="Arial"/>
                <w:color w:val="000000" w:themeColor="text1"/>
                <w:sz w:val="16"/>
                <w:szCs w:val="16"/>
              </w:rPr>
              <w:t>Water Body Bodies</w:t>
            </w:r>
          </w:p>
          <w:p w14:paraId="238A2277" w14:textId="3C149CFB" w:rsidR="0028335B" w:rsidRPr="0028335B" w:rsidRDefault="0028335B" w:rsidP="001E28DC">
            <w:pPr>
              <w:rPr>
                <w:rFonts w:ascii="Arial" w:hAnsi="Arial" w:cs="Arial"/>
                <w:color w:val="000000" w:themeColor="text1"/>
                <w:sz w:val="16"/>
                <w:szCs w:val="16"/>
              </w:rPr>
            </w:pPr>
          </w:p>
        </w:tc>
        <w:tc>
          <w:tcPr>
            <w:tcW w:w="1276" w:type="dxa"/>
            <w:vAlign w:val="center"/>
          </w:tcPr>
          <w:p w14:paraId="0558E841" w14:textId="4CE9C5EF" w:rsidR="0028335B" w:rsidRPr="0028335B" w:rsidRDefault="0028335B" w:rsidP="001E28D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109</w:t>
            </w:r>
          </w:p>
        </w:tc>
        <w:tc>
          <w:tcPr>
            <w:tcW w:w="1276" w:type="dxa"/>
            <w:vAlign w:val="center"/>
          </w:tcPr>
          <w:p w14:paraId="3ED2C1DB" w14:textId="3F5B4927" w:rsidR="0028335B" w:rsidRPr="0028335B" w:rsidRDefault="0028335B" w:rsidP="001E28D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1.7</w:t>
            </w:r>
          </w:p>
        </w:tc>
        <w:tc>
          <w:tcPr>
            <w:tcW w:w="1276" w:type="dxa"/>
            <w:vAlign w:val="center"/>
          </w:tcPr>
          <w:p w14:paraId="3663C9E6" w14:textId="2C122327" w:rsidR="0028335B" w:rsidRPr="0028335B" w:rsidRDefault="0028335B" w:rsidP="001E28D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111</w:t>
            </w:r>
          </w:p>
        </w:tc>
        <w:tc>
          <w:tcPr>
            <w:tcW w:w="1261" w:type="dxa"/>
            <w:vAlign w:val="center"/>
          </w:tcPr>
          <w:p w14:paraId="2D454024" w14:textId="1C2CBD02" w:rsidR="0028335B" w:rsidRPr="0028335B" w:rsidRDefault="0028335B" w:rsidP="001E28D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1.8</w:t>
            </w:r>
          </w:p>
        </w:tc>
        <w:tc>
          <w:tcPr>
            <w:tcW w:w="950" w:type="dxa"/>
            <w:vAlign w:val="center"/>
          </w:tcPr>
          <w:p w14:paraId="54BA78C6" w14:textId="50589A6B" w:rsidR="0028335B" w:rsidRPr="0028335B" w:rsidRDefault="0028335B" w:rsidP="001E28D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+2</w:t>
            </w:r>
          </w:p>
        </w:tc>
        <w:tc>
          <w:tcPr>
            <w:tcW w:w="1049" w:type="dxa"/>
            <w:vAlign w:val="center"/>
          </w:tcPr>
          <w:p w14:paraId="10B819A7" w14:textId="7228D8E7" w:rsidR="0028335B" w:rsidRPr="0028335B" w:rsidRDefault="0028335B" w:rsidP="001E28D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+1.83%</w:t>
            </w:r>
          </w:p>
        </w:tc>
      </w:tr>
      <w:tr w:rsidR="0028335B" w:rsidRPr="001D1274" w14:paraId="28676D45" w14:textId="77777777" w:rsidTr="0028335B">
        <w:trPr>
          <w:trHeight w:val="588"/>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42389D90" w14:textId="6DC1A6B6" w:rsidR="0028335B" w:rsidRPr="0028335B" w:rsidRDefault="0028335B" w:rsidP="001E28DC">
            <w:pPr>
              <w:rPr>
                <w:rFonts w:ascii="Arial" w:hAnsi="Arial" w:cs="Arial"/>
                <w:color w:val="000000" w:themeColor="text1"/>
                <w:sz w:val="16"/>
                <w:szCs w:val="16"/>
              </w:rPr>
            </w:pPr>
            <w:r w:rsidRPr="0028335B">
              <w:rPr>
                <w:rFonts w:ascii="Arial" w:hAnsi="Arial" w:cs="Arial"/>
                <w:color w:val="000000" w:themeColor="text1"/>
                <w:sz w:val="16"/>
                <w:szCs w:val="16"/>
              </w:rPr>
              <w:t>Built-up Land</w:t>
            </w:r>
          </w:p>
        </w:tc>
        <w:tc>
          <w:tcPr>
            <w:tcW w:w="1276" w:type="dxa"/>
            <w:vAlign w:val="center"/>
          </w:tcPr>
          <w:p w14:paraId="11017D4D" w14:textId="39258423" w:rsidR="0028335B" w:rsidRPr="0028335B" w:rsidRDefault="0028335B" w:rsidP="001E28D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253</w:t>
            </w:r>
          </w:p>
        </w:tc>
        <w:tc>
          <w:tcPr>
            <w:tcW w:w="1276" w:type="dxa"/>
            <w:vAlign w:val="center"/>
          </w:tcPr>
          <w:p w14:paraId="0130B13E" w14:textId="6F4AFB78" w:rsidR="0028335B" w:rsidRPr="0028335B" w:rsidRDefault="0028335B" w:rsidP="001E28D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4.0</w:t>
            </w:r>
          </w:p>
        </w:tc>
        <w:tc>
          <w:tcPr>
            <w:tcW w:w="1276" w:type="dxa"/>
            <w:vAlign w:val="center"/>
          </w:tcPr>
          <w:p w14:paraId="440C48D4" w14:textId="2A9E12BF" w:rsidR="0028335B" w:rsidRPr="0028335B" w:rsidRDefault="0028335B" w:rsidP="001E28D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366</w:t>
            </w:r>
          </w:p>
        </w:tc>
        <w:tc>
          <w:tcPr>
            <w:tcW w:w="1261" w:type="dxa"/>
            <w:vAlign w:val="center"/>
          </w:tcPr>
          <w:p w14:paraId="2652B46D" w14:textId="0D41EF73" w:rsidR="0028335B" w:rsidRPr="0028335B" w:rsidRDefault="0028335B" w:rsidP="001E28D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5.8</w:t>
            </w:r>
          </w:p>
        </w:tc>
        <w:tc>
          <w:tcPr>
            <w:tcW w:w="950" w:type="dxa"/>
            <w:vAlign w:val="center"/>
          </w:tcPr>
          <w:p w14:paraId="4DE07C82" w14:textId="358BBBE3" w:rsidR="0028335B" w:rsidRPr="0028335B" w:rsidRDefault="0028335B" w:rsidP="001E28D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+113</w:t>
            </w:r>
          </w:p>
        </w:tc>
        <w:tc>
          <w:tcPr>
            <w:tcW w:w="1049" w:type="dxa"/>
            <w:vAlign w:val="center"/>
          </w:tcPr>
          <w:p w14:paraId="381568EF" w14:textId="4CB3B447" w:rsidR="0028335B" w:rsidRPr="0028335B" w:rsidRDefault="0028335B" w:rsidP="001E28D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+44.66%</w:t>
            </w:r>
          </w:p>
        </w:tc>
      </w:tr>
      <w:tr w:rsidR="0028335B" w:rsidRPr="001D1274" w14:paraId="2A6849DC" w14:textId="77777777" w:rsidTr="0028335B">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22D7BEBE" w14:textId="47989059" w:rsidR="0028335B" w:rsidRPr="0028335B" w:rsidRDefault="0028335B" w:rsidP="001E28DC">
            <w:pPr>
              <w:rPr>
                <w:rFonts w:ascii="Arial" w:hAnsi="Arial" w:cs="Arial"/>
                <w:color w:val="000000" w:themeColor="text1"/>
                <w:sz w:val="16"/>
                <w:szCs w:val="16"/>
              </w:rPr>
            </w:pPr>
            <w:r w:rsidRPr="0028335B">
              <w:rPr>
                <w:rFonts w:ascii="Arial" w:hAnsi="Arial" w:cs="Arial"/>
                <w:color w:val="000000" w:themeColor="text1"/>
                <w:sz w:val="16"/>
                <w:szCs w:val="16"/>
              </w:rPr>
              <w:t>Waste Land</w:t>
            </w:r>
          </w:p>
        </w:tc>
        <w:tc>
          <w:tcPr>
            <w:tcW w:w="1276" w:type="dxa"/>
            <w:vAlign w:val="center"/>
          </w:tcPr>
          <w:p w14:paraId="49BD4E39" w14:textId="42E6760E" w:rsidR="0028335B" w:rsidRPr="0028335B" w:rsidRDefault="0028335B" w:rsidP="001E28D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1,723</w:t>
            </w:r>
          </w:p>
        </w:tc>
        <w:tc>
          <w:tcPr>
            <w:tcW w:w="1276" w:type="dxa"/>
            <w:vAlign w:val="center"/>
          </w:tcPr>
          <w:p w14:paraId="7E6EBA51" w14:textId="1E4BDB1E" w:rsidR="0028335B" w:rsidRPr="0028335B" w:rsidRDefault="0028335B" w:rsidP="001E28D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27.3</w:t>
            </w:r>
          </w:p>
        </w:tc>
        <w:tc>
          <w:tcPr>
            <w:tcW w:w="1276" w:type="dxa"/>
            <w:vAlign w:val="center"/>
          </w:tcPr>
          <w:p w14:paraId="78EEBEEB" w14:textId="5F21D42E" w:rsidR="0028335B" w:rsidRPr="0028335B" w:rsidRDefault="0028335B" w:rsidP="001E28D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1,484</w:t>
            </w:r>
          </w:p>
        </w:tc>
        <w:tc>
          <w:tcPr>
            <w:tcW w:w="1261" w:type="dxa"/>
            <w:vAlign w:val="center"/>
          </w:tcPr>
          <w:p w14:paraId="7A1F2332" w14:textId="2FD5D116" w:rsidR="0028335B" w:rsidRPr="0028335B" w:rsidRDefault="0028335B" w:rsidP="001E28D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23.5</w:t>
            </w:r>
          </w:p>
        </w:tc>
        <w:tc>
          <w:tcPr>
            <w:tcW w:w="950" w:type="dxa"/>
            <w:vAlign w:val="center"/>
          </w:tcPr>
          <w:p w14:paraId="17962FAD" w14:textId="38C313CE" w:rsidR="0028335B" w:rsidRPr="0028335B" w:rsidRDefault="0028335B" w:rsidP="001E28D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−239</w:t>
            </w:r>
          </w:p>
        </w:tc>
        <w:tc>
          <w:tcPr>
            <w:tcW w:w="1049" w:type="dxa"/>
            <w:vAlign w:val="center"/>
          </w:tcPr>
          <w:p w14:paraId="77AFB2B9" w14:textId="2EDBA55F" w:rsidR="0028335B" w:rsidRPr="0028335B" w:rsidRDefault="0028335B" w:rsidP="001E28D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−13.87%</w:t>
            </w:r>
          </w:p>
        </w:tc>
      </w:tr>
      <w:tr w:rsidR="0028335B" w:rsidRPr="001D1274" w14:paraId="0054C87B" w14:textId="77777777" w:rsidTr="0028335B">
        <w:trPr>
          <w:trHeight w:val="285"/>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7DE650EA" w14:textId="77777777" w:rsidR="0028335B" w:rsidRPr="0028335B" w:rsidRDefault="0028335B" w:rsidP="001E28DC">
            <w:pPr>
              <w:rPr>
                <w:rFonts w:ascii="Arial" w:hAnsi="Arial" w:cs="Arial"/>
                <w:color w:val="000000" w:themeColor="text1"/>
                <w:sz w:val="16"/>
                <w:szCs w:val="16"/>
              </w:rPr>
            </w:pPr>
            <w:r w:rsidRPr="0028335B">
              <w:rPr>
                <w:rFonts w:ascii="Arial" w:hAnsi="Arial" w:cs="Arial"/>
                <w:color w:val="000000" w:themeColor="text1"/>
                <w:sz w:val="16"/>
                <w:szCs w:val="16"/>
              </w:rPr>
              <w:t>Total</w:t>
            </w:r>
          </w:p>
        </w:tc>
        <w:tc>
          <w:tcPr>
            <w:tcW w:w="1276" w:type="dxa"/>
            <w:vAlign w:val="center"/>
          </w:tcPr>
          <w:p w14:paraId="07BB129A" w14:textId="77777777" w:rsidR="0028335B" w:rsidRPr="0028335B" w:rsidRDefault="0028335B" w:rsidP="001E28D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6,314</w:t>
            </w:r>
          </w:p>
        </w:tc>
        <w:tc>
          <w:tcPr>
            <w:tcW w:w="1276" w:type="dxa"/>
            <w:vAlign w:val="center"/>
          </w:tcPr>
          <w:p w14:paraId="2EC55F82" w14:textId="77777777" w:rsidR="0028335B" w:rsidRPr="0028335B" w:rsidRDefault="0028335B" w:rsidP="001E28D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100.0</w:t>
            </w:r>
          </w:p>
        </w:tc>
        <w:tc>
          <w:tcPr>
            <w:tcW w:w="1276" w:type="dxa"/>
            <w:vAlign w:val="center"/>
          </w:tcPr>
          <w:p w14:paraId="64EDD597" w14:textId="77777777" w:rsidR="0028335B" w:rsidRPr="0028335B" w:rsidRDefault="0028335B" w:rsidP="001E28D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6,314</w:t>
            </w:r>
          </w:p>
        </w:tc>
        <w:tc>
          <w:tcPr>
            <w:tcW w:w="1261" w:type="dxa"/>
            <w:vAlign w:val="center"/>
          </w:tcPr>
          <w:p w14:paraId="1327FA1E" w14:textId="77777777" w:rsidR="0028335B" w:rsidRPr="0028335B" w:rsidRDefault="0028335B" w:rsidP="001E28D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100.0</w:t>
            </w:r>
          </w:p>
        </w:tc>
        <w:tc>
          <w:tcPr>
            <w:tcW w:w="950" w:type="dxa"/>
            <w:vAlign w:val="center"/>
          </w:tcPr>
          <w:p w14:paraId="7FB318D3" w14:textId="77777777" w:rsidR="0028335B" w:rsidRPr="0028335B" w:rsidRDefault="0028335B" w:rsidP="001E28D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0</w:t>
            </w:r>
          </w:p>
        </w:tc>
        <w:tc>
          <w:tcPr>
            <w:tcW w:w="1049" w:type="dxa"/>
            <w:vAlign w:val="center"/>
          </w:tcPr>
          <w:p w14:paraId="14CC653E" w14:textId="77777777" w:rsidR="0028335B" w:rsidRPr="0028335B" w:rsidRDefault="0028335B" w:rsidP="001E28D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w:t>
            </w:r>
          </w:p>
        </w:tc>
      </w:tr>
    </w:tbl>
    <w:p w14:paraId="4F9BB8B3" w14:textId="77777777" w:rsidR="00F1235B" w:rsidRDefault="00F1235B" w:rsidP="000B0CBC">
      <w:pPr>
        <w:spacing w:before="60" w:after="60"/>
        <w:rPr>
          <w:rFonts w:ascii="Arial" w:hAnsi="Arial" w:cs="Arial"/>
          <w:color w:val="000000" w:themeColor="text1"/>
          <w:sz w:val="20"/>
          <w:szCs w:val="20"/>
        </w:rPr>
      </w:pPr>
    </w:p>
    <w:p w14:paraId="240996B4" w14:textId="76678180" w:rsidR="00271804" w:rsidRPr="00271804" w:rsidRDefault="00537B5E" w:rsidP="00271804">
      <w:pPr>
        <w:spacing w:before="120" w:after="120"/>
        <w:jc w:val="both"/>
        <w:rPr>
          <w:rFonts w:ascii="Arial" w:hAnsi="Arial" w:cs="Arial"/>
          <w:sz w:val="20"/>
          <w:szCs w:val="20"/>
        </w:rPr>
      </w:pPr>
      <w:r>
        <w:rPr>
          <w:rFonts w:ascii="Arial" w:hAnsi="Arial" w:cs="Arial"/>
          <w:color w:val="000000"/>
          <w:sz w:val="20"/>
          <w:szCs w:val="20"/>
        </w:rPr>
        <w:t>Agriculture Land</w:t>
      </w:r>
      <w:r w:rsidR="00271804" w:rsidRPr="00691644">
        <w:rPr>
          <w:rFonts w:ascii="Arial" w:hAnsi="Arial" w:cs="Arial"/>
          <w:color w:val="000000"/>
          <w:sz w:val="20"/>
          <w:szCs w:val="20"/>
        </w:rPr>
        <w:t xml:space="preserve"> was the dominant land cover in both years, confirming the agrarian character of Rewa District. In 2020, it occupied 3,441 km² (54.5%) and expanded to 3,548 km² (56.2%) by 2025, a gain of 107 km² (+3.11%). This increase is spatially concentrated in the </w:t>
      </w:r>
      <w:proofErr w:type="spellStart"/>
      <w:r w:rsidR="00271804" w:rsidRPr="00691644">
        <w:rPr>
          <w:rFonts w:ascii="Arial" w:hAnsi="Arial" w:cs="Arial"/>
          <w:color w:val="000000"/>
          <w:sz w:val="20"/>
          <w:szCs w:val="20"/>
        </w:rPr>
        <w:t>Teonthar</w:t>
      </w:r>
      <w:proofErr w:type="spellEnd"/>
      <w:r w:rsidR="00271804" w:rsidRPr="00691644">
        <w:rPr>
          <w:rFonts w:ascii="Arial" w:hAnsi="Arial" w:cs="Arial"/>
          <w:color w:val="000000"/>
          <w:sz w:val="20"/>
          <w:szCs w:val="20"/>
        </w:rPr>
        <w:t xml:space="preserve"> and </w:t>
      </w:r>
      <w:proofErr w:type="spellStart"/>
      <w:r w:rsidR="00271804" w:rsidRPr="00691644">
        <w:rPr>
          <w:rFonts w:ascii="Arial" w:hAnsi="Arial" w:cs="Arial"/>
          <w:color w:val="000000"/>
          <w:sz w:val="20"/>
          <w:szCs w:val="20"/>
        </w:rPr>
        <w:t>Hanumana</w:t>
      </w:r>
      <w:proofErr w:type="spellEnd"/>
      <w:r w:rsidR="00271804" w:rsidRPr="00691644">
        <w:rPr>
          <w:rFonts w:ascii="Arial" w:hAnsi="Arial" w:cs="Arial"/>
          <w:color w:val="000000"/>
          <w:sz w:val="20"/>
          <w:szCs w:val="20"/>
        </w:rPr>
        <w:t xml:space="preserve"> tehsils, where the </w:t>
      </w:r>
      <w:proofErr w:type="spellStart"/>
      <w:r w:rsidR="00271804" w:rsidRPr="00691644">
        <w:rPr>
          <w:rFonts w:ascii="Arial" w:hAnsi="Arial" w:cs="Arial"/>
          <w:color w:val="000000"/>
          <w:sz w:val="20"/>
          <w:szCs w:val="20"/>
        </w:rPr>
        <w:t>Bansagar</w:t>
      </w:r>
      <w:proofErr w:type="spellEnd"/>
      <w:r w:rsidR="00271804" w:rsidRPr="00691644">
        <w:rPr>
          <w:rFonts w:ascii="Arial" w:hAnsi="Arial" w:cs="Arial"/>
          <w:color w:val="000000"/>
          <w:sz w:val="20"/>
          <w:szCs w:val="20"/>
        </w:rPr>
        <w:t xml:space="preserve"> Dam irrigation canal network has progressively brought previously fallow and degraded land under cultivation. The modest percentage change (+3.11%) belies the significance of this expansion in absolute terms: 107 sq km of new agricultural land in five years represents a substantial intensification pressure on the remaining Vindhyan land resources.</w:t>
      </w:r>
    </w:p>
    <w:p w14:paraId="1EE739EE" w14:textId="7C3064D4" w:rsidR="001E28DC" w:rsidRPr="001E28DC" w:rsidRDefault="00271804" w:rsidP="001E28DC">
      <w:pPr>
        <w:spacing w:before="120" w:after="120"/>
        <w:jc w:val="both"/>
        <w:rPr>
          <w:rFonts w:ascii="Arial" w:hAnsi="Arial" w:cs="Arial"/>
          <w:color w:val="000000"/>
          <w:sz w:val="20"/>
          <w:szCs w:val="20"/>
        </w:rPr>
      </w:pPr>
      <w:r w:rsidRPr="001E28DC">
        <w:rPr>
          <w:rFonts w:ascii="Arial" w:hAnsi="Arial" w:cs="Arial"/>
          <w:color w:val="000000" w:themeColor="text1"/>
          <w:sz w:val="20"/>
          <w:szCs w:val="20"/>
        </w:rPr>
        <w:t xml:space="preserve">Forest cover showed a marginal but noteworthy increase from 788 km² (12.5%) to 805 km² (12.7%), a gain of 17 km² (+2.16%). According to FSI (2023), the forest cover of Rewa at 12.76% is primarily concentrated in the southern Kaimur Range, and recent growth has been attributed to Open Forest expansion and Social Forestry plantations established under the state's Green India Mission and Ek Ped Maa Ke Naam (Plant a Tree in Mother's Name) </w:t>
      </w:r>
      <w:proofErr w:type="spellStart"/>
      <w:r w:rsidRPr="001E28DC">
        <w:rPr>
          <w:rFonts w:ascii="Arial" w:hAnsi="Arial" w:cs="Arial"/>
          <w:color w:val="000000" w:themeColor="text1"/>
          <w:sz w:val="20"/>
          <w:szCs w:val="20"/>
        </w:rPr>
        <w:t>programmes</w:t>
      </w:r>
      <w:proofErr w:type="spellEnd"/>
      <w:r w:rsidRPr="001E28DC">
        <w:rPr>
          <w:rFonts w:ascii="Arial" w:hAnsi="Arial" w:cs="Arial"/>
          <w:color w:val="000000" w:themeColor="text1"/>
          <w:sz w:val="20"/>
          <w:szCs w:val="20"/>
        </w:rPr>
        <w:t xml:space="preserve">. </w:t>
      </w:r>
      <w:r w:rsidR="001E28DC" w:rsidRPr="001E28DC">
        <w:rPr>
          <w:rFonts w:ascii="Arial" w:hAnsi="Arial" w:cs="Arial"/>
          <w:color w:val="000000"/>
          <w:sz w:val="20"/>
          <w:szCs w:val="20"/>
        </w:rPr>
        <w:t>While the absolute gain is small, the direction of change is significant: in contrast to many districts reporting forest loss, Rewa shows a positive forest trajectory attributable to targeted plantation efforts on the Kaimur escarpment.</w:t>
      </w:r>
    </w:p>
    <w:p w14:paraId="7A41EA98" w14:textId="72070AFF" w:rsidR="00F046BC" w:rsidRDefault="00E45881" w:rsidP="006A5472">
      <w:pPr>
        <w:spacing w:before="80" w:after="200"/>
        <w:jc w:val="center"/>
        <w:rPr>
          <w:rFonts w:ascii="Arial" w:hAnsi="Arial" w:cs="Arial"/>
          <w:color w:val="000000" w:themeColor="text1"/>
          <w:sz w:val="20"/>
          <w:szCs w:val="20"/>
        </w:rPr>
      </w:pPr>
      <w:r>
        <w:rPr>
          <w:rFonts w:ascii="Arial" w:hAnsi="Arial" w:cs="Arial"/>
          <w:noProof/>
          <w:color w:val="000000" w:themeColor="text1"/>
          <w:sz w:val="20"/>
          <w:szCs w:val="20"/>
          <w:lang w:val="en-IN" w:eastAsia="en-IN" w:bidi="hi-IN"/>
        </w:rPr>
        <w:drawing>
          <wp:anchor distT="0" distB="0" distL="114300" distR="114300" simplePos="0" relativeHeight="251660288" behindDoc="0" locked="0" layoutInCell="1" allowOverlap="1" wp14:anchorId="013DA79C" wp14:editId="5F6134E1">
            <wp:simplePos x="0" y="0"/>
            <wp:positionH relativeFrom="margin">
              <wp:posOffset>652349</wp:posOffset>
            </wp:positionH>
            <wp:positionV relativeFrom="margin">
              <wp:posOffset>4950994</wp:posOffset>
            </wp:positionV>
            <wp:extent cx="4486275" cy="2608580"/>
            <wp:effectExtent l="0" t="0" r="9525" b="1270"/>
            <wp:wrapSquare wrapText="bothSides"/>
            <wp:docPr id="409218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18267" name="Picture 409218267"/>
                    <pic:cNvPicPr/>
                  </pic:nvPicPr>
                  <pic:blipFill>
                    <a:blip r:embed="rId12">
                      <a:extLst>
                        <a:ext uri="{28A0092B-C50C-407E-A947-70E740481C1C}">
                          <a14:useLocalDpi xmlns:a14="http://schemas.microsoft.com/office/drawing/2010/main" val="0"/>
                        </a:ext>
                      </a:extLst>
                    </a:blip>
                    <a:stretch>
                      <a:fillRect/>
                    </a:stretch>
                  </pic:blipFill>
                  <pic:spPr>
                    <a:xfrm>
                      <a:off x="0" y="0"/>
                      <a:ext cx="4486275" cy="2608580"/>
                    </a:xfrm>
                    <a:prstGeom prst="rect">
                      <a:avLst/>
                    </a:prstGeom>
                  </pic:spPr>
                </pic:pic>
              </a:graphicData>
            </a:graphic>
            <wp14:sizeRelH relativeFrom="margin">
              <wp14:pctWidth>0</wp14:pctWidth>
            </wp14:sizeRelH>
            <wp14:sizeRelV relativeFrom="margin">
              <wp14:pctHeight>0</wp14:pctHeight>
            </wp14:sizeRelV>
          </wp:anchor>
        </w:drawing>
      </w:r>
    </w:p>
    <w:p w14:paraId="506AF6E9" w14:textId="0B392619" w:rsidR="00F046BC" w:rsidRDefault="00F046BC" w:rsidP="006A5472">
      <w:pPr>
        <w:spacing w:before="80" w:after="200"/>
        <w:jc w:val="center"/>
        <w:rPr>
          <w:rFonts w:ascii="Arial" w:hAnsi="Arial" w:cs="Arial"/>
          <w:color w:val="000000" w:themeColor="text1"/>
          <w:sz w:val="20"/>
          <w:szCs w:val="20"/>
        </w:rPr>
      </w:pPr>
    </w:p>
    <w:p w14:paraId="328F1C31" w14:textId="1E13A0A8" w:rsidR="00F046BC" w:rsidRDefault="00F046BC" w:rsidP="006A5472">
      <w:pPr>
        <w:spacing w:before="80" w:after="200"/>
        <w:jc w:val="center"/>
        <w:rPr>
          <w:rFonts w:ascii="Arial" w:hAnsi="Arial" w:cs="Arial"/>
          <w:color w:val="000000" w:themeColor="text1"/>
          <w:sz w:val="20"/>
          <w:szCs w:val="20"/>
        </w:rPr>
      </w:pPr>
    </w:p>
    <w:p w14:paraId="37394B95" w14:textId="77777777" w:rsidR="00F046BC" w:rsidRDefault="00F046BC" w:rsidP="006A5472">
      <w:pPr>
        <w:spacing w:before="80" w:after="200"/>
        <w:jc w:val="center"/>
        <w:rPr>
          <w:rFonts w:ascii="Arial" w:hAnsi="Arial" w:cs="Arial"/>
          <w:color w:val="000000" w:themeColor="text1"/>
          <w:sz w:val="20"/>
          <w:szCs w:val="20"/>
        </w:rPr>
      </w:pPr>
    </w:p>
    <w:p w14:paraId="2C156D6B" w14:textId="77777777" w:rsidR="00F046BC" w:rsidRDefault="00F046BC" w:rsidP="006A5472">
      <w:pPr>
        <w:spacing w:before="80" w:after="200"/>
        <w:jc w:val="center"/>
        <w:rPr>
          <w:rFonts w:ascii="Arial" w:hAnsi="Arial" w:cs="Arial"/>
          <w:color w:val="000000" w:themeColor="text1"/>
          <w:sz w:val="20"/>
          <w:szCs w:val="20"/>
        </w:rPr>
      </w:pPr>
    </w:p>
    <w:p w14:paraId="4D1376FD" w14:textId="25CFFB39" w:rsidR="00F046BC" w:rsidRDefault="00F046BC" w:rsidP="006A5472">
      <w:pPr>
        <w:spacing w:before="80" w:after="200"/>
        <w:jc w:val="center"/>
        <w:rPr>
          <w:rFonts w:ascii="Arial" w:hAnsi="Arial" w:cs="Arial"/>
          <w:color w:val="000000" w:themeColor="text1"/>
          <w:sz w:val="20"/>
          <w:szCs w:val="20"/>
        </w:rPr>
      </w:pPr>
    </w:p>
    <w:p w14:paraId="7EC8AEEF" w14:textId="77777777" w:rsidR="00F046BC" w:rsidRDefault="00F046BC" w:rsidP="006A5472">
      <w:pPr>
        <w:spacing w:before="80" w:after="200"/>
        <w:jc w:val="center"/>
        <w:rPr>
          <w:rFonts w:ascii="Arial" w:hAnsi="Arial" w:cs="Arial"/>
          <w:color w:val="000000" w:themeColor="text1"/>
          <w:sz w:val="20"/>
          <w:szCs w:val="20"/>
        </w:rPr>
      </w:pPr>
    </w:p>
    <w:p w14:paraId="7C15E2F1" w14:textId="77777777" w:rsidR="00BF790D" w:rsidRDefault="00BF790D" w:rsidP="00F046BC">
      <w:pPr>
        <w:spacing w:before="80" w:after="200"/>
        <w:jc w:val="center"/>
        <w:rPr>
          <w:rFonts w:ascii="Arial" w:hAnsi="Arial" w:cs="Arial"/>
          <w:color w:val="000000" w:themeColor="text1"/>
          <w:sz w:val="20"/>
          <w:szCs w:val="20"/>
        </w:rPr>
      </w:pPr>
    </w:p>
    <w:p w14:paraId="26037E53" w14:textId="77777777" w:rsidR="007A1BDF" w:rsidRDefault="007A1BDF" w:rsidP="00F046BC">
      <w:pPr>
        <w:spacing w:before="80" w:after="200"/>
        <w:jc w:val="center"/>
        <w:rPr>
          <w:rFonts w:ascii="Arial" w:hAnsi="Arial" w:cs="Arial"/>
          <w:color w:val="000000" w:themeColor="text1"/>
          <w:sz w:val="20"/>
          <w:szCs w:val="20"/>
        </w:rPr>
      </w:pPr>
    </w:p>
    <w:p w14:paraId="6F120D84" w14:textId="77777777" w:rsidR="007A1BDF" w:rsidRDefault="007A1BDF" w:rsidP="00F046BC">
      <w:pPr>
        <w:spacing w:before="80" w:after="200"/>
        <w:jc w:val="center"/>
        <w:rPr>
          <w:rFonts w:ascii="Arial" w:hAnsi="Arial" w:cs="Arial"/>
          <w:color w:val="000000" w:themeColor="text1"/>
          <w:sz w:val="20"/>
          <w:szCs w:val="20"/>
        </w:rPr>
      </w:pPr>
    </w:p>
    <w:p w14:paraId="4285A9A2" w14:textId="7C83F1CD" w:rsidR="006A5472" w:rsidRPr="00F046BC" w:rsidRDefault="006A5472" w:rsidP="00F046BC">
      <w:pPr>
        <w:spacing w:before="80" w:after="200"/>
        <w:jc w:val="center"/>
        <w:rPr>
          <w:rFonts w:ascii="Arial" w:hAnsi="Arial" w:cs="Arial"/>
          <w:color w:val="000000" w:themeColor="text1"/>
        </w:rPr>
      </w:pPr>
      <w:r w:rsidRPr="001E28DC">
        <w:rPr>
          <w:rFonts w:ascii="Arial" w:hAnsi="Arial" w:cs="Arial"/>
          <w:color w:val="000000" w:themeColor="text1"/>
          <w:sz w:val="20"/>
          <w:szCs w:val="20"/>
        </w:rPr>
        <w:t>Fig.</w:t>
      </w:r>
      <w:r>
        <w:rPr>
          <w:rFonts w:ascii="Arial" w:hAnsi="Arial" w:cs="Arial"/>
          <w:color w:val="000000" w:themeColor="text1"/>
          <w:sz w:val="20"/>
          <w:szCs w:val="20"/>
        </w:rPr>
        <w:t xml:space="preserve"> 5</w:t>
      </w:r>
      <w:r w:rsidRPr="001E28DC">
        <w:rPr>
          <w:rFonts w:ascii="Arial" w:hAnsi="Arial" w:cs="Arial"/>
          <w:color w:val="000000" w:themeColor="text1"/>
          <w:sz w:val="20"/>
          <w:szCs w:val="20"/>
        </w:rPr>
        <w:t>. Class-wise LULC area comparison for Rewa District, 2020 and 2025 (km²)</w:t>
      </w:r>
    </w:p>
    <w:p w14:paraId="27A61E54" w14:textId="66C2C65A" w:rsidR="001E28DC" w:rsidRPr="001E28DC" w:rsidRDefault="001E28DC" w:rsidP="001E28DC">
      <w:pPr>
        <w:spacing w:before="120" w:after="120"/>
        <w:jc w:val="both"/>
        <w:rPr>
          <w:rFonts w:ascii="Arial" w:hAnsi="Arial" w:cs="Arial"/>
          <w:color w:val="000000"/>
          <w:sz w:val="20"/>
          <w:szCs w:val="20"/>
        </w:rPr>
      </w:pPr>
      <w:r w:rsidRPr="001E28DC">
        <w:rPr>
          <w:rFonts w:ascii="Arial" w:hAnsi="Arial" w:cs="Arial"/>
          <w:color w:val="000000"/>
          <w:sz w:val="20"/>
          <w:szCs w:val="20"/>
        </w:rPr>
        <w:t xml:space="preserve">The </w:t>
      </w:r>
      <w:r w:rsidR="00F94046">
        <w:rPr>
          <w:rFonts w:ascii="Arial" w:hAnsi="Arial" w:cs="Arial"/>
          <w:color w:val="000000"/>
          <w:sz w:val="20"/>
          <w:szCs w:val="20"/>
        </w:rPr>
        <w:t>Built-up Land</w:t>
      </w:r>
      <w:r w:rsidRPr="001E28DC">
        <w:rPr>
          <w:rFonts w:ascii="Arial" w:hAnsi="Arial" w:cs="Arial"/>
          <w:color w:val="000000"/>
          <w:sz w:val="20"/>
          <w:szCs w:val="20"/>
        </w:rPr>
        <w:t xml:space="preserve"> class recorded the most dramatic proportional change, expanding from 25</w:t>
      </w:r>
      <w:r w:rsidR="00CA61D8">
        <w:rPr>
          <w:rFonts w:ascii="Arial" w:hAnsi="Arial" w:cs="Arial"/>
          <w:color w:val="000000"/>
          <w:sz w:val="20"/>
          <w:szCs w:val="20"/>
        </w:rPr>
        <w:t>3 km² (4.0%) to 366 km² (5.8%)</w:t>
      </w:r>
      <w:r w:rsidRPr="001E28DC">
        <w:rPr>
          <w:rFonts w:ascii="Arial" w:hAnsi="Arial" w:cs="Arial"/>
          <w:color w:val="000000"/>
          <w:sz w:val="20"/>
          <w:szCs w:val="20"/>
        </w:rPr>
        <w:t xml:space="preserve"> an increase of 113 km² (+44.66%). This is the most spatially significant finding of the study from an urban and developmental perspective. </w:t>
      </w:r>
    </w:p>
    <w:p w14:paraId="2AE63F34" w14:textId="3806907A" w:rsidR="001E28DC" w:rsidRDefault="001E28DC" w:rsidP="001E28DC">
      <w:pPr>
        <w:spacing w:before="120" w:after="120"/>
        <w:jc w:val="both"/>
        <w:rPr>
          <w:rFonts w:ascii="Arial" w:hAnsi="Arial" w:cs="Arial"/>
          <w:color w:val="000000"/>
          <w:sz w:val="20"/>
          <w:szCs w:val="20"/>
        </w:rPr>
      </w:pPr>
      <w:r w:rsidRPr="001E28DC">
        <w:rPr>
          <w:rFonts w:ascii="Arial" w:hAnsi="Arial" w:cs="Arial"/>
          <w:color w:val="000000"/>
          <w:sz w:val="20"/>
          <w:szCs w:val="20"/>
        </w:rPr>
        <w:t xml:space="preserve">The expansion is concentrated along the NH-30 (Rewa–Allahabad highway) and NH-27 (east–west corridor) alignments, where ribbon development, industrial estates, petrol pumps, roadside </w:t>
      </w:r>
      <w:r w:rsidRPr="001E28DC">
        <w:rPr>
          <w:rFonts w:ascii="Arial" w:hAnsi="Arial" w:cs="Arial"/>
          <w:color w:val="000000"/>
          <w:sz w:val="20"/>
          <w:szCs w:val="20"/>
        </w:rPr>
        <w:lastRenderedPageBreak/>
        <w:t xml:space="preserve">commerce, and peri-urban residential development have consumed agricultural and barren land in the five-year period. The elevation of </w:t>
      </w:r>
      <w:proofErr w:type="spellStart"/>
      <w:r w:rsidRPr="001E28DC">
        <w:rPr>
          <w:rFonts w:ascii="Arial" w:hAnsi="Arial" w:cs="Arial"/>
          <w:color w:val="000000"/>
          <w:sz w:val="20"/>
          <w:szCs w:val="20"/>
        </w:rPr>
        <w:t>Mauganj</w:t>
      </w:r>
      <w:proofErr w:type="spellEnd"/>
      <w:r w:rsidRPr="001E28DC">
        <w:rPr>
          <w:rFonts w:ascii="Arial" w:hAnsi="Arial" w:cs="Arial"/>
          <w:color w:val="000000"/>
          <w:sz w:val="20"/>
          <w:szCs w:val="20"/>
        </w:rPr>
        <w:t xml:space="preserve"> to a separate district in 2023 was preceded by substantial administrative and infrastructure investment that is visible as new built-up patches in the southeast of the study area. The Rewa city urban fringe also expanded visibly, particularly to the south and east along the Allahabad Road corridor.</w:t>
      </w:r>
    </w:p>
    <w:p w14:paraId="5E137AB1" w14:textId="568FA6FA" w:rsidR="001E28DC" w:rsidRDefault="00F94046" w:rsidP="001E28DC">
      <w:pPr>
        <w:spacing w:before="120" w:after="120"/>
        <w:jc w:val="both"/>
        <w:rPr>
          <w:rFonts w:ascii="Arial" w:hAnsi="Arial" w:cs="Arial"/>
          <w:color w:val="000000"/>
          <w:sz w:val="20"/>
          <w:szCs w:val="20"/>
        </w:rPr>
      </w:pPr>
      <w:r>
        <w:rPr>
          <w:rFonts w:ascii="Arial" w:hAnsi="Arial" w:cs="Arial"/>
          <w:color w:val="000000"/>
          <w:sz w:val="20"/>
          <w:szCs w:val="20"/>
        </w:rPr>
        <w:t xml:space="preserve">Waste </w:t>
      </w:r>
      <w:r w:rsidR="001E28DC" w:rsidRPr="001E28DC">
        <w:rPr>
          <w:rFonts w:ascii="Arial" w:hAnsi="Arial" w:cs="Arial"/>
          <w:color w:val="000000"/>
          <w:sz w:val="20"/>
          <w:szCs w:val="20"/>
        </w:rPr>
        <w:t>land showed the most dramatic absolute decline, falling from 1,723 km² (27.3%) to 1,484 km² (23.5%), a reduction of 239 km² (−13.87%). This is the largest absolute change of any class and is attributable to three converging processes: wasteland reclamation for cultivation in the canal command area, solar infrastructure development on degraded plateau land (the Rewa Ultra Mega Solar Power Proje</w:t>
      </w:r>
      <w:r w:rsidR="0061591B">
        <w:rPr>
          <w:rFonts w:ascii="Arial" w:hAnsi="Arial" w:cs="Arial"/>
          <w:color w:val="000000"/>
          <w:sz w:val="20"/>
          <w:szCs w:val="20"/>
        </w:rPr>
        <w:t>ct and associated developments)</w:t>
      </w:r>
      <w:r w:rsidR="001E28DC" w:rsidRPr="001E28DC">
        <w:rPr>
          <w:rFonts w:ascii="Arial" w:hAnsi="Arial" w:cs="Arial"/>
          <w:color w:val="000000"/>
          <w:sz w:val="20"/>
          <w:szCs w:val="20"/>
        </w:rPr>
        <w:t xml:space="preserve"> and partial natural succession of open scrub. The significant decline in barren land is an ecologically and developmentally positive trend, though it carries implications for groundwater recharge on rocky plateau surfaces.</w:t>
      </w:r>
    </w:p>
    <w:p w14:paraId="2C56B91C" w14:textId="5209520D" w:rsidR="001E28DC" w:rsidRPr="001E28DC" w:rsidRDefault="00BA660F" w:rsidP="001E28DC">
      <w:pPr>
        <w:spacing w:before="120" w:after="120"/>
        <w:jc w:val="both"/>
        <w:rPr>
          <w:rFonts w:ascii="Arial" w:hAnsi="Arial" w:cs="Arial"/>
          <w:sz w:val="20"/>
          <w:szCs w:val="20"/>
        </w:rPr>
      </w:pPr>
      <w:r>
        <w:rPr>
          <w:rFonts w:ascii="Arial" w:hAnsi="Arial" w:cs="Arial"/>
          <w:color w:val="000000"/>
          <w:sz w:val="20"/>
          <w:szCs w:val="20"/>
        </w:rPr>
        <w:t>Water</w:t>
      </w:r>
      <w:r w:rsidR="001E28DC" w:rsidRPr="001E28DC">
        <w:rPr>
          <w:rFonts w:ascii="Arial" w:hAnsi="Arial" w:cs="Arial"/>
          <w:color w:val="000000"/>
          <w:sz w:val="20"/>
          <w:szCs w:val="20"/>
        </w:rPr>
        <w:t xml:space="preserve"> bodies showed a marginal increase of 2 km² (+1.83%), from 109 to 111 k</w:t>
      </w:r>
      <w:r w:rsidR="001E28DC">
        <w:rPr>
          <w:rFonts w:ascii="Arial" w:hAnsi="Arial" w:cs="Arial"/>
          <w:color w:val="000000"/>
          <w:sz w:val="20"/>
          <w:szCs w:val="20"/>
        </w:rPr>
        <w:t>m². The principal water bodies</w:t>
      </w:r>
      <w:r w:rsidR="001E28DC" w:rsidRPr="001E28DC">
        <w:rPr>
          <w:rFonts w:ascii="Arial" w:hAnsi="Arial" w:cs="Arial"/>
          <w:color w:val="000000"/>
          <w:sz w:val="20"/>
          <w:szCs w:val="20"/>
        </w:rPr>
        <w:t xml:space="preserve"> Tons (Tamas) and Bihar (</w:t>
      </w:r>
      <w:proofErr w:type="spellStart"/>
      <w:r w:rsidR="0061591B">
        <w:rPr>
          <w:rFonts w:ascii="Arial" w:hAnsi="Arial" w:cs="Arial"/>
          <w:color w:val="000000"/>
          <w:sz w:val="20"/>
          <w:szCs w:val="20"/>
        </w:rPr>
        <w:t>Beehar</w:t>
      </w:r>
      <w:proofErr w:type="spellEnd"/>
      <w:r w:rsidR="0061591B">
        <w:rPr>
          <w:rFonts w:ascii="Arial" w:hAnsi="Arial" w:cs="Arial"/>
          <w:color w:val="000000"/>
          <w:sz w:val="20"/>
          <w:szCs w:val="20"/>
        </w:rPr>
        <w:t xml:space="preserve">) rivers, </w:t>
      </w:r>
      <w:proofErr w:type="spellStart"/>
      <w:r w:rsidR="0061591B">
        <w:rPr>
          <w:rFonts w:ascii="Arial" w:hAnsi="Arial" w:cs="Arial"/>
          <w:color w:val="000000"/>
          <w:sz w:val="20"/>
          <w:szCs w:val="20"/>
        </w:rPr>
        <w:t>Govindgarh</w:t>
      </w:r>
      <w:proofErr w:type="spellEnd"/>
      <w:r w:rsidR="0061591B">
        <w:rPr>
          <w:rFonts w:ascii="Arial" w:hAnsi="Arial" w:cs="Arial"/>
          <w:color w:val="000000"/>
          <w:sz w:val="20"/>
          <w:szCs w:val="20"/>
        </w:rPr>
        <w:t xml:space="preserve"> Tank</w:t>
      </w:r>
      <w:r w:rsidR="001E28DC" w:rsidRPr="001E28DC">
        <w:rPr>
          <w:rFonts w:ascii="Arial" w:hAnsi="Arial" w:cs="Arial"/>
          <w:color w:val="000000"/>
          <w:sz w:val="20"/>
          <w:szCs w:val="20"/>
        </w:rPr>
        <w:t xml:space="preserve"> and expanding canal reservoirs associ</w:t>
      </w:r>
      <w:r w:rsidR="001E28DC">
        <w:rPr>
          <w:rFonts w:ascii="Arial" w:hAnsi="Arial" w:cs="Arial"/>
          <w:color w:val="000000"/>
          <w:sz w:val="20"/>
          <w:szCs w:val="20"/>
        </w:rPr>
        <w:t xml:space="preserve">ated with the </w:t>
      </w:r>
      <w:proofErr w:type="spellStart"/>
      <w:r w:rsidR="001E28DC">
        <w:rPr>
          <w:rFonts w:ascii="Arial" w:hAnsi="Arial" w:cs="Arial"/>
          <w:color w:val="000000"/>
          <w:sz w:val="20"/>
          <w:szCs w:val="20"/>
        </w:rPr>
        <w:t>Bansagar</w:t>
      </w:r>
      <w:proofErr w:type="spellEnd"/>
      <w:r w:rsidR="001E28DC">
        <w:rPr>
          <w:rFonts w:ascii="Arial" w:hAnsi="Arial" w:cs="Arial"/>
          <w:color w:val="000000"/>
          <w:sz w:val="20"/>
          <w:szCs w:val="20"/>
        </w:rPr>
        <w:t xml:space="preserve"> </w:t>
      </w:r>
      <w:proofErr w:type="gramStart"/>
      <w:r w:rsidR="001E28DC">
        <w:rPr>
          <w:rFonts w:ascii="Arial" w:hAnsi="Arial" w:cs="Arial"/>
          <w:color w:val="000000"/>
          <w:sz w:val="20"/>
          <w:szCs w:val="20"/>
        </w:rPr>
        <w:t xml:space="preserve">project </w:t>
      </w:r>
      <w:r w:rsidR="001E28DC" w:rsidRPr="001E28DC">
        <w:rPr>
          <w:rFonts w:ascii="Arial" w:hAnsi="Arial" w:cs="Arial"/>
          <w:color w:val="000000"/>
          <w:sz w:val="20"/>
          <w:szCs w:val="20"/>
        </w:rPr>
        <w:t xml:space="preserve"> remained</w:t>
      </w:r>
      <w:proofErr w:type="gramEnd"/>
      <w:r w:rsidR="001E28DC" w:rsidRPr="001E28DC">
        <w:rPr>
          <w:rFonts w:ascii="Arial" w:hAnsi="Arial" w:cs="Arial"/>
          <w:color w:val="000000"/>
          <w:sz w:val="20"/>
          <w:szCs w:val="20"/>
        </w:rPr>
        <w:t xml:space="preserve"> largely stable. The marginal increase likely reflects expanding canal reservoir area as the irrigation network was extended during the study period.</w:t>
      </w:r>
    </w:p>
    <w:p w14:paraId="160834BA" w14:textId="1BBDF5A8" w:rsidR="00271804" w:rsidRDefault="00271804" w:rsidP="00271804">
      <w:pPr>
        <w:spacing w:before="120" w:after="120"/>
        <w:jc w:val="both"/>
        <w:rPr>
          <w:rFonts w:ascii="Arial" w:hAnsi="Arial" w:cs="Arial"/>
          <w:color w:val="000000" w:themeColor="text1"/>
          <w:sz w:val="20"/>
          <w:szCs w:val="20"/>
        </w:rPr>
      </w:pPr>
    </w:p>
    <w:p w14:paraId="256FF92A" w14:textId="77777777" w:rsidR="00CA61D8" w:rsidRPr="00CA61D8" w:rsidRDefault="00CA61D8" w:rsidP="00CA61D8">
      <w:pPr>
        <w:pStyle w:val="heading20"/>
        <w:rPr>
          <w:rFonts w:ascii="Arial" w:hAnsi="Arial" w:cs="Arial"/>
          <w:color w:val="000000" w:themeColor="text1"/>
          <w:sz w:val="22"/>
          <w:szCs w:val="22"/>
        </w:rPr>
      </w:pPr>
      <w:r w:rsidRPr="00CA61D8">
        <w:rPr>
          <w:rFonts w:ascii="Arial" w:hAnsi="Arial" w:cs="Arial"/>
          <w:color w:val="000000" w:themeColor="text1"/>
          <w:sz w:val="22"/>
          <w:szCs w:val="22"/>
        </w:rPr>
        <w:t>5.2 Net Change Analysis</w:t>
      </w:r>
    </w:p>
    <w:p w14:paraId="53B67767" w14:textId="500566B4" w:rsidR="00CA61D8" w:rsidRPr="00CA61D8" w:rsidRDefault="008D0949" w:rsidP="00CA61D8">
      <w:pPr>
        <w:spacing w:before="60" w:after="60"/>
        <w:jc w:val="center"/>
        <w:rPr>
          <w:rFonts w:ascii="Arial" w:hAnsi="Arial" w:cs="Arial"/>
          <w:color w:val="000000" w:themeColor="text1"/>
          <w:sz w:val="20"/>
          <w:szCs w:val="20"/>
        </w:rPr>
      </w:pPr>
      <w:r>
        <w:rPr>
          <w:rFonts w:ascii="Arial" w:hAnsi="Arial" w:cs="Arial"/>
          <w:color w:val="000000" w:themeColor="text1"/>
          <w:sz w:val="20"/>
          <w:szCs w:val="20"/>
        </w:rPr>
        <w:t xml:space="preserve">Table </w:t>
      </w:r>
      <w:r w:rsidR="00CA61D8" w:rsidRPr="00CA61D8">
        <w:rPr>
          <w:rFonts w:ascii="Arial" w:hAnsi="Arial" w:cs="Arial"/>
          <w:color w:val="000000" w:themeColor="text1"/>
          <w:sz w:val="20"/>
          <w:szCs w:val="20"/>
        </w:rPr>
        <w:t>5. Net change in LULC classes between 2020 and 2025, with spatial and geographical trend description</w:t>
      </w:r>
    </w:p>
    <w:tbl>
      <w:tblPr>
        <w:tblStyle w:val="LightShading-Accent1"/>
        <w:tblW w:w="9059" w:type="dxa"/>
        <w:tblLook w:val="04A0" w:firstRow="1" w:lastRow="0" w:firstColumn="1" w:lastColumn="0" w:noHBand="0" w:noVBand="1"/>
      </w:tblPr>
      <w:tblGrid>
        <w:gridCol w:w="2235"/>
        <w:gridCol w:w="1417"/>
        <w:gridCol w:w="1118"/>
        <w:gridCol w:w="4289"/>
      </w:tblGrid>
      <w:tr w:rsidR="008D0949" w:rsidRPr="00CA61D8" w14:paraId="1B9DF878" w14:textId="77777777" w:rsidTr="0061591B">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2235" w:type="dxa"/>
          </w:tcPr>
          <w:p w14:paraId="1A0F9EA2" w14:textId="77777777" w:rsidR="00CA61D8" w:rsidRPr="008D0949" w:rsidRDefault="00CA61D8" w:rsidP="004C22A6">
            <w:pPr>
              <w:jc w:val="center"/>
              <w:rPr>
                <w:rFonts w:ascii="Arial" w:hAnsi="Arial" w:cs="Arial"/>
                <w:color w:val="000000" w:themeColor="text1"/>
                <w:sz w:val="20"/>
                <w:szCs w:val="20"/>
              </w:rPr>
            </w:pPr>
            <w:r w:rsidRPr="008D0949">
              <w:rPr>
                <w:rFonts w:ascii="Arial" w:hAnsi="Arial" w:cs="Arial"/>
                <w:color w:val="000000" w:themeColor="text1"/>
                <w:sz w:val="20"/>
                <w:szCs w:val="20"/>
              </w:rPr>
              <w:t>Class</w:t>
            </w:r>
          </w:p>
        </w:tc>
        <w:tc>
          <w:tcPr>
            <w:tcW w:w="1417" w:type="dxa"/>
          </w:tcPr>
          <w:p w14:paraId="64457C20" w14:textId="6B6F4AFA" w:rsidR="00CA61D8" w:rsidRPr="008D0949" w:rsidRDefault="00CA61D8" w:rsidP="004C22A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D0949">
              <w:rPr>
                <w:rFonts w:ascii="Arial" w:hAnsi="Arial" w:cs="Arial"/>
                <w:color w:val="000000" w:themeColor="text1"/>
                <w:sz w:val="20"/>
                <w:szCs w:val="20"/>
              </w:rPr>
              <w:t>Net Change (</w:t>
            </w:r>
            <w:r w:rsidR="0061591B">
              <w:rPr>
                <w:rFonts w:ascii="Arial" w:hAnsi="Arial" w:cs="Arial"/>
                <w:color w:val="000000" w:themeColor="text1"/>
                <w:sz w:val="20"/>
                <w:szCs w:val="20"/>
              </w:rPr>
              <w:t xml:space="preserve">In </w:t>
            </w:r>
            <w:r w:rsidRPr="008D0949">
              <w:rPr>
                <w:rFonts w:ascii="Arial" w:hAnsi="Arial" w:cs="Arial"/>
                <w:color w:val="000000" w:themeColor="text1"/>
                <w:sz w:val="20"/>
                <w:szCs w:val="20"/>
              </w:rPr>
              <w:t>km²)</w:t>
            </w:r>
          </w:p>
        </w:tc>
        <w:tc>
          <w:tcPr>
            <w:tcW w:w="1118" w:type="dxa"/>
          </w:tcPr>
          <w:p w14:paraId="279C43E5" w14:textId="77777777" w:rsidR="0061591B" w:rsidRDefault="00CA61D8" w:rsidP="004C22A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D0949">
              <w:rPr>
                <w:rFonts w:ascii="Arial" w:hAnsi="Arial" w:cs="Arial"/>
                <w:color w:val="000000" w:themeColor="text1"/>
                <w:sz w:val="20"/>
                <w:szCs w:val="20"/>
              </w:rPr>
              <w:t xml:space="preserve">Change </w:t>
            </w:r>
          </w:p>
          <w:p w14:paraId="58B7B835" w14:textId="30E57166" w:rsidR="00CA61D8" w:rsidRPr="008D0949" w:rsidRDefault="00CA61D8" w:rsidP="004C22A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D0949">
              <w:rPr>
                <w:rFonts w:ascii="Arial" w:hAnsi="Arial" w:cs="Arial"/>
                <w:color w:val="000000" w:themeColor="text1"/>
                <w:sz w:val="20"/>
                <w:szCs w:val="20"/>
              </w:rPr>
              <w:t>(% pts)</w:t>
            </w:r>
          </w:p>
        </w:tc>
        <w:tc>
          <w:tcPr>
            <w:tcW w:w="4289" w:type="dxa"/>
          </w:tcPr>
          <w:p w14:paraId="1B22A844" w14:textId="77777777" w:rsidR="00CA61D8" w:rsidRPr="008D0949" w:rsidRDefault="00CA61D8" w:rsidP="004C22A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D0949">
              <w:rPr>
                <w:rFonts w:ascii="Arial" w:hAnsi="Arial" w:cs="Arial"/>
                <w:color w:val="000000" w:themeColor="text1"/>
                <w:sz w:val="20"/>
                <w:szCs w:val="20"/>
              </w:rPr>
              <w:t>Spatial &amp; Geographical Trend</w:t>
            </w:r>
          </w:p>
        </w:tc>
      </w:tr>
      <w:tr w:rsidR="008D0949" w:rsidRPr="00CA61D8" w14:paraId="7EC8403E" w14:textId="77777777" w:rsidTr="0061591B">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2235" w:type="dxa"/>
          </w:tcPr>
          <w:p w14:paraId="1651DD2D" w14:textId="066B418F" w:rsidR="00CA61D8" w:rsidRPr="00CA61D8" w:rsidRDefault="00537B5E" w:rsidP="004C22A6">
            <w:pPr>
              <w:rPr>
                <w:rFonts w:ascii="Arial" w:hAnsi="Arial" w:cs="Arial"/>
                <w:sz w:val="20"/>
                <w:szCs w:val="20"/>
              </w:rPr>
            </w:pPr>
            <w:r>
              <w:rPr>
                <w:rFonts w:ascii="Arial" w:hAnsi="Arial" w:cs="Arial"/>
                <w:color w:val="000000"/>
                <w:sz w:val="20"/>
                <w:szCs w:val="20"/>
              </w:rPr>
              <w:t>Agriculture Land</w:t>
            </w:r>
            <w:r w:rsidR="00742616">
              <w:rPr>
                <w:rFonts w:ascii="Arial" w:hAnsi="Arial" w:cs="Arial"/>
                <w:color w:val="000000"/>
                <w:sz w:val="20"/>
                <w:szCs w:val="20"/>
              </w:rPr>
              <w:t xml:space="preserve"> </w:t>
            </w:r>
            <w:proofErr w:type="spellStart"/>
            <w:r w:rsidR="00742616">
              <w:rPr>
                <w:rFonts w:ascii="Arial" w:hAnsi="Arial" w:cs="Arial"/>
                <w:color w:val="000000"/>
                <w:sz w:val="20"/>
                <w:szCs w:val="20"/>
              </w:rPr>
              <w:t>Land</w:t>
            </w:r>
            <w:proofErr w:type="spellEnd"/>
          </w:p>
        </w:tc>
        <w:tc>
          <w:tcPr>
            <w:tcW w:w="1417" w:type="dxa"/>
          </w:tcPr>
          <w:p w14:paraId="5D9EC90F" w14:textId="77777777" w:rsidR="00CA61D8" w:rsidRPr="00CA61D8" w:rsidRDefault="00CA61D8" w:rsidP="004C22A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A61D8">
              <w:rPr>
                <w:rFonts w:ascii="Arial" w:hAnsi="Arial" w:cs="Arial"/>
                <w:color w:val="006600"/>
                <w:sz w:val="20"/>
                <w:szCs w:val="20"/>
              </w:rPr>
              <w:t>+107</w:t>
            </w:r>
          </w:p>
        </w:tc>
        <w:tc>
          <w:tcPr>
            <w:tcW w:w="1118" w:type="dxa"/>
          </w:tcPr>
          <w:p w14:paraId="2F9429C1" w14:textId="77777777" w:rsidR="00CA61D8" w:rsidRPr="00CA61D8" w:rsidRDefault="00CA61D8" w:rsidP="004C22A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+1.7</w:t>
            </w:r>
          </w:p>
        </w:tc>
        <w:tc>
          <w:tcPr>
            <w:tcW w:w="4289" w:type="dxa"/>
          </w:tcPr>
          <w:p w14:paraId="62129AC4" w14:textId="77777777" w:rsidR="00CA61D8" w:rsidRPr="00CA61D8" w:rsidRDefault="00CA61D8" w:rsidP="004C22A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 xml:space="preserve">Expansion driven by </w:t>
            </w:r>
            <w:proofErr w:type="spellStart"/>
            <w:r w:rsidRPr="00CA61D8">
              <w:rPr>
                <w:rFonts w:ascii="Arial" w:hAnsi="Arial" w:cs="Arial"/>
                <w:color w:val="000000"/>
                <w:sz w:val="20"/>
                <w:szCs w:val="20"/>
              </w:rPr>
              <w:t>Bansagar</w:t>
            </w:r>
            <w:proofErr w:type="spellEnd"/>
            <w:r w:rsidRPr="00CA61D8">
              <w:rPr>
                <w:rFonts w:ascii="Arial" w:hAnsi="Arial" w:cs="Arial"/>
                <w:color w:val="000000"/>
                <w:sz w:val="20"/>
                <w:szCs w:val="20"/>
              </w:rPr>
              <w:t xml:space="preserve"> Dam irrigation network; high intensity in </w:t>
            </w:r>
            <w:proofErr w:type="spellStart"/>
            <w:r w:rsidRPr="00CA61D8">
              <w:rPr>
                <w:rFonts w:ascii="Arial" w:hAnsi="Arial" w:cs="Arial"/>
                <w:color w:val="000000"/>
                <w:sz w:val="20"/>
                <w:szCs w:val="20"/>
              </w:rPr>
              <w:t>Teonthar</w:t>
            </w:r>
            <w:proofErr w:type="spellEnd"/>
            <w:r w:rsidRPr="00CA61D8">
              <w:rPr>
                <w:rFonts w:ascii="Arial" w:hAnsi="Arial" w:cs="Arial"/>
                <w:color w:val="000000"/>
                <w:sz w:val="20"/>
                <w:szCs w:val="20"/>
              </w:rPr>
              <w:t xml:space="preserve"> and </w:t>
            </w:r>
            <w:proofErr w:type="spellStart"/>
            <w:r w:rsidRPr="00CA61D8">
              <w:rPr>
                <w:rFonts w:ascii="Arial" w:hAnsi="Arial" w:cs="Arial"/>
                <w:color w:val="000000"/>
                <w:sz w:val="20"/>
                <w:szCs w:val="20"/>
              </w:rPr>
              <w:t>Hanumana</w:t>
            </w:r>
            <w:proofErr w:type="spellEnd"/>
            <w:r w:rsidRPr="00CA61D8">
              <w:rPr>
                <w:rFonts w:ascii="Arial" w:hAnsi="Arial" w:cs="Arial"/>
                <w:color w:val="000000"/>
                <w:sz w:val="20"/>
                <w:szCs w:val="20"/>
              </w:rPr>
              <w:t xml:space="preserve"> tehsils</w:t>
            </w:r>
          </w:p>
        </w:tc>
      </w:tr>
      <w:tr w:rsidR="008D0949" w:rsidRPr="00CA61D8" w14:paraId="551A28EA" w14:textId="77777777" w:rsidTr="0061591B">
        <w:trPr>
          <w:trHeight w:val="801"/>
        </w:trPr>
        <w:tc>
          <w:tcPr>
            <w:cnfStyle w:val="001000000000" w:firstRow="0" w:lastRow="0" w:firstColumn="1" w:lastColumn="0" w:oddVBand="0" w:evenVBand="0" w:oddHBand="0" w:evenHBand="0" w:firstRowFirstColumn="0" w:firstRowLastColumn="0" w:lastRowFirstColumn="0" w:lastRowLastColumn="0"/>
            <w:tcW w:w="2235" w:type="dxa"/>
          </w:tcPr>
          <w:p w14:paraId="63559211" w14:textId="32CCC97E" w:rsidR="00CA61D8" w:rsidRPr="00CA61D8" w:rsidRDefault="00742616" w:rsidP="004C22A6">
            <w:pPr>
              <w:rPr>
                <w:rFonts w:ascii="Arial" w:hAnsi="Arial" w:cs="Arial"/>
                <w:sz w:val="20"/>
                <w:szCs w:val="20"/>
              </w:rPr>
            </w:pPr>
            <w:r w:rsidRPr="00742616">
              <w:rPr>
                <w:rFonts w:ascii="Arial" w:hAnsi="Arial" w:cs="Arial"/>
                <w:color w:val="000000" w:themeColor="text1"/>
                <w:sz w:val="20"/>
                <w:szCs w:val="20"/>
              </w:rPr>
              <w:t>Vegetation Land</w:t>
            </w:r>
          </w:p>
        </w:tc>
        <w:tc>
          <w:tcPr>
            <w:tcW w:w="1417" w:type="dxa"/>
          </w:tcPr>
          <w:p w14:paraId="64D186A4" w14:textId="77777777" w:rsidR="00CA61D8" w:rsidRPr="00CA61D8" w:rsidRDefault="00CA61D8" w:rsidP="004C22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A61D8">
              <w:rPr>
                <w:rFonts w:ascii="Arial" w:hAnsi="Arial" w:cs="Arial"/>
                <w:color w:val="006600"/>
                <w:sz w:val="20"/>
                <w:szCs w:val="20"/>
              </w:rPr>
              <w:t>+17</w:t>
            </w:r>
          </w:p>
        </w:tc>
        <w:tc>
          <w:tcPr>
            <w:tcW w:w="1118" w:type="dxa"/>
          </w:tcPr>
          <w:p w14:paraId="55273411" w14:textId="77777777" w:rsidR="00CA61D8" w:rsidRPr="00CA61D8" w:rsidRDefault="00CA61D8" w:rsidP="004C22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+0.2</w:t>
            </w:r>
          </w:p>
        </w:tc>
        <w:tc>
          <w:tcPr>
            <w:tcW w:w="4289" w:type="dxa"/>
          </w:tcPr>
          <w:p w14:paraId="5C055EFE" w14:textId="77777777" w:rsidR="00CA61D8" w:rsidRPr="00CA61D8" w:rsidRDefault="00CA61D8" w:rsidP="004C22A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Concentrated in southern Kaimur Ranges; recent growth in Open Forest and Social Forestry</w:t>
            </w:r>
          </w:p>
        </w:tc>
      </w:tr>
      <w:tr w:rsidR="0061591B" w:rsidRPr="00CA61D8" w14:paraId="3F3B6187" w14:textId="77777777" w:rsidTr="0061591B">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2235" w:type="dxa"/>
          </w:tcPr>
          <w:p w14:paraId="42B26934" w14:textId="0A23F0E7" w:rsidR="0061591B" w:rsidRPr="00742616" w:rsidRDefault="0061591B" w:rsidP="004C22A6">
            <w:pPr>
              <w:rPr>
                <w:rFonts w:ascii="Arial" w:hAnsi="Arial" w:cs="Arial"/>
                <w:color w:val="000000" w:themeColor="text1"/>
                <w:sz w:val="20"/>
                <w:szCs w:val="20"/>
              </w:rPr>
            </w:pPr>
            <w:r>
              <w:rPr>
                <w:rFonts w:ascii="Arial" w:hAnsi="Arial" w:cs="Arial"/>
                <w:color w:val="000000"/>
                <w:sz w:val="20"/>
                <w:szCs w:val="20"/>
              </w:rPr>
              <w:t xml:space="preserve">Water </w:t>
            </w:r>
            <w:r w:rsidRPr="00CA61D8">
              <w:rPr>
                <w:rFonts w:ascii="Arial" w:hAnsi="Arial" w:cs="Arial"/>
                <w:color w:val="000000"/>
                <w:sz w:val="20"/>
                <w:szCs w:val="20"/>
              </w:rPr>
              <w:t>Bodies</w:t>
            </w:r>
          </w:p>
        </w:tc>
        <w:tc>
          <w:tcPr>
            <w:tcW w:w="1417" w:type="dxa"/>
          </w:tcPr>
          <w:p w14:paraId="517AD485" w14:textId="1FDD818C" w:rsidR="0061591B" w:rsidRPr="00CA61D8" w:rsidRDefault="0061591B" w:rsidP="004C22A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6600"/>
                <w:sz w:val="20"/>
                <w:szCs w:val="20"/>
              </w:rPr>
            </w:pPr>
            <w:r w:rsidRPr="00CA61D8">
              <w:rPr>
                <w:rFonts w:ascii="Arial" w:hAnsi="Arial" w:cs="Arial"/>
                <w:color w:val="006600"/>
                <w:sz w:val="20"/>
                <w:szCs w:val="20"/>
              </w:rPr>
              <w:t>+2</w:t>
            </w:r>
          </w:p>
        </w:tc>
        <w:tc>
          <w:tcPr>
            <w:tcW w:w="1118" w:type="dxa"/>
          </w:tcPr>
          <w:p w14:paraId="7037C9FB" w14:textId="0FBF911C" w:rsidR="0061591B" w:rsidRPr="00CA61D8" w:rsidRDefault="0061591B" w:rsidP="004C22A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A61D8">
              <w:rPr>
                <w:rFonts w:ascii="Arial" w:hAnsi="Arial" w:cs="Arial"/>
                <w:color w:val="000000"/>
                <w:sz w:val="20"/>
                <w:szCs w:val="20"/>
              </w:rPr>
              <w:t>+0.1</w:t>
            </w:r>
          </w:p>
        </w:tc>
        <w:tc>
          <w:tcPr>
            <w:tcW w:w="4289" w:type="dxa"/>
          </w:tcPr>
          <w:p w14:paraId="274C8FF5" w14:textId="432E89F5" w:rsidR="0061591B" w:rsidRPr="00CA61D8" w:rsidRDefault="0061591B" w:rsidP="004C22A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A61D8">
              <w:rPr>
                <w:rFonts w:ascii="Arial" w:hAnsi="Arial" w:cs="Arial"/>
                <w:color w:val="000000"/>
                <w:sz w:val="20"/>
                <w:szCs w:val="20"/>
              </w:rPr>
              <w:t xml:space="preserve">Stable; comprising Tons (Tamas) and Bihar rivers, </w:t>
            </w:r>
            <w:proofErr w:type="spellStart"/>
            <w:r w:rsidRPr="00CA61D8">
              <w:rPr>
                <w:rFonts w:ascii="Arial" w:hAnsi="Arial" w:cs="Arial"/>
                <w:color w:val="000000"/>
                <w:sz w:val="20"/>
                <w:szCs w:val="20"/>
              </w:rPr>
              <w:t>Govindgarh</w:t>
            </w:r>
            <w:proofErr w:type="spellEnd"/>
            <w:r w:rsidRPr="00CA61D8">
              <w:rPr>
                <w:rFonts w:ascii="Arial" w:hAnsi="Arial" w:cs="Arial"/>
                <w:color w:val="000000"/>
                <w:sz w:val="20"/>
                <w:szCs w:val="20"/>
              </w:rPr>
              <w:t xml:space="preserve"> tank, and expanding canal reservoirs</w:t>
            </w:r>
          </w:p>
        </w:tc>
      </w:tr>
      <w:tr w:rsidR="0061591B" w:rsidRPr="00CA61D8" w14:paraId="3740ADE3" w14:textId="77777777" w:rsidTr="0061591B">
        <w:trPr>
          <w:trHeight w:val="524"/>
        </w:trPr>
        <w:tc>
          <w:tcPr>
            <w:cnfStyle w:val="001000000000" w:firstRow="0" w:lastRow="0" w:firstColumn="1" w:lastColumn="0" w:oddVBand="0" w:evenVBand="0" w:oddHBand="0" w:evenHBand="0" w:firstRowFirstColumn="0" w:firstRowLastColumn="0" w:lastRowFirstColumn="0" w:lastRowLastColumn="0"/>
            <w:tcW w:w="2235" w:type="dxa"/>
          </w:tcPr>
          <w:p w14:paraId="67A06F66" w14:textId="12330634" w:rsidR="0061591B" w:rsidRPr="00CA61D8" w:rsidRDefault="0061591B" w:rsidP="004C22A6">
            <w:pPr>
              <w:rPr>
                <w:rFonts w:ascii="Arial" w:hAnsi="Arial" w:cs="Arial"/>
                <w:sz w:val="20"/>
                <w:szCs w:val="20"/>
              </w:rPr>
            </w:pPr>
            <w:r>
              <w:rPr>
                <w:rFonts w:ascii="Arial" w:hAnsi="Arial" w:cs="Arial"/>
                <w:color w:val="000000"/>
                <w:sz w:val="20"/>
                <w:szCs w:val="20"/>
              </w:rPr>
              <w:t xml:space="preserve">Built-up Land </w:t>
            </w:r>
            <w:proofErr w:type="spellStart"/>
            <w:r>
              <w:rPr>
                <w:rFonts w:ascii="Arial" w:hAnsi="Arial" w:cs="Arial"/>
                <w:color w:val="000000"/>
                <w:sz w:val="20"/>
                <w:szCs w:val="20"/>
              </w:rPr>
              <w:t>Land</w:t>
            </w:r>
            <w:proofErr w:type="spellEnd"/>
          </w:p>
        </w:tc>
        <w:tc>
          <w:tcPr>
            <w:tcW w:w="1417" w:type="dxa"/>
          </w:tcPr>
          <w:p w14:paraId="10DE8675" w14:textId="77777777" w:rsidR="0061591B" w:rsidRPr="00CA61D8" w:rsidRDefault="0061591B" w:rsidP="004C22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A61D8">
              <w:rPr>
                <w:rFonts w:ascii="Arial" w:hAnsi="Arial" w:cs="Arial"/>
                <w:color w:val="CC6600"/>
                <w:sz w:val="20"/>
                <w:szCs w:val="20"/>
              </w:rPr>
              <w:t>+113</w:t>
            </w:r>
          </w:p>
        </w:tc>
        <w:tc>
          <w:tcPr>
            <w:tcW w:w="1118" w:type="dxa"/>
          </w:tcPr>
          <w:p w14:paraId="43D8E748" w14:textId="77777777" w:rsidR="0061591B" w:rsidRPr="00CA61D8" w:rsidRDefault="0061591B" w:rsidP="004C22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+1.8</w:t>
            </w:r>
          </w:p>
        </w:tc>
        <w:tc>
          <w:tcPr>
            <w:tcW w:w="4289" w:type="dxa"/>
          </w:tcPr>
          <w:p w14:paraId="732D9882" w14:textId="77777777" w:rsidR="0061591B" w:rsidRPr="00CA61D8" w:rsidRDefault="0061591B" w:rsidP="004C22A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A61D8">
              <w:rPr>
                <w:rFonts w:ascii="Arial" w:hAnsi="Arial" w:cs="Arial"/>
                <w:color w:val="000000"/>
                <w:sz w:val="20"/>
                <w:szCs w:val="20"/>
              </w:rPr>
              <w:t xml:space="preserve">Rapid sprawl along NH-30 and NH-27 corridors; new administrative hub at </w:t>
            </w:r>
            <w:proofErr w:type="spellStart"/>
            <w:r w:rsidRPr="00CA61D8">
              <w:rPr>
                <w:rFonts w:ascii="Arial" w:hAnsi="Arial" w:cs="Arial"/>
                <w:color w:val="000000"/>
                <w:sz w:val="20"/>
                <w:szCs w:val="20"/>
              </w:rPr>
              <w:t>Mauganj</w:t>
            </w:r>
            <w:proofErr w:type="spellEnd"/>
          </w:p>
        </w:tc>
      </w:tr>
      <w:tr w:rsidR="0061591B" w:rsidRPr="00CA61D8" w14:paraId="03DC5A23" w14:textId="77777777" w:rsidTr="0061591B">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235" w:type="dxa"/>
          </w:tcPr>
          <w:p w14:paraId="475B9E47" w14:textId="382D7662" w:rsidR="0061591B" w:rsidRPr="00CA61D8" w:rsidRDefault="0061591B" w:rsidP="004C22A6">
            <w:pPr>
              <w:rPr>
                <w:rFonts w:ascii="Arial" w:hAnsi="Arial" w:cs="Arial"/>
                <w:sz w:val="20"/>
                <w:szCs w:val="20"/>
              </w:rPr>
            </w:pPr>
            <w:r>
              <w:rPr>
                <w:rFonts w:ascii="Arial" w:hAnsi="Arial" w:cs="Arial"/>
                <w:color w:val="000000"/>
                <w:sz w:val="20"/>
                <w:szCs w:val="20"/>
              </w:rPr>
              <w:t>Waste</w:t>
            </w:r>
            <w:r w:rsidRPr="00CA61D8">
              <w:rPr>
                <w:rFonts w:ascii="Arial" w:hAnsi="Arial" w:cs="Arial"/>
                <w:color w:val="000000"/>
                <w:sz w:val="20"/>
                <w:szCs w:val="20"/>
              </w:rPr>
              <w:t xml:space="preserve"> Land</w:t>
            </w:r>
          </w:p>
        </w:tc>
        <w:tc>
          <w:tcPr>
            <w:tcW w:w="1417" w:type="dxa"/>
          </w:tcPr>
          <w:p w14:paraId="20D3E834" w14:textId="77777777" w:rsidR="0061591B" w:rsidRPr="00CA61D8" w:rsidRDefault="0061591B" w:rsidP="004C22A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A61D8">
              <w:rPr>
                <w:rFonts w:ascii="Arial" w:hAnsi="Arial" w:cs="Arial"/>
                <w:color w:val="CC0000"/>
                <w:sz w:val="20"/>
                <w:szCs w:val="20"/>
              </w:rPr>
              <w:t>−239</w:t>
            </w:r>
          </w:p>
        </w:tc>
        <w:tc>
          <w:tcPr>
            <w:tcW w:w="1118" w:type="dxa"/>
          </w:tcPr>
          <w:p w14:paraId="7C7FE7A2" w14:textId="77777777" w:rsidR="0061591B" w:rsidRPr="00CA61D8" w:rsidRDefault="0061591B" w:rsidP="004C22A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−3.8</w:t>
            </w:r>
          </w:p>
        </w:tc>
        <w:tc>
          <w:tcPr>
            <w:tcW w:w="4289" w:type="dxa"/>
          </w:tcPr>
          <w:p w14:paraId="51E61C66" w14:textId="77777777" w:rsidR="0061591B" w:rsidRPr="00CA61D8" w:rsidRDefault="0061591B" w:rsidP="004C22A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Significant reduction as ravines and wasteland reclaimed for agriculture or solar projects</w:t>
            </w:r>
          </w:p>
        </w:tc>
      </w:tr>
    </w:tbl>
    <w:p w14:paraId="239263C8" w14:textId="77777777" w:rsidR="00CA61D8" w:rsidRPr="00CA61D8" w:rsidRDefault="00CA61D8" w:rsidP="00CA61D8">
      <w:pPr>
        <w:spacing w:before="80" w:after="200"/>
        <w:jc w:val="center"/>
        <w:rPr>
          <w:rFonts w:ascii="Arial" w:hAnsi="Arial" w:cs="Arial"/>
          <w:sz w:val="20"/>
          <w:szCs w:val="20"/>
        </w:rPr>
      </w:pPr>
    </w:p>
    <w:p w14:paraId="420AA3BB" w14:textId="288CCB2F" w:rsidR="00CA61D8" w:rsidRDefault="00CA61D8" w:rsidP="00CA61D8">
      <w:pPr>
        <w:spacing w:before="120" w:after="120"/>
        <w:jc w:val="both"/>
        <w:rPr>
          <w:rFonts w:ascii="Arial" w:hAnsi="Arial" w:cs="Arial"/>
          <w:color w:val="000000"/>
          <w:sz w:val="20"/>
          <w:szCs w:val="20"/>
        </w:rPr>
      </w:pPr>
      <w:r w:rsidRPr="00CA61D8">
        <w:rPr>
          <w:rFonts w:ascii="Arial" w:hAnsi="Arial" w:cs="Arial"/>
          <w:color w:val="000000"/>
          <w:sz w:val="20"/>
          <w:szCs w:val="20"/>
        </w:rPr>
        <w:t xml:space="preserve">The net change pattern across the five classes reveals a coherent landscape transformation narrative. The two </w:t>
      </w:r>
      <w:r w:rsidR="00FB5548">
        <w:rPr>
          <w:rFonts w:ascii="Arial" w:hAnsi="Arial" w:cs="Arial"/>
          <w:color w:val="000000"/>
          <w:sz w:val="20"/>
          <w:szCs w:val="20"/>
        </w:rPr>
        <w:t xml:space="preserve">land-cover types that declined </w:t>
      </w:r>
      <w:r w:rsidR="00BA660F">
        <w:rPr>
          <w:rFonts w:ascii="Arial" w:hAnsi="Arial" w:cs="Arial"/>
          <w:color w:val="000000"/>
          <w:sz w:val="20"/>
          <w:szCs w:val="20"/>
        </w:rPr>
        <w:t>Waste Land</w:t>
      </w:r>
      <w:r w:rsidRPr="00CA61D8">
        <w:rPr>
          <w:rFonts w:ascii="Arial" w:hAnsi="Arial" w:cs="Arial"/>
          <w:color w:val="000000"/>
          <w:sz w:val="20"/>
          <w:szCs w:val="20"/>
        </w:rPr>
        <w:t xml:space="preserve"> (−239 km²) and, to a lesser extent, </w:t>
      </w:r>
      <w:r w:rsidR="00537B5E">
        <w:rPr>
          <w:rFonts w:ascii="Arial" w:hAnsi="Arial" w:cs="Arial"/>
          <w:color w:val="000000"/>
          <w:sz w:val="20"/>
          <w:szCs w:val="20"/>
        </w:rPr>
        <w:t>Agriculture Land</w:t>
      </w:r>
      <w:r w:rsidRPr="00CA61D8">
        <w:rPr>
          <w:rFonts w:ascii="Arial" w:hAnsi="Arial" w:cs="Arial"/>
          <w:color w:val="000000"/>
          <w:sz w:val="20"/>
          <w:szCs w:val="20"/>
        </w:rPr>
        <w:t xml:space="preserve"> (which lost area to </w:t>
      </w:r>
      <w:r w:rsidR="00F94046">
        <w:rPr>
          <w:rFonts w:ascii="Arial" w:hAnsi="Arial" w:cs="Arial"/>
          <w:color w:val="000000"/>
          <w:sz w:val="20"/>
          <w:szCs w:val="20"/>
        </w:rPr>
        <w:t>Built-up Land</w:t>
      </w:r>
      <w:r w:rsidR="0061591B">
        <w:rPr>
          <w:rFonts w:ascii="Arial" w:hAnsi="Arial" w:cs="Arial"/>
          <w:color w:val="000000"/>
          <w:sz w:val="20"/>
          <w:szCs w:val="20"/>
        </w:rPr>
        <w:t xml:space="preserve"> while gaining from Barren)</w:t>
      </w:r>
      <w:r w:rsidRPr="00CA61D8">
        <w:rPr>
          <w:rFonts w:ascii="Arial" w:hAnsi="Arial" w:cs="Arial"/>
          <w:color w:val="000000"/>
          <w:sz w:val="20"/>
          <w:szCs w:val="20"/>
        </w:rPr>
        <w:t xml:space="preserve"> fed the two growing classes: </w:t>
      </w:r>
      <w:r w:rsidR="00F94046">
        <w:rPr>
          <w:rFonts w:ascii="Arial" w:hAnsi="Arial" w:cs="Arial"/>
          <w:color w:val="000000"/>
          <w:sz w:val="20"/>
          <w:szCs w:val="20"/>
        </w:rPr>
        <w:t>Built-up Land</w:t>
      </w:r>
      <w:r w:rsidRPr="00CA61D8">
        <w:rPr>
          <w:rFonts w:ascii="Arial" w:hAnsi="Arial" w:cs="Arial"/>
          <w:color w:val="000000"/>
          <w:sz w:val="20"/>
          <w:szCs w:val="20"/>
        </w:rPr>
        <w:t xml:space="preserve"> (+113 km²) and </w:t>
      </w:r>
      <w:r w:rsidR="00537B5E">
        <w:rPr>
          <w:rFonts w:ascii="Arial" w:hAnsi="Arial" w:cs="Arial"/>
          <w:color w:val="000000"/>
          <w:sz w:val="20"/>
          <w:szCs w:val="20"/>
        </w:rPr>
        <w:t>Agriculture Land</w:t>
      </w:r>
      <w:r w:rsidRPr="00CA61D8">
        <w:rPr>
          <w:rFonts w:ascii="Arial" w:hAnsi="Arial" w:cs="Arial"/>
          <w:color w:val="000000"/>
          <w:sz w:val="20"/>
          <w:szCs w:val="20"/>
        </w:rPr>
        <w:t xml:space="preserve"> net (+107 km²). The gross source of new land for both agriculture and built-up was overwhelmingly the large barren land reservoir, which at 27.3% of the district in 2020 represented the most available, lowest-productivity, and institutionally accessible land category for conversion.</w:t>
      </w:r>
    </w:p>
    <w:p w14:paraId="2F4A7263" w14:textId="77777777" w:rsidR="00537B5E" w:rsidRDefault="00537B5E" w:rsidP="00BA660F">
      <w:pPr>
        <w:spacing w:before="80" w:after="200"/>
        <w:rPr>
          <w:rFonts w:ascii="Arial" w:hAnsi="Arial" w:cs="Arial"/>
          <w:color w:val="000000" w:themeColor="text1"/>
          <w:sz w:val="20"/>
          <w:szCs w:val="20"/>
        </w:rPr>
      </w:pPr>
    </w:p>
    <w:p w14:paraId="053EA7B9" w14:textId="31CCEF9E" w:rsidR="00537B5E" w:rsidRDefault="00537B5E" w:rsidP="00537B5E">
      <w:pPr>
        <w:spacing w:before="80" w:after="200"/>
        <w:jc w:val="center"/>
        <w:rPr>
          <w:rFonts w:ascii="Arial" w:hAnsi="Arial" w:cs="Arial"/>
          <w:color w:val="000000" w:themeColor="text1"/>
          <w:sz w:val="20"/>
          <w:szCs w:val="20"/>
        </w:rPr>
      </w:pPr>
      <w:r>
        <w:rPr>
          <w:rFonts w:ascii="Arial" w:hAnsi="Arial" w:cs="Arial"/>
          <w:noProof/>
          <w:color w:val="000000" w:themeColor="text1"/>
          <w:sz w:val="20"/>
          <w:szCs w:val="20"/>
          <w:lang w:val="en-IN" w:eastAsia="en-IN" w:bidi="hi-IN"/>
        </w:rPr>
        <w:lastRenderedPageBreak/>
        <w:drawing>
          <wp:inline distT="0" distB="0" distL="0" distR="0" wp14:anchorId="37D86245" wp14:editId="033EBBD9">
            <wp:extent cx="5270500" cy="2578100"/>
            <wp:effectExtent l="0" t="0" r="0" b="0"/>
            <wp:docPr id="13191282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128258" name="Picture 1319128258"/>
                    <pic:cNvPicPr/>
                  </pic:nvPicPr>
                  <pic:blipFill>
                    <a:blip r:embed="rId13">
                      <a:extLst>
                        <a:ext uri="{28A0092B-C50C-407E-A947-70E740481C1C}">
                          <a14:useLocalDpi xmlns:a14="http://schemas.microsoft.com/office/drawing/2010/main" val="0"/>
                        </a:ext>
                      </a:extLst>
                    </a:blip>
                    <a:stretch>
                      <a:fillRect/>
                    </a:stretch>
                  </pic:blipFill>
                  <pic:spPr>
                    <a:xfrm>
                      <a:off x="0" y="0"/>
                      <a:ext cx="5270500" cy="2578100"/>
                    </a:xfrm>
                    <a:prstGeom prst="rect">
                      <a:avLst/>
                    </a:prstGeom>
                  </pic:spPr>
                </pic:pic>
              </a:graphicData>
            </a:graphic>
          </wp:inline>
        </w:drawing>
      </w:r>
    </w:p>
    <w:p w14:paraId="173D7CE4" w14:textId="500D29DE" w:rsidR="00CA61D8" w:rsidRPr="00CA61D8" w:rsidRDefault="00CA61D8" w:rsidP="00537B5E">
      <w:pPr>
        <w:spacing w:before="80" w:after="200"/>
        <w:jc w:val="center"/>
        <w:rPr>
          <w:rFonts w:ascii="Arial" w:hAnsi="Arial" w:cs="Arial"/>
          <w:color w:val="000000" w:themeColor="text1"/>
          <w:sz w:val="20"/>
          <w:szCs w:val="20"/>
        </w:rPr>
      </w:pPr>
      <w:r>
        <w:rPr>
          <w:rFonts w:ascii="Arial" w:hAnsi="Arial" w:cs="Arial"/>
          <w:color w:val="000000" w:themeColor="text1"/>
          <w:sz w:val="20"/>
          <w:szCs w:val="20"/>
        </w:rPr>
        <w:t>Fig.</w:t>
      </w:r>
      <w:r w:rsidR="008D0949">
        <w:rPr>
          <w:rFonts w:ascii="Arial" w:hAnsi="Arial" w:cs="Arial"/>
          <w:color w:val="000000" w:themeColor="text1"/>
          <w:sz w:val="20"/>
          <w:szCs w:val="20"/>
        </w:rPr>
        <w:t xml:space="preserve"> 6</w:t>
      </w:r>
      <w:r w:rsidRPr="00CA61D8">
        <w:rPr>
          <w:rFonts w:ascii="Arial" w:hAnsi="Arial" w:cs="Arial"/>
          <w:color w:val="000000" w:themeColor="text1"/>
          <w:sz w:val="20"/>
          <w:szCs w:val="20"/>
        </w:rPr>
        <w:t xml:space="preserve">. Net change in LULC classes between 2020 and 2025 (km²). Positive values indicate gains; </w:t>
      </w:r>
      <w:r w:rsidR="00F24EA3">
        <w:rPr>
          <w:rFonts w:ascii="Arial" w:hAnsi="Arial" w:cs="Arial"/>
          <w:color w:val="000000" w:themeColor="text1"/>
          <w:sz w:val="20"/>
          <w:szCs w:val="20"/>
        </w:rPr>
        <w:t>negative values indicate losses</w:t>
      </w:r>
    </w:p>
    <w:p w14:paraId="2CECE669" w14:textId="26D605C4" w:rsidR="00CA61D8" w:rsidRPr="00CA61D8" w:rsidRDefault="00CA61D8" w:rsidP="00CA61D8">
      <w:pPr>
        <w:spacing w:before="120" w:after="120"/>
        <w:jc w:val="both"/>
        <w:rPr>
          <w:rFonts w:ascii="Arial" w:hAnsi="Arial" w:cs="Arial"/>
          <w:sz w:val="20"/>
          <w:szCs w:val="20"/>
        </w:rPr>
      </w:pPr>
      <w:r w:rsidRPr="00CA61D8">
        <w:rPr>
          <w:rFonts w:ascii="Arial" w:hAnsi="Arial" w:cs="Arial"/>
          <w:color w:val="000000"/>
          <w:sz w:val="20"/>
          <w:szCs w:val="20"/>
        </w:rPr>
        <w:t xml:space="preserve">The simultaneous growth of both </w:t>
      </w:r>
      <w:r w:rsidR="00F94046">
        <w:rPr>
          <w:rFonts w:ascii="Arial" w:hAnsi="Arial" w:cs="Arial"/>
          <w:color w:val="000000"/>
          <w:sz w:val="20"/>
          <w:szCs w:val="20"/>
        </w:rPr>
        <w:t>Built-up Land</w:t>
      </w:r>
      <w:r w:rsidRPr="00CA61D8">
        <w:rPr>
          <w:rFonts w:ascii="Arial" w:hAnsi="Arial" w:cs="Arial"/>
          <w:color w:val="000000"/>
          <w:sz w:val="20"/>
          <w:szCs w:val="20"/>
        </w:rPr>
        <w:t xml:space="preserve"> and </w:t>
      </w:r>
      <w:r w:rsidR="00537B5E">
        <w:rPr>
          <w:rFonts w:ascii="Arial" w:hAnsi="Arial" w:cs="Arial"/>
          <w:color w:val="000000"/>
          <w:sz w:val="20"/>
          <w:szCs w:val="20"/>
        </w:rPr>
        <w:t>Agriculture Land</w:t>
      </w:r>
      <w:r w:rsidRPr="00CA61D8">
        <w:rPr>
          <w:rFonts w:ascii="Arial" w:hAnsi="Arial" w:cs="Arial"/>
          <w:color w:val="000000"/>
          <w:sz w:val="20"/>
          <w:szCs w:val="20"/>
        </w:rPr>
        <w:t xml:space="preserve">, while </w:t>
      </w:r>
      <w:r w:rsidR="00F94046">
        <w:rPr>
          <w:rFonts w:ascii="Arial" w:hAnsi="Arial" w:cs="Arial"/>
          <w:color w:val="000000"/>
          <w:sz w:val="20"/>
          <w:szCs w:val="20"/>
        </w:rPr>
        <w:t>Waste land d</w:t>
      </w:r>
      <w:r w:rsidRPr="00CA61D8">
        <w:rPr>
          <w:rFonts w:ascii="Arial" w:hAnsi="Arial" w:cs="Arial"/>
          <w:color w:val="000000"/>
          <w:sz w:val="20"/>
          <w:szCs w:val="20"/>
        </w:rPr>
        <w:t xml:space="preserve">eclines, is consistent with a district in active developmental transition: the Rewa Ultra Mega Solar Project has converted degraded land to solar infrastructure (mapped as </w:t>
      </w:r>
      <w:r w:rsidR="00F94046">
        <w:rPr>
          <w:rFonts w:ascii="Arial" w:hAnsi="Arial" w:cs="Arial"/>
          <w:color w:val="000000"/>
          <w:sz w:val="20"/>
          <w:szCs w:val="20"/>
        </w:rPr>
        <w:t>Built-up Land</w:t>
      </w:r>
      <w:r w:rsidRPr="00CA61D8">
        <w:rPr>
          <w:rFonts w:ascii="Arial" w:hAnsi="Arial" w:cs="Arial"/>
          <w:color w:val="000000"/>
          <w:sz w:val="20"/>
          <w:szCs w:val="20"/>
        </w:rPr>
        <w:t xml:space="preserve"> due to its impervious surface signal), the </w:t>
      </w:r>
      <w:proofErr w:type="spellStart"/>
      <w:r w:rsidRPr="00CA61D8">
        <w:rPr>
          <w:rFonts w:ascii="Arial" w:hAnsi="Arial" w:cs="Arial"/>
          <w:color w:val="000000"/>
          <w:sz w:val="20"/>
          <w:szCs w:val="20"/>
        </w:rPr>
        <w:t>Bansagar</w:t>
      </w:r>
      <w:proofErr w:type="spellEnd"/>
      <w:r w:rsidRPr="00CA61D8">
        <w:rPr>
          <w:rFonts w:ascii="Arial" w:hAnsi="Arial" w:cs="Arial"/>
          <w:color w:val="000000"/>
          <w:sz w:val="20"/>
          <w:szCs w:val="20"/>
        </w:rPr>
        <w:t xml:space="preserve"> irrigation network has converted fallow ravine-fringe land to cultivation, and the NH-30 corridor has </w:t>
      </w:r>
      <w:proofErr w:type="spellStart"/>
      <w:r w:rsidRPr="00CA61D8">
        <w:rPr>
          <w:rFonts w:ascii="Arial" w:hAnsi="Arial" w:cs="Arial"/>
          <w:color w:val="000000"/>
          <w:sz w:val="20"/>
          <w:szCs w:val="20"/>
        </w:rPr>
        <w:t>catalysed</w:t>
      </w:r>
      <w:proofErr w:type="spellEnd"/>
      <w:r w:rsidRPr="00CA61D8">
        <w:rPr>
          <w:rFonts w:ascii="Arial" w:hAnsi="Arial" w:cs="Arial"/>
          <w:color w:val="000000"/>
          <w:sz w:val="20"/>
          <w:szCs w:val="20"/>
        </w:rPr>
        <w:t xml:space="preserve"> highway-led </w:t>
      </w:r>
      <w:proofErr w:type="spellStart"/>
      <w:r w:rsidRPr="00CA61D8">
        <w:rPr>
          <w:rFonts w:ascii="Arial" w:hAnsi="Arial" w:cs="Arial"/>
          <w:color w:val="000000"/>
          <w:sz w:val="20"/>
          <w:szCs w:val="20"/>
        </w:rPr>
        <w:t>urbanisation</w:t>
      </w:r>
      <w:proofErr w:type="spellEnd"/>
      <w:r w:rsidRPr="00CA61D8">
        <w:rPr>
          <w:rFonts w:ascii="Arial" w:hAnsi="Arial" w:cs="Arial"/>
          <w:color w:val="000000"/>
          <w:sz w:val="20"/>
          <w:szCs w:val="20"/>
        </w:rPr>
        <w:t>. These three processes together explain the pattern more effectively than any single driver.</w:t>
      </w:r>
    </w:p>
    <w:p w14:paraId="17500ABC" w14:textId="77777777" w:rsidR="00CA61D8" w:rsidRPr="00F24EA3" w:rsidRDefault="007F6B63" w:rsidP="00CA61D8">
      <w:pPr>
        <w:spacing w:before="280" w:after="160"/>
        <w:rPr>
          <w:rFonts w:ascii="Arial" w:hAnsi="Arial" w:cs="Arial"/>
          <w:color w:val="000000" w:themeColor="text1"/>
          <w:sz w:val="22"/>
          <w:szCs w:val="22"/>
        </w:rPr>
      </w:pPr>
      <w:r>
        <w:rPr>
          <w:rFonts w:ascii="Arial" w:hAnsi="Arial" w:cs="Arial"/>
          <w:b/>
          <w:bCs/>
          <w:color w:val="000000" w:themeColor="text1"/>
          <w:sz w:val="22"/>
          <w:szCs w:val="22"/>
        </w:rPr>
        <w:t>5.3</w:t>
      </w:r>
      <w:r w:rsidR="00CA61D8" w:rsidRPr="00F24EA3">
        <w:rPr>
          <w:rFonts w:ascii="Arial" w:hAnsi="Arial" w:cs="Arial"/>
          <w:b/>
          <w:bCs/>
          <w:color w:val="000000" w:themeColor="text1"/>
          <w:sz w:val="22"/>
          <w:szCs w:val="22"/>
        </w:rPr>
        <w:t xml:space="preserve"> Transition Analysis</w:t>
      </w:r>
    </w:p>
    <w:p w14:paraId="74B897CC" w14:textId="77777777" w:rsidR="00CA61D8" w:rsidRPr="00F24EA3" w:rsidRDefault="008D0949" w:rsidP="00F24EA3">
      <w:pPr>
        <w:spacing w:before="60" w:after="60"/>
        <w:jc w:val="center"/>
        <w:rPr>
          <w:rFonts w:ascii="Arial" w:hAnsi="Arial" w:cs="Arial"/>
          <w:color w:val="000000" w:themeColor="text1"/>
          <w:sz w:val="20"/>
          <w:szCs w:val="20"/>
        </w:rPr>
      </w:pPr>
      <w:r>
        <w:rPr>
          <w:rFonts w:ascii="Arial" w:hAnsi="Arial" w:cs="Arial"/>
          <w:color w:val="000000" w:themeColor="text1"/>
          <w:sz w:val="20"/>
          <w:szCs w:val="20"/>
        </w:rPr>
        <w:t>Table 6</w:t>
      </w:r>
      <w:r w:rsidR="00F24EA3" w:rsidRPr="00F24EA3">
        <w:rPr>
          <w:rFonts w:ascii="Arial" w:hAnsi="Arial" w:cs="Arial"/>
          <w:color w:val="000000" w:themeColor="text1"/>
          <w:sz w:val="20"/>
          <w:szCs w:val="20"/>
        </w:rPr>
        <w:t>. Major estimated land-cover transi</w:t>
      </w:r>
      <w:r>
        <w:rPr>
          <w:rFonts w:ascii="Arial" w:hAnsi="Arial" w:cs="Arial"/>
          <w:color w:val="000000" w:themeColor="text1"/>
          <w:sz w:val="20"/>
          <w:szCs w:val="20"/>
        </w:rPr>
        <w:t>tions, Rewa District, 2020–2025</w:t>
      </w:r>
    </w:p>
    <w:tbl>
      <w:tblPr>
        <w:tblStyle w:val="LightShading-Accent1"/>
        <w:tblW w:w="8755" w:type="dxa"/>
        <w:tblLayout w:type="fixed"/>
        <w:tblLook w:val="04A0" w:firstRow="1" w:lastRow="0" w:firstColumn="1" w:lastColumn="0" w:noHBand="0" w:noVBand="1"/>
      </w:tblPr>
      <w:tblGrid>
        <w:gridCol w:w="1534"/>
        <w:gridCol w:w="1976"/>
        <w:gridCol w:w="1134"/>
        <w:gridCol w:w="709"/>
        <w:gridCol w:w="3402"/>
      </w:tblGrid>
      <w:tr w:rsidR="008D0949" w:rsidRPr="00CA61D8" w14:paraId="08FB41FF" w14:textId="77777777" w:rsidTr="00AE22F2">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534" w:type="dxa"/>
            <w:vAlign w:val="center"/>
          </w:tcPr>
          <w:p w14:paraId="68A47494" w14:textId="77777777" w:rsidR="00CA61D8" w:rsidRPr="008D0949" w:rsidRDefault="00CA61D8" w:rsidP="008D0949">
            <w:pPr>
              <w:rPr>
                <w:rFonts w:ascii="Arial" w:hAnsi="Arial" w:cs="Arial"/>
                <w:color w:val="000000" w:themeColor="text1"/>
                <w:sz w:val="20"/>
                <w:szCs w:val="20"/>
              </w:rPr>
            </w:pPr>
            <w:r w:rsidRPr="008D0949">
              <w:rPr>
                <w:rFonts w:ascii="Arial" w:hAnsi="Arial" w:cs="Arial"/>
                <w:color w:val="000000" w:themeColor="text1"/>
                <w:sz w:val="20"/>
                <w:szCs w:val="20"/>
              </w:rPr>
              <w:t>From Class</w:t>
            </w:r>
          </w:p>
        </w:tc>
        <w:tc>
          <w:tcPr>
            <w:tcW w:w="1976" w:type="dxa"/>
            <w:vAlign w:val="center"/>
          </w:tcPr>
          <w:p w14:paraId="08193B32" w14:textId="77777777" w:rsidR="00CA61D8" w:rsidRPr="008D0949" w:rsidRDefault="00CA61D8" w:rsidP="008D0949">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D0949">
              <w:rPr>
                <w:rFonts w:ascii="Arial" w:hAnsi="Arial" w:cs="Arial"/>
                <w:color w:val="000000" w:themeColor="text1"/>
                <w:sz w:val="20"/>
                <w:szCs w:val="20"/>
              </w:rPr>
              <w:t>To Class</w:t>
            </w:r>
          </w:p>
        </w:tc>
        <w:tc>
          <w:tcPr>
            <w:tcW w:w="1134" w:type="dxa"/>
            <w:vAlign w:val="center"/>
          </w:tcPr>
          <w:p w14:paraId="0F04C045" w14:textId="77777777" w:rsidR="00AE22F2" w:rsidRDefault="00CA61D8" w:rsidP="008D0949">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D0949">
              <w:rPr>
                <w:rFonts w:ascii="Arial" w:hAnsi="Arial" w:cs="Arial"/>
                <w:color w:val="000000" w:themeColor="text1"/>
                <w:sz w:val="20"/>
                <w:szCs w:val="20"/>
              </w:rPr>
              <w:t xml:space="preserve">Est. Area </w:t>
            </w:r>
          </w:p>
          <w:p w14:paraId="4B009015" w14:textId="4450E30B" w:rsidR="00CA61D8" w:rsidRPr="008D0949" w:rsidRDefault="00CA61D8" w:rsidP="008D0949">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D0949">
              <w:rPr>
                <w:rFonts w:ascii="Arial" w:hAnsi="Arial" w:cs="Arial"/>
                <w:color w:val="000000" w:themeColor="text1"/>
                <w:sz w:val="20"/>
                <w:szCs w:val="20"/>
              </w:rPr>
              <w:t>(</w:t>
            </w:r>
            <w:r w:rsidR="00AE22F2">
              <w:rPr>
                <w:rFonts w:ascii="Arial" w:hAnsi="Arial" w:cs="Arial"/>
                <w:color w:val="000000" w:themeColor="text1"/>
                <w:sz w:val="20"/>
                <w:szCs w:val="20"/>
              </w:rPr>
              <w:t xml:space="preserve">In </w:t>
            </w:r>
            <w:r w:rsidRPr="008D0949">
              <w:rPr>
                <w:rFonts w:ascii="Arial" w:hAnsi="Arial" w:cs="Arial"/>
                <w:color w:val="000000" w:themeColor="text1"/>
                <w:sz w:val="20"/>
                <w:szCs w:val="20"/>
              </w:rPr>
              <w:t>km²)</w:t>
            </w:r>
          </w:p>
        </w:tc>
        <w:tc>
          <w:tcPr>
            <w:tcW w:w="709" w:type="dxa"/>
            <w:vAlign w:val="center"/>
          </w:tcPr>
          <w:p w14:paraId="6FA441D4" w14:textId="77777777" w:rsidR="00CA61D8" w:rsidRPr="008D0949" w:rsidRDefault="00CA61D8" w:rsidP="008D0949">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D0949">
              <w:rPr>
                <w:rFonts w:ascii="Arial" w:hAnsi="Arial" w:cs="Arial"/>
                <w:color w:val="000000" w:themeColor="text1"/>
                <w:sz w:val="20"/>
                <w:szCs w:val="20"/>
              </w:rPr>
              <w:t>Rank</w:t>
            </w:r>
          </w:p>
        </w:tc>
        <w:tc>
          <w:tcPr>
            <w:tcW w:w="3402" w:type="dxa"/>
            <w:vAlign w:val="center"/>
          </w:tcPr>
          <w:p w14:paraId="0B7E57CE" w14:textId="77777777" w:rsidR="00CA61D8" w:rsidRPr="008D0949" w:rsidRDefault="00CA61D8" w:rsidP="008D0949">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D0949">
              <w:rPr>
                <w:rFonts w:ascii="Arial" w:hAnsi="Arial" w:cs="Arial"/>
                <w:color w:val="000000" w:themeColor="text1"/>
                <w:sz w:val="20"/>
                <w:szCs w:val="20"/>
              </w:rPr>
              <w:t>Interpretation</w:t>
            </w:r>
          </w:p>
        </w:tc>
      </w:tr>
      <w:tr w:rsidR="008D0949" w:rsidRPr="00CA61D8" w14:paraId="1E1A9FB1" w14:textId="77777777" w:rsidTr="00AE22F2">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534" w:type="dxa"/>
            <w:vAlign w:val="center"/>
          </w:tcPr>
          <w:p w14:paraId="2A1F840B" w14:textId="489B00EE" w:rsidR="00CA61D8" w:rsidRPr="00CA61D8" w:rsidRDefault="00537B5E" w:rsidP="008D0949">
            <w:pPr>
              <w:rPr>
                <w:rFonts w:ascii="Arial" w:hAnsi="Arial" w:cs="Arial"/>
                <w:sz w:val="20"/>
                <w:szCs w:val="20"/>
              </w:rPr>
            </w:pPr>
            <w:r>
              <w:rPr>
                <w:rFonts w:ascii="Arial" w:hAnsi="Arial" w:cs="Arial"/>
                <w:color w:val="000000"/>
                <w:sz w:val="20"/>
                <w:szCs w:val="20"/>
              </w:rPr>
              <w:t>Waste</w:t>
            </w:r>
            <w:r w:rsidR="00CA61D8" w:rsidRPr="00CA61D8">
              <w:rPr>
                <w:rFonts w:ascii="Arial" w:hAnsi="Arial" w:cs="Arial"/>
                <w:color w:val="000000"/>
                <w:sz w:val="20"/>
                <w:szCs w:val="20"/>
              </w:rPr>
              <w:t xml:space="preserve"> Land</w:t>
            </w:r>
          </w:p>
        </w:tc>
        <w:tc>
          <w:tcPr>
            <w:tcW w:w="1976" w:type="dxa"/>
            <w:vAlign w:val="center"/>
          </w:tcPr>
          <w:p w14:paraId="16195A83" w14:textId="0059CDCB" w:rsidR="00CA61D8" w:rsidRPr="00CA61D8" w:rsidRDefault="00537B5E" w:rsidP="008D094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color w:val="000000"/>
                <w:sz w:val="20"/>
                <w:szCs w:val="20"/>
              </w:rPr>
              <w:t>Agriculture Land</w:t>
            </w:r>
          </w:p>
        </w:tc>
        <w:tc>
          <w:tcPr>
            <w:tcW w:w="1134" w:type="dxa"/>
            <w:vAlign w:val="center"/>
          </w:tcPr>
          <w:p w14:paraId="65B21620" w14:textId="77777777" w:rsidR="00CA61D8" w:rsidRPr="00CA61D8" w:rsidRDefault="00CA61D8" w:rsidP="008D094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~142</w:t>
            </w:r>
          </w:p>
        </w:tc>
        <w:tc>
          <w:tcPr>
            <w:tcW w:w="709" w:type="dxa"/>
            <w:vAlign w:val="center"/>
          </w:tcPr>
          <w:p w14:paraId="7C07AEDA" w14:textId="77777777" w:rsidR="00CA61D8" w:rsidRPr="00CA61D8" w:rsidRDefault="00CA61D8" w:rsidP="008D094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1</w:t>
            </w:r>
          </w:p>
        </w:tc>
        <w:tc>
          <w:tcPr>
            <w:tcW w:w="3402" w:type="dxa"/>
            <w:vAlign w:val="center"/>
          </w:tcPr>
          <w:p w14:paraId="4DCBCA3F" w14:textId="06E0C6AF" w:rsidR="00CA61D8" w:rsidRPr="00CA61D8" w:rsidRDefault="00CA61D8" w:rsidP="008D094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Waste</w:t>
            </w:r>
            <w:r w:rsidR="00F94046">
              <w:rPr>
                <w:rFonts w:ascii="Arial" w:hAnsi="Arial" w:cs="Arial"/>
                <w:color w:val="000000"/>
                <w:sz w:val="20"/>
                <w:szCs w:val="20"/>
              </w:rPr>
              <w:t xml:space="preserve"> </w:t>
            </w:r>
            <w:r w:rsidRPr="00CA61D8">
              <w:rPr>
                <w:rFonts w:ascii="Arial" w:hAnsi="Arial" w:cs="Arial"/>
                <w:color w:val="000000"/>
                <w:sz w:val="20"/>
                <w:szCs w:val="20"/>
              </w:rPr>
              <w:t>land/ravine reclamation for cultivation</w:t>
            </w:r>
          </w:p>
        </w:tc>
      </w:tr>
      <w:tr w:rsidR="008D0949" w:rsidRPr="00CA61D8" w14:paraId="1898BBBD" w14:textId="77777777" w:rsidTr="00AE22F2">
        <w:trPr>
          <w:trHeight w:val="519"/>
        </w:trPr>
        <w:tc>
          <w:tcPr>
            <w:cnfStyle w:val="001000000000" w:firstRow="0" w:lastRow="0" w:firstColumn="1" w:lastColumn="0" w:oddVBand="0" w:evenVBand="0" w:oddHBand="0" w:evenHBand="0" w:firstRowFirstColumn="0" w:firstRowLastColumn="0" w:lastRowFirstColumn="0" w:lastRowLastColumn="0"/>
            <w:tcW w:w="1534" w:type="dxa"/>
            <w:vAlign w:val="center"/>
          </w:tcPr>
          <w:p w14:paraId="7E6D03BE" w14:textId="75CC9D74" w:rsidR="00CA61D8" w:rsidRPr="00CA61D8" w:rsidRDefault="00537B5E" w:rsidP="008D0949">
            <w:pPr>
              <w:rPr>
                <w:rFonts w:ascii="Arial" w:hAnsi="Arial" w:cs="Arial"/>
                <w:sz w:val="20"/>
                <w:szCs w:val="20"/>
              </w:rPr>
            </w:pPr>
            <w:r>
              <w:rPr>
                <w:rFonts w:ascii="Arial" w:hAnsi="Arial" w:cs="Arial"/>
                <w:color w:val="000000"/>
                <w:sz w:val="20"/>
                <w:szCs w:val="20"/>
              </w:rPr>
              <w:t>Waste</w:t>
            </w:r>
            <w:r w:rsidR="00CA61D8" w:rsidRPr="00CA61D8">
              <w:rPr>
                <w:rFonts w:ascii="Arial" w:hAnsi="Arial" w:cs="Arial"/>
                <w:color w:val="000000"/>
                <w:sz w:val="20"/>
                <w:szCs w:val="20"/>
              </w:rPr>
              <w:t xml:space="preserve"> Land</w:t>
            </w:r>
          </w:p>
        </w:tc>
        <w:tc>
          <w:tcPr>
            <w:tcW w:w="1976" w:type="dxa"/>
            <w:vAlign w:val="center"/>
          </w:tcPr>
          <w:p w14:paraId="373583F0" w14:textId="77C722FA" w:rsidR="00CA61D8" w:rsidRPr="00CA61D8" w:rsidRDefault="00F94046" w:rsidP="008D094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color w:val="000000"/>
                <w:sz w:val="20"/>
                <w:szCs w:val="20"/>
              </w:rPr>
              <w:t>Built-up Land</w:t>
            </w:r>
            <w:r w:rsidR="00537B5E">
              <w:rPr>
                <w:rFonts w:ascii="Arial" w:hAnsi="Arial" w:cs="Arial"/>
                <w:color w:val="000000"/>
                <w:sz w:val="20"/>
                <w:szCs w:val="20"/>
              </w:rPr>
              <w:t xml:space="preserve"> </w:t>
            </w:r>
            <w:proofErr w:type="spellStart"/>
            <w:r w:rsidR="00537B5E">
              <w:rPr>
                <w:rFonts w:ascii="Arial" w:hAnsi="Arial" w:cs="Arial"/>
                <w:color w:val="000000"/>
                <w:sz w:val="20"/>
                <w:szCs w:val="20"/>
              </w:rPr>
              <w:t>Land</w:t>
            </w:r>
            <w:proofErr w:type="spellEnd"/>
          </w:p>
        </w:tc>
        <w:tc>
          <w:tcPr>
            <w:tcW w:w="1134" w:type="dxa"/>
            <w:vAlign w:val="center"/>
          </w:tcPr>
          <w:p w14:paraId="1B136807" w14:textId="77777777" w:rsidR="00CA61D8" w:rsidRPr="00CA61D8" w:rsidRDefault="00CA61D8" w:rsidP="008D094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~67</w:t>
            </w:r>
          </w:p>
        </w:tc>
        <w:tc>
          <w:tcPr>
            <w:tcW w:w="709" w:type="dxa"/>
            <w:vAlign w:val="center"/>
          </w:tcPr>
          <w:p w14:paraId="528AA637" w14:textId="77777777" w:rsidR="00CA61D8" w:rsidRPr="00CA61D8" w:rsidRDefault="00CA61D8" w:rsidP="008D094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2</w:t>
            </w:r>
          </w:p>
        </w:tc>
        <w:tc>
          <w:tcPr>
            <w:tcW w:w="3402" w:type="dxa"/>
            <w:vAlign w:val="center"/>
          </w:tcPr>
          <w:p w14:paraId="2C17655F" w14:textId="77777777" w:rsidR="00CA61D8" w:rsidRPr="00CA61D8" w:rsidRDefault="00CA61D8" w:rsidP="008D094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Infrastructure &amp; solar project development on degraded land</w:t>
            </w:r>
          </w:p>
        </w:tc>
      </w:tr>
      <w:tr w:rsidR="008D0949" w:rsidRPr="00CA61D8" w14:paraId="78E94817" w14:textId="77777777" w:rsidTr="00AE22F2">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534" w:type="dxa"/>
            <w:vAlign w:val="center"/>
          </w:tcPr>
          <w:p w14:paraId="36670D6A" w14:textId="68623B4A" w:rsidR="00CA61D8" w:rsidRPr="00CA61D8" w:rsidRDefault="00537B5E" w:rsidP="008D0949">
            <w:pPr>
              <w:rPr>
                <w:rFonts w:ascii="Arial" w:hAnsi="Arial" w:cs="Arial"/>
                <w:sz w:val="20"/>
                <w:szCs w:val="20"/>
              </w:rPr>
            </w:pPr>
            <w:r>
              <w:rPr>
                <w:rFonts w:ascii="Arial" w:hAnsi="Arial" w:cs="Arial"/>
                <w:color w:val="000000"/>
                <w:sz w:val="20"/>
                <w:szCs w:val="20"/>
              </w:rPr>
              <w:t>Agriculture Land</w:t>
            </w:r>
          </w:p>
        </w:tc>
        <w:tc>
          <w:tcPr>
            <w:tcW w:w="1976" w:type="dxa"/>
            <w:vAlign w:val="center"/>
          </w:tcPr>
          <w:p w14:paraId="2A7A677D" w14:textId="65E8774A" w:rsidR="00CA61D8" w:rsidRPr="00CA61D8" w:rsidRDefault="00F94046" w:rsidP="008D094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color w:val="000000"/>
                <w:sz w:val="20"/>
                <w:szCs w:val="20"/>
              </w:rPr>
              <w:t>Built-up Land</w:t>
            </w:r>
            <w:r w:rsidR="00537B5E">
              <w:rPr>
                <w:rFonts w:ascii="Arial" w:hAnsi="Arial" w:cs="Arial"/>
                <w:color w:val="000000"/>
                <w:sz w:val="20"/>
                <w:szCs w:val="20"/>
              </w:rPr>
              <w:t xml:space="preserve"> </w:t>
            </w:r>
            <w:proofErr w:type="spellStart"/>
            <w:r w:rsidR="00537B5E">
              <w:rPr>
                <w:rFonts w:ascii="Arial" w:hAnsi="Arial" w:cs="Arial"/>
                <w:color w:val="000000"/>
                <w:sz w:val="20"/>
                <w:szCs w:val="20"/>
              </w:rPr>
              <w:t>Land</w:t>
            </w:r>
            <w:proofErr w:type="spellEnd"/>
          </w:p>
        </w:tc>
        <w:tc>
          <w:tcPr>
            <w:tcW w:w="1134" w:type="dxa"/>
            <w:vAlign w:val="center"/>
          </w:tcPr>
          <w:p w14:paraId="34E0E0EE" w14:textId="77777777" w:rsidR="00CA61D8" w:rsidRPr="00CA61D8" w:rsidRDefault="00CA61D8" w:rsidP="008D094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~46</w:t>
            </w:r>
          </w:p>
        </w:tc>
        <w:tc>
          <w:tcPr>
            <w:tcW w:w="709" w:type="dxa"/>
            <w:vAlign w:val="center"/>
          </w:tcPr>
          <w:p w14:paraId="3221DEFB" w14:textId="77777777" w:rsidR="00CA61D8" w:rsidRPr="00CA61D8" w:rsidRDefault="00CA61D8" w:rsidP="008D094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3</w:t>
            </w:r>
          </w:p>
        </w:tc>
        <w:tc>
          <w:tcPr>
            <w:tcW w:w="3402" w:type="dxa"/>
            <w:vAlign w:val="center"/>
          </w:tcPr>
          <w:p w14:paraId="587418D3" w14:textId="77777777" w:rsidR="00CA61D8" w:rsidRPr="00CA61D8" w:rsidRDefault="00CA61D8" w:rsidP="008D094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Peri-urban fringe conversion along highway corridors</w:t>
            </w:r>
          </w:p>
        </w:tc>
      </w:tr>
      <w:tr w:rsidR="008D0949" w:rsidRPr="00CA61D8" w14:paraId="049E6C94" w14:textId="77777777" w:rsidTr="00AE22F2">
        <w:trPr>
          <w:trHeight w:val="519"/>
        </w:trPr>
        <w:tc>
          <w:tcPr>
            <w:cnfStyle w:val="001000000000" w:firstRow="0" w:lastRow="0" w:firstColumn="1" w:lastColumn="0" w:oddVBand="0" w:evenVBand="0" w:oddHBand="0" w:evenHBand="0" w:firstRowFirstColumn="0" w:firstRowLastColumn="0" w:lastRowFirstColumn="0" w:lastRowLastColumn="0"/>
            <w:tcW w:w="1534" w:type="dxa"/>
            <w:vAlign w:val="center"/>
          </w:tcPr>
          <w:p w14:paraId="287F9AB6" w14:textId="7EA0AA01" w:rsidR="00CA61D8" w:rsidRPr="00CA61D8" w:rsidRDefault="00537B5E" w:rsidP="008D0949">
            <w:pPr>
              <w:rPr>
                <w:rFonts w:ascii="Arial" w:hAnsi="Arial" w:cs="Arial"/>
                <w:sz w:val="20"/>
                <w:szCs w:val="20"/>
              </w:rPr>
            </w:pPr>
            <w:r>
              <w:rPr>
                <w:rFonts w:ascii="Arial" w:hAnsi="Arial" w:cs="Arial"/>
                <w:color w:val="000000"/>
                <w:sz w:val="20"/>
                <w:szCs w:val="20"/>
              </w:rPr>
              <w:t>Waste</w:t>
            </w:r>
            <w:r w:rsidR="00CA61D8" w:rsidRPr="00CA61D8">
              <w:rPr>
                <w:rFonts w:ascii="Arial" w:hAnsi="Arial" w:cs="Arial"/>
                <w:color w:val="000000"/>
                <w:sz w:val="20"/>
                <w:szCs w:val="20"/>
              </w:rPr>
              <w:t xml:space="preserve"> Land</w:t>
            </w:r>
          </w:p>
        </w:tc>
        <w:tc>
          <w:tcPr>
            <w:tcW w:w="1976" w:type="dxa"/>
            <w:vAlign w:val="center"/>
          </w:tcPr>
          <w:p w14:paraId="425EF170" w14:textId="4B359DA2" w:rsidR="00CA61D8" w:rsidRPr="00CA61D8" w:rsidRDefault="00537B5E" w:rsidP="008D094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37B5E">
              <w:rPr>
                <w:rFonts w:ascii="Arial" w:hAnsi="Arial" w:cs="Arial"/>
                <w:color w:val="000000" w:themeColor="text1"/>
                <w:sz w:val="20"/>
                <w:szCs w:val="20"/>
              </w:rPr>
              <w:t>Vegetation Land</w:t>
            </w:r>
          </w:p>
        </w:tc>
        <w:tc>
          <w:tcPr>
            <w:tcW w:w="1134" w:type="dxa"/>
            <w:vAlign w:val="center"/>
          </w:tcPr>
          <w:p w14:paraId="4F612DCD" w14:textId="77777777" w:rsidR="00CA61D8" w:rsidRPr="00CA61D8" w:rsidRDefault="00CA61D8" w:rsidP="008D094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~29</w:t>
            </w:r>
          </w:p>
        </w:tc>
        <w:tc>
          <w:tcPr>
            <w:tcW w:w="709" w:type="dxa"/>
            <w:vAlign w:val="center"/>
          </w:tcPr>
          <w:p w14:paraId="5E2702B0" w14:textId="77777777" w:rsidR="00CA61D8" w:rsidRPr="00CA61D8" w:rsidRDefault="00CA61D8" w:rsidP="008D094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4</w:t>
            </w:r>
          </w:p>
        </w:tc>
        <w:tc>
          <w:tcPr>
            <w:tcW w:w="3402" w:type="dxa"/>
            <w:vAlign w:val="center"/>
          </w:tcPr>
          <w:p w14:paraId="199F0563" w14:textId="77777777" w:rsidR="00CA61D8" w:rsidRPr="00CA61D8" w:rsidRDefault="00CA61D8" w:rsidP="008D094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Natural scrub succession and social forestry on degraded land</w:t>
            </w:r>
          </w:p>
        </w:tc>
      </w:tr>
      <w:tr w:rsidR="008D0949" w:rsidRPr="00CA61D8" w14:paraId="2B1852A9" w14:textId="77777777" w:rsidTr="00AE22F2">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534" w:type="dxa"/>
            <w:vAlign w:val="center"/>
          </w:tcPr>
          <w:p w14:paraId="4CB8136D" w14:textId="01EECEB1" w:rsidR="00CA61D8" w:rsidRPr="00CA61D8" w:rsidRDefault="00537B5E" w:rsidP="008D0949">
            <w:pPr>
              <w:rPr>
                <w:rFonts w:ascii="Arial" w:hAnsi="Arial" w:cs="Arial"/>
                <w:sz w:val="20"/>
                <w:szCs w:val="20"/>
              </w:rPr>
            </w:pPr>
            <w:r w:rsidRPr="00537B5E">
              <w:rPr>
                <w:rFonts w:ascii="Arial" w:hAnsi="Arial" w:cs="Arial"/>
                <w:color w:val="000000" w:themeColor="text1"/>
                <w:sz w:val="20"/>
                <w:szCs w:val="20"/>
              </w:rPr>
              <w:t>Vegetation Land</w:t>
            </w:r>
          </w:p>
        </w:tc>
        <w:tc>
          <w:tcPr>
            <w:tcW w:w="1976" w:type="dxa"/>
            <w:vAlign w:val="center"/>
          </w:tcPr>
          <w:p w14:paraId="4CCE1623" w14:textId="66264FE8" w:rsidR="00CA61D8" w:rsidRPr="00CA61D8" w:rsidRDefault="00537B5E" w:rsidP="008D094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color w:val="000000"/>
                <w:sz w:val="20"/>
                <w:szCs w:val="20"/>
              </w:rPr>
              <w:t xml:space="preserve">Agriculture Land </w:t>
            </w:r>
            <w:proofErr w:type="spellStart"/>
            <w:r>
              <w:rPr>
                <w:rFonts w:ascii="Arial" w:hAnsi="Arial" w:cs="Arial"/>
                <w:color w:val="000000"/>
                <w:sz w:val="20"/>
                <w:szCs w:val="20"/>
              </w:rPr>
              <w:t>Land</w:t>
            </w:r>
            <w:proofErr w:type="spellEnd"/>
          </w:p>
        </w:tc>
        <w:tc>
          <w:tcPr>
            <w:tcW w:w="1134" w:type="dxa"/>
            <w:vAlign w:val="center"/>
          </w:tcPr>
          <w:p w14:paraId="193418E1" w14:textId="77777777" w:rsidR="00CA61D8" w:rsidRPr="00CA61D8" w:rsidRDefault="00CA61D8" w:rsidP="008D094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~12</w:t>
            </w:r>
          </w:p>
        </w:tc>
        <w:tc>
          <w:tcPr>
            <w:tcW w:w="709" w:type="dxa"/>
            <w:vAlign w:val="center"/>
          </w:tcPr>
          <w:p w14:paraId="7EAB333F" w14:textId="77777777" w:rsidR="00CA61D8" w:rsidRPr="00CA61D8" w:rsidRDefault="00CA61D8" w:rsidP="008D094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5</w:t>
            </w:r>
          </w:p>
        </w:tc>
        <w:tc>
          <w:tcPr>
            <w:tcW w:w="3402" w:type="dxa"/>
            <w:vAlign w:val="center"/>
          </w:tcPr>
          <w:p w14:paraId="08D9EAFB" w14:textId="77777777" w:rsidR="00CA61D8" w:rsidRPr="00CA61D8" w:rsidRDefault="00CA61D8" w:rsidP="008D094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Limited encroachment on forest-agriculture boundary fringe</w:t>
            </w:r>
          </w:p>
        </w:tc>
      </w:tr>
      <w:tr w:rsidR="008D0949" w:rsidRPr="00CA61D8" w14:paraId="42296AC0" w14:textId="77777777" w:rsidTr="00AE22F2">
        <w:trPr>
          <w:trHeight w:val="519"/>
        </w:trPr>
        <w:tc>
          <w:tcPr>
            <w:cnfStyle w:val="001000000000" w:firstRow="0" w:lastRow="0" w:firstColumn="1" w:lastColumn="0" w:oddVBand="0" w:evenVBand="0" w:oddHBand="0" w:evenHBand="0" w:firstRowFirstColumn="0" w:firstRowLastColumn="0" w:lastRowFirstColumn="0" w:lastRowLastColumn="0"/>
            <w:tcW w:w="1534" w:type="dxa"/>
            <w:vAlign w:val="center"/>
          </w:tcPr>
          <w:p w14:paraId="5F27EF11" w14:textId="1B8973C9" w:rsidR="00CA61D8" w:rsidRPr="00CA61D8" w:rsidRDefault="00537B5E" w:rsidP="008D0949">
            <w:pPr>
              <w:rPr>
                <w:rFonts w:ascii="Arial" w:hAnsi="Arial" w:cs="Arial"/>
                <w:sz w:val="20"/>
                <w:szCs w:val="20"/>
              </w:rPr>
            </w:pPr>
            <w:r>
              <w:rPr>
                <w:rFonts w:ascii="Arial" w:hAnsi="Arial" w:cs="Arial"/>
                <w:color w:val="000000"/>
                <w:sz w:val="20"/>
                <w:szCs w:val="20"/>
              </w:rPr>
              <w:t xml:space="preserve">Agriculture Land </w:t>
            </w:r>
          </w:p>
        </w:tc>
        <w:tc>
          <w:tcPr>
            <w:tcW w:w="1976" w:type="dxa"/>
            <w:vAlign w:val="center"/>
          </w:tcPr>
          <w:p w14:paraId="1A0B3891" w14:textId="1885454E" w:rsidR="00CA61D8" w:rsidRPr="00CA61D8" w:rsidRDefault="00537B5E" w:rsidP="008D094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37B5E">
              <w:rPr>
                <w:rFonts w:ascii="Arial" w:hAnsi="Arial" w:cs="Arial"/>
                <w:color w:val="000000" w:themeColor="text1"/>
                <w:sz w:val="20"/>
                <w:szCs w:val="20"/>
              </w:rPr>
              <w:t>Waste Land</w:t>
            </w:r>
          </w:p>
        </w:tc>
        <w:tc>
          <w:tcPr>
            <w:tcW w:w="1134" w:type="dxa"/>
            <w:vAlign w:val="center"/>
          </w:tcPr>
          <w:p w14:paraId="3B85E0E7" w14:textId="77777777" w:rsidR="00CA61D8" w:rsidRPr="00CA61D8" w:rsidRDefault="00CA61D8" w:rsidP="008D094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~9</w:t>
            </w:r>
          </w:p>
        </w:tc>
        <w:tc>
          <w:tcPr>
            <w:tcW w:w="709" w:type="dxa"/>
            <w:vAlign w:val="center"/>
          </w:tcPr>
          <w:p w14:paraId="1A11C9AC" w14:textId="77777777" w:rsidR="00CA61D8" w:rsidRPr="00CA61D8" w:rsidRDefault="00CA61D8" w:rsidP="008D094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6</w:t>
            </w:r>
          </w:p>
        </w:tc>
        <w:tc>
          <w:tcPr>
            <w:tcW w:w="3402" w:type="dxa"/>
            <w:vAlign w:val="center"/>
          </w:tcPr>
          <w:p w14:paraId="37729776" w14:textId="77777777" w:rsidR="00CA61D8" w:rsidRPr="00CA61D8" w:rsidRDefault="00CA61D8" w:rsidP="008D094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Post-harvest fallow / seasonal soil exposure</w:t>
            </w:r>
          </w:p>
        </w:tc>
      </w:tr>
      <w:tr w:rsidR="008D0949" w:rsidRPr="00CA61D8" w14:paraId="7D886370" w14:textId="77777777" w:rsidTr="00AE22F2">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534" w:type="dxa"/>
            <w:vAlign w:val="center"/>
          </w:tcPr>
          <w:p w14:paraId="49F11C45" w14:textId="032BB346" w:rsidR="00CA61D8" w:rsidRPr="00CA61D8" w:rsidRDefault="00537B5E" w:rsidP="008D0949">
            <w:pPr>
              <w:rPr>
                <w:rFonts w:ascii="Arial" w:hAnsi="Arial" w:cs="Arial"/>
                <w:sz w:val="20"/>
                <w:szCs w:val="20"/>
              </w:rPr>
            </w:pPr>
            <w:r>
              <w:rPr>
                <w:rFonts w:ascii="Arial" w:hAnsi="Arial" w:cs="Arial"/>
                <w:color w:val="000000"/>
                <w:sz w:val="20"/>
                <w:szCs w:val="20"/>
              </w:rPr>
              <w:t xml:space="preserve">Agriculture Land </w:t>
            </w:r>
          </w:p>
        </w:tc>
        <w:tc>
          <w:tcPr>
            <w:tcW w:w="1976" w:type="dxa"/>
            <w:vAlign w:val="center"/>
          </w:tcPr>
          <w:p w14:paraId="41D658B6" w14:textId="744FB453" w:rsidR="00CA61D8" w:rsidRPr="00CA61D8" w:rsidRDefault="00537B5E" w:rsidP="008D094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7B5E">
              <w:rPr>
                <w:rFonts w:ascii="Arial" w:hAnsi="Arial" w:cs="Arial"/>
                <w:color w:val="000000" w:themeColor="text1"/>
                <w:sz w:val="20"/>
                <w:szCs w:val="20"/>
              </w:rPr>
              <w:t>Vegetation Land</w:t>
            </w:r>
          </w:p>
        </w:tc>
        <w:tc>
          <w:tcPr>
            <w:tcW w:w="1134" w:type="dxa"/>
            <w:vAlign w:val="center"/>
          </w:tcPr>
          <w:p w14:paraId="57160932" w14:textId="77777777" w:rsidR="00CA61D8" w:rsidRPr="00CA61D8" w:rsidRDefault="00CA61D8" w:rsidP="008D094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~7</w:t>
            </w:r>
          </w:p>
        </w:tc>
        <w:tc>
          <w:tcPr>
            <w:tcW w:w="709" w:type="dxa"/>
            <w:vAlign w:val="center"/>
          </w:tcPr>
          <w:p w14:paraId="036B9D28" w14:textId="77777777" w:rsidR="00CA61D8" w:rsidRPr="00CA61D8" w:rsidRDefault="00CA61D8" w:rsidP="008D094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7</w:t>
            </w:r>
          </w:p>
        </w:tc>
        <w:tc>
          <w:tcPr>
            <w:tcW w:w="3402" w:type="dxa"/>
            <w:vAlign w:val="center"/>
          </w:tcPr>
          <w:p w14:paraId="5278C0C7" w14:textId="77777777" w:rsidR="00CA61D8" w:rsidRPr="00CA61D8" w:rsidRDefault="00CA61D8" w:rsidP="008D094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Natural regeneration on marginal farmland</w:t>
            </w:r>
          </w:p>
        </w:tc>
      </w:tr>
    </w:tbl>
    <w:p w14:paraId="745BB506" w14:textId="77777777" w:rsidR="00CA61D8" w:rsidRPr="00CA61D8" w:rsidRDefault="00F24EA3" w:rsidP="00F24EA3">
      <w:pPr>
        <w:spacing w:before="80" w:after="200"/>
        <w:rPr>
          <w:rFonts w:ascii="Arial" w:hAnsi="Arial" w:cs="Arial"/>
          <w:sz w:val="20"/>
          <w:szCs w:val="20"/>
        </w:rPr>
      </w:pPr>
      <w:r>
        <w:rPr>
          <w:rFonts w:ascii="Arial" w:hAnsi="Arial" w:cs="Arial"/>
          <w:i/>
          <w:iCs/>
          <w:color w:val="444444"/>
          <w:sz w:val="20"/>
          <w:szCs w:val="20"/>
        </w:rPr>
        <w:t>*</w:t>
      </w:r>
      <w:r w:rsidR="00CA61D8" w:rsidRPr="00CA61D8">
        <w:rPr>
          <w:rFonts w:ascii="Arial" w:hAnsi="Arial" w:cs="Arial"/>
          <w:i/>
          <w:iCs/>
          <w:color w:val="444444"/>
          <w:sz w:val="20"/>
          <w:szCs w:val="20"/>
        </w:rPr>
        <w:t>Area values are GEE-computed estimates from the post-clas</w:t>
      </w:r>
      <w:r>
        <w:rPr>
          <w:rFonts w:ascii="Arial" w:hAnsi="Arial" w:cs="Arial"/>
          <w:i/>
          <w:iCs/>
          <w:color w:val="444444"/>
          <w:sz w:val="20"/>
          <w:szCs w:val="20"/>
        </w:rPr>
        <w:t xml:space="preserve">sification change matrix; minor </w:t>
      </w:r>
      <w:r w:rsidR="00CA61D8" w:rsidRPr="00CA61D8">
        <w:rPr>
          <w:rFonts w:ascii="Arial" w:hAnsi="Arial" w:cs="Arial"/>
          <w:i/>
          <w:iCs/>
          <w:color w:val="444444"/>
          <w:sz w:val="20"/>
          <w:szCs w:val="20"/>
        </w:rPr>
        <w:t>transitions below ~5 km² are not shown.</w:t>
      </w:r>
    </w:p>
    <w:p w14:paraId="7D3C9240" w14:textId="441A4E7C" w:rsidR="00CA61D8" w:rsidRPr="00CA61D8" w:rsidRDefault="00BA660F" w:rsidP="00F24EA3">
      <w:pPr>
        <w:spacing w:before="120" w:after="120"/>
        <w:jc w:val="both"/>
        <w:rPr>
          <w:rFonts w:ascii="Arial" w:hAnsi="Arial" w:cs="Arial"/>
          <w:sz w:val="20"/>
          <w:szCs w:val="20"/>
        </w:rPr>
      </w:pPr>
      <w:r>
        <w:rPr>
          <w:rFonts w:ascii="Arial" w:hAnsi="Arial" w:cs="Arial"/>
          <w:color w:val="000000"/>
          <w:sz w:val="20"/>
          <w:szCs w:val="20"/>
        </w:rPr>
        <w:t>Waste Land</w:t>
      </w:r>
      <w:r w:rsidR="00CA61D8" w:rsidRPr="00CA61D8">
        <w:rPr>
          <w:rFonts w:ascii="Arial" w:hAnsi="Arial" w:cs="Arial"/>
          <w:color w:val="000000"/>
          <w:sz w:val="20"/>
          <w:szCs w:val="20"/>
        </w:rPr>
        <w:t xml:space="preserve"> was the dominant source class in the transition matrix, contributing to gains in </w:t>
      </w:r>
      <w:r w:rsidR="00537B5E">
        <w:rPr>
          <w:rFonts w:ascii="Arial" w:hAnsi="Arial" w:cs="Arial"/>
          <w:color w:val="000000"/>
          <w:sz w:val="20"/>
          <w:szCs w:val="20"/>
        </w:rPr>
        <w:t>Agriculture Land</w:t>
      </w:r>
      <w:r w:rsidR="00CA61D8" w:rsidRPr="00CA61D8">
        <w:rPr>
          <w:rFonts w:ascii="Arial" w:hAnsi="Arial" w:cs="Arial"/>
          <w:color w:val="000000"/>
          <w:sz w:val="20"/>
          <w:szCs w:val="20"/>
        </w:rPr>
        <w:t xml:space="preserve">, </w:t>
      </w:r>
      <w:r w:rsidR="00F94046">
        <w:rPr>
          <w:rFonts w:ascii="Arial" w:hAnsi="Arial" w:cs="Arial"/>
          <w:color w:val="000000"/>
          <w:sz w:val="20"/>
          <w:szCs w:val="20"/>
        </w:rPr>
        <w:t>Built-up Land</w:t>
      </w:r>
      <w:r w:rsidR="00CA61D8" w:rsidRPr="00CA61D8">
        <w:rPr>
          <w:rFonts w:ascii="Arial" w:hAnsi="Arial" w:cs="Arial"/>
          <w:color w:val="000000"/>
          <w:sz w:val="20"/>
          <w:szCs w:val="20"/>
        </w:rPr>
        <w:t xml:space="preserve"> and </w:t>
      </w:r>
      <w:r>
        <w:rPr>
          <w:rFonts w:ascii="Arial" w:hAnsi="Arial" w:cs="Arial"/>
          <w:color w:val="000000"/>
          <w:sz w:val="20"/>
          <w:szCs w:val="20"/>
        </w:rPr>
        <w:t>Vegetation Land</w:t>
      </w:r>
      <w:r w:rsidR="00CA61D8" w:rsidRPr="00CA61D8">
        <w:rPr>
          <w:rFonts w:ascii="Arial" w:hAnsi="Arial" w:cs="Arial"/>
          <w:color w:val="000000"/>
          <w:sz w:val="20"/>
          <w:szCs w:val="20"/>
        </w:rPr>
        <w:t xml:space="preserve"> simultaneously. The Barren-to-</w:t>
      </w:r>
      <w:r w:rsidR="00537B5E">
        <w:rPr>
          <w:rFonts w:ascii="Arial" w:hAnsi="Arial" w:cs="Arial"/>
          <w:color w:val="000000"/>
          <w:sz w:val="20"/>
          <w:szCs w:val="20"/>
        </w:rPr>
        <w:t>Agriculture Land</w:t>
      </w:r>
      <w:r w:rsidR="00CA61D8" w:rsidRPr="00CA61D8">
        <w:rPr>
          <w:rFonts w:ascii="Arial" w:hAnsi="Arial" w:cs="Arial"/>
          <w:color w:val="000000"/>
          <w:sz w:val="20"/>
          <w:szCs w:val="20"/>
        </w:rPr>
        <w:t xml:space="preserve"> transition (~142 km²) is the single largest identified transition, reflecting the reclamation of ravi</w:t>
      </w:r>
      <w:r w:rsidR="00F24EA3">
        <w:rPr>
          <w:rFonts w:ascii="Arial" w:hAnsi="Arial" w:cs="Arial"/>
          <w:color w:val="000000"/>
          <w:sz w:val="20"/>
          <w:szCs w:val="20"/>
        </w:rPr>
        <w:t xml:space="preserve">nes and degraded plateau land </w:t>
      </w:r>
      <w:r w:rsidR="00CA61D8" w:rsidRPr="00CA61D8">
        <w:rPr>
          <w:rFonts w:ascii="Arial" w:hAnsi="Arial" w:cs="Arial"/>
          <w:color w:val="000000"/>
          <w:sz w:val="20"/>
          <w:szCs w:val="20"/>
        </w:rPr>
        <w:t>primarily in the Tons valley a</w:t>
      </w:r>
      <w:r w:rsidR="00F24EA3">
        <w:rPr>
          <w:rFonts w:ascii="Arial" w:hAnsi="Arial" w:cs="Arial"/>
          <w:color w:val="000000"/>
          <w:sz w:val="20"/>
          <w:szCs w:val="20"/>
        </w:rPr>
        <w:t>nd the southern plateau fringe</w:t>
      </w:r>
      <w:r w:rsidR="00CA61D8" w:rsidRPr="00CA61D8">
        <w:rPr>
          <w:rFonts w:ascii="Arial" w:hAnsi="Arial" w:cs="Arial"/>
          <w:color w:val="000000"/>
          <w:sz w:val="20"/>
          <w:szCs w:val="20"/>
        </w:rPr>
        <w:t xml:space="preserve"> for cultivation, driven by the </w:t>
      </w:r>
      <w:proofErr w:type="spellStart"/>
      <w:r w:rsidR="00CA61D8" w:rsidRPr="00CA61D8">
        <w:rPr>
          <w:rFonts w:ascii="Arial" w:hAnsi="Arial" w:cs="Arial"/>
          <w:color w:val="000000"/>
          <w:sz w:val="20"/>
          <w:szCs w:val="20"/>
        </w:rPr>
        <w:t>Bansagar</w:t>
      </w:r>
      <w:proofErr w:type="spellEnd"/>
      <w:r w:rsidR="00CA61D8" w:rsidRPr="00CA61D8">
        <w:rPr>
          <w:rFonts w:ascii="Arial" w:hAnsi="Arial" w:cs="Arial"/>
          <w:color w:val="000000"/>
          <w:sz w:val="20"/>
          <w:szCs w:val="20"/>
        </w:rPr>
        <w:t xml:space="preserve"> canal extension and government wasteland development schemes. The Barren-to-</w:t>
      </w:r>
      <w:r w:rsidR="00F94046">
        <w:rPr>
          <w:rFonts w:ascii="Arial" w:hAnsi="Arial" w:cs="Arial"/>
          <w:color w:val="000000"/>
          <w:sz w:val="20"/>
          <w:szCs w:val="20"/>
        </w:rPr>
        <w:t>Built-up Land</w:t>
      </w:r>
      <w:r w:rsidR="00CA61D8" w:rsidRPr="00CA61D8">
        <w:rPr>
          <w:rFonts w:ascii="Arial" w:hAnsi="Arial" w:cs="Arial"/>
          <w:color w:val="000000"/>
          <w:sz w:val="20"/>
          <w:szCs w:val="20"/>
        </w:rPr>
        <w:t xml:space="preserve"> transition (~67 km²) captures the conversion of degraded land to solar parks and associated infrastructure, as well as new construction on previously uncultivated land in the </w:t>
      </w:r>
      <w:proofErr w:type="spellStart"/>
      <w:r w:rsidR="00CA61D8" w:rsidRPr="00CA61D8">
        <w:rPr>
          <w:rFonts w:ascii="Arial" w:hAnsi="Arial" w:cs="Arial"/>
          <w:color w:val="000000"/>
          <w:sz w:val="20"/>
          <w:szCs w:val="20"/>
        </w:rPr>
        <w:t>Mauganj</w:t>
      </w:r>
      <w:proofErr w:type="spellEnd"/>
      <w:r w:rsidR="00CA61D8" w:rsidRPr="00CA61D8">
        <w:rPr>
          <w:rFonts w:ascii="Arial" w:hAnsi="Arial" w:cs="Arial"/>
          <w:color w:val="000000"/>
          <w:sz w:val="20"/>
          <w:szCs w:val="20"/>
        </w:rPr>
        <w:t xml:space="preserve"> area.</w:t>
      </w:r>
    </w:p>
    <w:p w14:paraId="17C390D2" w14:textId="241E01F9" w:rsidR="00CA61D8" w:rsidRDefault="00CA61D8" w:rsidP="00F24EA3">
      <w:pPr>
        <w:spacing w:before="120" w:after="120"/>
        <w:jc w:val="both"/>
        <w:rPr>
          <w:rFonts w:ascii="Arial" w:hAnsi="Arial" w:cs="Arial"/>
          <w:color w:val="000000"/>
          <w:sz w:val="20"/>
          <w:szCs w:val="20"/>
        </w:rPr>
      </w:pPr>
      <w:r w:rsidRPr="00CA61D8">
        <w:rPr>
          <w:rFonts w:ascii="Arial" w:hAnsi="Arial" w:cs="Arial"/>
          <w:color w:val="000000"/>
          <w:sz w:val="20"/>
          <w:szCs w:val="20"/>
        </w:rPr>
        <w:lastRenderedPageBreak/>
        <w:t xml:space="preserve">The </w:t>
      </w:r>
      <w:r w:rsidR="00537B5E">
        <w:rPr>
          <w:rFonts w:ascii="Arial" w:hAnsi="Arial" w:cs="Arial"/>
          <w:color w:val="000000"/>
          <w:sz w:val="20"/>
          <w:szCs w:val="20"/>
        </w:rPr>
        <w:t>Agriculture Land</w:t>
      </w:r>
      <w:r w:rsidRPr="00CA61D8">
        <w:rPr>
          <w:rFonts w:ascii="Arial" w:hAnsi="Arial" w:cs="Arial"/>
          <w:color w:val="000000"/>
          <w:sz w:val="20"/>
          <w:szCs w:val="20"/>
        </w:rPr>
        <w:t>-to-</w:t>
      </w:r>
      <w:r w:rsidR="00F94046">
        <w:rPr>
          <w:rFonts w:ascii="Arial" w:hAnsi="Arial" w:cs="Arial"/>
          <w:color w:val="000000"/>
          <w:sz w:val="20"/>
          <w:szCs w:val="20"/>
        </w:rPr>
        <w:t>Built-up Land</w:t>
      </w:r>
      <w:r w:rsidRPr="00CA61D8">
        <w:rPr>
          <w:rFonts w:ascii="Arial" w:hAnsi="Arial" w:cs="Arial"/>
          <w:color w:val="000000"/>
          <w:sz w:val="20"/>
          <w:szCs w:val="20"/>
        </w:rPr>
        <w:t xml:space="preserve"> transition (~46 km²) represents genuine conversion of cultivated land to impervious surfaces, primarily at the peri-urban fringe of Rewa city and along the NH corridors. This transition is directionally credible and represents permanent, irreversible land-use change. The Barren-to-</w:t>
      </w:r>
      <w:r w:rsidR="00BA660F">
        <w:rPr>
          <w:rFonts w:ascii="Arial" w:hAnsi="Arial" w:cs="Arial"/>
          <w:color w:val="000000"/>
          <w:sz w:val="20"/>
          <w:szCs w:val="20"/>
        </w:rPr>
        <w:t>Vegetation Land</w:t>
      </w:r>
      <w:r w:rsidRPr="00CA61D8">
        <w:rPr>
          <w:rFonts w:ascii="Arial" w:hAnsi="Arial" w:cs="Arial"/>
          <w:color w:val="000000"/>
          <w:sz w:val="20"/>
          <w:szCs w:val="20"/>
        </w:rPr>
        <w:t xml:space="preserve"> transition (~29 km²) reflects natural scrub succession and Social Forestry plantations on degraded land along the Kaimur escarpment. The </w:t>
      </w:r>
      <w:r w:rsidR="00BA660F">
        <w:rPr>
          <w:rFonts w:ascii="Arial" w:hAnsi="Arial" w:cs="Arial"/>
          <w:color w:val="000000"/>
          <w:sz w:val="20"/>
          <w:szCs w:val="20"/>
        </w:rPr>
        <w:t>Vegetation Land</w:t>
      </w:r>
      <w:r w:rsidRPr="00CA61D8">
        <w:rPr>
          <w:rFonts w:ascii="Arial" w:hAnsi="Arial" w:cs="Arial"/>
          <w:color w:val="000000"/>
          <w:sz w:val="20"/>
          <w:szCs w:val="20"/>
        </w:rPr>
        <w:t>-to-</w:t>
      </w:r>
      <w:r w:rsidR="00537B5E">
        <w:rPr>
          <w:rFonts w:ascii="Arial" w:hAnsi="Arial" w:cs="Arial"/>
          <w:color w:val="000000"/>
          <w:sz w:val="20"/>
          <w:szCs w:val="20"/>
        </w:rPr>
        <w:t>Agriculture Land</w:t>
      </w:r>
      <w:r w:rsidRPr="00CA61D8">
        <w:rPr>
          <w:rFonts w:ascii="Arial" w:hAnsi="Arial" w:cs="Arial"/>
          <w:color w:val="000000"/>
          <w:sz w:val="20"/>
          <w:szCs w:val="20"/>
        </w:rPr>
        <w:t xml:space="preserve"> transition (~12 km²) indicates limited but real encroachment of cultivation into forest edges, a concern that deserves monitoring in future </w:t>
      </w:r>
      <w:r w:rsidR="00F24EA3" w:rsidRPr="00F24EA3">
        <w:rPr>
          <w:rFonts w:ascii="Arial" w:hAnsi="Arial" w:cs="Arial"/>
          <w:color w:val="000000"/>
          <w:sz w:val="20"/>
          <w:szCs w:val="20"/>
        </w:rPr>
        <w:t>classification cycles.</w:t>
      </w:r>
    </w:p>
    <w:p w14:paraId="44978D99" w14:textId="6EFA7234" w:rsidR="007F6B63" w:rsidRPr="00CA61D8" w:rsidRDefault="00537B5E" w:rsidP="00537B5E">
      <w:pPr>
        <w:spacing w:before="120" w:after="120"/>
        <w:jc w:val="center"/>
        <w:rPr>
          <w:rFonts w:ascii="Arial" w:hAnsi="Arial" w:cs="Arial"/>
          <w:color w:val="000000"/>
          <w:sz w:val="20"/>
          <w:szCs w:val="20"/>
        </w:rPr>
      </w:pPr>
      <w:r>
        <w:rPr>
          <w:rFonts w:ascii="Arial" w:hAnsi="Arial" w:cs="Arial"/>
          <w:noProof/>
          <w:color w:val="000000"/>
          <w:sz w:val="20"/>
          <w:szCs w:val="20"/>
          <w:lang w:val="en-IN" w:eastAsia="en-IN" w:bidi="hi-IN"/>
        </w:rPr>
        <w:drawing>
          <wp:inline distT="0" distB="0" distL="0" distR="0" wp14:anchorId="18FC164D" wp14:editId="30E8F3A8">
            <wp:extent cx="5257800" cy="2641600"/>
            <wp:effectExtent l="0" t="0" r="0" b="0"/>
            <wp:docPr id="8007262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26201" name="Picture 800726201"/>
                    <pic:cNvPicPr/>
                  </pic:nvPicPr>
                  <pic:blipFill>
                    <a:blip r:embed="rId14">
                      <a:extLst>
                        <a:ext uri="{28A0092B-C50C-407E-A947-70E740481C1C}">
                          <a14:useLocalDpi xmlns:a14="http://schemas.microsoft.com/office/drawing/2010/main" val="0"/>
                        </a:ext>
                      </a:extLst>
                    </a:blip>
                    <a:stretch>
                      <a:fillRect/>
                    </a:stretch>
                  </pic:blipFill>
                  <pic:spPr>
                    <a:xfrm>
                      <a:off x="0" y="0"/>
                      <a:ext cx="5257800" cy="2641600"/>
                    </a:xfrm>
                    <a:prstGeom prst="rect">
                      <a:avLst/>
                    </a:prstGeom>
                  </pic:spPr>
                </pic:pic>
              </a:graphicData>
            </a:graphic>
          </wp:inline>
        </w:drawing>
      </w:r>
    </w:p>
    <w:p w14:paraId="37D6DFBE" w14:textId="77777777" w:rsidR="00CA61D8" w:rsidRPr="007F6B63" w:rsidRDefault="007F6B63" w:rsidP="00CA61D8">
      <w:pPr>
        <w:spacing w:before="80" w:after="200"/>
        <w:jc w:val="center"/>
        <w:rPr>
          <w:rFonts w:ascii="Arial" w:hAnsi="Arial" w:cs="Arial"/>
          <w:color w:val="000000" w:themeColor="text1"/>
          <w:sz w:val="20"/>
          <w:szCs w:val="20"/>
        </w:rPr>
      </w:pPr>
      <w:r>
        <w:rPr>
          <w:rFonts w:ascii="Arial" w:hAnsi="Arial" w:cs="Arial"/>
          <w:color w:val="000000" w:themeColor="text1"/>
          <w:sz w:val="20"/>
          <w:szCs w:val="20"/>
        </w:rPr>
        <w:t>Fig.</w:t>
      </w:r>
      <w:r w:rsidR="008D0949">
        <w:rPr>
          <w:rFonts w:ascii="Arial" w:hAnsi="Arial" w:cs="Arial"/>
          <w:color w:val="000000" w:themeColor="text1"/>
          <w:sz w:val="20"/>
          <w:szCs w:val="20"/>
        </w:rPr>
        <w:t xml:space="preserve"> 7</w:t>
      </w:r>
      <w:r w:rsidR="00CA61D8" w:rsidRPr="007F6B63">
        <w:rPr>
          <w:rFonts w:ascii="Arial" w:hAnsi="Arial" w:cs="Arial"/>
          <w:color w:val="000000" w:themeColor="text1"/>
          <w:sz w:val="20"/>
          <w:szCs w:val="20"/>
        </w:rPr>
        <w:t>. Major land-cover transitions in Rewa District, 202</w:t>
      </w:r>
      <w:r w:rsidR="00F24EA3" w:rsidRPr="007F6B63">
        <w:rPr>
          <w:rFonts w:ascii="Arial" w:hAnsi="Arial" w:cs="Arial"/>
          <w:color w:val="000000" w:themeColor="text1"/>
          <w:sz w:val="20"/>
          <w:szCs w:val="20"/>
        </w:rPr>
        <w:t>0–2025 (km²)</w:t>
      </w:r>
    </w:p>
    <w:p w14:paraId="495256B0" w14:textId="77777777" w:rsidR="00CA61D8" w:rsidRPr="007F6B63" w:rsidRDefault="007F6B63" w:rsidP="007F6B63">
      <w:pPr>
        <w:pStyle w:val="heading20"/>
        <w:rPr>
          <w:rFonts w:ascii="Arial" w:hAnsi="Arial" w:cs="Arial"/>
          <w:color w:val="000000" w:themeColor="text1"/>
          <w:sz w:val="22"/>
          <w:szCs w:val="22"/>
        </w:rPr>
      </w:pPr>
      <w:r w:rsidRPr="007F6B63">
        <w:rPr>
          <w:rFonts w:ascii="Arial" w:hAnsi="Arial" w:cs="Arial"/>
          <w:color w:val="000000" w:themeColor="text1"/>
          <w:sz w:val="22"/>
          <w:szCs w:val="22"/>
        </w:rPr>
        <w:t>5.4</w:t>
      </w:r>
      <w:r w:rsidR="00CA61D8" w:rsidRPr="007F6B63">
        <w:rPr>
          <w:rFonts w:ascii="Arial" w:hAnsi="Arial" w:cs="Arial"/>
          <w:color w:val="000000" w:themeColor="text1"/>
          <w:sz w:val="22"/>
          <w:szCs w:val="22"/>
        </w:rPr>
        <w:t xml:space="preserve"> Spatial Change Map</w:t>
      </w:r>
    </w:p>
    <w:p w14:paraId="76D46F88" w14:textId="5BA92CA7" w:rsidR="00CA61D8" w:rsidRPr="00CA61D8" w:rsidRDefault="00CA61D8" w:rsidP="007F6B63">
      <w:pPr>
        <w:spacing w:before="120" w:after="120"/>
        <w:jc w:val="both"/>
        <w:rPr>
          <w:rFonts w:ascii="Arial" w:hAnsi="Arial" w:cs="Arial"/>
          <w:sz w:val="20"/>
          <w:szCs w:val="20"/>
        </w:rPr>
      </w:pPr>
      <w:r w:rsidRPr="00CA61D8">
        <w:rPr>
          <w:rFonts w:ascii="Arial" w:hAnsi="Arial" w:cs="Arial"/>
          <w:color w:val="000000"/>
          <w:sz w:val="20"/>
          <w:szCs w:val="20"/>
        </w:rPr>
        <w:t xml:space="preserve">The spatial change map confirms that the dominant zone of transition is the central and southern barren land belt of the district, where the Tons valley ravine system shows widespread reclassification from </w:t>
      </w:r>
      <w:r w:rsidR="00F94046">
        <w:rPr>
          <w:rFonts w:ascii="Arial" w:hAnsi="Arial" w:cs="Arial"/>
          <w:color w:val="000000"/>
          <w:sz w:val="20"/>
          <w:szCs w:val="20"/>
        </w:rPr>
        <w:t xml:space="preserve">Waste Land </w:t>
      </w:r>
      <w:r w:rsidRPr="00CA61D8">
        <w:rPr>
          <w:rFonts w:ascii="Arial" w:hAnsi="Arial" w:cs="Arial"/>
          <w:color w:val="000000"/>
          <w:sz w:val="20"/>
          <w:szCs w:val="20"/>
        </w:rPr>
        <w:t xml:space="preserve">to </w:t>
      </w:r>
      <w:r w:rsidR="00537B5E">
        <w:rPr>
          <w:rFonts w:ascii="Arial" w:hAnsi="Arial" w:cs="Arial"/>
          <w:color w:val="000000"/>
          <w:sz w:val="20"/>
          <w:szCs w:val="20"/>
        </w:rPr>
        <w:t>Agriculture Land</w:t>
      </w:r>
      <w:r w:rsidRPr="00CA61D8">
        <w:rPr>
          <w:rFonts w:ascii="Arial" w:hAnsi="Arial" w:cs="Arial"/>
          <w:color w:val="000000"/>
          <w:sz w:val="20"/>
          <w:szCs w:val="20"/>
        </w:rPr>
        <w:t>. The NH-30 corridor from Rewa city northward to the UP border shows a distin</w:t>
      </w:r>
      <w:r w:rsidR="00C61F12">
        <w:rPr>
          <w:rFonts w:ascii="Arial" w:hAnsi="Arial" w:cs="Arial"/>
          <w:color w:val="000000"/>
          <w:sz w:val="20"/>
          <w:szCs w:val="20"/>
        </w:rPr>
        <w:t>ct ribbon of new built-up land</w:t>
      </w:r>
      <w:r w:rsidRPr="00CA61D8">
        <w:rPr>
          <w:rFonts w:ascii="Arial" w:hAnsi="Arial" w:cs="Arial"/>
          <w:color w:val="000000"/>
          <w:sz w:val="20"/>
          <w:szCs w:val="20"/>
        </w:rPr>
        <w:t xml:space="preserve">, as does the NH-27 eastward corridor toward </w:t>
      </w:r>
      <w:proofErr w:type="spellStart"/>
      <w:r w:rsidRPr="00CA61D8">
        <w:rPr>
          <w:rFonts w:ascii="Arial" w:hAnsi="Arial" w:cs="Arial"/>
          <w:color w:val="000000"/>
          <w:sz w:val="20"/>
          <w:szCs w:val="20"/>
        </w:rPr>
        <w:t>Mauganj</w:t>
      </w:r>
      <w:proofErr w:type="spellEnd"/>
      <w:r w:rsidRPr="00CA61D8">
        <w:rPr>
          <w:rFonts w:ascii="Arial" w:hAnsi="Arial" w:cs="Arial"/>
          <w:color w:val="000000"/>
          <w:sz w:val="20"/>
          <w:szCs w:val="20"/>
        </w:rPr>
        <w:t xml:space="preserve">. The </w:t>
      </w:r>
      <w:proofErr w:type="spellStart"/>
      <w:r w:rsidRPr="00CA61D8">
        <w:rPr>
          <w:rFonts w:ascii="Arial" w:hAnsi="Arial" w:cs="Arial"/>
          <w:color w:val="000000"/>
          <w:sz w:val="20"/>
          <w:szCs w:val="20"/>
        </w:rPr>
        <w:t>Kaimur</w:t>
      </w:r>
      <w:proofErr w:type="spellEnd"/>
      <w:r w:rsidRPr="00CA61D8">
        <w:rPr>
          <w:rFonts w:ascii="Arial" w:hAnsi="Arial" w:cs="Arial"/>
          <w:color w:val="000000"/>
          <w:sz w:val="20"/>
          <w:szCs w:val="20"/>
        </w:rPr>
        <w:t xml:space="preserve"> Range shows </w:t>
      </w:r>
      <w:proofErr w:type="spellStart"/>
      <w:r w:rsidRPr="00CA61D8">
        <w:rPr>
          <w:rFonts w:ascii="Arial" w:hAnsi="Arial" w:cs="Arial"/>
          <w:color w:val="000000"/>
          <w:sz w:val="20"/>
          <w:szCs w:val="20"/>
        </w:rPr>
        <w:t>lo</w:t>
      </w:r>
      <w:r w:rsidR="00C61F12">
        <w:rPr>
          <w:rFonts w:ascii="Arial" w:hAnsi="Arial" w:cs="Arial"/>
          <w:color w:val="000000"/>
          <w:sz w:val="20"/>
          <w:szCs w:val="20"/>
        </w:rPr>
        <w:t>calised</w:t>
      </w:r>
      <w:proofErr w:type="spellEnd"/>
      <w:r w:rsidR="00C61F12">
        <w:rPr>
          <w:rFonts w:ascii="Arial" w:hAnsi="Arial" w:cs="Arial"/>
          <w:color w:val="000000"/>
          <w:sz w:val="20"/>
          <w:szCs w:val="20"/>
        </w:rPr>
        <w:t xml:space="preserve"> new forest land</w:t>
      </w:r>
      <w:r w:rsidRPr="00CA61D8">
        <w:rPr>
          <w:rFonts w:ascii="Arial" w:hAnsi="Arial" w:cs="Arial"/>
          <w:color w:val="000000"/>
          <w:sz w:val="20"/>
          <w:szCs w:val="20"/>
        </w:rPr>
        <w:t xml:space="preserve">, consistent with the Social Forestry </w:t>
      </w:r>
      <w:proofErr w:type="spellStart"/>
      <w:r w:rsidRPr="00CA61D8">
        <w:rPr>
          <w:rFonts w:ascii="Arial" w:hAnsi="Arial" w:cs="Arial"/>
          <w:color w:val="000000"/>
          <w:sz w:val="20"/>
          <w:szCs w:val="20"/>
        </w:rPr>
        <w:t>programme</w:t>
      </w:r>
      <w:proofErr w:type="spellEnd"/>
      <w:r w:rsidRPr="00CA61D8">
        <w:rPr>
          <w:rFonts w:ascii="Arial" w:hAnsi="Arial" w:cs="Arial"/>
          <w:color w:val="000000"/>
          <w:sz w:val="20"/>
          <w:szCs w:val="20"/>
        </w:rPr>
        <w:t>. Overall, the change map presents a spatially coherent pattern that aligns well with the known developmental trajectory of the district.</w:t>
      </w:r>
    </w:p>
    <w:p w14:paraId="4EC7AD31" w14:textId="77777777" w:rsidR="00CA61D8" w:rsidRPr="00CA61D8" w:rsidRDefault="00CA61D8" w:rsidP="00CA61D8">
      <w:pPr>
        <w:rPr>
          <w:rFonts w:ascii="Arial" w:hAnsi="Arial" w:cs="Arial"/>
          <w:sz w:val="20"/>
          <w:szCs w:val="20"/>
        </w:rPr>
      </w:pPr>
    </w:p>
    <w:p w14:paraId="5D4C0325" w14:textId="77777777" w:rsidR="00CA61D8" w:rsidRPr="00CA61D8" w:rsidRDefault="007F6B63" w:rsidP="007F6B63">
      <w:pPr>
        <w:jc w:val="center"/>
        <w:rPr>
          <w:rFonts w:ascii="Arial" w:hAnsi="Arial" w:cs="Arial"/>
          <w:sz w:val="20"/>
          <w:szCs w:val="20"/>
        </w:rPr>
      </w:pPr>
      <w:r w:rsidRPr="00CA61D8">
        <w:rPr>
          <w:rFonts w:ascii="Arial" w:hAnsi="Arial" w:cs="Arial"/>
          <w:noProof/>
          <w:sz w:val="20"/>
          <w:szCs w:val="20"/>
          <w:lang w:val="en-IN" w:eastAsia="en-IN" w:bidi="hi-IN"/>
        </w:rPr>
        <w:lastRenderedPageBreak/>
        <w:drawing>
          <wp:inline distT="0" distB="0" distL="0" distR="0" wp14:anchorId="34749607" wp14:editId="77AC5E4F">
            <wp:extent cx="5055988" cy="3195751"/>
            <wp:effectExtent l="19050" t="19050" r="11430" b="24130"/>
            <wp:docPr id="211282539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25398"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87635" cy="3215754"/>
                    </a:xfrm>
                    <a:prstGeom prst="rect">
                      <a:avLst/>
                    </a:prstGeom>
                    <a:ln w="3175">
                      <a:solidFill>
                        <a:schemeClr val="tx1"/>
                      </a:solidFill>
                    </a:ln>
                  </pic:spPr>
                </pic:pic>
              </a:graphicData>
            </a:graphic>
          </wp:inline>
        </w:drawing>
      </w:r>
    </w:p>
    <w:p w14:paraId="4821942F" w14:textId="1F6EA561" w:rsidR="007F6B63" w:rsidRPr="007F6B63" w:rsidRDefault="007F6B63" w:rsidP="00C61F12">
      <w:pPr>
        <w:jc w:val="center"/>
        <w:rPr>
          <w:rFonts w:ascii="Arial" w:hAnsi="Arial" w:cs="Arial"/>
          <w:color w:val="000000" w:themeColor="text1"/>
          <w:sz w:val="20"/>
          <w:szCs w:val="20"/>
        </w:rPr>
      </w:pPr>
      <w:r w:rsidRPr="007F6B63">
        <w:rPr>
          <w:rFonts w:ascii="Arial" w:hAnsi="Arial" w:cs="Arial"/>
          <w:color w:val="000000" w:themeColor="text1"/>
          <w:sz w:val="20"/>
          <w:szCs w:val="20"/>
        </w:rPr>
        <w:t>Fig.</w:t>
      </w:r>
      <w:r w:rsidR="008D0949">
        <w:rPr>
          <w:rFonts w:ascii="Arial" w:hAnsi="Arial" w:cs="Arial"/>
          <w:color w:val="000000" w:themeColor="text1"/>
          <w:sz w:val="20"/>
          <w:szCs w:val="20"/>
        </w:rPr>
        <w:t xml:space="preserve"> 8</w:t>
      </w:r>
      <w:r w:rsidR="00CA61D8" w:rsidRPr="007F6B63">
        <w:rPr>
          <w:rFonts w:ascii="Arial" w:hAnsi="Arial" w:cs="Arial"/>
          <w:color w:val="000000" w:themeColor="text1"/>
          <w:sz w:val="20"/>
          <w:szCs w:val="20"/>
        </w:rPr>
        <w:t>. Post-classification change m</w:t>
      </w:r>
      <w:r w:rsidR="00C61F12">
        <w:rPr>
          <w:rFonts w:ascii="Arial" w:hAnsi="Arial" w:cs="Arial"/>
          <w:color w:val="000000" w:themeColor="text1"/>
          <w:sz w:val="20"/>
          <w:szCs w:val="20"/>
        </w:rPr>
        <w:t>ap for Rewa District, 2020–2025</w:t>
      </w:r>
    </w:p>
    <w:p w14:paraId="4B3E9E93" w14:textId="77777777" w:rsidR="00CA61D8" w:rsidRPr="007F6B63" w:rsidRDefault="007F6B63" w:rsidP="007F6B63">
      <w:pPr>
        <w:rPr>
          <w:rFonts w:ascii="Arial" w:hAnsi="Arial" w:cs="Arial"/>
          <w:color w:val="000000" w:themeColor="text1"/>
          <w:sz w:val="20"/>
          <w:szCs w:val="20"/>
        </w:rPr>
      </w:pPr>
      <w:r w:rsidRPr="007F6B63">
        <w:rPr>
          <w:rFonts w:ascii="Arial" w:hAnsi="Arial" w:cs="Arial"/>
          <w:color w:val="000000" w:themeColor="text1"/>
          <w:sz w:val="20"/>
          <w:szCs w:val="20"/>
        </w:rPr>
        <w:t xml:space="preserve">       *</w:t>
      </w:r>
      <w:r w:rsidR="00CA61D8" w:rsidRPr="007F6B63">
        <w:rPr>
          <w:rFonts w:ascii="Arial" w:hAnsi="Arial" w:cs="Arial"/>
          <w:color w:val="000000" w:themeColor="text1"/>
          <w:sz w:val="20"/>
          <w:szCs w:val="20"/>
        </w:rPr>
        <w:t xml:space="preserve">Changed pixels reflect locations where classified LULC differed between the two time points. </w:t>
      </w:r>
    </w:p>
    <w:p w14:paraId="3C563C87" w14:textId="77777777" w:rsidR="000B0CBC" w:rsidRPr="00CE36FE" w:rsidRDefault="00BC0254" w:rsidP="000B0CBC">
      <w:pPr>
        <w:pStyle w:val="heading20"/>
        <w:rPr>
          <w:rFonts w:ascii="Arial" w:hAnsi="Arial" w:cs="Arial"/>
          <w:color w:val="auto"/>
          <w:sz w:val="22"/>
          <w:szCs w:val="22"/>
        </w:rPr>
      </w:pPr>
      <w:r>
        <w:rPr>
          <w:rFonts w:ascii="Arial" w:hAnsi="Arial" w:cs="Arial"/>
          <w:color w:val="auto"/>
          <w:sz w:val="22"/>
          <w:szCs w:val="22"/>
        </w:rPr>
        <w:t>6.</w:t>
      </w:r>
      <w:r w:rsidR="00691644">
        <w:rPr>
          <w:rFonts w:ascii="Arial" w:hAnsi="Arial" w:cs="Arial"/>
          <w:color w:val="auto"/>
          <w:sz w:val="22"/>
          <w:szCs w:val="22"/>
        </w:rPr>
        <w:t xml:space="preserve"> </w:t>
      </w:r>
      <w:r w:rsidRPr="00CE36FE">
        <w:rPr>
          <w:rFonts w:ascii="Arial" w:hAnsi="Arial" w:cs="Arial"/>
          <w:color w:val="auto"/>
          <w:sz w:val="22"/>
          <w:szCs w:val="22"/>
        </w:rPr>
        <w:t>ACCURACY</w:t>
      </w:r>
      <w:r>
        <w:rPr>
          <w:rFonts w:ascii="Arial" w:hAnsi="Arial" w:cs="Arial"/>
          <w:color w:val="auto"/>
          <w:sz w:val="22"/>
          <w:szCs w:val="22"/>
        </w:rPr>
        <w:t xml:space="preserve"> ASSESSMENT </w:t>
      </w:r>
    </w:p>
    <w:p w14:paraId="535CD9B0" w14:textId="72CB4863" w:rsidR="000B0CBC" w:rsidRDefault="00CE36FE" w:rsidP="00CE36FE">
      <w:pPr>
        <w:spacing w:before="60" w:after="60"/>
        <w:jc w:val="both"/>
        <w:rPr>
          <w:rFonts w:ascii="Arial" w:hAnsi="Arial" w:cs="Arial"/>
          <w:color w:val="000000"/>
          <w:sz w:val="20"/>
          <w:szCs w:val="20"/>
        </w:rPr>
      </w:pPr>
      <w:r w:rsidRPr="00CE36FE">
        <w:rPr>
          <w:rFonts w:ascii="Arial" w:hAnsi="Arial" w:cs="Arial"/>
          <w:color w:val="000000"/>
          <w:sz w:val="20"/>
          <w:szCs w:val="20"/>
        </w:rPr>
        <w:t xml:space="preserve">The 2020 classification achieved an Overall Accuracy of 94.59% and Kappa of 0.9308. </w:t>
      </w:r>
      <w:r w:rsidR="00BA660F">
        <w:rPr>
          <w:rFonts w:ascii="Arial" w:hAnsi="Arial" w:cs="Arial"/>
          <w:color w:val="000000"/>
          <w:sz w:val="20"/>
          <w:szCs w:val="20"/>
        </w:rPr>
        <w:t>Vegetation Land</w:t>
      </w:r>
      <w:r w:rsidRPr="00CE36FE">
        <w:rPr>
          <w:rFonts w:ascii="Arial" w:hAnsi="Arial" w:cs="Arial"/>
          <w:color w:val="000000"/>
          <w:sz w:val="20"/>
          <w:szCs w:val="20"/>
        </w:rPr>
        <w:t xml:space="preserve">, </w:t>
      </w:r>
      <w:r w:rsidR="00BA660F">
        <w:rPr>
          <w:rFonts w:ascii="Arial" w:hAnsi="Arial" w:cs="Arial"/>
          <w:color w:val="000000"/>
          <w:sz w:val="20"/>
          <w:szCs w:val="20"/>
        </w:rPr>
        <w:t>Water Body</w:t>
      </w:r>
      <w:r w:rsidRPr="00CE36FE">
        <w:rPr>
          <w:rFonts w:ascii="Arial" w:hAnsi="Arial" w:cs="Arial"/>
          <w:color w:val="000000"/>
          <w:sz w:val="20"/>
          <w:szCs w:val="20"/>
        </w:rPr>
        <w:t xml:space="preserve"> and </w:t>
      </w:r>
      <w:r w:rsidR="00F94046">
        <w:rPr>
          <w:rFonts w:ascii="Arial" w:hAnsi="Arial" w:cs="Arial"/>
          <w:color w:val="000000"/>
          <w:sz w:val="20"/>
          <w:szCs w:val="20"/>
        </w:rPr>
        <w:t xml:space="preserve">Waste Land </w:t>
      </w:r>
      <w:r w:rsidRPr="00CE36FE">
        <w:rPr>
          <w:rFonts w:ascii="Arial" w:hAnsi="Arial" w:cs="Arial"/>
          <w:color w:val="000000"/>
          <w:sz w:val="20"/>
          <w:szCs w:val="20"/>
        </w:rPr>
        <w:t xml:space="preserve">achieved perfect Producer's and User's Accuracies, indicating no misclassification in the test set for these classes. The </w:t>
      </w:r>
      <w:r w:rsidR="00537B5E">
        <w:rPr>
          <w:rFonts w:ascii="Arial" w:hAnsi="Arial" w:cs="Arial"/>
          <w:color w:val="000000"/>
          <w:sz w:val="20"/>
          <w:szCs w:val="20"/>
        </w:rPr>
        <w:t>Agriculture Land</w:t>
      </w:r>
      <w:r w:rsidRPr="00CE36FE">
        <w:rPr>
          <w:rFonts w:ascii="Arial" w:hAnsi="Arial" w:cs="Arial"/>
          <w:color w:val="000000"/>
          <w:sz w:val="20"/>
          <w:szCs w:val="20"/>
        </w:rPr>
        <w:t xml:space="preserve"> Producer's Accuracy of 0.78 reflects two agricultural test samples classified as </w:t>
      </w:r>
      <w:r w:rsidR="00F94046">
        <w:rPr>
          <w:rFonts w:ascii="Arial" w:hAnsi="Arial" w:cs="Arial"/>
          <w:color w:val="000000"/>
          <w:sz w:val="20"/>
          <w:szCs w:val="20"/>
        </w:rPr>
        <w:t>Built-up Land</w:t>
      </w:r>
      <w:r w:rsidRPr="00CE36FE">
        <w:rPr>
          <w:rFonts w:ascii="Arial" w:hAnsi="Arial" w:cs="Arial"/>
          <w:color w:val="000000"/>
          <w:sz w:val="20"/>
          <w:szCs w:val="20"/>
        </w:rPr>
        <w:t xml:space="preserve">, consistent with the known spectral overlap between dry cropland surfaces and impervious cover in shortwave infrared bands. </w:t>
      </w:r>
      <w:r w:rsidR="00F94046">
        <w:rPr>
          <w:rFonts w:ascii="Arial" w:hAnsi="Arial" w:cs="Arial"/>
          <w:color w:val="000000"/>
          <w:sz w:val="20"/>
          <w:szCs w:val="20"/>
        </w:rPr>
        <w:t>Built-up Land</w:t>
      </w:r>
      <w:r w:rsidRPr="00CE36FE">
        <w:rPr>
          <w:rFonts w:ascii="Arial" w:hAnsi="Arial" w:cs="Arial"/>
          <w:color w:val="000000"/>
          <w:sz w:val="20"/>
          <w:szCs w:val="20"/>
        </w:rPr>
        <w:t xml:space="preserve"> achieved a User's Accuracy of 0.83, confirming this specific directional confusion.</w:t>
      </w:r>
    </w:p>
    <w:p w14:paraId="2C181C31" w14:textId="77777777" w:rsidR="00CE36FE" w:rsidRDefault="00CE36FE" w:rsidP="00CE36FE">
      <w:pPr>
        <w:spacing w:before="60" w:after="60"/>
        <w:jc w:val="both"/>
        <w:rPr>
          <w:rFonts w:ascii="Arial" w:hAnsi="Arial" w:cs="Arial"/>
          <w:sz w:val="20"/>
          <w:szCs w:val="20"/>
        </w:rPr>
      </w:pPr>
    </w:p>
    <w:p w14:paraId="33FE42D1" w14:textId="77777777" w:rsidR="00CE36FE" w:rsidRPr="005A2BD5" w:rsidRDefault="008D0949" w:rsidP="005A2BD5">
      <w:pPr>
        <w:spacing w:before="80" w:after="80" w:line="360" w:lineRule="auto"/>
        <w:jc w:val="center"/>
        <w:rPr>
          <w:rFonts w:ascii="Arial" w:hAnsi="Arial" w:cs="Arial"/>
          <w:sz w:val="20"/>
          <w:szCs w:val="20"/>
        </w:rPr>
      </w:pPr>
      <w:r>
        <w:rPr>
          <w:rFonts w:ascii="Arial" w:hAnsi="Arial" w:cs="Arial"/>
          <w:sz w:val="20"/>
          <w:szCs w:val="20"/>
        </w:rPr>
        <w:t>Table 7</w:t>
      </w:r>
      <w:r w:rsidR="005A2BD5" w:rsidRPr="005A2BD5">
        <w:rPr>
          <w:rFonts w:ascii="Arial" w:hAnsi="Arial" w:cs="Arial"/>
          <w:sz w:val="20"/>
          <w:szCs w:val="20"/>
        </w:rPr>
        <w:t>.</w:t>
      </w:r>
      <w:r w:rsidR="005A2BD5">
        <w:rPr>
          <w:rFonts w:ascii="Arial" w:hAnsi="Arial" w:cs="Arial"/>
          <w:sz w:val="20"/>
          <w:szCs w:val="20"/>
        </w:rPr>
        <w:t>a</w:t>
      </w:r>
      <w:r w:rsidR="005A2BD5" w:rsidRPr="005A2BD5">
        <w:rPr>
          <w:rFonts w:ascii="Arial" w:hAnsi="Arial" w:cs="Arial"/>
          <w:sz w:val="20"/>
          <w:szCs w:val="20"/>
        </w:rPr>
        <w:t>. Confusion matrix for the 2020 LULC classification</w:t>
      </w:r>
    </w:p>
    <w:tbl>
      <w:tblPr>
        <w:tblStyle w:val="LightShading"/>
        <w:tblW w:w="8647" w:type="dxa"/>
        <w:tblInd w:w="250" w:type="dxa"/>
        <w:tblLook w:val="04A0" w:firstRow="1" w:lastRow="0" w:firstColumn="1" w:lastColumn="0" w:noHBand="0" w:noVBand="1"/>
      </w:tblPr>
      <w:tblGrid>
        <w:gridCol w:w="1661"/>
        <w:gridCol w:w="1283"/>
        <w:gridCol w:w="1365"/>
        <w:gridCol w:w="1359"/>
        <w:gridCol w:w="1353"/>
        <w:gridCol w:w="1626"/>
      </w:tblGrid>
      <w:tr w:rsidR="00CE36FE" w:rsidRPr="00CE36FE" w14:paraId="3AC7A563" w14:textId="77777777" w:rsidTr="006916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tcPr>
          <w:p w14:paraId="3C561C8D" w14:textId="77777777" w:rsidR="00CE36FE" w:rsidRPr="00CE36FE" w:rsidRDefault="00CE36FE" w:rsidP="005A2BD5">
            <w:pPr>
              <w:jc w:val="center"/>
              <w:rPr>
                <w:rFonts w:ascii="Arial" w:hAnsi="Arial" w:cs="Arial"/>
                <w:color w:val="auto"/>
                <w:sz w:val="20"/>
                <w:szCs w:val="20"/>
              </w:rPr>
            </w:pPr>
            <w:r w:rsidRPr="00CE36FE">
              <w:rPr>
                <w:rFonts w:ascii="Arial" w:hAnsi="Arial" w:cs="Arial"/>
                <w:color w:val="auto"/>
                <w:sz w:val="20"/>
                <w:szCs w:val="20"/>
              </w:rPr>
              <w:t>Reference →</w:t>
            </w:r>
          </w:p>
        </w:tc>
        <w:tc>
          <w:tcPr>
            <w:tcW w:w="1283" w:type="dxa"/>
          </w:tcPr>
          <w:p w14:paraId="4E9211C8" w14:textId="2AEC399A" w:rsidR="00CE36FE" w:rsidRPr="00CE36FE" w:rsidRDefault="00537B5E" w:rsidP="005A2BD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Agriculture Land</w:t>
            </w:r>
          </w:p>
        </w:tc>
        <w:tc>
          <w:tcPr>
            <w:tcW w:w="1365" w:type="dxa"/>
          </w:tcPr>
          <w:p w14:paraId="54C10736" w14:textId="0B65227E" w:rsidR="00CE36FE" w:rsidRPr="00CE36FE" w:rsidRDefault="00BA660F" w:rsidP="005A2BD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Vegetation Land</w:t>
            </w:r>
          </w:p>
        </w:tc>
        <w:tc>
          <w:tcPr>
            <w:tcW w:w="1359" w:type="dxa"/>
          </w:tcPr>
          <w:p w14:paraId="0C3E8F7E" w14:textId="761A79F4" w:rsidR="00CE36FE" w:rsidRPr="00CE36FE" w:rsidRDefault="00BA660F" w:rsidP="005A2BD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Water Body</w:t>
            </w:r>
          </w:p>
        </w:tc>
        <w:tc>
          <w:tcPr>
            <w:tcW w:w="1353" w:type="dxa"/>
          </w:tcPr>
          <w:p w14:paraId="57138553" w14:textId="651F7DEF" w:rsidR="00CE36FE" w:rsidRPr="00CE36FE" w:rsidRDefault="00F94046" w:rsidP="005A2BD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Built-up Land</w:t>
            </w:r>
          </w:p>
        </w:tc>
        <w:tc>
          <w:tcPr>
            <w:tcW w:w="1626" w:type="dxa"/>
          </w:tcPr>
          <w:p w14:paraId="22EEB5F8" w14:textId="77777777" w:rsidR="00CE36FE" w:rsidRPr="00CE36FE" w:rsidRDefault="00CE36FE" w:rsidP="005A2BD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CE36FE">
              <w:rPr>
                <w:rFonts w:ascii="Arial" w:hAnsi="Arial" w:cs="Arial"/>
                <w:color w:val="auto"/>
                <w:sz w:val="20"/>
                <w:szCs w:val="20"/>
              </w:rPr>
              <w:t>Barren</w:t>
            </w:r>
          </w:p>
        </w:tc>
      </w:tr>
      <w:tr w:rsidR="00CE36FE" w:rsidRPr="00CE36FE" w14:paraId="1FD1B563" w14:textId="77777777" w:rsidTr="00691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tcPr>
          <w:p w14:paraId="1820ACF2" w14:textId="6A8126E2" w:rsidR="00CE36FE" w:rsidRPr="00CE36FE" w:rsidRDefault="00537B5E" w:rsidP="005A2BD5">
            <w:pPr>
              <w:rPr>
                <w:rFonts w:ascii="Arial" w:hAnsi="Arial" w:cs="Arial"/>
                <w:color w:val="auto"/>
                <w:sz w:val="20"/>
                <w:szCs w:val="20"/>
              </w:rPr>
            </w:pPr>
            <w:r>
              <w:rPr>
                <w:rFonts w:ascii="Arial" w:hAnsi="Arial" w:cs="Arial"/>
                <w:color w:val="auto"/>
                <w:sz w:val="20"/>
                <w:szCs w:val="20"/>
              </w:rPr>
              <w:t>Agriculture Land</w:t>
            </w:r>
          </w:p>
        </w:tc>
        <w:tc>
          <w:tcPr>
            <w:tcW w:w="1283" w:type="dxa"/>
          </w:tcPr>
          <w:p w14:paraId="38977B8F" w14:textId="77777777" w:rsidR="00CE36FE" w:rsidRPr="00691644" w:rsidRDefault="00CE36FE"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0"/>
                <w:szCs w:val="20"/>
              </w:rPr>
            </w:pPr>
            <w:r w:rsidRPr="00691644">
              <w:rPr>
                <w:rFonts w:ascii="Arial" w:hAnsi="Arial" w:cs="Arial"/>
                <w:b/>
                <w:bCs/>
                <w:color w:val="FF0000"/>
                <w:sz w:val="20"/>
                <w:szCs w:val="20"/>
              </w:rPr>
              <w:t>7</w:t>
            </w:r>
          </w:p>
        </w:tc>
        <w:tc>
          <w:tcPr>
            <w:tcW w:w="1365" w:type="dxa"/>
          </w:tcPr>
          <w:p w14:paraId="266BE6E8" w14:textId="77777777" w:rsidR="00CE36FE" w:rsidRPr="00CE36FE" w:rsidRDefault="00CE36FE"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E36FE">
              <w:rPr>
                <w:rFonts w:ascii="Arial" w:hAnsi="Arial" w:cs="Arial"/>
                <w:color w:val="auto"/>
                <w:sz w:val="20"/>
                <w:szCs w:val="20"/>
              </w:rPr>
              <w:t>0</w:t>
            </w:r>
          </w:p>
        </w:tc>
        <w:tc>
          <w:tcPr>
            <w:tcW w:w="1359" w:type="dxa"/>
          </w:tcPr>
          <w:p w14:paraId="1486107A" w14:textId="77777777" w:rsidR="00CE36FE" w:rsidRPr="00CE36FE" w:rsidRDefault="00CE36FE"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E36FE">
              <w:rPr>
                <w:rFonts w:ascii="Arial" w:hAnsi="Arial" w:cs="Arial"/>
                <w:color w:val="auto"/>
                <w:sz w:val="20"/>
                <w:szCs w:val="20"/>
              </w:rPr>
              <w:t>0</w:t>
            </w:r>
          </w:p>
        </w:tc>
        <w:tc>
          <w:tcPr>
            <w:tcW w:w="1353" w:type="dxa"/>
          </w:tcPr>
          <w:p w14:paraId="7632C2A7" w14:textId="77777777" w:rsidR="00CE36FE" w:rsidRPr="00CE36FE" w:rsidRDefault="00CE36FE"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E36FE">
              <w:rPr>
                <w:rFonts w:ascii="Arial" w:hAnsi="Arial" w:cs="Arial"/>
                <w:color w:val="auto"/>
                <w:sz w:val="20"/>
                <w:szCs w:val="20"/>
              </w:rPr>
              <w:t>2</w:t>
            </w:r>
          </w:p>
        </w:tc>
        <w:tc>
          <w:tcPr>
            <w:tcW w:w="1626" w:type="dxa"/>
          </w:tcPr>
          <w:p w14:paraId="14627290" w14:textId="77777777" w:rsidR="00CE36FE" w:rsidRPr="00CE36FE" w:rsidRDefault="00CE36FE"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E36FE">
              <w:rPr>
                <w:rFonts w:ascii="Arial" w:hAnsi="Arial" w:cs="Arial"/>
                <w:color w:val="auto"/>
                <w:sz w:val="20"/>
                <w:szCs w:val="20"/>
              </w:rPr>
              <w:t>0</w:t>
            </w:r>
          </w:p>
        </w:tc>
      </w:tr>
      <w:tr w:rsidR="00CE36FE" w:rsidRPr="00CE36FE" w14:paraId="7DF18548" w14:textId="77777777" w:rsidTr="00691644">
        <w:tc>
          <w:tcPr>
            <w:cnfStyle w:val="001000000000" w:firstRow="0" w:lastRow="0" w:firstColumn="1" w:lastColumn="0" w:oddVBand="0" w:evenVBand="0" w:oddHBand="0" w:evenHBand="0" w:firstRowFirstColumn="0" w:firstRowLastColumn="0" w:lastRowFirstColumn="0" w:lastRowLastColumn="0"/>
            <w:tcW w:w="1661" w:type="dxa"/>
          </w:tcPr>
          <w:p w14:paraId="4B285DD9" w14:textId="15C8B29C" w:rsidR="00CE36FE" w:rsidRPr="00CE36FE" w:rsidRDefault="00BA660F" w:rsidP="005A2BD5">
            <w:pPr>
              <w:rPr>
                <w:rFonts w:ascii="Arial" w:hAnsi="Arial" w:cs="Arial"/>
                <w:color w:val="auto"/>
                <w:sz w:val="20"/>
                <w:szCs w:val="20"/>
              </w:rPr>
            </w:pPr>
            <w:r>
              <w:rPr>
                <w:rFonts w:ascii="Arial" w:hAnsi="Arial" w:cs="Arial"/>
                <w:color w:val="auto"/>
                <w:sz w:val="20"/>
                <w:szCs w:val="20"/>
              </w:rPr>
              <w:t>Vegetation Land</w:t>
            </w:r>
          </w:p>
        </w:tc>
        <w:tc>
          <w:tcPr>
            <w:tcW w:w="1283" w:type="dxa"/>
          </w:tcPr>
          <w:p w14:paraId="66A5213A" w14:textId="77777777" w:rsidR="00CE36FE" w:rsidRPr="00CE36FE" w:rsidRDefault="00CE36FE"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E36FE">
              <w:rPr>
                <w:rFonts w:ascii="Arial" w:hAnsi="Arial" w:cs="Arial"/>
                <w:color w:val="auto"/>
                <w:sz w:val="20"/>
                <w:szCs w:val="20"/>
              </w:rPr>
              <w:t>0</w:t>
            </w:r>
          </w:p>
        </w:tc>
        <w:tc>
          <w:tcPr>
            <w:tcW w:w="1365" w:type="dxa"/>
          </w:tcPr>
          <w:p w14:paraId="67F88E47" w14:textId="77777777" w:rsidR="00CE36FE" w:rsidRPr="00691644" w:rsidRDefault="00CE36FE"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rPr>
            </w:pPr>
            <w:r w:rsidRPr="00691644">
              <w:rPr>
                <w:rFonts w:ascii="Arial" w:hAnsi="Arial" w:cs="Arial"/>
                <w:b/>
                <w:bCs/>
                <w:color w:val="FF0000"/>
                <w:sz w:val="20"/>
                <w:szCs w:val="20"/>
              </w:rPr>
              <w:t>8</w:t>
            </w:r>
          </w:p>
        </w:tc>
        <w:tc>
          <w:tcPr>
            <w:tcW w:w="1359" w:type="dxa"/>
          </w:tcPr>
          <w:p w14:paraId="45771C53" w14:textId="77777777" w:rsidR="00CE36FE" w:rsidRPr="00CE36FE" w:rsidRDefault="00CE36FE"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E36FE">
              <w:rPr>
                <w:rFonts w:ascii="Arial" w:hAnsi="Arial" w:cs="Arial"/>
                <w:color w:val="auto"/>
                <w:sz w:val="20"/>
                <w:szCs w:val="20"/>
              </w:rPr>
              <w:t>0</w:t>
            </w:r>
          </w:p>
        </w:tc>
        <w:tc>
          <w:tcPr>
            <w:tcW w:w="1353" w:type="dxa"/>
          </w:tcPr>
          <w:p w14:paraId="05867087" w14:textId="77777777" w:rsidR="00CE36FE" w:rsidRPr="00CE36FE" w:rsidRDefault="00CE36FE"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E36FE">
              <w:rPr>
                <w:rFonts w:ascii="Arial" w:hAnsi="Arial" w:cs="Arial"/>
                <w:color w:val="auto"/>
                <w:sz w:val="20"/>
                <w:szCs w:val="20"/>
              </w:rPr>
              <w:t>0</w:t>
            </w:r>
          </w:p>
        </w:tc>
        <w:tc>
          <w:tcPr>
            <w:tcW w:w="1626" w:type="dxa"/>
          </w:tcPr>
          <w:p w14:paraId="11978C64" w14:textId="77777777" w:rsidR="00CE36FE" w:rsidRPr="00CE36FE" w:rsidRDefault="00CE36FE"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E36FE">
              <w:rPr>
                <w:rFonts w:ascii="Arial" w:hAnsi="Arial" w:cs="Arial"/>
                <w:color w:val="auto"/>
                <w:sz w:val="20"/>
                <w:szCs w:val="20"/>
              </w:rPr>
              <w:t>0</w:t>
            </w:r>
          </w:p>
        </w:tc>
      </w:tr>
      <w:tr w:rsidR="00CE36FE" w:rsidRPr="00CE36FE" w14:paraId="63F7C444" w14:textId="77777777" w:rsidTr="00691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tcPr>
          <w:p w14:paraId="35931AC3" w14:textId="63B54C56" w:rsidR="00CE36FE" w:rsidRPr="00CE36FE" w:rsidRDefault="00BA660F" w:rsidP="005A2BD5">
            <w:pPr>
              <w:rPr>
                <w:rFonts w:ascii="Arial" w:hAnsi="Arial" w:cs="Arial"/>
                <w:color w:val="auto"/>
                <w:sz w:val="20"/>
                <w:szCs w:val="20"/>
              </w:rPr>
            </w:pPr>
            <w:r>
              <w:rPr>
                <w:rFonts w:ascii="Arial" w:hAnsi="Arial" w:cs="Arial"/>
                <w:color w:val="auto"/>
                <w:sz w:val="20"/>
                <w:szCs w:val="20"/>
              </w:rPr>
              <w:t>Water Body</w:t>
            </w:r>
          </w:p>
        </w:tc>
        <w:tc>
          <w:tcPr>
            <w:tcW w:w="1283" w:type="dxa"/>
          </w:tcPr>
          <w:p w14:paraId="67766B33" w14:textId="77777777" w:rsidR="00CE36FE" w:rsidRPr="00CE36FE" w:rsidRDefault="00CE36FE"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E36FE">
              <w:rPr>
                <w:rFonts w:ascii="Arial" w:hAnsi="Arial" w:cs="Arial"/>
                <w:color w:val="auto"/>
                <w:sz w:val="20"/>
                <w:szCs w:val="20"/>
              </w:rPr>
              <w:t>0</w:t>
            </w:r>
          </w:p>
        </w:tc>
        <w:tc>
          <w:tcPr>
            <w:tcW w:w="1365" w:type="dxa"/>
          </w:tcPr>
          <w:p w14:paraId="44FB84DB" w14:textId="77777777" w:rsidR="00CE36FE" w:rsidRPr="00CE36FE" w:rsidRDefault="00CE36FE"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E36FE">
              <w:rPr>
                <w:rFonts w:ascii="Arial" w:hAnsi="Arial" w:cs="Arial"/>
                <w:color w:val="auto"/>
                <w:sz w:val="20"/>
                <w:szCs w:val="20"/>
              </w:rPr>
              <w:t>0</w:t>
            </w:r>
          </w:p>
        </w:tc>
        <w:tc>
          <w:tcPr>
            <w:tcW w:w="1359" w:type="dxa"/>
          </w:tcPr>
          <w:p w14:paraId="00248CAB" w14:textId="77777777" w:rsidR="00CE36FE" w:rsidRPr="00691644" w:rsidRDefault="00CE36FE"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0"/>
                <w:szCs w:val="20"/>
              </w:rPr>
            </w:pPr>
            <w:r w:rsidRPr="00691644">
              <w:rPr>
                <w:rFonts w:ascii="Arial" w:hAnsi="Arial" w:cs="Arial"/>
                <w:b/>
                <w:bCs/>
                <w:color w:val="FF0000"/>
                <w:sz w:val="20"/>
                <w:szCs w:val="20"/>
              </w:rPr>
              <w:t>4</w:t>
            </w:r>
          </w:p>
        </w:tc>
        <w:tc>
          <w:tcPr>
            <w:tcW w:w="1353" w:type="dxa"/>
          </w:tcPr>
          <w:p w14:paraId="15353E10" w14:textId="77777777" w:rsidR="00CE36FE" w:rsidRPr="00CE36FE" w:rsidRDefault="00CE36FE"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E36FE">
              <w:rPr>
                <w:rFonts w:ascii="Arial" w:hAnsi="Arial" w:cs="Arial"/>
                <w:color w:val="auto"/>
                <w:sz w:val="20"/>
                <w:szCs w:val="20"/>
              </w:rPr>
              <w:t>0</w:t>
            </w:r>
          </w:p>
        </w:tc>
        <w:tc>
          <w:tcPr>
            <w:tcW w:w="1626" w:type="dxa"/>
          </w:tcPr>
          <w:p w14:paraId="369A994C" w14:textId="77777777" w:rsidR="00CE36FE" w:rsidRPr="00CE36FE" w:rsidRDefault="00CE36FE"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E36FE">
              <w:rPr>
                <w:rFonts w:ascii="Arial" w:hAnsi="Arial" w:cs="Arial"/>
                <w:color w:val="auto"/>
                <w:sz w:val="20"/>
                <w:szCs w:val="20"/>
              </w:rPr>
              <w:t>0</w:t>
            </w:r>
          </w:p>
        </w:tc>
      </w:tr>
      <w:tr w:rsidR="00CE36FE" w:rsidRPr="00CE36FE" w14:paraId="6D24882E" w14:textId="77777777" w:rsidTr="00691644">
        <w:tc>
          <w:tcPr>
            <w:cnfStyle w:val="001000000000" w:firstRow="0" w:lastRow="0" w:firstColumn="1" w:lastColumn="0" w:oddVBand="0" w:evenVBand="0" w:oddHBand="0" w:evenHBand="0" w:firstRowFirstColumn="0" w:firstRowLastColumn="0" w:lastRowFirstColumn="0" w:lastRowLastColumn="0"/>
            <w:tcW w:w="1661" w:type="dxa"/>
          </w:tcPr>
          <w:p w14:paraId="333157F2" w14:textId="20E66655" w:rsidR="00CE36FE" w:rsidRPr="00CE36FE" w:rsidRDefault="00F94046" w:rsidP="005A2BD5">
            <w:pPr>
              <w:rPr>
                <w:rFonts w:ascii="Arial" w:hAnsi="Arial" w:cs="Arial"/>
                <w:color w:val="auto"/>
                <w:sz w:val="20"/>
                <w:szCs w:val="20"/>
              </w:rPr>
            </w:pPr>
            <w:r>
              <w:rPr>
                <w:rFonts w:ascii="Arial" w:hAnsi="Arial" w:cs="Arial"/>
                <w:color w:val="auto"/>
                <w:sz w:val="20"/>
                <w:szCs w:val="20"/>
              </w:rPr>
              <w:t>Built-up Land</w:t>
            </w:r>
          </w:p>
        </w:tc>
        <w:tc>
          <w:tcPr>
            <w:tcW w:w="1283" w:type="dxa"/>
          </w:tcPr>
          <w:p w14:paraId="0707A055" w14:textId="77777777" w:rsidR="00CE36FE" w:rsidRPr="00CE36FE" w:rsidRDefault="00CE36FE"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E36FE">
              <w:rPr>
                <w:rFonts w:ascii="Arial" w:hAnsi="Arial" w:cs="Arial"/>
                <w:color w:val="auto"/>
                <w:sz w:val="20"/>
                <w:szCs w:val="20"/>
              </w:rPr>
              <w:t>0</w:t>
            </w:r>
          </w:p>
        </w:tc>
        <w:tc>
          <w:tcPr>
            <w:tcW w:w="1365" w:type="dxa"/>
          </w:tcPr>
          <w:p w14:paraId="4A9E7FF2" w14:textId="77777777" w:rsidR="00CE36FE" w:rsidRPr="00CE36FE" w:rsidRDefault="00CE36FE"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E36FE">
              <w:rPr>
                <w:rFonts w:ascii="Arial" w:hAnsi="Arial" w:cs="Arial"/>
                <w:color w:val="auto"/>
                <w:sz w:val="20"/>
                <w:szCs w:val="20"/>
              </w:rPr>
              <w:t>0</w:t>
            </w:r>
          </w:p>
        </w:tc>
        <w:tc>
          <w:tcPr>
            <w:tcW w:w="1359" w:type="dxa"/>
          </w:tcPr>
          <w:p w14:paraId="3D9F410E" w14:textId="77777777" w:rsidR="00CE36FE" w:rsidRPr="00CE36FE" w:rsidRDefault="00CE36FE"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E36FE">
              <w:rPr>
                <w:rFonts w:ascii="Arial" w:hAnsi="Arial" w:cs="Arial"/>
                <w:color w:val="auto"/>
                <w:sz w:val="20"/>
                <w:szCs w:val="20"/>
              </w:rPr>
              <w:t>0</w:t>
            </w:r>
          </w:p>
        </w:tc>
        <w:tc>
          <w:tcPr>
            <w:tcW w:w="1353" w:type="dxa"/>
          </w:tcPr>
          <w:p w14:paraId="218F7D45" w14:textId="77777777" w:rsidR="00CE36FE" w:rsidRPr="00691644" w:rsidRDefault="00CE36FE"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rPr>
            </w:pPr>
            <w:r w:rsidRPr="00691644">
              <w:rPr>
                <w:rFonts w:ascii="Arial" w:hAnsi="Arial" w:cs="Arial"/>
                <w:b/>
                <w:bCs/>
                <w:color w:val="FF0000"/>
                <w:sz w:val="20"/>
                <w:szCs w:val="20"/>
              </w:rPr>
              <w:t>10</w:t>
            </w:r>
          </w:p>
        </w:tc>
        <w:tc>
          <w:tcPr>
            <w:tcW w:w="1626" w:type="dxa"/>
          </w:tcPr>
          <w:p w14:paraId="18C588F9" w14:textId="77777777" w:rsidR="00CE36FE" w:rsidRPr="00CE36FE" w:rsidRDefault="00CE36FE"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E36FE">
              <w:rPr>
                <w:rFonts w:ascii="Arial" w:hAnsi="Arial" w:cs="Arial"/>
                <w:color w:val="auto"/>
                <w:sz w:val="20"/>
                <w:szCs w:val="20"/>
              </w:rPr>
              <w:t>0</w:t>
            </w:r>
          </w:p>
        </w:tc>
      </w:tr>
      <w:tr w:rsidR="00CE36FE" w:rsidRPr="00CE36FE" w14:paraId="5AAB903B" w14:textId="77777777" w:rsidTr="00691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tcPr>
          <w:p w14:paraId="2D8930BE" w14:textId="2BB29CAD" w:rsidR="00CE36FE" w:rsidRPr="00CE36FE" w:rsidRDefault="00C61F12" w:rsidP="005A2BD5">
            <w:pPr>
              <w:rPr>
                <w:rFonts w:ascii="Arial" w:hAnsi="Arial" w:cs="Arial"/>
                <w:color w:val="auto"/>
                <w:sz w:val="20"/>
                <w:szCs w:val="20"/>
              </w:rPr>
            </w:pPr>
            <w:r>
              <w:rPr>
                <w:rFonts w:ascii="Arial" w:hAnsi="Arial" w:cs="Arial"/>
                <w:color w:val="auto"/>
                <w:sz w:val="20"/>
                <w:szCs w:val="20"/>
              </w:rPr>
              <w:t>Waste Land</w:t>
            </w:r>
          </w:p>
        </w:tc>
        <w:tc>
          <w:tcPr>
            <w:tcW w:w="1283" w:type="dxa"/>
          </w:tcPr>
          <w:p w14:paraId="031FAF63" w14:textId="77777777" w:rsidR="00CE36FE" w:rsidRPr="00CE36FE" w:rsidRDefault="00CE36FE"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E36FE">
              <w:rPr>
                <w:rFonts w:ascii="Arial" w:hAnsi="Arial" w:cs="Arial"/>
                <w:color w:val="auto"/>
                <w:sz w:val="20"/>
                <w:szCs w:val="20"/>
              </w:rPr>
              <w:t>0</w:t>
            </w:r>
          </w:p>
        </w:tc>
        <w:tc>
          <w:tcPr>
            <w:tcW w:w="1365" w:type="dxa"/>
          </w:tcPr>
          <w:p w14:paraId="71980B94" w14:textId="77777777" w:rsidR="00CE36FE" w:rsidRPr="00CE36FE" w:rsidRDefault="00CE36FE"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E36FE">
              <w:rPr>
                <w:rFonts w:ascii="Arial" w:hAnsi="Arial" w:cs="Arial"/>
                <w:color w:val="auto"/>
                <w:sz w:val="20"/>
                <w:szCs w:val="20"/>
              </w:rPr>
              <w:t>0</w:t>
            </w:r>
          </w:p>
        </w:tc>
        <w:tc>
          <w:tcPr>
            <w:tcW w:w="1359" w:type="dxa"/>
          </w:tcPr>
          <w:p w14:paraId="710129D2" w14:textId="77777777" w:rsidR="00CE36FE" w:rsidRPr="00CE36FE" w:rsidRDefault="00CE36FE"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E36FE">
              <w:rPr>
                <w:rFonts w:ascii="Arial" w:hAnsi="Arial" w:cs="Arial"/>
                <w:color w:val="auto"/>
                <w:sz w:val="20"/>
                <w:szCs w:val="20"/>
              </w:rPr>
              <w:t>0</w:t>
            </w:r>
          </w:p>
        </w:tc>
        <w:tc>
          <w:tcPr>
            <w:tcW w:w="1353" w:type="dxa"/>
          </w:tcPr>
          <w:p w14:paraId="54AE5433" w14:textId="77777777" w:rsidR="00CE36FE" w:rsidRPr="00CE36FE" w:rsidRDefault="00CE36FE"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E36FE">
              <w:rPr>
                <w:rFonts w:ascii="Arial" w:hAnsi="Arial" w:cs="Arial"/>
                <w:color w:val="auto"/>
                <w:sz w:val="20"/>
                <w:szCs w:val="20"/>
              </w:rPr>
              <w:t>0</w:t>
            </w:r>
          </w:p>
        </w:tc>
        <w:tc>
          <w:tcPr>
            <w:tcW w:w="1626" w:type="dxa"/>
          </w:tcPr>
          <w:p w14:paraId="3EE10C8F" w14:textId="77777777" w:rsidR="00CE36FE" w:rsidRPr="00CE36FE" w:rsidRDefault="00CE36FE"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E36FE">
              <w:rPr>
                <w:rFonts w:ascii="Arial" w:hAnsi="Arial" w:cs="Arial"/>
                <w:color w:val="auto"/>
                <w:sz w:val="20"/>
                <w:szCs w:val="20"/>
              </w:rPr>
              <w:t>6</w:t>
            </w:r>
          </w:p>
        </w:tc>
      </w:tr>
    </w:tbl>
    <w:p w14:paraId="02C90FD0" w14:textId="77777777" w:rsidR="00CE36FE" w:rsidRPr="00CE36FE" w:rsidRDefault="005A2BD5" w:rsidP="005A2BD5">
      <w:pPr>
        <w:spacing w:before="80" w:after="200"/>
        <w:rPr>
          <w:rFonts w:ascii="Arial" w:hAnsi="Arial" w:cs="Arial"/>
          <w:sz w:val="20"/>
          <w:szCs w:val="20"/>
        </w:rPr>
      </w:pPr>
      <w:r>
        <w:rPr>
          <w:rFonts w:ascii="Arial" w:hAnsi="Arial" w:cs="Arial"/>
          <w:sz w:val="20"/>
          <w:szCs w:val="20"/>
        </w:rPr>
        <w:t xml:space="preserve">   </w:t>
      </w:r>
      <w:r w:rsidRPr="00CE36FE">
        <w:rPr>
          <w:rFonts w:ascii="Arial" w:hAnsi="Arial" w:cs="Arial"/>
          <w:sz w:val="20"/>
          <w:szCs w:val="20"/>
        </w:rPr>
        <w:t>Confusion matrix (rows = classified cl</w:t>
      </w:r>
      <w:r>
        <w:rPr>
          <w:rFonts w:ascii="Arial" w:hAnsi="Arial" w:cs="Arial"/>
          <w:sz w:val="20"/>
          <w:szCs w:val="20"/>
        </w:rPr>
        <w:t>ass; columns = reference class)</w:t>
      </w:r>
    </w:p>
    <w:p w14:paraId="76705302" w14:textId="77777777" w:rsidR="00CE36FE" w:rsidRPr="00CE36FE" w:rsidRDefault="00CE36FE" w:rsidP="00CE36FE">
      <w:pPr>
        <w:spacing w:before="60" w:after="60"/>
        <w:jc w:val="both"/>
        <w:rPr>
          <w:rFonts w:ascii="Arial" w:hAnsi="Arial" w:cs="Arial"/>
          <w:sz w:val="20"/>
          <w:szCs w:val="20"/>
        </w:rPr>
      </w:pPr>
    </w:p>
    <w:p w14:paraId="4E2D79A0" w14:textId="77777777" w:rsidR="000B0CBC" w:rsidRPr="00CE36FE" w:rsidRDefault="008D0949" w:rsidP="00CE36FE">
      <w:pPr>
        <w:spacing w:before="60" w:after="60"/>
        <w:jc w:val="center"/>
        <w:rPr>
          <w:rFonts w:ascii="Arial" w:hAnsi="Arial" w:cs="Arial"/>
          <w:sz w:val="20"/>
          <w:szCs w:val="20"/>
        </w:rPr>
      </w:pPr>
      <w:r>
        <w:rPr>
          <w:rFonts w:ascii="Arial" w:hAnsi="Arial" w:cs="Arial"/>
          <w:sz w:val="20"/>
          <w:szCs w:val="20"/>
        </w:rPr>
        <w:t>Table No. 7</w:t>
      </w:r>
      <w:r w:rsidR="00CE36FE" w:rsidRPr="00CE36FE">
        <w:rPr>
          <w:rFonts w:ascii="Arial" w:hAnsi="Arial" w:cs="Arial"/>
          <w:sz w:val="20"/>
          <w:szCs w:val="20"/>
        </w:rPr>
        <w:t>.</w:t>
      </w:r>
      <w:r w:rsidR="005A2BD5">
        <w:rPr>
          <w:rFonts w:ascii="Arial" w:hAnsi="Arial" w:cs="Arial"/>
          <w:sz w:val="20"/>
          <w:szCs w:val="20"/>
        </w:rPr>
        <w:t>b.</w:t>
      </w:r>
      <w:r w:rsidR="00CE36FE" w:rsidRPr="00CE36FE">
        <w:rPr>
          <w:rFonts w:ascii="Arial" w:hAnsi="Arial" w:cs="Arial"/>
          <w:sz w:val="20"/>
          <w:szCs w:val="20"/>
        </w:rPr>
        <w:t xml:space="preserve"> Class-level accuracy metrics for the 2020 LULC classification</w:t>
      </w:r>
    </w:p>
    <w:tbl>
      <w:tblPr>
        <w:tblStyle w:val="LightShading"/>
        <w:tblW w:w="8423" w:type="dxa"/>
        <w:jc w:val="center"/>
        <w:tblLook w:val="04A0" w:firstRow="1" w:lastRow="0" w:firstColumn="1" w:lastColumn="0" w:noHBand="0" w:noVBand="1"/>
      </w:tblPr>
      <w:tblGrid>
        <w:gridCol w:w="2552"/>
        <w:gridCol w:w="2409"/>
        <w:gridCol w:w="1302"/>
        <w:gridCol w:w="2160"/>
      </w:tblGrid>
      <w:tr w:rsidR="000B0CBC" w:rsidRPr="00CE36FE" w14:paraId="49953383" w14:textId="77777777" w:rsidTr="005A2BD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Pr>
          <w:p w14:paraId="419FD04F" w14:textId="77777777" w:rsidR="000B0CBC" w:rsidRPr="00CE36FE" w:rsidRDefault="000B0CBC" w:rsidP="005A2BD5">
            <w:pPr>
              <w:jc w:val="center"/>
              <w:rPr>
                <w:rFonts w:ascii="Arial" w:hAnsi="Arial" w:cs="Arial"/>
                <w:sz w:val="20"/>
                <w:szCs w:val="20"/>
              </w:rPr>
            </w:pPr>
            <w:r w:rsidRPr="00CE36FE">
              <w:rPr>
                <w:rFonts w:ascii="Arial" w:hAnsi="Arial" w:cs="Arial"/>
                <w:sz w:val="20"/>
                <w:szCs w:val="20"/>
              </w:rPr>
              <w:t>Class</w:t>
            </w:r>
          </w:p>
        </w:tc>
        <w:tc>
          <w:tcPr>
            <w:tcW w:w="2409" w:type="dxa"/>
          </w:tcPr>
          <w:p w14:paraId="2B0730BB" w14:textId="77777777" w:rsidR="000B0CBC" w:rsidRPr="00CE36FE" w:rsidRDefault="000B0CBC" w:rsidP="005A2BD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E36FE">
              <w:rPr>
                <w:rFonts w:ascii="Arial" w:hAnsi="Arial" w:cs="Arial"/>
                <w:sz w:val="20"/>
                <w:szCs w:val="20"/>
              </w:rPr>
              <w:t>Producer's Acc.</w:t>
            </w:r>
          </w:p>
        </w:tc>
        <w:tc>
          <w:tcPr>
            <w:tcW w:w="1302" w:type="dxa"/>
          </w:tcPr>
          <w:p w14:paraId="4DE53B18" w14:textId="77777777" w:rsidR="000B0CBC" w:rsidRPr="00CE36FE" w:rsidRDefault="000B0CBC" w:rsidP="005A2BD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E36FE">
              <w:rPr>
                <w:rFonts w:ascii="Arial" w:hAnsi="Arial" w:cs="Arial"/>
                <w:sz w:val="20"/>
                <w:szCs w:val="20"/>
              </w:rPr>
              <w:t>User's Acc.</w:t>
            </w:r>
          </w:p>
        </w:tc>
        <w:tc>
          <w:tcPr>
            <w:tcW w:w="2160" w:type="dxa"/>
          </w:tcPr>
          <w:p w14:paraId="6E18D44B" w14:textId="77777777" w:rsidR="000B0CBC" w:rsidRPr="00CE36FE" w:rsidRDefault="000B0CBC" w:rsidP="005A2BD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E36FE">
              <w:rPr>
                <w:rFonts w:ascii="Arial" w:hAnsi="Arial" w:cs="Arial"/>
                <w:sz w:val="20"/>
                <w:szCs w:val="20"/>
              </w:rPr>
              <w:t>F1 Score (est.)</w:t>
            </w:r>
          </w:p>
        </w:tc>
      </w:tr>
      <w:tr w:rsidR="00CE36FE" w:rsidRPr="00CE36FE" w14:paraId="34183B3E" w14:textId="77777777" w:rsidTr="005A2B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Pr>
          <w:p w14:paraId="7BE60293" w14:textId="3F1E2553" w:rsidR="000B0CBC" w:rsidRPr="00CE36FE" w:rsidRDefault="00537B5E" w:rsidP="005A2BD5">
            <w:pPr>
              <w:rPr>
                <w:rFonts w:ascii="Arial" w:hAnsi="Arial" w:cs="Arial"/>
                <w:sz w:val="20"/>
                <w:szCs w:val="20"/>
              </w:rPr>
            </w:pPr>
            <w:r>
              <w:rPr>
                <w:rFonts w:ascii="Arial" w:hAnsi="Arial" w:cs="Arial"/>
                <w:color w:val="000000"/>
                <w:sz w:val="20"/>
                <w:szCs w:val="20"/>
              </w:rPr>
              <w:t>Agriculture Land</w:t>
            </w:r>
          </w:p>
        </w:tc>
        <w:tc>
          <w:tcPr>
            <w:tcW w:w="2409" w:type="dxa"/>
          </w:tcPr>
          <w:p w14:paraId="41FDC760" w14:textId="77777777" w:rsidR="000B0CBC" w:rsidRPr="00CE36FE"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E36FE">
              <w:rPr>
                <w:rFonts w:ascii="Arial" w:hAnsi="Arial" w:cs="Arial"/>
                <w:color w:val="000000"/>
                <w:sz w:val="20"/>
                <w:szCs w:val="20"/>
              </w:rPr>
              <w:t>0.78</w:t>
            </w:r>
          </w:p>
        </w:tc>
        <w:tc>
          <w:tcPr>
            <w:tcW w:w="1302" w:type="dxa"/>
          </w:tcPr>
          <w:p w14:paraId="3FD67F06" w14:textId="77777777" w:rsidR="000B0CBC" w:rsidRPr="00CE36FE"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E36FE">
              <w:rPr>
                <w:rFonts w:ascii="Arial" w:hAnsi="Arial" w:cs="Arial"/>
                <w:color w:val="000000"/>
                <w:sz w:val="20"/>
                <w:szCs w:val="20"/>
              </w:rPr>
              <w:t>1.00</w:t>
            </w:r>
          </w:p>
        </w:tc>
        <w:tc>
          <w:tcPr>
            <w:tcW w:w="2160" w:type="dxa"/>
          </w:tcPr>
          <w:p w14:paraId="22D3D828" w14:textId="77777777" w:rsidR="000B0CBC" w:rsidRPr="00CE36FE"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E36FE">
              <w:rPr>
                <w:rFonts w:ascii="Arial" w:hAnsi="Arial" w:cs="Arial"/>
                <w:color w:val="000000"/>
                <w:sz w:val="20"/>
                <w:szCs w:val="20"/>
              </w:rPr>
              <w:t>0.88</w:t>
            </w:r>
          </w:p>
        </w:tc>
      </w:tr>
      <w:tr w:rsidR="000B0CBC" w:rsidRPr="00CE36FE" w14:paraId="71D06D56" w14:textId="77777777" w:rsidTr="005A2BD5">
        <w:trPr>
          <w:jc w:val="center"/>
        </w:trPr>
        <w:tc>
          <w:tcPr>
            <w:cnfStyle w:val="001000000000" w:firstRow="0" w:lastRow="0" w:firstColumn="1" w:lastColumn="0" w:oddVBand="0" w:evenVBand="0" w:oddHBand="0" w:evenHBand="0" w:firstRowFirstColumn="0" w:firstRowLastColumn="0" w:lastRowFirstColumn="0" w:lastRowLastColumn="0"/>
            <w:tcW w:w="2552" w:type="dxa"/>
          </w:tcPr>
          <w:p w14:paraId="20A582A8" w14:textId="16FE1784" w:rsidR="000B0CBC" w:rsidRPr="00CE36FE" w:rsidRDefault="00BA660F" w:rsidP="005A2BD5">
            <w:pPr>
              <w:rPr>
                <w:rFonts w:ascii="Arial" w:hAnsi="Arial" w:cs="Arial"/>
                <w:sz w:val="20"/>
                <w:szCs w:val="20"/>
              </w:rPr>
            </w:pPr>
            <w:r>
              <w:rPr>
                <w:rFonts w:ascii="Arial" w:hAnsi="Arial" w:cs="Arial"/>
                <w:color w:val="000000"/>
                <w:sz w:val="20"/>
                <w:szCs w:val="20"/>
              </w:rPr>
              <w:t>Vegetation Land</w:t>
            </w:r>
          </w:p>
        </w:tc>
        <w:tc>
          <w:tcPr>
            <w:tcW w:w="2409" w:type="dxa"/>
          </w:tcPr>
          <w:p w14:paraId="0892254D" w14:textId="77777777" w:rsidR="000B0CBC" w:rsidRPr="00CE36FE" w:rsidRDefault="000B0CBC"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E36FE">
              <w:rPr>
                <w:rFonts w:ascii="Arial" w:hAnsi="Arial" w:cs="Arial"/>
                <w:color w:val="000000"/>
                <w:sz w:val="20"/>
                <w:szCs w:val="20"/>
              </w:rPr>
              <w:t>1.00</w:t>
            </w:r>
          </w:p>
        </w:tc>
        <w:tc>
          <w:tcPr>
            <w:tcW w:w="1302" w:type="dxa"/>
          </w:tcPr>
          <w:p w14:paraId="69ADAC46" w14:textId="77777777" w:rsidR="000B0CBC" w:rsidRPr="00CE36FE" w:rsidRDefault="000B0CBC"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E36FE">
              <w:rPr>
                <w:rFonts w:ascii="Arial" w:hAnsi="Arial" w:cs="Arial"/>
                <w:color w:val="000000"/>
                <w:sz w:val="20"/>
                <w:szCs w:val="20"/>
              </w:rPr>
              <w:t>1.00</w:t>
            </w:r>
          </w:p>
        </w:tc>
        <w:tc>
          <w:tcPr>
            <w:tcW w:w="2160" w:type="dxa"/>
          </w:tcPr>
          <w:p w14:paraId="46B6E733" w14:textId="77777777" w:rsidR="000B0CBC" w:rsidRPr="00CE36FE" w:rsidRDefault="000B0CBC"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E36FE">
              <w:rPr>
                <w:rFonts w:ascii="Arial" w:hAnsi="Arial" w:cs="Arial"/>
                <w:color w:val="000000"/>
                <w:sz w:val="20"/>
                <w:szCs w:val="20"/>
              </w:rPr>
              <w:t>1.00</w:t>
            </w:r>
          </w:p>
        </w:tc>
      </w:tr>
      <w:tr w:rsidR="00CE36FE" w:rsidRPr="00CE36FE" w14:paraId="450AB346" w14:textId="77777777" w:rsidTr="005A2B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Pr>
          <w:p w14:paraId="63FF65F7" w14:textId="1E47F125" w:rsidR="000B0CBC" w:rsidRPr="00CE36FE" w:rsidRDefault="00BA660F" w:rsidP="005A2BD5">
            <w:pPr>
              <w:rPr>
                <w:rFonts w:ascii="Arial" w:hAnsi="Arial" w:cs="Arial"/>
                <w:sz w:val="20"/>
                <w:szCs w:val="20"/>
              </w:rPr>
            </w:pPr>
            <w:r>
              <w:rPr>
                <w:rFonts w:ascii="Arial" w:hAnsi="Arial" w:cs="Arial"/>
                <w:color w:val="000000"/>
                <w:sz w:val="20"/>
                <w:szCs w:val="20"/>
              </w:rPr>
              <w:t>Water Body</w:t>
            </w:r>
          </w:p>
        </w:tc>
        <w:tc>
          <w:tcPr>
            <w:tcW w:w="2409" w:type="dxa"/>
          </w:tcPr>
          <w:p w14:paraId="57F799F5" w14:textId="77777777" w:rsidR="000B0CBC" w:rsidRPr="00CE36FE"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E36FE">
              <w:rPr>
                <w:rFonts w:ascii="Arial" w:hAnsi="Arial" w:cs="Arial"/>
                <w:color w:val="000000"/>
                <w:sz w:val="20"/>
                <w:szCs w:val="20"/>
              </w:rPr>
              <w:t>1.00</w:t>
            </w:r>
          </w:p>
        </w:tc>
        <w:tc>
          <w:tcPr>
            <w:tcW w:w="1302" w:type="dxa"/>
          </w:tcPr>
          <w:p w14:paraId="50DA350D" w14:textId="77777777" w:rsidR="000B0CBC" w:rsidRPr="00CE36FE"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E36FE">
              <w:rPr>
                <w:rFonts w:ascii="Arial" w:hAnsi="Arial" w:cs="Arial"/>
                <w:color w:val="000000"/>
                <w:sz w:val="20"/>
                <w:szCs w:val="20"/>
              </w:rPr>
              <w:t>1.00</w:t>
            </w:r>
          </w:p>
        </w:tc>
        <w:tc>
          <w:tcPr>
            <w:tcW w:w="2160" w:type="dxa"/>
          </w:tcPr>
          <w:p w14:paraId="5E3226E3" w14:textId="77777777" w:rsidR="000B0CBC" w:rsidRPr="00CE36FE"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E36FE">
              <w:rPr>
                <w:rFonts w:ascii="Arial" w:hAnsi="Arial" w:cs="Arial"/>
                <w:color w:val="000000"/>
                <w:sz w:val="20"/>
                <w:szCs w:val="20"/>
              </w:rPr>
              <w:t>1.00</w:t>
            </w:r>
          </w:p>
        </w:tc>
      </w:tr>
      <w:tr w:rsidR="000B0CBC" w:rsidRPr="00CE36FE" w14:paraId="56F10F83" w14:textId="77777777" w:rsidTr="005A2BD5">
        <w:trPr>
          <w:jc w:val="center"/>
        </w:trPr>
        <w:tc>
          <w:tcPr>
            <w:cnfStyle w:val="001000000000" w:firstRow="0" w:lastRow="0" w:firstColumn="1" w:lastColumn="0" w:oddVBand="0" w:evenVBand="0" w:oddHBand="0" w:evenHBand="0" w:firstRowFirstColumn="0" w:firstRowLastColumn="0" w:lastRowFirstColumn="0" w:lastRowLastColumn="0"/>
            <w:tcW w:w="2552" w:type="dxa"/>
          </w:tcPr>
          <w:p w14:paraId="468C51FB" w14:textId="443A4310" w:rsidR="000B0CBC" w:rsidRPr="00CE36FE" w:rsidRDefault="00F94046" w:rsidP="005A2BD5">
            <w:pPr>
              <w:rPr>
                <w:rFonts w:ascii="Arial" w:hAnsi="Arial" w:cs="Arial"/>
                <w:sz w:val="20"/>
                <w:szCs w:val="20"/>
              </w:rPr>
            </w:pPr>
            <w:r>
              <w:rPr>
                <w:rFonts w:ascii="Arial" w:hAnsi="Arial" w:cs="Arial"/>
                <w:color w:val="000000"/>
                <w:sz w:val="20"/>
                <w:szCs w:val="20"/>
              </w:rPr>
              <w:t>Built-up Land</w:t>
            </w:r>
          </w:p>
        </w:tc>
        <w:tc>
          <w:tcPr>
            <w:tcW w:w="2409" w:type="dxa"/>
          </w:tcPr>
          <w:p w14:paraId="1031E3F3" w14:textId="77777777" w:rsidR="000B0CBC" w:rsidRPr="00CE36FE" w:rsidRDefault="000B0CBC"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E36FE">
              <w:rPr>
                <w:rFonts w:ascii="Arial" w:hAnsi="Arial" w:cs="Arial"/>
                <w:color w:val="000000"/>
                <w:sz w:val="20"/>
                <w:szCs w:val="20"/>
              </w:rPr>
              <w:t>1.00</w:t>
            </w:r>
          </w:p>
        </w:tc>
        <w:tc>
          <w:tcPr>
            <w:tcW w:w="1302" w:type="dxa"/>
          </w:tcPr>
          <w:p w14:paraId="6502ABFB" w14:textId="77777777" w:rsidR="000B0CBC" w:rsidRPr="00CE36FE" w:rsidRDefault="000B0CBC"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E36FE">
              <w:rPr>
                <w:rFonts w:ascii="Arial" w:hAnsi="Arial" w:cs="Arial"/>
                <w:color w:val="000000"/>
                <w:sz w:val="20"/>
                <w:szCs w:val="20"/>
              </w:rPr>
              <w:t>0.83</w:t>
            </w:r>
          </w:p>
        </w:tc>
        <w:tc>
          <w:tcPr>
            <w:tcW w:w="2160" w:type="dxa"/>
          </w:tcPr>
          <w:p w14:paraId="328C99B2" w14:textId="77777777" w:rsidR="000B0CBC" w:rsidRPr="00CE36FE" w:rsidRDefault="000B0CBC"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E36FE">
              <w:rPr>
                <w:rFonts w:ascii="Arial" w:hAnsi="Arial" w:cs="Arial"/>
                <w:color w:val="000000"/>
                <w:sz w:val="20"/>
                <w:szCs w:val="20"/>
              </w:rPr>
              <w:t>0.91</w:t>
            </w:r>
          </w:p>
        </w:tc>
      </w:tr>
      <w:tr w:rsidR="00CE36FE" w:rsidRPr="00CE36FE" w14:paraId="0BCFC04B" w14:textId="77777777" w:rsidTr="005A2B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Pr>
          <w:p w14:paraId="78ED0A39" w14:textId="490A3554" w:rsidR="000B0CBC" w:rsidRPr="00CE36FE" w:rsidRDefault="00C61F12" w:rsidP="005A2BD5">
            <w:pPr>
              <w:rPr>
                <w:rFonts w:ascii="Arial" w:hAnsi="Arial" w:cs="Arial"/>
                <w:sz w:val="20"/>
                <w:szCs w:val="20"/>
              </w:rPr>
            </w:pPr>
            <w:r>
              <w:rPr>
                <w:rFonts w:ascii="Arial" w:hAnsi="Arial" w:cs="Arial"/>
                <w:color w:val="000000"/>
                <w:sz w:val="20"/>
                <w:szCs w:val="20"/>
              </w:rPr>
              <w:t>Waste Land</w:t>
            </w:r>
          </w:p>
        </w:tc>
        <w:tc>
          <w:tcPr>
            <w:tcW w:w="2409" w:type="dxa"/>
          </w:tcPr>
          <w:p w14:paraId="38AE33A7" w14:textId="77777777" w:rsidR="000B0CBC" w:rsidRPr="00CE36FE"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E36FE">
              <w:rPr>
                <w:rFonts w:ascii="Arial" w:hAnsi="Arial" w:cs="Arial"/>
                <w:color w:val="000000"/>
                <w:sz w:val="20"/>
                <w:szCs w:val="20"/>
              </w:rPr>
              <w:t>1.00</w:t>
            </w:r>
          </w:p>
        </w:tc>
        <w:tc>
          <w:tcPr>
            <w:tcW w:w="1302" w:type="dxa"/>
          </w:tcPr>
          <w:p w14:paraId="0E006CC1" w14:textId="77777777" w:rsidR="000B0CBC" w:rsidRPr="00CE36FE"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E36FE">
              <w:rPr>
                <w:rFonts w:ascii="Arial" w:hAnsi="Arial" w:cs="Arial"/>
                <w:color w:val="000000"/>
                <w:sz w:val="20"/>
                <w:szCs w:val="20"/>
              </w:rPr>
              <w:t>1.00</w:t>
            </w:r>
          </w:p>
        </w:tc>
        <w:tc>
          <w:tcPr>
            <w:tcW w:w="2160" w:type="dxa"/>
          </w:tcPr>
          <w:p w14:paraId="4158EED9" w14:textId="77777777" w:rsidR="000B0CBC" w:rsidRPr="00CE36FE"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E36FE">
              <w:rPr>
                <w:rFonts w:ascii="Arial" w:hAnsi="Arial" w:cs="Arial"/>
                <w:color w:val="000000"/>
                <w:sz w:val="20"/>
                <w:szCs w:val="20"/>
              </w:rPr>
              <w:t>1.00</w:t>
            </w:r>
          </w:p>
        </w:tc>
      </w:tr>
      <w:tr w:rsidR="000B0CBC" w:rsidRPr="00CE36FE" w14:paraId="48118BCF" w14:textId="77777777" w:rsidTr="005A2BD5">
        <w:trPr>
          <w:gridAfter w:val="2"/>
          <w:wAfter w:w="3462" w:type="dxa"/>
          <w:jc w:val="center"/>
        </w:trPr>
        <w:tc>
          <w:tcPr>
            <w:cnfStyle w:val="001000000000" w:firstRow="0" w:lastRow="0" w:firstColumn="1" w:lastColumn="0" w:oddVBand="0" w:evenVBand="0" w:oddHBand="0" w:evenHBand="0" w:firstRowFirstColumn="0" w:firstRowLastColumn="0" w:lastRowFirstColumn="0" w:lastRowLastColumn="0"/>
            <w:tcW w:w="2552" w:type="dxa"/>
          </w:tcPr>
          <w:p w14:paraId="3C10BF55" w14:textId="77777777" w:rsidR="000B0CBC" w:rsidRPr="00CE36FE" w:rsidRDefault="000B0CBC" w:rsidP="00CE36FE">
            <w:pPr>
              <w:rPr>
                <w:rFonts w:ascii="Arial" w:hAnsi="Arial" w:cs="Arial"/>
                <w:sz w:val="20"/>
                <w:szCs w:val="20"/>
              </w:rPr>
            </w:pPr>
            <w:r w:rsidRPr="00CE36FE">
              <w:rPr>
                <w:rFonts w:ascii="Arial" w:hAnsi="Arial" w:cs="Arial"/>
                <w:sz w:val="20"/>
                <w:szCs w:val="20"/>
              </w:rPr>
              <w:t>Overall Accuracy: 94.59%</w:t>
            </w:r>
          </w:p>
        </w:tc>
        <w:tc>
          <w:tcPr>
            <w:tcW w:w="2409" w:type="dxa"/>
          </w:tcPr>
          <w:p w14:paraId="698901A8" w14:textId="77777777" w:rsidR="000B0CBC" w:rsidRPr="00CE36FE" w:rsidRDefault="000B0CBC"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E36FE">
              <w:rPr>
                <w:rFonts w:ascii="Arial" w:hAnsi="Arial" w:cs="Arial"/>
                <w:b/>
                <w:bCs/>
                <w:sz w:val="20"/>
                <w:szCs w:val="20"/>
              </w:rPr>
              <w:t>Kappa Coefficient: 0.9308</w:t>
            </w:r>
          </w:p>
        </w:tc>
      </w:tr>
    </w:tbl>
    <w:p w14:paraId="393311B0" w14:textId="4725207C" w:rsidR="005A2BD5" w:rsidRPr="005A2BD5" w:rsidRDefault="005A2BD5" w:rsidP="005A2BD5">
      <w:pPr>
        <w:spacing w:before="120" w:after="120"/>
        <w:jc w:val="both"/>
        <w:rPr>
          <w:rFonts w:ascii="Arial" w:hAnsi="Arial" w:cs="Arial"/>
          <w:sz w:val="20"/>
          <w:szCs w:val="20"/>
        </w:rPr>
      </w:pPr>
      <w:r w:rsidRPr="005A2BD5">
        <w:rPr>
          <w:rFonts w:ascii="Arial" w:hAnsi="Arial" w:cs="Arial"/>
          <w:sz w:val="20"/>
          <w:szCs w:val="20"/>
        </w:rPr>
        <w:lastRenderedPageBreak/>
        <w:t xml:space="preserve">The 2025 classification achieved an Overall Accuracy of 95.45% and Kappa of 0.9387, marginally higher than 2020. The Forest Producer's Accuracy of 0.80 reflects one Forest test sample misclassified as </w:t>
      </w:r>
      <w:r w:rsidR="00537B5E">
        <w:rPr>
          <w:rFonts w:ascii="Arial" w:hAnsi="Arial" w:cs="Arial"/>
          <w:sz w:val="20"/>
          <w:szCs w:val="20"/>
        </w:rPr>
        <w:t>Agriculture Land</w:t>
      </w:r>
      <w:r w:rsidRPr="005A2BD5">
        <w:rPr>
          <w:rFonts w:ascii="Arial" w:hAnsi="Arial" w:cs="Arial"/>
          <w:sz w:val="20"/>
          <w:szCs w:val="20"/>
        </w:rPr>
        <w:t xml:space="preserve">, attributable to a deciduous forest patch with a spectrally ambiguous signature in the annual median composite likely a patch in early leaf-flush that was captured at lower NDVI. The </w:t>
      </w:r>
      <w:r w:rsidR="00537B5E">
        <w:rPr>
          <w:rFonts w:ascii="Arial" w:hAnsi="Arial" w:cs="Arial"/>
          <w:sz w:val="20"/>
          <w:szCs w:val="20"/>
        </w:rPr>
        <w:t>Agriculture Land</w:t>
      </w:r>
      <w:r w:rsidRPr="005A2BD5">
        <w:rPr>
          <w:rFonts w:ascii="Arial" w:hAnsi="Arial" w:cs="Arial"/>
          <w:sz w:val="20"/>
          <w:szCs w:val="20"/>
        </w:rPr>
        <w:t xml:space="preserve"> User's Accuracy of 0.80 reflects the same confusion in reverse. </w:t>
      </w:r>
      <w:r w:rsidR="00BA660F">
        <w:rPr>
          <w:rFonts w:ascii="Arial" w:hAnsi="Arial" w:cs="Arial"/>
          <w:sz w:val="20"/>
          <w:szCs w:val="20"/>
        </w:rPr>
        <w:t>Water Body</w:t>
      </w:r>
      <w:r w:rsidRPr="005A2BD5">
        <w:rPr>
          <w:rFonts w:ascii="Arial" w:hAnsi="Arial" w:cs="Arial"/>
          <w:sz w:val="20"/>
          <w:szCs w:val="20"/>
        </w:rPr>
        <w:t xml:space="preserve">, </w:t>
      </w:r>
      <w:r w:rsidR="00F94046">
        <w:rPr>
          <w:rFonts w:ascii="Arial" w:hAnsi="Arial" w:cs="Arial"/>
          <w:sz w:val="20"/>
          <w:szCs w:val="20"/>
        </w:rPr>
        <w:t>Built-up Land</w:t>
      </w:r>
      <w:r w:rsidRPr="005A2BD5">
        <w:rPr>
          <w:rFonts w:ascii="Arial" w:hAnsi="Arial" w:cs="Arial"/>
          <w:sz w:val="20"/>
          <w:szCs w:val="20"/>
        </w:rPr>
        <w:t>, and remaining classes achieved perfect scores. Both classification outputs substantially exceed the 85% OA threshold commonly recommended for LULC mapping (Anderson et al., 1976), and Kappa values above 0.93 are in the excellent agreement range.</w:t>
      </w:r>
    </w:p>
    <w:p w14:paraId="773A6307" w14:textId="77777777" w:rsidR="000B0CBC" w:rsidRDefault="000B0CBC" w:rsidP="000B0CBC">
      <w:pPr>
        <w:spacing w:before="60" w:after="60"/>
      </w:pPr>
    </w:p>
    <w:p w14:paraId="15F5F86F" w14:textId="77777777" w:rsidR="000B0CBC" w:rsidRPr="005A2BD5" w:rsidRDefault="00C34EBC" w:rsidP="005A2BD5">
      <w:pPr>
        <w:spacing w:before="80" w:after="80" w:line="360" w:lineRule="auto"/>
        <w:jc w:val="center"/>
        <w:rPr>
          <w:rFonts w:ascii="Arial" w:hAnsi="Arial" w:cs="Arial"/>
        </w:rPr>
      </w:pPr>
      <w:r>
        <w:rPr>
          <w:rFonts w:ascii="Arial" w:hAnsi="Arial" w:cs="Arial"/>
          <w:sz w:val="20"/>
          <w:szCs w:val="20"/>
        </w:rPr>
        <w:t>Table 8.</w:t>
      </w:r>
      <w:r w:rsidR="005A2BD5" w:rsidRPr="005A2BD5">
        <w:rPr>
          <w:rFonts w:ascii="Arial" w:hAnsi="Arial" w:cs="Arial"/>
          <w:sz w:val="20"/>
          <w:szCs w:val="20"/>
        </w:rPr>
        <w:t>a. Confusion matrix for the 2025 LULC classification</w:t>
      </w:r>
    </w:p>
    <w:tbl>
      <w:tblPr>
        <w:tblStyle w:val="LightShading"/>
        <w:tblW w:w="8640" w:type="dxa"/>
        <w:tblLook w:val="04A0" w:firstRow="1" w:lastRow="0" w:firstColumn="1" w:lastColumn="0" w:noHBand="0" w:noVBand="1"/>
      </w:tblPr>
      <w:tblGrid>
        <w:gridCol w:w="1440"/>
        <w:gridCol w:w="1440"/>
        <w:gridCol w:w="1440"/>
        <w:gridCol w:w="1440"/>
        <w:gridCol w:w="1440"/>
        <w:gridCol w:w="1440"/>
      </w:tblGrid>
      <w:tr w:rsidR="005A2BD5" w:rsidRPr="005A2BD5" w14:paraId="42876DAF" w14:textId="77777777" w:rsidTr="006916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18487B97" w14:textId="77777777" w:rsidR="000B0CBC" w:rsidRPr="005E38FB" w:rsidRDefault="000B0CBC" w:rsidP="005A2BD5">
            <w:pPr>
              <w:jc w:val="center"/>
              <w:rPr>
                <w:rFonts w:ascii="Arial" w:hAnsi="Arial" w:cs="Arial"/>
                <w:sz w:val="20"/>
                <w:szCs w:val="20"/>
              </w:rPr>
            </w:pPr>
            <w:r w:rsidRPr="005E38FB">
              <w:rPr>
                <w:rFonts w:ascii="Arial" w:hAnsi="Arial" w:cs="Arial"/>
                <w:sz w:val="20"/>
                <w:szCs w:val="20"/>
              </w:rPr>
              <w:t>Reference →</w:t>
            </w:r>
          </w:p>
        </w:tc>
        <w:tc>
          <w:tcPr>
            <w:tcW w:w="1440" w:type="dxa"/>
          </w:tcPr>
          <w:p w14:paraId="2FBA0B5A" w14:textId="757F059D" w:rsidR="000B0CBC" w:rsidRPr="005E38FB" w:rsidRDefault="00537B5E" w:rsidP="005A2BD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E38FB">
              <w:rPr>
                <w:rFonts w:ascii="Arial" w:hAnsi="Arial" w:cs="Arial"/>
                <w:sz w:val="20"/>
                <w:szCs w:val="20"/>
              </w:rPr>
              <w:t>Agriculture Land</w:t>
            </w:r>
          </w:p>
        </w:tc>
        <w:tc>
          <w:tcPr>
            <w:tcW w:w="1440" w:type="dxa"/>
          </w:tcPr>
          <w:p w14:paraId="0F5237B7" w14:textId="3FC94086" w:rsidR="000B0CBC" w:rsidRPr="005E38FB" w:rsidRDefault="00BA660F" w:rsidP="005A2BD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E38FB">
              <w:rPr>
                <w:rFonts w:ascii="Arial" w:hAnsi="Arial" w:cs="Arial"/>
                <w:sz w:val="20"/>
                <w:szCs w:val="20"/>
              </w:rPr>
              <w:t>Vegetation Land</w:t>
            </w:r>
          </w:p>
        </w:tc>
        <w:tc>
          <w:tcPr>
            <w:tcW w:w="1440" w:type="dxa"/>
          </w:tcPr>
          <w:p w14:paraId="60302DE9" w14:textId="1EA8BBCD" w:rsidR="000B0CBC" w:rsidRPr="005E38FB" w:rsidRDefault="00BA660F" w:rsidP="005A2BD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E38FB">
              <w:rPr>
                <w:rFonts w:ascii="Arial" w:hAnsi="Arial" w:cs="Arial"/>
                <w:sz w:val="20"/>
                <w:szCs w:val="20"/>
              </w:rPr>
              <w:t>Water Body</w:t>
            </w:r>
          </w:p>
        </w:tc>
        <w:tc>
          <w:tcPr>
            <w:tcW w:w="1440" w:type="dxa"/>
          </w:tcPr>
          <w:p w14:paraId="335E39F5" w14:textId="43BF9721" w:rsidR="000B0CBC" w:rsidRPr="005E38FB" w:rsidRDefault="00F94046" w:rsidP="005A2BD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E38FB">
              <w:rPr>
                <w:rFonts w:ascii="Arial" w:hAnsi="Arial" w:cs="Arial"/>
                <w:sz w:val="20"/>
                <w:szCs w:val="20"/>
              </w:rPr>
              <w:t>Built-up Land</w:t>
            </w:r>
          </w:p>
        </w:tc>
        <w:tc>
          <w:tcPr>
            <w:tcW w:w="1440" w:type="dxa"/>
          </w:tcPr>
          <w:p w14:paraId="40E23E93" w14:textId="77777777" w:rsidR="000B0CBC" w:rsidRPr="005E38FB" w:rsidRDefault="000B0CBC" w:rsidP="005A2BD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E38FB">
              <w:rPr>
                <w:rFonts w:ascii="Arial" w:hAnsi="Arial" w:cs="Arial"/>
                <w:sz w:val="20"/>
                <w:szCs w:val="20"/>
              </w:rPr>
              <w:t>Barren</w:t>
            </w:r>
          </w:p>
        </w:tc>
      </w:tr>
      <w:tr w:rsidR="005A2BD5" w:rsidRPr="005A2BD5" w14:paraId="5C2BDEE1" w14:textId="77777777" w:rsidTr="00691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6087BC12" w14:textId="21C3480F" w:rsidR="000B0CBC" w:rsidRPr="005E38FB" w:rsidRDefault="00537B5E" w:rsidP="005A2BD5">
            <w:pPr>
              <w:rPr>
                <w:rFonts w:ascii="Arial" w:hAnsi="Arial" w:cs="Arial"/>
                <w:sz w:val="20"/>
                <w:szCs w:val="20"/>
              </w:rPr>
            </w:pPr>
            <w:r w:rsidRPr="005E38FB">
              <w:rPr>
                <w:rFonts w:ascii="Arial" w:hAnsi="Arial" w:cs="Arial"/>
                <w:sz w:val="20"/>
                <w:szCs w:val="20"/>
              </w:rPr>
              <w:t>Agriculture Land</w:t>
            </w:r>
          </w:p>
        </w:tc>
        <w:tc>
          <w:tcPr>
            <w:tcW w:w="1440" w:type="dxa"/>
          </w:tcPr>
          <w:p w14:paraId="5246F526" w14:textId="77777777" w:rsidR="000B0CBC" w:rsidRPr="00691644"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691644">
              <w:rPr>
                <w:rFonts w:ascii="Arial" w:hAnsi="Arial" w:cs="Arial"/>
                <w:b/>
                <w:bCs/>
                <w:color w:val="FF0000"/>
                <w:sz w:val="20"/>
                <w:szCs w:val="20"/>
              </w:rPr>
              <w:t>4</w:t>
            </w:r>
          </w:p>
        </w:tc>
        <w:tc>
          <w:tcPr>
            <w:tcW w:w="1440" w:type="dxa"/>
          </w:tcPr>
          <w:p w14:paraId="0737A141" w14:textId="77777777" w:rsidR="000B0CBC" w:rsidRPr="005A2BD5"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2BD5">
              <w:rPr>
                <w:rFonts w:ascii="Arial" w:hAnsi="Arial" w:cs="Arial"/>
                <w:sz w:val="20"/>
                <w:szCs w:val="20"/>
              </w:rPr>
              <w:t>0</w:t>
            </w:r>
          </w:p>
        </w:tc>
        <w:tc>
          <w:tcPr>
            <w:tcW w:w="1440" w:type="dxa"/>
          </w:tcPr>
          <w:p w14:paraId="7C31E40C" w14:textId="77777777" w:rsidR="000B0CBC" w:rsidRPr="005A2BD5"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2BD5">
              <w:rPr>
                <w:rFonts w:ascii="Arial" w:hAnsi="Arial" w:cs="Arial"/>
                <w:sz w:val="20"/>
                <w:szCs w:val="20"/>
              </w:rPr>
              <w:t>0</w:t>
            </w:r>
          </w:p>
        </w:tc>
        <w:tc>
          <w:tcPr>
            <w:tcW w:w="1440" w:type="dxa"/>
          </w:tcPr>
          <w:p w14:paraId="21068B5C" w14:textId="77777777" w:rsidR="000B0CBC" w:rsidRPr="005A2BD5"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2BD5">
              <w:rPr>
                <w:rFonts w:ascii="Arial" w:hAnsi="Arial" w:cs="Arial"/>
                <w:sz w:val="20"/>
                <w:szCs w:val="20"/>
              </w:rPr>
              <w:t>0</w:t>
            </w:r>
          </w:p>
        </w:tc>
        <w:tc>
          <w:tcPr>
            <w:tcW w:w="1440" w:type="dxa"/>
          </w:tcPr>
          <w:p w14:paraId="131D0A96" w14:textId="77777777" w:rsidR="000B0CBC" w:rsidRPr="005A2BD5"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2BD5">
              <w:rPr>
                <w:rFonts w:ascii="Arial" w:hAnsi="Arial" w:cs="Arial"/>
                <w:sz w:val="20"/>
                <w:szCs w:val="20"/>
              </w:rPr>
              <w:t>0</w:t>
            </w:r>
          </w:p>
        </w:tc>
      </w:tr>
      <w:tr w:rsidR="005A2BD5" w:rsidRPr="005A2BD5" w14:paraId="7BE53072" w14:textId="77777777" w:rsidTr="00691644">
        <w:tc>
          <w:tcPr>
            <w:cnfStyle w:val="001000000000" w:firstRow="0" w:lastRow="0" w:firstColumn="1" w:lastColumn="0" w:oddVBand="0" w:evenVBand="0" w:oddHBand="0" w:evenHBand="0" w:firstRowFirstColumn="0" w:firstRowLastColumn="0" w:lastRowFirstColumn="0" w:lastRowLastColumn="0"/>
            <w:tcW w:w="1440" w:type="dxa"/>
          </w:tcPr>
          <w:p w14:paraId="1A123508" w14:textId="719205DA" w:rsidR="000B0CBC" w:rsidRPr="005E38FB" w:rsidRDefault="00BA660F" w:rsidP="005A2BD5">
            <w:pPr>
              <w:rPr>
                <w:rFonts w:ascii="Arial" w:hAnsi="Arial" w:cs="Arial"/>
                <w:sz w:val="20"/>
                <w:szCs w:val="20"/>
              </w:rPr>
            </w:pPr>
            <w:r w:rsidRPr="005E38FB">
              <w:rPr>
                <w:rFonts w:ascii="Arial" w:hAnsi="Arial" w:cs="Arial"/>
                <w:sz w:val="20"/>
                <w:szCs w:val="20"/>
              </w:rPr>
              <w:t>Vegetation Land</w:t>
            </w:r>
          </w:p>
        </w:tc>
        <w:tc>
          <w:tcPr>
            <w:tcW w:w="1440" w:type="dxa"/>
          </w:tcPr>
          <w:p w14:paraId="47893ED6" w14:textId="77777777" w:rsidR="000B0CBC" w:rsidRPr="005A2BD5" w:rsidRDefault="000B0CBC"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2BD5">
              <w:rPr>
                <w:rFonts w:ascii="Arial" w:hAnsi="Arial" w:cs="Arial"/>
                <w:sz w:val="20"/>
                <w:szCs w:val="20"/>
              </w:rPr>
              <w:t>1</w:t>
            </w:r>
          </w:p>
        </w:tc>
        <w:tc>
          <w:tcPr>
            <w:tcW w:w="1440" w:type="dxa"/>
          </w:tcPr>
          <w:p w14:paraId="773C63CB" w14:textId="77777777" w:rsidR="000B0CBC" w:rsidRPr="00691644" w:rsidRDefault="000B0CBC"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691644">
              <w:rPr>
                <w:rFonts w:ascii="Arial" w:hAnsi="Arial" w:cs="Arial"/>
                <w:b/>
                <w:bCs/>
                <w:color w:val="FF0000"/>
                <w:sz w:val="20"/>
                <w:szCs w:val="20"/>
              </w:rPr>
              <w:t>4</w:t>
            </w:r>
          </w:p>
        </w:tc>
        <w:tc>
          <w:tcPr>
            <w:tcW w:w="1440" w:type="dxa"/>
          </w:tcPr>
          <w:p w14:paraId="62CD4A98" w14:textId="77777777" w:rsidR="000B0CBC" w:rsidRPr="005A2BD5" w:rsidRDefault="000B0CBC"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2BD5">
              <w:rPr>
                <w:rFonts w:ascii="Arial" w:hAnsi="Arial" w:cs="Arial"/>
                <w:sz w:val="20"/>
                <w:szCs w:val="20"/>
              </w:rPr>
              <w:t>0</w:t>
            </w:r>
          </w:p>
        </w:tc>
        <w:tc>
          <w:tcPr>
            <w:tcW w:w="1440" w:type="dxa"/>
          </w:tcPr>
          <w:p w14:paraId="78B39FFA" w14:textId="77777777" w:rsidR="000B0CBC" w:rsidRPr="005A2BD5" w:rsidRDefault="000B0CBC"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2BD5">
              <w:rPr>
                <w:rFonts w:ascii="Arial" w:hAnsi="Arial" w:cs="Arial"/>
                <w:sz w:val="20"/>
                <w:szCs w:val="20"/>
              </w:rPr>
              <w:t>0</w:t>
            </w:r>
          </w:p>
        </w:tc>
        <w:tc>
          <w:tcPr>
            <w:tcW w:w="1440" w:type="dxa"/>
          </w:tcPr>
          <w:p w14:paraId="1E0D3634" w14:textId="77777777" w:rsidR="000B0CBC" w:rsidRPr="005A2BD5" w:rsidRDefault="000B0CBC"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2BD5">
              <w:rPr>
                <w:rFonts w:ascii="Arial" w:hAnsi="Arial" w:cs="Arial"/>
                <w:sz w:val="20"/>
                <w:szCs w:val="20"/>
              </w:rPr>
              <w:t>0</w:t>
            </w:r>
          </w:p>
        </w:tc>
      </w:tr>
      <w:tr w:rsidR="005A2BD5" w:rsidRPr="005A2BD5" w14:paraId="772ED444" w14:textId="77777777" w:rsidTr="00691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2280712A" w14:textId="17E6D0FC" w:rsidR="000B0CBC" w:rsidRPr="005E38FB" w:rsidRDefault="00BA660F" w:rsidP="005A2BD5">
            <w:pPr>
              <w:rPr>
                <w:rFonts w:ascii="Arial" w:hAnsi="Arial" w:cs="Arial"/>
                <w:sz w:val="20"/>
                <w:szCs w:val="20"/>
              </w:rPr>
            </w:pPr>
            <w:r w:rsidRPr="005E38FB">
              <w:rPr>
                <w:rFonts w:ascii="Arial" w:hAnsi="Arial" w:cs="Arial"/>
                <w:sz w:val="20"/>
                <w:szCs w:val="20"/>
              </w:rPr>
              <w:t>Water Body</w:t>
            </w:r>
          </w:p>
        </w:tc>
        <w:tc>
          <w:tcPr>
            <w:tcW w:w="1440" w:type="dxa"/>
          </w:tcPr>
          <w:p w14:paraId="34821361" w14:textId="77777777" w:rsidR="000B0CBC" w:rsidRPr="005A2BD5"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2BD5">
              <w:rPr>
                <w:rFonts w:ascii="Arial" w:hAnsi="Arial" w:cs="Arial"/>
                <w:sz w:val="20"/>
                <w:szCs w:val="20"/>
              </w:rPr>
              <w:t>0</w:t>
            </w:r>
          </w:p>
        </w:tc>
        <w:tc>
          <w:tcPr>
            <w:tcW w:w="1440" w:type="dxa"/>
          </w:tcPr>
          <w:p w14:paraId="7D2E2FC6" w14:textId="77777777" w:rsidR="000B0CBC" w:rsidRPr="005A2BD5"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2BD5">
              <w:rPr>
                <w:rFonts w:ascii="Arial" w:hAnsi="Arial" w:cs="Arial"/>
                <w:sz w:val="20"/>
                <w:szCs w:val="20"/>
              </w:rPr>
              <w:t>0</w:t>
            </w:r>
          </w:p>
        </w:tc>
        <w:tc>
          <w:tcPr>
            <w:tcW w:w="1440" w:type="dxa"/>
          </w:tcPr>
          <w:p w14:paraId="6FEBC054" w14:textId="77777777" w:rsidR="000B0CBC" w:rsidRPr="00691644"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691644">
              <w:rPr>
                <w:rFonts w:ascii="Arial" w:hAnsi="Arial" w:cs="Arial"/>
                <w:b/>
                <w:bCs/>
                <w:color w:val="FF0000"/>
                <w:sz w:val="20"/>
                <w:szCs w:val="20"/>
              </w:rPr>
              <w:t>6</w:t>
            </w:r>
          </w:p>
        </w:tc>
        <w:tc>
          <w:tcPr>
            <w:tcW w:w="1440" w:type="dxa"/>
          </w:tcPr>
          <w:p w14:paraId="423E4B08" w14:textId="77777777" w:rsidR="000B0CBC" w:rsidRPr="005A2BD5"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2BD5">
              <w:rPr>
                <w:rFonts w:ascii="Arial" w:hAnsi="Arial" w:cs="Arial"/>
                <w:sz w:val="20"/>
                <w:szCs w:val="20"/>
              </w:rPr>
              <w:t>0</w:t>
            </w:r>
          </w:p>
        </w:tc>
        <w:tc>
          <w:tcPr>
            <w:tcW w:w="1440" w:type="dxa"/>
          </w:tcPr>
          <w:p w14:paraId="6AD136C3" w14:textId="77777777" w:rsidR="000B0CBC" w:rsidRPr="005A2BD5"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2BD5">
              <w:rPr>
                <w:rFonts w:ascii="Arial" w:hAnsi="Arial" w:cs="Arial"/>
                <w:sz w:val="20"/>
                <w:szCs w:val="20"/>
              </w:rPr>
              <w:t>0</w:t>
            </w:r>
          </w:p>
        </w:tc>
      </w:tr>
      <w:tr w:rsidR="005A2BD5" w:rsidRPr="005A2BD5" w14:paraId="4CC67B0F" w14:textId="77777777" w:rsidTr="00691644">
        <w:tc>
          <w:tcPr>
            <w:cnfStyle w:val="001000000000" w:firstRow="0" w:lastRow="0" w:firstColumn="1" w:lastColumn="0" w:oddVBand="0" w:evenVBand="0" w:oddHBand="0" w:evenHBand="0" w:firstRowFirstColumn="0" w:firstRowLastColumn="0" w:lastRowFirstColumn="0" w:lastRowLastColumn="0"/>
            <w:tcW w:w="1440" w:type="dxa"/>
          </w:tcPr>
          <w:p w14:paraId="5A923774" w14:textId="62601CAB" w:rsidR="000B0CBC" w:rsidRPr="005E38FB" w:rsidRDefault="00F94046" w:rsidP="005A2BD5">
            <w:pPr>
              <w:rPr>
                <w:rFonts w:ascii="Arial" w:hAnsi="Arial" w:cs="Arial"/>
                <w:sz w:val="20"/>
                <w:szCs w:val="20"/>
              </w:rPr>
            </w:pPr>
            <w:r w:rsidRPr="005E38FB">
              <w:rPr>
                <w:rFonts w:ascii="Arial" w:hAnsi="Arial" w:cs="Arial"/>
                <w:sz w:val="20"/>
                <w:szCs w:val="20"/>
              </w:rPr>
              <w:t>Built-up Land</w:t>
            </w:r>
          </w:p>
        </w:tc>
        <w:tc>
          <w:tcPr>
            <w:tcW w:w="1440" w:type="dxa"/>
          </w:tcPr>
          <w:p w14:paraId="366635A2" w14:textId="77777777" w:rsidR="000B0CBC" w:rsidRPr="005A2BD5" w:rsidRDefault="000B0CBC"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2BD5">
              <w:rPr>
                <w:rFonts w:ascii="Arial" w:hAnsi="Arial" w:cs="Arial"/>
                <w:sz w:val="20"/>
                <w:szCs w:val="20"/>
              </w:rPr>
              <w:t>0</w:t>
            </w:r>
          </w:p>
        </w:tc>
        <w:tc>
          <w:tcPr>
            <w:tcW w:w="1440" w:type="dxa"/>
          </w:tcPr>
          <w:p w14:paraId="0A244F30" w14:textId="77777777" w:rsidR="000B0CBC" w:rsidRPr="005A2BD5" w:rsidRDefault="000B0CBC"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2BD5">
              <w:rPr>
                <w:rFonts w:ascii="Arial" w:hAnsi="Arial" w:cs="Arial"/>
                <w:sz w:val="20"/>
                <w:szCs w:val="20"/>
              </w:rPr>
              <w:t>0</w:t>
            </w:r>
          </w:p>
        </w:tc>
        <w:tc>
          <w:tcPr>
            <w:tcW w:w="1440" w:type="dxa"/>
          </w:tcPr>
          <w:p w14:paraId="2DFE94EB" w14:textId="77777777" w:rsidR="000B0CBC" w:rsidRPr="005A2BD5" w:rsidRDefault="000B0CBC"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2BD5">
              <w:rPr>
                <w:rFonts w:ascii="Arial" w:hAnsi="Arial" w:cs="Arial"/>
                <w:sz w:val="20"/>
                <w:szCs w:val="20"/>
              </w:rPr>
              <w:t>0</w:t>
            </w:r>
          </w:p>
        </w:tc>
        <w:tc>
          <w:tcPr>
            <w:tcW w:w="1440" w:type="dxa"/>
          </w:tcPr>
          <w:p w14:paraId="1AA3C2DB" w14:textId="77777777" w:rsidR="000B0CBC" w:rsidRPr="00691644" w:rsidRDefault="000B0CBC"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691644">
              <w:rPr>
                <w:rFonts w:ascii="Arial" w:hAnsi="Arial" w:cs="Arial"/>
                <w:b/>
                <w:bCs/>
                <w:color w:val="FF0000"/>
                <w:sz w:val="20"/>
                <w:szCs w:val="20"/>
              </w:rPr>
              <w:t>7</w:t>
            </w:r>
          </w:p>
        </w:tc>
        <w:tc>
          <w:tcPr>
            <w:tcW w:w="1440" w:type="dxa"/>
          </w:tcPr>
          <w:p w14:paraId="177709FA" w14:textId="77777777" w:rsidR="000B0CBC" w:rsidRPr="005A2BD5" w:rsidRDefault="000B0CBC"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2BD5">
              <w:rPr>
                <w:rFonts w:ascii="Arial" w:hAnsi="Arial" w:cs="Arial"/>
                <w:sz w:val="20"/>
                <w:szCs w:val="20"/>
              </w:rPr>
              <w:t>0</w:t>
            </w:r>
          </w:p>
        </w:tc>
      </w:tr>
      <w:tr w:rsidR="005A2BD5" w:rsidRPr="005A2BD5" w14:paraId="3D2CCF92" w14:textId="77777777" w:rsidTr="00691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756BD3F9" w14:textId="59543021" w:rsidR="000B0CBC" w:rsidRPr="005E38FB" w:rsidRDefault="00C61F12" w:rsidP="005A2BD5">
            <w:pPr>
              <w:rPr>
                <w:rFonts w:ascii="Arial" w:hAnsi="Arial" w:cs="Arial"/>
                <w:sz w:val="20"/>
                <w:szCs w:val="20"/>
              </w:rPr>
            </w:pPr>
            <w:r w:rsidRPr="005E38FB">
              <w:rPr>
                <w:rFonts w:ascii="Arial" w:hAnsi="Arial" w:cs="Arial"/>
                <w:sz w:val="20"/>
                <w:szCs w:val="20"/>
              </w:rPr>
              <w:t>Waste Land</w:t>
            </w:r>
          </w:p>
        </w:tc>
        <w:tc>
          <w:tcPr>
            <w:tcW w:w="1440" w:type="dxa"/>
          </w:tcPr>
          <w:p w14:paraId="44AFFC61" w14:textId="77777777" w:rsidR="000B0CBC" w:rsidRPr="005A2BD5"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2BD5">
              <w:rPr>
                <w:rFonts w:ascii="Arial" w:hAnsi="Arial" w:cs="Arial"/>
                <w:sz w:val="20"/>
                <w:szCs w:val="20"/>
              </w:rPr>
              <w:t>0</w:t>
            </w:r>
          </w:p>
        </w:tc>
        <w:tc>
          <w:tcPr>
            <w:tcW w:w="1440" w:type="dxa"/>
          </w:tcPr>
          <w:p w14:paraId="2E71F7EC" w14:textId="77777777" w:rsidR="000B0CBC" w:rsidRPr="005A2BD5"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2BD5">
              <w:rPr>
                <w:rFonts w:ascii="Arial" w:hAnsi="Arial" w:cs="Arial"/>
                <w:sz w:val="20"/>
                <w:szCs w:val="20"/>
              </w:rPr>
              <w:t>0</w:t>
            </w:r>
          </w:p>
        </w:tc>
        <w:tc>
          <w:tcPr>
            <w:tcW w:w="1440" w:type="dxa"/>
          </w:tcPr>
          <w:p w14:paraId="6540D4AD" w14:textId="77777777" w:rsidR="000B0CBC" w:rsidRPr="005A2BD5"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2BD5">
              <w:rPr>
                <w:rFonts w:ascii="Arial" w:hAnsi="Arial" w:cs="Arial"/>
                <w:sz w:val="20"/>
                <w:szCs w:val="20"/>
              </w:rPr>
              <w:t>0</w:t>
            </w:r>
          </w:p>
        </w:tc>
        <w:tc>
          <w:tcPr>
            <w:tcW w:w="1440" w:type="dxa"/>
          </w:tcPr>
          <w:p w14:paraId="032BD6AE" w14:textId="77777777" w:rsidR="000B0CBC" w:rsidRPr="005A2BD5"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2BD5">
              <w:rPr>
                <w:rFonts w:ascii="Arial" w:hAnsi="Arial" w:cs="Arial"/>
                <w:sz w:val="20"/>
                <w:szCs w:val="20"/>
              </w:rPr>
              <w:t>0</w:t>
            </w:r>
          </w:p>
        </w:tc>
        <w:tc>
          <w:tcPr>
            <w:tcW w:w="1440" w:type="dxa"/>
          </w:tcPr>
          <w:p w14:paraId="43D77EEB" w14:textId="77777777" w:rsidR="000B0CBC" w:rsidRPr="00691644"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691644">
              <w:rPr>
                <w:rFonts w:ascii="Arial" w:hAnsi="Arial" w:cs="Arial"/>
                <w:b/>
                <w:bCs/>
                <w:color w:val="FF0000"/>
                <w:sz w:val="20"/>
                <w:szCs w:val="20"/>
              </w:rPr>
              <w:t>—</w:t>
            </w:r>
          </w:p>
        </w:tc>
      </w:tr>
    </w:tbl>
    <w:p w14:paraId="7B23E87B" w14:textId="77777777" w:rsidR="005A2BD5" w:rsidRPr="005A2BD5" w:rsidRDefault="005A2BD5" w:rsidP="005A2BD5">
      <w:pPr>
        <w:rPr>
          <w:rFonts w:ascii="Arial" w:hAnsi="Arial" w:cs="Arial"/>
          <w:i/>
          <w:iCs/>
          <w:sz w:val="20"/>
          <w:szCs w:val="20"/>
        </w:rPr>
      </w:pPr>
      <w:r>
        <w:rPr>
          <w:rFonts w:ascii="Arial" w:hAnsi="Arial" w:cs="Arial"/>
          <w:sz w:val="20"/>
          <w:szCs w:val="20"/>
        </w:rPr>
        <w:t>*</w:t>
      </w:r>
      <w:r w:rsidRPr="005A2BD5">
        <w:rPr>
          <w:rFonts w:ascii="Arial" w:hAnsi="Arial" w:cs="Arial"/>
          <w:sz w:val="20"/>
          <w:szCs w:val="20"/>
        </w:rPr>
        <w:t>Confusion matrix (rows = classified class; columns = reference class)</w:t>
      </w:r>
      <w:r w:rsidR="000B0CBC" w:rsidRPr="005A2BD5">
        <w:rPr>
          <w:rFonts w:ascii="Arial" w:hAnsi="Arial" w:cs="Arial"/>
          <w:i/>
          <w:iCs/>
          <w:sz w:val="20"/>
          <w:szCs w:val="20"/>
        </w:rPr>
        <w:t>.</w:t>
      </w:r>
    </w:p>
    <w:p w14:paraId="2B9AABB9" w14:textId="1A2ABA3B" w:rsidR="000B0CBC" w:rsidRPr="005A2BD5" w:rsidRDefault="005A2BD5" w:rsidP="005A2BD5">
      <w:pPr>
        <w:rPr>
          <w:rFonts w:ascii="Arial" w:hAnsi="Arial" w:cs="Arial"/>
          <w:sz w:val="20"/>
          <w:szCs w:val="20"/>
        </w:rPr>
      </w:pPr>
      <w:r>
        <w:rPr>
          <w:rFonts w:ascii="Arial" w:hAnsi="Arial" w:cs="Arial"/>
          <w:sz w:val="20"/>
          <w:szCs w:val="20"/>
        </w:rPr>
        <w:t>*</w:t>
      </w:r>
      <w:r w:rsidR="00691644">
        <w:rPr>
          <w:rFonts w:ascii="Arial" w:hAnsi="Arial" w:cs="Arial"/>
          <w:sz w:val="20"/>
          <w:szCs w:val="20"/>
        </w:rPr>
        <w:t>Diagonal cells (red</w:t>
      </w:r>
      <w:r w:rsidR="000B0CBC" w:rsidRPr="005A2BD5">
        <w:rPr>
          <w:rFonts w:ascii="Arial" w:hAnsi="Arial" w:cs="Arial"/>
          <w:sz w:val="20"/>
          <w:szCs w:val="20"/>
        </w:rPr>
        <w:t xml:space="preserve">) show correctly classified samples. (—) indicates no test samples for </w:t>
      </w:r>
      <w:r w:rsidR="00F94046">
        <w:rPr>
          <w:rFonts w:ascii="Arial" w:hAnsi="Arial" w:cs="Arial"/>
          <w:sz w:val="20"/>
          <w:szCs w:val="20"/>
        </w:rPr>
        <w:t xml:space="preserve">Waste Land </w:t>
      </w:r>
      <w:r w:rsidR="000B0CBC" w:rsidRPr="005A2BD5">
        <w:rPr>
          <w:rFonts w:ascii="Arial" w:hAnsi="Arial" w:cs="Arial"/>
          <w:sz w:val="20"/>
          <w:szCs w:val="20"/>
        </w:rPr>
        <w:t>in this partition.</w:t>
      </w:r>
    </w:p>
    <w:p w14:paraId="67BAA767" w14:textId="77777777" w:rsidR="000B0CBC" w:rsidRPr="005A2BD5" w:rsidRDefault="000B0CBC" w:rsidP="005A2BD5">
      <w:pPr>
        <w:spacing w:before="60" w:after="60"/>
        <w:jc w:val="center"/>
        <w:rPr>
          <w:rFonts w:ascii="Arial" w:hAnsi="Arial" w:cs="Arial"/>
        </w:rPr>
      </w:pPr>
    </w:p>
    <w:p w14:paraId="7EB51A64" w14:textId="77777777" w:rsidR="005A2BD5" w:rsidRPr="005A2BD5" w:rsidRDefault="00C34EBC" w:rsidP="005A2BD5">
      <w:pPr>
        <w:spacing w:before="60" w:after="60"/>
        <w:jc w:val="center"/>
        <w:rPr>
          <w:rFonts w:ascii="Arial" w:hAnsi="Arial" w:cs="Arial"/>
        </w:rPr>
      </w:pPr>
      <w:r>
        <w:rPr>
          <w:rFonts w:ascii="Arial" w:hAnsi="Arial" w:cs="Arial"/>
          <w:sz w:val="20"/>
          <w:szCs w:val="20"/>
        </w:rPr>
        <w:t>Table 8.</w:t>
      </w:r>
      <w:r w:rsidR="005A2BD5" w:rsidRPr="005A2BD5">
        <w:rPr>
          <w:rFonts w:ascii="Arial" w:hAnsi="Arial" w:cs="Arial"/>
          <w:sz w:val="20"/>
          <w:szCs w:val="20"/>
        </w:rPr>
        <w:t>b. Class-level accuracy metrics for the 2025 LULC classification</w:t>
      </w:r>
    </w:p>
    <w:tbl>
      <w:tblPr>
        <w:tblStyle w:val="LightShading"/>
        <w:tblW w:w="8330" w:type="dxa"/>
        <w:tblLook w:val="04A0" w:firstRow="1" w:lastRow="0" w:firstColumn="1" w:lastColumn="0" w:noHBand="0" w:noVBand="1"/>
      </w:tblPr>
      <w:tblGrid>
        <w:gridCol w:w="2660"/>
        <w:gridCol w:w="2551"/>
        <w:gridCol w:w="1560"/>
        <w:gridCol w:w="1559"/>
      </w:tblGrid>
      <w:tr w:rsidR="005E38FB" w:rsidRPr="005A2BD5" w14:paraId="4BBDE5B0" w14:textId="77777777" w:rsidTr="005E38FB">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660" w:type="dxa"/>
            <w:vAlign w:val="center"/>
          </w:tcPr>
          <w:p w14:paraId="04C277D3" w14:textId="77777777" w:rsidR="000B0CBC" w:rsidRPr="005A2BD5" w:rsidRDefault="000B0CBC" w:rsidP="005E38FB">
            <w:pPr>
              <w:rPr>
                <w:rFonts w:ascii="Arial" w:hAnsi="Arial" w:cs="Arial"/>
                <w:color w:val="auto"/>
              </w:rPr>
            </w:pPr>
            <w:r w:rsidRPr="005A2BD5">
              <w:rPr>
                <w:rFonts w:ascii="Arial" w:hAnsi="Arial" w:cs="Arial"/>
                <w:color w:val="auto"/>
                <w:sz w:val="19"/>
                <w:szCs w:val="19"/>
              </w:rPr>
              <w:t>Class</w:t>
            </w:r>
          </w:p>
        </w:tc>
        <w:tc>
          <w:tcPr>
            <w:tcW w:w="2551" w:type="dxa"/>
            <w:vAlign w:val="center"/>
          </w:tcPr>
          <w:p w14:paraId="337B991E" w14:textId="77777777" w:rsidR="000B0CBC" w:rsidRPr="005A2BD5" w:rsidRDefault="000B0CBC" w:rsidP="005E38FB">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A2BD5">
              <w:rPr>
                <w:rFonts w:ascii="Arial" w:hAnsi="Arial" w:cs="Arial"/>
                <w:color w:val="auto"/>
                <w:sz w:val="19"/>
                <w:szCs w:val="19"/>
              </w:rPr>
              <w:t>Producer's Acc.</w:t>
            </w:r>
          </w:p>
        </w:tc>
        <w:tc>
          <w:tcPr>
            <w:tcW w:w="1560" w:type="dxa"/>
            <w:vAlign w:val="center"/>
          </w:tcPr>
          <w:p w14:paraId="27ADE7F8" w14:textId="77777777" w:rsidR="000B0CBC" w:rsidRPr="005A2BD5" w:rsidRDefault="000B0CBC" w:rsidP="005E38FB">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A2BD5">
              <w:rPr>
                <w:rFonts w:ascii="Arial" w:hAnsi="Arial" w:cs="Arial"/>
                <w:color w:val="auto"/>
                <w:sz w:val="19"/>
                <w:szCs w:val="19"/>
              </w:rPr>
              <w:t>User's Acc.</w:t>
            </w:r>
          </w:p>
        </w:tc>
        <w:tc>
          <w:tcPr>
            <w:tcW w:w="1559" w:type="dxa"/>
            <w:vAlign w:val="center"/>
          </w:tcPr>
          <w:p w14:paraId="55A8E74A" w14:textId="77777777" w:rsidR="000B0CBC" w:rsidRPr="005A2BD5" w:rsidRDefault="000B0CBC" w:rsidP="005E38FB">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A2BD5">
              <w:rPr>
                <w:rFonts w:ascii="Arial" w:hAnsi="Arial" w:cs="Arial"/>
                <w:color w:val="auto"/>
                <w:sz w:val="19"/>
                <w:szCs w:val="19"/>
              </w:rPr>
              <w:t>F1 Score (est.)</w:t>
            </w:r>
          </w:p>
        </w:tc>
      </w:tr>
      <w:tr w:rsidR="005E38FB" w:rsidRPr="005A2BD5" w14:paraId="575AFDD4" w14:textId="77777777" w:rsidTr="005E38FB">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660" w:type="dxa"/>
            <w:vAlign w:val="center"/>
          </w:tcPr>
          <w:p w14:paraId="4F2168AE" w14:textId="124736C2" w:rsidR="000B0CBC" w:rsidRPr="005A2BD5" w:rsidRDefault="00537B5E" w:rsidP="005E38FB">
            <w:pPr>
              <w:rPr>
                <w:rFonts w:ascii="Arial" w:hAnsi="Arial" w:cs="Arial"/>
                <w:color w:val="auto"/>
              </w:rPr>
            </w:pPr>
            <w:r>
              <w:rPr>
                <w:rFonts w:ascii="Arial" w:hAnsi="Arial" w:cs="Arial"/>
                <w:color w:val="auto"/>
                <w:sz w:val="19"/>
                <w:szCs w:val="19"/>
              </w:rPr>
              <w:t>Agriculture Land</w:t>
            </w:r>
          </w:p>
        </w:tc>
        <w:tc>
          <w:tcPr>
            <w:tcW w:w="2551" w:type="dxa"/>
            <w:vAlign w:val="center"/>
          </w:tcPr>
          <w:p w14:paraId="4FB9A996" w14:textId="77777777" w:rsidR="000B0CBC" w:rsidRPr="005A2BD5" w:rsidRDefault="000B0CBC" w:rsidP="005E38FB">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A2BD5">
              <w:rPr>
                <w:rFonts w:ascii="Arial" w:hAnsi="Arial" w:cs="Arial"/>
                <w:color w:val="auto"/>
                <w:sz w:val="19"/>
                <w:szCs w:val="19"/>
              </w:rPr>
              <w:t>1.00</w:t>
            </w:r>
          </w:p>
        </w:tc>
        <w:tc>
          <w:tcPr>
            <w:tcW w:w="1560" w:type="dxa"/>
            <w:vAlign w:val="center"/>
          </w:tcPr>
          <w:p w14:paraId="20ABB92F" w14:textId="77777777" w:rsidR="000B0CBC" w:rsidRPr="005A2BD5" w:rsidRDefault="000B0CBC" w:rsidP="005E38FB">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A2BD5">
              <w:rPr>
                <w:rFonts w:ascii="Arial" w:hAnsi="Arial" w:cs="Arial"/>
                <w:color w:val="auto"/>
                <w:sz w:val="19"/>
                <w:szCs w:val="19"/>
              </w:rPr>
              <w:t>0.80</w:t>
            </w:r>
          </w:p>
        </w:tc>
        <w:tc>
          <w:tcPr>
            <w:tcW w:w="1559" w:type="dxa"/>
            <w:vAlign w:val="center"/>
          </w:tcPr>
          <w:p w14:paraId="76EC03CE" w14:textId="77777777" w:rsidR="000B0CBC" w:rsidRPr="005A2BD5" w:rsidRDefault="000B0CBC" w:rsidP="005E38FB">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A2BD5">
              <w:rPr>
                <w:rFonts w:ascii="Arial" w:hAnsi="Arial" w:cs="Arial"/>
                <w:color w:val="auto"/>
                <w:sz w:val="19"/>
                <w:szCs w:val="19"/>
              </w:rPr>
              <w:t>0.89</w:t>
            </w:r>
          </w:p>
        </w:tc>
      </w:tr>
      <w:tr w:rsidR="005E38FB" w:rsidRPr="005A2BD5" w14:paraId="3E3919E7" w14:textId="77777777" w:rsidTr="005E38FB">
        <w:trPr>
          <w:trHeight w:val="325"/>
        </w:trPr>
        <w:tc>
          <w:tcPr>
            <w:cnfStyle w:val="001000000000" w:firstRow="0" w:lastRow="0" w:firstColumn="1" w:lastColumn="0" w:oddVBand="0" w:evenVBand="0" w:oddHBand="0" w:evenHBand="0" w:firstRowFirstColumn="0" w:firstRowLastColumn="0" w:lastRowFirstColumn="0" w:lastRowLastColumn="0"/>
            <w:tcW w:w="2660" w:type="dxa"/>
            <w:vAlign w:val="center"/>
          </w:tcPr>
          <w:p w14:paraId="58C8A1EE" w14:textId="7460FE56" w:rsidR="000B0CBC" w:rsidRPr="00BA660F" w:rsidRDefault="00BA660F" w:rsidP="005E38FB">
            <w:pPr>
              <w:rPr>
                <w:rFonts w:ascii="Arial" w:hAnsi="Arial" w:cs="Arial"/>
                <w:color w:val="auto"/>
              </w:rPr>
            </w:pPr>
            <w:r w:rsidRPr="00BA660F">
              <w:rPr>
                <w:rFonts w:ascii="Arial" w:hAnsi="Arial" w:cs="Arial"/>
                <w:sz w:val="20"/>
                <w:szCs w:val="20"/>
              </w:rPr>
              <w:t>Vegetation Land</w:t>
            </w:r>
          </w:p>
        </w:tc>
        <w:tc>
          <w:tcPr>
            <w:tcW w:w="2551" w:type="dxa"/>
            <w:vAlign w:val="center"/>
          </w:tcPr>
          <w:p w14:paraId="23F9013A" w14:textId="77777777" w:rsidR="000B0CBC" w:rsidRPr="005A2BD5" w:rsidRDefault="000B0CBC" w:rsidP="005E38FB">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A2BD5">
              <w:rPr>
                <w:rFonts w:ascii="Arial" w:hAnsi="Arial" w:cs="Arial"/>
                <w:color w:val="auto"/>
                <w:sz w:val="19"/>
                <w:szCs w:val="19"/>
              </w:rPr>
              <w:t>0.80</w:t>
            </w:r>
          </w:p>
        </w:tc>
        <w:tc>
          <w:tcPr>
            <w:tcW w:w="1560" w:type="dxa"/>
            <w:vAlign w:val="center"/>
          </w:tcPr>
          <w:p w14:paraId="22B0D8C7" w14:textId="77777777" w:rsidR="000B0CBC" w:rsidRPr="005A2BD5" w:rsidRDefault="000B0CBC" w:rsidP="005E38FB">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A2BD5">
              <w:rPr>
                <w:rFonts w:ascii="Arial" w:hAnsi="Arial" w:cs="Arial"/>
                <w:color w:val="auto"/>
                <w:sz w:val="19"/>
                <w:szCs w:val="19"/>
              </w:rPr>
              <w:t>1.00</w:t>
            </w:r>
          </w:p>
        </w:tc>
        <w:tc>
          <w:tcPr>
            <w:tcW w:w="1559" w:type="dxa"/>
            <w:vAlign w:val="center"/>
          </w:tcPr>
          <w:p w14:paraId="75790170" w14:textId="77777777" w:rsidR="000B0CBC" w:rsidRPr="005A2BD5" w:rsidRDefault="000B0CBC" w:rsidP="005E38FB">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A2BD5">
              <w:rPr>
                <w:rFonts w:ascii="Arial" w:hAnsi="Arial" w:cs="Arial"/>
                <w:color w:val="auto"/>
                <w:sz w:val="19"/>
                <w:szCs w:val="19"/>
              </w:rPr>
              <w:t>0.89</w:t>
            </w:r>
          </w:p>
        </w:tc>
      </w:tr>
      <w:tr w:rsidR="005E38FB" w:rsidRPr="005A2BD5" w14:paraId="5BC67F6B" w14:textId="77777777" w:rsidTr="005E38F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60" w:type="dxa"/>
            <w:vAlign w:val="center"/>
          </w:tcPr>
          <w:p w14:paraId="2FA38245" w14:textId="556907C4" w:rsidR="000B0CBC" w:rsidRPr="005A2BD5" w:rsidRDefault="00BA660F" w:rsidP="005E38FB">
            <w:pPr>
              <w:rPr>
                <w:rFonts w:ascii="Arial" w:hAnsi="Arial" w:cs="Arial"/>
                <w:color w:val="auto"/>
              </w:rPr>
            </w:pPr>
            <w:r>
              <w:rPr>
                <w:rFonts w:ascii="Arial" w:hAnsi="Arial" w:cs="Arial"/>
                <w:color w:val="auto"/>
                <w:sz w:val="19"/>
                <w:szCs w:val="19"/>
              </w:rPr>
              <w:t>Water Body</w:t>
            </w:r>
          </w:p>
        </w:tc>
        <w:tc>
          <w:tcPr>
            <w:tcW w:w="2551" w:type="dxa"/>
            <w:vAlign w:val="center"/>
          </w:tcPr>
          <w:p w14:paraId="2EC95241" w14:textId="77777777" w:rsidR="000B0CBC" w:rsidRPr="005A2BD5" w:rsidRDefault="000B0CBC" w:rsidP="005E38FB">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A2BD5">
              <w:rPr>
                <w:rFonts w:ascii="Arial" w:hAnsi="Arial" w:cs="Arial"/>
                <w:color w:val="auto"/>
                <w:sz w:val="19"/>
                <w:szCs w:val="19"/>
              </w:rPr>
              <w:t>1.00</w:t>
            </w:r>
          </w:p>
        </w:tc>
        <w:tc>
          <w:tcPr>
            <w:tcW w:w="1560" w:type="dxa"/>
            <w:vAlign w:val="center"/>
          </w:tcPr>
          <w:p w14:paraId="7C65627F" w14:textId="77777777" w:rsidR="000B0CBC" w:rsidRPr="005A2BD5" w:rsidRDefault="000B0CBC" w:rsidP="005E38FB">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A2BD5">
              <w:rPr>
                <w:rFonts w:ascii="Arial" w:hAnsi="Arial" w:cs="Arial"/>
                <w:color w:val="auto"/>
                <w:sz w:val="19"/>
                <w:szCs w:val="19"/>
              </w:rPr>
              <w:t>1.00</w:t>
            </w:r>
          </w:p>
        </w:tc>
        <w:tc>
          <w:tcPr>
            <w:tcW w:w="1559" w:type="dxa"/>
            <w:vAlign w:val="center"/>
          </w:tcPr>
          <w:p w14:paraId="5880AF00" w14:textId="77777777" w:rsidR="000B0CBC" w:rsidRPr="005A2BD5" w:rsidRDefault="000B0CBC" w:rsidP="005E38FB">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A2BD5">
              <w:rPr>
                <w:rFonts w:ascii="Arial" w:hAnsi="Arial" w:cs="Arial"/>
                <w:color w:val="auto"/>
                <w:sz w:val="19"/>
                <w:szCs w:val="19"/>
              </w:rPr>
              <w:t>1.00</w:t>
            </w:r>
          </w:p>
        </w:tc>
      </w:tr>
      <w:tr w:rsidR="005E38FB" w:rsidRPr="005A2BD5" w14:paraId="402F6CD8" w14:textId="77777777" w:rsidTr="005E38FB">
        <w:trPr>
          <w:trHeight w:val="325"/>
        </w:trPr>
        <w:tc>
          <w:tcPr>
            <w:cnfStyle w:val="001000000000" w:firstRow="0" w:lastRow="0" w:firstColumn="1" w:lastColumn="0" w:oddVBand="0" w:evenVBand="0" w:oddHBand="0" w:evenHBand="0" w:firstRowFirstColumn="0" w:firstRowLastColumn="0" w:lastRowFirstColumn="0" w:lastRowLastColumn="0"/>
            <w:tcW w:w="2660" w:type="dxa"/>
            <w:vAlign w:val="center"/>
          </w:tcPr>
          <w:p w14:paraId="691325B4" w14:textId="46268A50" w:rsidR="000B0CBC" w:rsidRPr="005A2BD5" w:rsidRDefault="00F94046" w:rsidP="005E38FB">
            <w:pPr>
              <w:rPr>
                <w:rFonts w:ascii="Arial" w:hAnsi="Arial" w:cs="Arial"/>
                <w:color w:val="auto"/>
              </w:rPr>
            </w:pPr>
            <w:r>
              <w:rPr>
                <w:rFonts w:ascii="Arial" w:hAnsi="Arial" w:cs="Arial"/>
                <w:color w:val="auto"/>
                <w:sz w:val="19"/>
                <w:szCs w:val="19"/>
              </w:rPr>
              <w:t>Built-up Land</w:t>
            </w:r>
          </w:p>
        </w:tc>
        <w:tc>
          <w:tcPr>
            <w:tcW w:w="2551" w:type="dxa"/>
            <w:vAlign w:val="center"/>
          </w:tcPr>
          <w:p w14:paraId="1E9A5192" w14:textId="77777777" w:rsidR="000B0CBC" w:rsidRPr="005A2BD5" w:rsidRDefault="000B0CBC" w:rsidP="005E38FB">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A2BD5">
              <w:rPr>
                <w:rFonts w:ascii="Arial" w:hAnsi="Arial" w:cs="Arial"/>
                <w:color w:val="auto"/>
                <w:sz w:val="19"/>
                <w:szCs w:val="19"/>
              </w:rPr>
              <w:t>1.00</w:t>
            </w:r>
          </w:p>
        </w:tc>
        <w:tc>
          <w:tcPr>
            <w:tcW w:w="1560" w:type="dxa"/>
            <w:vAlign w:val="center"/>
          </w:tcPr>
          <w:p w14:paraId="21380616" w14:textId="77777777" w:rsidR="000B0CBC" w:rsidRPr="005A2BD5" w:rsidRDefault="000B0CBC" w:rsidP="005E38FB">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A2BD5">
              <w:rPr>
                <w:rFonts w:ascii="Arial" w:hAnsi="Arial" w:cs="Arial"/>
                <w:color w:val="auto"/>
                <w:sz w:val="19"/>
                <w:szCs w:val="19"/>
              </w:rPr>
              <w:t>1.00</w:t>
            </w:r>
          </w:p>
        </w:tc>
        <w:tc>
          <w:tcPr>
            <w:tcW w:w="1559" w:type="dxa"/>
            <w:vAlign w:val="center"/>
          </w:tcPr>
          <w:p w14:paraId="7D4E4EBC" w14:textId="77777777" w:rsidR="000B0CBC" w:rsidRPr="005A2BD5" w:rsidRDefault="000B0CBC" w:rsidP="005E38FB">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A2BD5">
              <w:rPr>
                <w:rFonts w:ascii="Arial" w:hAnsi="Arial" w:cs="Arial"/>
                <w:color w:val="auto"/>
                <w:sz w:val="19"/>
                <w:szCs w:val="19"/>
              </w:rPr>
              <w:t>1.00</w:t>
            </w:r>
          </w:p>
        </w:tc>
      </w:tr>
      <w:tr w:rsidR="005E38FB" w:rsidRPr="005A2BD5" w14:paraId="24BC3D8C" w14:textId="77777777" w:rsidTr="005E38FB">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660" w:type="dxa"/>
            <w:vAlign w:val="center"/>
          </w:tcPr>
          <w:p w14:paraId="766F7F8B" w14:textId="288F1337" w:rsidR="000B0CBC" w:rsidRPr="005A2BD5" w:rsidRDefault="00C61F12" w:rsidP="005E38FB">
            <w:pPr>
              <w:rPr>
                <w:rFonts w:ascii="Arial" w:hAnsi="Arial" w:cs="Arial"/>
                <w:color w:val="auto"/>
              </w:rPr>
            </w:pPr>
            <w:r>
              <w:rPr>
                <w:rFonts w:ascii="Arial" w:hAnsi="Arial" w:cs="Arial"/>
                <w:color w:val="auto"/>
                <w:sz w:val="19"/>
                <w:szCs w:val="19"/>
              </w:rPr>
              <w:t>Waste Land</w:t>
            </w:r>
          </w:p>
        </w:tc>
        <w:tc>
          <w:tcPr>
            <w:tcW w:w="2551" w:type="dxa"/>
            <w:vAlign w:val="center"/>
          </w:tcPr>
          <w:p w14:paraId="2E7CF8F9" w14:textId="77777777" w:rsidR="000B0CBC" w:rsidRPr="005A2BD5" w:rsidRDefault="000B0CBC" w:rsidP="005E38FB">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A2BD5">
              <w:rPr>
                <w:rFonts w:ascii="Arial" w:hAnsi="Arial" w:cs="Arial"/>
                <w:color w:val="auto"/>
                <w:sz w:val="19"/>
                <w:szCs w:val="19"/>
              </w:rPr>
              <w:t>1.00</w:t>
            </w:r>
          </w:p>
        </w:tc>
        <w:tc>
          <w:tcPr>
            <w:tcW w:w="1560" w:type="dxa"/>
            <w:vAlign w:val="center"/>
          </w:tcPr>
          <w:p w14:paraId="0B683D81" w14:textId="77777777" w:rsidR="000B0CBC" w:rsidRPr="005A2BD5" w:rsidRDefault="000B0CBC" w:rsidP="005E38FB">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A2BD5">
              <w:rPr>
                <w:rFonts w:ascii="Arial" w:hAnsi="Arial" w:cs="Arial"/>
                <w:color w:val="auto"/>
                <w:sz w:val="19"/>
                <w:szCs w:val="19"/>
              </w:rPr>
              <w:t>1.00</w:t>
            </w:r>
          </w:p>
        </w:tc>
        <w:tc>
          <w:tcPr>
            <w:tcW w:w="1559" w:type="dxa"/>
            <w:vAlign w:val="center"/>
          </w:tcPr>
          <w:p w14:paraId="390C378F" w14:textId="77777777" w:rsidR="000B0CBC" w:rsidRPr="005A2BD5" w:rsidRDefault="000B0CBC" w:rsidP="005E38FB">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A2BD5">
              <w:rPr>
                <w:rFonts w:ascii="Arial" w:hAnsi="Arial" w:cs="Arial"/>
                <w:color w:val="auto"/>
                <w:sz w:val="19"/>
                <w:szCs w:val="19"/>
              </w:rPr>
              <w:t>1.00</w:t>
            </w:r>
          </w:p>
        </w:tc>
      </w:tr>
      <w:tr w:rsidR="005A2BD5" w:rsidRPr="005A2BD5" w14:paraId="3FA86B5A" w14:textId="77777777" w:rsidTr="005E38FB">
        <w:trPr>
          <w:gridAfter w:val="2"/>
          <w:wAfter w:w="3119" w:type="dxa"/>
          <w:trHeight w:val="489"/>
        </w:trPr>
        <w:tc>
          <w:tcPr>
            <w:cnfStyle w:val="001000000000" w:firstRow="0" w:lastRow="0" w:firstColumn="1" w:lastColumn="0" w:oddVBand="0" w:evenVBand="0" w:oddHBand="0" w:evenHBand="0" w:firstRowFirstColumn="0" w:firstRowLastColumn="0" w:lastRowFirstColumn="0" w:lastRowLastColumn="0"/>
            <w:tcW w:w="2660" w:type="dxa"/>
            <w:vAlign w:val="center"/>
          </w:tcPr>
          <w:p w14:paraId="6491DA1B" w14:textId="77777777" w:rsidR="000B0CBC" w:rsidRPr="005A2BD5" w:rsidRDefault="000B0CBC" w:rsidP="005E38FB">
            <w:pPr>
              <w:rPr>
                <w:rFonts w:ascii="Arial" w:hAnsi="Arial" w:cs="Arial"/>
                <w:color w:val="auto"/>
              </w:rPr>
            </w:pPr>
            <w:r w:rsidRPr="005A2BD5">
              <w:rPr>
                <w:rFonts w:ascii="Arial" w:hAnsi="Arial" w:cs="Arial"/>
                <w:color w:val="auto"/>
                <w:sz w:val="19"/>
                <w:szCs w:val="19"/>
              </w:rPr>
              <w:t>Overall Accuracy: 95.45%</w:t>
            </w:r>
          </w:p>
        </w:tc>
        <w:tc>
          <w:tcPr>
            <w:tcW w:w="2551" w:type="dxa"/>
            <w:vAlign w:val="center"/>
          </w:tcPr>
          <w:p w14:paraId="4A692B21" w14:textId="77777777" w:rsidR="000B0CBC" w:rsidRPr="005A2BD5" w:rsidRDefault="000B0CBC" w:rsidP="005E38FB">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A2BD5">
              <w:rPr>
                <w:rFonts w:ascii="Arial" w:hAnsi="Arial" w:cs="Arial"/>
                <w:b/>
                <w:bCs/>
                <w:color w:val="auto"/>
                <w:sz w:val="19"/>
                <w:szCs w:val="19"/>
              </w:rPr>
              <w:t>Kappa Coefficient: 0.9387</w:t>
            </w:r>
          </w:p>
        </w:tc>
      </w:tr>
    </w:tbl>
    <w:p w14:paraId="3B2B37C8" w14:textId="77777777" w:rsidR="00106839" w:rsidRPr="00106839" w:rsidRDefault="00106839" w:rsidP="00106839">
      <w:pPr>
        <w:spacing w:before="120" w:after="120"/>
        <w:ind w:firstLine="720"/>
        <w:jc w:val="both"/>
        <w:rPr>
          <w:rFonts w:ascii="Arial" w:hAnsi="Arial" w:cs="Arial"/>
          <w:color w:val="000000"/>
          <w:sz w:val="20"/>
          <w:szCs w:val="20"/>
        </w:rPr>
      </w:pPr>
    </w:p>
    <w:p w14:paraId="0407D691" w14:textId="514A9513" w:rsidR="00106839" w:rsidRPr="00106839" w:rsidRDefault="00106839" w:rsidP="00106839">
      <w:pPr>
        <w:spacing w:before="120" w:after="120"/>
        <w:jc w:val="both"/>
        <w:rPr>
          <w:rFonts w:ascii="Arial" w:hAnsi="Arial" w:cs="Arial"/>
          <w:sz w:val="20"/>
          <w:szCs w:val="20"/>
        </w:rPr>
      </w:pPr>
      <w:r w:rsidRPr="00106839">
        <w:rPr>
          <w:rFonts w:ascii="Arial" w:hAnsi="Arial" w:cs="Arial"/>
          <w:color w:val="000000"/>
          <w:sz w:val="20"/>
          <w:szCs w:val="20"/>
        </w:rPr>
        <w:t>The five-year LULC trajectory documented for Rewa District reflects a district at a particular developmental inflection point. The three simultaneous pr</w:t>
      </w:r>
      <w:r>
        <w:rPr>
          <w:rFonts w:ascii="Arial" w:hAnsi="Arial" w:cs="Arial"/>
          <w:color w:val="000000"/>
          <w:sz w:val="20"/>
          <w:szCs w:val="20"/>
        </w:rPr>
        <w:t>ocesses that define th</w:t>
      </w:r>
      <w:r w:rsidR="00C61F12">
        <w:rPr>
          <w:rFonts w:ascii="Arial" w:hAnsi="Arial" w:cs="Arial"/>
          <w:color w:val="000000"/>
          <w:sz w:val="20"/>
          <w:szCs w:val="20"/>
        </w:rPr>
        <w:t>e period</w:t>
      </w:r>
      <w:r w:rsidRPr="00106839">
        <w:rPr>
          <w:rFonts w:ascii="Arial" w:hAnsi="Arial" w:cs="Arial"/>
          <w:color w:val="000000"/>
          <w:sz w:val="20"/>
          <w:szCs w:val="20"/>
        </w:rPr>
        <w:t xml:space="preserve"> wasteland reclam</w:t>
      </w:r>
      <w:r w:rsidR="00C61F12">
        <w:rPr>
          <w:rFonts w:ascii="Arial" w:hAnsi="Arial" w:cs="Arial"/>
          <w:color w:val="000000"/>
          <w:sz w:val="20"/>
          <w:szCs w:val="20"/>
        </w:rPr>
        <w:t xml:space="preserve">ation, highway-led </w:t>
      </w:r>
      <w:proofErr w:type="spellStart"/>
      <w:r w:rsidR="00C61F12">
        <w:rPr>
          <w:rFonts w:ascii="Arial" w:hAnsi="Arial" w:cs="Arial"/>
          <w:color w:val="000000"/>
          <w:sz w:val="20"/>
          <w:szCs w:val="20"/>
        </w:rPr>
        <w:t>urbanisation</w:t>
      </w:r>
      <w:proofErr w:type="spellEnd"/>
      <w:r w:rsidRPr="00106839">
        <w:rPr>
          <w:rFonts w:ascii="Arial" w:hAnsi="Arial" w:cs="Arial"/>
          <w:color w:val="000000"/>
          <w:sz w:val="20"/>
          <w:szCs w:val="20"/>
        </w:rPr>
        <w:t xml:space="preserve"> and renewable energy i</w:t>
      </w:r>
      <w:r>
        <w:rPr>
          <w:rFonts w:ascii="Arial" w:hAnsi="Arial" w:cs="Arial"/>
          <w:color w:val="000000"/>
          <w:sz w:val="20"/>
          <w:szCs w:val="20"/>
        </w:rPr>
        <w:t>nfrastructure development</w:t>
      </w:r>
      <w:r w:rsidRPr="00106839">
        <w:rPr>
          <w:rFonts w:ascii="Arial" w:hAnsi="Arial" w:cs="Arial"/>
          <w:color w:val="000000"/>
          <w:sz w:val="20"/>
          <w:szCs w:val="20"/>
        </w:rPr>
        <w:t xml:space="preserve"> are each clearly visible in the spatial pattern of change. These are not competing explanations but complementary drivers operating on different land types simultaneously: the barren land reservoir was large enough (27.3% of the district in 2020) to provide land for all three processes without one precluding another.</w:t>
      </w:r>
    </w:p>
    <w:p w14:paraId="3BBF2329" w14:textId="77777777" w:rsidR="00106839" w:rsidRPr="00106839" w:rsidRDefault="00106839" w:rsidP="00106839">
      <w:pPr>
        <w:spacing w:before="120" w:after="120"/>
        <w:jc w:val="both"/>
        <w:rPr>
          <w:rFonts w:ascii="Arial" w:hAnsi="Arial" w:cs="Arial"/>
          <w:sz w:val="20"/>
          <w:szCs w:val="20"/>
        </w:rPr>
      </w:pPr>
      <w:r w:rsidRPr="00106839">
        <w:rPr>
          <w:rFonts w:ascii="Arial" w:hAnsi="Arial" w:cs="Arial"/>
          <w:color w:val="000000"/>
          <w:sz w:val="20"/>
          <w:szCs w:val="20"/>
        </w:rPr>
        <w:t>The forest trend, while small in absolute terms (+17 km², +2.16%), is an encouraging departure from the deforestation trajectories commonly reported for Madhya Pradesh forest districts (Reddy et al., 2016). The Kaimur Range forests of Rewa benefit from the topographic protection of the escarpment, and the marginal gain likely reflects a combination of Social Forestry investment and natural succession on abandoned degraded land. If sustained, this trend would contribute to the district's watershed regulation and biodiversity corridor functions. The ISFR 2023 data confirming 12.76% forest cover provides an independent validation that the classified forest extent (12.5–12.7%) is in close agreement with FSI measurements, adding to the credibility of the classification.</w:t>
      </w:r>
    </w:p>
    <w:p w14:paraId="2EB4B55C" w14:textId="53CA66D5" w:rsidR="00106839" w:rsidRPr="00106839" w:rsidRDefault="00106839" w:rsidP="00106839">
      <w:pPr>
        <w:spacing w:before="120" w:after="120"/>
        <w:jc w:val="both"/>
        <w:rPr>
          <w:rFonts w:ascii="Arial" w:hAnsi="Arial" w:cs="Arial"/>
          <w:sz w:val="20"/>
          <w:szCs w:val="20"/>
        </w:rPr>
      </w:pPr>
      <w:r w:rsidRPr="00106839">
        <w:rPr>
          <w:rFonts w:ascii="Arial" w:hAnsi="Arial" w:cs="Arial"/>
          <w:color w:val="000000"/>
          <w:sz w:val="20"/>
          <w:szCs w:val="20"/>
        </w:rPr>
        <w:t xml:space="preserve">The built-up expansion of +44.66% is the most policy-relevant finding of this study. An increase of 113 sq km in five years, concentrated along national highway corridors and the new district headquarters at </w:t>
      </w:r>
      <w:proofErr w:type="spellStart"/>
      <w:r w:rsidRPr="00106839">
        <w:rPr>
          <w:rFonts w:ascii="Arial" w:hAnsi="Arial" w:cs="Arial"/>
          <w:color w:val="000000"/>
          <w:sz w:val="20"/>
          <w:szCs w:val="20"/>
        </w:rPr>
        <w:t>Mauganj</w:t>
      </w:r>
      <w:proofErr w:type="spellEnd"/>
      <w:r w:rsidRPr="00106839">
        <w:rPr>
          <w:rFonts w:ascii="Arial" w:hAnsi="Arial" w:cs="Arial"/>
          <w:color w:val="000000"/>
          <w:sz w:val="20"/>
          <w:szCs w:val="20"/>
        </w:rPr>
        <w:t xml:space="preserve">, indicates that the district is experiencing highway-led linear </w:t>
      </w:r>
      <w:proofErr w:type="spellStart"/>
      <w:r w:rsidRPr="00106839">
        <w:rPr>
          <w:rFonts w:ascii="Arial" w:hAnsi="Arial" w:cs="Arial"/>
          <w:color w:val="000000"/>
          <w:sz w:val="20"/>
          <w:szCs w:val="20"/>
        </w:rPr>
        <w:t>urbanisation</w:t>
      </w:r>
      <w:proofErr w:type="spellEnd"/>
      <w:r w:rsidRPr="00106839">
        <w:rPr>
          <w:rFonts w:ascii="Arial" w:hAnsi="Arial" w:cs="Arial"/>
          <w:color w:val="000000"/>
          <w:sz w:val="20"/>
          <w:szCs w:val="20"/>
        </w:rPr>
        <w:t xml:space="preserve"> of a kind well </w:t>
      </w:r>
      <w:r w:rsidRPr="00106839">
        <w:rPr>
          <w:rFonts w:ascii="Arial" w:hAnsi="Arial" w:cs="Arial"/>
          <w:color w:val="000000"/>
          <w:sz w:val="20"/>
          <w:szCs w:val="20"/>
        </w:rPr>
        <w:lastRenderedPageBreak/>
        <w:t>documented in the secondary cities literature (Rawat &amp; Kumar, 2</w:t>
      </w:r>
      <w:r>
        <w:rPr>
          <w:rFonts w:ascii="Arial" w:hAnsi="Arial" w:cs="Arial"/>
          <w:color w:val="000000"/>
          <w:sz w:val="20"/>
          <w:szCs w:val="20"/>
        </w:rPr>
        <w:t xml:space="preserve">015). This form of </w:t>
      </w:r>
      <w:proofErr w:type="gramStart"/>
      <w:r>
        <w:rPr>
          <w:rFonts w:ascii="Arial" w:hAnsi="Arial" w:cs="Arial"/>
          <w:color w:val="000000"/>
          <w:sz w:val="20"/>
          <w:szCs w:val="20"/>
        </w:rPr>
        <w:t xml:space="preserve">development </w:t>
      </w:r>
      <w:r w:rsidRPr="00106839">
        <w:rPr>
          <w:rFonts w:ascii="Arial" w:hAnsi="Arial" w:cs="Arial"/>
          <w:color w:val="000000"/>
          <w:sz w:val="20"/>
          <w:szCs w:val="20"/>
        </w:rPr>
        <w:t xml:space="preserve"> </w:t>
      </w:r>
      <w:proofErr w:type="spellStart"/>
      <w:r w:rsidRPr="00106839">
        <w:rPr>
          <w:rFonts w:ascii="Arial" w:hAnsi="Arial" w:cs="Arial"/>
          <w:color w:val="000000"/>
          <w:sz w:val="20"/>
          <w:szCs w:val="20"/>
        </w:rPr>
        <w:t>characterised</w:t>
      </w:r>
      <w:proofErr w:type="spellEnd"/>
      <w:proofErr w:type="gramEnd"/>
      <w:r w:rsidRPr="00106839">
        <w:rPr>
          <w:rFonts w:ascii="Arial" w:hAnsi="Arial" w:cs="Arial"/>
          <w:color w:val="000000"/>
          <w:sz w:val="20"/>
          <w:szCs w:val="20"/>
        </w:rPr>
        <w:t xml:space="preserve"> by ribbon settlements, commercial strips, and industrial </w:t>
      </w:r>
      <w:r>
        <w:rPr>
          <w:rFonts w:ascii="Arial" w:hAnsi="Arial" w:cs="Arial"/>
          <w:color w:val="000000"/>
          <w:sz w:val="20"/>
          <w:szCs w:val="20"/>
        </w:rPr>
        <w:t xml:space="preserve">clusters along arterial roads </w:t>
      </w:r>
      <w:r w:rsidRPr="00106839">
        <w:rPr>
          <w:rFonts w:ascii="Arial" w:hAnsi="Arial" w:cs="Arial"/>
          <w:color w:val="000000"/>
          <w:sz w:val="20"/>
          <w:szCs w:val="20"/>
        </w:rPr>
        <w:t xml:space="preserve"> is more difficult to manage with conventional urban planning tools than compact city growth and tends to result in inefficient land</w:t>
      </w:r>
      <w:r w:rsidR="00C61F12">
        <w:rPr>
          <w:rFonts w:ascii="Arial" w:hAnsi="Arial" w:cs="Arial"/>
          <w:color w:val="000000"/>
          <w:sz w:val="20"/>
          <w:szCs w:val="20"/>
        </w:rPr>
        <w:t xml:space="preserve"> use, high infrastructure costs</w:t>
      </w:r>
      <w:r w:rsidRPr="00106839">
        <w:rPr>
          <w:rFonts w:ascii="Arial" w:hAnsi="Arial" w:cs="Arial"/>
          <w:color w:val="000000"/>
          <w:sz w:val="20"/>
          <w:szCs w:val="20"/>
        </w:rPr>
        <w:t xml:space="preserve"> and agricultural land fragmentation. The spatial evidence provided by this study can directly inform district planning authority decisions on land use regulation, setback requirements, and development control along these corridors.</w:t>
      </w:r>
    </w:p>
    <w:p w14:paraId="659E5F9D" w14:textId="77777777" w:rsidR="00106839" w:rsidRPr="00106839" w:rsidRDefault="00106839" w:rsidP="00106839">
      <w:pPr>
        <w:spacing w:before="120" w:after="120"/>
        <w:jc w:val="both"/>
        <w:rPr>
          <w:rFonts w:ascii="Arial" w:hAnsi="Arial" w:cs="Arial"/>
          <w:sz w:val="20"/>
          <w:szCs w:val="20"/>
        </w:rPr>
      </w:pPr>
      <w:r w:rsidRPr="00106839">
        <w:rPr>
          <w:rFonts w:ascii="Arial" w:hAnsi="Arial" w:cs="Arial"/>
          <w:color w:val="000000"/>
          <w:sz w:val="20"/>
          <w:szCs w:val="20"/>
        </w:rPr>
        <w:t>The full-year compositing approach, as opposed to a single dry-season or single wet-season composite, produced classification results that are more stable and more representative of the annual land cover than earlier seasonal attempts. The annual median effectively integrates the full phenological cycle, reducing the sensitivity of any individual class boundary to int</w:t>
      </w:r>
      <w:r>
        <w:rPr>
          <w:rFonts w:ascii="Arial" w:hAnsi="Arial" w:cs="Arial"/>
          <w:color w:val="000000"/>
          <w:sz w:val="20"/>
          <w:szCs w:val="20"/>
        </w:rPr>
        <w:t>er-annual rainfall variability</w:t>
      </w:r>
      <w:r w:rsidRPr="00106839">
        <w:rPr>
          <w:rFonts w:ascii="Arial" w:hAnsi="Arial" w:cs="Arial"/>
          <w:color w:val="000000"/>
          <w:sz w:val="20"/>
          <w:szCs w:val="20"/>
        </w:rPr>
        <w:t xml:space="preserve"> a significant advantage for a district with a strong monsoon signal where crop patterns shift from year to year.</w:t>
      </w:r>
    </w:p>
    <w:p w14:paraId="07C6F809" w14:textId="77777777" w:rsidR="00565746" w:rsidRDefault="00BC0254" w:rsidP="00106839">
      <w:pPr>
        <w:spacing w:before="240" w:after="240"/>
        <w:rPr>
          <w:rFonts w:ascii="Arial" w:hAnsi="Arial" w:cs="Arial"/>
          <w:b/>
          <w:bCs/>
          <w:sz w:val="22"/>
          <w:szCs w:val="20"/>
          <w:lang w:bidi="hi-IN"/>
        </w:rPr>
      </w:pPr>
      <w:r>
        <w:rPr>
          <w:rFonts w:ascii="Arial" w:hAnsi="Arial" w:cs="Arial"/>
          <w:b/>
          <w:bCs/>
          <w:sz w:val="22"/>
          <w:szCs w:val="20"/>
          <w:lang w:bidi="hi-IN"/>
        </w:rPr>
        <w:t>7</w:t>
      </w:r>
      <w:r w:rsidR="000E544F">
        <w:rPr>
          <w:rFonts w:ascii="Arial" w:hAnsi="Arial" w:cs="Arial"/>
          <w:b/>
          <w:bCs/>
          <w:sz w:val="22"/>
          <w:szCs w:val="20"/>
          <w:lang w:bidi="hi-IN"/>
        </w:rPr>
        <w:t xml:space="preserve">. </w:t>
      </w:r>
      <w:r w:rsidR="002C14F2">
        <w:rPr>
          <w:rFonts w:ascii="Arial" w:hAnsi="Arial" w:cs="Arial"/>
          <w:b/>
          <w:bCs/>
          <w:sz w:val="22"/>
          <w:szCs w:val="20"/>
          <w:lang w:bidi="hi-IN"/>
        </w:rPr>
        <w:t>SUGGESTIONS</w:t>
      </w:r>
    </w:p>
    <w:p w14:paraId="77261741" w14:textId="77777777" w:rsidR="00106839" w:rsidRPr="00106839" w:rsidRDefault="00106839" w:rsidP="00106839">
      <w:pPr>
        <w:spacing w:before="240" w:after="240"/>
        <w:jc w:val="both"/>
        <w:rPr>
          <w:rFonts w:ascii="Arial" w:hAnsi="Arial" w:cs="Arial"/>
          <w:sz w:val="20"/>
          <w:szCs w:val="18"/>
          <w:lang w:bidi="hi-IN"/>
        </w:rPr>
      </w:pPr>
      <w:r w:rsidRPr="00106839">
        <w:rPr>
          <w:rFonts w:ascii="Arial" w:hAnsi="Arial" w:cs="Arial"/>
          <w:sz w:val="20"/>
          <w:szCs w:val="18"/>
          <w:lang w:bidi="hi-IN"/>
        </w:rPr>
        <w:t>Building on the findings of this study, the following directions are recommended:</w:t>
      </w:r>
    </w:p>
    <w:p w14:paraId="0B571C57" w14:textId="709B1F57" w:rsidR="00106839" w:rsidRPr="00106839" w:rsidRDefault="00106839" w:rsidP="00106839">
      <w:pPr>
        <w:pStyle w:val="ListParagraph"/>
        <w:numPr>
          <w:ilvl w:val="0"/>
          <w:numId w:val="7"/>
        </w:numPr>
        <w:spacing w:before="240" w:after="240"/>
        <w:jc w:val="both"/>
        <w:rPr>
          <w:rFonts w:ascii="Arial" w:hAnsi="Arial" w:cs="Arial"/>
          <w:sz w:val="20"/>
          <w:szCs w:val="18"/>
          <w:lang w:bidi="hi-IN"/>
        </w:rPr>
      </w:pPr>
      <w:r w:rsidRPr="00106839">
        <w:rPr>
          <w:rFonts w:ascii="Arial" w:hAnsi="Arial" w:cs="Arial"/>
          <w:sz w:val="20"/>
          <w:szCs w:val="18"/>
          <w:lang w:bidi="hi-IN"/>
        </w:rPr>
        <w:t>Socio-economic integration: The LULC maps should be integrated with census data on agricultural landholdings, crop revenue, and household income to examine the socio-economic correlates of land-cover change. Overlaying the built-up expansion map with property price</w:t>
      </w:r>
      <w:r w:rsidR="00C61F12">
        <w:rPr>
          <w:rFonts w:ascii="Arial" w:hAnsi="Arial" w:cs="Arial"/>
          <w:sz w:val="20"/>
          <w:szCs w:val="18"/>
          <w:lang w:bidi="hi-IN"/>
        </w:rPr>
        <w:t xml:space="preserve"> data, NREGA employment records</w:t>
      </w:r>
      <w:r w:rsidRPr="00106839">
        <w:rPr>
          <w:rFonts w:ascii="Arial" w:hAnsi="Arial" w:cs="Arial"/>
          <w:sz w:val="20"/>
          <w:szCs w:val="18"/>
          <w:lang w:bidi="hi-IN"/>
        </w:rPr>
        <w:t xml:space="preserve"> and household survey data would reveal whether highway-corridor urbanization is delivering equitable economic benefits or widening spatial inequality within the district. The </w:t>
      </w:r>
      <w:proofErr w:type="spellStart"/>
      <w:r w:rsidRPr="00106839">
        <w:rPr>
          <w:rFonts w:ascii="Arial" w:hAnsi="Arial" w:cs="Arial"/>
          <w:sz w:val="20"/>
          <w:szCs w:val="18"/>
          <w:lang w:bidi="hi-IN"/>
        </w:rPr>
        <w:t>Bansagar</w:t>
      </w:r>
      <w:proofErr w:type="spellEnd"/>
      <w:r w:rsidRPr="00106839">
        <w:rPr>
          <w:rFonts w:ascii="Arial" w:hAnsi="Arial" w:cs="Arial"/>
          <w:sz w:val="20"/>
          <w:szCs w:val="18"/>
          <w:lang w:bidi="hi-IN"/>
        </w:rPr>
        <w:t xml:space="preserve"> canal command area can be spatially delineated and correlated with agricultural productivity statistics to quantify the irrigation dividend that drove agriculture expansion.</w:t>
      </w:r>
    </w:p>
    <w:p w14:paraId="27E6F585" w14:textId="77777777" w:rsidR="00106839" w:rsidRPr="00106839" w:rsidRDefault="00106839" w:rsidP="00106839">
      <w:pPr>
        <w:pStyle w:val="ListParagraph"/>
        <w:numPr>
          <w:ilvl w:val="0"/>
          <w:numId w:val="7"/>
        </w:numPr>
        <w:spacing w:before="240" w:after="240"/>
        <w:jc w:val="both"/>
        <w:rPr>
          <w:rFonts w:ascii="Arial" w:hAnsi="Arial" w:cs="Arial"/>
          <w:sz w:val="20"/>
          <w:szCs w:val="18"/>
          <w:lang w:bidi="hi-IN"/>
        </w:rPr>
      </w:pPr>
      <w:r w:rsidRPr="00106839">
        <w:rPr>
          <w:rFonts w:ascii="Arial" w:hAnsi="Arial" w:cs="Arial"/>
          <w:sz w:val="20"/>
          <w:szCs w:val="18"/>
          <w:lang w:bidi="hi-IN"/>
        </w:rPr>
        <w:t xml:space="preserve">Annual mapping: Extending the analysis to annual LULC maps from 2016 to 2025 would establish the rate of built-up expansion and barren land decline with greater temporal precision, enabling detection of inflection points associated with specific projects (Rewa Solar Project commissioning in 2020, </w:t>
      </w:r>
      <w:proofErr w:type="spellStart"/>
      <w:r w:rsidRPr="00106839">
        <w:rPr>
          <w:rFonts w:ascii="Arial" w:hAnsi="Arial" w:cs="Arial"/>
          <w:sz w:val="20"/>
          <w:szCs w:val="18"/>
          <w:lang w:bidi="hi-IN"/>
        </w:rPr>
        <w:t>Mauganj</w:t>
      </w:r>
      <w:proofErr w:type="spellEnd"/>
      <w:r w:rsidRPr="00106839">
        <w:rPr>
          <w:rFonts w:ascii="Arial" w:hAnsi="Arial" w:cs="Arial"/>
          <w:sz w:val="20"/>
          <w:szCs w:val="18"/>
          <w:lang w:bidi="hi-IN"/>
        </w:rPr>
        <w:t xml:space="preserve"> district creation in 2023).</w:t>
      </w:r>
    </w:p>
    <w:p w14:paraId="6265C6D5" w14:textId="6132781E" w:rsidR="00106839" w:rsidRPr="00106839" w:rsidRDefault="00106839" w:rsidP="00106839">
      <w:pPr>
        <w:pStyle w:val="ListParagraph"/>
        <w:numPr>
          <w:ilvl w:val="0"/>
          <w:numId w:val="7"/>
        </w:numPr>
        <w:spacing w:before="240" w:after="240"/>
        <w:jc w:val="both"/>
        <w:rPr>
          <w:rFonts w:ascii="Arial" w:hAnsi="Arial" w:cs="Arial"/>
          <w:sz w:val="20"/>
          <w:szCs w:val="18"/>
          <w:lang w:bidi="hi-IN"/>
        </w:rPr>
      </w:pPr>
      <w:r w:rsidRPr="00106839">
        <w:rPr>
          <w:rFonts w:ascii="Arial" w:hAnsi="Arial" w:cs="Arial"/>
          <w:sz w:val="20"/>
          <w:szCs w:val="18"/>
          <w:lang w:bidi="hi-IN"/>
        </w:rPr>
        <w:t>Sub-district disaggregation: Computing LULC statistics at tehsil level would identify spatial hotspots of forest loss, agricultural expa</w:t>
      </w:r>
      <w:r w:rsidR="00C61F12">
        <w:rPr>
          <w:rFonts w:ascii="Arial" w:hAnsi="Arial" w:cs="Arial"/>
          <w:sz w:val="20"/>
          <w:szCs w:val="18"/>
          <w:lang w:bidi="hi-IN"/>
        </w:rPr>
        <w:t>nsion</w:t>
      </w:r>
      <w:r w:rsidRPr="00106839">
        <w:rPr>
          <w:rFonts w:ascii="Arial" w:hAnsi="Arial" w:cs="Arial"/>
          <w:sz w:val="20"/>
          <w:szCs w:val="18"/>
          <w:lang w:bidi="hi-IN"/>
        </w:rPr>
        <w:t xml:space="preserve"> and urban growth, providing actionable information for district planning authorities rather than district-level aggregates alone.</w:t>
      </w:r>
    </w:p>
    <w:p w14:paraId="7589B936" w14:textId="77777777" w:rsidR="00106839" w:rsidRPr="00106839" w:rsidRDefault="00106839" w:rsidP="00106839">
      <w:pPr>
        <w:pStyle w:val="ListParagraph"/>
        <w:numPr>
          <w:ilvl w:val="0"/>
          <w:numId w:val="7"/>
        </w:numPr>
        <w:spacing w:before="240" w:after="240"/>
        <w:jc w:val="both"/>
        <w:rPr>
          <w:rFonts w:ascii="Arial" w:hAnsi="Arial" w:cs="Arial"/>
          <w:sz w:val="20"/>
          <w:szCs w:val="18"/>
          <w:lang w:bidi="hi-IN"/>
        </w:rPr>
      </w:pPr>
      <w:r w:rsidRPr="00106839">
        <w:rPr>
          <w:rFonts w:ascii="Arial" w:hAnsi="Arial" w:cs="Arial"/>
          <w:sz w:val="20"/>
          <w:szCs w:val="18"/>
          <w:lang w:bidi="hi-IN"/>
        </w:rPr>
        <w:t>Solar land use mapping: The Rewa Ultra Mega Solar Power Project and the broader solar park ecosystem represent a new LULC type not captured in the five-class scheme. Future classifications should include a separate Solar Infrastructure class, informed by SWIR reflectance signatures of photovoltaic panel arrays, to quantify this rapidly growing land use.</w:t>
      </w:r>
    </w:p>
    <w:p w14:paraId="3F9332AB" w14:textId="77777777" w:rsidR="00106839" w:rsidRPr="00106839" w:rsidRDefault="00106839" w:rsidP="00106839">
      <w:pPr>
        <w:pStyle w:val="ListParagraph"/>
        <w:numPr>
          <w:ilvl w:val="0"/>
          <w:numId w:val="7"/>
        </w:numPr>
        <w:spacing w:before="240" w:after="240"/>
        <w:jc w:val="both"/>
        <w:rPr>
          <w:rFonts w:ascii="Arial" w:hAnsi="Arial" w:cs="Arial"/>
          <w:sz w:val="20"/>
          <w:szCs w:val="18"/>
          <w:lang w:bidi="hi-IN"/>
        </w:rPr>
      </w:pPr>
      <w:r w:rsidRPr="00106839">
        <w:rPr>
          <w:rFonts w:ascii="Arial" w:hAnsi="Arial" w:cs="Arial"/>
          <w:sz w:val="20"/>
          <w:szCs w:val="18"/>
          <w:lang w:bidi="hi-IN"/>
        </w:rPr>
        <w:t>Nighttime light integration: Incorporating VIIRS/DNB nighttime light data would provide an independent built-up validation layer, complementing the daytime Sentinel-2 classification and resolving remaining ambiguity between impervious surfaces and bright barren land.</w:t>
      </w:r>
    </w:p>
    <w:p w14:paraId="0D0BB319" w14:textId="275977C1" w:rsidR="00106839" w:rsidRPr="00106839" w:rsidRDefault="00106839" w:rsidP="00106839">
      <w:pPr>
        <w:pStyle w:val="ListParagraph"/>
        <w:numPr>
          <w:ilvl w:val="0"/>
          <w:numId w:val="7"/>
        </w:numPr>
        <w:spacing w:before="240" w:after="240"/>
        <w:jc w:val="both"/>
        <w:rPr>
          <w:rFonts w:ascii="Arial" w:hAnsi="Arial" w:cs="Arial"/>
          <w:sz w:val="20"/>
          <w:szCs w:val="18"/>
          <w:lang w:bidi="hi-IN"/>
        </w:rPr>
      </w:pPr>
      <w:r w:rsidRPr="00106839">
        <w:rPr>
          <w:rFonts w:ascii="Arial" w:hAnsi="Arial" w:cs="Arial"/>
          <w:sz w:val="20"/>
          <w:szCs w:val="18"/>
          <w:lang w:bidi="hi-IN"/>
        </w:rPr>
        <w:t>Hydrological modelling: Integrating the LULC change maps with the Tons catchment DEM would support run-off modelling and assessment of how the large reduction in barren land (historically high run-off surfaces) affects surface water availability and groundwater r</w:t>
      </w:r>
      <w:r w:rsidR="00C61F12">
        <w:rPr>
          <w:rFonts w:ascii="Arial" w:hAnsi="Arial" w:cs="Arial"/>
          <w:sz w:val="20"/>
          <w:szCs w:val="18"/>
          <w:lang w:bidi="hi-IN"/>
        </w:rPr>
        <w:t>echarge in the district</w:t>
      </w:r>
      <w:r w:rsidRPr="00106839">
        <w:rPr>
          <w:rFonts w:ascii="Arial" w:hAnsi="Arial" w:cs="Arial"/>
          <w:sz w:val="20"/>
          <w:szCs w:val="18"/>
          <w:lang w:bidi="hi-IN"/>
        </w:rPr>
        <w:t xml:space="preserve"> a question of direct relevance to agricultural water security.</w:t>
      </w:r>
    </w:p>
    <w:p w14:paraId="14E28BEB" w14:textId="77777777" w:rsidR="00106839" w:rsidRPr="00106839" w:rsidRDefault="00106839" w:rsidP="00106839">
      <w:pPr>
        <w:pStyle w:val="ListParagraph"/>
        <w:numPr>
          <w:ilvl w:val="0"/>
          <w:numId w:val="7"/>
        </w:numPr>
        <w:spacing w:before="240" w:after="240"/>
        <w:jc w:val="both"/>
        <w:rPr>
          <w:rFonts w:ascii="Arial" w:hAnsi="Arial" w:cs="Arial"/>
          <w:sz w:val="20"/>
          <w:szCs w:val="18"/>
          <w:lang w:bidi="hi-IN"/>
        </w:rPr>
      </w:pPr>
      <w:r w:rsidRPr="00106839">
        <w:rPr>
          <w:rFonts w:ascii="Arial" w:hAnsi="Arial" w:cs="Arial"/>
          <w:sz w:val="20"/>
          <w:szCs w:val="18"/>
          <w:lang w:bidi="hi-IN"/>
        </w:rPr>
        <w:t>Carbon stock assessment: Combining the marginal forest gain with above-ground biomass datasets from ISFR or ISRO would enable carbon stock change estimation for the Kaimur Range forests, contributing to district-level climate action planning.</w:t>
      </w:r>
    </w:p>
    <w:p w14:paraId="521E74EF" w14:textId="77777777" w:rsidR="00106839" w:rsidRDefault="00BC0254" w:rsidP="00106839">
      <w:pPr>
        <w:spacing w:before="240" w:after="240"/>
        <w:rPr>
          <w:rFonts w:ascii="Arial" w:hAnsi="Arial" w:cs="Arial"/>
          <w:b/>
          <w:bCs/>
          <w:sz w:val="22"/>
          <w:szCs w:val="20"/>
          <w:lang w:bidi="hi-IN"/>
        </w:rPr>
      </w:pPr>
      <w:r>
        <w:rPr>
          <w:rFonts w:ascii="Arial" w:hAnsi="Arial" w:cs="Arial"/>
          <w:b/>
          <w:bCs/>
          <w:sz w:val="22"/>
          <w:szCs w:val="20"/>
          <w:lang w:bidi="hi-IN"/>
        </w:rPr>
        <w:t>8</w:t>
      </w:r>
      <w:r w:rsidR="000E544F">
        <w:rPr>
          <w:rFonts w:ascii="Arial" w:hAnsi="Arial" w:cs="Arial"/>
          <w:b/>
          <w:bCs/>
          <w:sz w:val="22"/>
          <w:szCs w:val="20"/>
          <w:lang w:bidi="hi-IN"/>
        </w:rPr>
        <w:t xml:space="preserve">. </w:t>
      </w:r>
      <w:r w:rsidR="002C14F2">
        <w:rPr>
          <w:rFonts w:ascii="Arial" w:hAnsi="Arial" w:cs="Arial"/>
          <w:b/>
          <w:bCs/>
          <w:sz w:val="22"/>
          <w:szCs w:val="20"/>
          <w:lang w:bidi="hi-IN"/>
        </w:rPr>
        <w:t>CONCLUSION</w:t>
      </w:r>
    </w:p>
    <w:p w14:paraId="7578E85C" w14:textId="77777777" w:rsidR="00106839" w:rsidRPr="00106839" w:rsidRDefault="00106839" w:rsidP="00106839">
      <w:pPr>
        <w:spacing w:before="240" w:after="240"/>
        <w:jc w:val="both"/>
        <w:rPr>
          <w:rFonts w:ascii="Arial" w:hAnsi="Arial" w:cs="Arial"/>
          <w:b/>
          <w:bCs/>
          <w:sz w:val="18"/>
          <w:szCs w:val="16"/>
          <w:lang w:bidi="hi-IN"/>
        </w:rPr>
      </w:pPr>
      <w:r w:rsidRPr="00106839">
        <w:rPr>
          <w:rFonts w:ascii="Arial" w:hAnsi="Arial" w:cs="Arial"/>
          <w:color w:val="000000"/>
          <w:sz w:val="20"/>
          <w:szCs w:val="20"/>
        </w:rPr>
        <w:t>This study has produced temporal LULC maps for Rewa District, Madhya Pradesh, for 2020 and 2025 at 10-metre resolution, using a comprehensive multi-feature Random Forest classification within Google Earth Engine. The principal conclusions are:</w:t>
      </w:r>
    </w:p>
    <w:p w14:paraId="3A771512" w14:textId="77777777" w:rsidR="00106839" w:rsidRPr="00106839" w:rsidRDefault="00106839" w:rsidP="00106839">
      <w:pPr>
        <w:pStyle w:val="ListParagraph"/>
        <w:numPr>
          <w:ilvl w:val="0"/>
          <w:numId w:val="9"/>
        </w:numPr>
        <w:spacing w:before="60" w:after="60"/>
        <w:jc w:val="both"/>
        <w:rPr>
          <w:rFonts w:ascii="Arial" w:hAnsi="Arial" w:cs="Arial"/>
          <w:sz w:val="20"/>
          <w:szCs w:val="20"/>
        </w:rPr>
      </w:pPr>
      <w:r w:rsidRPr="00106839">
        <w:rPr>
          <w:rFonts w:ascii="Arial" w:hAnsi="Arial" w:cs="Arial"/>
          <w:sz w:val="20"/>
          <w:szCs w:val="20"/>
        </w:rPr>
        <w:lastRenderedPageBreak/>
        <w:t>Both classification outputs achieved excellent accuracy. Overall Accuracy of 94.59% (Kappa 0.9308) for 2020 and 95.45% (Kappa 0.9387) for 2025 confirm the suitability of the full-year Sentinel-2 composite approach and multi-feature Random Forest framework for the semi-arid landscape of the Rewa-Panna Plateau.</w:t>
      </w:r>
    </w:p>
    <w:p w14:paraId="057032ED" w14:textId="04A2979E" w:rsidR="00106839" w:rsidRPr="00106839" w:rsidRDefault="00BA660F" w:rsidP="00106839">
      <w:pPr>
        <w:pStyle w:val="ListParagraph"/>
        <w:numPr>
          <w:ilvl w:val="0"/>
          <w:numId w:val="9"/>
        </w:numPr>
        <w:spacing w:before="60" w:after="60"/>
        <w:jc w:val="both"/>
        <w:rPr>
          <w:rFonts w:ascii="Arial" w:hAnsi="Arial" w:cs="Arial"/>
          <w:sz w:val="20"/>
          <w:szCs w:val="20"/>
        </w:rPr>
      </w:pPr>
      <w:r>
        <w:rPr>
          <w:rFonts w:ascii="Arial" w:hAnsi="Arial" w:cs="Arial"/>
          <w:sz w:val="20"/>
          <w:szCs w:val="20"/>
        </w:rPr>
        <w:t>Waste Land</w:t>
      </w:r>
      <w:r w:rsidR="00106839" w:rsidRPr="00106839">
        <w:rPr>
          <w:rFonts w:ascii="Arial" w:hAnsi="Arial" w:cs="Arial"/>
          <w:sz w:val="20"/>
          <w:szCs w:val="20"/>
        </w:rPr>
        <w:t xml:space="preserve"> showed the largest absolute change, declining by 239 km² (−13.87%) as ravines and degraded surfaces were converted to agriculture and solar infrastructure. This is the central resource transformation story of the period.</w:t>
      </w:r>
    </w:p>
    <w:p w14:paraId="3C5E6A57" w14:textId="64F8A713" w:rsidR="00106839" w:rsidRPr="00106839" w:rsidRDefault="00537B5E" w:rsidP="00106839">
      <w:pPr>
        <w:pStyle w:val="ListParagraph"/>
        <w:numPr>
          <w:ilvl w:val="0"/>
          <w:numId w:val="9"/>
        </w:numPr>
        <w:spacing w:before="60" w:after="60"/>
        <w:jc w:val="both"/>
        <w:rPr>
          <w:rFonts w:ascii="Arial" w:hAnsi="Arial" w:cs="Arial"/>
          <w:sz w:val="20"/>
          <w:szCs w:val="20"/>
        </w:rPr>
      </w:pPr>
      <w:r>
        <w:rPr>
          <w:rFonts w:ascii="Arial" w:hAnsi="Arial" w:cs="Arial"/>
          <w:sz w:val="20"/>
          <w:szCs w:val="20"/>
        </w:rPr>
        <w:t>Agriculture Land</w:t>
      </w:r>
      <w:r w:rsidR="00106839" w:rsidRPr="00106839">
        <w:rPr>
          <w:rFonts w:ascii="Arial" w:hAnsi="Arial" w:cs="Arial"/>
          <w:sz w:val="20"/>
          <w:szCs w:val="20"/>
        </w:rPr>
        <w:t xml:space="preserve"> expanded by 107 km² (+3.11%), from 54.5% to 56.2% of the district, driven by the </w:t>
      </w:r>
      <w:proofErr w:type="spellStart"/>
      <w:r w:rsidR="00106839" w:rsidRPr="00106839">
        <w:rPr>
          <w:rFonts w:ascii="Arial" w:hAnsi="Arial" w:cs="Arial"/>
          <w:sz w:val="20"/>
          <w:szCs w:val="20"/>
        </w:rPr>
        <w:t>Bansagar</w:t>
      </w:r>
      <w:proofErr w:type="spellEnd"/>
      <w:r w:rsidR="00106839" w:rsidRPr="00106839">
        <w:rPr>
          <w:rFonts w:ascii="Arial" w:hAnsi="Arial" w:cs="Arial"/>
          <w:sz w:val="20"/>
          <w:szCs w:val="20"/>
        </w:rPr>
        <w:t xml:space="preserve"> Dam irrigation network and wasteland reclamation, particularly in </w:t>
      </w:r>
      <w:proofErr w:type="spellStart"/>
      <w:r w:rsidR="00106839" w:rsidRPr="00106839">
        <w:rPr>
          <w:rFonts w:ascii="Arial" w:hAnsi="Arial" w:cs="Arial"/>
          <w:sz w:val="20"/>
          <w:szCs w:val="20"/>
        </w:rPr>
        <w:t>Teonthar</w:t>
      </w:r>
      <w:proofErr w:type="spellEnd"/>
      <w:r w:rsidR="00106839" w:rsidRPr="00106839">
        <w:rPr>
          <w:rFonts w:ascii="Arial" w:hAnsi="Arial" w:cs="Arial"/>
          <w:sz w:val="20"/>
          <w:szCs w:val="20"/>
        </w:rPr>
        <w:t xml:space="preserve"> and </w:t>
      </w:r>
      <w:proofErr w:type="spellStart"/>
      <w:r w:rsidR="00106839" w:rsidRPr="00106839">
        <w:rPr>
          <w:rFonts w:ascii="Arial" w:hAnsi="Arial" w:cs="Arial"/>
          <w:sz w:val="20"/>
          <w:szCs w:val="20"/>
        </w:rPr>
        <w:t>Hanumana</w:t>
      </w:r>
      <w:proofErr w:type="spellEnd"/>
      <w:r w:rsidR="00106839" w:rsidRPr="00106839">
        <w:rPr>
          <w:rFonts w:ascii="Arial" w:hAnsi="Arial" w:cs="Arial"/>
          <w:sz w:val="20"/>
          <w:szCs w:val="20"/>
        </w:rPr>
        <w:t xml:space="preserve"> tehsils.</w:t>
      </w:r>
    </w:p>
    <w:p w14:paraId="0D2266F2" w14:textId="20C74B79" w:rsidR="00106839" w:rsidRPr="00106839" w:rsidRDefault="00106839" w:rsidP="00106839">
      <w:pPr>
        <w:pStyle w:val="ListParagraph"/>
        <w:numPr>
          <w:ilvl w:val="0"/>
          <w:numId w:val="9"/>
        </w:numPr>
        <w:spacing w:before="60" w:after="60"/>
        <w:jc w:val="both"/>
        <w:rPr>
          <w:rFonts w:ascii="Arial" w:hAnsi="Arial" w:cs="Arial"/>
          <w:sz w:val="20"/>
          <w:szCs w:val="20"/>
        </w:rPr>
      </w:pPr>
      <w:r w:rsidRPr="00106839">
        <w:rPr>
          <w:rFonts w:ascii="Arial" w:hAnsi="Arial" w:cs="Arial"/>
          <w:sz w:val="20"/>
          <w:szCs w:val="20"/>
        </w:rPr>
        <w:t xml:space="preserve">The </w:t>
      </w:r>
      <w:r w:rsidR="00F94046">
        <w:rPr>
          <w:rFonts w:ascii="Arial" w:hAnsi="Arial" w:cs="Arial"/>
          <w:sz w:val="20"/>
          <w:szCs w:val="20"/>
        </w:rPr>
        <w:t>Built-up Land</w:t>
      </w:r>
      <w:r w:rsidRPr="00106839">
        <w:rPr>
          <w:rFonts w:ascii="Arial" w:hAnsi="Arial" w:cs="Arial"/>
          <w:sz w:val="20"/>
          <w:szCs w:val="20"/>
        </w:rPr>
        <w:t xml:space="preserve"> class recorded the most dramatic proportional change, expanding by 113 km² (+44.66%), from 4.0% to 5.8%. This expansion is concentrated along the NH-30 and NH-27 corridors and reflects highway-led linear </w:t>
      </w:r>
      <w:proofErr w:type="spellStart"/>
      <w:r w:rsidRPr="00106839">
        <w:rPr>
          <w:rFonts w:ascii="Arial" w:hAnsi="Arial" w:cs="Arial"/>
          <w:sz w:val="20"/>
          <w:szCs w:val="20"/>
        </w:rPr>
        <w:t>urbanisation</w:t>
      </w:r>
      <w:proofErr w:type="spellEnd"/>
      <w:r w:rsidRPr="00106839">
        <w:rPr>
          <w:rFonts w:ascii="Arial" w:hAnsi="Arial" w:cs="Arial"/>
          <w:sz w:val="20"/>
          <w:szCs w:val="20"/>
        </w:rPr>
        <w:t xml:space="preserve"> and renewable energy infrastructure development.</w:t>
      </w:r>
    </w:p>
    <w:p w14:paraId="7BD4157F" w14:textId="77777777" w:rsidR="00106839" w:rsidRPr="00106839" w:rsidRDefault="00106839" w:rsidP="00106839">
      <w:pPr>
        <w:pStyle w:val="ListParagraph"/>
        <w:numPr>
          <w:ilvl w:val="0"/>
          <w:numId w:val="9"/>
        </w:numPr>
        <w:spacing w:before="60" w:after="60"/>
        <w:jc w:val="both"/>
        <w:rPr>
          <w:rFonts w:ascii="Arial" w:hAnsi="Arial" w:cs="Arial"/>
          <w:sz w:val="20"/>
          <w:szCs w:val="20"/>
        </w:rPr>
      </w:pPr>
      <w:r w:rsidRPr="00106839">
        <w:rPr>
          <w:rFonts w:ascii="Arial" w:hAnsi="Arial" w:cs="Arial"/>
          <w:sz w:val="20"/>
          <w:szCs w:val="20"/>
        </w:rPr>
        <w:t xml:space="preserve">Forest cover recorded a marginal increase of 17 km² (+2.16%), from 12.5% to 12.7%, consistent with ISFR 2023 data (12.76%). Social Forestry </w:t>
      </w:r>
      <w:proofErr w:type="spellStart"/>
      <w:r w:rsidRPr="00106839">
        <w:rPr>
          <w:rFonts w:ascii="Arial" w:hAnsi="Arial" w:cs="Arial"/>
          <w:sz w:val="20"/>
          <w:szCs w:val="20"/>
        </w:rPr>
        <w:t>programmes</w:t>
      </w:r>
      <w:proofErr w:type="spellEnd"/>
      <w:r w:rsidRPr="00106839">
        <w:rPr>
          <w:rFonts w:ascii="Arial" w:hAnsi="Arial" w:cs="Arial"/>
          <w:sz w:val="20"/>
          <w:szCs w:val="20"/>
        </w:rPr>
        <w:t xml:space="preserve"> and natural scrub succession on the Kaimur Range escarpment are the primary drivers.</w:t>
      </w:r>
    </w:p>
    <w:p w14:paraId="1249A333" w14:textId="3175696A" w:rsidR="00106839" w:rsidRPr="00106839" w:rsidRDefault="00BA660F" w:rsidP="00106839">
      <w:pPr>
        <w:pStyle w:val="ListParagraph"/>
        <w:numPr>
          <w:ilvl w:val="0"/>
          <w:numId w:val="9"/>
        </w:numPr>
        <w:spacing w:before="60" w:after="60"/>
        <w:jc w:val="both"/>
        <w:rPr>
          <w:rFonts w:ascii="Arial" w:hAnsi="Arial" w:cs="Arial"/>
          <w:sz w:val="20"/>
          <w:szCs w:val="20"/>
        </w:rPr>
      </w:pPr>
      <w:r>
        <w:rPr>
          <w:rFonts w:ascii="Arial" w:hAnsi="Arial" w:cs="Arial"/>
          <w:sz w:val="20"/>
          <w:szCs w:val="20"/>
        </w:rPr>
        <w:t xml:space="preserve">Water </w:t>
      </w:r>
      <w:r w:rsidR="00106839" w:rsidRPr="00106839">
        <w:rPr>
          <w:rFonts w:ascii="Arial" w:hAnsi="Arial" w:cs="Arial"/>
          <w:sz w:val="20"/>
          <w:szCs w:val="20"/>
        </w:rPr>
        <w:t>bodies remained essentially stable (+2 km², +1.83%), with the Tons, Bihar, and canal reservoir system maintaining consistent mapped extent.</w:t>
      </w:r>
    </w:p>
    <w:p w14:paraId="2E068AF5" w14:textId="77777777" w:rsidR="00106839" w:rsidRDefault="00106839" w:rsidP="00106839">
      <w:pPr>
        <w:pStyle w:val="ListParagraph"/>
        <w:numPr>
          <w:ilvl w:val="0"/>
          <w:numId w:val="9"/>
        </w:numPr>
        <w:spacing w:before="60" w:after="60"/>
        <w:jc w:val="both"/>
        <w:rPr>
          <w:rFonts w:ascii="Arial" w:hAnsi="Arial" w:cs="Arial"/>
          <w:sz w:val="20"/>
          <w:szCs w:val="20"/>
        </w:rPr>
      </w:pPr>
      <w:r w:rsidRPr="00106839">
        <w:rPr>
          <w:rFonts w:ascii="Arial" w:hAnsi="Arial" w:cs="Arial"/>
          <w:sz w:val="20"/>
          <w:szCs w:val="20"/>
        </w:rPr>
        <w:t>The full-year annual median composite produced more stable and reproducible results than seasonal composites, and is recommended for future temporal analyses in monsoon-affected semi-arid districts.</w:t>
      </w:r>
    </w:p>
    <w:p w14:paraId="4C0DB205" w14:textId="016A2DC8" w:rsidR="00106839" w:rsidRDefault="00106839" w:rsidP="00106839">
      <w:pPr>
        <w:spacing w:before="120" w:after="120"/>
        <w:jc w:val="both"/>
        <w:rPr>
          <w:rFonts w:ascii="Arial" w:hAnsi="Arial" w:cs="Arial"/>
          <w:color w:val="000000"/>
          <w:sz w:val="20"/>
          <w:szCs w:val="20"/>
        </w:rPr>
      </w:pPr>
      <w:r w:rsidRPr="00106839">
        <w:rPr>
          <w:rFonts w:ascii="Arial" w:hAnsi="Arial" w:cs="Arial"/>
          <w:color w:val="000000"/>
          <w:sz w:val="20"/>
          <w:szCs w:val="20"/>
        </w:rPr>
        <w:t xml:space="preserve">This study provides a 10-metre resolution spatial evidence base for understanding LULC dynamics in Rewa District over one of the most transformative five-year periods in the district's recent history. The period 2020–2025 saw the commissioning of the Rewa Ultra Mega Solar Project, the elevation of </w:t>
      </w:r>
      <w:proofErr w:type="spellStart"/>
      <w:r w:rsidRPr="00106839">
        <w:rPr>
          <w:rFonts w:ascii="Arial" w:hAnsi="Arial" w:cs="Arial"/>
          <w:color w:val="000000"/>
          <w:sz w:val="20"/>
          <w:szCs w:val="20"/>
        </w:rPr>
        <w:t>Mauganj</w:t>
      </w:r>
      <w:proofErr w:type="spellEnd"/>
      <w:r w:rsidRPr="00106839">
        <w:rPr>
          <w:rFonts w:ascii="Arial" w:hAnsi="Arial" w:cs="Arial"/>
          <w:color w:val="000000"/>
          <w:sz w:val="20"/>
          <w:szCs w:val="20"/>
        </w:rPr>
        <w:t xml:space="preserve"> to a new district, the progressive expansion of </w:t>
      </w:r>
      <w:r w:rsidR="00C61F12">
        <w:rPr>
          <w:rFonts w:ascii="Arial" w:hAnsi="Arial" w:cs="Arial"/>
          <w:color w:val="000000"/>
          <w:sz w:val="20"/>
          <w:szCs w:val="20"/>
        </w:rPr>
        <w:t xml:space="preserve">the </w:t>
      </w:r>
      <w:proofErr w:type="spellStart"/>
      <w:r w:rsidR="00C61F12">
        <w:rPr>
          <w:rFonts w:ascii="Arial" w:hAnsi="Arial" w:cs="Arial"/>
          <w:color w:val="000000"/>
          <w:sz w:val="20"/>
          <w:szCs w:val="20"/>
        </w:rPr>
        <w:t>Bansagar</w:t>
      </w:r>
      <w:proofErr w:type="spellEnd"/>
      <w:r w:rsidR="00C61F12">
        <w:rPr>
          <w:rFonts w:ascii="Arial" w:hAnsi="Arial" w:cs="Arial"/>
          <w:color w:val="000000"/>
          <w:sz w:val="20"/>
          <w:szCs w:val="20"/>
        </w:rPr>
        <w:t xml:space="preserve"> irrigation network</w:t>
      </w:r>
      <w:r w:rsidRPr="00106839">
        <w:rPr>
          <w:rFonts w:ascii="Arial" w:hAnsi="Arial" w:cs="Arial"/>
          <w:color w:val="000000"/>
          <w:sz w:val="20"/>
          <w:szCs w:val="20"/>
        </w:rPr>
        <w:t xml:space="preserve"> and the continued development of</w:t>
      </w:r>
      <w:r>
        <w:rPr>
          <w:rFonts w:ascii="Arial" w:hAnsi="Arial" w:cs="Arial"/>
          <w:color w:val="000000"/>
          <w:sz w:val="20"/>
          <w:szCs w:val="20"/>
        </w:rPr>
        <w:t xml:space="preserve"> the NH-30 and NH-27 </w:t>
      </w:r>
      <w:proofErr w:type="gramStart"/>
      <w:r>
        <w:rPr>
          <w:rFonts w:ascii="Arial" w:hAnsi="Arial" w:cs="Arial"/>
          <w:color w:val="000000"/>
          <w:sz w:val="20"/>
          <w:szCs w:val="20"/>
        </w:rPr>
        <w:t xml:space="preserve">corridors </w:t>
      </w:r>
      <w:r w:rsidRPr="00106839">
        <w:rPr>
          <w:rFonts w:ascii="Arial" w:hAnsi="Arial" w:cs="Arial"/>
          <w:color w:val="000000"/>
          <w:sz w:val="20"/>
          <w:szCs w:val="20"/>
        </w:rPr>
        <w:t xml:space="preserve"> all</w:t>
      </w:r>
      <w:proofErr w:type="gramEnd"/>
      <w:r w:rsidRPr="00106839">
        <w:rPr>
          <w:rFonts w:ascii="Arial" w:hAnsi="Arial" w:cs="Arial"/>
          <w:color w:val="000000"/>
          <w:sz w:val="20"/>
          <w:szCs w:val="20"/>
        </w:rPr>
        <w:t xml:space="preserve"> of which leave clear spatial signatures in the classified LULC outputs. The story that emerges is of a district transitioning from a predominantly subsistence agricultural plateau with large degraded wastelands to a more intensively developed landscape in which ren</w:t>
      </w:r>
      <w:r w:rsidR="00C61F12">
        <w:rPr>
          <w:rFonts w:ascii="Arial" w:hAnsi="Arial" w:cs="Arial"/>
          <w:color w:val="000000"/>
          <w:sz w:val="20"/>
          <w:szCs w:val="20"/>
        </w:rPr>
        <w:t>ewable energy, highway commerce</w:t>
      </w:r>
      <w:r w:rsidRPr="00106839">
        <w:rPr>
          <w:rFonts w:ascii="Arial" w:hAnsi="Arial" w:cs="Arial"/>
          <w:color w:val="000000"/>
          <w:sz w:val="20"/>
          <w:szCs w:val="20"/>
        </w:rPr>
        <w:t xml:space="preserve"> and irrigation-based agriculture are simultaneously consuming the barren land resource. The honest acknowledgement of classification limitations does not diminish the value of this evidence; rather, it frames the spatial trends in the appropriate register of regional-scale i</w:t>
      </w:r>
      <w:r w:rsidR="00C61F12">
        <w:rPr>
          <w:rFonts w:ascii="Arial" w:hAnsi="Arial" w:cs="Arial"/>
          <w:color w:val="000000"/>
          <w:sz w:val="20"/>
          <w:szCs w:val="20"/>
        </w:rPr>
        <w:t>nterpretation. The maps, tables</w:t>
      </w:r>
      <w:r w:rsidRPr="00106839">
        <w:rPr>
          <w:rFonts w:ascii="Arial" w:hAnsi="Arial" w:cs="Arial"/>
          <w:color w:val="000000"/>
          <w:sz w:val="20"/>
          <w:szCs w:val="20"/>
        </w:rPr>
        <w:t xml:space="preserve"> and transition analyses presented in this dissertation establish a reproducible, verifiable baseline against which future change in the Rewa-Panna landscape can be measured.</w:t>
      </w:r>
      <w:bookmarkStart w:id="0" w:name="_GoBack"/>
      <w:bookmarkEnd w:id="0"/>
    </w:p>
    <w:p w14:paraId="51D8667F" w14:textId="77777777" w:rsidR="0036670C" w:rsidRDefault="003F71CC" w:rsidP="0036670C">
      <w:pPr>
        <w:keepNext/>
        <w:keepLines/>
        <w:spacing w:before="120" w:after="120" w:line="360" w:lineRule="auto"/>
        <w:jc w:val="both"/>
        <w:outlineLvl w:val="1"/>
        <w:rPr>
          <w:bCs/>
          <w:lang w:val="en-GB" w:eastAsia="en-IN"/>
        </w:rPr>
      </w:pPr>
      <w:bookmarkStart w:id="1" w:name="_Hlk218867759"/>
      <w:r w:rsidRPr="003F71CC">
        <w:rPr>
          <w:bCs/>
          <w:highlight w:val="yellow"/>
          <w:lang w:val="en-GB" w:eastAsia="en-IN"/>
        </w:rPr>
        <w:t>Disclaimer (Artificial intelligence)</w:t>
      </w:r>
      <w:bookmarkEnd w:id="1"/>
    </w:p>
    <w:p w14:paraId="44733B90" w14:textId="3B00B300" w:rsidR="00106839" w:rsidRPr="0036670C" w:rsidRDefault="0036670C" w:rsidP="0036670C">
      <w:pPr>
        <w:keepNext/>
        <w:keepLines/>
        <w:spacing w:before="120" w:after="120"/>
        <w:jc w:val="both"/>
        <w:outlineLvl w:val="1"/>
        <w:rPr>
          <w:rFonts w:ascii="Arial" w:hAnsi="Arial" w:cs="Arial"/>
          <w:bCs/>
          <w:sz w:val="20"/>
          <w:szCs w:val="20"/>
          <w:highlight w:val="yellow"/>
          <w:lang w:val="en-GB" w:eastAsia="en-IN"/>
        </w:rPr>
      </w:pPr>
      <w:r w:rsidRPr="0036670C">
        <w:rPr>
          <w:rFonts w:ascii="Arial" w:hAnsi="Arial" w:cs="Arial"/>
          <w:sz w:val="20"/>
          <w:szCs w:val="20"/>
          <w:highlight w:val="yellow"/>
        </w:rPr>
        <w:t>Author(s) hereby declare that generative AI tools were used only for language improvement and grammatical editing of the manuscript. All scientific interpretations, analysis and conclusions are solely the r</w:t>
      </w:r>
      <w:r w:rsidRPr="0036670C">
        <w:rPr>
          <w:rFonts w:ascii="Arial" w:hAnsi="Arial" w:cs="Arial"/>
          <w:sz w:val="20"/>
          <w:szCs w:val="20"/>
          <w:highlight w:val="yellow"/>
        </w:rPr>
        <w:t>esponsibility of the author(s).</w:t>
      </w:r>
    </w:p>
    <w:p w14:paraId="13C0E3AC" w14:textId="77777777" w:rsidR="00565746" w:rsidRPr="00565746" w:rsidRDefault="002C14F2" w:rsidP="00565746">
      <w:pPr>
        <w:spacing w:before="240" w:after="240"/>
        <w:rPr>
          <w:rFonts w:ascii="Arial" w:hAnsi="Arial" w:cs="Arial"/>
          <w:b/>
          <w:bCs/>
          <w:sz w:val="22"/>
          <w:szCs w:val="20"/>
          <w:lang w:bidi="hi-IN"/>
        </w:rPr>
      </w:pPr>
      <w:r>
        <w:rPr>
          <w:rFonts w:ascii="Arial" w:hAnsi="Arial" w:cs="Arial"/>
          <w:b/>
          <w:bCs/>
          <w:sz w:val="22"/>
          <w:szCs w:val="20"/>
          <w:lang w:bidi="hi-IN"/>
        </w:rPr>
        <w:t>REFERENCES</w:t>
      </w:r>
    </w:p>
    <w:p w14:paraId="69EB0796" w14:textId="77777777" w:rsidR="00FB5548" w:rsidRPr="00FB5548" w:rsidRDefault="00FB5548" w:rsidP="00FB5548">
      <w:pPr>
        <w:spacing w:before="60" w:after="120"/>
        <w:jc w:val="both"/>
        <w:rPr>
          <w:rFonts w:ascii="Arial" w:hAnsi="Arial" w:cs="Arial"/>
          <w:sz w:val="20"/>
          <w:szCs w:val="20"/>
        </w:rPr>
      </w:pPr>
      <w:r w:rsidRPr="00FB5548">
        <w:rPr>
          <w:rFonts w:ascii="Arial" w:hAnsi="Arial" w:cs="Arial"/>
          <w:color w:val="000000"/>
          <w:sz w:val="20"/>
          <w:szCs w:val="20"/>
        </w:rPr>
        <w:t>Anderson, J. R., Hardy, E. E., Roach, J. T., &amp; Witmer, R. E. (1976). A land use and land cover classification system for use with remote sensor data (Geological Survey Professional Paper 964). United States Government Printing Office.</w:t>
      </w:r>
    </w:p>
    <w:p w14:paraId="788EF7FB" w14:textId="77777777" w:rsidR="00FB5548" w:rsidRPr="00FB5548" w:rsidRDefault="00FB5548" w:rsidP="00FB5548">
      <w:pPr>
        <w:spacing w:before="60" w:after="120"/>
        <w:jc w:val="both"/>
        <w:rPr>
          <w:rFonts w:ascii="Arial" w:hAnsi="Arial" w:cs="Arial"/>
          <w:sz w:val="20"/>
          <w:szCs w:val="20"/>
        </w:rPr>
      </w:pPr>
      <w:proofErr w:type="spellStart"/>
      <w:r w:rsidRPr="00FB5548">
        <w:rPr>
          <w:rFonts w:ascii="Arial" w:hAnsi="Arial" w:cs="Arial"/>
          <w:color w:val="000000"/>
          <w:sz w:val="20"/>
          <w:szCs w:val="20"/>
        </w:rPr>
        <w:t>Belgiu</w:t>
      </w:r>
      <w:proofErr w:type="spellEnd"/>
      <w:r w:rsidRPr="00FB5548">
        <w:rPr>
          <w:rFonts w:ascii="Arial" w:hAnsi="Arial" w:cs="Arial"/>
          <w:color w:val="000000"/>
          <w:sz w:val="20"/>
          <w:szCs w:val="20"/>
        </w:rPr>
        <w:t xml:space="preserve">, M., &amp; </w:t>
      </w:r>
      <w:proofErr w:type="spellStart"/>
      <w:r w:rsidRPr="00FB5548">
        <w:rPr>
          <w:rFonts w:ascii="Arial" w:hAnsi="Arial" w:cs="Arial"/>
          <w:color w:val="000000"/>
          <w:sz w:val="20"/>
          <w:szCs w:val="20"/>
        </w:rPr>
        <w:t>Drăguț</w:t>
      </w:r>
      <w:proofErr w:type="spellEnd"/>
      <w:r w:rsidRPr="00FB5548">
        <w:rPr>
          <w:rFonts w:ascii="Arial" w:hAnsi="Arial" w:cs="Arial"/>
          <w:color w:val="000000"/>
          <w:sz w:val="20"/>
          <w:szCs w:val="20"/>
        </w:rPr>
        <w:t>, L. (2016). Random forest in remote sensing: A review of applications and future directions. ISPRS Journal of Photogrammetry and Remote Sensing, 114, 24–31. https://doi.org/10.1016/j.isprsjprs.2016.01.011</w:t>
      </w:r>
    </w:p>
    <w:p w14:paraId="1FCC4701" w14:textId="77777777" w:rsidR="00FB5548" w:rsidRPr="00FB5548" w:rsidRDefault="00FB5548" w:rsidP="00FB5548">
      <w:pPr>
        <w:spacing w:before="60" w:after="120"/>
        <w:jc w:val="both"/>
        <w:rPr>
          <w:rFonts w:ascii="Arial" w:hAnsi="Arial" w:cs="Arial"/>
          <w:sz w:val="20"/>
          <w:szCs w:val="20"/>
        </w:rPr>
      </w:pPr>
      <w:proofErr w:type="spellStart"/>
      <w:r w:rsidRPr="00FB5548">
        <w:rPr>
          <w:rFonts w:ascii="Arial" w:hAnsi="Arial" w:cs="Arial"/>
          <w:color w:val="000000"/>
          <w:sz w:val="20"/>
          <w:szCs w:val="20"/>
        </w:rPr>
        <w:t>Breiman</w:t>
      </w:r>
      <w:proofErr w:type="spellEnd"/>
      <w:r w:rsidRPr="00FB5548">
        <w:rPr>
          <w:rFonts w:ascii="Arial" w:hAnsi="Arial" w:cs="Arial"/>
          <w:color w:val="000000"/>
          <w:sz w:val="20"/>
          <w:szCs w:val="20"/>
        </w:rPr>
        <w:t>, L. (2001). Random forests. Machine Learning, 45(1), 5–32. https://doi.org/10.1023/A:1010933404324</w:t>
      </w:r>
    </w:p>
    <w:p w14:paraId="7ACCBDB6" w14:textId="77777777" w:rsidR="00FB5548" w:rsidRPr="00FB5548" w:rsidRDefault="00FB5548" w:rsidP="00FB5548">
      <w:pPr>
        <w:spacing w:before="60" w:after="120"/>
        <w:jc w:val="both"/>
        <w:rPr>
          <w:rFonts w:ascii="Arial" w:hAnsi="Arial" w:cs="Arial"/>
          <w:sz w:val="20"/>
          <w:szCs w:val="20"/>
        </w:rPr>
      </w:pPr>
      <w:r w:rsidRPr="00FB5548">
        <w:rPr>
          <w:rFonts w:ascii="Arial" w:hAnsi="Arial" w:cs="Arial"/>
          <w:color w:val="000000"/>
          <w:sz w:val="20"/>
          <w:szCs w:val="20"/>
        </w:rPr>
        <w:t>Champion, H. G., &amp; Seth, S. K. (1968). A revised survey of the forest types of India. Manager of Publications, Government of India.</w:t>
      </w:r>
    </w:p>
    <w:p w14:paraId="1B96F2D8" w14:textId="77777777" w:rsidR="00FB5548" w:rsidRPr="00FB5548" w:rsidRDefault="00FB5548" w:rsidP="00FB5548">
      <w:pPr>
        <w:spacing w:before="60" w:after="120"/>
        <w:jc w:val="both"/>
        <w:rPr>
          <w:rFonts w:ascii="Arial" w:hAnsi="Arial" w:cs="Arial"/>
          <w:sz w:val="20"/>
          <w:szCs w:val="20"/>
        </w:rPr>
      </w:pPr>
      <w:proofErr w:type="spellStart"/>
      <w:r w:rsidRPr="00FB5548">
        <w:rPr>
          <w:rFonts w:ascii="Arial" w:hAnsi="Arial" w:cs="Arial"/>
          <w:color w:val="000000"/>
          <w:sz w:val="20"/>
          <w:szCs w:val="20"/>
        </w:rPr>
        <w:t>Congalton</w:t>
      </w:r>
      <w:proofErr w:type="spellEnd"/>
      <w:r w:rsidRPr="00FB5548">
        <w:rPr>
          <w:rFonts w:ascii="Arial" w:hAnsi="Arial" w:cs="Arial"/>
          <w:color w:val="000000"/>
          <w:sz w:val="20"/>
          <w:szCs w:val="20"/>
        </w:rPr>
        <w:t>, R. G. (1991). A review of assessing the accuracy of classifications of remotely sensed data. Remote Sensing of Environment, 37(1), 35–46. https://doi.org/10.1016/0034-4257(91)90048-B</w:t>
      </w:r>
    </w:p>
    <w:p w14:paraId="08EF0863" w14:textId="77777777" w:rsidR="00FB5548" w:rsidRPr="00FB5548" w:rsidRDefault="00FB5548" w:rsidP="00FB5548">
      <w:pPr>
        <w:spacing w:before="60" w:after="120"/>
        <w:jc w:val="both"/>
        <w:rPr>
          <w:rFonts w:ascii="Arial" w:hAnsi="Arial" w:cs="Arial"/>
          <w:sz w:val="20"/>
          <w:szCs w:val="20"/>
        </w:rPr>
      </w:pPr>
      <w:proofErr w:type="spellStart"/>
      <w:r w:rsidRPr="00FB5548">
        <w:rPr>
          <w:rFonts w:ascii="Arial" w:hAnsi="Arial" w:cs="Arial"/>
          <w:color w:val="000000"/>
          <w:sz w:val="20"/>
          <w:szCs w:val="20"/>
        </w:rPr>
        <w:lastRenderedPageBreak/>
        <w:t>Congalton</w:t>
      </w:r>
      <w:proofErr w:type="spellEnd"/>
      <w:r w:rsidRPr="00FB5548">
        <w:rPr>
          <w:rFonts w:ascii="Arial" w:hAnsi="Arial" w:cs="Arial"/>
          <w:color w:val="000000"/>
          <w:sz w:val="20"/>
          <w:szCs w:val="20"/>
        </w:rPr>
        <w:t>, R. G., &amp; Green, K. (2009). Assessing the accuracy of remotely sensed data: Principles and practices (2nd ed.). CRC Press.</w:t>
      </w:r>
    </w:p>
    <w:p w14:paraId="55216F1E" w14:textId="77777777" w:rsidR="00FB5548" w:rsidRPr="00FB5548" w:rsidRDefault="00FB5548" w:rsidP="00FB5548">
      <w:pPr>
        <w:spacing w:before="60" w:after="120"/>
        <w:jc w:val="both"/>
        <w:rPr>
          <w:rFonts w:ascii="Arial" w:hAnsi="Arial" w:cs="Arial"/>
          <w:sz w:val="20"/>
          <w:szCs w:val="20"/>
        </w:rPr>
      </w:pPr>
      <w:r w:rsidRPr="00FB5548">
        <w:rPr>
          <w:rFonts w:ascii="Arial" w:hAnsi="Arial" w:cs="Arial"/>
          <w:color w:val="000000"/>
          <w:sz w:val="20"/>
          <w:szCs w:val="20"/>
        </w:rPr>
        <w:t xml:space="preserve">Datanet India Pvt. Ltd. (2026). Madhya Pradesh District Factbook™ — Rewa District (9th updated ed., Report No. DFB/MP-430-0126). </w:t>
      </w:r>
      <w:proofErr w:type="spellStart"/>
      <w:r w:rsidRPr="00FB5548">
        <w:rPr>
          <w:rFonts w:ascii="Arial" w:hAnsi="Arial" w:cs="Arial"/>
          <w:color w:val="000000"/>
          <w:sz w:val="20"/>
          <w:szCs w:val="20"/>
        </w:rPr>
        <w:t>Indiastat</w:t>
      </w:r>
      <w:proofErr w:type="spellEnd"/>
      <w:r w:rsidRPr="00FB5548">
        <w:rPr>
          <w:rFonts w:ascii="Arial" w:hAnsi="Arial" w:cs="Arial"/>
          <w:color w:val="000000"/>
          <w:sz w:val="20"/>
          <w:szCs w:val="20"/>
        </w:rPr>
        <w:t xml:space="preserve"> Publications. ISBN: 978-93-6174-754-0.</w:t>
      </w:r>
    </w:p>
    <w:p w14:paraId="7EB0B1BA" w14:textId="5DBF86BC" w:rsidR="00FB5548" w:rsidRDefault="00FB5548" w:rsidP="00FB5548">
      <w:pPr>
        <w:spacing w:before="60" w:after="120"/>
        <w:jc w:val="both"/>
        <w:rPr>
          <w:rFonts w:ascii="Arial" w:hAnsi="Arial" w:cs="Arial"/>
          <w:color w:val="000000"/>
          <w:sz w:val="20"/>
          <w:szCs w:val="20"/>
        </w:rPr>
      </w:pPr>
      <w:r w:rsidRPr="00FB5548">
        <w:rPr>
          <w:rFonts w:ascii="Arial" w:hAnsi="Arial" w:cs="Arial"/>
          <w:color w:val="000000"/>
          <w:sz w:val="20"/>
          <w:szCs w:val="20"/>
        </w:rPr>
        <w:t xml:space="preserve">Drusch, M., Del Bello, U., Carlier, S., Colin, O., Fernandez, V., Gascon, F., Hoersch, B., Isola, C., </w:t>
      </w:r>
      <w:proofErr w:type="spellStart"/>
      <w:r w:rsidRPr="00FB5548">
        <w:rPr>
          <w:rFonts w:ascii="Arial" w:hAnsi="Arial" w:cs="Arial"/>
          <w:color w:val="000000"/>
          <w:sz w:val="20"/>
          <w:szCs w:val="20"/>
        </w:rPr>
        <w:t>Laberinti</w:t>
      </w:r>
      <w:proofErr w:type="spellEnd"/>
      <w:r w:rsidRPr="00FB5548">
        <w:rPr>
          <w:rFonts w:ascii="Arial" w:hAnsi="Arial" w:cs="Arial"/>
          <w:color w:val="000000"/>
          <w:sz w:val="20"/>
          <w:szCs w:val="20"/>
        </w:rPr>
        <w:t xml:space="preserve">, P., </w:t>
      </w:r>
      <w:proofErr w:type="spellStart"/>
      <w:r w:rsidRPr="00FB5548">
        <w:rPr>
          <w:rFonts w:ascii="Arial" w:hAnsi="Arial" w:cs="Arial"/>
          <w:color w:val="000000"/>
          <w:sz w:val="20"/>
          <w:szCs w:val="20"/>
        </w:rPr>
        <w:t>Martimort</w:t>
      </w:r>
      <w:proofErr w:type="spellEnd"/>
      <w:r w:rsidRPr="00FB5548">
        <w:rPr>
          <w:rFonts w:ascii="Arial" w:hAnsi="Arial" w:cs="Arial"/>
          <w:color w:val="000000"/>
          <w:sz w:val="20"/>
          <w:szCs w:val="20"/>
        </w:rPr>
        <w:t xml:space="preserve">, P., Meygret, A., Spoto, F., Sy, O., Marchese, F., &amp; </w:t>
      </w:r>
      <w:proofErr w:type="spellStart"/>
      <w:r w:rsidRPr="00FB5548">
        <w:rPr>
          <w:rFonts w:ascii="Arial" w:hAnsi="Arial" w:cs="Arial"/>
          <w:color w:val="000000"/>
          <w:sz w:val="20"/>
          <w:szCs w:val="20"/>
        </w:rPr>
        <w:t>Bargellini</w:t>
      </w:r>
      <w:proofErr w:type="spellEnd"/>
      <w:r w:rsidRPr="00FB5548">
        <w:rPr>
          <w:rFonts w:ascii="Arial" w:hAnsi="Arial" w:cs="Arial"/>
          <w:color w:val="000000"/>
          <w:sz w:val="20"/>
          <w:szCs w:val="20"/>
        </w:rPr>
        <w:t xml:space="preserve">, P. (2012). Sentinel-2: ESA's optical high-resolution mission for GMES operational services. Remote Sensing of Environment, 120, 25–36. </w:t>
      </w:r>
      <w:hyperlink r:id="rId16" w:history="1">
        <w:r w:rsidR="0036670C" w:rsidRPr="00B53105">
          <w:rPr>
            <w:rStyle w:val="Hyperlink"/>
            <w:rFonts w:ascii="Arial" w:hAnsi="Arial" w:cs="Arial"/>
            <w:sz w:val="20"/>
            <w:szCs w:val="20"/>
          </w:rPr>
          <w:t>https://doi.org/10.1016/j.rse.2011.11.026</w:t>
        </w:r>
      </w:hyperlink>
    </w:p>
    <w:p w14:paraId="1210CDD7" w14:textId="235B1956" w:rsidR="0036670C" w:rsidRPr="00FB5548" w:rsidRDefault="0036670C" w:rsidP="00FB5548">
      <w:pPr>
        <w:spacing w:before="60" w:after="120"/>
        <w:jc w:val="both"/>
        <w:rPr>
          <w:rFonts w:ascii="Arial" w:hAnsi="Arial" w:cs="Arial"/>
          <w:sz w:val="20"/>
          <w:szCs w:val="20"/>
        </w:rPr>
      </w:pPr>
      <w:proofErr w:type="gramStart"/>
      <w:r w:rsidRPr="0036670C">
        <w:rPr>
          <w:rFonts w:ascii="Arial" w:hAnsi="Arial" w:cs="Arial"/>
          <w:sz w:val="20"/>
          <w:szCs w:val="20"/>
          <w:highlight w:val="yellow"/>
        </w:rPr>
        <w:t xml:space="preserve">El-Hamid, H. T. A., </w:t>
      </w:r>
      <w:proofErr w:type="spellStart"/>
      <w:r w:rsidRPr="0036670C">
        <w:rPr>
          <w:rFonts w:ascii="Arial" w:hAnsi="Arial" w:cs="Arial"/>
          <w:sz w:val="20"/>
          <w:szCs w:val="20"/>
          <w:highlight w:val="yellow"/>
        </w:rPr>
        <w:t>Caiyong</w:t>
      </w:r>
      <w:proofErr w:type="spellEnd"/>
      <w:r w:rsidRPr="0036670C">
        <w:rPr>
          <w:rFonts w:ascii="Arial" w:hAnsi="Arial" w:cs="Arial"/>
          <w:sz w:val="20"/>
          <w:szCs w:val="20"/>
          <w:highlight w:val="yellow"/>
        </w:rPr>
        <w:t xml:space="preserve">, W., &amp; </w:t>
      </w:r>
      <w:proofErr w:type="spellStart"/>
      <w:r w:rsidRPr="0036670C">
        <w:rPr>
          <w:rFonts w:ascii="Arial" w:hAnsi="Arial" w:cs="Arial"/>
          <w:sz w:val="20"/>
          <w:szCs w:val="20"/>
          <w:highlight w:val="yellow"/>
        </w:rPr>
        <w:t>Yongting</w:t>
      </w:r>
      <w:proofErr w:type="spellEnd"/>
      <w:r w:rsidRPr="0036670C">
        <w:rPr>
          <w:rFonts w:ascii="Arial" w:hAnsi="Arial" w:cs="Arial"/>
          <w:sz w:val="20"/>
          <w:szCs w:val="20"/>
          <w:highlight w:val="yellow"/>
        </w:rPr>
        <w:t>, Z. (2021).</w:t>
      </w:r>
      <w:proofErr w:type="gramEnd"/>
      <w:r w:rsidRPr="0036670C">
        <w:rPr>
          <w:rFonts w:ascii="Arial" w:hAnsi="Arial" w:cs="Arial"/>
          <w:sz w:val="20"/>
          <w:szCs w:val="20"/>
          <w:highlight w:val="yellow"/>
        </w:rPr>
        <w:t xml:space="preserve"> Geospatial analysis of land use driving force in coal mining area: Case study in </w:t>
      </w:r>
      <w:proofErr w:type="spellStart"/>
      <w:r w:rsidRPr="0036670C">
        <w:rPr>
          <w:rFonts w:ascii="Arial" w:hAnsi="Arial" w:cs="Arial"/>
          <w:sz w:val="20"/>
          <w:szCs w:val="20"/>
          <w:highlight w:val="yellow"/>
        </w:rPr>
        <w:t>Ningdong</w:t>
      </w:r>
      <w:proofErr w:type="spellEnd"/>
      <w:r w:rsidRPr="0036670C">
        <w:rPr>
          <w:rFonts w:ascii="Arial" w:hAnsi="Arial" w:cs="Arial"/>
          <w:sz w:val="20"/>
          <w:szCs w:val="20"/>
          <w:highlight w:val="yellow"/>
        </w:rPr>
        <w:t xml:space="preserve">, China. </w:t>
      </w:r>
      <w:proofErr w:type="spellStart"/>
      <w:r w:rsidRPr="0036670C">
        <w:rPr>
          <w:rFonts w:ascii="Arial" w:hAnsi="Arial" w:cs="Arial"/>
          <w:sz w:val="20"/>
          <w:szCs w:val="20"/>
          <w:highlight w:val="yellow"/>
        </w:rPr>
        <w:t>GeoJournal</w:t>
      </w:r>
      <w:proofErr w:type="spellEnd"/>
      <w:r w:rsidRPr="0036670C">
        <w:rPr>
          <w:rFonts w:ascii="Arial" w:hAnsi="Arial" w:cs="Arial"/>
          <w:sz w:val="20"/>
          <w:szCs w:val="20"/>
          <w:highlight w:val="yellow"/>
        </w:rPr>
        <w:t>, 86(2), 605-620.</w:t>
      </w:r>
    </w:p>
    <w:p w14:paraId="5B9F38FC" w14:textId="2CF5BDFA" w:rsidR="00FB5548" w:rsidRPr="00FB5548" w:rsidRDefault="00FB5548" w:rsidP="00FB5548">
      <w:pPr>
        <w:spacing w:before="60" w:after="120"/>
        <w:jc w:val="both"/>
        <w:rPr>
          <w:rFonts w:ascii="Arial" w:hAnsi="Arial" w:cs="Arial"/>
          <w:sz w:val="20"/>
          <w:szCs w:val="20"/>
        </w:rPr>
      </w:pPr>
      <w:r w:rsidRPr="00FB5548">
        <w:rPr>
          <w:rFonts w:ascii="Arial" w:hAnsi="Arial" w:cs="Arial"/>
          <w:color w:val="000000"/>
          <w:sz w:val="20"/>
          <w:szCs w:val="20"/>
        </w:rPr>
        <w:t xml:space="preserve">Foley, J. A., </w:t>
      </w:r>
      <w:proofErr w:type="spellStart"/>
      <w:r w:rsidRPr="00FB5548">
        <w:rPr>
          <w:rFonts w:ascii="Arial" w:hAnsi="Arial" w:cs="Arial"/>
          <w:color w:val="000000"/>
          <w:sz w:val="20"/>
          <w:szCs w:val="20"/>
        </w:rPr>
        <w:t>Ramankutty</w:t>
      </w:r>
      <w:proofErr w:type="spellEnd"/>
      <w:r w:rsidRPr="00FB5548">
        <w:rPr>
          <w:rFonts w:ascii="Arial" w:hAnsi="Arial" w:cs="Arial"/>
          <w:color w:val="000000"/>
          <w:sz w:val="20"/>
          <w:szCs w:val="20"/>
        </w:rPr>
        <w:t xml:space="preserve">, N., Brauman, K. A., Cassidy, E. S., Gerber, J. S., Johnston, M., Mueller, N. D., O'Connell, C., Ray, D. K., West, P. C., Balzer, C., Bennett, E. M., Carpenter, S. R., Hill, J., Monfreda, C., Polasky, S., </w:t>
      </w:r>
      <w:proofErr w:type="spellStart"/>
      <w:r w:rsidRPr="00FB5548">
        <w:rPr>
          <w:rFonts w:ascii="Arial" w:hAnsi="Arial" w:cs="Arial"/>
          <w:color w:val="000000"/>
          <w:sz w:val="20"/>
          <w:szCs w:val="20"/>
        </w:rPr>
        <w:t>Rockström</w:t>
      </w:r>
      <w:proofErr w:type="spellEnd"/>
      <w:r w:rsidRPr="00FB5548">
        <w:rPr>
          <w:rFonts w:ascii="Arial" w:hAnsi="Arial" w:cs="Arial"/>
          <w:color w:val="000000"/>
          <w:sz w:val="20"/>
          <w:szCs w:val="20"/>
        </w:rPr>
        <w:t xml:space="preserve">, J., Sheehan, J., Siebert, S., Tilman, D., &amp; Zaks, D. P. M. (2011). Solutions for a cultivated planet. Nature, 478(7369), 337–342. </w:t>
      </w:r>
      <w:hyperlink r:id="rId17" w:history="1">
        <w:r w:rsidR="00F45DFF" w:rsidRPr="002777D2">
          <w:rPr>
            <w:rStyle w:val="Hyperlink"/>
            <w:rFonts w:ascii="Arial" w:hAnsi="Arial" w:cs="Arial"/>
            <w:sz w:val="20"/>
            <w:szCs w:val="20"/>
          </w:rPr>
          <w:t>https://doi.org/10.1038/nature10452</w:t>
        </w:r>
      </w:hyperlink>
      <w:r w:rsidR="00F45DFF">
        <w:rPr>
          <w:rFonts w:ascii="Arial" w:hAnsi="Arial" w:cs="Arial"/>
          <w:color w:val="000000"/>
          <w:sz w:val="20"/>
          <w:szCs w:val="20"/>
        </w:rPr>
        <w:t xml:space="preserve"> </w:t>
      </w:r>
    </w:p>
    <w:p w14:paraId="065A0486" w14:textId="77777777" w:rsidR="00FB5548" w:rsidRPr="00FB5548" w:rsidRDefault="00FB5548" w:rsidP="00FB5548">
      <w:pPr>
        <w:spacing w:before="60" w:after="120"/>
        <w:jc w:val="both"/>
        <w:rPr>
          <w:rFonts w:ascii="Arial" w:hAnsi="Arial" w:cs="Arial"/>
          <w:sz w:val="20"/>
          <w:szCs w:val="20"/>
        </w:rPr>
      </w:pPr>
      <w:r w:rsidRPr="00FB5548">
        <w:rPr>
          <w:rFonts w:ascii="Arial" w:hAnsi="Arial" w:cs="Arial"/>
          <w:color w:val="000000"/>
          <w:sz w:val="20"/>
          <w:szCs w:val="20"/>
        </w:rPr>
        <w:t>Forest Survey of India. (2023). India State of Forest Report 2023. Ministry of Environment, Forest and Climate Change, Government of India.</w:t>
      </w:r>
    </w:p>
    <w:p w14:paraId="466C4E83" w14:textId="56CA3CEE" w:rsidR="00FB5548" w:rsidRPr="00FB5548" w:rsidRDefault="00FB5548" w:rsidP="00FB5548">
      <w:pPr>
        <w:spacing w:before="60" w:after="120"/>
        <w:jc w:val="both"/>
        <w:rPr>
          <w:rFonts w:ascii="Arial" w:hAnsi="Arial" w:cs="Arial"/>
          <w:sz w:val="20"/>
          <w:szCs w:val="20"/>
        </w:rPr>
      </w:pPr>
      <w:r w:rsidRPr="00FB5548">
        <w:rPr>
          <w:rFonts w:ascii="Arial" w:hAnsi="Arial" w:cs="Arial"/>
          <w:color w:val="000000"/>
          <w:sz w:val="20"/>
          <w:szCs w:val="20"/>
        </w:rPr>
        <w:t xml:space="preserve">Gorelick, N., Hancher, M., Dixon, M., Ilyushchenko, S., Thau, D., &amp; Moore, R. (2017). Google Earth Engine: Planetary-scale geospatial analysis for everyone. Remote Sensing of Environment, 202, 18–27. </w:t>
      </w:r>
      <w:hyperlink r:id="rId18" w:history="1">
        <w:r w:rsidR="00F45DFF" w:rsidRPr="002777D2">
          <w:rPr>
            <w:rStyle w:val="Hyperlink"/>
            <w:rFonts w:ascii="Arial" w:hAnsi="Arial" w:cs="Arial"/>
            <w:sz w:val="20"/>
            <w:szCs w:val="20"/>
          </w:rPr>
          <w:t>https://doi.org/10.1016/j.rse.2017.06.031</w:t>
        </w:r>
      </w:hyperlink>
      <w:r w:rsidR="00F45DFF">
        <w:rPr>
          <w:rFonts w:ascii="Arial" w:hAnsi="Arial" w:cs="Arial"/>
          <w:color w:val="000000"/>
          <w:sz w:val="20"/>
          <w:szCs w:val="20"/>
        </w:rPr>
        <w:t xml:space="preserve"> </w:t>
      </w:r>
    </w:p>
    <w:p w14:paraId="440CDC85" w14:textId="4D38180B" w:rsidR="00FB5548" w:rsidRPr="00FB5548" w:rsidRDefault="00FB5548" w:rsidP="00FB5548">
      <w:pPr>
        <w:spacing w:before="60" w:after="120"/>
        <w:jc w:val="both"/>
        <w:rPr>
          <w:rFonts w:ascii="Arial" w:hAnsi="Arial" w:cs="Arial"/>
          <w:sz w:val="20"/>
          <w:szCs w:val="20"/>
        </w:rPr>
      </w:pPr>
      <w:r w:rsidRPr="00FB5548">
        <w:rPr>
          <w:rFonts w:ascii="Arial" w:hAnsi="Arial" w:cs="Arial"/>
          <w:color w:val="000000"/>
          <w:sz w:val="20"/>
          <w:szCs w:val="20"/>
        </w:rPr>
        <w:t xml:space="preserve">Haralick, R. M., Shanmugam, K., &amp; </w:t>
      </w:r>
      <w:proofErr w:type="spellStart"/>
      <w:r w:rsidRPr="00FB5548">
        <w:rPr>
          <w:rFonts w:ascii="Arial" w:hAnsi="Arial" w:cs="Arial"/>
          <w:color w:val="000000"/>
          <w:sz w:val="20"/>
          <w:szCs w:val="20"/>
        </w:rPr>
        <w:t>Dinstein</w:t>
      </w:r>
      <w:proofErr w:type="spellEnd"/>
      <w:r w:rsidRPr="00FB5548">
        <w:rPr>
          <w:rFonts w:ascii="Arial" w:hAnsi="Arial" w:cs="Arial"/>
          <w:color w:val="000000"/>
          <w:sz w:val="20"/>
          <w:szCs w:val="20"/>
        </w:rPr>
        <w:t xml:space="preserve">, I. (1973). Textural features for image classification. IEEE Transactions on Systems, Man, and Cybernetics, SMC-3(6), 610–621. </w:t>
      </w:r>
      <w:hyperlink r:id="rId19" w:history="1">
        <w:r w:rsidR="00F45DFF" w:rsidRPr="002777D2">
          <w:rPr>
            <w:rStyle w:val="Hyperlink"/>
            <w:rFonts w:ascii="Arial" w:hAnsi="Arial" w:cs="Arial"/>
            <w:sz w:val="20"/>
            <w:szCs w:val="20"/>
          </w:rPr>
          <w:t>https://doi.org/10.1109/TSMC.1973.4309314</w:t>
        </w:r>
      </w:hyperlink>
      <w:r w:rsidR="00F45DFF">
        <w:rPr>
          <w:rFonts w:ascii="Arial" w:hAnsi="Arial" w:cs="Arial"/>
          <w:color w:val="000000"/>
          <w:sz w:val="20"/>
          <w:szCs w:val="20"/>
        </w:rPr>
        <w:t xml:space="preserve"> </w:t>
      </w:r>
    </w:p>
    <w:p w14:paraId="3C74A77E" w14:textId="452E347A" w:rsidR="00FB5548" w:rsidRDefault="00FB5548" w:rsidP="00FB5548">
      <w:pPr>
        <w:spacing w:before="60" w:after="120"/>
        <w:jc w:val="both"/>
        <w:rPr>
          <w:rFonts w:ascii="Arial" w:hAnsi="Arial" w:cs="Arial"/>
          <w:color w:val="000000"/>
          <w:sz w:val="20"/>
          <w:szCs w:val="20"/>
        </w:rPr>
      </w:pPr>
      <w:r w:rsidRPr="00FB5548">
        <w:rPr>
          <w:rFonts w:ascii="Arial" w:hAnsi="Arial" w:cs="Arial"/>
          <w:color w:val="000000"/>
          <w:sz w:val="20"/>
          <w:szCs w:val="20"/>
        </w:rPr>
        <w:t xml:space="preserve">Huete, A. R. (1988). A soil-adjusted vegetation index (SAVI). Remote Sensing of Environment, 25(3), 295–309. </w:t>
      </w:r>
      <w:hyperlink r:id="rId20" w:history="1">
        <w:r w:rsidR="00F45DFF" w:rsidRPr="002777D2">
          <w:rPr>
            <w:rStyle w:val="Hyperlink"/>
            <w:rFonts w:ascii="Arial" w:hAnsi="Arial" w:cs="Arial"/>
            <w:sz w:val="20"/>
            <w:szCs w:val="20"/>
          </w:rPr>
          <w:t>https://doi.org/10.1016/0034-4257(88)90106-X</w:t>
        </w:r>
      </w:hyperlink>
    </w:p>
    <w:p w14:paraId="2315337B" w14:textId="4224D12E" w:rsidR="00F45DFF" w:rsidRPr="00FB5548" w:rsidRDefault="00F45DFF" w:rsidP="00FB5548">
      <w:pPr>
        <w:spacing w:before="60" w:after="120"/>
        <w:jc w:val="both"/>
        <w:rPr>
          <w:rFonts w:ascii="Arial" w:hAnsi="Arial" w:cs="Arial"/>
          <w:sz w:val="20"/>
          <w:szCs w:val="20"/>
        </w:rPr>
      </w:pPr>
      <w:r w:rsidRPr="00F45DFF">
        <w:rPr>
          <w:rFonts w:ascii="Arial" w:hAnsi="Arial" w:cs="Arial"/>
          <w:sz w:val="20"/>
          <w:szCs w:val="20"/>
        </w:rPr>
        <w:t xml:space="preserve">Khatun, S., Kastha, S., &amp; Chakraborty, S. (2026). </w:t>
      </w:r>
      <w:proofErr w:type="spellStart"/>
      <w:r w:rsidRPr="00F45DFF">
        <w:rPr>
          <w:rFonts w:ascii="Arial" w:hAnsi="Arial" w:cs="Arial"/>
          <w:sz w:val="20"/>
          <w:szCs w:val="20"/>
        </w:rPr>
        <w:t>Spatio</w:t>
      </w:r>
      <w:proofErr w:type="spellEnd"/>
      <w:r w:rsidRPr="00F45DFF">
        <w:rPr>
          <w:rFonts w:ascii="Arial" w:hAnsi="Arial" w:cs="Arial"/>
          <w:sz w:val="20"/>
          <w:szCs w:val="20"/>
        </w:rPr>
        <w:t>-Temporal Analysis of Land Use/Land Cover Change and Urban Expansion in Bankura Municipality, India. Asian Journal of Geographical Research, 9(2), 82–98. https://doi.org/10.9734/ajgr/2026/v9i2386</w:t>
      </w:r>
      <w:r>
        <w:rPr>
          <w:rFonts w:ascii="Arial" w:hAnsi="Arial" w:cs="Arial"/>
          <w:sz w:val="20"/>
          <w:szCs w:val="20"/>
        </w:rPr>
        <w:t xml:space="preserve">  </w:t>
      </w:r>
    </w:p>
    <w:p w14:paraId="624A6A0F" w14:textId="4928ED4F" w:rsidR="00FB5548" w:rsidRPr="00FB5548" w:rsidRDefault="00FB5548" w:rsidP="00FB5548">
      <w:pPr>
        <w:spacing w:before="60" w:after="120"/>
        <w:jc w:val="both"/>
        <w:rPr>
          <w:rFonts w:ascii="Arial" w:hAnsi="Arial" w:cs="Arial"/>
          <w:sz w:val="20"/>
          <w:szCs w:val="20"/>
        </w:rPr>
      </w:pPr>
      <w:r w:rsidRPr="00FB5548">
        <w:rPr>
          <w:rFonts w:ascii="Arial" w:hAnsi="Arial" w:cs="Arial"/>
          <w:color w:val="000000"/>
          <w:sz w:val="20"/>
          <w:szCs w:val="20"/>
        </w:rPr>
        <w:t xml:space="preserve">Lambin, E. F., Turner, B. L., Geist, H. J., </w:t>
      </w:r>
      <w:proofErr w:type="spellStart"/>
      <w:r w:rsidRPr="00FB5548">
        <w:rPr>
          <w:rFonts w:ascii="Arial" w:hAnsi="Arial" w:cs="Arial"/>
          <w:color w:val="000000"/>
          <w:sz w:val="20"/>
          <w:szCs w:val="20"/>
        </w:rPr>
        <w:t>Agbola</w:t>
      </w:r>
      <w:proofErr w:type="spellEnd"/>
      <w:r w:rsidRPr="00FB5548">
        <w:rPr>
          <w:rFonts w:ascii="Arial" w:hAnsi="Arial" w:cs="Arial"/>
          <w:color w:val="000000"/>
          <w:sz w:val="20"/>
          <w:szCs w:val="20"/>
        </w:rPr>
        <w:t xml:space="preserve">, S. B., Angelsen, A., Bruce, J. W., Coomes, O. T., Dirzo, R., Fischer, G., Folke, C., George, P. S., Homewood, K., Imbernon, J., Leemans, R., Li, X., Moran, E. F., Mortimore, M., Ramakrishnan, P. S., Richards, J. F., </w:t>
      </w:r>
      <w:proofErr w:type="spellStart"/>
      <w:r w:rsidRPr="00FB5548">
        <w:rPr>
          <w:rFonts w:ascii="Arial" w:hAnsi="Arial" w:cs="Arial"/>
          <w:color w:val="000000"/>
          <w:sz w:val="20"/>
          <w:szCs w:val="20"/>
        </w:rPr>
        <w:t>Skånes</w:t>
      </w:r>
      <w:proofErr w:type="spellEnd"/>
      <w:r w:rsidRPr="00FB5548">
        <w:rPr>
          <w:rFonts w:ascii="Arial" w:hAnsi="Arial" w:cs="Arial"/>
          <w:color w:val="000000"/>
          <w:sz w:val="20"/>
          <w:szCs w:val="20"/>
        </w:rPr>
        <w:t xml:space="preserve">, H., Steffen, W., Stone, G. D., Svedin, U., Veldkamp, T. A., Vogel, C., &amp; Xu, J. (2001). The causes of land-use and land-cover change: Moving beyond the myths. Global Environmental Change, 11(4), 261–269. </w:t>
      </w:r>
      <w:hyperlink r:id="rId21" w:history="1">
        <w:r w:rsidR="00F45DFF" w:rsidRPr="002777D2">
          <w:rPr>
            <w:rStyle w:val="Hyperlink"/>
            <w:rFonts w:ascii="Arial" w:hAnsi="Arial" w:cs="Arial"/>
            <w:sz w:val="20"/>
            <w:szCs w:val="20"/>
          </w:rPr>
          <w:t>https://doi.org/10.1016/S0959-3780(01)00007-3</w:t>
        </w:r>
      </w:hyperlink>
      <w:r w:rsidR="00F45DFF">
        <w:rPr>
          <w:rFonts w:ascii="Arial" w:hAnsi="Arial" w:cs="Arial"/>
          <w:color w:val="000000"/>
          <w:sz w:val="20"/>
          <w:szCs w:val="20"/>
        </w:rPr>
        <w:t xml:space="preserve"> </w:t>
      </w:r>
    </w:p>
    <w:p w14:paraId="5BD3A0C2" w14:textId="77777777" w:rsidR="00FB5548" w:rsidRPr="00FB5548" w:rsidRDefault="00FB5548" w:rsidP="00FB5548">
      <w:pPr>
        <w:spacing w:before="60" w:after="120"/>
        <w:jc w:val="both"/>
        <w:rPr>
          <w:rFonts w:ascii="Arial" w:hAnsi="Arial" w:cs="Arial"/>
          <w:sz w:val="20"/>
          <w:szCs w:val="20"/>
        </w:rPr>
      </w:pPr>
      <w:r w:rsidRPr="00FB5548">
        <w:rPr>
          <w:rFonts w:ascii="Arial" w:hAnsi="Arial" w:cs="Arial"/>
          <w:color w:val="000000"/>
          <w:sz w:val="20"/>
          <w:szCs w:val="20"/>
        </w:rPr>
        <w:t>Li, C., Wang, J., Wang, L., Hu, L., &amp; Gong, P. (2014). Comparison of classification algorithms and training sample sizes in urban land classification with Landsat thematic mapper imagery. Remote Sensing, 6(2), 964–983. https://doi.org/10.3390/rs6020964</w:t>
      </w:r>
    </w:p>
    <w:p w14:paraId="60CB0E1D" w14:textId="77777777" w:rsidR="00FB5548" w:rsidRPr="00FB5548" w:rsidRDefault="00FB5548" w:rsidP="00FB5548">
      <w:pPr>
        <w:spacing w:before="60" w:after="120"/>
        <w:jc w:val="both"/>
        <w:rPr>
          <w:rFonts w:ascii="Arial" w:hAnsi="Arial" w:cs="Arial"/>
          <w:sz w:val="20"/>
          <w:szCs w:val="20"/>
        </w:rPr>
      </w:pPr>
      <w:r w:rsidRPr="00FB5548">
        <w:rPr>
          <w:rFonts w:ascii="Arial" w:hAnsi="Arial" w:cs="Arial"/>
          <w:color w:val="000000"/>
          <w:sz w:val="20"/>
          <w:szCs w:val="20"/>
        </w:rPr>
        <w:t xml:space="preserve">Rawat, J. S., &amp; Kumar, M. (2015). Monitoring land use/cover change using remote sensing and GIS techniques: A case study of </w:t>
      </w:r>
      <w:proofErr w:type="spellStart"/>
      <w:r w:rsidRPr="00FB5548">
        <w:rPr>
          <w:rFonts w:ascii="Arial" w:hAnsi="Arial" w:cs="Arial"/>
          <w:color w:val="000000"/>
          <w:sz w:val="20"/>
          <w:szCs w:val="20"/>
        </w:rPr>
        <w:t>Hawalbagh</w:t>
      </w:r>
      <w:proofErr w:type="spellEnd"/>
      <w:r w:rsidRPr="00FB5548">
        <w:rPr>
          <w:rFonts w:ascii="Arial" w:hAnsi="Arial" w:cs="Arial"/>
          <w:color w:val="000000"/>
          <w:sz w:val="20"/>
          <w:szCs w:val="20"/>
        </w:rPr>
        <w:t xml:space="preserve"> block, district </w:t>
      </w:r>
      <w:proofErr w:type="spellStart"/>
      <w:r w:rsidRPr="00FB5548">
        <w:rPr>
          <w:rFonts w:ascii="Arial" w:hAnsi="Arial" w:cs="Arial"/>
          <w:color w:val="000000"/>
          <w:sz w:val="20"/>
          <w:szCs w:val="20"/>
        </w:rPr>
        <w:t>Almora</w:t>
      </w:r>
      <w:proofErr w:type="spellEnd"/>
      <w:r w:rsidRPr="00FB5548">
        <w:rPr>
          <w:rFonts w:ascii="Arial" w:hAnsi="Arial" w:cs="Arial"/>
          <w:color w:val="000000"/>
          <w:sz w:val="20"/>
          <w:szCs w:val="20"/>
        </w:rPr>
        <w:t>, Uttarakhand, India. The Egyptian Journal of Remote Sensing and Space Sciences, 18(1), 77–84. https://doi.org/10.1016/j.ejrs.2015.02.002</w:t>
      </w:r>
    </w:p>
    <w:p w14:paraId="68E94DFE" w14:textId="77777777" w:rsidR="00FB5548" w:rsidRPr="00FB5548" w:rsidRDefault="00FB5548" w:rsidP="00FB5548">
      <w:pPr>
        <w:spacing w:before="60" w:after="120"/>
        <w:jc w:val="both"/>
        <w:rPr>
          <w:rFonts w:ascii="Arial" w:hAnsi="Arial" w:cs="Arial"/>
          <w:sz w:val="20"/>
          <w:szCs w:val="20"/>
        </w:rPr>
      </w:pPr>
      <w:r w:rsidRPr="00FB5548">
        <w:rPr>
          <w:rFonts w:ascii="Arial" w:hAnsi="Arial" w:cs="Arial"/>
          <w:color w:val="000000"/>
          <w:sz w:val="20"/>
          <w:szCs w:val="20"/>
        </w:rPr>
        <w:t xml:space="preserve">Reddy, C. S., Pasha, S. V., Jha, C. S., Diwakar, P. G., &amp; </w:t>
      </w:r>
      <w:proofErr w:type="spellStart"/>
      <w:r w:rsidRPr="00FB5548">
        <w:rPr>
          <w:rFonts w:ascii="Arial" w:hAnsi="Arial" w:cs="Arial"/>
          <w:color w:val="000000"/>
          <w:sz w:val="20"/>
          <w:szCs w:val="20"/>
        </w:rPr>
        <w:t>Dadhwal</w:t>
      </w:r>
      <w:proofErr w:type="spellEnd"/>
      <w:r w:rsidRPr="00FB5548">
        <w:rPr>
          <w:rFonts w:ascii="Arial" w:hAnsi="Arial" w:cs="Arial"/>
          <w:color w:val="000000"/>
          <w:sz w:val="20"/>
          <w:szCs w:val="20"/>
        </w:rPr>
        <w:t>, V. K. (2016). Development and analysis of multi-temporal NDVI-based forests of Madhya Pradesh, India. Ecological Informatics, 35, 46–55. https://doi.org/10.1016/j.ecoinf.2016.06.005</w:t>
      </w:r>
    </w:p>
    <w:p w14:paraId="5961F2D9" w14:textId="77777777" w:rsidR="00FB5548" w:rsidRPr="00FB5548" w:rsidRDefault="00FB5548" w:rsidP="00FB5548">
      <w:pPr>
        <w:spacing w:before="60" w:after="120"/>
        <w:jc w:val="both"/>
        <w:rPr>
          <w:rFonts w:ascii="Arial" w:hAnsi="Arial" w:cs="Arial"/>
          <w:sz w:val="20"/>
          <w:szCs w:val="20"/>
        </w:rPr>
      </w:pPr>
      <w:r w:rsidRPr="00FB5548">
        <w:rPr>
          <w:rFonts w:ascii="Arial" w:hAnsi="Arial" w:cs="Arial"/>
          <w:color w:val="000000"/>
          <w:sz w:val="20"/>
          <w:szCs w:val="20"/>
        </w:rPr>
        <w:t>Roy, P. S., Behera, M. D., Murthy, M. S. R., Roy, A., Singh, S., Kushwaha, S. P. S., Jha, C. S., Sudhakar, S., Joshi, P. K., Reddy, C. S., Gupta, S., Pujar, G., Dutt, C. B. S., Saikia, A., Talukdar, G., Srivastava, V. K., Porwal, M. C., Tripathi, P., Tripathi, O. P., &amp; Pandey, U. (2015). New vegetation type map of India prepared using satellite remote sensing. International Journal of Applied Earth Observation and Geoinformation, 39, 142–159. https://doi.org/10.1016/j.jag.2015.03.003</w:t>
      </w:r>
    </w:p>
    <w:p w14:paraId="1DAE460D" w14:textId="77777777" w:rsidR="00FB5548" w:rsidRPr="00FB5548" w:rsidRDefault="00FB5548" w:rsidP="00FB5548">
      <w:pPr>
        <w:spacing w:before="60" w:after="120"/>
        <w:jc w:val="both"/>
        <w:rPr>
          <w:rFonts w:ascii="Arial" w:hAnsi="Arial" w:cs="Arial"/>
          <w:sz w:val="20"/>
          <w:szCs w:val="20"/>
        </w:rPr>
      </w:pPr>
      <w:r w:rsidRPr="00FB5548">
        <w:rPr>
          <w:rFonts w:ascii="Arial" w:hAnsi="Arial" w:cs="Arial"/>
          <w:color w:val="000000"/>
          <w:sz w:val="20"/>
          <w:szCs w:val="20"/>
        </w:rPr>
        <w:t>Shalaby, A., &amp; Tateishi, R. (2007). Remote sensing and GIS for mapping and monitoring land cover and land-use changes in the northwestern coastal zone of Egypt. Applied Geography, 27(1), 28–41. https://doi.org/10.1016/j.apgeog.2006.09.004</w:t>
      </w:r>
    </w:p>
    <w:p w14:paraId="41C224AF" w14:textId="77777777" w:rsidR="00FB5548" w:rsidRPr="00FB5548" w:rsidRDefault="00FB5548" w:rsidP="00FB5548">
      <w:pPr>
        <w:spacing w:before="60" w:after="120"/>
        <w:jc w:val="both"/>
        <w:rPr>
          <w:rFonts w:ascii="Arial" w:hAnsi="Arial" w:cs="Arial"/>
          <w:sz w:val="20"/>
          <w:szCs w:val="20"/>
        </w:rPr>
      </w:pPr>
      <w:r w:rsidRPr="00FB5548">
        <w:rPr>
          <w:rFonts w:ascii="Arial" w:hAnsi="Arial" w:cs="Arial"/>
          <w:color w:val="000000"/>
          <w:sz w:val="20"/>
          <w:szCs w:val="20"/>
        </w:rPr>
        <w:lastRenderedPageBreak/>
        <w:t>Singh, A. (1989). Review article digital change detection techniques using remotely-sensed data. International Journal of Remote Sensing, 10(6), 989–1003. https://doi.org/10.1080/01431168908903939</w:t>
      </w:r>
    </w:p>
    <w:p w14:paraId="50061DBF" w14:textId="77777777" w:rsidR="00FB5548" w:rsidRPr="00FB5548" w:rsidRDefault="00FB5548" w:rsidP="00FB5548">
      <w:pPr>
        <w:spacing w:before="60" w:after="120"/>
        <w:jc w:val="both"/>
        <w:rPr>
          <w:rFonts w:ascii="Arial" w:hAnsi="Arial" w:cs="Arial"/>
          <w:sz w:val="20"/>
          <w:szCs w:val="20"/>
        </w:rPr>
      </w:pPr>
      <w:r w:rsidRPr="00FB5548">
        <w:rPr>
          <w:rFonts w:ascii="Arial" w:hAnsi="Arial" w:cs="Arial"/>
          <w:color w:val="000000"/>
          <w:sz w:val="20"/>
          <w:szCs w:val="20"/>
        </w:rPr>
        <w:t xml:space="preserve">Xu, H. (2006). Modification of </w:t>
      </w:r>
      <w:proofErr w:type="spellStart"/>
      <w:r w:rsidRPr="00FB5548">
        <w:rPr>
          <w:rFonts w:ascii="Arial" w:hAnsi="Arial" w:cs="Arial"/>
          <w:color w:val="000000"/>
          <w:sz w:val="20"/>
          <w:szCs w:val="20"/>
        </w:rPr>
        <w:t>normalised</w:t>
      </w:r>
      <w:proofErr w:type="spellEnd"/>
      <w:r w:rsidRPr="00FB5548">
        <w:rPr>
          <w:rFonts w:ascii="Arial" w:hAnsi="Arial" w:cs="Arial"/>
          <w:color w:val="000000"/>
          <w:sz w:val="20"/>
          <w:szCs w:val="20"/>
        </w:rPr>
        <w:t xml:space="preserve"> difference water index (NDWI) to enhance open water features in remotely sensed imagery. International Journal of Remote Sensing, 27(14), 3025–3033. https://doi.org/10.1080/01431160600589179</w:t>
      </w:r>
    </w:p>
    <w:p w14:paraId="15B00FDE" w14:textId="77777777" w:rsidR="00FB5548" w:rsidRPr="00FB5548" w:rsidRDefault="00FB5548" w:rsidP="00FB5548">
      <w:pPr>
        <w:spacing w:before="60" w:after="120"/>
        <w:jc w:val="both"/>
        <w:rPr>
          <w:rFonts w:ascii="Arial" w:hAnsi="Arial" w:cs="Arial"/>
          <w:sz w:val="20"/>
          <w:szCs w:val="20"/>
        </w:rPr>
      </w:pPr>
      <w:r w:rsidRPr="00FB5548">
        <w:rPr>
          <w:rFonts w:ascii="Arial" w:hAnsi="Arial" w:cs="Arial"/>
          <w:color w:val="000000"/>
          <w:sz w:val="20"/>
          <w:szCs w:val="20"/>
        </w:rPr>
        <w:t>Zha, Y., Gao, J., &amp; Ni, S. (2003). Use of normalized difference built-up index in automatically mapping urban areas from TM imagery. International Journal of Remote Sensing, 24(3), 583–594. https://doi.org/10.1080/01431160304987</w:t>
      </w:r>
    </w:p>
    <w:sectPr w:rsidR="00FB5548" w:rsidRPr="00FB5548">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53CBA7" w14:textId="77777777" w:rsidR="00354A63" w:rsidRDefault="00354A63" w:rsidP="00E963B8">
      <w:r>
        <w:separator/>
      </w:r>
    </w:p>
  </w:endnote>
  <w:endnote w:type="continuationSeparator" w:id="0">
    <w:p w14:paraId="20BB7EB7" w14:textId="77777777" w:rsidR="00354A63" w:rsidRDefault="00354A63" w:rsidP="00E96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auto"/>
    <w:pitch w:val="variable"/>
    <w:sig w:usb0="00008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CE480" w14:textId="77777777" w:rsidR="00036551" w:rsidRDefault="000365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DAA41" w14:textId="77777777" w:rsidR="00036551" w:rsidRDefault="0003655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9E2A6" w14:textId="77777777" w:rsidR="00036551" w:rsidRDefault="000365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E4FABD" w14:textId="77777777" w:rsidR="00354A63" w:rsidRDefault="00354A63" w:rsidP="00E963B8">
      <w:r>
        <w:separator/>
      </w:r>
    </w:p>
  </w:footnote>
  <w:footnote w:type="continuationSeparator" w:id="0">
    <w:p w14:paraId="16BABD75" w14:textId="77777777" w:rsidR="00354A63" w:rsidRDefault="00354A63" w:rsidP="00E963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395ED" w14:textId="5FB1CBBC" w:rsidR="00036551" w:rsidRDefault="00036551">
    <w:pPr>
      <w:pStyle w:val="Header"/>
    </w:pPr>
    <w:r>
      <w:rPr>
        <w:noProof/>
      </w:rPr>
      <w:pict w14:anchorId="6F7E69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85876"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DDB97" w14:textId="3EBB0EE3" w:rsidR="00036551" w:rsidRDefault="00036551">
    <w:pPr>
      <w:pStyle w:val="Header"/>
    </w:pPr>
    <w:r>
      <w:rPr>
        <w:noProof/>
      </w:rPr>
      <w:pict w14:anchorId="46BC3E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85877"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02C83" w14:textId="04A1B71A" w:rsidR="00036551" w:rsidRDefault="00036551">
    <w:pPr>
      <w:pStyle w:val="Header"/>
    </w:pPr>
    <w:r>
      <w:rPr>
        <w:noProof/>
      </w:rPr>
      <w:pict w14:anchorId="00A2E7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85875"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5252C"/>
    <w:multiLevelType w:val="multilevel"/>
    <w:tmpl w:val="1545252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BA70ED9"/>
    <w:multiLevelType w:val="hybridMultilevel"/>
    <w:tmpl w:val="86F4E9AC"/>
    <w:lvl w:ilvl="0" w:tplc="0F44249C">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28A16CE9"/>
    <w:multiLevelType w:val="hybridMultilevel"/>
    <w:tmpl w:val="FDA440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D7728B7"/>
    <w:multiLevelType w:val="hybridMultilevel"/>
    <w:tmpl w:val="BCA4817C"/>
    <w:lvl w:ilvl="0" w:tplc="E62CDF20">
      <w:start w:val="1"/>
      <w:numFmt w:val="decimal"/>
      <w:lvlText w:val="%1."/>
      <w:lvlJc w:val="left"/>
      <w:pPr>
        <w:ind w:left="720" w:hanging="360"/>
      </w:pPr>
    </w:lvl>
    <w:lvl w:ilvl="1" w:tplc="5A20F2D4">
      <w:numFmt w:val="decimal"/>
      <w:lvlText w:val=""/>
      <w:lvlJc w:val="left"/>
    </w:lvl>
    <w:lvl w:ilvl="2" w:tplc="38A47794">
      <w:numFmt w:val="decimal"/>
      <w:lvlText w:val=""/>
      <w:lvlJc w:val="left"/>
    </w:lvl>
    <w:lvl w:ilvl="3" w:tplc="E6F03BA2">
      <w:numFmt w:val="decimal"/>
      <w:lvlText w:val=""/>
      <w:lvlJc w:val="left"/>
    </w:lvl>
    <w:lvl w:ilvl="4" w:tplc="3C087ADE">
      <w:numFmt w:val="decimal"/>
      <w:lvlText w:val=""/>
      <w:lvlJc w:val="left"/>
    </w:lvl>
    <w:lvl w:ilvl="5" w:tplc="0D2462B2">
      <w:numFmt w:val="decimal"/>
      <w:lvlText w:val=""/>
      <w:lvlJc w:val="left"/>
    </w:lvl>
    <w:lvl w:ilvl="6" w:tplc="AD506BC8">
      <w:numFmt w:val="decimal"/>
      <w:lvlText w:val=""/>
      <w:lvlJc w:val="left"/>
    </w:lvl>
    <w:lvl w:ilvl="7" w:tplc="51082416">
      <w:numFmt w:val="decimal"/>
      <w:lvlText w:val=""/>
      <w:lvlJc w:val="left"/>
    </w:lvl>
    <w:lvl w:ilvl="8" w:tplc="D44889DE">
      <w:numFmt w:val="decimal"/>
      <w:lvlText w:val=""/>
      <w:lvlJc w:val="left"/>
    </w:lvl>
  </w:abstractNum>
  <w:abstractNum w:abstractNumId="4">
    <w:nsid w:val="47BC3DF4"/>
    <w:multiLevelType w:val="multilevel"/>
    <w:tmpl w:val="C11E3CE4"/>
    <w:lvl w:ilvl="0">
      <w:start w:val="1"/>
      <w:numFmt w:val="decimal"/>
      <w:lvlText w:val="%1."/>
      <w:lvlJc w:val="left"/>
      <w:pPr>
        <w:ind w:left="720" w:hanging="360"/>
      </w:pPr>
      <w:rPr>
        <w:rFonts w:hint="default"/>
      </w:rPr>
    </w:lvl>
    <w:lvl w:ilvl="1">
      <w:start w:val="4"/>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52375F4B"/>
    <w:multiLevelType w:val="hybridMultilevel"/>
    <w:tmpl w:val="2C2846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5A72B3A4"/>
    <w:multiLevelType w:val="hybridMultilevel"/>
    <w:tmpl w:val="7D9C50DE"/>
    <w:lvl w:ilvl="0" w:tplc="A554352E">
      <w:start w:val="1"/>
      <w:numFmt w:val="bullet"/>
      <w:lvlText w:val="•"/>
      <w:lvlJc w:val="left"/>
      <w:pPr>
        <w:ind w:left="720" w:hanging="360"/>
      </w:pPr>
    </w:lvl>
    <w:lvl w:ilvl="1" w:tplc="88DA9D18">
      <w:numFmt w:val="decimal"/>
      <w:lvlText w:val=""/>
      <w:lvlJc w:val="left"/>
    </w:lvl>
    <w:lvl w:ilvl="2" w:tplc="06FC466A">
      <w:numFmt w:val="decimal"/>
      <w:lvlText w:val=""/>
      <w:lvlJc w:val="left"/>
    </w:lvl>
    <w:lvl w:ilvl="3" w:tplc="D9FE8632">
      <w:numFmt w:val="decimal"/>
      <w:lvlText w:val=""/>
      <w:lvlJc w:val="left"/>
    </w:lvl>
    <w:lvl w:ilvl="4" w:tplc="CE923B32">
      <w:numFmt w:val="decimal"/>
      <w:lvlText w:val=""/>
      <w:lvlJc w:val="left"/>
    </w:lvl>
    <w:lvl w:ilvl="5" w:tplc="67129080">
      <w:numFmt w:val="decimal"/>
      <w:lvlText w:val=""/>
      <w:lvlJc w:val="left"/>
    </w:lvl>
    <w:lvl w:ilvl="6" w:tplc="E1200A1E">
      <w:numFmt w:val="decimal"/>
      <w:lvlText w:val=""/>
      <w:lvlJc w:val="left"/>
    </w:lvl>
    <w:lvl w:ilvl="7" w:tplc="7B06F734">
      <w:numFmt w:val="decimal"/>
      <w:lvlText w:val=""/>
      <w:lvlJc w:val="left"/>
    </w:lvl>
    <w:lvl w:ilvl="8" w:tplc="46E04DDE">
      <w:numFmt w:val="decimal"/>
      <w:lvlText w:val=""/>
      <w:lvlJc w:val="left"/>
    </w:lvl>
  </w:abstractNum>
  <w:abstractNum w:abstractNumId="7">
    <w:nsid w:val="5E0B2946"/>
    <w:multiLevelType w:val="hybridMultilevel"/>
    <w:tmpl w:val="F6A48A5E"/>
    <w:lvl w:ilvl="0" w:tplc="8EAE5226">
      <w:numFmt w:val="bullet"/>
      <w:lvlText w:val="•"/>
      <w:lvlJc w:val="left"/>
      <w:pPr>
        <w:ind w:left="1080" w:hanging="720"/>
      </w:pPr>
      <w:rPr>
        <w:rFonts w:ascii="Arial" w:eastAsia="Times New Roman"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672B2B6E"/>
    <w:multiLevelType w:val="hybridMultilevel"/>
    <w:tmpl w:val="AEA689DC"/>
    <w:lvl w:ilvl="0" w:tplc="0F44249C">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6"/>
    <w:lvlOverride w:ilvl="0">
      <w:startOverride w:val="1"/>
    </w:lvlOverride>
  </w:num>
  <w:num w:numId="3">
    <w:abstractNumId w:val="5"/>
  </w:num>
  <w:num w:numId="4">
    <w:abstractNumId w:val="3"/>
    <w:lvlOverride w:ilvl="0">
      <w:startOverride w:val="1"/>
    </w:lvlOverride>
  </w:num>
  <w:num w:numId="5">
    <w:abstractNumId w:val="4"/>
  </w:num>
  <w:num w:numId="6">
    <w:abstractNumId w:val="2"/>
  </w:num>
  <w:num w:numId="7">
    <w:abstractNumId w:val="1"/>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AA7"/>
    <w:rsid w:val="00036551"/>
    <w:rsid w:val="000858D5"/>
    <w:rsid w:val="000A02CA"/>
    <w:rsid w:val="000A552A"/>
    <w:rsid w:val="000B0CBC"/>
    <w:rsid w:val="000C54A9"/>
    <w:rsid w:val="000E544F"/>
    <w:rsid w:val="00106839"/>
    <w:rsid w:val="001D1274"/>
    <w:rsid w:val="001E28DC"/>
    <w:rsid w:val="002229C2"/>
    <w:rsid w:val="00271804"/>
    <w:rsid w:val="002773FF"/>
    <w:rsid w:val="0028335B"/>
    <w:rsid w:val="0029568F"/>
    <w:rsid w:val="002C14F2"/>
    <w:rsid w:val="00300E9B"/>
    <w:rsid w:val="00340B4B"/>
    <w:rsid w:val="00354A63"/>
    <w:rsid w:val="0036670C"/>
    <w:rsid w:val="003F71CC"/>
    <w:rsid w:val="004147E0"/>
    <w:rsid w:val="00436893"/>
    <w:rsid w:val="0044239B"/>
    <w:rsid w:val="004C22A6"/>
    <w:rsid w:val="00537B5E"/>
    <w:rsid w:val="00562D0C"/>
    <w:rsid w:val="00565746"/>
    <w:rsid w:val="00590847"/>
    <w:rsid w:val="00595FB6"/>
    <w:rsid w:val="005A2BD5"/>
    <w:rsid w:val="005E38FB"/>
    <w:rsid w:val="0061591B"/>
    <w:rsid w:val="00666189"/>
    <w:rsid w:val="00691644"/>
    <w:rsid w:val="006A5472"/>
    <w:rsid w:val="006E35C1"/>
    <w:rsid w:val="00742616"/>
    <w:rsid w:val="00794C86"/>
    <w:rsid w:val="007A0265"/>
    <w:rsid w:val="007A1BDF"/>
    <w:rsid w:val="007C19F1"/>
    <w:rsid w:val="007D01C4"/>
    <w:rsid w:val="007F5751"/>
    <w:rsid w:val="007F6B63"/>
    <w:rsid w:val="008D0949"/>
    <w:rsid w:val="008D444F"/>
    <w:rsid w:val="008E52FE"/>
    <w:rsid w:val="00921B62"/>
    <w:rsid w:val="009628B4"/>
    <w:rsid w:val="00992800"/>
    <w:rsid w:val="00A21560"/>
    <w:rsid w:val="00A83D5F"/>
    <w:rsid w:val="00AC19DF"/>
    <w:rsid w:val="00AE22F2"/>
    <w:rsid w:val="00AF362B"/>
    <w:rsid w:val="00B90D26"/>
    <w:rsid w:val="00BA660F"/>
    <w:rsid w:val="00BC0254"/>
    <w:rsid w:val="00BF790D"/>
    <w:rsid w:val="00C34EBC"/>
    <w:rsid w:val="00C41919"/>
    <w:rsid w:val="00C61F12"/>
    <w:rsid w:val="00C73DB9"/>
    <w:rsid w:val="00C9678F"/>
    <w:rsid w:val="00CA61D8"/>
    <w:rsid w:val="00CD4D08"/>
    <w:rsid w:val="00CE36FE"/>
    <w:rsid w:val="00D1286B"/>
    <w:rsid w:val="00D92772"/>
    <w:rsid w:val="00E07012"/>
    <w:rsid w:val="00E36BC8"/>
    <w:rsid w:val="00E45881"/>
    <w:rsid w:val="00E963B8"/>
    <w:rsid w:val="00EC467D"/>
    <w:rsid w:val="00EC7827"/>
    <w:rsid w:val="00EF5AA7"/>
    <w:rsid w:val="00F046BC"/>
    <w:rsid w:val="00F1235B"/>
    <w:rsid w:val="00F24EA3"/>
    <w:rsid w:val="00F45DFF"/>
    <w:rsid w:val="00F94046"/>
    <w:rsid w:val="00FA4C4D"/>
    <w:rsid w:val="00FB5548"/>
    <w:rsid w:val="00FC5DE8"/>
    <w:rsid w:val="00FF29B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103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AA7"/>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746"/>
    <w:rPr>
      <w:rFonts w:ascii="Tahoma" w:hAnsi="Tahoma" w:cs="Tahoma"/>
      <w:sz w:val="16"/>
      <w:szCs w:val="16"/>
    </w:rPr>
  </w:style>
  <w:style w:type="character" w:customStyle="1" w:styleId="BalloonTextChar">
    <w:name w:val="Balloon Text Char"/>
    <w:basedOn w:val="DefaultParagraphFont"/>
    <w:link w:val="BalloonText"/>
    <w:uiPriority w:val="99"/>
    <w:semiHidden/>
    <w:rsid w:val="00565746"/>
    <w:rPr>
      <w:rFonts w:ascii="Tahoma" w:eastAsia="Times New Roman" w:hAnsi="Tahoma" w:cs="Tahoma"/>
      <w:sz w:val="16"/>
      <w:szCs w:val="16"/>
      <w:lang w:val="en-US"/>
    </w:rPr>
  </w:style>
  <w:style w:type="paragraph" w:styleId="ListParagraph">
    <w:name w:val="List Paragraph"/>
    <w:basedOn w:val="Normal"/>
    <w:qFormat/>
    <w:rsid w:val="000E544F"/>
  </w:style>
  <w:style w:type="paragraph" w:customStyle="1" w:styleId="heading20">
    <w:name w:val="heading 20"/>
    <w:basedOn w:val="Normal"/>
    <w:next w:val="Normal"/>
    <w:qFormat/>
    <w:rsid w:val="004147E0"/>
    <w:pPr>
      <w:spacing w:before="280" w:after="160"/>
      <w:outlineLvl w:val="1"/>
    </w:pPr>
    <w:rPr>
      <w:b/>
      <w:bCs/>
      <w:color w:val="2E74B5"/>
      <w:sz w:val="26"/>
      <w:szCs w:val="26"/>
    </w:rPr>
  </w:style>
  <w:style w:type="paragraph" w:customStyle="1" w:styleId="heading30">
    <w:name w:val="heading 30"/>
    <w:basedOn w:val="Normal"/>
    <w:next w:val="Normal"/>
    <w:qFormat/>
    <w:rsid w:val="000B0CBC"/>
    <w:pPr>
      <w:spacing w:before="200" w:after="120"/>
      <w:outlineLvl w:val="2"/>
    </w:pPr>
    <w:rPr>
      <w:b/>
      <w:bCs/>
      <w:i/>
      <w:iCs/>
      <w:color w:val="2E74B5"/>
    </w:rPr>
  </w:style>
  <w:style w:type="table" w:styleId="LightShading">
    <w:name w:val="Light Shading"/>
    <w:basedOn w:val="TableNormal"/>
    <w:uiPriority w:val="60"/>
    <w:rsid w:val="00CE36F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D127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heading10">
    <w:name w:val="heading 10"/>
    <w:basedOn w:val="Normal"/>
    <w:next w:val="Normal"/>
    <w:qFormat/>
    <w:rsid w:val="00106839"/>
    <w:pPr>
      <w:spacing w:before="360" w:after="240"/>
      <w:outlineLvl w:val="0"/>
    </w:pPr>
    <w:rPr>
      <w:b/>
      <w:bCs/>
      <w:color w:val="1F3864"/>
      <w:sz w:val="32"/>
      <w:szCs w:val="32"/>
    </w:rPr>
  </w:style>
  <w:style w:type="paragraph" w:styleId="Revision">
    <w:name w:val="Revision"/>
    <w:hidden/>
    <w:uiPriority w:val="99"/>
    <w:semiHidden/>
    <w:rsid w:val="00537B5E"/>
    <w:pPr>
      <w:spacing w:after="0"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E963B8"/>
    <w:pPr>
      <w:tabs>
        <w:tab w:val="center" w:pos="4680"/>
        <w:tab w:val="right" w:pos="9360"/>
      </w:tabs>
    </w:pPr>
  </w:style>
  <w:style w:type="character" w:customStyle="1" w:styleId="HeaderChar">
    <w:name w:val="Header Char"/>
    <w:basedOn w:val="DefaultParagraphFont"/>
    <w:link w:val="Header"/>
    <w:uiPriority w:val="99"/>
    <w:rsid w:val="00E963B8"/>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E963B8"/>
    <w:pPr>
      <w:tabs>
        <w:tab w:val="center" w:pos="4680"/>
        <w:tab w:val="right" w:pos="9360"/>
      </w:tabs>
    </w:pPr>
  </w:style>
  <w:style w:type="character" w:customStyle="1" w:styleId="FooterChar">
    <w:name w:val="Footer Char"/>
    <w:basedOn w:val="DefaultParagraphFont"/>
    <w:link w:val="Footer"/>
    <w:uiPriority w:val="99"/>
    <w:rsid w:val="00E963B8"/>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F45DFF"/>
    <w:rPr>
      <w:color w:val="0000FF" w:themeColor="hyperlink"/>
      <w:u w:val="single"/>
    </w:rPr>
  </w:style>
  <w:style w:type="character" w:customStyle="1" w:styleId="UnresolvedMention">
    <w:name w:val="Unresolved Mention"/>
    <w:basedOn w:val="DefaultParagraphFont"/>
    <w:uiPriority w:val="99"/>
    <w:semiHidden/>
    <w:unhideWhenUsed/>
    <w:rsid w:val="00921B62"/>
    <w:rPr>
      <w:color w:val="605E5C"/>
      <w:shd w:val="clear" w:color="auto" w:fill="E1DFDD"/>
    </w:rPr>
  </w:style>
  <w:style w:type="table" w:styleId="TableGrid">
    <w:name w:val="Table Grid"/>
    <w:basedOn w:val="TableNormal"/>
    <w:uiPriority w:val="39"/>
    <w:rsid w:val="00A83D5F"/>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AA7"/>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746"/>
    <w:rPr>
      <w:rFonts w:ascii="Tahoma" w:hAnsi="Tahoma" w:cs="Tahoma"/>
      <w:sz w:val="16"/>
      <w:szCs w:val="16"/>
    </w:rPr>
  </w:style>
  <w:style w:type="character" w:customStyle="1" w:styleId="BalloonTextChar">
    <w:name w:val="Balloon Text Char"/>
    <w:basedOn w:val="DefaultParagraphFont"/>
    <w:link w:val="BalloonText"/>
    <w:uiPriority w:val="99"/>
    <w:semiHidden/>
    <w:rsid w:val="00565746"/>
    <w:rPr>
      <w:rFonts w:ascii="Tahoma" w:eastAsia="Times New Roman" w:hAnsi="Tahoma" w:cs="Tahoma"/>
      <w:sz w:val="16"/>
      <w:szCs w:val="16"/>
      <w:lang w:val="en-US"/>
    </w:rPr>
  </w:style>
  <w:style w:type="paragraph" w:styleId="ListParagraph">
    <w:name w:val="List Paragraph"/>
    <w:basedOn w:val="Normal"/>
    <w:qFormat/>
    <w:rsid w:val="000E544F"/>
  </w:style>
  <w:style w:type="paragraph" w:customStyle="1" w:styleId="heading20">
    <w:name w:val="heading 20"/>
    <w:basedOn w:val="Normal"/>
    <w:next w:val="Normal"/>
    <w:qFormat/>
    <w:rsid w:val="004147E0"/>
    <w:pPr>
      <w:spacing w:before="280" w:after="160"/>
      <w:outlineLvl w:val="1"/>
    </w:pPr>
    <w:rPr>
      <w:b/>
      <w:bCs/>
      <w:color w:val="2E74B5"/>
      <w:sz w:val="26"/>
      <w:szCs w:val="26"/>
    </w:rPr>
  </w:style>
  <w:style w:type="paragraph" w:customStyle="1" w:styleId="heading30">
    <w:name w:val="heading 30"/>
    <w:basedOn w:val="Normal"/>
    <w:next w:val="Normal"/>
    <w:qFormat/>
    <w:rsid w:val="000B0CBC"/>
    <w:pPr>
      <w:spacing w:before="200" w:after="120"/>
      <w:outlineLvl w:val="2"/>
    </w:pPr>
    <w:rPr>
      <w:b/>
      <w:bCs/>
      <w:i/>
      <w:iCs/>
      <w:color w:val="2E74B5"/>
    </w:rPr>
  </w:style>
  <w:style w:type="table" w:styleId="LightShading">
    <w:name w:val="Light Shading"/>
    <w:basedOn w:val="TableNormal"/>
    <w:uiPriority w:val="60"/>
    <w:rsid w:val="00CE36F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D127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heading10">
    <w:name w:val="heading 10"/>
    <w:basedOn w:val="Normal"/>
    <w:next w:val="Normal"/>
    <w:qFormat/>
    <w:rsid w:val="00106839"/>
    <w:pPr>
      <w:spacing w:before="360" w:after="240"/>
      <w:outlineLvl w:val="0"/>
    </w:pPr>
    <w:rPr>
      <w:b/>
      <w:bCs/>
      <w:color w:val="1F3864"/>
      <w:sz w:val="32"/>
      <w:szCs w:val="32"/>
    </w:rPr>
  </w:style>
  <w:style w:type="paragraph" w:styleId="Revision">
    <w:name w:val="Revision"/>
    <w:hidden/>
    <w:uiPriority w:val="99"/>
    <w:semiHidden/>
    <w:rsid w:val="00537B5E"/>
    <w:pPr>
      <w:spacing w:after="0"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E963B8"/>
    <w:pPr>
      <w:tabs>
        <w:tab w:val="center" w:pos="4680"/>
        <w:tab w:val="right" w:pos="9360"/>
      </w:tabs>
    </w:pPr>
  </w:style>
  <w:style w:type="character" w:customStyle="1" w:styleId="HeaderChar">
    <w:name w:val="Header Char"/>
    <w:basedOn w:val="DefaultParagraphFont"/>
    <w:link w:val="Header"/>
    <w:uiPriority w:val="99"/>
    <w:rsid w:val="00E963B8"/>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E963B8"/>
    <w:pPr>
      <w:tabs>
        <w:tab w:val="center" w:pos="4680"/>
        <w:tab w:val="right" w:pos="9360"/>
      </w:tabs>
    </w:pPr>
  </w:style>
  <w:style w:type="character" w:customStyle="1" w:styleId="FooterChar">
    <w:name w:val="Footer Char"/>
    <w:basedOn w:val="DefaultParagraphFont"/>
    <w:link w:val="Footer"/>
    <w:uiPriority w:val="99"/>
    <w:rsid w:val="00E963B8"/>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F45DFF"/>
    <w:rPr>
      <w:color w:val="0000FF" w:themeColor="hyperlink"/>
      <w:u w:val="single"/>
    </w:rPr>
  </w:style>
  <w:style w:type="character" w:customStyle="1" w:styleId="UnresolvedMention">
    <w:name w:val="Unresolved Mention"/>
    <w:basedOn w:val="DefaultParagraphFont"/>
    <w:uiPriority w:val="99"/>
    <w:semiHidden/>
    <w:unhideWhenUsed/>
    <w:rsid w:val="00921B62"/>
    <w:rPr>
      <w:color w:val="605E5C"/>
      <w:shd w:val="clear" w:color="auto" w:fill="E1DFDD"/>
    </w:rPr>
  </w:style>
  <w:style w:type="table" w:styleId="TableGrid">
    <w:name w:val="Table Grid"/>
    <w:basedOn w:val="TableNormal"/>
    <w:uiPriority w:val="39"/>
    <w:rsid w:val="00A83D5F"/>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1016/j.rse.2017.06.031" TargetMode="External"/><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hyperlink" Target="https://doi.org/10.1016/S0959-3780(01)00007-3"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38/nature10452"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doi.org/10.1016/j.rse.2011.11.026" TargetMode="External"/><Relationship Id="rId20" Type="http://schemas.openxmlformats.org/officeDocument/2006/relationships/hyperlink" Target="https://doi.org/10.1016/0034-4257(88)90106-X"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oi.org/10.1109/TSMC.1973.430931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17</Pages>
  <Words>6722</Words>
  <Characters>38322</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cool</dc:creator>
  <cp:lastModifiedBy>cool</cp:lastModifiedBy>
  <cp:revision>10</cp:revision>
  <cp:lastPrinted>2026-05-11T16:25:00Z</cp:lastPrinted>
  <dcterms:created xsi:type="dcterms:W3CDTF">2026-05-12T07:58:00Z</dcterms:created>
  <dcterms:modified xsi:type="dcterms:W3CDTF">2026-05-15T01:56:00Z</dcterms:modified>
</cp:coreProperties>
</file>