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81389" w14:textId="453A287E" w:rsidR="00895F14" w:rsidRPr="00A26B4A" w:rsidRDefault="00B84249" w:rsidP="00B84249">
      <w:pPr>
        <w:jc w:val="right"/>
        <w:rPr>
          <w:rStyle w:val="Strong"/>
          <w:rFonts w:ascii="Times New Roman" w:hAnsi="Times New Roman" w:cs="Times New Roman"/>
          <w:b w:val="0"/>
          <w:i/>
          <w:sz w:val="28"/>
          <w:szCs w:val="20"/>
          <w:u w:val="single"/>
          <w:shd w:val="clear" w:color="auto" w:fill="FFFFFF"/>
        </w:rPr>
      </w:pPr>
      <w:r w:rsidRPr="00A26B4A">
        <w:rPr>
          <w:rFonts w:ascii="Times New Roman" w:hAnsi="Times New Roman" w:cs="Times New Roman"/>
          <w:b/>
          <w:i/>
          <w:sz w:val="28"/>
          <w:szCs w:val="20"/>
          <w:u w:val="single"/>
          <w:shd w:val="clear" w:color="auto" w:fill="FFFFFF"/>
        </w:rPr>
        <w:t>Original Research Article</w:t>
      </w:r>
    </w:p>
    <w:p w14:paraId="7DFDFE7C" w14:textId="77777777" w:rsidR="00075D6D" w:rsidRPr="00A26B4A" w:rsidRDefault="000D37A2" w:rsidP="000D37A2">
      <w:pPr>
        <w:jc w:val="center"/>
        <w:rPr>
          <w:rStyle w:val="Strong"/>
          <w:rFonts w:ascii="Times New Roman" w:hAnsi="Times New Roman" w:cs="Times New Roman"/>
          <w:sz w:val="20"/>
          <w:szCs w:val="20"/>
          <w:shd w:val="clear" w:color="auto" w:fill="FFFFFF"/>
        </w:rPr>
      </w:pPr>
      <w:r w:rsidRPr="00A26B4A">
        <w:rPr>
          <w:rStyle w:val="Strong"/>
          <w:rFonts w:ascii="Times New Roman" w:hAnsi="Times New Roman" w:cs="Times New Roman"/>
          <w:sz w:val="20"/>
          <w:szCs w:val="20"/>
          <w:shd w:val="clear" w:color="auto" w:fill="FFFFFF"/>
        </w:rPr>
        <w:t xml:space="preserve">Antibiotic Resistance Profile and Carriage of the Panton-Valentine </w:t>
      </w:r>
      <w:proofErr w:type="spellStart"/>
      <w:r w:rsidRPr="00A26B4A">
        <w:rPr>
          <w:rStyle w:val="Strong"/>
          <w:rFonts w:ascii="Times New Roman" w:hAnsi="Times New Roman" w:cs="Times New Roman"/>
          <w:sz w:val="20"/>
          <w:szCs w:val="20"/>
          <w:shd w:val="clear" w:color="auto" w:fill="FFFFFF"/>
        </w:rPr>
        <w:t>Leukocidin</w:t>
      </w:r>
      <w:proofErr w:type="spellEnd"/>
      <w:r w:rsidRPr="00A26B4A">
        <w:rPr>
          <w:rStyle w:val="Strong"/>
          <w:rFonts w:ascii="Times New Roman" w:hAnsi="Times New Roman" w:cs="Times New Roman"/>
          <w:sz w:val="20"/>
          <w:szCs w:val="20"/>
          <w:shd w:val="clear" w:color="auto" w:fill="FFFFFF"/>
        </w:rPr>
        <w:t xml:space="preserve"> (</w:t>
      </w:r>
      <w:proofErr w:type="spellStart"/>
      <w:r w:rsidRPr="00A26B4A">
        <w:rPr>
          <w:rStyle w:val="Strong"/>
          <w:rFonts w:ascii="Times New Roman" w:hAnsi="Times New Roman" w:cs="Times New Roman"/>
          <w:i/>
          <w:sz w:val="20"/>
          <w:szCs w:val="20"/>
          <w:shd w:val="clear" w:color="auto" w:fill="FFFFFF"/>
        </w:rPr>
        <w:t>pvl</w:t>
      </w:r>
      <w:proofErr w:type="spellEnd"/>
      <w:r w:rsidRPr="00A26B4A">
        <w:rPr>
          <w:rStyle w:val="Strong"/>
          <w:rFonts w:ascii="Times New Roman" w:hAnsi="Times New Roman" w:cs="Times New Roman"/>
          <w:sz w:val="20"/>
          <w:szCs w:val="20"/>
          <w:shd w:val="clear" w:color="auto" w:fill="FFFFFF"/>
        </w:rPr>
        <w:t xml:space="preserve">) Gene in Coagulase-Negative </w:t>
      </w:r>
      <w:r w:rsidRPr="00725EAC">
        <w:rPr>
          <w:rStyle w:val="Strong"/>
          <w:rFonts w:ascii="Times New Roman" w:hAnsi="Times New Roman" w:cs="Times New Roman"/>
          <w:i/>
          <w:sz w:val="20"/>
          <w:szCs w:val="20"/>
          <w:highlight w:val="yellow"/>
          <w:shd w:val="clear" w:color="auto" w:fill="FFFFFF"/>
        </w:rPr>
        <w:t>Staphylococci</w:t>
      </w:r>
      <w:r w:rsidRPr="00A26B4A">
        <w:rPr>
          <w:rStyle w:val="Strong"/>
          <w:rFonts w:ascii="Times New Roman" w:hAnsi="Times New Roman" w:cs="Times New Roman"/>
          <w:sz w:val="20"/>
          <w:szCs w:val="20"/>
          <w:shd w:val="clear" w:color="auto" w:fill="FFFFFF"/>
        </w:rPr>
        <w:t xml:space="preserve"> Isolated from Sold Edible </w:t>
      </w:r>
      <w:proofErr w:type="spellStart"/>
      <w:r w:rsidRPr="00A26B4A">
        <w:rPr>
          <w:rStyle w:val="Emphasis"/>
          <w:rFonts w:ascii="Times New Roman" w:hAnsi="Times New Roman" w:cs="Times New Roman"/>
          <w:b/>
          <w:bCs/>
          <w:sz w:val="20"/>
          <w:szCs w:val="20"/>
          <w:shd w:val="clear" w:color="auto" w:fill="FFFFFF"/>
        </w:rPr>
        <w:t>Telfairia</w:t>
      </w:r>
      <w:proofErr w:type="spellEnd"/>
      <w:r w:rsidRPr="00A26B4A">
        <w:rPr>
          <w:rStyle w:val="Emphasis"/>
          <w:rFonts w:ascii="Times New Roman" w:hAnsi="Times New Roman" w:cs="Times New Roman"/>
          <w:b/>
          <w:bCs/>
          <w:sz w:val="20"/>
          <w:szCs w:val="20"/>
          <w:shd w:val="clear" w:color="auto" w:fill="FFFFFF"/>
        </w:rPr>
        <w:t xml:space="preserve"> </w:t>
      </w:r>
      <w:proofErr w:type="spellStart"/>
      <w:r w:rsidRPr="00A26B4A">
        <w:rPr>
          <w:rStyle w:val="Emphasis"/>
          <w:rFonts w:ascii="Times New Roman" w:hAnsi="Times New Roman" w:cs="Times New Roman"/>
          <w:b/>
          <w:bCs/>
          <w:sz w:val="20"/>
          <w:szCs w:val="20"/>
          <w:shd w:val="clear" w:color="auto" w:fill="FFFFFF"/>
        </w:rPr>
        <w:t>occidentalis</w:t>
      </w:r>
      <w:proofErr w:type="spellEnd"/>
      <w:r w:rsidRPr="00A26B4A">
        <w:rPr>
          <w:rStyle w:val="Strong"/>
          <w:rFonts w:ascii="Times New Roman" w:hAnsi="Times New Roman" w:cs="Times New Roman"/>
          <w:sz w:val="20"/>
          <w:szCs w:val="20"/>
          <w:shd w:val="clear" w:color="auto" w:fill="FFFFFF"/>
        </w:rPr>
        <w:t> Vegetables</w:t>
      </w:r>
    </w:p>
    <w:p w14:paraId="1418DB1A" w14:textId="77777777" w:rsidR="00F15A46" w:rsidRPr="00A26B4A" w:rsidRDefault="00F15A46" w:rsidP="000D37A2">
      <w:pPr>
        <w:jc w:val="center"/>
        <w:rPr>
          <w:rStyle w:val="Strong"/>
          <w:rFonts w:ascii="Times New Roman" w:hAnsi="Times New Roman" w:cs="Times New Roman"/>
          <w:sz w:val="20"/>
          <w:szCs w:val="20"/>
          <w:shd w:val="clear" w:color="auto" w:fill="FFFFFF"/>
        </w:rPr>
      </w:pPr>
    </w:p>
    <w:p w14:paraId="73E4A03D" w14:textId="138E0D3D" w:rsidR="00F15A46" w:rsidRPr="00A26B4A" w:rsidRDefault="00F15A46" w:rsidP="000D37A2">
      <w:pPr>
        <w:jc w:val="center"/>
        <w:rPr>
          <w:rFonts w:ascii="Times New Roman" w:hAnsi="Times New Roman" w:cs="Times New Roman"/>
          <w:b/>
          <w:sz w:val="20"/>
          <w:szCs w:val="20"/>
        </w:rPr>
      </w:pPr>
    </w:p>
    <w:p w14:paraId="4B9EA77D" w14:textId="208C4772" w:rsidR="00E93CBE" w:rsidRPr="00A26B4A" w:rsidRDefault="00E93CBE" w:rsidP="000D37A2">
      <w:pPr>
        <w:jc w:val="center"/>
        <w:rPr>
          <w:rStyle w:val="Strong"/>
          <w:rFonts w:ascii="Times New Roman" w:hAnsi="Times New Roman" w:cs="Times New Roman"/>
          <w:sz w:val="20"/>
          <w:szCs w:val="20"/>
          <w:shd w:val="clear" w:color="auto" w:fill="FFFFFF"/>
        </w:rPr>
      </w:pPr>
    </w:p>
    <w:p w14:paraId="409D9C82" w14:textId="7989F4A0" w:rsidR="00E93CBE" w:rsidRPr="00A26B4A" w:rsidRDefault="00E93CBE" w:rsidP="000D37A2">
      <w:pPr>
        <w:jc w:val="center"/>
        <w:rPr>
          <w:rStyle w:val="Strong"/>
          <w:rFonts w:ascii="Times New Roman" w:hAnsi="Times New Roman" w:cs="Times New Roman"/>
          <w:sz w:val="20"/>
          <w:szCs w:val="20"/>
          <w:shd w:val="clear" w:color="auto" w:fill="FFFFFF"/>
        </w:rPr>
      </w:pPr>
    </w:p>
    <w:p w14:paraId="3C7A9051" w14:textId="77777777" w:rsidR="00E93CBE" w:rsidRPr="00A26B4A" w:rsidRDefault="00E93CBE" w:rsidP="000D37A2">
      <w:pPr>
        <w:jc w:val="center"/>
        <w:rPr>
          <w:rStyle w:val="Strong"/>
          <w:rFonts w:ascii="Times New Roman" w:hAnsi="Times New Roman" w:cs="Times New Roman"/>
          <w:sz w:val="20"/>
          <w:szCs w:val="20"/>
          <w:shd w:val="clear" w:color="auto" w:fill="FFFFFF"/>
        </w:rPr>
      </w:pPr>
      <w:bookmarkStart w:id="0" w:name="_GoBack"/>
    </w:p>
    <w:bookmarkEnd w:id="0"/>
    <w:p w14:paraId="24E44051" w14:textId="77777777" w:rsidR="00841A13" w:rsidRPr="00A26B4A" w:rsidRDefault="00841A13" w:rsidP="00E43C6C">
      <w:pPr>
        <w:shd w:val="clear" w:color="auto" w:fill="FFFFFF"/>
        <w:spacing w:after="0" w:line="240" w:lineRule="auto"/>
        <w:jc w:val="both"/>
        <w:outlineLvl w:val="1"/>
        <w:rPr>
          <w:rFonts w:ascii="Times New Roman" w:eastAsia="Times New Roman" w:hAnsi="Times New Roman" w:cs="Times New Roman"/>
          <w:b/>
          <w:bCs/>
          <w:sz w:val="20"/>
          <w:szCs w:val="20"/>
        </w:rPr>
      </w:pPr>
      <w:r w:rsidRPr="00A26B4A">
        <w:rPr>
          <w:rFonts w:ascii="Times New Roman" w:eastAsia="Times New Roman" w:hAnsi="Times New Roman" w:cs="Times New Roman"/>
          <w:b/>
          <w:bCs/>
          <w:sz w:val="20"/>
          <w:szCs w:val="20"/>
        </w:rPr>
        <w:t>Abstract</w:t>
      </w:r>
    </w:p>
    <w:p w14:paraId="63843C84" w14:textId="77777777" w:rsidR="00841A13" w:rsidRPr="00A26B4A" w:rsidRDefault="00841A13" w:rsidP="00E43C6C">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b/>
          <w:bCs/>
          <w:sz w:val="20"/>
          <w:szCs w:val="20"/>
        </w:rPr>
        <w:t>Background:</w:t>
      </w:r>
      <w:r w:rsidRPr="00A26B4A">
        <w:rPr>
          <w:rFonts w:ascii="Times New Roman" w:eastAsia="Times New Roman" w:hAnsi="Times New Roman" w:cs="Times New Roman"/>
          <w:sz w:val="20"/>
          <w:szCs w:val="20"/>
        </w:rPr>
        <w:t> Coagulase-negative </w:t>
      </w:r>
      <w:r w:rsidRPr="00A26B4A">
        <w:rPr>
          <w:rFonts w:ascii="Times New Roman" w:eastAsia="Times New Roman" w:hAnsi="Times New Roman" w:cs="Times New Roman"/>
          <w:i/>
          <w:iCs/>
          <w:sz w:val="20"/>
          <w:szCs w:val="20"/>
        </w:rPr>
        <w:t>Staphylococci</w:t>
      </w:r>
      <w:r w:rsidRPr="00A26B4A">
        <w:rPr>
          <w:rFonts w:ascii="Times New Roman" w:eastAsia="Times New Roman" w:hAnsi="Times New Roman" w:cs="Times New Roman"/>
          <w:sz w:val="20"/>
          <w:szCs w:val="20"/>
        </w:rPr>
        <w:t>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have emerged as significant opportunistic pathogens, particularly in foodborne infections. The presence of virulence genes such as Panton-Valentine </w:t>
      </w:r>
      <w:proofErr w:type="spellStart"/>
      <w:r w:rsidRPr="00A26B4A">
        <w:rPr>
          <w:rFonts w:ascii="Times New Roman" w:eastAsia="Times New Roman" w:hAnsi="Times New Roman" w:cs="Times New Roman"/>
          <w:sz w:val="20"/>
          <w:szCs w:val="20"/>
        </w:rPr>
        <w:t>leukocidin</w:t>
      </w:r>
      <w:proofErr w:type="spellEnd"/>
      <w:r w:rsidRPr="00A26B4A">
        <w:rPr>
          <w:rFonts w:ascii="Times New Roman" w:eastAsia="Times New Roman" w:hAnsi="Times New Roman" w:cs="Times New Roman"/>
          <w:sz w:val="20"/>
          <w:szCs w:val="20"/>
        </w:rPr>
        <w:t xml:space="preserve">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 in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isolated from fresh vegetables represents an underrecognized public health threat. This study investigated the antibiotic resistance profile and prevalence of the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 gene in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isolated from </w:t>
      </w:r>
      <w:proofErr w:type="spellStart"/>
      <w:r w:rsidRPr="00A26B4A">
        <w:rPr>
          <w:rFonts w:ascii="Times New Roman" w:eastAsia="Times New Roman" w:hAnsi="Times New Roman" w:cs="Times New Roman"/>
          <w:i/>
          <w:iCs/>
          <w:sz w:val="20"/>
          <w:szCs w:val="20"/>
        </w:rPr>
        <w:t>Telfairia</w:t>
      </w:r>
      <w:proofErr w:type="spellEnd"/>
      <w:r w:rsidRPr="00A26B4A">
        <w:rPr>
          <w:rFonts w:ascii="Times New Roman" w:eastAsia="Times New Roman" w:hAnsi="Times New Roman" w:cs="Times New Roman"/>
          <w:i/>
          <w:iCs/>
          <w:sz w:val="20"/>
          <w:szCs w:val="20"/>
        </w:rPr>
        <w:t xml:space="preserve"> </w:t>
      </w:r>
      <w:proofErr w:type="spellStart"/>
      <w:r w:rsidRPr="00A26B4A">
        <w:rPr>
          <w:rFonts w:ascii="Times New Roman" w:eastAsia="Times New Roman" w:hAnsi="Times New Roman" w:cs="Times New Roman"/>
          <w:i/>
          <w:iCs/>
          <w:sz w:val="20"/>
          <w:szCs w:val="20"/>
        </w:rPr>
        <w:t>occidentalis</w:t>
      </w:r>
      <w:proofErr w:type="spellEnd"/>
      <w:r w:rsidRPr="00A26B4A">
        <w:rPr>
          <w:rFonts w:ascii="Times New Roman" w:eastAsia="Times New Roman" w:hAnsi="Times New Roman" w:cs="Times New Roman"/>
          <w:sz w:val="20"/>
          <w:szCs w:val="20"/>
        </w:rPr>
        <w:t> vegetables sold in Enugu, Nigeria.</w:t>
      </w:r>
    </w:p>
    <w:p w14:paraId="63126CAB" w14:textId="77777777" w:rsidR="00841A13" w:rsidRPr="00A26B4A" w:rsidRDefault="00841A13" w:rsidP="00E43C6C">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b/>
          <w:bCs/>
          <w:sz w:val="20"/>
          <w:szCs w:val="20"/>
        </w:rPr>
        <w:t>Methods:</w:t>
      </w:r>
      <w:r w:rsidRPr="00A26B4A">
        <w:rPr>
          <w:rFonts w:ascii="Times New Roman" w:eastAsia="Times New Roman" w:hAnsi="Times New Roman" w:cs="Times New Roman"/>
          <w:sz w:val="20"/>
          <w:szCs w:val="20"/>
        </w:rPr>
        <w:t> Twenty-five </w:t>
      </w:r>
      <w:proofErr w:type="spellStart"/>
      <w:r w:rsidRPr="00A26B4A">
        <w:rPr>
          <w:rFonts w:ascii="Times New Roman" w:eastAsia="Times New Roman" w:hAnsi="Times New Roman" w:cs="Times New Roman"/>
          <w:i/>
          <w:iCs/>
          <w:sz w:val="20"/>
          <w:szCs w:val="20"/>
        </w:rPr>
        <w:t>Telfairia</w:t>
      </w:r>
      <w:proofErr w:type="spellEnd"/>
      <w:r w:rsidRPr="00A26B4A">
        <w:rPr>
          <w:rFonts w:ascii="Times New Roman" w:eastAsia="Times New Roman" w:hAnsi="Times New Roman" w:cs="Times New Roman"/>
          <w:i/>
          <w:iCs/>
          <w:sz w:val="20"/>
          <w:szCs w:val="20"/>
        </w:rPr>
        <w:t xml:space="preserve"> </w:t>
      </w:r>
      <w:proofErr w:type="spellStart"/>
      <w:r w:rsidRPr="00A26B4A">
        <w:rPr>
          <w:rFonts w:ascii="Times New Roman" w:eastAsia="Times New Roman" w:hAnsi="Times New Roman" w:cs="Times New Roman"/>
          <w:i/>
          <w:iCs/>
          <w:sz w:val="20"/>
          <w:szCs w:val="20"/>
        </w:rPr>
        <w:t>occidentalis</w:t>
      </w:r>
      <w:proofErr w:type="spellEnd"/>
      <w:r w:rsidRPr="00A26B4A">
        <w:rPr>
          <w:rFonts w:ascii="Times New Roman" w:eastAsia="Times New Roman" w:hAnsi="Times New Roman" w:cs="Times New Roman"/>
          <w:sz w:val="20"/>
          <w:szCs w:val="20"/>
        </w:rPr>
        <w:t xml:space="preserve"> vegetable samples were collected from the Old Artisan Market in Enugu.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were isolated using standard microbiological techniques and confirmed via biochemical testing. Antibiotic susceptibility testing was performed against 15 antibiotics using the disk diffusion method according to CLSI guidelines. PCR screening was conducted to detect the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gene in selected isolates.</w:t>
      </w:r>
    </w:p>
    <w:p w14:paraId="54DFB85B" w14:textId="77777777" w:rsidR="00841A13" w:rsidRPr="00A26B4A" w:rsidRDefault="00841A13" w:rsidP="00E43C6C">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b/>
          <w:bCs/>
          <w:sz w:val="20"/>
          <w:szCs w:val="20"/>
        </w:rPr>
        <w:t>Results:</w:t>
      </w:r>
      <w:r w:rsidRPr="00A26B4A">
        <w:rPr>
          <w:rFonts w:ascii="Times New Roman" w:eastAsia="Times New Roman" w:hAnsi="Times New Roman" w:cs="Times New Roman"/>
          <w:sz w:val="20"/>
          <w:szCs w:val="20"/>
        </w:rPr>
        <w:t xml:space="preserve"> Twelve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isolates (48.0%) were recovered from </w:t>
      </w:r>
      <w:r w:rsidRPr="00A26B4A">
        <w:rPr>
          <w:rFonts w:ascii="Times New Roman" w:eastAsia="Times New Roman" w:hAnsi="Times New Roman" w:cs="Times New Roman"/>
          <w:i/>
          <w:iCs/>
          <w:sz w:val="20"/>
          <w:szCs w:val="20"/>
        </w:rPr>
        <w:t xml:space="preserve">T. </w:t>
      </w:r>
      <w:proofErr w:type="spellStart"/>
      <w:r w:rsidRPr="00A26B4A">
        <w:rPr>
          <w:rFonts w:ascii="Times New Roman" w:eastAsia="Times New Roman" w:hAnsi="Times New Roman" w:cs="Times New Roman"/>
          <w:i/>
          <w:iCs/>
          <w:sz w:val="20"/>
          <w:szCs w:val="20"/>
        </w:rPr>
        <w:t>occidentalis</w:t>
      </w:r>
      <w:proofErr w:type="spellEnd"/>
      <w:r w:rsidRPr="00A26B4A">
        <w:rPr>
          <w:rFonts w:ascii="Times New Roman" w:eastAsia="Times New Roman" w:hAnsi="Times New Roman" w:cs="Times New Roman"/>
          <w:sz w:val="20"/>
          <w:szCs w:val="20"/>
        </w:rPr>
        <w:t> samples. Isolates exhibited high resistance to β-lactams (amoxicillin-clavulanic acid 83.3%, cefoxitin 100%, oxacillin 100%), carbapenems (imipenem 100%), sulfonamides (trimethoprim-sulfamethoxazole 100%), and protein synthesis inhibitors (chloramphenicol 91.7%). Susceptibility was observed to fluoroquinolones (ciprofloxacin 83.3%, levofloxacin 91.7%) and meropenem (75.0%). Notably, 25.0% (3/12) of isolates harbored the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gene.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-positive isolates demonstrated significantly higher resistance to multiple antibiotics compared to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-negative isolates, including vancomycin (100% vs. 44.4%) and gentamicin (100% vs. 44.4%).</w:t>
      </w:r>
    </w:p>
    <w:p w14:paraId="25B06BE7" w14:textId="77777777" w:rsidR="00841A13" w:rsidRPr="00A26B4A" w:rsidRDefault="00841A13" w:rsidP="00E43C6C">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b/>
          <w:bCs/>
          <w:sz w:val="20"/>
          <w:szCs w:val="20"/>
        </w:rPr>
        <w:t>Conclusion:</w:t>
      </w:r>
      <w:r w:rsidRPr="00A26B4A">
        <w:rPr>
          <w:rFonts w:ascii="Times New Roman" w:eastAsia="Times New Roman" w:hAnsi="Times New Roman" w:cs="Times New Roman"/>
          <w:sz w:val="20"/>
          <w:szCs w:val="20"/>
        </w:rPr>
        <w:t> This study reveals the presence of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-harboring, multidrug-resistant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on fresh vegetables in Enugu, highlighting a potential route for community transmission of virulent strains. The correlation between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carriage and enhanced antibiotic resistance suggests these isolates may pose a dual threat of increased pathogenicity and treatment failure. Enhanced food safety surveillance and antimicrobial stewardship are urgently needed.</w:t>
      </w:r>
    </w:p>
    <w:p w14:paraId="7C284585" w14:textId="77777777" w:rsidR="00841A13" w:rsidRPr="00A26B4A" w:rsidRDefault="00841A13" w:rsidP="00E43C6C">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b/>
          <w:bCs/>
          <w:sz w:val="20"/>
          <w:szCs w:val="20"/>
        </w:rPr>
        <w:t>Keywords:</w:t>
      </w:r>
      <w:r w:rsidRPr="00A26B4A">
        <w:rPr>
          <w:rFonts w:ascii="Times New Roman" w:eastAsia="Times New Roman" w:hAnsi="Times New Roman" w:cs="Times New Roman"/>
          <w:sz w:val="20"/>
          <w:szCs w:val="20"/>
        </w:rPr>
        <w:t> Coagulase-negative </w:t>
      </w:r>
      <w:r w:rsidRPr="00A26B4A">
        <w:rPr>
          <w:rFonts w:ascii="Times New Roman" w:eastAsia="Times New Roman" w:hAnsi="Times New Roman" w:cs="Times New Roman"/>
          <w:i/>
          <w:iCs/>
          <w:sz w:val="20"/>
          <w:szCs w:val="20"/>
        </w:rPr>
        <w:t>Staphylococci</w:t>
      </w:r>
      <w:r w:rsidRPr="00A26B4A">
        <w:rPr>
          <w:rFonts w:ascii="Times New Roman" w:eastAsia="Times New Roman" w:hAnsi="Times New Roman" w:cs="Times New Roman"/>
          <w:sz w:val="20"/>
          <w:szCs w:val="20"/>
        </w:rPr>
        <w:t>,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gene, </w:t>
      </w:r>
      <w:proofErr w:type="spellStart"/>
      <w:r w:rsidRPr="00A26B4A">
        <w:rPr>
          <w:rFonts w:ascii="Times New Roman" w:eastAsia="Times New Roman" w:hAnsi="Times New Roman" w:cs="Times New Roman"/>
          <w:i/>
          <w:iCs/>
          <w:sz w:val="20"/>
          <w:szCs w:val="20"/>
        </w:rPr>
        <w:t>Telfairia</w:t>
      </w:r>
      <w:proofErr w:type="spellEnd"/>
      <w:r w:rsidRPr="00A26B4A">
        <w:rPr>
          <w:rFonts w:ascii="Times New Roman" w:eastAsia="Times New Roman" w:hAnsi="Times New Roman" w:cs="Times New Roman"/>
          <w:i/>
          <w:iCs/>
          <w:sz w:val="20"/>
          <w:szCs w:val="20"/>
        </w:rPr>
        <w:t xml:space="preserve"> </w:t>
      </w:r>
      <w:proofErr w:type="spellStart"/>
      <w:r w:rsidRPr="00A26B4A">
        <w:rPr>
          <w:rFonts w:ascii="Times New Roman" w:eastAsia="Times New Roman" w:hAnsi="Times New Roman" w:cs="Times New Roman"/>
          <w:i/>
          <w:iCs/>
          <w:sz w:val="20"/>
          <w:szCs w:val="20"/>
        </w:rPr>
        <w:t>occidentalis</w:t>
      </w:r>
      <w:proofErr w:type="spellEnd"/>
      <w:r w:rsidRPr="00A26B4A">
        <w:rPr>
          <w:rFonts w:ascii="Times New Roman" w:eastAsia="Times New Roman" w:hAnsi="Times New Roman" w:cs="Times New Roman"/>
          <w:sz w:val="20"/>
          <w:szCs w:val="20"/>
        </w:rPr>
        <w:t>, antibiotic resistance, food safety, Nigeria</w:t>
      </w:r>
    </w:p>
    <w:p w14:paraId="2FFFFFE5" w14:textId="77777777" w:rsidR="00841A13" w:rsidRPr="00A26B4A" w:rsidRDefault="00841A13" w:rsidP="00E43C6C">
      <w:pPr>
        <w:shd w:val="clear" w:color="auto" w:fill="FFFFFF"/>
        <w:spacing w:after="0" w:line="240" w:lineRule="auto"/>
        <w:jc w:val="both"/>
        <w:outlineLvl w:val="1"/>
        <w:rPr>
          <w:rFonts w:ascii="Times New Roman" w:eastAsia="Times New Roman" w:hAnsi="Times New Roman" w:cs="Times New Roman"/>
          <w:b/>
          <w:bCs/>
          <w:sz w:val="20"/>
          <w:szCs w:val="20"/>
        </w:rPr>
      </w:pPr>
      <w:r w:rsidRPr="00A26B4A">
        <w:rPr>
          <w:rFonts w:ascii="Times New Roman" w:eastAsia="Times New Roman" w:hAnsi="Times New Roman" w:cs="Times New Roman"/>
          <w:b/>
          <w:bCs/>
          <w:sz w:val="20"/>
          <w:szCs w:val="20"/>
        </w:rPr>
        <w:t>1. Introduction</w:t>
      </w:r>
    </w:p>
    <w:p w14:paraId="0B08C258" w14:textId="31F01C5A" w:rsidR="00841A13" w:rsidRPr="00A26B4A" w:rsidRDefault="00841A13" w:rsidP="00E43C6C">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Coagulase-negative </w:t>
      </w:r>
      <w:r w:rsidRPr="00A26B4A">
        <w:rPr>
          <w:rFonts w:ascii="Times New Roman" w:eastAsia="Times New Roman" w:hAnsi="Times New Roman" w:cs="Times New Roman"/>
          <w:i/>
          <w:iCs/>
          <w:sz w:val="20"/>
          <w:szCs w:val="20"/>
        </w:rPr>
        <w:t>Staphylococci</w:t>
      </w:r>
      <w:r w:rsidRPr="00A26B4A">
        <w:rPr>
          <w:rFonts w:ascii="Times New Roman" w:eastAsia="Times New Roman" w:hAnsi="Times New Roman" w:cs="Times New Roman"/>
          <w:sz w:val="20"/>
          <w:szCs w:val="20"/>
        </w:rPr>
        <w:t>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represent a heterogeneous group of Gram-positive bacteria that have traditionally been regarded as commensal organisms with limited pathogenic potential (Becker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2014; </w:t>
      </w:r>
      <w:proofErr w:type="spellStart"/>
      <w:r w:rsidRPr="00A26B4A">
        <w:rPr>
          <w:rFonts w:ascii="Times New Roman" w:eastAsia="Times New Roman" w:hAnsi="Times New Roman" w:cs="Times New Roman"/>
          <w:sz w:val="20"/>
          <w:szCs w:val="20"/>
        </w:rPr>
        <w:t>Michalik</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2020). However, over the past four decades,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have emerged as significant opportunistic pathogens, particularly in healthcare settings where they are implicated in device-related infections, bacteremia, and surgical site infections (</w:t>
      </w:r>
      <w:proofErr w:type="spellStart"/>
      <w:r w:rsidRPr="00A26B4A">
        <w:rPr>
          <w:rFonts w:ascii="Times New Roman" w:eastAsia="Times New Roman" w:hAnsi="Times New Roman" w:cs="Times New Roman"/>
          <w:sz w:val="20"/>
          <w:szCs w:val="20"/>
        </w:rPr>
        <w:t>Heilmann</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2019; Becker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2020). The clinical significance of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has been increasingly recognized due to their remarkable ability to acquire and disseminate antimicrobial resistance determinants and virulence factors (</w:t>
      </w:r>
      <w:proofErr w:type="spellStart"/>
      <w:r w:rsidRPr="00A26B4A">
        <w:rPr>
          <w:rFonts w:ascii="Times New Roman" w:eastAsia="Times New Roman" w:hAnsi="Times New Roman" w:cs="Times New Roman"/>
          <w:sz w:val="20"/>
          <w:szCs w:val="20"/>
        </w:rPr>
        <w:t>França</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2021).</w:t>
      </w:r>
    </w:p>
    <w:p w14:paraId="6A146EC0" w14:textId="0A77AA6F" w:rsidR="00841A13" w:rsidRPr="00A26B4A" w:rsidRDefault="00841A13" w:rsidP="00E43C6C">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 xml:space="preserve">Among the virulence factors associated with staphylococcal pathogenicity, the Panton-Valentine </w:t>
      </w:r>
      <w:proofErr w:type="spellStart"/>
      <w:r w:rsidRPr="00A26B4A">
        <w:rPr>
          <w:rFonts w:ascii="Times New Roman" w:eastAsia="Times New Roman" w:hAnsi="Times New Roman" w:cs="Times New Roman"/>
          <w:sz w:val="20"/>
          <w:szCs w:val="20"/>
        </w:rPr>
        <w:t>leukocidin</w:t>
      </w:r>
      <w:proofErr w:type="spellEnd"/>
      <w:r w:rsidRPr="00A26B4A">
        <w:rPr>
          <w:rFonts w:ascii="Times New Roman" w:eastAsia="Times New Roman" w:hAnsi="Times New Roman" w:cs="Times New Roman"/>
          <w:sz w:val="20"/>
          <w:szCs w:val="20"/>
        </w:rPr>
        <w:t xml:space="preserve">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 gene encodes a bicomponent cytotoxin that targets and lyses polymorphonuclear leukocytes, contributing to tissue necrosis and severe clinical manifestations (Shallcross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2013). While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has been extensively characterized in </w:t>
      </w:r>
      <w:r w:rsidRPr="00A26B4A">
        <w:rPr>
          <w:rFonts w:ascii="Times New Roman" w:eastAsia="Times New Roman" w:hAnsi="Times New Roman" w:cs="Times New Roman"/>
          <w:i/>
          <w:iCs/>
          <w:sz w:val="20"/>
          <w:szCs w:val="20"/>
        </w:rPr>
        <w:t>Staphylococcus aureus</w:t>
      </w:r>
      <w:r w:rsidRPr="00A26B4A">
        <w:rPr>
          <w:rFonts w:ascii="Times New Roman" w:eastAsia="Times New Roman" w:hAnsi="Times New Roman" w:cs="Times New Roman"/>
          <w:sz w:val="20"/>
          <w:szCs w:val="20"/>
        </w:rPr>
        <w:t xml:space="preserve">, particularly in community-acquired methicillin-resistant strains, its presence in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has received considerably less attention (</w:t>
      </w:r>
      <w:proofErr w:type="spellStart"/>
      <w:r w:rsidRPr="00A26B4A">
        <w:rPr>
          <w:rFonts w:ascii="Times New Roman" w:eastAsia="Times New Roman" w:hAnsi="Times New Roman" w:cs="Times New Roman"/>
          <w:sz w:val="20"/>
          <w:szCs w:val="20"/>
        </w:rPr>
        <w:t>Seker</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2023). Recent studies have documented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 carriage in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isolated from various sources, including bovine mastitis, swine farm environments, and clinical specimens, suggesting a broader distribution of this virulence determinant than previously appreciated (Ruiz-</w:t>
      </w:r>
      <w:proofErr w:type="spellStart"/>
      <w:r w:rsidRPr="00A26B4A">
        <w:rPr>
          <w:rFonts w:ascii="Times New Roman" w:eastAsia="Times New Roman" w:hAnsi="Times New Roman" w:cs="Times New Roman"/>
          <w:sz w:val="20"/>
          <w:szCs w:val="20"/>
        </w:rPr>
        <w:t>Ripa</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2020; </w:t>
      </w:r>
      <w:proofErr w:type="spellStart"/>
      <w:r w:rsidRPr="00A26B4A">
        <w:rPr>
          <w:rFonts w:ascii="Times New Roman" w:eastAsia="Times New Roman" w:hAnsi="Times New Roman" w:cs="Times New Roman"/>
          <w:sz w:val="20"/>
          <w:szCs w:val="20"/>
        </w:rPr>
        <w:t>Seker</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2023).</w:t>
      </w:r>
    </w:p>
    <w:p w14:paraId="2CE9B237" w14:textId="485D6C94" w:rsidR="00841A13" w:rsidRPr="00A26B4A" w:rsidRDefault="00841A13" w:rsidP="00E43C6C">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The foodborne transmission of staphylococci represents a significant public health concern globally. Fresh vegetables, particularly those consumed raw, can serve as vehicles for the transmission of pathogenic bacteria, including antibiotic-resistant staphylococci (Avila-</w:t>
      </w:r>
      <w:proofErr w:type="spellStart"/>
      <w:r w:rsidRPr="00A26B4A">
        <w:rPr>
          <w:rFonts w:ascii="Times New Roman" w:eastAsia="Times New Roman" w:hAnsi="Times New Roman" w:cs="Times New Roman"/>
          <w:sz w:val="20"/>
          <w:szCs w:val="20"/>
        </w:rPr>
        <w:t>Novoa</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2018; Chen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2020</w:t>
      </w:r>
      <w:r w:rsidR="008A288C" w:rsidRPr="00A26B4A">
        <w:rPr>
          <w:rFonts w:ascii="Times New Roman" w:eastAsia="Times New Roman" w:hAnsi="Times New Roman" w:cs="Times New Roman"/>
          <w:sz w:val="20"/>
          <w:szCs w:val="20"/>
        </w:rPr>
        <w:t xml:space="preserve">; </w:t>
      </w:r>
      <w:proofErr w:type="spellStart"/>
      <w:r w:rsidR="008A288C" w:rsidRPr="00A26B4A">
        <w:rPr>
          <w:rFonts w:ascii="Times New Roman" w:eastAsia="Times New Roman" w:hAnsi="Times New Roman" w:cs="Times New Roman"/>
          <w:sz w:val="20"/>
          <w:szCs w:val="20"/>
        </w:rPr>
        <w:t>Nomeh</w:t>
      </w:r>
      <w:proofErr w:type="spellEnd"/>
      <w:r w:rsidR="008A288C"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008A288C" w:rsidRPr="00A26B4A">
        <w:rPr>
          <w:rFonts w:ascii="Times New Roman" w:eastAsia="Times New Roman" w:hAnsi="Times New Roman" w:cs="Times New Roman"/>
          <w:i/>
          <w:sz w:val="20"/>
          <w:szCs w:val="20"/>
        </w:rPr>
        <w:t>.,</w:t>
      </w:r>
      <w:r w:rsidR="008A288C" w:rsidRPr="00A26B4A">
        <w:rPr>
          <w:rFonts w:ascii="Times New Roman" w:eastAsia="Times New Roman" w:hAnsi="Times New Roman" w:cs="Times New Roman"/>
          <w:sz w:val="20"/>
          <w:szCs w:val="20"/>
        </w:rPr>
        <w:t xml:space="preserve"> 2025</w:t>
      </w:r>
      <w:r w:rsidRPr="00A26B4A">
        <w:rPr>
          <w:rFonts w:ascii="Times New Roman" w:eastAsia="Times New Roman" w:hAnsi="Times New Roman" w:cs="Times New Roman"/>
          <w:sz w:val="20"/>
          <w:szCs w:val="20"/>
        </w:rPr>
        <w:t>). </w:t>
      </w:r>
      <w:proofErr w:type="spellStart"/>
      <w:r w:rsidRPr="00B05420">
        <w:rPr>
          <w:rFonts w:ascii="Times New Roman" w:eastAsia="Times New Roman" w:hAnsi="Times New Roman" w:cs="Times New Roman"/>
          <w:i/>
          <w:iCs/>
          <w:sz w:val="20"/>
          <w:szCs w:val="20"/>
          <w:highlight w:val="yellow"/>
        </w:rPr>
        <w:t>Telfairia</w:t>
      </w:r>
      <w:proofErr w:type="spellEnd"/>
      <w:r w:rsidRPr="00B05420">
        <w:rPr>
          <w:rFonts w:ascii="Times New Roman" w:eastAsia="Times New Roman" w:hAnsi="Times New Roman" w:cs="Times New Roman"/>
          <w:i/>
          <w:iCs/>
          <w:sz w:val="20"/>
          <w:szCs w:val="20"/>
          <w:highlight w:val="yellow"/>
        </w:rPr>
        <w:t xml:space="preserve"> </w:t>
      </w:r>
      <w:proofErr w:type="spellStart"/>
      <w:r w:rsidRPr="00B05420">
        <w:rPr>
          <w:rFonts w:ascii="Times New Roman" w:eastAsia="Times New Roman" w:hAnsi="Times New Roman" w:cs="Times New Roman"/>
          <w:i/>
          <w:iCs/>
          <w:sz w:val="20"/>
          <w:szCs w:val="20"/>
          <w:highlight w:val="yellow"/>
        </w:rPr>
        <w:lastRenderedPageBreak/>
        <w:t>occidentalis</w:t>
      </w:r>
      <w:proofErr w:type="spellEnd"/>
      <w:r w:rsidRPr="00B05420">
        <w:rPr>
          <w:rFonts w:ascii="Times New Roman" w:eastAsia="Times New Roman" w:hAnsi="Times New Roman" w:cs="Times New Roman"/>
          <w:sz w:val="20"/>
          <w:szCs w:val="20"/>
          <w:highlight w:val="yellow"/>
        </w:rPr>
        <w:t>, commonly known as fluted pumpkin or "</w:t>
      </w:r>
      <w:proofErr w:type="spellStart"/>
      <w:r w:rsidRPr="00B05420">
        <w:rPr>
          <w:rFonts w:ascii="Times New Roman" w:eastAsia="Times New Roman" w:hAnsi="Times New Roman" w:cs="Times New Roman"/>
          <w:sz w:val="20"/>
          <w:szCs w:val="20"/>
          <w:highlight w:val="yellow"/>
        </w:rPr>
        <w:t>Ugwu</w:t>
      </w:r>
      <w:proofErr w:type="spellEnd"/>
      <w:r w:rsidRPr="00B05420">
        <w:rPr>
          <w:rFonts w:ascii="Times New Roman" w:eastAsia="Times New Roman" w:hAnsi="Times New Roman" w:cs="Times New Roman"/>
          <w:sz w:val="20"/>
          <w:szCs w:val="20"/>
          <w:highlight w:val="yellow"/>
        </w:rPr>
        <w:t>" in Nigeria</w:t>
      </w:r>
      <w:r w:rsidR="00897F92" w:rsidRPr="00B05420">
        <w:rPr>
          <w:rFonts w:ascii="Times New Roman" w:eastAsia="Times New Roman" w:hAnsi="Times New Roman" w:cs="Times New Roman"/>
          <w:sz w:val="20"/>
          <w:szCs w:val="20"/>
          <w:highlight w:val="yellow"/>
        </w:rPr>
        <w:t xml:space="preserve"> (</w:t>
      </w:r>
      <w:proofErr w:type="spellStart"/>
      <w:r w:rsidR="00897F92" w:rsidRPr="00B05420">
        <w:rPr>
          <w:rFonts w:ascii="Times New Roman" w:eastAsia="Times New Roman" w:hAnsi="Times New Roman" w:cs="Times New Roman"/>
          <w:sz w:val="20"/>
          <w:szCs w:val="20"/>
          <w:highlight w:val="yellow"/>
        </w:rPr>
        <w:t>Nomeh</w:t>
      </w:r>
      <w:proofErr w:type="spellEnd"/>
      <w:r w:rsidR="00897F92" w:rsidRPr="00B05420">
        <w:rPr>
          <w:rFonts w:ascii="Times New Roman" w:eastAsia="Times New Roman" w:hAnsi="Times New Roman" w:cs="Times New Roman"/>
          <w:sz w:val="20"/>
          <w:szCs w:val="20"/>
          <w:highlight w:val="yellow"/>
        </w:rPr>
        <w:t xml:space="preserve"> </w:t>
      </w:r>
      <w:r w:rsidR="00FA074B" w:rsidRPr="00FA074B">
        <w:rPr>
          <w:rFonts w:ascii="Times New Roman" w:eastAsia="Times New Roman" w:hAnsi="Times New Roman" w:cs="Times New Roman"/>
          <w:i/>
          <w:sz w:val="20"/>
          <w:szCs w:val="20"/>
          <w:highlight w:val="yellow"/>
        </w:rPr>
        <w:t>et al</w:t>
      </w:r>
      <w:r w:rsidR="00897F92" w:rsidRPr="00B05420">
        <w:rPr>
          <w:rFonts w:ascii="Times New Roman" w:eastAsia="Times New Roman" w:hAnsi="Times New Roman" w:cs="Times New Roman"/>
          <w:i/>
          <w:sz w:val="20"/>
          <w:szCs w:val="20"/>
          <w:highlight w:val="yellow"/>
        </w:rPr>
        <w:t>.,</w:t>
      </w:r>
      <w:r w:rsidR="00897F92" w:rsidRPr="00B05420">
        <w:rPr>
          <w:rFonts w:ascii="Times New Roman" w:eastAsia="Times New Roman" w:hAnsi="Times New Roman" w:cs="Times New Roman"/>
          <w:sz w:val="20"/>
          <w:szCs w:val="20"/>
          <w:highlight w:val="yellow"/>
        </w:rPr>
        <w:t xml:space="preserve"> 2025</w:t>
      </w:r>
      <w:r w:rsidR="00BD0107" w:rsidRPr="00B05420">
        <w:rPr>
          <w:rFonts w:ascii="Times New Roman" w:eastAsia="Times New Roman" w:hAnsi="Times New Roman" w:cs="Times New Roman"/>
          <w:sz w:val="20"/>
          <w:szCs w:val="20"/>
          <w:highlight w:val="yellow"/>
        </w:rPr>
        <w:t xml:space="preserve">; Ali </w:t>
      </w:r>
      <w:r w:rsidR="00FA074B" w:rsidRPr="00FA074B">
        <w:rPr>
          <w:rFonts w:ascii="Times New Roman" w:eastAsia="Times New Roman" w:hAnsi="Times New Roman" w:cs="Times New Roman"/>
          <w:i/>
          <w:sz w:val="20"/>
          <w:szCs w:val="20"/>
          <w:highlight w:val="yellow"/>
        </w:rPr>
        <w:t>et al</w:t>
      </w:r>
      <w:r w:rsidR="00BD0107" w:rsidRPr="00B05420">
        <w:rPr>
          <w:rFonts w:ascii="Times New Roman" w:eastAsia="Times New Roman" w:hAnsi="Times New Roman" w:cs="Times New Roman"/>
          <w:i/>
          <w:sz w:val="20"/>
          <w:szCs w:val="20"/>
          <w:highlight w:val="yellow"/>
        </w:rPr>
        <w:t>.,</w:t>
      </w:r>
      <w:r w:rsidR="00BD0107" w:rsidRPr="00B05420">
        <w:rPr>
          <w:rFonts w:ascii="Times New Roman" w:eastAsia="Times New Roman" w:hAnsi="Times New Roman" w:cs="Times New Roman"/>
          <w:sz w:val="20"/>
          <w:szCs w:val="20"/>
          <w:highlight w:val="yellow"/>
        </w:rPr>
        <w:t xml:space="preserve"> 202</w:t>
      </w:r>
      <w:r w:rsidR="001D5807" w:rsidRPr="00B05420">
        <w:rPr>
          <w:rFonts w:ascii="Times New Roman" w:eastAsia="Times New Roman" w:hAnsi="Times New Roman" w:cs="Times New Roman"/>
          <w:sz w:val="20"/>
          <w:szCs w:val="20"/>
          <w:highlight w:val="yellow"/>
        </w:rPr>
        <w:t>4</w:t>
      </w:r>
      <w:r w:rsidR="00897F92" w:rsidRPr="00B05420">
        <w:rPr>
          <w:rFonts w:ascii="Times New Roman" w:eastAsia="Times New Roman" w:hAnsi="Times New Roman" w:cs="Times New Roman"/>
          <w:sz w:val="20"/>
          <w:szCs w:val="20"/>
          <w:highlight w:val="yellow"/>
        </w:rPr>
        <w:t>)</w:t>
      </w:r>
      <w:r w:rsidRPr="00B05420">
        <w:rPr>
          <w:rFonts w:ascii="Times New Roman" w:eastAsia="Times New Roman" w:hAnsi="Times New Roman" w:cs="Times New Roman"/>
          <w:sz w:val="20"/>
          <w:szCs w:val="20"/>
          <w:highlight w:val="yellow"/>
        </w:rPr>
        <w:t>, is a widely consumed leafy vegetable that features prominently in traditional cuisine across West Africa</w:t>
      </w:r>
      <w:r w:rsidR="00BD0107" w:rsidRPr="00B05420">
        <w:rPr>
          <w:rFonts w:ascii="Times New Roman" w:eastAsia="Times New Roman" w:hAnsi="Times New Roman" w:cs="Times New Roman"/>
          <w:sz w:val="20"/>
          <w:szCs w:val="20"/>
          <w:highlight w:val="yellow"/>
        </w:rPr>
        <w:t xml:space="preserve"> (Ali </w:t>
      </w:r>
      <w:r w:rsidR="00FA074B" w:rsidRPr="00FA074B">
        <w:rPr>
          <w:rFonts w:ascii="Times New Roman" w:eastAsia="Times New Roman" w:hAnsi="Times New Roman" w:cs="Times New Roman"/>
          <w:i/>
          <w:sz w:val="20"/>
          <w:szCs w:val="20"/>
          <w:highlight w:val="yellow"/>
        </w:rPr>
        <w:t>et al</w:t>
      </w:r>
      <w:r w:rsidR="00BD0107" w:rsidRPr="00B05420">
        <w:rPr>
          <w:rFonts w:ascii="Times New Roman" w:eastAsia="Times New Roman" w:hAnsi="Times New Roman" w:cs="Times New Roman"/>
          <w:i/>
          <w:sz w:val="20"/>
          <w:szCs w:val="20"/>
          <w:highlight w:val="yellow"/>
        </w:rPr>
        <w:t>.,</w:t>
      </w:r>
      <w:r w:rsidR="00BD0107" w:rsidRPr="00B05420">
        <w:rPr>
          <w:rFonts w:ascii="Times New Roman" w:eastAsia="Times New Roman" w:hAnsi="Times New Roman" w:cs="Times New Roman"/>
          <w:sz w:val="20"/>
          <w:szCs w:val="20"/>
          <w:highlight w:val="yellow"/>
        </w:rPr>
        <w:t xml:space="preserve"> 202</w:t>
      </w:r>
      <w:r w:rsidR="001D5807" w:rsidRPr="00B05420">
        <w:rPr>
          <w:rFonts w:ascii="Times New Roman" w:eastAsia="Times New Roman" w:hAnsi="Times New Roman" w:cs="Times New Roman"/>
          <w:sz w:val="20"/>
          <w:szCs w:val="20"/>
          <w:highlight w:val="yellow"/>
        </w:rPr>
        <w:t>4</w:t>
      </w:r>
      <w:r w:rsidR="00BD0107" w:rsidRPr="00B05420">
        <w:rPr>
          <w:rFonts w:ascii="Times New Roman" w:eastAsia="Times New Roman" w:hAnsi="Times New Roman" w:cs="Times New Roman"/>
          <w:sz w:val="20"/>
          <w:szCs w:val="20"/>
          <w:highlight w:val="yellow"/>
        </w:rPr>
        <w:t>)</w:t>
      </w:r>
      <w:r w:rsidRPr="00B05420">
        <w:rPr>
          <w:rFonts w:ascii="Times New Roman" w:eastAsia="Times New Roman" w:hAnsi="Times New Roman" w:cs="Times New Roman"/>
          <w:sz w:val="20"/>
          <w:szCs w:val="20"/>
          <w:highlight w:val="yellow"/>
        </w:rPr>
        <w:t>.</w:t>
      </w:r>
      <w:r w:rsidRPr="00A26B4A">
        <w:rPr>
          <w:rFonts w:ascii="Times New Roman" w:eastAsia="Times New Roman" w:hAnsi="Times New Roman" w:cs="Times New Roman"/>
          <w:sz w:val="20"/>
          <w:szCs w:val="20"/>
        </w:rPr>
        <w:t xml:space="preserve"> The cultivation, handling, and marketing practices associated with fresh vegetables in many developing countries, including Nigeria, create opportunities for microbial contamination from environmental, animal, and human sources (Oladipo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2019).</w:t>
      </w:r>
    </w:p>
    <w:p w14:paraId="1C66A221" w14:textId="0CCE61BA" w:rsidR="00841A13" w:rsidRPr="00A26B4A" w:rsidRDefault="00841A13" w:rsidP="00F912C3">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In Nigeria, antimicrobial resistance surveillance has predominantly focused on clinical isolates</w:t>
      </w:r>
      <w:r w:rsidR="007A649C" w:rsidRPr="00A26B4A">
        <w:rPr>
          <w:rFonts w:ascii="Times New Roman" w:eastAsia="Times New Roman" w:hAnsi="Times New Roman" w:cs="Times New Roman"/>
          <w:sz w:val="20"/>
          <w:szCs w:val="20"/>
        </w:rPr>
        <w:t xml:space="preserve"> (</w:t>
      </w:r>
      <w:r w:rsidR="00053D01" w:rsidRPr="00A26B4A">
        <w:rPr>
          <w:rFonts w:ascii="Times New Roman" w:eastAsia="Times New Roman" w:hAnsi="Times New Roman" w:cs="Times New Roman"/>
          <w:sz w:val="20"/>
          <w:szCs w:val="20"/>
        </w:rPr>
        <w:t xml:space="preserve">Peter </w:t>
      </w:r>
      <w:r w:rsidR="00FA074B" w:rsidRPr="00FA074B">
        <w:rPr>
          <w:rFonts w:ascii="Times New Roman" w:eastAsia="Times New Roman" w:hAnsi="Times New Roman" w:cs="Times New Roman"/>
          <w:i/>
          <w:sz w:val="20"/>
          <w:szCs w:val="20"/>
        </w:rPr>
        <w:t>et al</w:t>
      </w:r>
      <w:r w:rsidR="00053D01" w:rsidRPr="00A26B4A">
        <w:rPr>
          <w:rFonts w:ascii="Times New Roman" w:eastAsia="Times New Roman" w:hAnsi="Times New Roman" w:cs="Times New Roman"/>
          <w:i/>
          <w:sz w:val="20"/>
          <w:szCs w:val="20"/>
        </w:rPr>
        <w:t>.,</w:t>
      </w:r>
      <w:r w:rsidR="00053D01" w:rsidRPr="00A26B4A">
        <w:rPr>
          <w:rFonts w:ascii="Times New Roman" w:eastAsia="Times New Roman" w:hAnsi="Times New Roman" w:cs="Times New Roman"/>
          <w:sz w:val="20"/>
          <w:szCs w:val="20"/>
        </w:rPr>
        <w:t xml:space="preserve"> 2025; </w:t>
      </w:r>
      <w:proofErr w:type="spellStart"/>
      <w:r w:rsidR="007A649C" w:rsidRPr="00A26B4A">
        <w:rPr>
          <w:rStyle w:val="Strong"/>
          <w:rFonts w:ascii="Times New Roman" w:hAnsi="Times New Roman" w:cs="Times New Roman"/>
          <w:b w:val="0"/>
          <w:sz w:val="20"/>
          <w:szCs w:val="20"/>
        </w:rPr>
        <w:t>Agwu</w:t>
      </w:r>
      <w:proofErr w:type="spellEnd"/>
      <w:r w:rsidR="007A649C" w:rsidRPr="00A26B4A">
        <w:rPr>
          <w:rStyle w:val="Strong"/>
          <w:rFonts w:ascii="Times New Roman" w:hAnsi="Times New Roman" w:cs="Times New Roman"/>
          <w:b w:val="0"/>
          <w:sz w:val="20"/>
          <w:szCs w:val="20"/>
        </w:rPr>
        <w:t xml:space="preserve"> </w:t>
      </w:r>
      <w:r w:rsidR="00FA074B" w:rsidRPr="00FA074B">
        <w:rPr>
          <w:rStyle w:val="Strong"/>
          <w:rFonts w:ascii="Times New Roman" w:hAnsi="Times New Roman" w:cs="Times New Roman"/>
          <w:b w:val="0"/>
          <w:i/>
          <w:sz w:val="20"/>
          <w:szCs w:val="20"/>
        </w:rPr>
        <w:t>et al</w:t>
      </w:r>
      <w:r w:rsidR="007A649C" w:rsidRPr="00A26B4A">
        <w:rPr>
          <w:rStyle w:val="Strong"/>
          <w:rFonts w:ascii="Times New Roman" w:hAnsi="Times New Roman" w:cs="Times New Roman"/>
          <w:b w:val="0"/>
          <w:i/>
          <w:sz w:val="20"/>
          <w:szCs w:val="20"/>
        </w:rPr>
        <w:t>.,</w:t>
      </w:r>
      <w:r w:rsidR="007A649C" w:rsidRPr="00A26B4A">
        <w:rPr>
          <w:rStyle w:val="Strong"/>
          <w:rFonts w:ascii="Times New Roman" w:hAnsi="Times New Roman" w:cs="Times New Roman"/>
          <w:b w:val="0"/>
          <w:sz w:val="20"/>
          <w:szCs w:val="20"/>
        </w:rPr>
        <w:t xml:space="preserve"> 2026a</w:t>
      </w:r>
      <w:r w:rsidRPr="00A26B4A">
        <w:rPr>
          <w:rFonts w:ascii="Times New Roman" w:eastAsia="Times New Roman" w:hAnsi="Times New Roman" w:cs="Times New Roman"/>
          <w:sz w:val="20"/>
          <w:szCs w:val="20"/>
        </w:rPr>
        <w:t xml:space="preserve">, </w:t>
      </w:r>
      <w:proofErr w:type="spellStart"/>
      <w:r w:rsidR="007A649C" w:rsidRPr="00A26B4A">
        <w:rPr>
          <w:rStyle w:val="Strong"/>
          <w:rFonts w:ascii="Times New Roman" w:hAnsi="Times New Roman" w:cs="Times New Roman"/>
          <w:b w:val="0"/>
          <w:sz w:val="20"/>
          <w:szCs w:val="20"/>
        </w:rPr>
        <w:t>Agwu</w:t>
      </w:r>
      <w:proofErr w:type="spellEnd"/>
      <w:r w:rsidR="007A649C" w:rsidRPr="00A26B4A">
        <w:rPr>
          <w:rStyle w:val="Strong"/>
          <w:rFonts w:ascii="Times New Roman" w:hAnsi="Times New Roman" w:cs="Times New Roman"/>
          <w:b w:val="0"/>
          <w:sz w:val="20"/>
          <w:szCs w:val="20"/>
        </w:rPr>
        <w:t xml:space="preserve"> </w:t>
      </w:r>
      <w:r w:rsidR="00FA074B" w:rsidRPr="00FA074B">
        <w:rPr>
          <w:rStyle w:val="Strong"/>
          <w:rFonts w:ascii="Times New Roman" w:hAnsi="Times New Roman" w:cs="Times New Roman"/>
          <w:b w:val="0"/>
          <w:i/>
          <w:sz w:val="20"/>
          <w:szCs w:val="20"/>
        </w:rPr>
        <w:t>et al</w:t>
      </w:r>
      <w:r w:rsidR="007A649C" w:rsidRPr="00A26B4A">
        <w:rPr>
          <w:rStyle w:val="Strong"/>
          <w:rFonts w:ascii="Times New Roman" w:hAnsi="Times New Roman" w:cs="Times New Roman"/>
          <w:b w:val="0"/>
          <w:i/>
          <w:sz w:val="20"/>
          <w:szCs w:val="20"/>
        </w:rPr>
        <w:t>.,</w:t>
      </w:r>
      <w:r w:rsidR="007A649C" w:rsidRPr="00A26B4A">
        <w:rPr>
          <w:rStyle w:val="Strong"/>
          <w:rFonts w:ascii="Times New Roman" w:hAnsi="Times New Roman" w:cs="Times New Roman"/>
          <w:b w:val="0"/>
          <w:sz w:val="20"/>
          <w:szCs w:val="20"/>
        </w:rPr>
        <w:t xml:space="preserve"> 2026b; </w:t>
      </w:r>
      <w:proofErr w:type="spellStart"/>
      <w:r w:rsidR="007A649C" w:rsidRPr="00A26B4A">
        <w:rPr>
          <w:rStyle w:val="Strong"/>
          <w:rFonts w:ascii="Times New Roman" w:hAnsi="Times New Roman" w:cs="Times New Roman"/>
          <w:b w:val="0"/>
          <w:sz w:val="20"/>
          <w:szCs w:val="20"/>
        </w:rPr>
        <w:t>Ebenyi</w:t>
      </w:r>
      <w:proofErr w:type="spellEnd"/>
      <w:r w:rsidR="007A649C" w:rsidRPr="00A26B4A">
        <w:rPr>
          <w:rStyle w:val="Strong"/>
          <w:rFonts w:ascii="Times New Roman" w:hAnsi="Times New Roman" w:cs="Times New Roman"/>
          <w:b w:val="0"/>
          <w:sz w:val="20"/>
          <w:szCs w:val="20"/>
        </w:rPr>
        <w:t xml:space="preserve"> </w:t>
      </w:r>
      <w:r w:rsidR="00FA074B" w:rsidRPr="00FA074B">
        <w:rPr>
          <w:rStyle w:val="Strong"/>
          <w:rFonts w:ascii="Times New Roman" w:hAnsi="Times New Roman" w:cs="Times New Roman"/>
          <w:b w:val="0"/>
          <w:i/>
          <w:sz w:val="20"/>
          <w:szCs w:val="20"/>
        </w:rPr>
        <w:t>et al</w:t>
      </w:r>
      <w:r w:rsidR="007A649C" w:rsidRPr="00A26B4A">
        <w:rPr>
          <w:rStyle w:val="Strong"/>
          <w:rFonts w:ascii="Times New Roman" w:hAnsi="Times New Roman" w:cs="Times New Roman"/>
          <w:b w:val="0"/>
          <w:i/>
          <w:sz w:val="20"/>
          <w:szCs w:val="20"/>
        </w:rPr>
        <w:t>.,</w:t>
      </w:r>
      <w:r w:rsidR="007A649C" w:rsidRPr="00A26B4A">
        <w:rPr>
          <w:rStyle w:val="Strong"/>
          <w:rFonts w:ascii="Times New Roman" w:hAnsi="Times New Roman" w:cs="Times New Roman"/>
          <w:b w:val="0"/>
          <w:sz w:val="20"/>
          <w:szCs w:val="20"/>
        </w:rPr>
        <w:t xml:space="preserve"> 2026a; </w:t>
      </w:r>
      <w:proofErr w:type="spellStart"/>
      <w:r w:rsidR="007A649C" w:rsidRPr="00A26B4A">
        <w:rPr>
          <w:rStyle w:val="Strong"/>
          <w:rFonts w:ascii="Times New Roman" w:hAnsi="Times New Roman" w:cs="Times New Roman"/>
          <w:b w:val="0"/>
          <w:sz w:val="20"/>
          <w:szCs w:val="20"/>
        </w:rPr>
        <w:t>Ebenyi</w:t>
      </w:r>
      <w:proofErr w:type="spellEnd"/>
      <w:r w:rsidR="007A649C" w:rsidRPr="00A26B4A">
        <w:rPr>
          <w:rStyle w:val="Strong"/>
          <w:rFonts w:ascii="Times New Roman" w:hAnsi="Times New Roman" w:cs="Times New Roman"/>
          <w:b w:val="0"/>
          <w:sz w:val="20"/>
          <w:szCs w:val="20"/>
        </w:rPr>
        <w:t xml:space="preserve"> </w:t>
      </w:r>
      <w:r w:rsidR="00FA074B" w:rsidRPr="00FA074B">
        <w:rPr>
          <w:rStyle w:val="Strong"/>
          <w:rFonts w:ascii="Times New Roman" w:hAnsi="Times New Roman" w:cs="Times New Roman"/>
          <w:b w:val="0"/>
          <w:i/>
          <w:sz w:val="20"/>
          <w:szCs w:val="20"/>
        </w:rPr>
        <w:t>et al</w:t>
      </w:r>
      <w:r w:rsidR="007A649C" w:rsidRPr="00A26B4A">
        <w:rPr>
          <w:rStyle w:val="Strong"/>
          <w:rFonts w:ascii="Times New Roman" w:hAnsi="Times New Roman" w:cs="Times New Roman"/>
          <w:b w:val="0"/>
          <w:i/>
          <w:sz w:val="20"/>
          <w:szCs w:val="20"/>
        </w:rPr>
        <w:t>.,</w:t>
      </w:r>
      <w:r w:rsidR="007A649C" w:rsidRPr="00A26B4A">
        <w:rPr>
          <w:rStyle w:val="Strong"/>
          <w:rFonts w:ascii="Times New Roman" w:hAnsi="Times New Roman" w:cs="Times New Roman"/>
          <w:b w:val="0"/>
          <w:sz w:val="20"/>
          <w:szCs w:val="20"/>
        </w:rPr>
        <w:t xml:space="preserve"> 2026b)</w:t>
      </w:r>
      <w:r w:rsidR="00F912C3" w:rsidRPr="00A26B4A">
        <w:rPr>
          <w:rStyle w:val="Strong"/>
          <w:rFonts w:ascii="Times New Roman" w:hAnsi="Times New Roman" w:cs="Times New Roman"/>
          <w:b w:val="0"/>
          <w:sz w:val="20"/>
          <w:szCs w:val="20"/>
        </w:rPr>
        <w:t xml:space="preserve">, </w:t>
      </w:r>
      <w:r w:rsidRPr="00A26B4A">
        <w:rPr>
          <w:rFonts w:ascii="Times New Roman" w:eastAsia="Times New Roman" w:hAnsi="Times New Roman" w:cs="Times New Roman"/>
          <w:sz w:val="20"/>
          <w:szCs w:val="20"/>
        </w:rPr>
        <w:t>with limited attention to foodborne and environmental reservoirs of resistant pathogens</w:t>
      </w:r>
      <w:r w:rsidR="004971A2" w:rsidRPr="00A26B4A">
        <w:rPr>
          <w:rFonts w:ascii="Times New Roman" w:eastAsia="Times New Roman" w:hAnsi="Times New Roman" w:cs="Times New Roman"/>
          <w:sz w:val="20"/>
          <w:szCs w:val="20"/>
        </w:rPr>
        <w:t xml:space="preserve"> (</w:t>
      </w:r>
      <w:proofErr w:type="spellStart"/>
      <w:r w:rsidR="004971A2" w:rsidRPr="00A26B4A">
        <w:rPr>
          <w:rStyle w:val="Strong"/>
          <w:rFonts w:ascii="Times New Roman" w:hAnsi="Times New Roman" w:cs="Times New Roman"/>
          <w:b w:val="0"/>
          <w:sz w:val="20"/>
          <w:szCs w:val="20"/>
        </w:rPr>
        <w:t>Udu-Ibiam</w:t>
      </w:r>
      <w:proofErr w:type="spellEnd"/>
      <w:r w:rsidR="004971A2" w:rsidRPr="00A26B4A">
        <w:rPr>
          <w:rStyle w:val="Strong"/>
          <w:rFonts w:ascii="Times New Roman" w:hAnsi="Times New Roman" w:cs="Times New Roman"/>
          <w:b w:val="0"/>
          <w:sz w:val="20"/>
          <w:szCs w:val="20"/>
        </w:rPr>
        <w:t xml:space="preserve"> </w:t>
      </w:r>
      <w:r w:rsidR="00FA074B" w:rsidRPr="00FA074B">
        <w:rPr>
          <w:rStyle w:val="Strong"/>
          <w:rFonts w:ascii="Times New Roman" w:hAnsi="Times New Roman" w:cs="Times New Roman"/>
          <w:b w:val="0"/>
          <w:i/>
          <w:sz w:val="20"/>
          <w:szCs w:val="20"/>
        </w:rPr>
        <w:t>et al</w:t>
      </w:r>
      <w:r w:rsidR="004971A2" w:rsidRPr="00A26B4A">
        <w:rPr>
          <w:rStyle w:val="Strong"/>
          <w:rFonts w:ascii="Times New Roman" w:hAnsi="Times New Roman" w:cs="Times New Roman"/>
          <w:b w:val="0"/>
          <w:i/>
          <w:sz w:val="20"/>
          <w:szCs w:val="20"/>
        </w:rPr>
        <w:t>.,</w:t>
      </w:r>
      <w:r w:rsidR="004971A2" w:rsidRPr="00A26B4A">
        <w:rPr>
          <w:rStyle w:val="Strong"/>
          <w:rFonts w:ascii="Times New Roman" w:hAnsi="Times New Roman" w:cs="Times New Roman"/>
          <w:b w:val="0"/>
          <w:sz w:val="20"/>
          <w:szCs w:val="20"/>
        </w:rPr>
        <w:t xml:space="preserve"> 2021</w:t>
      </w:r>
      <w:r w:rsidR="00082541" w:rsidRPr="00A26B4A">
        <w:rPr>
          <w:rStyle w:val="Strong"/>
          <w:rFonts w:ascii="Times New Roman" w:hAnsi="Times New Roman" w:cs="Times New Roman"/>
          <w:b w:val="0"/>
          <w:sz w:val="20"/>
          <w:szCs w:val="20"/>
        </w:rPr>
        <w:t xml:space="preserve">; </w:t>
      </w:r>
      <w:proofErr w:type="spellStart"/>
      <w:r w:rsidR="00EA3711" w:rsidRPr="00A26B4A">
        <w:rPr>
          <w:rStyle w:val="Strong"/>
          <w:rFonts w:ascii="Times New Roman" w:hAnsi="Times New Roman" w:cs="Times New Roman"/>
          <w:b w:val="0"/>
          <w:sz w:val="20"/>
          <w:szCs w:val="20"/>
        </w:rPr>
        <w:t>Oke</w:t>
      </w:r>
      <w:proofErr w:type="spellEnd"/>
      <w:r w:rsidR="00EA3711" w:rsidRPr="00A26B4A">
        <w:rPr>
          <w:rStyle w:val="Strong"/>
          <w:rFonts w:ascii="Times New Roman" w:hAnsi="Times New Roman" w:cs="Times New Roman"/>
          <w:b w:val="0"/>
          <w:sz w:val="20"/>
          <w:szCs w:val="20"/>
        </w:rPr>
        <w:t xml:space="preserve"> </w:t>
      </w:r>
      <w:r w:rsidR="00FA074B" w:rsidRPr="00FA074B">
        <w:rPr>
          <w:rStyle w:val="Strong"/>
          <w:rFonts w:ascii="Times New Roman" w:hAnsi="Times New Roman" w:cs="Times New Roman"/>
          <w:b w:val="0"/>
          <w:i/>
          <w:sz w:val="20"/>
          <w:szCs w:val="20"/>
        </w:rPr>
        <w:t>et al</w:t>
      </w:r>
      <w:r w:rsidR="00EA3711" w:rsidRPr="00A26B4A">
        <w:rPr>
          <w:rStyle w:val="Strong"/>
          <w:rFonts w:ascii="Times New Roman" w:hAnsi="Times New Roman" w:cs="Times New Roman"/>
          <w:b w:val="0"/>
          <w:i/>
          <w:sz w:val="20"/>
          <w:szCs w:val="20"/>
        </w:rPr>
        <w:t>.,</w:t>
      </w:r>
      <w:r w:rsidR="00EA3711" w:rsidRPr="00A26B4A">
        <w:rPr>
          <w:rStyle w:val="Strong"/>
          <w:rFonts w:ascii="Times New Roman" w:hAnsi="Times New Roman" w:cs="Times New Roman"/>
          <w:b w:val="0"/>
          <w:sz w:val="20"/>
          <w:szCs w:val="20"/>
        </w:rPr>
        <w:t xml:space="preserve"> 2024a; </w:t>
      </w:r>
      <w:proofErr w:type="spellStart"/>
      <w:r w:rsidR="00EA3711" w:rsidRPr="00A26B4A">
        <w:rPr>
          <w:rStyle w:val="Strong"/>
          <w:rFonts w:ascii="Times New Roman" w:hAnsi="Times New Roman" w:cs="Times New Roman"/>
          <w:b w:val="0"/>
          <w:sz w:val="20"/>
          <w:szCs w:val="20"/>
        </w:rPr>
        <w:t>Oke</w:t>
      </w:r>
      <w:proofErr w:type="spellEnd"/>
      <w:r w:rsidR="00EA3711" w:rsidRPr="00A26B4A">
        <w:rPr>
          <w:rStyle w:val="Strong"/>
          <w:rFonts w:ascii="Times New Roman" w:hAnsi="Times New Roman" w:cs="Times New Roman"/>
          <w:b w:val="0"/>
          <w:sz w:val="20"/>
          <w:szCs w:val="20"/>
        </w:rPr>
        <w:t xml:space="preserve"> </w:t>
      </w:r>
      <w:r w:rsidR="00FA074B" w:rsidRPr="00FA074B">
        <w:rPr>
          <w:rStyle w:val="Strong"/>
          <w:rFonts w:ascii="Times New Roman" w:hAnsi="Times New Roman" w:cs="Times New Roman"/>
          <w:b w:val="0"/>
          <w:i/>
          <w:sz w:val="20"/>
          <w:szCs w:val="20"/>
        </w:rPr>
        <w:t>et al</w:t>
      </w:r>
      <w:r w:rsidR="00EA3711" w:rsidRPr="00A26B4A">
        <w:rPr>
          <w:rStyle w:val="Strong"/>
          <w:rFonts w:ascii="Times New Roman" w:hAnsi="Times New Roman" w:cs="Times New Roman"/>
          <w:b w:val="0"/>
          <w:i/>
          <w:sz w:val="20"/>
          <w:szCs w:val="20"/>
        </w:rPr>
        <w:t>.,</w:t>
      </w:r>
      <w:r w:rsidR="00EA3711" w:rsidRPr="00A26B4A">
        <w:rPr>
          <w:rStyle w:val="Strong"/>
          <w:rFonts w:ascii="Times New Roman" w:hAnsi="Times New Roman" w:cs="Times New Roman"/>
          <w:b w:val="0"/>
          <w:sz w:val="20"/>
          <w:szCs w:val="20"/>
        </w:rPr>
        <w:t xml:space="preserve"> 2024b; </w:t>
      </w:r>
      <w:proofErr w:type="spellStart"/>
      <w:r w:rsidR="00082541" w:rsidRPr="00A26B4A">
        <w:rPr>
          <w:rStyle w:val="Strong"/>
          <w:rFonts w:ascii="Times New Roman" w:hAnsi="Times New Roman" w:cs="Times New Roman"/>
          <w:b w:val="0"/>
          <w:sz w:val="20"/>
          <w:szCs w:val="20"/>
        </w:rPr>
        <w:t>Nomeh</w:t>
      </w:r>
      <w:proofErr w:type="spellEnd"/>
      <w:r w:rsidR="00082541" w:rsidRPr="00A26B4A">
        <w:rPr>
          <w:rStyle w:val="Strong"/>
          <w:rFonts w:ascii="Times New Roman" w:hAnsi="Times New Roman" w:cs="Times New Roman"/>
          <w:b w:val="0"/>
          <w:sz w:val="20"/>
          <w:szCs w:val="20"/>
        </w:rPr>
        <w:t xml:space="preserve"> </w:t>
      </w:r>
      <w:r w:rsidR="00FA074B" w:rsidRPr="00FA074B">
        <w:rPr>
          <w:rStyle w:val="Strong"/>
          <w:rFonts w:ascii="Times New Roman" w:hAnsi="Times New Roman" w:cs="Times New Roman"/>
          <w:b w:val="0"/>
          <w:i/>
          <w:sz w:val="20"/>
          <w:szCs w:val="20"/>
        </w:rPr>
        <w:t>et al</w:t>
      </w:r>
      <w:r w:rsidR="00082541" w:rsidRPr="00A26B4A">
        <w:rPr>
          <w:rStyle w:val="Strong"/>
          <w:rFonts w:ascii="Times New Roman" w:hAnsi="Times New Roman" w:cs="Times New Roman"/>
          <w:b w:val="0"/>
          <w:i/>
          <w:sz w:val="20"/>
          <w:szCs w:val="20"/>
        </w:rPr>
        <w:t>.,</w:t>
      </w:r>
      <w:r w:rsidR="00082541" w:rsidRPr="00A26B4A">
        <w:rPr>
          <w:rStyle w:val="Strong"/>
          <w:rFonts w:ascii="Times New Roman" w:hAnsi="Times New Roman" w:cs="Times New Roman"/>
          <w:b w:val="0"/>
          <w:sz w:val="20"/>
          <w:szCs w:val="20"/>
        </w:rPr>
        <w:t xml:space="preserve"> 2025</w:t>
      </w:r>
      <w:r w:rsidR="004971A2" w:rsidRPr="00A26B4A">
        <w:rPr>
          <w:rStyle w:val="Strong"/>
          <w:rFonts w:ascii="Times New Roman" w:hAnsi="Times New Roman" w:cs="Times New Roman"/>
          <w:b w:val="0"/>
          <w:sz w:val="20"/>
          <w:szCs w:val="20"/>
        </w:rPr>
        <w:t>)</w:t>
      </w:r>
      <w:r w:rsidRPr="00A26B4A">
        <w:rPr>
          <w:rFonts w:ascii="Times New Roman" w:eastAsia="Times New Roman" w:hAnsi="Times New Roman" w:cs="Times New Roman"/>
          <w:sz w:val="20"/>
          <w:szCs w:val="20"/>
        </w:rPr>
        <w:t xml:space="preserve">. The presence of antibiotic-resistant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harboring virulence genes on fresh vegetables represents a potential but underrecognized route for community acquisition of these organisms (</w:t>
      </w:r>
      <w:proofErr w:type="spellStart"/>
      <w:r w:rsidRPr="00A26B4A">
        <w:rPr>
          <w:rFonts w:ascii="Times New Roman" w:eastAsia="Times New Roman" w:hAnsi="Times New Roman" w:cs="Times New Roman"/>
          <w:sz w:val="20"/>
          <w:szCs w:val="20"/>
        </w:rPr>
        <w:t>Igbinosa</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2016</w:t>
      </w:r>
      <w:r w:rsidR="001D0B81" w:rsidRPr="00A26B4A">
        <w:rPr>
          <w:rFonts w:ascii="Times New Roman" w:eastAsia="Times New Roman" w:hAnsi="Times New Roman" w:cs="Times New Roman"/>
          <w:sz w:val="20"/>
          <w:szCs w:val="20"/>
        </w:rPr>
        <w:t xml:space="preserve">; </w:t>
      </w:r>
      <w:proofErr w:type="spellStart"/>
      <w:r w:rsidR="001D0B81" w:rsidRPr="00A26B4A">
        <w:rPr>
          <w:rStyle w:val="Strong"/>
          <w:rFonts w:ascii="Times New Roman" w:hAnsi="Times New Roman" w:cs="Times New Roman"/>
          <w:b w:val="0"/>
          <w:sz w:val="20"/>
          <w:szCs w:val="20"/>
        </w:rPr>
        <w:t>Nomeh</w:t>
      </w:r>
      <w:proofErr w:type="spellEnd"/>
      <w:r w:rsidR="001D0B81" w:rsidRPr="00A26B4A">
        <w:rPr>
          <w:rStyle w:val="Strong"/>
          <w:rFonts w:ascii="Times New Roman" w:hAnsi="Times New Roman" w:cs="Times New Roman"/>
          <w:b w:val="0"/>
          <w:sz w:val="20"/>
          <w:szCs w:val="20"/>
        </w:rPr>
        <w:t xml:space="preserve"> </w:t>
      </w:r>
      <w:r w:rsidR="00FA074B" w:rsidRPr="00FA074B">
        <w:rPr>
          <w:rStyle w:val="Strong"/>
          <w:rFonts w:ascii="Times New Roman" w:hAnsi="Times New Roman" w:cs="Times New Roman"/>
          <w:b w:val="0"/>
          <w:i/>
          <w:sz w:val="20"/>
          <w:szCs w:val="20"/>
        </w:rPr>
        <w:t>et al</w:t>
      </w:r>
      <w:r w:rsidR="001D0B81" w:rsidRPr="00A26B4A">
        <w:rPr>
          <w:rStyle w:val="Strong"/>
          <w:rFonts w:ascii="Times New Roman" w:hAnsi="Times New Roman" w:cs="Times New Roman"/>
          <w:b w:val="0"/>
          <w:i/>
          <w:sz w:val="20"/>
          <w:szCs w:val="20"/>
        </w:rPr>
        <w:t>.,</w:t>
      </w:r>
      <w:r w:rsidR="001D0B81" w:rsidRPr="00A26B4A">
        <w:rPr>
          <w:rStyle w:val="Strong"/>
          <w:rFonts w:ascii="Times New Roman" w:hAnsi="Times New Roman" w:cs="Times New Roman"/>
          <w:b w:val="0"/>
          <w:sz w:val="20"/>
          <w:szCs w:val="20"/>
        </w:rPr>
        <w:t xml:space="preserve"> 2025</w:t>
      </w:r>
      <w:r w:rsidRPr="00A26B4A">
        <w:rPr>
          <w:rFonts w:ascii="Times New Roman" w:eastAsia="Times New Roman" w:hAnsi="Times New Roman" w:cs="Times New Roman"/>
          <w:sz w:val="20"/>
          <w:szCs w:val="20"/>
        </w:rPr>
        <w:t>). Furthermore, the relationship between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 carriage and antibiotic resistance phenotypes in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from food sources remains poorly characterized.</w:t>
      </w:r>
    </w:p>
    <w:p w14:paraId="28667DAB" w14:textId="77777777" w:rsidR="00841A13" w:rsidRPr="00A26B4A" w:rsidRDefault="00841A13" w:rsidP="00E43C6C">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 xml:space="preserve">This study aimed to determine the antibiotic resistance profile of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isolated from </w:t>
      </w:r>
      <w:proofErr w:type="spellStart"/>
      <w:r w:rsidRPr="00A26B4A">
        <w:rPr>
          <w:rFonts w:ascii="Times New Roman" w:eastAsia="Times New Roman" w:hAnsi="Times New Roman" w:cs="Times New Roman"/>
          <w:i/>
          <w:iCs/>
          <w:sz w:val="20"/>
          <w:szCs w:val="20"/>
        </w:rPr>
        <w:t>Telfairia</w:t>
      </w:r>
      <w:proofErr w:type="spellEnd"/>
      <w:r w:rsidRPr="00A26B4A">
        <w:rPr>
          <w:rFonts w:ascii="Times New Roman" w:eastAsia="Times New Roman" w:hAnsi="Times New Roman" w:cs="Times New Roman"/>
          <w:i/>
          <w:iCs/>
          <w:sz w:val="20"/>
          <w:szCs w:val="20"/>
        </w:rPr>
        <w:t xml:space="preserve"> </w:t>
      </w:r>
      <w:proofErr w:type="spellStart"/>
      <w:r w:rsidRPr="00A26B4A">
        <w:rPr>
          <w:rFonts w:ascii="Times New Roman" w:eastAsia="Times New Roman" w:hAnsi="Times New Roman" w:cs="Times New Roman"/>
          <w:i/>
          <w:iCs/>
          <w:sz w:val="20"/>
          <w:szCs w:val="20"/>
        </w:rPr>
        <w:t>occidentalis</w:t>
      </w:r>
      <w:proofErr w:type="spellEnd"/>
      <w:r w:rsidRPr="00A26B4A">
        <w:rPr>
          <w:rFonts w:ascii="Times New Roman" w:eastAsia="Times New Roman" w:hAnsi="Times New Roman" w:cs="Times New Roman"/>
          <w:sz w:val="20"/>
          <w:szCs w:val="20"/>
        </w:rPr>
        <w:t> vegetables sold in Enugu, Nigeria, and to investigate the prevalence of the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gene in these isolates. Additionally, we sought to explore potential correlations between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 carriage and antimicrobial resistance patterns, providing insights into the public health implications of virulent, drug-resistant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in the food chain.</w:t>
      </w:r>
    </w:p>
    <w:p w14:paraId="7EEFCD01" w14:textId="77777777" w:rsidR="00BF3F30" w:rsidRPr="006D07DD" w:rsidRDefault="00BF3F30" w:rsidP="00E43C6C">
      <w:pPr>
        <w:pStyle w:val="Heading2"/>
        <w:shd w:val="clear" w:color="auto" w:fill="FFFFFF"/>
        <w:spacing w:before="0" w:beforeAutospacing="0" w:after="0" w:afterAutospacing="0"/>
        <w:jc w:val="both"/>
        <w:rPr>
          <w:sz w:val="20"/>
          <w:szCs w:val="20"/>
          <w:highlight w:val="yellow"/>
        </w:rPr>
      </w:pPr>
      <w:r w:rsidRPr="00A26B4A">
        <w:rPr>
          <w:sz w:val="20"/>
          <w:szCs w:val="20"/>
        </w:rPr>
        <w:t>2</w:t>
      </w:r>
      <w:r w:rsidRPr="006D07DD">
        <w:rPr>
          <w:sz w:val="20"/>
          <w:szCs w:val="20"/>
          <w:highlight w:val="yellow"/>
        </w:rPr>
        <w:t>. Materials and Methods</w:t>
      </w:r>
    </w:p>
    <w:p w14:paraId="50988EEE" w14:textId="77777777" w:rsidR="00BF3F30" w:rsidRPr="006D07DD" w:rsidRDefault="00BF3F30" w:rsidP="00E43C6C">
      <w:pPr>
        <w:pStyle w:val="Heading3"/>
        <w:shd w:val="clear" w:color="auto" w:fill="FFFFFF"/>
        <w:spacing w:before="0"/>
        <w:jc w:val="both"/>
        <w:rPr>
          <w:rFonts w:ascii="Times New Roman" w:hAnsi="Times New Roman" w:cs="Times New Roman"/>
          <w:b/>
          <w:color w:val="auto"/>
          <w:sz w:val="20"/>
          <w:szCs w:val="20"/>
          <w:highlight w:val="yellow"/>
        </w:rPr>
      </w:pPr>
      <w:r w:rsidRPr="006D07DD">
        <w:rPr>
          <w:rFonts w:ascii="Times New Roman" w:hAnsi="Times New Roman" w:cs="Times New Roman"/>
          <w:b/>
          <w:color w:val="auto"/>
          <w:sz w:val="20"/>
          <w:szCs w:val="20"/>
          <w:highlight w:val="yellow"/>
        </w:rPr>
        <w:t>2.1 Study Area and Sample Collection</w:t>
      </w:r>
    </w:p>
    <w:p w14:paraId="07B02C23" w14:textId="5C375ACD" w:rsidR="00BF3F30" w:rsidRPr="00A26B4A" w:rsidRDefault="00BF3F30" w:rsidP="00E43C6C">
      <w:pPr>
        <w:pStyle w:val="ds-markdown-paragraph"/>
        <w:shd w:val="clear" w:color="auto" w:fill="FFFFFF"/>
        <w:spacing w:before="0" w:beforeAutospacing="0" w:after="0" w:afterAutospacing="0"/>
        <w:jc w:val="both"/>
        <w:rPr>
          <w:sz w:val="20"/>
          <w:szCs w:val="20"/>
        </w:rPr>
      </w:pPr>
      <w:r w:rsidRPr="006D07DD">
        <w:rPr>
          <w:sz w:val="20"/>
          <w:szCs w:val="20"/>
          <w:highlight w:val="yellow"/>
        </w:rPr>
        <w:t xml:space="preserve">Samples were collected from the Old Artisan Market in Enugu, Enugu State, Nigeria. Enugu is located at latitude 6°27′10″N and longitude 7°30′40″E, serving as a major commercial hub in southeastern Nigeria (Peter </w:t>
      </w:r>
      <w:r w:rsidR="00FA074B" w:rsidRPr="00FA074B">
        <w:rPr>
          <w:i/>
          <w:sz w:val="20"/>
          <w:szCs w:val="20"/>
          <w:highlight w:val="yellow"/>
        </w:rPr>
        <w:t>et al</w:t>
      </w:r>
      <w:r w:rsidRPr="006D07DD">
        <w:rPr>
          <w:sz w:val="20"/>
          <w:szCs w:val="20"/>
          <w:highlight w:val="yellow"/>
        </w:rPr>
        <w:t>., 2024</w:t>
      </w:r>
      <w:r w:rsidR="008E2C6A" w:rsidRPr="006D07DD">
        <w:rPr>
          <w:sz w:val="20"/>
          <w:szCs w:val="20"/>
          <w:highlight w:val="yellow"/>
        </w:rPr>
        <w:t xml:space="preserve">; </w:t>
      </w:r>
      <w:proofErr w:type="spellStart"/>
      <w:r w:rsidR="008E2C6A" w:rsidRPr="006D07DD">
        <w:rPr>
          <w:sz w:val="20"/>
          <w:szCs w:val="20"/>
          <w:highlight w:val="yellow"/>
        </w:rPr>
        <w:t>Udu-ibiam</w:t>
      </w:r>
      <w:proofErr w:type="spellEnd"/>
      <w:r w:rsidR="008E2C6A" w:rsidRPr="006D07DD">
        <w:rPr>
          <w:sz w:val="20"/>
          <w:szCs w:val="20"/>
          <w:highlight w:val="yellow"/>
        </w:rPr>
        <w:t xml:space="preserve"> </w:t>
      </w:r>
      <w:r w:rsidR="00FA074B" w:rsidRPr="00FA074B">
        <w:rPr>
          <w:i/>
          <w:sz w:val="20"/>
          <w:szCs w:val="20"/>
          <w:highlight w:val="yellow"/>
        </w:rPr>
        <w:t>et al</w:t>
      </w:r>
      <w:r w:rsidR="008E2C6A" w:rsidRPr="006D07DD">
        <w:rPr>
          <w:i/>
          <w:sz w:val="20"/>
          <w:szCs w:val="20"/>
          <w:highlight w:val="yellow"/>
        </w:rPr>
        <w:t>.,</w:t>
      </w:r>
      <w:r w:rsidR="008E2C6A" w:rsidRPr="006D07DD">
        <w:rPr>
          <w:sz w:val="20"/>
          <w:szCs w:val="20"/>
          <w:highlight w:val="yellow"/>
        </w:rPr>
        <w:t xml:space="preserve"> 2025</w:t>
      </w:r>
      <w:r w:rsidRPr="006D07DD">
        <w:rPr>
          <w:sz w:val="20"/>
          <w:szCs w:val="20"/>
          <w:highlight w:val="yellow"/>
        </w:rPr>
        <w:t>). Twenty-five fresh </w:t>
      </w:r>
      <w:proofErr w:type="spellStart"/>
      <w:r w:rsidRPr="006D07DD">
        <w:rPr>
          <w:rStyle w:val="Emphasis"/>
          <w:sz w:val="20"/>
          <w:szCs w:val="20"/>
          <w:highlight w:val="yellow"/>
        </w:rPr>
        <w:t>Telfairia</w:t>
      </w:r>
      <w:proofErr w:type="spellEnd"/>
      <w:r w:rsidRPr="006D07DD">
        <w:rPr>
          <w:rStyle w:val="Emphasis"/>
          <w:sz w:val="20"/>
          <w:szCs w:val="20"/>
          <w:highlight w:val="yellow"/>
        </w:rPr>
        <w:t xml:space="preserve"> </w:t>
      </w:r>
      <w:proofErr w:type="spellStart"/>
      <w:r w:rsidRPr="006D07DD">
        <w:rPr>
          <w:rStyle w:val="Emphasis"/>
          <w:sz w:val="20"/>
          <w:szCs w:val="20"/>
          <w:highlight w:val="yellow"/>
        </w:rPr>
        <w:t>occidentalis</w:t>
      </w:r>
      <w:proofErr w:type="spellEnd"/>
      <w:r w:rsidRPr="006D07DD">
        <w:rPr>
          <w:sz w:val="20"/>
          <w:szCs w:val="20"/>
          <w:highlight w:val="yellow"/>
        </w:rPr>
        <w:t xml:space="preserve"> (fluted pumpkin) vegetable samples were purchased from different vendors between January and March 2024. Samples were placed in sterile polyethylene bags and transported on ice to the Microbiology Laboratory Unit of Ebonyi State University, </w:t>
      </w:r>
      <w:proofErr w:type="spellStart"/>
      <w:r w:rsidRPr="006D07DD">
        <w:rPr>
          <w:sz w:val="20"/>
          <w:szCs w:val="20"/>
          <w:highlight w:val="yellow"/>
        </w:rPr>
        <w:t>Abakaliki</w:t>
      </w:r>
      <w:proofErr w:type="spellEnd"/>
      <w:r w:rsidRPr="006D07DD">
        <w:rPr>
          <w:sz w:val="20"/>
          <w:szCs w:val="20"/>
          <w:highlight w:val="yellow"/>
        </w:rPr>
        <w:t>, for bacteriological analysis within 2 hours of collection.</w:t>
      </w:r>
    </w:p>
    <w:p w14:paraId="0C99EEDE" w14:textId="77777777" w:rsidR="00DB6A21" w:rsidRPr="00A26B4A" w:rsidRDefault="00DB6A21" w:rsidP="00E43C6C">
      <w:pPr>
        <w:pStyle w:val="Heading3"/>
        <w:shd w:val="clear" w:color="auto" w:fill="FFFFFF"/>
        <w:spacing w:before="0"/>
        <w:jc w:val="both"/>
        <w:rPr>
          <w:rFonts w:ascii="Times New Roman" w:hAnsi="Times New Roman" w:cs="Times New Roman"/>
          <w:b/>
          <w:color w:val="auto"/>
          <w:sz w:val="20"/>
          <w:szCs w:val="20"/>
        </w:rPr>
      </w:pPr>
      <w:r w:rsidRPr="00A26B4A">
        <w:rPr>
          <w:rFonts w:ascii="Times New Roman" w:hAnsi="Times New Roman" w:cs="Times New Roman"/>
          <w:b/>
          <w:color w:val="auto"/>
          <w:sz w:val="20"/>
          <w:szCs w:val="20"/>
        </w:rPr>
        <w:t xml:space="preserve">2.2 Isolation and Identification of Coagulase-Negative </w:t>
      </w:r>
      <w:r w:rsidRPr="00725EAC">
        <w:rPr>
          <w:rFonts w:ascii="Times New Roman" w:hAnsi="Times New Roman" w:cs="Times New Roman"/>
          <w:b/>
          <w:i/>
          <w:color w:val="auto"/>
          <w:sz w:val="20"/>
          <w:szCs w:val="20"/>
          <w:highlight w:val="yellow"/>
        </w:rPr>
        <w:t>Staphylococci</w:t>
      </w:r>
    </w:p>
    <w:p w14:paraId="086D7E50" w14:textId="77777777" w:rsidR="00DB6A21" w:rsidRPr="00A26B4A" w:rsidRDefault="00DB6A21" w:rsidP="00E43C6C">
      <w:pPr>
        <w:pStyle w:val="ds-markdown-paragraph"/>
        <w:shd w:val="clear" w:color="auto" w:fill="FFFFFF"/>
        <w:spacing w:before="0" w:beforeAutospacing="0" w:after="0" w:afterAutospacing="0"/>
        <w:jc w:val="both"/>
        <w:rPr>
          <w:sz w:val="20"/>
          <w:szCs w:val="20"/>
        </w:rPr>
      </w:pPr>
      <w:r w:rsidRPr="00A26B4A">
        <w:rPr>
          <w:sz w:val="20"/>
          <w:szCs w:val="20"/>
        </w:rPr>
        <w:t xml:space="preserve">Exactly 10 grams of each vegetable sample were rinsed separately in 100 mL of sterile distilled water. The rinse water was filtered through a 0.22 </w:t>
      </w:r>
      <w:proofErr w:type="spellStart"/>
      <w:r w:rsidRPr="00A26B4A">
        <w:rPr>
          <w:sz w:val="20"/>
          <w:szCs w:val="20"/>
        </w:rPr>
        <w:t>μm</w:t>
      </w:r>
      <w:proofErr w:type="spellEnd"/>
      <w:r w:rsidRPr="00A26B4A">
        <w:rPr>
          <w:sz w:val="20"/>
          <w:szCs w:val="20"/>
        </w:rPr>
        <w:t xml:space="preserve"> Millipore membrane filter (Merck, Darmstadt, Germany). Filters were aseptically placed onto Mannitol Salt Agar (</w:t>
      </w:r>
      <w:proofErr w:type="spellStart"/>
      <w:r w:rsidRPr="00A26B4A">
        <w:rPr>
          <w:sz w:val="20"/>
          <w:szCs w:val="20"/>
        </w:rPr>
        <w:t>Fluka</w:t>
      </w:r>
      <w:proofErr w:type="spellEnd"/>
      <w:r w:rsidRPr="00A26B4A">
        <w:rPr>
          <w:sz w:val="20"/>
          <w:szCs w:val="20"/>
        </w:rPr>
        <w:t xml:space="preserve">™; </w:t>
      </w:r>
      <w:proofErr w:type="spellStart"/>
      <w:r w:rsidRPr="00A26B4A">
        <w:rPr>
          <w:sz w:val="20"/>
          <w:szCs w:val="20"/>
        </w:rPr>
        <w:t>Buchs</w:t>
      </w:r>
      <w:proofErr w:type="spellEnd"/>
      <w:r w:rsidRPr="00A26B4A">
        <w:rPr>
          <w:sz w:val="20"/>
          <w:szCs w:val="20"/>
        </w:rPr>
        <w:t>, Germany) and incubated at 37°C for 24 hours.</w:t>
      </w:r>
    </w:p>
    <w:p w14:paraId="6B93775C" w14:textId="02044FAD" w:rsidR="00DB6A21" w:rsidRPr="00A26B4A" w:rsidRDefault="00DB6A21" w:rsidP="00E43C6C">
      <w:pPr>
        <w:pStyle w:val="ds-markdown-paragraph"/>
        <w:shd w:val="clear" w:color="auto" w:fill="FFFFFF"/>
        <w:spacing w:before="0" w:beforeAutospacing="0" w:after="0" w:afterAutospacing="0"/>
        <w:jc w:val="both"/>
        <w:rPr>
          <w:sz w:val="20"/>
          <w:szCs w:val="20"/>
        </w:rPr>
      </w:pPr>
      <w:r w:rsidRPr="00A26B4A">
        <w:rPr>
          <w:sz w:val="20"/>
          <w:szCs w:val="20"/>
        </w:rPr>
        <w:t xml:space="preserve">Following incubation, colonies exhibiting pink to red coloration (indicative of </w:t>
      </w:r>
      <w:proofErr w:type="spellStart"/>
      <w:r w:rsidRPr="00A26B4A">
        <w:rPr>
          <w:sz w:val="20"/>
          <w:szCs w:val="20"/>
        </w:rPr>
        <w:t>CoNS</w:t>
      </w:r>
      <w:proofErr w:type="spellEnd"/>
      <w:r w:rsidRPr="00A26B4A">
        <w:rPr>
          <w:sz w:val="20"/>
          <w:szCs w:val="20"/>
        </w:rPr>
        <w:t>) were selected and purified by sub-culturing onto Brain-Heart Infusion Agar (</w:t>
      </w:r>
      <w:proofErr w:type="spellStart"/>
      <w:r w:rsidRPr="00A26B4A">
        <w:rPr>
          <w:sz w:val="20"/>
          <w:szCs w:val="20"/>
        </w:rPr>
        <w:t>Fluka</w:t>
      </w:r>
      <w:proofErr w:type="spellEnd"/>
      <w:r w:rsidRPr="00A26B4A">
        <w:rPr>
          <w:sz w:val="20"/>
          <w:szCs w:val="20"/>
        </w:rPr>
        <w:t xml:space="preserve">™; </w:t>
      </w:r>
      <w:proofErr w:type="spellStart"/>
      <w:r w:rsidRPr="00A26B4A">
        <w:rPr>
          <w:sz w:val="20"/>
          <w:szCs w:val="20"/>
        </w:rPr>
        <w:t>Buchs</w:t>
      </w:r>
      <w:proofErr w:type="spellEnd"/>
      <w:r w:rsidRPr="00A26B4A">
        <w:rPr>
          <w:sz w:val="20"/>
          <w:szCs w:val="20"/>
        </w:rPr>
        <w:t xml:space="preserve">, Germany) and incubated at 37°C for 24 hours. Isolates were characterized based on colonial morphology, Gram staining reaction, and biochemical tests including catalase, coagulase, DNase, and carbohydrate fermentation tests (glucose, lactose, sucrose, arabinose, xylose, and mannitol) as described by </w:t>
      </w:r>
      <w:proofErr w:type="spellStart"/>
      <w:r w:rsidRPr="00A26B4A">
        <w:rPr>
          <w:sz w:val="20"/>
          <w:szCs w:val="20"/>
        </w:rPr>
        <w:t>Cheesbrough</w:t>
      </w:r>
      <w:proofErr w:type="spellEnd"/>
      <w:r w:rsidRPr="00A26B4A">
        <w:rPr>
          <w:sz w:val="20"/>
          <w:szCs w:val="20"/>
        </w:rPr>
        <w:t xml:space="preserve"> (2006). </w:t>
      </w:r>
      <w:proofErr w:type="spellStart"/>
      <w:r w:rsidRPr="00A26B4A">
        <w:rPr>
          <w:sz w:val="20"/>
          <w:szCs w:val="20"/>
        </w:rPr>
        <w:t>CoNS</w:t>
      </w:r>
      <w:proofErr w:type="spellEnd"/>
      <w:r w:rsidRPr="00A26B4A">
        <w:rPr>
          <w:sz w:val="20"/>
          <w:szCs w:val="20"/>
        </w:rPr>
        <w:t xml:space="preserve"> were identified as Gram-positive cocci that were catalase-positive, coagulase-negative, and produced pink-red colonies on Mannitol Salt Agar</w:t>
      </w:r>
      <w:r w:rsidR="00150F26" w:rsidRPr="00A26B4A">
        <w:rPr>
          <w:sz w:val="20"/>
          <w:szCs w:val="20"/>
        </w:rPr>
        <w:t xml:space="preserve"> (</w:t>
      </w:r>
      <w:proofErr w:type="spellStart"/>
      <w:r w:rsidR="00150F26" w:rsidRPr="00A26B4A">
        <w:rPr>
          <w:sz w:val="20"/>
          <w:szCs w:val="20"/>
        </w:rPr>
        <w:t>Fluka</w:t>
      </w:r>
      <w:proofErr w:type="spellEnd"/>
      <w:r w:rsidR="00150F26" w:rsidRPr="00A26B4A">
        <w:rPr>
          <w:sz w:val="20"/>
          <w:szCs w:val="20"/>
        </w:rPr>
        <w:t xml:space="preserve">™; </w:t>
      </w:r>
      <w:proofErr w:type="spellStart"/>
      <w:r w:rsidR="00150F26" w:rsidRPr="00A26B4A">
        <w:rPr>
          <w:sz w:val="20"/>
          <w:szCs w:val="20"/>
        </w:rPr>
        <w:t>Buchs</w:t>
      </w:r>
      <w:proofErr w:type="spellEnd"/>
      <w:r w:rsidR="00150F26" w:rsidRPr="00A26B4A">
        <w:rPr>
          <w:sz w:val="20"/>
          <w:szCs w:val="20"/>
        </w:rPr>
        <w:t>, Germany)</w:t>
      </w:r>
      <w:r w:rsidRPr="00A26B4A">
        <w:rPr>
          <w:sz w:val="20"/>
          <w:szCs w:val="20"/>
        </w:rPr>
        <w:t>.</w:t>
      </w:r>
    </w:p>
    <w:p w14:paraId="1356FC63" w14:textId="77777777" w:rsidR="00DB6A21" w:rsidRPr="00A26B4A" w:rsidRDefault="00DB6A21" w:rsidP="00E43C6C">
      <w:pPr>
        <w:pStyle w:val="Heading3"/>
        <w:shd w:val="clear" w:color="auto" w:fill="FFFFFF"/>
        <w:spacing w:before="0"/>
        <w:jc w:val="both"/>
        <w:rPr>
          <w:rFonts w:ascii="Times New Roman" w:hAnsi="Times New Roman" w:cs="Times New Roman"/>
          <w:b/>
          <w:color w:val="auto"/>
          <w:sz w:val="20"/>
          <w:szCs w:val="20"/>
        </w:rPr>
      </w:pPr>
      <w:r w:rsidRPr="00A26B4A">
        <w:rPr>
          <w:rFonts w:ascii="Times New Roman" w:hAnsi="Times New Roman" w:cs="Times New Roman"/>
          <w:b/>
          <w:color w:val="auto"/>
          <w:sz w:val="20"/>
          <w:szCs w:val="20"/>
        </w:rPr>
        <w:t>2.3 Antibiotic Susceptibility Testing</w:t>
      </w:r>
    </w:p>
    <w:p w14:paraId="0B1D0E1A" w14:textId="532334D9" w:rsidR="00DB6A21" w:rsidRPr="00A26B4A" w:rsidRDefault="00DB6A21" w:rsidP="00E43C6C">
      <w:pPr>
        <w:pStyle w:val="ds-markdown-paragraph"/>
        <w:shd w:val="clear" w:color="auto" w:fill="FFFFFF"/>
        <w:spacing w:before="0" w:beforeAutospacing="0" w:after="0" w:afterAutospacing="0"/>
        <w:jc w:val="both"/>
        <w:rPr>
          <w:sz w:val="20"/>
          <w:szCs w:val="20"/>
        </w:rPr>
      </w:pPr>
      <w:r w:rsidRPr="00A26B4A">
        <w:rPr>
          <w:sz w:val="20"/>
          <w:szCs w:val="20"/>
        </w:rPr>
        <w:t xml:space="preserve">Antibiotic susceptibility testing was performed using the Kirby-Bauer disk diffusion method according to Clinical and Laboratory Standards Institute guidelines (CLSI, 2022). A bacterial suspension adjusted to 0.5 McFarland turbidity standard </w:t>
      </w:r>
      <w:r w:rsidR="00B923EE" w:rsidRPr="00A26B4A">
        <w:rPr>
          <w:sz w:val="20"/>
          <w:szCs w:val="20"/>
        </w:rPr>
        <w:t xml:space="preserve">(Peter </w:t>
      </w:r>
      <w:r w:rsidR="00FA074B" w:rsidRPr="00FA074B">
        <w:rPr>
          <w:i/>
          <w:sz w:val="20"/>
          <w:szCs w:val="20"/>
        </w:rPr>
        <w:t>et al</w:t>
      </w:r>
      <w:r w:rsidR="00B923EE" w:rsidRPr="00A26B4A">
        <w:rPr>
          <w:i/>
          <w:sz w:val="20"/>
          <w:szCs w:val="20"/>
        </w:rPr>
        <w:t>.,</w:t>
      </w:r>
      <w:r w:rsidR="00B923EE" w:rsidRPr="00A26B4A">
        <w:rPr>
          <w:sz w:val="20"/>
          <w:szCs w:val="20"/>
        </w:rPr>
        <w:t xml:space="preserve"> 2025</w:t>
      </w:r>
      <w:r w:rsidR="00412916" w:rsidRPr="00A26B4A">
        <w:rPr>
          <w:sz w:val="20"/>
          <w:szCs w:val="20"/>
        </w:rPr>
        <w:t xml:space="preserve">; </w:t>
      </w:r>
      <w:proofErr w:type="spellStart"/>
      <w:r w:rsidR="00412916" w:rsidRPr="00A26B4A">
        <w:rPr>
          <w:sz w:val="20"/>
          <w:szCs w:val="20"/>
        </w:rPr>
        <w:t>Nwode</w:t>
      </w:r>
      <w:proofErr w:type="spellEnd"/>
      <w:r w:rsidR="00412916" w:rsidRPr="00A26B4A">
        <w:rPr>
          <w:sz w:val="20"/>
          <w:szCs w:val="20"/>
        </w:rPr>
        <w:t xml:space="preserve"> </w:t>
      </w:r>
      <w:r w:rsidR="00FA074B" w:rsidRPr="00FA074B">
        <w:rPr>
          <w:i/>
          <w:sz w:val="20"/>
          <w:szCs w:val="20"/>
        </w:rPr>
        <w:t>et al</w:t>
      </w:r>
      <w:r w:rsidR="00412916" w:rsidRPr="00A26B4A">
        <w:rPr>
          <w:i/>
          <w:sz w:val="20"/>
          <w:szCs w:val="20"/>
        </w:rPr>
        <w:t>.,</w:t>
      </w:r>
      <w:r w:rsidR="00412916" w:rsidRPr="00A26B4A">
        <w:rPr>
          <w:sz w:val="20"/>
          <w:szCs w:val="20"/>
        </w:rPr>
        <w:t xml:space="preserve"> 2026</w:t>
      </w:r>
      <w:r w:rsidR="00B923EE" w:rsidRPr="00A26B4A">
        <w:rPr>
          <w:sz w:val="20"/>
          <w:szCs w:val="20"/>
        </w:rPr>
        <w:t xml:space="preserve">) </w:t>
      </w:r>
      <w:r w:rsidRPr="00A26B4A">
        <w:rPr>
          <w:sz w:val="20"/>
          <w:szCs w:val="20"/>
        </w:rPr>
        <w:t>was inoculated onto Mueller-Hinton agar plates (</w:t>
      </w:r>
      <w:proofErr w:type="spellStart"/>
      <w:r w:rsidRPr="00A26B4A">
        <w:rPr>
          <w:sz w:val="20"/>
          <w:szCs w:val="20"/>
        </w:rPr>
        <w:t>Fluka</w:t>
      </w:r>
      <w:proofErr w:type="spellEnd"/>
      <w:r w:rsidRPr="00A26B4A">
        <w:rPr>
          <w:sz w:val="20"/>
          <w:szCs w:val="20"/>
        </w:rPr>
        <w:t xml:space="preserve">™; </w:t>
      </w:r>
      <w:proofErr w:type="spellStart"/>
      <w:r w:rsidRPr="00A26B4A">
        <w:rPr>
          <w:sz w:val="20"/>
          <w:szCs w:val="20"/>
        </w:rPr>
        <w:t>Buchs</w:t>
      </w:r>
      <w:proofErr w:type="spellEnd"/>
      <w:r w:rsidRPr="00A26B4A">
        <w:rPr>
          <w:sz w:val="20"/>
          <w:szCs w:val="20"/>
        </w:rPr>
        <w:t>, Germany). The following antibiotic disks (</w:t>
      </w:r>
      <w:proofErr w:type="spellStart"/>
      <w:r w:rsidRPr="00A26B4A">
        <w:rPr>
          <w:sz w:val="20"/>
          <w:szCs w:val="20"/>
        </w:rPr>
        <w:t>Oxoid</w:t>
      </w:r>
      <w:proofErr w:type="spellEnd"/>
      <w:r w:rsidRPr="00A26B4A">
        <w:rPr>
          <w:sz w:val="20"/>
          <w:szCs w:val="20"/>
        </w:rPr>
        <w:t xml:space="preserve">, UK) were tested: amoxicillin-clavulanic acid (20/10 </w:t>
      </w:r>
      <w:proofErr w:type="spellStart"/>
      <w:r w:rsidRPr="00A26B4A">
        <w:rPr>
          <w:sz w:val="20"/>
          <w:szCs w:val="20"/>
        </w:rPr>
        <w:t>μg</w:t>
      </w:r>
      <w:proofErr w:type="spellEnd"/>
      <w:r w:rsidRPr="00A26B4A">
        <w:rPr>
          <w:sz w:val="20"/>
          <w:szCs w:val="20"/>
        </w:rPr>
        <w:t xml:space="preserve">), cefoxitin (30 </w:t>
      </w:r>
      <w:proofErr w:type="spellStart"/>
      <w:r w:rsidRPr="00A26B4A">
        <w:rPr>
          <w:sz w:val="20"/>
          <w:szCs w:val="20"/>
        </w:rPr>
        <w:t>μg</w:t>
      </w:r>
      <w:proofErr w:type="spellEnd"/>
      <w:r w:rsidRPr="00A26B4A">
        <w:rPr>
          <w:sz w:val="20"/>
          <w:szCs w:val="20"/>
        </w:rPr>
        <w:t xml:space="preserve">), ceftriaxone (30 </w:t>
      </w:r>
      <w:proofErr w:type="spellStart"/>
      <w:r w:rsidRPr="00A26B4A">
        <w:rPr>
          <w:sz w:val="20"/>
          <w:szCs w:val="20"/>
        </w:rPr>
        <w:t>μg</w:t>
      </w:r>
      <w:proofErr w:type="spellEnd"/>
      <w:r w:rsidRPr="00A26B4A">
        <w:rPr>
          <w:sz w:val="20"/>
          <w:szCs w:val="20"/>
        </w:rPr>
        <w:t xml:space="preserve">), ciprofloxacin (5 </w:t>
      </w:r>
      <w:proofErr w:type="spellStart"/>
      <w:r w:rsidRPr="00A26B4A">
        <w:rPr>
          <w:sz w:val="20"/>
          <w:szCs w:val="20"/>
        </w:rPr>
        <w:t>μg</w:t>
      </w:r>
      <w:proofErr w:type="spellEnd"/>
      <w:r w:rsidRPr="00A26B4A">
        <w:rPr>
          <w:sz w:val="20"/>
          <w:szCs w:val="20"/>
        </w:rPr>
        <w:t xml:space="preserve">), chloramphenicol (30 </w:t>
      </w:r>
      <w:proofErr w:type="spellStart"/>
      <w:r w:rsidRPr="00A26B4A">
        <w:rPr>
          <w:sz w:val="20"/>
          <w:szCs w:val="20"/>
        </w:rPr>
        <w:t>μg</w:t>
      </w:r>
      <w:proofErr w:type="spellEnd"/>
      <w:r w:rsidRPr="00A26B4A">
        <w:rPr>
          <w:sz w:val="20"/>
          <w:szCs w:val="20"/>
        </w:rPr>
        <w:t xml:space="preserve">), clindamycin (10 </w:t>
      </w:r>
      <w:proofErr w:type="spellStart"/>
      <w:r w:rsidRPr="00A26B4A">
        <w:rPr>
          <w:sz w:val="20"/>
          <w:szCs w:val="20"/>
        </w:rPr>
        <w:t>μg</w:t>
      </w:r>
      <w:proofErr w:type="spellEnd"/>
      <w:r w:rsidRPr="00A26B4A">
        <w:rPr>
          <w:sz w:val="20"/>
          <w:szCs w:val="20"/>
        </w:rPr>
        <w:t xml:space="preserve">), erythromycin (15 </w:t>
      </w:r>
      <w:proofErr w:type="spellStart"/>
      <w:r w:rsidRPr="00A26B4A">
        <w:rPr>
          <w:sz w:val="20"/>
          <w:szCs w:val="20"/>
        </w:rPr>
        <w:t>μg</w:t>
      </w:r>
      <w:proofErr w:type="spellEnd"/>
      <w:r w:rsidRPr="00A26B4A">
        <w:rPr>
          <w:sz w:val="20"/>
          <w:szCs w:val="20"/>
        </w:rPr>
        <w:t xml:space="preserve">), gentamicin (15 </w:t>
      </w:r>
      <w:proofErr w:type="spellStart"/>
      <w:r w:rsidRPr="00A26B4A">
        <w:rPr>
          <w:sz w:val="20"/>
          <w:szCs w:val="20"/>
        </w:rPr>
        <w:t>μg</w:t>
      </w:r>
      <w:proofErr w:type="spellEnd"/>
      <w:r w:rsidRPr="00A26B4A">
        <w:rPr>
          <w:sz w:val="20"/>
          <w:szCs w:val="20"/>
        </w:rPr>
        <w:t xml:space="preserve">), imipenem (10 </w:t>
      </w:r>
      <w:proofErr w:type="spellStart"/>
      <w:r w:rsidRPr="00A26B4A">
        <w:rPr>
          <w:sz w:val="20"/>
          <w:szCs w:val="20"/>
        </w:rPr>
        <w:t>μg</w:t>
      </w:r>
      <w:proofErr w:type="spellEnd"/>
      <w:r w:rsidRPr="00A26B4A">
        <w:rPr>
          <w:sz w:val="20"/>
          <w:szCs w:val="20"/>
        </w:rPr>
        <w:t xml:space="preserve">), levofloxacin (5 </w:t>
      </w:r>
      <w:proofErr w:type="spellStart"/>
      <w:r w:rsidRPr="00A26B4A">
        <w:rPr>
          <w:sz w:val="20"/>
          <w:szCs w:val="20"/>
        </w:rPr>
        <w:t>μg</w:t>
      </w:r>
      <w:proofErr w:type="spellEnd"/>
      <w:r w:rsidRPr="00A26B4A">
        <w:rPr>
          <w:sz w:val="20"/>
          <w:szCs w:val="20"/>
        </w:rPr>
        <w:t xml:space="preserve">), oxacillin (1 </w:t>
      </w:r>
      <w:proofErr w:type="spellStart"/>
      <w:r w:rsidRPr="00A26B4A">
        <w:rPr>
          <w:sz w:val="20"/>
          <w:szCs w:val="20"/>
        </w:rPr>
        <w:t>μg</w:t>
      </w:r>
      <w:proofErr w:type="spellEnd"/>
      <w:r w:rsidRPr="00A26B4A">
        <w:rPr>
          <w:sz w:val="20"/>
          <w:szCs w:val="20"/>
        </w:rPr>
        <w:t xml:space="preserve">), piperacillin-tazobactam (110 </w:t>
      </w:r>
      <w:proofErr w:type="spellStart"/>
      <w:r w:rsidRPr="00A26B4A">
        <w:rPr>
          <w:sz w:val="20"/>
          <w:szCs w:val="20"/>
        </w:rPr>
        <w:t>μg</w:t>
      </w:r>
      <w:proofErr w:type="spellEnd"/>
      <w:r w:rsidRPr="00A26B4A">
        <w:rPr>
          <w:sz w:val="20"/>
          <w:szCs w:val="20"/>
        </w:rPr>
        <w:t xml:space="preserve">), streptomycin (25 </w:t>
      </w:r>
      <w:proofErr w:type="spellStart"/>
      <w:r w:rsidRPr="00A26B4A">
        <w:rPr>
          <w:sz w:val="20"/>
          <w:szCs w:val="20"/>
        </w:rPr>
        <w:t>μg</w:t>
      </w:r>
      <w:proofErr w:type="spellEnd"/>
      <w:r w:rsidRPr="00A26B4A">
        <w:rPr>
          <w:sz w:val="20"/>
          <w:szCs w:val="20"/>
        </w:rPr>
        <w:t xml:space="preserve">), meropenem (30 </w:t>
      </w:r>
      <w:proofErr w:type="spellStart"/>
      <w:r w:rsidRPr="00A26B4A">
        <w:rPr>
          <w:sz w:val="20"/>
          <w:szCs w:val="20"/>
        </w:rPr>
        <w:t>μg</w:t>
      </w:r>
      <w:proofErr w:type="spellEnd"/>
      <w:r w:rsidRPr="00A26B4A">
        <w:rPr>
          <w:sz w:val="20"/>
          <w:szCs w:val="20"/>
        </w:rPr>
        <w:t xml:space="preserve">), trimethoprim-sulfamethoxazole (25 </w:t>
      </w:r>
      <w:proofErr w:type="spellStart"/>
      <w:r w:rsidRPr="00A26B4A">
        <w:rPr>
          <w:sz w:val="20"/>
          <w:szCs w:val="20"/>
        </w:rPr>
        <w:t>μg</w:t>
      </w:r>
      <w:proofErr w:type="spellEnd"/>
      <w:r w:rsidRPr="00A26B4A">
        <w:rPr>
          <w:sz w:val="20"/>
          <w:szCs w:val="20"/>
        </w:rPr>
        <w:t xml:space="preserve">), and vancomycin (10 </w:t>
      </w:r>
      <w:proofErr w:type="spellStart"/>
      <w:r w:rsidRPr="00A26B4A">
        <w:rPr>
          <w:sz w:val="20"/>
          <w:szCs w:val="20"/>
        </w:rPr>
        <w:t>μg</w:t>
      </w:r>
      <w:proofErr w:type="spellEnd"/>
      <w:r w:rsidRPr="00A26B4A">
        <w:rPr>
          <w:sz w:val="20"/>
          <w:szCs w:val="20"/>
        </w:rPr>
        <w:t>).</w:t>
      </w:r>
      <w:r w:rsidR="00D74B61" w:rsidRPr="00A26B4A">
        <w:rPr>
          <w:sz w:val="20"/>
          <w:szCs w:val="20"/>
        </w:rPr>
        <w:t xml:space="preserve"> </w:t>
      </w:r>
      <w:r w:rsidRPr="00A26B4A">
        <w:rPr>
          <w:sz w:val="20"/>
          <w:szCs w:val="20"/>
        </w:rPr>
        <w:t>Plates were incubated at 35-37°C for 18-24 hours. Inhibition zone diameters were measured and interpreted as susceptible, or resistant according to CLSI (2022) breakpoints.</w:t>
      </w:r>
    </w:p>
    <w:p w14:paraId="74B2AE65" w14:textId="77777777" w:rsidR="00E12AE1" w:rsidRPr="00A26B4A" w:rsidRDefault="00E12AE1" w:rsidP="00E43C6C">
      <w:pPr>
        <w:pStyle w:val="Heading3"/>
        <w:shd w:val="clear" w:color="auto" w:fill="FFFFFF"/>
        <w:spacing w:before="0"/>
        <w:jc w:val="both"/>
        <w:rPr>
          <w:rFonts w:ascii="Times New Roman" w:hAnsi="Times New Roman" w:cs="Times New Roman"/>
          <w:b/>
          <w:color w:val="auto"/>
          <w:sz w:val="20"/>
          <w:szCs w:val="20"/>
        </w:rPr>
      </w:pPr>
      <w:r w:rsidRPr="00A26B4A">
        <w:rPr>
          <w:rFonts w:ascii="Times New Roman" w:hAnsi="Times New Roman" w:cs="Times New Roman"/>
          <w:b/>
          <w:color w:val="auto"/>
          <w:sz w:val="20"/>
          <w:szCs w:val="20"/>
        </w:rPr>
        <w:t>2.4 Molecular Detection of the </w:t>
      </w:r>
      <w:proofErr w:type="spellStart"/>
      <w:r w:rsidRPr="00A26B4A">
        <w:rPr>
          <w:rStyle w:val="Emphasis"/>
          <w:rFonts w:ascii="Times New Roman" w:hAnsi="Times New Roman" w:cs="Times New Roman"/>
          <w:b/>
          <w:color w:val="auto"/>
          <w:sz w:val="20"/>
          <w:szCs w:val="20"/>
        </w:rPr>
        <w:t>pvl</w:t>
      </w:r>
      <w:proofErr w:type="spellEnd"/>
      <w:r w:rsidRPr="00A26B4A">
        <w:rPr>
          <w:rFonts w:ascii="Times New Roman" w:hAnsi="Times New Roman" w:cs="Times New Roman"/>
          <w:b/>
          <w:color w:val="auto"/>
          <w:sz w:val="20"/>
          <w:szCs w:val="20"/>
        </w:rPr>
        <w:t> Gene</w:t>
      </w:r>
    </w:p>
    <w:p w14:paraId="05D94651" w14:textId="77777777" w:rsidR="00E12AE1" w:rsidRPr="00A26B4A" w:rsidRDefault="00E12AE1" w:rsidP="00E43C6C">
      <w:pPr>
        <w:pStyle w:val="Heading4"/>
        <w:shd w:val="clear" w:color="auto" w:fill="FFFFFF"/>
        <w:spacing w:before="0"/>
        <w:jc w:val="both"/>
        <w:rPr>
          <w:rFonts w:ascii="Times New Roman" w:hAnsi="Times New Roman" w:cs="Times New Roman"/>
          <w:b/>
          <w:color w:val="auto"/>
          <w:sz w:val="20"/>
          <w:szCs w:val="20"/>
        </w:rPr>
      </w:pPr>
      <w:r w:rsidRPr="00A26B4A">
        <w:rPr>
          <w:rFonts w:ascii="Times New Roman" w:hAnsi="Times New Roman" w:cs="Times New Roman"/>
          <w:b/>
          <w:color w:val="auto"/>
          <w:sz w:val="20"/>
          <w:szCs w:val="20"/>
        </w:rPr>
        <w:t>2.4.1 DNA Extraction</w:t>
      </w:r>
    </w:p>
    <w:p w14:paraId="7B6B3B02" w14:textId="495AF29A" w:rsidR="00E12AE1" w:rsidRPr="00A26B4A" w:rsidRDefault="00E12AE1" w:rsidP="00E43C6C">
      <w:pPr>
        <w:pStyle w:val="ds-markdown-paragraph"/>
        <w:shd w:val="clear" w:color="auto" w:fill="FFFFFF"/>
        <w:spacing w:before="0" w:beforeAutospacing="0" w:after="0" w:afterAutospacing="0"/>
        <w:jc w:val="both"/>
        <w:rPr>
          <w:sz w:val="20"/>
          <w:szCs w:val="20"/>
        </w:rPr>
      </w:pPr>
      <w:r w:rsidRPr="00A26B4A">
        <w:rPr>
          <w:sz w:val="20"/>
          <w:szCs w:val="20"/>
        </w:rPr>
        <w:t xml:space="preserve">Genomic DNA was extracted from selected </w:t>
      </w:r>
      <w:proofErr w:type="spellStart"/>
      <w:r w:rsidRPr="00A26B4A">
        <w:rPr>
          <w:sz w:val="20"/>
          <w:szCs w:val="20"/>
        </w:rPr>
        <w:t>CoNS</w:t>
      </w:r>
      <w:proofErr w:type="spellEnd"/>
      <w:r w:rsidRPr="00A26B4A">
        <w:rPr>
          <w:sz w:val="20"/>
          <w:szCs w:val="20"/>
        </w:rPr>
        <w:t xml:space="preserve"> isolates using the ZR Fungal/Bacterial DNA </w:t>
      </w:r>
      <w:proofErr w:type="spellStart"/>
      <w:r w:rsidRPr="00A26B4A">
        <w:rPr>
          <w:sz w:val="20"/>
          <w:szCs w:val="20"/>
        </w:rPr>
        <w:t>MiniPrep</w:t>
      </w:r>
      <w:proofErr w:type="spellEnd"/>
      <w:r w:rsidRPr="00A26B4A">
        <w:rPr>
          <w:sz w:val="20"/>
          <w:szCs w:val="20"/>
        </w:rPr>
        <w:t>™ kit (</w:t>
      </w:r>
      <w:proofErr w:type="spellStart"/>
      <w:r w:rsidRPr="00A26B4A">
        <w:rPr>
          <w:sz w:val="20"/>
          <w:szCs w:val="20"/>
        </w:rPr>
        <w:t>Zymo</w:t>
      </w:r>
      <w:proofErr w:type="spellEnd"/>
      <w:r w:rsidRPr="00A26B4A">
        <w:rPr>
          <w:sz w:val="20"/>
          <w:szCs w:val="20"/>
        </w:rPr>
        <w:t xml:space="preserve"> Research, USA) according to the manufacturer's instructions. Briefly, bacterial cells from overnight cultures were lysed using bead beating, and DNA was purified through spin column chromatography. Extracted DNA was quantified spectrophotometrically and stored at -20°C until analysis</w:t>
      </w:r>
      <w:r w:rsidR="002B5ED7" w:rsidRPr="00A26B4A">
        <w:rPr>
          <w:sz w:val="20"/>
          <w:szCs w:val="20"/>
        </w:rPr>
        <w:t xml:space="preserve"> (Peter </w:t>
      </w:r>
      <w:r w:rsidR="00FA074B" w:rsidRPr="00FA074B">
        <w:rPr>
          <w:i/>
          <w:sz w:val="20"/>
          <w:szCs w:val="20"/>
        </w:rPr>
        <w:t>et al</w:t>
      </w:r>
      <w:r w:rsidR="002B5ED7" w:rsidRPr="00A26B4A">
        <w:rPr>
          <w:i/>
          <w:sz w:val="20"/>
          <w:szCs w:val="20"/>
        </w:rPr>
        <w:t>.,</w:t>
      </w:r>
      <w:r w:rsidR="002B5ED7" w:rsidRPr="00A26B4A">
        <w:rPr>
          <w:sz w:val="20"/>
          <w:szCs w:val="20"/>
        </w:rPr>
        <w:t xml:space="preserve"> 2025)</w:t>
      </w:r>
      <w:r w:rsidRPr="00A26B4A">
        <w:rPr>
          <w:sz w:val="20"/>
          <w:szCs w:val="20"/>
        </w:rPr>
        <w:t>.</w:t>
      </w:r>
    </w:p>
    <w:p w14:paraId="5BC3B4A9" w14:textId="77777777" w:rsidR="00E12AE1" w:rsidRPr="00A26B4A" w:rsidRDefault="00E12AE1" w:rsidP="00E43C6C">
      <w:pPr>
        <w:pStyle w:val="Heading4"/>
        <w:shd w:val="clear" w:color="auto" w:fill="FFFFFF"/>
        <w:spacing w:before="0"/>
        <w:jc w:val="both"/>
        <w:rPr>
          <w:rFonts w:ascii="Times New Roman" w:hAnsi="Times New Roman" w:cs="Times New Roman"/>
          <w:b/>
          <w:color w:val="auto"/>
          <w:sz w:val="20"/>
          <w:szCs w:val="20"/>
        </w:rPr>
      </w:pPr>
      <w:r w:rsidRPr="00A26B4A">
        <w:rPr>
          <w:rFonts w:ascii="Times New Roman" w:hAnsi="Times New Roman" w:cs="Times New Roman"/>
          <w:b/>
          <w:color w:val="auto"/>
          <w:sz w:val="20"/>
          <w:szCs w:val="20"/>
        </w:rPr>
        <w:t>2.4.2 PCR Amplification</w:t>
      </w:r>
    </w:p>
    <w:p w14:paraId="7DF697AD" w14:textId="16305A70" w:rsidR="00E12AE1" w:rsidRPr="00A26B4A" w:rsidRDefault="00E12AE1" w:rsidP="00E43C6C">
      <w:pPr>
        <w:pStyle w:val="ds-markdown-paragraph"/>
        <w:shd w:val="clear" w:color="auto" w:fill="FFFFFF"/>
        <w:spacing w:before="0" w:beforeAutospacing="0" w:after="0" w:afterAutospacing="0"/>
        <w:jc w:val="both"/>
        <w:rPr>
          <w:sz w:val="20"/>
          <w:szCs w:val="20"/>
        </w:rPr>
      </w:pPr>
      <w:r w:rsidRPr="00A26B4A">
        <w:rPr>
          <w:sz w:val="20"/>
          <w:szCs w:val="20"/>
        </w:rPr>
        <w:t>PCR amplification of the </w:t>
      </w:r>
      <w:proofErr w:type="spellStart"/>
      <w:r w:rsidRPr="00A26B4A">
        <w:rPr>
          <w:rStyle w:val="Emphasis"/>
          <w:sz w:val="20"/>
          <w:szCs w:val="20"/>
        </w:rPr>
        <w:t>pvl</w:t>
      </w:r>
      <w:proofErr w:type="spellEnd"/>
      <w:r w:rsidRPr="00A26B4A">
        <w:rPr>
          <w:sz w:val="20"/>
          <w:szCs w:val="20"/>
        </w:rPr>
        <w:t> gene was performed using primers previously described by Abdel-</w:t>
      </w:r>
      <w:proofErr w:type="spellStart"/>
      <w:r w:rsidRPr="00A26B4A">
        <w:rPr>
          <w:sz w:val="20"/>
          <w:szCs w:val="20"/>
        </w:rPr>
        <w:t>Tawab</w:t>
      </w:r>
      <w:proofErr w:type="spellEnd"/>
      <w:r w:rsidRPr="00A26B4A">
        <w:rPr>
          <w:sz w:val="20"/>
          <w:szCs w:val="20"/>
        </w:rPr>
        <w:t xml:space="preserve"> </w:t>
      </w:r>
      <w:r w:rsidR="00FA074B" w:rsidRPr="00FA074B">
        <w:rPr>
          <w:i/>
          <w:sz w:val="20"/>
          <w:szCs w:val="20"/>
        </w:rPr>
        <w:t>et al</w:t>
      </w:r>
      <w:r w:rsidRPr="00A26B4A">
        <w:rPr>
          <w:sz w:val="20"/>
          <w:szCs w:val="20"/>
        </w:rPr>
        <w:t xml:space="preserve">. (2018): forward primer 5′-ATC ATT AGG TAA AAT GTC TGG ACA TGA TCC A-3′ and reverse primer 5′-GCA TCA AST GTA TTG GAT AGC AAA AGC-3′, targeting a 433 bp amplicon. The PCR reaction mixture (25 </w:t>
      </w:r>
      <w:proofErr w:type="spellStart"/>
      <w:r w:rsidRPr="00A26B4A">
        <w:rPr>
          <w:sz w:val="20"/>
          <w:szCs w:val="20"/>
        </w:rPr>
        <w:t>μL</w:t>
      </w:r>
      <w:proofErr w:type="spellEnd"/>
      <w:r w:rsidRPr="00A26B4A">
        <w:rPr>
          <w:sz w:val="20"/>
          <w:szCs w:val="20"/>
        </w:rPr>
        <w:t xml:space="preserve">) contained </w:t>
      </w:r>
      <w:r w:rsidRPr="00A26B4A">
        <w:rPr>
          <w:sz w:val="20"/>
          <w:szCs w:val="20"/>
        </w:rPr>
        <w:lastRenderedPageBreak/>
        <w:t xml:space="preserve">12.5 </w:t>
      </w:r>
      <w:proofErr w:type="spellStart"/>
      <w:r w:rsidRPr="00A26B4A">
        <w:rPr>
          <w:sz w:val="20"/>
          <w:szCs w:val="20"/>
        </w:rPr>
        <w:t>μL</w:t>
      </w:r>
      <w:proofErr w:type="spellEnd"/>
      <w:r w:rsidRPr="00A26B4A">
        <w:rPr>
          <w:sz w:val="20"/>
          <w:szCs w:val="20"/>
        </w:rPr>
        <w:t xml:space="preserve"> of </w:t>
      </w:r>
      <w:proofErr w:type="spellStart"/>
      <w:r w:rsidRPr="00A26B4A">
        <w:rPr>
          <w:sz w:val="20"/>
          <w:szCs w:val="20"/>
        </w:rPr>
        <w:t>Taq</w:t>
      </w:r>
      <w:proofErr w:type="spellEnd"/>
      <w:r w:rsidRPr="00A26B4A">
        <w:rPr>
          <w:sz w:val="20"/>
          <w:szCs w:val="20"/>
        </w:rPr>
        <w:t xml:space="preserve"> 2x Master Mix (New England Biolabs, M0270), 1 </w:t>
      </w:r>
      <w:proofErr w:type="spellStart"/>
      <w:r w:rsidRPr="00A26B4A">
        <w:rPr>
          <w:sz w:val="20"/>
          <w:szCs w:val="20"/>
        </w:rPr>
        <w:t>μL</w:t>
      </w:r>
      <w:proofErr w:type="spellEnd"/>
      <w:r w:rsidRPr="00A26B4A">
        <w:rPr>
          <w:sz w:val="20"/>
          <w:szCs w:val="20"/>
        </w:rPr>
        <w:t xml:space="preserve"> each of forward and reverse primers (10 </w:t>
      </w:r>
      <w:proofErr w:type="spellStart"/>
      <w:r w:rsidRPr="00A26B4A">
        <w:rPr>
          <w:sz w:val="20"/>
          <w:szCs w:val="20"/>
        </w:rPr>
        <w:t>μM</w:t>
      </w:r>
      <w:proofErr w:type="spellEnd"/>
      <w:r w:rsidRPr="00A26B4A">
        <w:rPr>
          <w:sz w:val="20"/>
          <w:szCs w:val="20"/>
        </w:rPr>
        <w:t xml:space="preserve">), 2 </w:t>
      </w:r>
      <w:proofErr w:type="spellStart"/>
      <w:r w:rsidRPr="00A26B4A">
        <w:rPr>
          <w:sz w:val="20"/>
          <w:szCs w:val="20"/>
        </w:rPr>
        <w:t>μL</w:t>
      </w:r>
      <w:proofErr w:type="spellEnd"/>
      <w:r w:rsidRPr="00A26B4A">
        <w:rPr>
          <w:sz w:val="20"/>
          <w:szCs w:val="20"/>
        </w:rPr>
        <w:t xml:space="preserve"> of DNA template, and 8.5 </w:t>
      </w:r>
      <w:proofErr w:type="spellStart"/>
      <w:r w:rsidRPr="00A26B4A">
        <w:rPr>
          <w:sz w:val="20"/>
          <w:szCs w:val="20"/>
        </w:rPr>
        <w:t>μL</w:t>
      </w:r>
      <w:proofErr w:type="spellEnd"/>
      <w:r w:rsidRPr="00A26B4A">
        <w:rPr>
          <w:sz w:val="20"/>
          <w:szCs w:val="20"/>
        </w:rPr>
        <w:t xml:space="preserve"> of nuclease-free water.</w:t>
      </w:r>
    </w:p>
    <w:p w14:paraId="7825B158" w14:textId="1AF2C36A" w:rsidR="00E12AE1" w:rsidRPr="00A26B4A" w:rsidRDefault="00E12AE1" w:rsidP="00E43C6C">
      <w:pPr>
        <w:pStyle w:val="ds-markdown-paragraph"/>
        <w:shd w:val="clear" w:color="auto" w:fill="FFFFFF"/>
        <w:spacing w:before="0" w:beforeAutospacing="0" w:after="0" w:afterAutospacing="0"/>
        <w:jc w:val="both"/>
        <w:rPr>
          <w:sz w:val="20"/>
          <w:szCs w:val="20"/>
        </w:rPr>
      </w:pPr>
      <w:r w:rsidRPr="00A26B4A">
        <w:rPr>
          <w:sz w:val="20"/>
          <w:szCs w:val="20"/>
        </w:rPr>
        <w:t>Amplification was performed under the following conditions: initial denaturation at 94°C for 2 minutes, followed by 35 cycles of denaturation at 94°C for 45 seconds, annealing at 56.5°C for 45 seconds, and extension at 72°C for 50 seconds, with a final extension at 72°C for 5 minutes (Abdel-</w:t>
      </w:r>
      <w:proofErr w:type="spellStart"/>
      <w:r w:rsidRPr="00A26B4A">
        <w:rPr>
          <w:sz w:val="20"/>
          <w:szCs w:val="20"/>
        </w:rPr>
        <w:t>Tawab</w:t>
      </w:r>
      <w:proofErr w:type="spellEnd"/>
      <w:r w:rsidRPr="00A26B4A">
        <w:rPr>
          <w:sz w:val="20"/>
          <w:szCs w:val="20"/>
        </w:rPr>
        <w:t xml:space="preserve"> </w:t>
      </w:r>
      <w:r w:rsidR="00FA074B" w:rsidRPr="00FA074B">
        <w:rPr>
          <w:i/>
          <w:sz w:val="20"/>
          <w:szCs w:val="20"/>
        </w:rPr>
        <w:t>et al</w:t>
      </w:r>
      <w:r w:rsidRPr="00A26B4A">
        <w:rPr>
          <w:sz w:val="20"/>
          <w:szCs w:val="20"/>
        </w:rPr>
        <w:t>., 2018).</w:t>
      </w:r>
    </w:p>
    <w:p w14:paraId="59117394" w14:textId="77777777" w:rsidR="00E12AE1" w:rsidRPr="00A26B4A" w:rsidRDefault="00E12AE1" w:rsidP="00E43C6C">
      <w:pPr>
        <w:pStyle w:val="Heading4"/>
        <w:shd w:val="clear" w:color="auto" w:fill="FFFFFF"/>
        <w:spacing w:before="0"/>
        <w:jc w:val="both"/>
        <w:rPr>
          <w:rFonts w:ascii="Times New Roman" w:hAnsi="Times New Roman" w:cs="Times New Roman"/>
          <w:b/>
          <w:color w:val="auto"/>
          <w:sz w:val="20"/>
          <w:szCs w:val="20"/>
        </w:rPr>
      </w:pPr>
      <w:r w:rsidRPr="00A26B4A">
        <w:rPr>
          <w:rFonts w:ascii="Times New Roman" w:hAnsi="Times New Roman" w:cs="Times New Roman"/>
          <w:b/>
          <w:color w:val="auto"/>
          <w:sz w:val="20"/>
          <w:szCs w:val="20"/>
        </w:rPr>
        <w:t>2.4.3 Gel Electrophoresis</w:t>
      </w:r>
    </w:p>
    <w:p w14:paraId="0D8BE34A" w14:textId="12D48AC1" w:rsidR="00E12AE1" w:rsidRPr="00A26B4A" w:rsidRDefault="00E12AE1" w:rsidP="00E43C6C">
      <w:pPr>
        <w:pStyle w:val="ds-markdown-paragraph"/>
        <w:shd w:val="clear" w:color="auto" w:fill="FFFFFF"/>
        <w:spacing w:before="0" w:beforeAutospacing="0" w:after="0" w:afterAutospacing="0"/>
        <w:jc w:val="both"/>
        <w:rPr>
          <w:sz w:val="20"/>
          <w:szCs w:val="20"/>
        </w:rPr>
      </w:pPr>
      <w:r w:rsidRPr="00A26B4A">
        <w:rPr>
          <w:sz w:val="20"/>
          <w:szCs w:val="20"/>
        </w:rPr>
        <w:t>PCR products were separated by electrophoresis on 2% agarose gel containing EZ-Vision DNA stain in 1× TAE buffer at 100V for 60 minutes. A 50 bp DNA ladder (</w:t>
      </w:r>
      <w:proofErr w:type="spellStart"/>
      <w:r w:rsidRPr="00A26B4A">
        <w:rPr>
          <w:sz w:val="20"/>
          <w:szCs w:val="20"/>
        </w:rPr>
        <w:t>NZYtech</w:t>
      </w:r>
      <w:proofErr w:type="spellEnd"/>
      <w:r w:rsidRPr="00A26B4A">
        <w:rPr>
          <w:sz w:val="20"/>
          <w:szCs w:val="20"/>
        </w:rPr>
        <w:t xml:space="preserve">, Lisbon, Portugal) was used as a molecular weight marker. Gels were visualized under UV light using a </w:t>
      </w:r>
      <w:proofErr w:type="spellStart"/>
      <w:r w:rsidRPr="00A26B4A">
        <w:rPr>
          <w:sz w:val="20"/>
          <w:szCs w:val="20"/>
        </w:rPr>
        <w:t>BioRad</w:t>
      </w:r>
      <w:proofErr w:type="spellEnd"/>
      <w:r w:rsidRPr="00A26B4A">
        <w:rPr>
          <w:sz w:val="20"/>
          <w:szCs w:val="20"/>
        </w:rPr>
        <w:t xml:space="preserve"> Universal Hood II transilluminator</w:t>
      </w:r>
      <w:r w:rsidR="007F5A9E" w:rsidRPr="00A26B4A">
        <w:rPr>
          <w:sz w:val="20"/>
          <w:szCs w:val="20"/>
        </w:rPr>
        <w:t xml:space="preserve"> (Peter </w:t>
      </w:r>
      <w:r w:rsidR="00FA074B" w:rsidRPr="00FA074B">
        <w:rPr>
          <w:i/>
          <w:sz w:val="20"/>
          <w:szCs w:val="20"/>
        </w:rPr>
        <w:t>et al</w:t>
      </w:r>
      <w:r w:rsidR="007F5A9E" w:rsidRPr="00A26B4A">
        <w:rPr>
          <w:i/>
          <w:sz w:val="20"/>
          <w:szCs w:val="20"/>
        </w:rPr>
        <w:t>.,</w:t>
      </w:r>
      <w:r w:rsidR="007F5A9E" w:rsidRPr="00A26B4A">
        <w:rPr>
          <w:sz w:val="20"/>
          <w:szCs w:val="20"/>
        </w:rPr>
        <w:t xml:space="preserve"> 2025)</w:t>
      </w:r>
      <w:r w:rsidRPr="00A26B4A">
        <w:rPr>
          <w:sz w:val="20"/>
          <w:szCs w:val="20"/>
        </w:rPr>
        <w:t>.</w:t>
      </w:r>
    </w:p>
    <w:p w14:paraId="4A9B3E49" w14:textId="77777777" w:rsidR="00E12AE1" w:rsidRPr="00A26B4A" w:rsidRDefault="00E12AE1" w:rsidP="00E43C6C">
      <w:pPr>
        <w:pStyle w:val="Heading3"/>
        <w:shd w:val="clear" w:color="auto" w:fill="FFFFFF"/>
        <w:spacing w:before="0"/>
        <w:jc w:val="both"/>
        <w:rPr>
          <w:rFonts w:ascii="Times New Roman" w:hAnsi="Times New Roman" w:cs="Times New Roman"/>
          <w:b/>
          <w:color w:val="auto"/>
          <w:sz w:val="20"/>
          <w:szCs w:val="20"/>
        </w:rPr>
      </w:pPr>
      <w:r w:rsidRPr="00A26B4A">
        <w:rPr>
          <w:rFonts w:ascii="Times New Roman" w:hAnsi="Times New Roman" w:cs="Times New Roman"/>
          <w:b/>
          <w:color w:val="auto"/>
          <w:sz w:val="20"/>
          <w:szCs w:val="20"/>
        </w:rPr>
        <w:t>2.5 Statistical Analysis</w:t>
      </w:r>
    </w:p>
    <w:p w14:paraId="40B15D65" w14:textId="77777777" w:rsidR="00E12AE1" w:rsidRPr="00A26B4A" w:rsidRDefault="00E12AE1" w:rsidP="00E43C6C">
      <w:pPr>
        <w:pStyle w:val="ds-markdown-paragraph"/>
        <w:shd w:val="clear" w:color="auto" w:fill="FFFFFF"/>
        <w:spacing w:before="0" w:beforeAutospacing="0" w:after="0" w:afterAutospacing="0"/>
        <w:jc w:val="both"/>
        <w:rPr>
          <w:sz w:val="20"/>
          <w:szCs w:val="20"/>
        </w:rPr>
      </w:pPr>
      <w:r w:rsidRPr="00A26B4A">
        <w:rPr>
          <w:sz w:val="20"/>
          <w:szCs w:val="20"/>
        </w:rPr>
        <w:t>Descriptive statistics were used to summarize antibiotic resistance patterns. Fisher's exact test was employed to compare resistance rates between </w:t>
      </w:r>
      <w:proofErr w:type="spellStart"/>
      <w:r w:rsidRPr="00A26B4A">
        <w:rPr>
          <w:rStyle w:val="Emphasis"/>
          <w:sz w:val="20"/>
          <w:szCs w:val="20"/>
        </w:rPr>
        <w:t>pvl</w:t>
      </w:r>
      <w:proofErr w:type="spellEnd"/>
      <w:r w:rsidRPr="00A26B4A">
        <w:rPr>
          <w:sz w:val="20"/>
          <w:szCs w:val="20"/>
        </w:rPr>
        <w:t>-positive and </w:t>
      </w:r>
      <w:proofErr w:type="spellStart"/>
      <w:r w:rsidRPr="00A26B4A">
        <w:rPr>
          <w:rStyle w:val="Emphasis"/>
          <w:sz w:val="20"/>
          <w:szCs w:val="20"/>
        </w:rPr>
        <w:t>pvl</w:t>
      </w:r>
      <w:proofErr w:type="spellEnd"/>
      <w:r w:rsidR="00522B02" w:rsidRPr="00A26B4A">
        <w:rPr>
          <w:sz w:val="20"/>
          <w:szCs w:val="20"/>
        </w:rPr>
        <w:t>-negative isolates. A p</w:t>
      </w:r>
      <w:r w:rsidRPr="00A26B4A">
        <w:rPr>
          <w:sz w:val="20"/>
          <w:szCs w:val="20"/>
        </w:rPr>
        <w:t>-value &lt; 0.05 was considered statistically significant. Analyses were performed using GraphPad Prism version 9.0.</w:t>
      </w:r>
    </w:p>
    <w:p w14:paraId="6F58D497" w14:textId="77777777" w:rsidR="009D3187" w:rsidRPr="00A26B4A" w:rsidRDefault="009D3187" w:rsidP="00E43C6C">
      <w:pPr>
        <w:pStyle w:val="Heading2"/>
        <w:shd w:val="clear" w:color="auto" w:fill="FFFFFF"/>
        <w:spacing w:before="0" w:beforeAutospacing="0" w:after="0" w:afterAutospacing="0"/>
        <w:jc w:val="both"/>
        <w:rPr>
          <w:sz w:val="20"/>
          <w:szCs w:val="20"/>
        </w:rPr>
      </w:pPr>
      <w:r w:rsidRPr="00A26B4A">
        <w:rPr>
          <w:sz w:val="20"/>
          <w:szCs w:val="20"/>
        </w:rPr>
        <w:t>3. Results</w:t>
      </w:r>
    </w:p>
    <w:p w14:paraId="3DE08A16" w14:textId="77777777" w:rsidR="009D3187" w:rsidRPr="00A26B4A" w:rsidRDefault="009D3187" w:rsidP="00E43C6C">
      <w:pPr>
        <w:pStyle w:val="Heading3"/>
        <w:shd w:val="clear" w:color="auto" w:fill="FFFFFF"/>
        <w:spacing w:before="0"/>
        <w:jc w:val="both"/>
        <w:rPr>
          <w:rFonts w:ascii="Times New Roman" w:hAnsi="Times New Roman" w:cs="Times New Roman"/>
          <w:b/>
          <w:color w:val="auto"/>
          <w:sz w:val="20"/>
          <w:szCs w:val="20"/>
        </w:rPr>
      </w:pPr>
      <w:r w:rsidRPr="00A26B4A">
        <w:rPr>
          <w:rFonts w:ascii="Times New Roman" w:hAnsi="Times New Roman" w:cs="Times New Roman"/>
          <w:b/>
          <w:color w:val="auto"/>
          <w:sz w:val="20"/>
          <w:szCs w:val="20"/>
        </w:rPr>
        <w:t xml:space="preserve">3.1 Isolation and Identification of </w:t>
      </w:r>
      <w:proofErr w:type="spellStart"/>
      <w:r w:rsidRPr="00A26B4A">
        <w:rPr>
          <w:rFonts w:ascii="Times New Roman" w:hAnsi="Times New Roman" w:cs="Times New Roman"/>
          <w:b/>
          <w:color w:val="auto"/>
          <w:sz w:val="20"/>
          <w:szCs w:val="20"/>
        </w:rPr>
        <w:t>CoNS</w:t>
      </w:r>
      <w:proofErr w:type="spellEnd"/>
    </w:p>
    <w:p w14:paraId="6A1E30C0" w14:textId="77777777" w:rsidR="009D3187" w:rsidRPr="00A26B4A" w:rsidRDefault="009D3187" w:rsidP="00E43C6C">
      <w:pPr>
        <w:pStyle w:val="ds-markdown-paragraph"/>
        <w:shd w:val="clear" w:color="auto" w:fill="FFFFFF"/>
        <w:spacing w:before="0" w:beforeAutospacing="0" w:after="0" w:afterAutospacing="0"/>
        <w:jc w:val="both"/>
        <w:rPr>
          <w:sz w:val="20"/>
          <w:szCs w:val="20"/>
        </w:rPr>
      </w:pPr>
      <w:r w:rsidRPr="00A26B4A">
        <w:rPr>
          <w:sz w:val="20"/>
          <w:szCs w:val="20"/>
        </w:rPr>
        <w:t>A total of 12 coagulase-negative </w:t>
      </w:r>
      <w:r w:rsidRPr="00A26B4A">
        <w:rPr>
          <w:rStyle w:val="Emphasis"/>
          <w:sz w:val="20"/>
          <w:szCs w:val="20"/>
        </w:rPr>
        <w:t>Staphylococcus</w:t>
      </w:r>
      <w:r w:rsidRPr="00A26B4A">
        <w:rPr>
          <w:sz w:val="20"/>
          <w:szCs w:val="20"/>
        </w:rPr>
        <w:t> isolates were recovered from 25 </w:t>
      </w:r>
      <w:proofErr w:type="spellStart"/>
      <w:r w:rsidRPr="00A26B4A">
        <w:rPr>
          <w:rStyle w:val="Emphasis"/>
          <w:sz w:val="20"/>
          <w:szCs w:val="20"/>
        </w:rPr>
        <w:t>Telfairia</w:t>
      </w:r>
      <w:proofErr w:type="spellEnd"/>
      <w:r w:rsidRPr="00A26B4A">
        <w:rPr>
          <w:rStyle w:val="Emphasis"/>
          <w:sz w:val="20"/>
          <w:szCs w:val="20"/>
        </w:rPr>
        <w:t xml:space="preserve"> </w:t>
      </w:r>
      <w:proofErr w:type="spellStart"/>
      <w:r w:rsidRPr="00A26B4A">
        <w:rPr>
          <w:rStyle w:val="Emphasis"/>
          <w:sz w:val="20"/>
          <w:szCs w:val="20"/>
        </w:rPr>
        <w:t>occidentalis</w:t>
      </w:r>
      <w:proofErr w:type="spellEnd"/>
      <w:r w:rsidRPr="00A26B4A">
        <w:rPr>
          <w:sz w:val="20"/>
          <w:szCs w:val="20"/>
        </w:rPr>
        <w:t> vegetable samples, representing a prevalence of 48.0%. All isolates were confirmed as Gram-positive cocci, catalase-positive, coagulase-negative, and produced pink-red colonies on Mannitol Salt Agar. Biochemical characterization revealed consistent fermentation of glucose, lactose, and sucrose, with negative reactions for arabinose and xylose fermentation.</w:t>
      </w:r>
    </w:p>
    <w:p w14:paraId="23412FE3" w14:textId="77777777" w:rsidR="009D3187" w:rsidRPr="00A26B4A" w:rsidRDefault="009D3187" w:rsidP="00E43C6C">
      <w:pPr>
        <w:pStyle w:val="Heading3"/>
        <w:shd w:val="clear" w:color="auto" w:fill="FFFFFF"/>
        <w:spacing w:before="0"/>
        <w:jc w:val="both"/>
        <w:rPr>
          <w:rFonts w:ascii="Times New Roman" w:hAnsi="Times New Roman" w:cs="Times New Roman"/>
          <w:b/>
          <w:color w:val="auto"/>
          <w:sz w:val="20"/>
          <w:szCs w:val="20"/>
        </w:rPr>
      </w:pPr>
      <w:r w:rsidRPr="00A26B4A">
        <w:rPr>
          <w:rFonts w:ascii="Times New Roman" w:hAnsi="Times New Roman" w:cs="Times New Roman"/>
          <w:b/>
          <w:color w:val="auto"/>
          <w:sz w:val="20"/>
          <w:szCs w:val="20"/>
        </w:rPr>
        <w:t>3.2 Antibiotic Susceptibility Profile</w:t>
      </w:r>
    </w:p>
    <w:p w14:paraId="16D6CDCA" w14:textId="77777777" w:rsidR="009D3187" w:rsidRPr="00A26B4A" w:rsidRDefault="009D3187" w:rsidP="00E43C6C">
      <w:pPr>
        <w:pStyle w:val="ds-markdown-paragraph"/>
        <w:shd w:val="clear" w:color="auto" w:fill="FFFFFF"/>
        <w:spacing w:before="0" w:beforeAutospacing="0" w:after="0" w:afterAutospacing="0"/>
        <w:jc w:val="both"/>
        <w:rPr>
          <w:sz w:val="20"/>
          <w:szCs w:val="20"/>
        </w:rPr>
      </w:pPr>
      <w:r w:rsidRPr="00A26B4A">
        <w:rPr>
          <w:sz w:val="20"/>
          <w:szCs w:val="20"/>
        </w:rPr>
        <w:t xml:space="preserve">The antibiotic resistance patterns of </w:t>
      </w:r>
      <w:proofErr w:type="spellStart"/>
      <w:r w:rsidRPr="00A26B4A">
        <w:rPr>
          <w:sz w:val="20"/>
          <w:szCs w:val="20"/>
        </w:rPr>
        <w:t>CoNS</w:t>
      </w:r>
      <w:proofErr w:type="spellEnd"/>
      <w:r w:rsidRPr="00A26B4A">
        <w:rPr>
          <w:sz w:val="20"/>
          <w:szCs w:val="20"/>
        </w:rPr>
        <w:t xml:space="preserve"> isolates from </w:t>
      </w:r>
      <w:r w:rsidRPr="00A26B4A">
        <w:rPr>
          <w:rStyle w:val="Emphasis"/>
          <w:sz w:val="20"/>
          <w:szCs w:val="20"/>
        </w:rPr>
        <w:t xml:space="preserve">T. </w:t>
      </w:r>
      <w:proofErr w:type="spellStart"/>
      <w:r w:rsidRPr="00A26B4A">
        <w:rPr>
          <w:rStyle w:val="Emphasis"/>
          <w:sz w:val="20"/>
          <w:szCs w:val="20"/>
        </w:rPr>
        <w:t>occidentalis</w:t>
      </w:r>
      <w:proofErr w:type="spellEnd"/>
      <w:r w:rsidRPr="00A26B4A">
        <w:rPr>
          <w:sz w:val="20"/>
          <w:szCs w:val="20"/>
        </w:rPr>
        <w:t> are presented in Table 1. Isolates demonstrated alarmingly high resistance rates to multiple antibiotics across various drug classes. Complete resistance (100%) was observed for cefoxitin, imipenem, oxacillin, and trimethoprim-sulfamethoxazole. High-level resistance was also documented for amoxicillin-clavulanic acid (83.3%), chloramphenicol (91.7%), ceftriaxone (83.3%), and erythromycin (66.7%).</w:t>
      </w:r>
    </w:p>
    <w:p w14:paraId="49A18C4F" w14:textId="77777777" w:rsidR="009D3187" w:rsidRPr="00A26B4A" w:rsidRDefault="009D3187" w:rsidP="00E43C6C">
      <w:pPr>
        <w:pStyle w:val="ds-markdown-paragraph"/>
        <w:shd w:val="clear" w:color="auto" w:fill="FFFFFF"/>
        <w:spacing w:before="0" w:beforeAutospacing="0" w:after="0" w:afterAutospacing="0"/>
        <w:jc w:val="both"/>
        <w:rPr>
          <w:sz w:val="20"/>
          <w:szCs w:val="20"/>
        </w:rPr>
      </w:pPr>
      <w:r w:rsidRPr="00A26B4A">
        <w:rPr>
          <w:sz w:val="20"/>
          <w:szCs w:val="20"/>
        </w:rPr>
        <w:t>In contrast, fluoroquinolones demonstrated excellent activity, with susceptibility rates of 83.3% and 91.7% for ciprofloxacin and levofloxacin, respectively. Meropenem retained activity against 75.0% of isolates. Variable susceptibility was observed for gentamicin (41.7% susceptible), clindamycin (50.0%), and vancomycin (41.7%).</w:t>
      </w:r>
    </w:p>
    <w:p w14:paraId="559088F1" w14:textId="77777777" w:rsidR="003C04A6" w:rsidRPr="00A26B4A" w:rsidRDefault="003C04A6" w:rsidP="00E43C6C">
      <w:pPr>
        <w:shd w:val="clear" w:color="auto" w:fill="FFFFFF"/>
        <w:spacing w:after="0" w:line="240" w:lineRule="auto"/>
        <w:jc w:val="both"/>
        <w:rPr>
          <w:rFonts w:ascii="Times New Roman" w:eastAsia="Times New Roman" w:hAnsi="Times New Roman" w:cs="Times New Roman"/>
          <w:b/>
          <w:bCs/>
          <w:sz w:val="20"/>
          <w:szCs w:val="20"/>
        </w:rPr>
      </w:pPr>
      <w:r w:rsidRPr="00A26B4A">
        <w:rPr>
          <w:rFonts w:ascii="Times New Roman" w:eastAsia="Times New Roman" w:hAnsi="Times New Roman" w:cs="Times New Roman"/>
          <w:b/>
          <w:bCs/>
          <w:sz w:val="20"/>
          <w:szCs w:val="20"/>
        </w:rPr>
        <w:t xml:space="preserve">Table 1: Antibiotic Susceptibility Profile of </w:t>
      </w:r>
      <w:proofErr w:type="spellStart"/>
      <w:r w:rsidRPr="00A26B4A">
        <w:rPr>
          <w:rFonts w:ascii="Times New Roman" w:eastAsia="Times New Roman" w:hAnsi="Times New Roman" w:cs="Times New Roman"/>
          <w:b/>
          <w:bCs/>
          <w:sz w:val="20"/>
          <w:szCs w:val="20"/>
        </w:rPr>
        <w:t>CoNS</w:t>
      </w:r>
      <w:proofErr w:type="spellEnd"/>
      <w:r w:rsidRPr="00A26B4A">
        <w:rPr>
          <w:rFonts w:ascii="Times New Roman" w:eastAsia="Times New Roman" w:hAnsi="Times New Roman" w:cs="Times New Roman"/>
          <w:b/>
          <w:bCs/>
          <w:sz w:val="20"/>
          <w:szCs w:val="20"/>
        </w:rPr>
        <w:t xml:space="preserve"> Isolated from </w:t>
      </w:r>
      <w:proofErr w:type="spellStart"/>
      <w:r w:rsidRPr="00A26B4A">
        <w:rPr>
          <w:rFonts w:ascii="Times New Roman" w:eastAsia="Times New Roman" w:hAnsi="Times New Roman" w:cs="Times New Roman"/>
          <w:b/>
          <w:bCs/>
          <w:i/>
          <w:iCs/>
          <w:sz w:val="20"/>
          <w:szCs w:val="20"/>
        </w:rPr>
        <w:t>Telfairia</w:t>
      </w:r>
      <w:proofErr w:type="spellEnd"/>
      <w:r w:rsidRPr="00A26B4A">
        <w:rPr>
          <w:rFonts w:ascii="Times New Roman" w:eastAsia="Times New Roman" w:hAnsi="Times New Roman" w:cs="Times New Roman"/>
          <w:b/>
          <w:bCs/>
          <w:i/>
          <w:iCs/>
          <w:sz w:val="20"/>
          <w:szCs w:val="20"/>
        </w:rPr>
        <w:t xml:space="preserve"> </w:t>
      </w:r>
      <w:proofErr w:type="spellStart"/>
      <w:r w:rsidRPr="00A26B4A">
        <w:rPr>
          <w:rFonts w:ascii="Times New Roman" w:eastAsia="Times New Roman" w:hAnsi="Times New Roman" w:cs="Times New Roman"/>
          <w:b/>
          <w:bCs/>
          <w:i/>
          <w:iCs/>
          <w:sz w:val="20"/>
          <w:szCs w:val="20"/>
        </w:rPr>
        <w:t>occidentalis</w:t>
      </w:r>
      <w:proofErr w:type="spellEnd"/>
      <w:r w:rsidRPr="00A26B4A">
        <w:rPr>
          <w:rFonts w:ascii="Times New Roman" w:eastAsia="Times New Roman" w:hAnsi="Times New Roman" w:cs="Times New Roman"/>
          <w:b/>
          <w:bCs/>
          <w:sz w:val="20"/>
          <w:szCs w:val="20"/>
        </w:rPr>
        <w:t> (n=12)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26B4A" w:rsidRPr="00A26B4A" w14:paraId="2BFA2FA7" w14:textId="77777777" w:rsidTr="003A161A">
        <w:tc>
          <w:tcPr>
            <w:tcW w:w="3116" w:type="dxa"/>
            <w:tcBorders>
              <w:top w:val="single" w:sz="4" w:space="0" w:color="auto"/>
              <w:bottom w:val="single" w:sz="4" w:space="0" w:color="auto"/>
            </w:tcBorders>
            <w:vAlign w:val="center"/>
          </w:tcPr>
          <w:p w14:paraId="24E26204" w14:textId="77777777" w:rsidR="00B4305D" w:rsidRPr="00A26B4A" w:rsidRDefault="00B4305D" w:rsidP="00E43C6C">
            <w:pPr>
              <w:jc w:val="both"/>
              <w:rPr>
                <w:rFonts w:ascii="Times New Roman" w:eastAsia="Times New Roman" w:hAnsi="Times New Roman" w:cs="Times New Roman"/>
                <w:b/>
                <w:bCs/>
                <w:sz w:val="20"/>
                <w:szCs w:val="20"/>
              </w:rPr>
            </w:pPr>
            <w:r w:rsidRPr="00A26B4A">
              <w:rPr>
                <w:rFonts w:ascii="Times New Roman" w:eastAsia="Times New Roman" w:hAnsi="Times New Roman" w:cs="Times New Roman"/>
                <w:b/>
                <w:bCs/>
                <w:sz w:val="20"/>
                <w:szCs w:val="20"/>
              </w:rPr>
              <w:t>Antibiotic</w:t>
            </w:r>
          </w:p>
        </w:tc>
        <w:tc>
          <w:tcPr>
            <w:tcW w:w="3117" w:type="dxa"/>
            <w:tcBorders>
              <w:top w:val="single" w:sz="4" w:space="0" w:color="auto"/>
              <w:bottom w:val="single" w:sz="4" w:space="0" w:color="auto"/>
            </w:tcBorders>
            <w:vAlign w:val="center"/>
          </w:tcPr>
          <w:p w14:paraId="1BD6EC7A" w14:textId="77777777" w:rsidR="00B4305D" w:rsidRPr="00A26B4A" w:rsidRDefault="00B4305D" w:rsidP="00E43C6C">
            <w:pPr>
              <w:jc w:val="both"/>
              <w:rPr>
                <w:rFonts w:ascii="Times New Roman" w:eastAsia="Times New Roman" w:hAnsi="Times New Roman" w:cs="Times New Roman"/>
                <w:b/>
                <w:bCs/>
                <w:sz w:val="20"/>
                <w:szCs w:val="20"/>
              </w:rPr>
            </w:pPr>
            <w:r w:rsidRPr="00A26B4A">
              <w:rPr>
                <w:rFonts w:ascii="Times New Roman" w:eastAsia="Times New Roman" w:hAnsi="Times New Roman" w:cs="Times New Roman"/>
                <w:b/>
                <w:bCs/>
                <w:sz w:val="20"/>
                <w:szCs w:val="20"/>
              </w:rPr>
              <w:t>Resistant n (%)</w:t>
            </w:r>
          </w:p>
        </w:tc>
        <w:tc>
          <w:tcPr>
            <w:tcW w:w="3117" w:type="dxa"/>
            <w:tcBorders>
              <w:top w:val="single" w:sz="4" w:space="0" w:color="auto"/>
              <w:bottom w:val="single" w:sz="4" w:space="0" w:color="auto"/>
            </w:tcBorders>
            <w:vAlign w:val="center"/>
          </w:tcPr>
          <w:p w14:paraId="1F3AC091" w14:textId="77777777" w:rsidR="00B4305D" w:rsidRPr="00A26B4A" w:rsidRDefault="00B4305D" w:rsidP="00E43C6C">
            <w:pPr>
              <w:jc w:val="both"/>
              <w:rPr>
                <w:rFonts w:ascii="Times New Roman" w:eastAsia="Times New Roman" w:hAnsi="Times New Roman" w:cs="Times New Roman"/>
                <w:b/>
                <w:bCs/>
                <w:sz w:val="20"/>
                <w:szCs w:val="20"/>
              </w:rPr>
            </w:pPr>
            <w:r w:rsidRPr="00A26B4A">
              <w:rPr>
                <w:rFonts w:ascii="Times New Roman" w:eastAsia="Times New Roman" w:hAnsi="Times New Roman" w:cs="Times New Roman"/>
                <w:b/>
                <w:bCs/>
                <w:sz w:val="20"/>
                <w:szCs w:val="20"/>
              </w:rPr>
              <w:t>Susceptible n (%)</w:t>
            </w:r>
          </w:p>
        </w:tc>
      </w:tr>
      <w:tr w:rsidR="00A26B4A" w:rsidRPr="00A26B4A" w14:paraId="351680EB" w14:textId="77777777" w:rsidTr="003A161A">
        <w:tc>
          <w:tcPr>
            <w:tcW w:w="3116" w:type="dxa"/>
            <w:tcBorders>
              <w:top w:val="single" w:sz="4" w:space="0" w:color="auto"/>
            </w:tcBorders>
            <w:vAlign w:val="center"/>
          </w:tcPr>
          <w:p w14:paraId="3802DD41"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Amoxicillin-Clavulanic Acid</w:t>
            </w:r>
          </w:p>
        </w:tc>
        <w:tc>
          <w:tcPr>
            <w:tcW w:w="3117" w:type="dxa"/>
            <w:tcBorders>
              <w:top w:val="single" w:sz="4" w:space="0" w:color="auto"/>
            </w:tcBorders>
            <w:vAlign w:val="center"/>
          </w:tcPr>
          <w:p w14:paraId="60EEDA4E"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10 (83.3)</w:t>
            </w:r>
          </w:p>
        </w:tc>
        <w:tc>
          <w:tcPr>
            <w:tcW w:w="3117" w:type="dxa"/>
            <w:tcBorders>
              <w:top w:val="single" w:sz="4" w:space="0" w:color="auto"/>
            </w:tcBorders>
            <w:vAlign w:val="center"/>
          </w:tcPr>
          <w:p w14:paraId="4639DE6B"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2 (16.7)</w:t>
            </w:r>
          </w:p>
        </w:tc>
      </w:tr>
      <w:tr w:rsidR="00A26B4A" w:rsidRPr="00A26B4A" w14:paraId="5923A6E8" w14:textId="77777777" w:rsidTr="003A161A">
        <w:tc>
          <w:tcPr>
            <w:tcW w:w="3116" w:type="dxa"/>
            <w:vAlign w:val="center"/>
          </w:tcPr>
          <w:p w14:paraId="3B5C8D3D"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Piperacillin-Tazobactam</w:t>
            </w:r>
          </w:p>
        </w:tc>
        <w:tc>
          <w:tcPr>
            <w:tcW w:w="3117" w:type="dxa"/>
            <w:vAlign w:val="center"/>
          </w:tcPr>
          <w:p w14:paraId="68A33D24"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6 (50.0)</w:t>
            </w:r>
          </w:p>
        </w:tc>
        <w:tc>
          <w:tcPr>
            <w:tcW w:w="3117" w:type="dxa"/>
            <w:vAlign w:val="center"/>
          </w:tcPr>
          <w:p w14:paraId="596D8211"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6 (50.0)</w:t>
            </w:r>
          </w:p>
        </w:tc>
      </w:tr>
      <w:tr w:rsidR="00A26B4A" w:rsidRPr="00A26B4A" w14:paraId="0018F3EA" w14:textId="77777777" w:rsidTr="003A161A">
        <w:tc>
          <w:tcPr>
            <w:tcW w:w="3116" w:type="dxa"/>
            <w:vAlign w:val="center"/>
          </w:tcPr>
          <w:p w14:paraId="47C6FF3A"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Ceftriaxone</w:t>
            </w:r>
          </w:p>
        </w:tc>
        <w:tc>
          <w:tcPr>
            <w:tcW w:w="3117" w:type="dxa"/>
            <w:vAlign w:val="center"/>
          </w:tcPr>
          <w:p w14:paraId="383A31F5"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10 (83.3)</w:t>
            </w:r>
          </w:p>
        </w:tc>
        <w:tc>
          <w:tcPr>
            <w:tcW w:w="3117" w:type="dxa"/>
            <w:vAlign w:val="center"/>
          </w:tcPr>
          <w:p w14:paraId="2B9B4E56"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2 (16.7)</w:t>
            </w:r>
          </w:p>
        </w:tc>
      </w:tr>
      <w:tr w:rsidR="00A26B4A" w:rsidRPr="00A26B4A" w14:paraId="6D4784CD" w14:textId="77777777" w:rsidTr="003A161A">
        <w:tc>
          <w:tcPr>
            <w:tcW w:w="3116" w:type="dxa"/>
            <w:vAlign w:val="center"/>
          </w:tcPr>
          <w:p w14:paraId="58521419"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Cefoxitin</w:t>
            </w:r>
          </w:p>
        </w:tc>
        <w:tc>
          <w:tcPr>
            <w:tcW w:w="3117" w:type="dxa"/>
            <w:vAlign w:val="center"/>
          </w:tcPr>
          <w:p w14:paraId="5FD9F6D9"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12 (100)</w:t>
            </w:r>
          </w:p>
        </w:tc>
        <w:tc>
          <w:tcPr>
            <w:tcW w:w="3117" w:type="dxa"/>
            <w:vAlign w:val="center"/>
          </w:tcPr>
          <w:p w14:paraId="47DFBC4C"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0 (0.0)</w:t>
            </w:r>
          </w:p>
        </w:tc>
      </w:tr>
      <w:tr w:rsidR="00A26B4A" w:rsidRPr="00A26B4A" w14:paraId="34F78194" w14:textId="77777777" w:rsidTr="003A161A">
        <w:tc>
          <w:tcPr>
            <w:tcW w:w="3116" w:type="dxa"/>
            <w:vAlign w:val="center"/>
          </w:tcPr>
          <w:p w14:paraId="6BBE9A77"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Imipenem</w:t>
            </w:r>
          </w:p>
        </w:tc>
        <w:tc>
          <w:tcPr>
            <w:tcW w:w="3117" w:type="dxa"/>
            <w:vAlign w:val="center"/>
          </w:tcPr>
          <w:p w14:paraId="0A38B9F3"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12 (100)</w:t>
            </w:r>
          </w:p>
        </w:tc>
        <w:tc>
          <w:tcPr>
            <w:tcW w:w="3117" w:type="dxa"/>
            <w:vAlign w:val="center"/>
          </w:tcPr>
          <w:p w14:paraId="3D42565A"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0 (0.0)</w:t>
            </w:r>
          </w:p>
        </w:tc>
      </w:tr>
      <w:tr w:rsidR="00A26B4A" w:rsidRPr="00A26B4A" w14:paraId="1BE2D931" w14:textId="77777777" w:rsidTr="003A161A">
        <w:tc>
          <w:tcPr>
            <w:tcW w:w="3116" w:type="dxa"/>
            <w:vAlign w:val="center"/>
          </w:tcPr>
          <w:p w14:paraId="1632DE2A"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Meropenem</w:t>
            </w:r>
          </w:p>
        </w:tc>
        <w:tc>
          <w:tcPr>
            <w:tcW w:w="3117" w:type="dxa"/>
            <w:vAlign w:val="center"/>
          </w:tcPr>
          <w:p w14:paraId="3881AB1A"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3 (25.0)</w:t>
            </w:r>
          </w:p>
        </w:tc>
        <w:tc>
          <w:tcPr>
            <w:tcW w:w="3117" w:type="dxa"/>
            <w:vAlign w:val="center"/>
          </w:tcPr>
          <w:p w14:paraId="618DE6F9"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9 (75.0)</w:t>
            </w:r>
          </w:p>
        </w:tc>
      </w:tr>
      <w:tr w:rsidR="00A26B4A" w:rsidRPr="00A26B4A" w14:paraId="49E4ABBC" w14:textId="77777777" w:rsidTr="003A161A">
        <w:tc>
          <w:tcPr>
            <w:tcW w:w="3116" w:type="dxa"/>
            <w:vAlign w:val="center"/>
          </w:tcPr>
          <w:p w14:paraId="68B2F481"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Oxacillin</w:t>
            </w:r>
          </w:p>
        </w:tc>
        <w:tc>
          <w:tcPr>
            <w:tcW w:w="3117" w:type="dxa"/>
            <w:vAlign w:val="center"/>
          </w:tcPr>
          <w:p w14:paraId="345AF28C"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12 (100)</w:t>
            </w:r>
          </w:p>
        </w:tc>
        <w:tc>
          <w:tcPr>
            <w:tcW w:w="3117" w:type="dxa"/>
            <w:vAlign w:val="center"/>
          </w:tcPr>
          <w:p w14:paraId="2017BE1A"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0 (0.0)</w:t>
            </w:r>
          </w:p>
        </w:tc>
      </w:tr>
      <w:tr w:rsidR="00A26B4A" w:rsidRPr="00A26B4A" w14:paraId="50DADD8B" w14:textId="77777777" w:rsidTr="003A161A">
        <w:tc>
          <w:tcPr>
            <w:tcW w:w="3116" w:type="dxa"/>
            <w:vAlign w:val="center"/>
          </w:tcPr>
          <w:p w14:paraId="649D1F4A"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Ciprofloxacin</w:t>
            </w:r>
          </w:p>
        </w:tc>
        <w:tc>
          <w:tcPr>
            <w:tcW w:w="3117" w:type="dxa"/>
            <w:vAlign w:val="center"/>
          </w:tcPr>
          <w:p w14:paraId="7AC64B79"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2 (16.7)</w:t>
            </w:r>
          </w:p>
        </w:tc>
        <w:tc>
          <w:tcPr>
            <w:tcW w:w="3117" w:type="dxa"/>
            <w:vAlign w:val="center"/>
          </w:tcPr>
          <w:p w14:paraId="244A48E2"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10 (83.3)</w:t>
            </w:r>
          </w:p>
        </w:tc>
      </w:tr>
      <w:tr w:rsidR="00A26B4A" w:rsidRPr="00A26B4A" w14:paraId="6DA70D83" w14:textId="77777777" w:rsidTr="003A161A">
        <w:tc>
          <w:tcPr>
            <w:tcW w:w="3116" w:type="dxa"/>
            <w:vAlign w:val="center"/>
          </w:tcPr>
          <w:p w14:paraId="7771F65C"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Levofloxacin</w:t>
            </w:r>
          </w:p>
        </w:tc>
        <w:tc>
          <w:tcPr>
            <w:tcW w:w="3117" w:type="dxa"/>
            <w:vAlign w:val="center"/>
          </w:tcPr>
          <w:p w14:paraId="6A051198"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 (8.3)</w:t>
            </w:r>
          </w:p>
        </w:tc>
        <w:tc>
          <w:tcPr>
            <w:tcW w:w="3117" w:type="dxa"/>
            <w:vAlign w:val="center"/>
          </w:tcPr>
          <w:p w14:paraId="5F80DCE4"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11 (91.7)</w:t>
            </w:r>
          </w:p>
        </w:tc>
      </w:tr>
      <w:tr w:rsidR="00A26B4A" w:rsidRPr="00A26B4A" w14:paraId="297DE642" w14:textId="77777777" w:rsidTr="003A161A">
        <w:tc>
          <w:tcPr>
            <w:tcW w:w="3116" w:type="dxa"/>
            <w:vAlign w:val="center"/>
          </w:tcPr>
          <w:p w14:paraId="3CBE5001"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Gentamicin</w:t>
            </w:r>
          </w:p>
        </w:tc>
        <w:tc>
          <w:tcPr>
            <w:tcW w:w="3117" w:type="dxa"/>
            <w:vAlign w:val="center"/>
          </w:tcPr>
          <w:p w14:paraId="6C10021D"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7 (58.3)</w:t>
            </w:r>
          </w:p>
        </w:tc>
        <w:tc>
          <w:tcPr>
            <w:tcW w:w="3117" w:type="dxa"/>
            <w:vAlign w:val="center"/>
          </w:tcPr>
          <w:p w14:paraId="3D2E04E0"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5 (41.7)</w:t>
            </w:r>
          </w:p>
        </w:tc>
      </w:tr>
      <w:tr w:rsidR="00A26B4A" w:rsidRPr="00A26B4A" w14:paraId="3E55C049" w14:textId="77777777" w:rsidTr="003A161A">
        <w:tc>
          <w:tcPr>
            <w:tcW w:w="3116" w:type="dxa"/>
            <w:vAlign w:val="center"/>
          </w:tcPr>
          <w:p w14:paraId="5DF7467F"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Streptomycin</w:t>
            </w:r>
          </w:p>
        </w:tc>
        <w:tc>
          <w:tcPr>
            <w:tcW w:w="3117" w:type="dxa"/>
            <w:vAlign w:val="center"/>
          </w:tcPr>
          <w:p w14:paraId="72584BC7"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5 (41.7)</w:t>
            </w:r>
          </w:p>
        </w:tc>
        <w:tc>
          <w:tcPr>
            <w:tcW w:w="3117" w:type="dxa"/>
            <w:vAlign w:val="center"/>
          </w:tcPr>
          <w:p w14:paraId="406002BC"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7 (58.3)</w:t>
            </w:r>
          </w:p>
        </w:tc>
      </w:tr>
      <w:tr w:rsidR="00A26B4A" w:rsidRPr="00A26B4A" w14:paraId="6FC8CEF4" w14:textId="77777777" w:rsidTr="003A161A">
        <w:tc>
          <w:tcPr>
            <w:tcW w:w="3116" w:type="dxa"/>
            <w:vAlign w:val="center"/>
          </w:tcPr>
          <w:p w14:paraId="7ABE9020"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Chloramphenicol</w:t>
            </w:r>
          </w:p>
        </w:tc>
        <w:tc>
          <w:tcPr>
            <w:tcW w:w="3117" w:type="dxa"/>
            <w:vAlign w:val="center"/>
          </w:tcPr>
          <w:p w14:paraId="7BAC1322"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11 (91.7)</w:t>
            </w:r>
          </w:p>
        </w:tc>
        <w:tc>
          <w:tcPr>
            <w:tcW w:w="3117" w:type="dxa"/>
            <w:vAlign w:val="center"/>
          </w:tcPr>
          <w:p w14:paraId="1366F4C4"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 (8.3)</w:t>
            </w:r>
          </w:p>
        </w:tc>
      </w:tr>
      <w:tr w:rsidR="00A26B4A" w:rsidRPr="00A26B4A" w14:paraId="05020850" w14:textId="77777777" w:rsidTr="003A161A">
        <w:tc>
          <w:tcPr>
            <w:tcW w:w="3116" w:type="dxa"/>
            <w:vAlign w:val="center"/>
          </w:tcPr>
          <w:p w14:paraId="05B858FC"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Clindamycin</w:t>
            </w:r>
          </w:p>
        </w:tc>
        <w:tc>
          <w:tcPr>
            <w:tcW w:w="3117" w:type="dxa"/>
            <w:vAlign w:val="center"/>
          </w:tcPr>
          <w:p w14:paraId="0C3A7612"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6 (50.0)</w:t>
            </w:r>
          </w:p>
        </w:tc>
        <w:tc>
          <w:tcPr>
            <w:tcW w:w="3117" w:type="dxa"/>
            <w:vAlign w:val="center"/>
          </w:tcPr>
          <w:p w14:paraId="39D03EB2"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6 (50.0)</w:t>
            </w:r>
          </w:p>
        </w:tc>
      </w:tr>
      <w:tr w:rsidR="00A26B4A" w:rsidRPr="00A26B4A" w14:paraId="7F794E59" w14:textId="77777777" w:rsidTr="003A161A">
        <w:tc>
          <w:tcPr>
            <w:tcW w:w="3116" w:type="dxa"/>
            <w:vAlign w:val="center"/>
          </w:tcPr>
          <w:p w14:paraId="3A0589C7"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Erythromycin</w:t>
            </w:r>
          </w:p>
        </w:tc>
        <w:tc>
          <w:tcPr>
            <w:tcW w:w="3117" w:type="dxa"/>
            <w:vAlign w:val="center"/>
          </w:tcPr>
          <w:p w14:paraId="01837149"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8 (66.7)</w:t>
            </w:r>
          </w:p>
        </w:tc>
        <w:tc>
          <w:tcPr>
            <w:tcW w:w="3117" w:type="dxa"/>
            <w:vAlign w:val="center"/>
          </w:tcPr>
          <w:p w14:paraId="2A9DB6C4"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4 (33.3)</w:t>
            </w:r>
          </w:p>
        </w:tc>
      </w:tr>
      <w:tr w:rsidR="00A26B4A" w:rsidRPr="00A26B4A" w14:paraId="63D060D0" w14:textId="77777777" w:rsidTr="003A161A">
        <w:tc>
          <w:tcPr>
            <w:tcW w:w="3116" w:type="dxa"/>
            <w:vAlign w:val="center"/>
          </w:tcPr>
          <w:p w14:paraId="6BBFAD2B"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Trimethoprim-Sulfamethoxazole</w:t>
            </w:r>
          </w:p>
        </w:tc>
        <w:tc>
          <w:tcPr>
            <w:tcW w:w="3117" w:type="dxa"/>
            <w:vAlign w:val="center"/>
          </w:tcPr>
          <w:p w14:paraId="33634461"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12 (100)</w:t>
            </w:r>
          </w:p>
        </w:tc>
        <w:tc>
          <w:tcPr>
            <w:tcW w:w="3117" w:type="dxa"/>
            <w:vAlign w:val="center"/>
          </w:tcPr>
          <w:p w14:paraId="02431D86"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0 (0.0)</w:t>
            </w:r>
          </w:p>
        </w:tc>
      </w:tr>
      <w:tr w:rsidR="00A26B4A" w:rsidRPr="00A26B4A" w14:paraId="0ECE78E9" w14:textId="77777777" w:rsidTr="003A161A">
        <w:tc>
          <w:tcPr>
            <w:tcW w:w="3116" w:type="dxa"/>
            <w:vAlign w:val="center"/>
          </w:tcPr>
          <w:p w14:paraId="4C1F022D"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Vancomycin</w:t>
            </w:r>
          </w:p>
        </w:tc>
        <w:tc>
          <w:tcPr>
            <w:tcW w:w="3117" w:type="dxa"/>
            <w:vAlign w:val="center"/>
          </w:tcPr>
          <w:p w14:paraId="5CA3576E"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7 (58.3)</w:t>
            </w:r>
          </w:p>
        </w:tc>
        <w:tc>
          <w:tcPr>
            <w:tcW w:w="3117" w:type="dxa"/>
            <w:vAlign w:val="center"/>
          </w:tcPr>
          <w:p w14:paraId="015E0410" w14:textId="77777777" w:rsidR="00B4305D" w:rsidRPr="00A26B4A" w:rsidRDefault="00B4305D"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5 (41.7)</w:t>
            </w:r>
          </w:p>
        </w:tc>
      </w:tr>
    </w:tbl>
    <w:p w14:paraId="220144BC" w14:textId="77777777" w:rsidR="00F718E5" w:rsidRPr="00A26B4A" w:rsidRDefault="00F718E5" w:rsidP="00E43C6C">
      <w:pPr>
        <w:pStyle w:val="Heading3"/>
        <w:shd w:val="clear" w:color="auto" w:fill="FFFFFF"/>
        <w:spacing w:before="0"/>
        <w:jc w:val="both"/>
        <w:rPr>
          <w:rFonts w:ascii="Times New Roman" w:hAnsi="Times New Roman" w:cs="Times New Roman"/>
          <w:b/>
          <w:color w:val="auto"/>
          <w:sz w:val="20"/>
          <w:szCs w:val="20"/>
        </w:rPr>
      </w:pPr>
      <w:r w:rsidRPr="00A26B4A">
        <w:rPr>
          <w:rFonts w:ascii="Times New Roman" w:hAnsi="Times New Roman" w:cs="Times New Roman"/>
          <w:b/>
          <w:color w:val="auto"/>
          <w:sz w:val="20"/>
          <w:szCs w:val="20"/>
        </w:rPr>
        <w:t>3.3 Prevalence of the </w:t>
      </w:r>
      <w:proofErr w:type="spellStart"/>
      <w:r w:rsidRPr="00A26B4A">
        <w:rPr>
          <w:rStyle w:val="Emphasis"/>
          <w:rFonts w:ascii="Times New Roman" w:hAnsi="Times New Roman" w:cs="Times New Roman"/>
          <w:b/>
          <w:color w:val="auto"/>
          <w:sz w:val="20"/>
          <w:szCs w:val="20"/>
        </w:rPr>
        <w:t>pvl</w:t>
      </w:r>
      <w:proofErr w:type="spellEnd"/>
      <w:r w:rsidRPr="00A26B4A">
        <w:rPr>
          <w:rFonts w:ascii="Times New Roman" w:hAnsi="Times New Roman" w:cs="Times New Roman"/>
          <w:b/>
          <w:color w:val="auto"/>
          <w:sz w:val="20"/>
          <w:szCs w:val="20"/>
        </w:rPr>
        <w:t> Gene</w:t>
      </w:r>
    </w:p>
    <w:p w14:paraId="25B6A738" w14:textId="035C298F" w:rsidR="00F718E5" w:rsidRPr="00A603C3" w:rsidRDefault="00F718E5" w:rsidP="00A603C3">
      <w:pPr>
        <w:contextualSpacing/>
        <w:jc w:val="both"/>
        <w:rPr>
          <w:rFonts w:ascii="Times New Roman" w:hAnsi="Times New Roman" w:cs="Times New Roman"/>
          <w:bCs/>
          <w:sz w:val="20"/>
          <w:szCs w:val="20"/>
          <w:lang w:val="en-GB"/>
        </w:rPr>
      </w:pPr>
      <w:r w:rsidRPr="00A603C3">
        <w:rPr>
          <w:rFonts w:ascii="Times New Roman" w:hAnsi="Times New Roman" w:cs="Times New Roman"/>
          <w:sz w:val="20"/>
          <w:szCs w:val="20"/>
          <w:highlight w:val="yellow"/>
        </w:rPr>
        <w:t xml:space="preserve">PCR screening revealed that 3 of the 12 </w:t>
      </w:r>
      <w:proofErr w:type="spellStart"/>
      <w:r w:rsidRPr="00A603C3">
        <w:rPr>
          <w:rFonts w:ascii="Times New Roman" w:hAnsi="Times New Roman" w:cs="Times New Roman"/>
          <w:sz w:val="20"/>
          <w:szCs w:val="20"/>
          <w:highlight w:val="yellow"/>
        </w:rPr>
        <w:t>CoNS</w:t>
      </w:r>
      <w:proofErr w:type="spellEnd"/>
      <w:r w:rsidRPr="00A603C3">
        <w:rPr>
          <w:rFonts w:ascii="Times New Roman" w:hAnsi="Times New Roman" w:cs="Times New Roman"/>
          <w:sz w:val="20"/>
          <w:szCs w:val="20"/>
          <w:highlight w:val="yellow"/>
        </w:rPr>
        <w:t xml:space="preserve"> isolates (25.0%) harbored the </w:t>
      </w:r>
      <w:proofErr w:type="spellStart"/>
      <w:r w:rsidRPr="00A603C3">
        <w:rPr>
          <w:rStyle w:val="Emphasis"/>
          <w:rFonts w:ascii="Times New Roman" w:hAnsi="Times New Roman" w:cs="Times New Roman"/>
          <w:sz w:val="20"/>
          <w:szCs w:val="20"/>
          <w:highlight w:val="yellow"/>
        </w:rPr>
        <w:t>pvl</w:t>
      </w:r>
      <w:proofErr w:type="spellEnd"/>
      <w:r w:rsidRPr="00A603C3">
        <w:rPr>
          <w:rFonts w:ascii="Times New Roman" w:hAnsi="Times New Roman" w:cs="Times New Roman"/>
          <w:sz w:val="20"/>
          <w:szCs w:val="20"/>
          <w:highlight w:val="yellow"/>
        </w:rPr>
        <w:t xml:space="preserve"> gene. Gel electrophoresis confirmed the presence of the expected 433 bp amplicon in these isolates. </w:t>
      </w:r>
      <w:r w:rsidR="00473591" w:rsidRPr="00A603C3">
        <w:rPr>
          <w:rFonts w:ascii="Times New Roman" w:hAnsi="Times New Roman" w:cs="Times New Roman"/>
          <w:highlight w:val="yellow"/>
        </w:rPr>
        <w:t xml:space="preserve">Only 3 out of 12 </w:t>
      </w:r>
      <w:proofErr w:type="spellStart"/>
      <w:r w:rsidR="00473591" w:rsidRPr="00A603C3">
        <w:rPr>
          <w:rFonts w:ascii="Times New Roman" w:hAnsi="Times New Roman" w:cs="Times New Roman"/>
          <w:highlight w:val="yellow"/>
        </w:rPr>
        <w:t>CoNS</w:t>
      </w:r>
      <w:proofErr w:type="spellEnd"/>
      <w:r w:rsidR="00473591" w:rsidRPr="00A603C3">
        <w:rPr>
          <w:rFonts w:ascii="Times New Roman" w:hAnsi="Times New Roman" w:cs="Times New Roman"/>
          <w:highlight w:val="yellow"/>
        </w:rPr>
        <w:t xml:space="preserve"> are </w:t>
      </w:r>
      <w:proofErr w:type="spellStart"/>
      <w:r w:rsidR="00473591" w:rsidRPr="00A603C3">
        <w:rPr>
          <w:rFonts w:ascii="Times New Roman" w:hAnsi="Times New Roman" w:cs="Times New Roman"/>
          <w:i/>
          <w:highlight w:val="yellow"/>
        </w:rPr>
        <w:t>pvl</w:t>
      </w:r>
      <w:proofErr w:type="spellEnd"/>
      <w:r w:rsidR="00473591" w:rsidRPr="00A603C3">
        <w:rPr>
          <w:rFonts w:ascii="Times New Roman" w:hAnsi="Times New Roman" w:cs="Times New Roman"/>
          <w:highlight w:val="yellow"/>
        </w:rPr>
        <w:t>-positive</w:t>
      </w:r>
      <w:r w:rsidR="00A603C3" w:rsidRPr="00A603C3">
        <w:rPr>
          <w:rFonts w:ascii="Times New Roman" w:hAnsi="Times New Roman" w:cs="Times New Roman"/>
          <w:highlight w:val="yellow"/>
        </w:rPr>
        <w:t xml:space="preserve"> </w:t>
      </w:r>
      <w:r w:rsidRPr="00A603C3">
        <w:rPr>
          <w:rFonts w:ascii="Times New Roman" w:hAnsi="Times New Roman" w:cs="Times New Roman"/>
          <w:sz w:val="20"/>
          <w:szCs w:val="20"/>
          <w:highlight w:val="yellow"/>
        </w:rPr>
        <w:t>contaminating fresh vegetables in this setting.</w:t>
      </w:r>
      <w:r w:rsidR="00473591" w:rsidRPr="00A603C3">
        <w:rPr>
          <w:rFonts w:ascii="Times New Roman" w:hAnsi="Times New Roman" w:cs="Times New Roman"/>
          <w:sz w:val="20"/>
          <w:szCs w:val="20"/>
        </w:rPr>
        <w:t xml:space="preserve"> </w:t>
      </w:r>
    </w:p>
    <w:p w14:paraId="6B39D30A" w14:textId="77777777" w:rsidR="00F718E5" w:rsidRPr="00A26B4A" w:rsidRDefault="00F718E5" w:rsidP="00E43C6C">
      <w:pPr>
        <w:pStyle w:val="Heading3"/>
        <w:shd w:val="clear" w:color="auto" w:fill="FFFFFF"/>
        <w:spacing w:before="0"/>
        <w:jc w:val="both"/>
        <w:rPr>
          <w:rFonts w:ascii="Times New Roman" w:hAnsi="Times New Roman" w:cs="Times New Roman"/>
          <w:b/>
          <w:color w:val="auto"/>
          <w:sz w:val="20"/>
          <w:szCs w:val="20"/>
        </w:rPr>
      </w:pPr>
      <w:r w:rsidRPr="00A26B4A">
        <w:rPr>
          <w:rFonts w:ascii="Times New Roman" w:hAnsi="Times New Roman" w:cs="Times New Roman"/>
          <w:b/>
          <w:color w:val="auto"/>
          <w:sz w:val="20"/>
          <w:szCs w:val="20"/>
        </w:rPr>
        <w:t>3.4 Association Between </w:t>
      </w:r>
      <w:proofErr w:type="spellStart"/>
      <w:r w:rsidRPr="00A26B4A">
        <w:rPr>
          <w:rStyle w:val="Emphasis"/>
          <w:rFonts w:ascii="Times New Roman" w:hAnsi="Times New Roman" w:cs="Times New Roman"/>
          <w:b/>
          <w:color w:val="auto"/>
          <w:sz w:val="20"/>
          <w:szCs w:val="20"/>
        </w:rPr>
        <w:t>pvl</w:t>
      </w:r>
      <w:proofErr w:type="spellEnd"/>
      <w:r w:rsidRPr="00A26B4A">
        <w:rPr>
          <w:rFonts w:ascii="Times New Roman" w:hAnsi="Times New Roman" w:cs="Times New Roman"/>
          <w:b/>
          <w:color w:val="auto"/>
          <w:sz w:val="20"/>
          <w:szCs w:val="20"/>
        </w:rPr>
        <w:t xml:space="preserve"> Carriage and Antibiotic </w:t>
      </w:r>
      <w:r w:rsidRPr="00A603C3">
        <w:rPr>
          <w:rFonts w:ascii="Times New Roman" w:hAnsi="Times New Roman" w:cs="Times New Roman"/>
          <w:b/>
          <w:color w:val="auto"/>
          <w:sz w:val="20"/>
          <w:szCs w:val="20"/>
        </w:rPr>
        <w:t>Resistance</w:t>
      </w:r>
    </w:p>
    <w:p w14:paraId="246217F7" w14:textId="77777777" w:rsidR="00F718E5" w:rsidRPr="00A26B4A" w:rsidRDefault="00F718E5" w:rsidP="00E43C6C">
      <w:pPr>
        <w:pStyle w:val="ds-markdown-paragraph"/>
        <w:shd w:val="clear" w:color="auto" w:fill="FFFFFF"/>
        <w:spacing w:before="0" w:beforeAutospacing="0" w:after="0" w:afterAutospacing="0"/>
        <w:jc w:val="both"/>
        <w:rPr>
          <w:sz w:val="20"/>
          <w:szCs w:val="20"/>
        </w:rPr>
      </w:pPr>
      <w:r w:rsidRPr="00A26B4A">
        <w:rPr>
          <w:sz w:val="20"/>
          <w:szCs w:val="20"/>
        </w:rPr>
        <w:t>Comparative analysis of antibiotic resistance patterns between </w:t>
      </w:r>
      <w:proofErr w:type="spellStart"/>
      <w:r w:rsidRPr="00A26B4A">
        <w:rPr>
          <w:rStyle w:val="Emphasis"/>
          <w:sz w:val="20"/>
          <w:szCs w:val="20"/>
        </w:rPr>
        <w:t>pvl</w:t>
      </w:r>
      <w:proofErr w:type="spellEnd"/>
      <w:r w:rsidRPr="00A26B4A">
        <w:rPr>
          <w:sz w:val="20"/>
          <w:szCs w:val="20"/>
        </w:rPr>
        <w:t>-positive and </w:t>
      </w:r>
      <w:proofErr w:type="spellStart"/>
      <w:r w:rsidRPr="00A26B4A">
        <w:rPr>
          <w:rStyle w:val="Emphasis"/>
          <w:sz w:val="20"/>
          <w:szCs w:val="20"/>
        </w:rPr>
        <w:t>pvl</w:t>
      </w:r>
      <w:proofErr w:type="spellEnd"/>
      <w:r w:rsidRPr="00A26B4A">
        <w:rPr>
          <w:sz w:val="20"/>
          <w:szCs w:val="20"/>
        </w:rPr>
        <w:t>-negative isolates revealed notable differences (Table 2). </w:t>
      </w:r>
      <w:proofErr w:type="spellStart"/>
      <w:r w:rsidRPr="00A26B4A">
        <w:rPr>
          <w:rStyle w:val="Emphasis"/>
          <w:sz w:val="20"/>
          <w:szCs w:val="20"/>
        </w:rPr>
        <w:t>pvl</w:t>
      </w:r>
      <w:proofErr w:type="spellEnd"/>
      <w:r w:rsidRPr="00A26B4A">
        <w:rPr>
          <w:sz w:val="20"/>
          <w:szCs w:val="20"/>
        </w:rPr>
        <w:t>-positive isolates demonstrated consistently higher resistance rates across multiple antibiotics compared to </w:t>
      </w:r>
      <w:proofErr w:type="spellStart"/>
      <w:r w:rsidRPr="00A26B4A">
        <w:rPr>
          <w:rStyle w:val="Emphasis"/>
          <w:sz w:val="20"/>
          <w:szCs w:val="20"/>
        </w:rPr>
        <w:t>pvl</w:t>
      </w:r>
      <w:proofErr w:type="spellEnd"/>
      <w:r w:rsidRPr="00A26B4A">
        <w:rPr>
          <w:sz w:val="20"/>
          <w:szCs w:val="20"/>
        </w:rPr>
        <w:t>-negative isolates. All </w:t>
      </w:r>
      <w:proofErr w:type="spellStart"/>
      <w:r w:rsidRPr="00A26B4A">
        <w:rPr>
          <w:rStyle w:val="Emphasis"/>
          <w:sz w:val="20"/>
          <w:szCs w:val="20"/>
        </w:rPr>
        <w:t>pvl</w:t>
      </w:r>
      <w:proofErr w:type="spellEnd"/>
      <w:r w:rsidRPr="00A26B4A">
        <w:rPr>
          <w:sz w:val="20"/>
          <w:szCs w:val="20"/>
        </w:rPr>
        <w:t xml:space="preserve">-positive isolates (100%) exhibited resistance to gentamicin, streptomycin, </w:t>
      </w:r>
      <w:r w:rsidRPr="00A26B4A">
        <w:rPr>
          <w:sz w:val="20"/>
          <w:szCs w:val="20"/>
        </w:rPr>
        <w:lastRenderedPageBreak/>
        <w:t>clindamycin, and vancomycin, whereas </w:t>
      </w:r>
      <w:proofErr w:type="spellStart"/>
      <w:r w:rsidRPr="00A26B4A">
        <w:rPr>
          <w:rStyle w:val="Emphasis"/>
          <w:sz w:val="20"/>
          <w:szCs w:val="20"/>
        </w:rPr>
        <w:t>pvl</w:t>
      </w:r>
      <w:proofErr w:type="spellEnd"/>
      <w:r w:rsidRPr="00A26B4A">
        <w:rPr>
          <w:sz w:val="20"/>
          <w:szCs w:val="20"/>
        </w:rPr>
        <w:t>-negative isolates showed lower resistance rates for these antibiotics (44.4%, 33.3%, 33.3%, and 44.4%, respectively).</w:t>
      </w:r>
    </w:p>
    <w:p w14:paraId="623E1B0C" w14:textId="77777777" w:rsidR="00F718E5" w:rsidRPr="00A26B4A" w:rsidRDefault="00F718E5" w:rsidP="00E43C6C">
      <w:pPr>
        <w:pStyle w:val="ds-markdown-paragraph"/>
        <w:shd w:val="clear" w:color="auto" w:fill="FFFFFF"/>
        <w:spacing w:before="0" w:beforeAutospacing="0" w:after="0" w:afterAutospacing="0"/>
        <w:jc w:val="both"/>
        <w:rPr>
          <w:sz w:val="20"/>
          <w:szCs w:val="20"/>
        </w:rPr>
      </w:pPr>
      <w:r w:rsidRPr="00A26B4A">
        <w:rPr>
          <w:sz w:val="20"/>
          <w:szCs w:val="20"/>
        </w:rPr>
        <w:t>Both </w:t>
      </w:r>
      <w:proofErr w:type="spellStart"/>
      <w:r w:rsidRPr="00A26B4A">
        <w:rPr>
          <w:rStyle w:val="Emphasis"/>
          <w:sz w:val="20"/>
          <w:szCs w:val="20"/>
        </w:rPr>
        <w:t>pvl</w:t>
      </w:r>
      <w:proofErr w:type="spellEnd"/>
      <w:r w:rsidRPr="00A26B4A">
        <w:rPr>
          <w:sz w:val="20"/>
          <w:szCs w:val="20"/>
        </w:rPr>
        <w:t>-positive and </w:t>
      </w:r>
      <w:proofErr w:type="spellStart"/>
      <w:r w:rsidRPr="00A26B4A">
        <w:rPr>
          <w:rStyle w:val="Emphasis"/>
          <w:sz w:val="20"/>
          <w:szCs w:val="20"/>
        </w:rPr>
        <w:t>pvl</w:t>
      </w:r>
      <w:proofErr w:type="spellEnd"/>
      <w:r w:rsidRPr="00A26B4A">
        <w:rPr>
          <w:sz w:val="20"/>
          <w:szCs w:val="20"/>
        </w:rPr>
        <w:t>-negative isolates demonstrated universal resistance to cefoxitin, imipenem, oxacillin, and trimethoprim-sulfamethoxazole. Notably, meropenem retained activity against 66.7% of </w:t>
      </w:r>
      <w:proofErr w:type="spellStart"/>
      <w:r w:rsidRPr="00A26B4A">
        <w:rPr>
          <w:rStyle w:val="Emphasis"/>
          <w:sz w:val="20"/>
          <w:szCs w:val="20"/>
        </w:rPr>
        <w:t>pvl</w:t>
      </w:r>
      <w:proofErr w:type="spellEnd"/>
      <w:r w:rsidRPr="00A26B4A">
        <w:rPr>
          <w:sz w:val="20"/>
          <w:szCs w:val="20"/>
        </w:rPr>
        <w:t>-positive isolates compared to 77.8% of </w:t>
      </w:r>
      <w:proofErr w:type="spellStart"/>
      <w:r w:rsidRPr="00A26B4A">
        <w:rPr>
          <w:rStyle w:val="Emphasis"/>
          <w:sz w:val="20"/>
          <w:szCs w:val="20"/>
        </w:rPr>
        <w:t>pvl</w:t>
      </w:r>
      <w:proofErr w:type="spellEnd"/>
      <w:r w:rsidRPr="00A26B4A">
        <w:rPr>
          <w:sz w:val="20"/>
          <w:szCs w:val="20"/>
        </w:rPr>
        <w:t>-negative isolates. Fluoroquinolones maintained excellent activity regardless of </w:t>
      </w:r>
      <w:proofErr w:type="spellStart"/>
      <w:r w:rsidRPr="00A26B4A">
        <w:rPr>
          <w:rStyle w:val="Emphasis"/>
          <w:sz w:val="20"/>
          <w:szCs w:val="20"/>
        </w:rPr>
        <w:t>pvl</w:t>
      </w:r>
      <w:proofErr w:type="spellEnd"/>
      <w:r w:rsidRPr="00A26B4A">
        <w:rPr>
          <w:sz w:val="20"/>
          <w:szCs w:val="20"/>
        </w:rPr>
        <w:t> status, with 100% susceptibility to levofloxacin among </w:t>
      </w:r>
      <w:proofErr w:type="spellStart"/>
      <w:r w:rsidRPr="00A26B4A">
        <w:rPr>
          <w:rStyle w:val="Emphasis"/>
          <w:sz w:val="20"/>
          <w:szCs w:val="20"/>
        </w:rPr>
        <w:t>pvl</w:t>
      </w:r>
      <w:proofErr w:type="spellEnd"/>
      <w:r w:rsidRPr="00A26B4A">
        <w:rPr>
          <w:sz w:val="20"/>
          <w:szCs w:val="20"/>
        </w:rPr>
        <w:t>-positive isolates.</w:t>
      </w:r>
    </w:p>
    <w:p w14:paraId="03A07DAB" w14:textId="36449E90" w:rsidR="002E436B" w:rsidRPr="00A26B4A" w:rsidRDefault="002E436B" w:rsidP="00E43C6C">
      <w:pPr>
        <w:spacing w:after="0" w:line="240" w:lineRule="auto"/>
        <w:jc w:val="both"/>
        <w:rPr>
          <w:rFonts w:ascii="Times New Roman" w:hAnsi="Times New Roman" w:cs="Times New Roman"/>
          <w:b/>
          <w:bCs/>
          <w:sz w:val="20"/>
          <w:szCs w:val="20"/>
          <w:shd w:val="clear" w:color="auto" w:fill="FFFFFF"/>
        </w:rPr>
      </w:pPr>
      <w:r w:rsidRPr="00A26B4A">
        <w:rPr>
          <w:rStyle w:val="Strong"/>
          <w:rFonts w:ascii="Times New Roman" w:hAnsi="Times New Roman" w:cs="Times New Roman"/>
          <w:sz w:val="20"/>
          <w:szCs w:val="20"/>
          <w:shd w:val="clear" w:color="auto" w:fill="FFFFFF"/>
        </w:rPr>
        <w:t xml:space="preserve">Table 2: Comparison of Antibiotic Resistance </w:t>
      </w:r>
      <w:r w:rsidR="00610C60" w:rsidRPr="00610C60">
        <w:rPr>
          <w:rStyle w:val="Strong"/>
          <w:rFonts w:ascii="Times New Roman" w:hAnsi="Times New Roman" w:cs="Times New Roman"/>
          <w:sz w:val="20"/>
          <w:szCs w:val="20"/>
          <w:highlight w:val="yellow"/>
          <w:shd w:val="clear" w:color="auto" w:fill="FFFFFF"/>
        </w:rPr>
        <w:t>profile</w:t>
      </w:r>
      <w:r w:rsidR="00610C60">
        <w:rPr>
          <w:rStyle w:val="Strong"/>
          <w:rFonts w:ascii="Times New Roman" w:hAnsi="Times New Roman" w:cs="Times New Roman"/>
          <w:sz w:val="20"/>
          <w:szCs w:val="20"/>
          <w:shd w:val="clear" w:color="auto" w:fill="FFFFFF"/>
        </w:rPr>
        <w:t xml:space="preserve"> </w:t>
      </w:r>
      <w:r w:rsidRPr="00A26B4A">
        <w:rPr>
          <w:rStyle w:val="Strong"/>
          <w:rFonts w:ascii="Times New Roman" w:hAnsi="Times New Roman" w:cs="Times New Roman"/>
          <w:sz w:val="20"/>
          <w:szCs w:val="20"/>
          <w:shd w:val="clear" w:color="auto" w:fill="FFFFFF"/>
        </w:rPr>
        <w:t>Between </w:t>
      </w:r>
      <w:proofErr w:type="spellStart"/>
      <w:r w:rsidRPr="00A26B4A">
        <w:rPr>
          <w:rStyle w:val="Emphasis"/>
          <w:rFonts w:ascii="Times New Roman" w:hAnsi="Times New Roman" w:cs="Times New Roman"/>
          <w:b/>
          <w:bCs/>
          <w:sz w:val="20"/>
          <w:szCs w:val="20"/>
          <w:shd w:val="clear" w:color="auto" w:fill="FFFFFF"/>
        </w:rPr>
        <w:t>pvl</w:t>
      </w:r>
      <w:proofErr w:type="spellEnd"/>
      <w:r w:rsidRPr="00A26B4A">
        <w:rPr>
          <w:rStyle w:val="Strong"/>
          <w:rFonts w:ascii="Times New Roman" w:hAnsi="Times New Roman" w:cs="Times New Roman"/>
          <w:sz w:val="20"/>
          <w:szCs w:val="20"/>
          <w:shd w:val="clear" w:color="auto" w:fill="FFFFFF"/>
        </w:rPr>
        <w:t>-Positive and </w:t>
      </w:r>
      <w:proofErr w:type="spellStart"/>
      <w:r w:rsidRPr="00A26B4A">
        <w:rPr>
          <w:rStyle w:val="Emphasis"/>
          <w:rFonts w:ascii="Times New Roman" w:hAnsi="Times New Roman" w:cs="Times New Roman"/>
          <w:b/>
          <w:bCs/>
          <w:sz w:val="20"/>
          <w:szCs w:val="20"/>
          <w:shd w:val="clear" w:color="auto" w:fill="FFFFFF"/>
        </w:rPr>
        <w:t>pvl</w:t>
      </w:r>
      <w:proofErr w:type="spellEnd"/>
      <w:r w:rsidRPr="00A26B4A">
        <w:rPr>
          <w:rStyle w:val="Strong"/>
          <w:rFonts w:ascii="Times New Roman" w:hAnsi="Times New Roman" w:cs="Times New Roman"/>
          <w:sz w:val="20"/>
          <w:szCs w:val="20"/>
          <w:shd w:val="clear" w:color="auto" w:fill="FFFFFF"/>
        </w:rPr>
        <w:t xml:space="preserve">-Negative </w:t>
      </w:r>
      <w:proofErr w:type="spellStart"/>
      <w:r w:rsidRPr="00A26B4A">
        <w:rPr>
          <w:rStyle w:val="Strong"/>
          <w:rFonts w:ascii="Times New Roman" w:hAnsi="Times New Roman" w:cs="Times New Roman"/>
          <w:sz w:val="20"/>
          <w:szCs w:val="20"/>
          <w:shd w:val="clear" w:color="auto" w:fill="FFFFFF"/>
        </w:rPr>
        <w:t>CoNS</w:t>
      </w:r>
      <w:proofErr w:type="spellEnd"/>
      <w:r w:rsidRPr="00A26B4A">
        <w:rPr>
          <w:rStyle w:val="Strong"/>
          <w:rFonts w:ascii="Times New Roman" w:hAnsi="Times New Roman" w:cs="Times New Roman"/>
          <w:sz w:val="20"/>
          <w:szCs w:val="20"/>
          <w:shd w:val="clear" w:color="auto" w:fill="FFFFFF"/>
        </w:rPr>
        <w:t xml:space="preserve"> Isolates</w:t>
      </w:r>
    </w:p>
    <w:tbl>
      <w:tblPr>
        <w:tblStyle w:val="TableGrid"/>
        <w:tblW w:w="10620" w:type="dxa"/>
        <w:tblInd w:w="-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3150"/>
        <w:gridCol w:w="2695"/>
        <w:gridCol w:w="1440"/>
      </w:tblGrid>
      <w:tr w:rsidR="00610C60" w:rsidRPr="00A26B4A" w14:paraId="1FC771A6" w14:textId="77777777" w:rsidTr="00834F7C">
        <w:trPr>
          <w:trHeight w:val="240"/>
        </w:trPr>
        <w:tc>
          <w:tcPr>
            <w:tcW w:w="3335" w:type="dxa"/>
            <w:vMerge w:val="restart"/>
            <w:tcBorders>
              <w:top w:val="single" w:sz="4" w:space="0" w:color="auto"/>
            </w:tcBorders>
            <w:vAlign w:val="center"/>
          </w:tcPr>
          <w:p w14:paraId="3F01C896" w14:textId="77777777" w:rsidR="00610C60" w:rsidRPr="00A26B4A" w:rsidRDefault="00610C60" w:rsidP="00E43C6C">
            <w:pPr>
              <w:jc w:val="both"/>
              <w:rPr>
                <w:rFonts w:ascii="Times New Roman" w:eastAsia="Times New Roman" w:hAnsi="Times New Roman" w:cs="Times New Roman"/>
                <w:b/>
                <w:bCs/>
                <w:sz w:val="20"/>
                <w:szCs w:val="20"/>
              </w:rPr>
            </w:pPr>
            <w:r w:rsidRPr="00A26B4A">
              <w:rPr>
                <w:rFonts w:ascii="Times New Roman" w:eastAsia="Times New Roman" w:hAnsi="Times New Roman" w:cs="Times New Roman"/>
                <w:b/>
                <w:bCs/>
                <w:sz w:val="20"/>
                <w:szCs w:val="20"/>
              </w:rPr>
              <w:t>Antibiotic</w:t>
            </w:r>
          </w:p>
        </w:tc>
        <w:tc>
          <w:tcPr>
            <w:tcW w:w="3150" w:type="dxa"/>
            <w:tcBorders>
              <w:top w:val="single" w:sz="4" w:space="0" w:color="auto"/>
              <w:bottom w:val="single" w:sz="4" w:space="0" w:color="auto"/>
            </w:tcBorders>
            <w:vAlign w:val="center"/>
          </w:tcPr>
          <w:p w14:paraId="59EBA735" w14:textId="77777777" w:rsidR="00610C60" w:rsidRPr="003C4C0B" w:rsidRDefault="00610C60" w:rsidP="00E43C6C">
            <w:pPr>
              <w:jc w:val="both"/>
              <w:rPr>
                <w:rFonts w:ascii="Times New Roman" w:eastAsia="Times New Roman" w:hAnsi="Times New Roman" w:cs="Times New Roman"/>
                <w:b/>
                <w:bCs/>
                <w:sz w:val="20"/>
                <w:szCs w:val="20"/>
                <w:highlight w:val="yellow"/>
              </w:rPr>
            </w:pPr>
            <w:proofErr w:type="spellStart"/>
            <w:r w:rsidRPr="003C4C0B">
              <w:rPr>
                <w:rFonts w:ascii="Times New Roman" w:eastAsia="Times New Roman" w:hAnsi="Times New Roman" w:cs="Times New Roman"/>
                <w:b/>
                <w:bCs/>
                <w:i/>
                <w:iCs/>
                <w:sz w:val="20"/>
                <w:szCs w:val="20"/>
                <w:highlight w:val="yellow"/>
              </w:rPr>
              <w:t>pvl</w:t>
            </w:r>
            <w:proofErr w:type="spellEnd"/>
            <w:r w:rsidRPr="003C4C0B">
              <w:rPr>
                <w:rFonts w:ascii="Times New Roman" w:eastAsia="Times New Roman" w:hAnsi="Times New Roman" w:cs="Times New Roman"/>
                <w:b/>
                <w:bCs/>
                <w:sz w:val="20"/>
                <w:szCs w:val="20"/>
                <w:highlight w:val="yellow"/>
              </w:rPr>
              <w:t xml:space="preserve">-Positive (n=3) </w:t>
            </w:r>
          </w:p>
          <w:p w14:paraId="4278F690" w14:textId="19532C00" w:rsidR="00610C60" w:rsidRPr="003C4C0B" w:rsidRDefault="00610C60" w:rsidP="00E43C6C">
            <w:pPr>
              <w:jc w:val="both"/>
              <w:rPr>
                <w:rFonts w:ascii="Times New Roman" w:eastAsia="Times New Roman" w:hAnsi="Times New Roman" w:cs="Times New Roman"/>
                <w:b/>
                <w:bCs/>
                <w:sz w:val="20"/>
                <w:szCs w:val="20"/>
                <w:highlight w:val="yellow"/>
              </w:rPr>
            </w:pPr>
          </w:p>
        </w:tc>
        <w:tc>
          <w:tcPr>
            <w:tcW w:w="2695" w:type="dxa"/>
            <w:tcBorders>
              <w:top w:val="single" w:sz="4" w:space="0" w:color="auto"/>
              <w:bottom w:val="single" w:sz="4" w:space="0" w:color="auto"/>
            </w:tcBorders>
            <w:vAlign w:val="center"/>
          </w:tcPr>
          <w:p w14:paraId="180A46E7" w14:textId="77777777" w:rsidR="00610C60" w:rsidRPr="003C4C0B" w:rsidRDefault="00610C60" w:rsidP="00E43C6C">
            <w:pPr>
              <w:jc w:val="both"/>
              <w:rPr>
                <w:rFonts w:ascii="Times New Roman" w:eastAsia="Times New Roman" w:hAnsi="Times New Roman" w:cs="Times New Roman"/>
                <w:b/>
                <w:bCs/>
                <w:sz w:val="20"/>
                <w:szCs w:val="20"/>
                <w:highlight w:val="yellow"/>
              </w:rPr>
            </w:pPr>
            <w:proofErr w:type="spellStart"/>
            <w:r w:rsidRPr="003C4C0B">
              <w:rPr>
                <w:rFonts w:ascii="Times New Roman" w:eastAsia="Times New Roman" w:hAnsi="Times New Roman" w:cs="Times New Roman"/>
                <w:b/>
                <w:bCs/>
                <w:i/>
                <w:iCs/>
                <w:sz w:val="20"/>
                <w:szCs w:val="20"/>
                <w:highlight w:val="yellow"/>
              </w:rPr>
              <w:t>pvl</w:t>
            </w:r>
            <w:proofErr w:type="spellEnd"/>
            <w:r w:rsidRPr="003C4C0B">
              <w:rPr>
                <w:rFonts w:ascii="Times New Roman" w:eastAsia="Times New Roman" w:hAnsi="Times New Roman" w:cs="Times New Roman"/>
                <w:b/>
                <w:bCs/>
                <w:sz w:val="20"/>
                <w:szCs w:val="20"/>
                <w:highlight w:val="yellow"/>
              </w:rPr>
              <w:t xml:space="preserve">-Negative(n=9) </w:t>
            </w:r>
          </w:p>
          <w:p w14:paraId="3597C483" w14:textId="4A3E1499" w:rsidR="00610C60" w:rsidRPr="003C4C0B" w:rsidRDefault="00610C60" w:rsidP="00E43C6C">
            <w:pPr>
              <w:jc w:val="both"/>
              <w:rPr>
                <w:rFonts w:ascii="Times New Roman" w:eastAsia="Times New Roman" w:hAnsi="Times New Roman" w:cs="Times New Roman"/>
                <w:b/>
                <w:bCs/>
                <w:sz w:val="20"/>
                <w:szCs w:val="20"/>
                <w:highlight w:val="yellow"/>
              </w:rPr>
            </w:pPr>
          </w:p>
        </w:tc>
        <w:tc>
          <w:tcPr>
            <w:tcW w:w="1440" w:type="dxa"/>
            <w:vMerge w:val="restart"/>
            <w:tcBorders>
              <w:top w:val="single" w:sz="4" w:space="0" w:color="auto"/>
            </w:tcBorders>
            <w:vAlign w:val="center"/>
          </w:tcPr>
          <w:p w14:paraId="1A5A9309" w14:textId="77777777" w:rsidR="00610C60" w:rsidRPr="00A26B4A" w:rsidRDefault="00610C60" w:rsidP="00E43C6C">
            <w:pPr>
              <w:jc w:val="both"/>
              <w:rPr>
                <w:rFonts w:ascii="Times New Roman" w:eastAsia="Times New Roman" w:hAnsi="Times New Roman" w:cs="Times New Roman"/>
                <w:b/>
                <w:bCs/>
                <w:sz w:val="20"/>
                <w:szCs w:val="20"/>
              </w:rPr>
            </w:pPr>
            <w:r w:rsidRPr="00A26B4A">
              <w:rPr>
                <w:rFonts w:ascii="Times New Roman" w:eastAsia="Times New Roman" w:hAnsi="Times New Roman" w:cs="Times New Roman"/>
                <w:b/>
                <w:bCs/>
                <w:sz w:val="20"/>
                <w:szCs w:val="20"/>
              </w:rPr>
              <w:t>p-value</w:t>
            </w:r>
          </w:p>
        </w:tc>
      </w:tr>
      <w:tr w:rsidR="00610C60" w:rsidRPr="00A26B4A" w14:paraId="7A8317CF" w14:textId="77777777" w:rsidTr="00834F7C">
        <w:trPr>
          <w:trHeight w:val="210"/>
        </w:trPr>
        <w:tc>
          <w:tcPr>
            <w:tcW w:w="3335" w:type="dxa"/>
            <w:vMerge/>
            <w:tcBorders>
              <w:bottom w:val="single" w:sz="4" w:space="0" w:color="auto"/>
            </w:tcBorders>
            <w:vAlign w:val="center"/>
          </w:tcPr>
          <w:p w14:paraId="62A3DD04" w14:textId="77777777" w:rsidR="00610C60" w:rsidRPr="00A26B4A" w:rsidRDefault="00610C60" w:rsidP="00E43C6C">
            <w:pPr>
              <w:jc w:val="both"/>
              <w:rPr>
                <w:rFonts w:ascii="Times New Roman" w:eastAsia="Times New Roman" w:hAnsi="Times New Roman" w:cs="Times New Roman"/>
                <w:b/>
                <w:bCs/>
                <w:sz w:val="20"/>
                <w:szCs w:val="20"/>
              </w:rPr>
            </w:pPr>
          </w:p>
        </w:tc>
        <w:tc>
          <w:tcPr>
            <w:tcW w:w="3150" w:type="dxa"/>
            <w:tcBorders>
              <w:top w:val="single" w:sz="4" w:space="0" w:color="auto"/>
              <w:bottom w:val="single" w:sz="4" w:space="0" w:color="auto"/>
            </w:tcBorders>
            <w:vAlign w:val="center"/>
          </w:tcPr>
          <w:p w14:paraId="4362D086" w14:textId="26CBADD4" w:rsidR="00610C60" w:rsidRPr="003C4C0B" w:rsidRDefault="00610C60" w:rsidP="00E43C6C">
            <w:pPr>
              <w:jc w:val="both"/>
              <w:rPr>
                <w:rFonts w:ascii="Times New Roman" w:eastAsia="Times New Roman" w:hAnsi="Times New Roman" w:cs="Times New Roman"/>
                <w:b/>
                <w:bCs/>
                <w:i/>
                <w:iCs/>
                <w:sz w:val="20"/>
                <w:szCs w:val="20"/>
                <w:highlight w:val="yellow"/>
              </w:rPr>
            </w:pPr>
            <w:r w:rsidRPr="003C4C0B">
              <w:rPr>
                <w:rFonts w:ascii="Times New Roman" w:eastAsia="Times New Roman" w:hAnsi="Times New Roman" w:cs="Times New Roman"/>
                <w:b/>
                <w:bCs/>
                <w:sz w:val="20"/>
                <w:szCs w:val="20"/>
                <w:highlight w:val="yellow"/>
              </w:rPr>
              <w:t>Resistance n (%)</w:t>
            </w:r>
          </w:p>
        </w:tc>
        <w:tc>
          <w:tcPr>
            <w:tcW w:w="2695" w:type="dxa"/>
            <w:tcBorders>
              <w:top w:val="single" w:sz="4" w:space="0" w:color="auto"/>
              <w:bottom w:val="single" w:sz="4" w:space="0" w:color="auto"/>
            </w:tcBorders>
            <w:vAlign w:val="center"/>
          </w:tcPr>
          <w:p w14:paraId="40E67800" w14:textId="4AA9050E" w:rsidR="00610C60" w:rsidRPr="003C4C0B" w:rsidRDefault="00610C60" w:rsidP="00E43C6C">
            <w:pPr>
              <w:jc w:val="both"/>
              <w:rPr>
                <w:rFonts w:ascii="Times New Roman" w:eastAsia="Times New Roman" w:hAnsi="Times New Roman" w:cs="Times New Roman"/>
                <w:b/>
                <w:bCs/>
                <w:i/>
                <w:iCs/>
                <w:sz w:val="20"/>
                <w:szCs w:val="20"/>
                <w:highlight w:val="yellow"/>
              </w:rPr>
            </w:pPr>
            <w:r w:rsidRPr="003C4C0B">
              <w:rPr>
                <w:rFonts w:ascii="Times New Roman" w:eastAsia="Times New Roman" w:hAnsi="Times New Roman" w:cs="Times New Roman"/>
                <w:b/>
                <w:bCs/>
                <w:sz w:val="20"/>
                <w:szCs w:val="20"/>
                <w:highlight w:val="yellow"/>
              </w:rPr>
              <w:t>Resistance n (%)</w:t>
            </w:r>
          </w:p>
        </w:tc>
        <w:tc>
          <w:tcPr>
            <w:tcW w:w="1440" w:type="dxa"/>
            <w:vMerge/>
            <w:tcBorders>
              <w:bottom w:val="single" w:sz="4" w:space="0" w:color="auto"/>
            </w:tcBorders>
            <w:vAlign w:val="center"/>
          </w:tcPr>
          <w:p w14:paraId="6496713D" w14:textId="77777777" w:rsidR="00610C60" w:rsidRPr="00A26B4A" w:rsidRDefault="00610C60" w:rsidP="00E43C6C">
            <w:pPr>
              <w:jc w:val="both"/>
              <w:rPr>
                <w:rFonts w:ascii="Times New Roman" w:eastAsia="Times New Roman" w:hAnsi="Times New Roman" w:cs="Times New Roman"/>
                <w:b/>
                <w:bCs/>
                <w:sz w:val="20"/>
                <w:szCs w:val="20"/>
              </w:rPr>
            </w:pPr>
          </w:p>
        </w:tc>
      </w:tr>
      <w:tr w:rsidR="00A26B4A" w:rsidRPr="00A26B4A" w14:paraId="01A50F74" w14:textId="77777777" w:rsidTr="00610C60">
        <w:tc>
          <w:tcPr>
            <w:tcW w:w="3335" w:type="dxa"/>
            <w:tcBorders>
              <w:top w:val="single" w:sz="4" w:space="0" w:color="auto"/>
            </w:tcBorders>
            <w:vAlign w:val="center"/>
          </w:tcPr>
          <w:p w14:paraId="415FBBAE"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Amoxicillin-Clavulanic Acid</w:t>
            </w:r>
          </w:p>
        </w:tc>
        <w:tc>
          <w:tcPr>
            <w:tcW w:w="3150" w:type="dxa"/>
            <w:tcBorders>
              <w:top w:val="single" w:sz="4" w:space="0" w:color="auto"/>
            </w:tcBorders>
            <w:vAlign w:val="center"/>
          </w:tcPr>
          <w:p w14:paraId="10AFDBE7"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3 (100)</w:t>
            </w:r>
          </w:p>
        </w:tc>
        <w:tc>
          <w:tcPr>
            <w:tcW w:w="2695" w:type="dxa"/>
            <w:tcBorders>
              <w:top w:val="single" w:sz="4" w:space="0" w:color="auto"/>
            </w:tcBorders>
            <w:vAlign w:val="center"/>
          </w:tcPr>
          <w:p w14:paraId="4593F0A7"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7 (77.8)</w:t>
            </w:r>
          </w:p>
        </w:tc>
        <w:tc>
          <w:tcPr>
            <w:tcW w:w="1440" w:type="dxa"/>
            <w:tcBorders>
              <w:top w:val="single" w:sz="4" w:space="0" w:color="auto"/>
            </w:tcBorders>
            <w:vAlign w:val="center"/>
          </w:tcPr>
          <w:p w14:paraId="5784184C"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1.000</w:t>
            </w:r>
          </w:p>
        </w:tc>
      </w:tr>
      <w:tr w:rsidR="00A26B4A" w:rsidRPr="00A26B4A" w14:paraId="50544328" w14:textId="77777777" w:rsidTr="00610C60">
        <w:tc>
          <w:tcPr>
            <w:tcW w:w="3335" w:type="dxa"/>
            <w:vAlign w:val="center"/>
          </w:tcPr>
          <w:p w14:paraId="344E8193"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Piperacillin-Tazobactam</w:t>
            </w:r>
          </w:p>
        </w:tc>
        <w:tc>
          <w:tcPr>
            <w:tcW w:w="3150" w:type="dxa"/>
            <w:vAlign w:val="center"/>
          </w:tcPr>
          <w:p w14:paraId="42CDB33A"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2 (66.7)</w:t>
            </w:r>
          </w:p>
        </w:tc>
        <w:tc>
          <w:tcPr>
            <w:tcW w:w="2695" w:type="dxa"/>
            <w:vAlign w:val="center"/>
          </w:tcPr>
          <w:p w14:paraId="6861A0B5"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4 (44.4)</w:t>
            </w:r>
          </w:p>
        </w:tc>
        <w:tc>
          <w:tcPr>
            <w:tcW w:w="1440" w:type="dxa"/>
            <w:vAlign w:val="center"/>
          </w:tcPr>
          <w:p w14:paraId="045F1FD1"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0.523</w:t>
            </w:r>
          </w:p>
        </w:tc>
      </w:tr>
      <w:tr w:rsidR="00A26B4A" w:rsidRPr="00A26B4A" w14:paraId="319A6BEA" w14:textId="77777777" w:rsidTr="00610C60">
        <w:tc>
          <w:tcPr>
            <w:tcW w:w="3335" w:type="dxa"/>
            <w:vAlign w:val="center"/>
          </w:tcPr>
          <w:p w14:paraId="4BA13224"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Ceftriaxone</w:t>
            </w:r>
          </w:p>
        </w:tc>
        <w:tc>
          <w:tcPr>
            <w:tcW w:w="3150" w:type="dxa"/>
            <w:vAlign w:val="center"/>
          </w:tcPr>
          <w:p w14:paraId="020D7C67"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3 (100)</w:t>
            </w:r>
          </w:p>
        </w:tc>
        <w:tc>
          <w:tcPr>
            <w:tcW w:w="2695" w:type="dxa"/>
            <w:vAlign w:val="center"/>
          </w:tcPr>
          <w:p w14:paraId="5A6A2F6B"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7 (77.8)</w:t>
            </w:r>
          </w:p>
        </w:tc>
        <w:tc>
          <w:tcPr>
            <w:tcW w:w="1440" w:type="dxa"/>
            <w:vAlign w:val="center"/>
          </w:tcPr>
          <w:p w14:paraId="36A9F7F6"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1.000</w:t>
            </w:r>
          </w:p>
        </w:tc>
      </w:tr>
      <w:tr w:rsidR="00A26B4A" w:rsidRPr="00A26B4A" w14:paraId="08AEA7EF" w14:textId="77777777" w:rsidTr="00610C60">
        <w:tc>
          <w:tcPr>
            <w:tcW w:w="3335" w:type="dxa"/>
            <w:vAlign w:val="center"/>
          </w:tcPr>
          <w:p w14:paraId="0C2AB7CB"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Cefoxitin</w:t>
            </w:r>
          </w:p>
        </w:tc>
        <w:tc>
          <w:tcPr>
            <w:tcW w:w="3150" w:type="dxa"/>
            <w:vAlign w:val="center"/>
          </w:tcPr>
          <w:p w14:paraId="5DD99AAB"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3 (100)</w:t>
            </w:r>
          </w:p>
        </w:tc>
        <w:tc>
          <w:tcPr>
            <w:tcW w:w="2695" w:type="dxa"/>
            <w:vAlign w:val="center"/>
          </w:tcPr>
          <w:p w14:paraId="000F8D9B"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9 (100)</w:t>
            </w:r>
          </w:p>
        </w:tc>
        <w:tc>
          <w:tcPr>
            <w:tcW w:w="1440" w:type="dxa"/>
            <w:vAlign w:val="center"/>
          </w:tcPr>
          <w:p w14:paraId="6FB833F8"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1.000</w:t>
            </w:r>
          </w:p>
        </w:tc>
      </w:tr>
      <w:tr w:rsidR="00A26B4A" w:rsidRPr="00A26B4A" w14:paraId="5B5C5A37" w14:textId="77777777" w:rsidTr="00610C60">
        <w:tc>
          <w:tcPr>
            <w:tcW w:w="3335" w:type="dxa"/>
            <w:vAlign w:val="center"/>
          </w:tcPr>
          <w:p w14:paraId="2F6D4016"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Imipenem</w:t>
            </w:r>
          </w:p>
        </w:tc>
        <w:tc>
          <w:tcPr>
            <w:tcW w:w="3150" w:type="dxa"/>
            <w:vAlign w:val="center"/>
          </w:tcPr>
          <w:p w14:paraId="0D4051AE"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3 (100)</w:t>
            </w:r>
          </w:p>
        </w:tc>
        <w:tc>
          <w:tcPr>
            <w:tcW w:w="2695" w:type="dxa"/>
            <w:vAlign w:val="center"/>
          </w:tcPr>
          <w:p w14:paraId="778A30D6"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9 (100)</w:t>
            </w:r>
          </w:p>
        </w:tc>
        <w:tc>
          <w:tcPr>
            <w:tcW w:w="1440" w:type="dxa"/>
            <w:vAlign w:val="center"/>
          </w:tcPr>
          <w:p w14:paraId="0B807D87"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1.000</w:t>
            </w:r>
          </w:p>
        </w:tc>
      </w:tr>
      <w:tr w:rsidR="00A26B4A" w:rsidRPr="00A26B4A" w14:paraId="339F4BEA" w14:textId="77777777" w:rsidTr="00610C60">
        <w:tc>
          <w:tcPr>
            <w:tcW w:w="3335" w:type="dxa"/>
            <w:vAlign w:val="center"/>
          </w:tcPr>
          <w:p w14:paraId="00FDD656"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Meropenem</w:t>
            </w:r>
          </w:p>
        </w:tc>
        <w:tc>
          <w:tcPr>
            <w:tcW w:w="3150" w:type="dxa"/>
            <w:vAlign w:val="center"/>
          </w:tcPr>
          <w:p w14:paraId="2514595E"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 (33.3)</w:t>
            </w:r>
          </w:p>
        </w:tc>
        <w:tc>
          <w:tcPr>
            <w:tcW w:w="2695" w:type="dxa"/>
            <w:vAlign w:val="center"/>
          </w:tcPr>
          <w:p w14:paraId="18B52080"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2 (22.2)</w:t>
            </w:r>
          </w:p>
        </w:tc>
        <w:tc>
          <w:tcPr>
            <w:tcW w:w="1440" w:type="dxa"/>
            <w:vAlign w:val="center"/>
          </w:tcPr>
          <w:p w14:paraId="77AC9A10"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1.000</w:t>
            </w:r>
          </w:p>
        </w:tc>
      </w:tr>
      <w:tr w:rsidR="00A26B4A" w:rsidRPr="00A26B4A" w14:paraId="5BC1D330" w14:textId="77777777" w:rsidTr="00610C60">
        <w:tc>
          <w:tcPr>
            <w:tcW w:w="3335" w:type="dxa"/>
            <w:vAlign w:val="center"/>
          </w:tcPr>
          <w:p w14:paraId="0130280D"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Oxacillin</w:t>
            </w:r>
          </w:p>
        </w:tc>
        <w:tc>
          <w:tcPr>
            <w:tcW w:w="3150" w:type="dxa"/>
            <w:vAlign w:val="center"/>
          </w:tcPr>
          <w:p w14:paraId="2F7D3E9C"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3 (100)</w:t>
            </w:r>
          </w:p>
        </w:tc>
        <w:tc>
          <w:tcPr>
            <w:tcW w:w="2695" w:type="dxa"/>
            <w:vAlign w:val="center"/>
          </w:tcPr>
          <w:p w14:paraId="72D7AFE0"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9 (100)</w:t>
            </w:r>
          </w:p>
        </w:tc>
        <w:tc>
          <w:tcPr>
            <w:tcW w:w="1440" w:type="dxa"/>
            <w:vAlign w:val="center"/>
          </w:tcPr>
          <w:p w14:paraId="57831B79"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1.000</w:t>
            </w:r>
          </w:p>
        </w:tc>
      </w:tr>
      <w:tr w:rsidR="00A26B4A" w:rsidRPr="00A26B4A" w14:paraId="7017C962" w14:textId="77777777" w:rsidTr="00610C60">
        <w:tc>
          <w:tcPr>
            <w:tcW w:w="3335" w:type="dxa"/>
            <w:vAlign w:val="center"/>
          </w:tcPr>
          <w:p w14:paraId="35CFB74C"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Ciprofloxacin</w:t>
            </w:r>
          </w:p>
        </w:tc>
        <w:tc>
          <w:tcPr>
            <w:tcW w:w="3150" w:type="dxa"/>
            <w:vAlign w:val="center"/>
          </w:tcPr>
          <w:p w14:paraId="7CB7B6CC"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0 (0.0)</w:t>
            </w:r>
          </w:p>
        </w:tc>
        <w:tc>
          <w:tcPr>
            <w:tcW w:w="2695" w:type="dxa"/>
            <w:vAlign w:val="center"/>
          </w:tcPr>
          <w:p w14:paraId="2EECA84C"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2 (22.2)</w:t>
            </w:r>
          </w:p>
        </w:tc>
        <w:tc>
          <w:tcPr>
            <w:tcW w:w="1440" w:type="dxa"/>
            <w:vAlign w:val="center"/>
          </w:tcPr>
          <w:p w14:paraId="48012C92"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1.000</w:t>
            </w:r>
          </w:p>
        </w:tc>
      </w:tr>
      <w:tr w:rsidR="00A26B4A" w:rsidRPr="00A26B4A" w14:paraId="59825D66" w14:textId="77777777" w:rsidTr="00610C60">
        <w:tc>
          <w:tcPr>
            <w:tcW w:w="3335" w:type="dxa"/>
            <w:vAlign w:val="center"/>
          </w:tcPr>
          <w:p w14:paraId="5B95A777"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Levofloxacin</w:t>
            </w:r>
          </w:p>
        </w:tc>
        <w:tc>
          <w:tcPr>
            <w:tcW w:w="3150" w:type="dxa"/>
            <w:vAlign w:val="center"/>
          </w:tcPr>
          <w:p w14:paraId="17466B9B"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0 (0.0)</w:t>
            </w:r>
          </w:p>
        </w:tc>
        <w:tc>
          <w:tcPr>
            <w:tcW w:w="2695" w:type="dxa"/>
            <w:vAlign w:val="center"/>
          </w:tcPr>
          <w:p w14:paraId="039AD7F4"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 (11.1)</w:t>
            </w:r>
          </w:p>
        </w:tc>
        <w:tc>
          <w:tcPr>
            <w:tcW w:w="1440" w:type="dxa"/>
            <w:vAlign w:val="center"/>
          </w:tcPr>
          <w:p w14:paraId="665B596B"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1.000</w:t>
            </w:r>
          </w:p>
        </w:tc>
      </w:tr>
      <w:tr w:rsidR="00A26B4A" w:rsidRPr="00A26B4A" w14:paraId="3074A670" w14:textId="77777777" w:rsidTr="00610C60">
        <w:tc>
          <w:tcPr>
            <w:tcW w:w="3335" w:type="dxa"/>
            <w:vAlign w:val="center"/>
          </w:tcPr>
          <w:p w14:paraId="7945F1BC"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Gentamicin</w:t>
            </w:r>
          </w:p>
        </w:tc>
        <w:tc>
          <w:tcPr>
            <w:tcW w:w="3150" w:type="dxa"/>
            <w:vAlign w:val="center"/>
          </w:tcPr>
          <w:p w14:paraId="0B57B7C8"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3 (100)</w:t>
            </w:r>
          </w:p>
        </w:tc>
        <w:tc>
          <w:tcPr>
            <w:tcW w:w="2695" w:type="dxa"/>
            <w:vAlign w:val="center"/>
          </w:tcPr>
          <w:p w14:paraId="3F321826"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4 (44.4)</w:t>
            </w:r>
          </w:p>
        </w:tc>
        <w:tc>
          <w:tcPr>
            <w:tcW w:w="1440" w:type="dxa"/>
            <w:vAlign w:val="center"/>
          </w:tcPr>
          <w:p w14:paraId="7FD52EE3"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0.205</w:t>
            </w:r>
          </w:p>
        </w:tc>
      </w:tr>
      <w:tr w:rsidR="00A26B4A" w:rsidRPr="00A26B4A" w14:paraId="68829FF1" w14:textId="77777777" w:rsidTr="00610C60">
        <w:tc>
          <w:tcPr>
            <w:tcW w:w="3335" w:type="dxa"/>
            <w:vAlign w:val="center"/>
          </w:tcPr>
          <w:p w14:paraId="0621E6CA"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Streptomycin</w:t>
            </w:r>
          </w:p>
        </w:tc>
        <w:tc>
          <w:tcPr>
            <w:tcW w:w="3150" w:type="dxa"/>
            <w:vAlign w:val="center"/>
          </w:tcPr>
          <w:p w14:paraId="5D9F8D87"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3 (100)</w:t>
            </w:r>
          </w:p>
        </w:tc>
        <w:tc>
          <w:tcPr>
            <w:tcW w:w="2695" w:type="dxa"/>
            <w:vAlign w:val="center"/>
          </w:tcPr>
          <w:p w14:paraId="4D054C15"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3 (33.3)</w:t>
            </w:r>
          </w:p>
        </w:tc>
        <w:tc>
          <w:tcPr>
            <w:tcW w:w="1440" w:type="dxa"/>
            <w:vAlign w:val="center"/>
          </w:tcPr>
          <w:p w14:paraId="5F44ABE0"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0.091</w:t>
            </w:r>
          </w:p>
        </w:tc>
      </w:tr>
      <w:tr w:rsidR="00A26B4A" w:rsidRPr="00A26B4A" w14:paraId="563682AE" w14:textId="77777777" w:rsidTr="00610C60">
        <w:tc>
          <w:tcPr>
            <w:tcW w:w="3335" w:type="dxa"/>
            <w:vAlign w:val="center"/>
          </w:tcPr>
          <w:p w14:paraId="763ECC25"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Chloramphenicol</w:t>
            </w:r>
          </w:p>
        </w:tc>
        <w:tc>
          <w:tcPr>
            <w:tcW w:w="3150" w:type="dxa"/>
            <w:vAlign w:val="center"/>
          </w:tcPr>
          <w:p w14:paraId="622AA159"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3 (100)</w:t>
            </w:r>
          </w:p>
        </w:tc>
        <w:tc>
          <w:tcPr>
            <w:tcW w:w="2695" w:type="dxa"/>
            <w:vAlign w:val="center"/>
          </w:tcPr>
          <w:p w14:paraId="187CC18E"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8 (88.9)</w:t>
            </w:r>
          </w:p>
        </w:tc>
        <w:tc>
          <w:tcPr>
            <w:tcW w:w="1440" w:type="dxa"/>
            <w:vAlign w:val="center"/>
          </w:tcPr>
          <w:p w14:paraId="051A1F7C"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1.000</w:t>
            </w:r>
          </w:p>
        </w:tc>
      </w:tr>
      <w:tr w:rsidR="00A26B4A" w:rsidRPr="00A26B4A" w14:paraId="3842B11A" w14:textId="77777777" w:rsidTr="00610C60">
        <w:tc>
          <w:tcPr>
            <w:tcW w:w="3335" w:type="dxa"/>
            <w:vAlign w:val="center"/>
          </w:tcPr>
          <w:p w14:paraId="0440349E"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Clindamycin</w:t>
            </w:r>
          </w:p>
        </w:tc>
        <w:tc>
          <w:tcPr>
            <w:tcW w:w="3150" w:type="dxa"/>
            <w:vAlign w:val="center"/>
          </w:tcPr>
          <w:p w14:paraId="2E2F37FD"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3 (100)</w:t>
            </w:r>
          </w:p>
        </w:tc>
        <w:tc>
          <w:tcPr>
            <w:tcW w:w="2695" w:type="dxa"/>
            <w:vAlign w:val="center"/>
          </w:tcPr>
          <w:p w14:paraId="6483AD4A"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3 (33.3)</w:t>
            </w:r>
          </w:p>
        </w:tc>
        <w:tc>
          <w:tcPr>
            <w:tcW w:w="1440" w:type="dxa"/>
            <w:vAlign w:val="center"/>
          </w:tcPr>
          <w:p w14:paraId="2A9BDB8E"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0.091</w:t>
            </w:r>
          </w:p>
        </w:tc>
      </w:tr>
      <w:tr w:rsidR="00A26B4A" w:rsidRPr="00A26B4A" w14:paraId="0F57B013" w14:textId="77777777" w:rsidTr="00610C60">
        <w:tc>
          <w:tcPr>
            <w:tcW w:w="3335" w:type="dxa"/>
            <w:vAlign w:val="center"/>
          </w:tcPr>
          <w:p w14:paraId="7190F61A"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Erythromycin</w:t>
            </w:r>
          </w:p>
        </w:tc>
        <w:tc>
          <w:tcPr>
            <w:tcW w:w="3150" w:type="dxa"/>
            <w:vAlign w:val="center"/>
          </w:tcPr>
          <w:p w14:paraId="613E4478"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3 (100)</w:t>
            </w:r>
          </w:p>
        </w:tc>
        <w:tc>
          <w:tcPr>
            <w:tcW w:w="2695" w:type="dxa"/>
            <w:vAlign w:val="center"/>
          </w:tcPr>
          <w:p w14:paraId="2CD5A78E"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5 (55.6)</w:t>
            </w:r>
          </w:p>
        </w:tc>
        <w:tc>
          <w:tcPr>
            <w:tcW w:w="1440" w:type="dxa"/>
            <w:vAlign w:val="center"/>
          </w:tcPr>
          <w:p w14:paraId="1B89C502"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0.491</w:t>
            </w:r>
          </w:p>
        </w:tc>
      </w:tr>
      <w:tr w:rsidR="00A26B4A" w:rsidRPr="00A26B4A" w14:paraId="49FB3FAC" w14:textId="77777777" w:rsidTr="00610C60">
        <w:tc>
          <w:tcPr>
            <w:tcW w:w="3335" w:type="dxa"/>
            <w:vAlign w:val="center"/>
          </w:tcPr>
          <w:p w14:paraId="320A9448"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Trimethoprim-Sulfamethoxazole</w:t>
            </w:r>
          </w:p>
        </w:tc>
        <w:tc>
          <w:tcPr>
            <w:tcW w:w="3150" w:type="dxa"/>
            <w:vAlign w:val="center"/>
          </w:tcPr>
          <w:p w14:paraId="5AE75DA7"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3 (100)</w:t>
            </w:r>
          </w:p>
        </w:tc>
        <w:tc>
          <w:tcPr>
            <w:tcW w:w="2695" w:type="dxa"/>
            <w:vAlign w:val="center"/>
          </w:tcPr>
          <w:p w14:paraId="7900C527"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9 (100)</w:t>
            </w:r>
          </w:p>
        </w:tc>
        <w:tc>
          <w:tcPr>
            <w:tcW w:w="1440" w:type="dxa"/>
            <w:vAlign w:val="center"/>
          </w:tcPr>
          <w:p w14:paraId="2D98622E"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1.000</w:t>
            </w:r>
          </w:p>
        </w:tc>
      </w:tr>
      <w:tr w:rsidR="00A26B4A" w:rsidRPr="00A26B4A" w14:paraId="084BB6AE" w14:textId="77777777" w:rsidTr="00610C60">
        <w:tc>
          <w:tcPr>
            <w:tcW w:w="3335" w:type="dxa"/>
            <w:vAlign w:val="center"/>
          </w:tcPr>
          <w:p w14:paraId="46C695D5"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Vancomycin</w:t>
            </w:r>
          </w:p>
        </w:tc>
        <w:tc>
          <w:tcPr>
            <w:tcW w:w="3150" w:type="dxa"/>
            <w:vAlign w:val="center"/>
          </w:tcPr>
          <w:p w14:paraId="4B6ED8E1"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3 (100)</w:t>
            </w:r>
          </w:p>
        </w:tc>
        <w:tc>
          <w:tcPr>
            <w:tcW w:w="2695" w:type="dxa"/>
            <w:vAlign w:val="center"/>
          </w:tcPr>
          <w:p w14:paraId="76831B08"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4 (44.4)</w:t>
            </w:r>
          </w:p>
        </w:tc>
        <w:tc>
          <w:tcPr>
            <w:tcW w:w="1440" w:type="dxa"/>
            <w:vAlign w:val="center"/>
          </w:tcPr>
          <w:p w14:paraId="1EB1064F" w14:textId="77777777" w:rsidR="00AE73EC" w:rsidRPr="00A26B4A" w:rsidRDefault="00AE73EC" w:rsidP="00E43C6C">
            <w:pPr>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0.205</w:t>
            </w:r>
          </w:p>
        </w:tc>
      </w:tr>
    </w:tbl>
    <w:p w14:paraId="5BABEA9B" w14:textId="77777777" w:rsidR="00AB456D" w:rsidRPr="00A26B4A" w:rsidRDefault="00AB456D" w:rsidP="00E43C6C">
      <w:pPr>
        <w:spacing w:after="0"/>
        <w:jc w:val="both"/>
        <w:rPr>
          <w:rStyle w:val="Strong"/>
          <w:rFonts w:ascii="Times New Roman" w:hAnsi="Times New Roman" w:cs="Times New Roman"/>
          <w:sz w:val="20"/>
          <w:szCs w:val="20"/>
          <w:shd w:val="clear" w:color="auto" w:fill="FFFFFF"/>
        </w:rPr>
      </w:pPr>
    </w:p>
    <w:p w14:paraId="73F50123" w14:textId="77777777" w:rsidR="00AB456D" w:rsidRPr="00A26B4A" w:rsidRDefault="00AB456D" w:rsidP="00CC206A">
      <w:pPr>
        <w:rPr>
          <w:rStyle w:val="Strong"/>
          <w:rFonts w:ascii="Times New Roman" w:hAnsi="Times New Roman" w:cs="Times New Roman"/>
          <w:sz w:val="20"/>
          <w:szCs w:val="20"/>
          <w:shd w:val="clear" w:color="auto" w:fill="FFFFFF"/>
        </w:rPr>
      </w:pPr>
    </w:p>
    <w:p w14:paraId="1939982C" w14:textId="77777777" w:rsidR="00AB456D" w:rsidRPr="00A26B4A" w:rsidRDefault="00AB456D" w:rsidP="00415DC5">
      <w:pPr>
        <w:shd w:val="clear" w:color="auto" w:fill="FFFFFF"/>
        <w:spacing w:after="0" w:line="240" w:lineRule="auto"/>
        <w:jc w:val="both"/>
        <w:outlineLvl w:val="1"/>
        <w:rPr>
          <w:rFonts w:ascii="Times New Roman" w:eastAsia="Times New Roman" w:hAnsi="Times New Roman" w:cs="Times New Roman"/>
          <w:b/>
          <w:bCs/>
          <w:sz w:val="20"/>
          <w:szCs w:val="20"/>
        </w:rPr>
      </w:pPr>
      <w:r w:rsidRPr="00A26B4A">
        <w:rPr>
          <w:rFonts w:ascii="Times New Roman" w:eastAsia="Times New Roman" w:hAnsi="Times New Roman" w:cs="Times New Roman"/>
          <w:b/>
          <w:bCs/>
          <w:sz w:val="20"/>
          <w:szCs w:val="20"/>
        </w:rPr>
        <w:t>4. Discussion</w:t>
      </w:r>
    </w:p>
    <w:p w14:paraId="518F9E95" w14:textId="3563BB5E"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The isolation of coagulase-negative staphylococci from 48.0% of </w:t>
      </w:r>
      <w:proofErr w:type="spellStart"/>
      <w:r w:rsidRPr="00A26B4A">
        <w:rPr>
          <w:rFonts w:ascii="Times New Roman" w:eastAsia="Times New Roman" w:hAnsi="Times New Roman" w:cs="Times New Roman"/>
          <w:i/>
          <w:iCs/>
          <w:sz w:val="20"/>
          <w:szCs w:val="20"/>
        </w:rPr>
        <w:t>Telfairia</w:t>
      </w:r>
      <w:proofErr w:type="spellEnd"/>
      <w:r w:rsidRPr="00A26B4A">
        <w:rPr>
          <w:rFonts w:ascii="Times New Roman" w:eastAsia="Times New Roman" w:hAnsi="Times New Roman" w:cs="Times New Roman"/>
          <w:i/>
          <w:iCs/>
          <w:sz w:val="20"/>
          <w:szCs w:val="20"/>
        </w:rPr>
        <w:t xml:space="preserve"> </w:t>
      </w:r>
      <w:proofErr w:type="spellStart"/>
      <w:r w:rsidRPr="00A26B4A">
        <w:rPr>
          <w:rFonts w:ascii="Times New Roman" w:eastAsia="Times New Roman" w:hAnsi="Times New Roman" w:cs="Times New Roman"/>
          <w:i/>
          <w:iCs/>
          <w:sz w:val="20"/>
          <w:szCs w:val="20"/>
        </w:rPr>
        <w:t>occidentalis</w:t>
      </w:r>
      <w:proofErr w:type="spellEnd"/>
      <w:r w:rsidRPr="00A26B4A">
        <w:rPr>
          <w:rFonts w:ascii="Times New Roman" w:eastAsia="Times New Roman" w:hAnsi="Times New Roman" w:cs="Times New Roman"/>
          <w:sz w:val="20"/>
          <w:szCs w:val="20"/>
        </w:rPr>
        <w:t xml:space="preserve"> vegetable samples in this study highlights the significant potential for fresh produce to serve as vehicles for the transmission of these opportunistic pathogens. This prevalence is consistent with previous reports documenting staphylococcal contamination of fresh vegetables in various settings. Chen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(2020) reported biofilm-forming </w:t>
      </w:r>
      <w:r w:rsidRPr="00A26B4A">
        <w:rPr>
          <w:rFonts w:ascii="Times New Roman" w:eastAsia="Times New Roman" w:hAnsi="Times New Roman" w:cs="Times New Roman"/>
          <w:i/>
          <w:iCs/>
          <w:sz w:val="20"/>
          <w:szCs w:val="20"/>
        </w:rPr>
        <w:t>Staphylococcus aureus</w:t>
      </w:r>
      <w:r w:rsidRPr="00A26B4A">
        <w:rPr>
          <w:rFonts w:ascii="Times New Roman" w:eastAsia="Times New Roman" w:hAnsi="Times New Roman" w:cs="Times New Roman"/>
          <w:sz w:val="20"/>
          <w:szCs w:val="20"/>
        </w:rPr>
        <w:t> in 9.8% of food samples from China, while Avila-</w:t>
      </w:r>
      <w:proofErr w:type="spellStart"/>
      <w:r w:rsidRPr="00A26B4A">
        <w:rPr>
          <w:rFonts w:ascii="Times New Roman" w:eastAsia="Times New Roman" w:hAnsi="Times New Roman" w:cs="Times New Roman"/>
          <w:sz w:val="20"/>
          <w:szCs w:val="20"/>
        </w:rPr>
        <w:t>Novoa</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(2018) documented staphylococcal contamination of food contact surfaces in the dairy industry in Mexico. The relatively high prevalence observed in our study may reflect contamination during cultivation, harvesting, transportation, or retail handling, underscoring the need for improved food safety practices throughout the supply chain.</w:t>
      </w:r>
    </w:p>
    <w:p w14:paraId="0DC3A8BA" w14:textId="1744EF92"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 xml:space="preserve">The antibiotic resistance profile of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isolates from </w:t>
      </w:r>
      <w:r w:rsidRPr="00A26B4A">
        <w:rPr>
          <w:rFonts w:ascii="Times New Roman" w:eastAsia="Times New Roman" w:hAnsi="Times New Roman" w:cs="Times New Roman"/>
          <w:i/>
          <w:iCs/>
          <w:sz w:val="20"/>
          <w:szCs w:val="20"/>
        </w:rPr>
        <w:t xml:space="preserve">T. </w:t>
      </w:r>
      <w:proofErr w:type="spellStart"/>
      <w:r w:rsidRPr="00A26B4A">
        <w:rPr>
          <w:rFonts w:ascii="Times New Roman" w:eastAsia="Times New Roman" w:hAnsi="Times New Roman" w:cs="Times New Roman"/>
          <w:i/>
          <w:iCs/>
          <w:sz w:val="20"/>
          <w:szCs w:val="20"/>
        </w:rPr>
        <w:t>occidentalis</w:t>
      </w:r>
      <w:proofErr w:type="spellEnd"/>
      <w:r w:rsidRPr="00A26B4A">
        <w:rPr>
          <w:rFonts w:ascii="Times New Roman" w:eastAsia="Times New Roman" w:hAnsi="Times New Roman" w:cs="Times New Roman"/>
          <w:sz w:val="20"/>
          <w:szCs w:val="20"/>
        </w:rPr>
        <w:t xml:space="preserve"> reveals an alarming pattern of multidrug resistance that has significant implications for public health. The universal resistance to cefoxitin and oxacillin indicates that all isolates are methicillin-resistant, a phenotype that severely limits therapeutic options. This finding is consistent with the global emergence of methicillin-resistant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(MR-</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as significant nosocomial and community pathogens (Becker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2020; </w:t>
      </w:r>
      <w:proofErr w:type="spellStart"/>
      <w:r w:rsidRPr="00A26B4A">
        <w:rPr>
          <w:rFonts w:ascii="Times New Roman" w:eastAsia="Times New Roman" w:hAnsi="Times New Roman" w:cs="Times New Roman"/>
          <w:sz w:val="20"/>
          <w:szCs w:val="20"/>
        </w:rPr>
        <w:t>Adesoji</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2025). A systematic review and meta-analysis by </w:t>
      </w:r>
      <w:proofErr w:type="spellStart"/>
      <w:r w:rsidRPr="00A26B4A">
        <w:rPr>
          <w:rFonts w:ascii="Times New Roman" w:eastAsia="Times New Roman" w:hAnsi="Times New Roman" w:cs="Times New Roman"/>
          <w:sz w:val="20"/>
          <w:szCs w:val="20"/>
        </w:rPr>
        <w:t>Adesoji</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(2025) reported a pooled MR-</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prevalence of 36% in Africa, though our study demonstrates substantially higher rates in this foodborne context.</w:t>
      </w:r>
    </w:p>
    <w:p w14:paraId="262C9EF2" w14:textId="129FCB9D"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 xml:space="preserve">Of particular concern is the high-level resistance to imipenem (100%) and vancomycin (58.3%), antibiotics that are typically reserved as last-line therapies for serious Gram-positive infections. While vancomycin resistance in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has been documented previously, the high prevalence observed in this study exceeds rates reported from many clinical settings. Al-</w:t>
      </w:r>
      <w:proofErr w:type="spellStart"/>
      <w:r w:rsidRPr="00A26B4A">
        <w:rPr>
          <w:rFonts w:ascii="Times New Roman" w:eastAsia="Times New Roman" w:hAnsi="Times New Roman" w:cs="Times New Roman"/>
          <w:sz w:val="20"/>
          <w:szCs w:val="20"/>
        </w:rPr>
        <w:t>Haqan</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(2020) reported that 92.4% of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isolates from preterm neonates were methicillin-resistant, but vancomycin susceptibility data were not reported. The emergence of vancomycin resistance in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from food sources represents a concerning development that could compromise treatment options for serious infections.</w:t>
      </w:r>
    </w:p>
    <w:p w14:paraId="18DA664F" w14:textId="4EC9FFED"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The preserved activity of fluoroquinolones (ciprofloxacin 83.3% susceptible, levofloxacin 91.7% susceptible) and meropenem (75.0% susceptible) provides some therapeutic options, though the emerging resistance to these agents in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-positive isolates warrants careful monitoring. Similar patterns of preserved fluoroquinolone susceptibility in </w:t>
      </w:r>
      <w:proofErr w:type="spellStart"/>
      <w:r w:rsidRPr="00A26B4A">
        <w:rPr>
          <w:rFonts w:ascii="Times New Roman" w:eastAsia="Times New Roman" w:hAnsi="Times New Roman" w:cs="Times New Roman"/>
          <w:sz w:val="20"/>
          <w:szCs w:val="20"/>
        </w:rPr>
        <w:lastRenderedPageBreak/>
        <w:t>CoNS</w:t>
      </w:r>
      <w:proofErr w:type="spellEnd"/>
      <w:r w:rsidRPr="00A26B4A">
        <w:rPr>
          <w:rFonts w:ascii="Times New Roman" w:eastAsia="Times New Roman" w:hAnsi="Times New Roman" w:cs="Times New Roman"/>
          <w:sz w:val="20"/>
          <w:szCs w:val="20"/>
        </w:rPr>
        <w:t xml:space="preserve"> have been reported from Tanzania and other African settings, though resistance rates vary considerably by geographic region and source (Charles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2024).</w:t>
      </w:r>
    </w:p>
    <w:p w14:paraId="0D93A79D" w14:textId="6A723194"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The detection of the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 gene in 25.0% of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isolates represents a finding of considerable public health significance. Panton-Valentine </w:t>
      </w:r>
      <w:proofErr w:type="spellStart"/>
      <w:r w:rsidRPr="00A26B4A">
        <w:rPr>
          <w:rFonts w:ascii="Times New Roman" w:eastAsia="Times New Roman" w:hAnsi="Times New Roman" w:cs="Times New Roman"/>
          <w:sz w:val="20"/>
          <w:szCs w:val="20"/>
        </w:rPr>
        <w:t>leukocidin</w:t>
      </w:r>
      <w:proofErr w:type="spellEnd"/>
      <w:r w:rsidRPr="00A26B4A">
        <w:rPr>
          <w:rFonts w:ascii="Times New Roman" w:eastAsia="Times New Roman" w:hAnsi="Times New Roman" w:cs="Times New Roman"/>
          <w:sz w:val="20"/>
          <w:szCs w:val="20"/>
        </w:rPr>
        <w:t xml:space="preserve"> is a potent cytotoxin that has been extensively characterized in </w:t>
      </w:r>
      <w:r w:rsidRPr="00A26B4A">
        <w:rPr>
          <w:rFonts w:ascii="Times New Roman" w:eastAsia="Times New Roman" w:hAnsi="Times New Roman" w:cs="Times New Roman"/>
          <w:i/>
          <w:iCs/>
          <w:sz w:val="20"/>
          <w:szCs w:val="20"/>
        </w:rPr>
        <w:t>Staphylococcus aureus</w:t>
      </w:r>
      <w:r w:rsidRPr="00A26B4A">
        <w:rPr>
          <w:rFonts w:ascii="Times New Roman" w:eastAsia="Times New Roman" w:hAnsi="Times New Roman" w:cs="Times New Roman"/>
          <w:sz w:val="20"/>
          <w:szCs w:val="20"/>
        </w:rPr>
        <w:t xml:space="preserve">, particularly in community-acquired MRSA strains associated with severe skin and soft tissue infections and necrotizing pneumonia (Shallcross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2013). The presence of this virulence determinant in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from fresh vegetables suggests that these environmental isolates may possess enhanced pathogenic potential.</w:t>
      </w:r>
    </w:p>
    <w:p w14:paraId="7491ED60" w14:textId="1E7D24CA"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The presence of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-harboring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on </w:t>
      </w:r>
      <w:r w:rsidRPr="00A26B4A">
        <w:rPr>
          <w:rFonts w:ascii="Times New Roman" w:eastAsia="Times New Roman" w:hAnsi="Times New Roman" w:cs="Times New Roman"/>
          <w:i/>
          <w:iCs/>
          <w:sz w:val="20"/>
          <w:szCs w:val="20"/>
        </w:rPr>
        <w:t xml:space="preserve">T. </w:t>
      </w:r>
      <w:proofErr w:type="spellStart"/>
      <w:r w:rsidRPr="00A26B4A">
        <w:rPr>
          <w:rFonts w:ascii="Times New Roman" w:eastAsia="Times New Roman" w:hAnsi="Times New Roman" w:cs="Times New Roman"/>
          <w:i/>
          <w:iCs/>
          <w:sz w:val="20"/>
          <w:szCs w:val="20"/>
        </w:rPr>
        <w:t>occidentalis</w:t>
      </w:r>
      <w:proofErr w:type="spellEnd"/>
      <w:r w:rsidRPr="00A26B4A">
        <w:rPr>
          <w:rFonts w:ascii="Times New Roman" w:eastAsia="Times New Roman" w:hAnsi="Times New Roman" w:cs="Times New Roman"/>
          <w:sz w:val="20"/>
          <w:szCs w:val="20"/>
        </w:rPr>
        <w:t> vegetables likely reflects multiple interconnected contamination pathways, with animal manure and irrigation water representing particularly significant sources. The use of untreated or inadequately composted animal manure as organic fertilizer is a common agricultural practice in Nigeria and many developing countries, creating a direct route for the introduction of antibiotic-resistant staphylococci from livestock to crops. Ruiz-</w:t>
      </w:r>
      <w:proofErr w:type="spellStart"/>
      <w:r w:rsidRPr="00A26B4A">
        <w:rPr>
          <w:rFonts w:ascii="Times New Roman" w:eastAsia="Times New Roman" w:hAnsi="Times New Roman" w:cs="Times New Roman"/>
          <w:sz w:val="20"/>
          <w:szCs w:val="20"/>
        </w:rPr>
        <w:t>Ripa</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(2020) demonstrated that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carrying the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 gene are present in the environment of swine farms, being recovered from both air samples and liquid manure tanks. Their findings that multidrug resistance was observed in 87% of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from these farm environments, with specific detection of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-positive </w:t>
      </w:r>
      <w:r w:rsidRPr="00A26B4A">
        <w:rPr>
          <w:rFonts w:ascii="Times New Roman" w:eastAsia="Times New Roman" w:hAnsi="Times New Roman" w:cs="Times New Roman"/>
          <w:i/>
          <w:iCs/>
          <w:sz w:val="20"/>
          <w:szCs w:val="20"/>
        </w:rPr>
        <w:t xml:space="preserve">Staphylococcus </w:t>
      </w:r>
      <w:proofErr w:type="spellStart"/>
      <w:r w:rsidRPr="00A26B4A">
        <w:rPr>
          <w:rFonts w:ascii="Times New Roman" w:eastAsia="Times New Roman" w:hAnsi="Times New Roman" w:cs="Times New Roman"/>
          <w:i/>
          <w:iCs/>
          <w:sz w:val="20"/>
          <w:szCs w:val="20"/>
        </w:rPr>
        <w:t>simulans</w:t>
      </w:r>
      <w:proofErr w:type="spellEnd"/>
      <w:r w:rsidRPr="00A26B4A">
        <w:rPr>
          <w:rFonts w:ascii="Times New Roman" w:eastAsia="Times New Roman" w:hAnsi="Times New Roman" w:cs="Times New Roman"/>
          <w:sz w:val="20"/>
          <w:szCs w:val="20"/>
        </w:rPr>
        <w:t>, establish farm animals as definitive reservoirs of these virulent strains.</w:t>
      </w:r>
    </w:p>
    <w:p w14:paraId="1D4C76AF" w14:textId="541BE740"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 xml:space="preserve">The potential for manure-borne transmission is further supported by evidence from West Africa, where </w:t>
      </w:r>
      <w:proofErr w:type="spellStart"/>
      <w:r w:rsidR="009D6DA8" w:rsidRPr="00A26B4A">
        <w:rPr>
          <w:rStyle w:val="text"/>
          <w:rFonts w:ascii="Times New Roman" w:hAnsi="Times New Roman" w:cs="Times New Roman"/>
          <w:sz w:val="20"/>
          <w:szCs w:val="20"/>
        </w:rPr>
        <w:t>Mechesso</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w:t>
      </w:r>
      <w:r w:rsidR="009D6DA8" w:rsidRPr="00A26B4A">
        <w:rPr>
          <w:rFonts w:ascii="Times New Roman" w:eastAsia="Times New Roman" w:hAnsi="Times New Roman" w:cs="Times New Roman"/>
          <w:sz w:val="20"/>
          <w:szCs w:val="20"/>
        </w:rPr>
        <w:t>21</w:t>
      </w:r>
      <w:r w:rsidRPr="00A26B4A">
        <w:rPr>
          <w:rFonts w:ascii="Times New Roman" w:eastAsia="Times New Roman" w:hAnsi="Times New Roman" w:cs="Times New Roman"/>
          <w:sz w:val="20"/>
          <w:szCs w:val="20"/>
        </w:rPr>
        <w:t>) detected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genes in </w:t>
      </w:r>
      <w:r w:rsidRPr="00A26B4A">
        <w:rPr>
          <w:rFonts w:ascii="Times New Roman" w:eastAsia="Times New Roman" w:hAnsi="Times New Roman" w:cs="Times New Roman"/>
          <w:i/>
          <w:iCs/>
          <w:sz w:val="20"/>
          <w:szCs w:val="20"/>
        </w:rPr>
        <w:t>S. aureus</w:t>
      </w:r>
      <w:r w:rsidRPr="00A26B4A">
        <w:rPr>
          <w:rFonts w:ascii="Times New Roman" w:eastAsia="Times New Roman" w:hAnsi="Times New Roman" w:cs="Times New Roman"/>
          <w:sz w:val="20"/>
          <w:szCs w:val="20"/>
        </w:rPr>
        <w:t xml:space="preserve"> isolates from cows in </w:t>
      </w:r>
      <w:r w:rsidR="009D6DA8" w:rsidRPr="00A26B4A">
        <w:rPr>
          <w:rFonts w:ascii="Times New Roman" w:eastAsia="Times New Roman" w:hAnsi="Times New Roman" w:cs="Times New Roman"/>
          <w:sz w:val="20"/>
          <w:szCs w:val="20"/>
        </w:rPr>
        <w:t>Korea</w:t>
      </w:r>
      <w:r w:rsidRPr="00A26B4A">
        <w:rPr>
          <w:rFonts w:ascii="Times New Roman" w:eastAsia="Times New Roman" w:hAnsi="Times New Roman" w:cs="Times New Roman"/>
          <w:sz w:val="20"/>
          <w:szCs w:val="20"/>
        </w:rPr>
        <w:t>, confirming that food-producing animals in the region carry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-positive staphylococci. Importantly, these researchers noted that farm animals serve as vehicles for staphylococcal species as well as their virulence and antimicrobial resistance genes, with transmission to humans possible either through direct contact or via animal-derived food products. Similarly, Mama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(2019) reported the presence of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-positive staphylococci in livestock and farm environments</w:t>
      </w:r>
      <w:r w:rsidR="00C8760A" w:rsidRPr="00A26B4A">
        <w:rPr>
          <w:rFonts w:ascii="Times New Roman" w:eastAsia="Times New Roman" w:hAnsi="Times New Roman" w:cs="Times New Roman"/>
          <w:sz w:val="20"/>
          <w:szCs w:val="20"/>
        </w:rPr>
        <w:t xml:space="preserve"> in </w:t>
      </w:r>
      <w:proofErr w:type="spellStart"/>
      <w:r w:rsidR="00C8760A" w:rsidRPr="00A26B4A">
        <w:rPr>
          <w:rFonts w:ascii="Times New Roman" w:eastAsia="Times New Roman" w:hAnsi="Times New Roman" w:cs="Times New Roman"/>
          <w:sz w:val="20"/>
          <w:szCs w:val="20"/>
        </w:rPr>
        <w:t>spain</w:t>
      </w:r>
      <w:proofErr w:type="spellEnd"/>
      <w:r w:rsidRPr="00A26B4A">
        <w:rPr>
          <w:rFonts w:ascii="Times New Roman" w:eastAsia="Times New Roman" w:hAnsi="Times New Roman" w:cs="Times New Roman"/>
          <w:sz w:val="20"/>
          <w:szCs w:val="20"/>
        </w:rPr>
        <w:t>, emphasizing that animal manure can serve as an environmental reservoir for these virulent strains. The application of manure containing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-positive staphylococci to vegetable crops could therefore directly deposit these pathogens onto plant surfaces, where they may persist through harvest and retail distribution.</w:t>
      </w:r>
    </w:p>
    <w:p w14:paraId="1971E654" w14:textId="33C3F326"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Irrigation water represents another critical transmission pathway. In many agricultural settings in Enugu, farmers utilize surface water sources such as rivers, streams, and shallow wells that are vulnerable to contamination from agricultural runoff, domestic wastewater, and livestock waste. Studies from Nigeria have documented that environmental water bodies harbor antibiotic-resistant staphylococci, including MRSA and MR-</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indicating fecal contamination from human or animal sources (Oladipo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2019). </w:t>
      </w:r>
      <w:proofErr w:type="spellStart"/>
      <w:r w:rsidRPr="00A26B4A">
        <w:rPr>
          <w:rFonts w:ascii="Times New Roman" w:eastAsia="Times New Roman" w:hAnsi="Times New Roman" w:cs="Times New Roman"/>
          <w:sz w:val="20"/>
          <w:szCs w:val="20"/>
        </w:rPr>
        <w:t>Igbinosa</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(2016) reported that methicillin-resistant staphylococci were prevalent in raw meat samples from Benin City, Nigeria, with potential for cross-contamination to water sources through improper waste disposal. The detection of similar resistance patterns in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from well water and clinical sources in related studies from the same geographic region suggests that these pathogens circulate freely between environmental, animal, and human reservoirs, with water serving as a critical conduit. When contaminated water is used for irrigation,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-positive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can be deposited directly onto vegetable surfaces, where they may persist or even proliferate under favorable conditions.</w:t>
      </w:r>
    </w:p>
    <w:p w14:paraId="419DD452" w14:textId="5D15CCA8"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proofErr w:type="spellStart"/>
      <w:r w:rsidRPr="00A26B4A">
        <w:rPr>
          <w:rFonts w:ascii="Times New Roman" w:eastAsia="Times New Roman" w:hAnsi="Times New Roman" w:cs="Times New Roman"/>
          <w:sz w:val="20"/>
          <w:szCs w:val="20"/>
        </w:rPr>
        <w:t>Akinduti</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(2022) further documented that vancomycin-non-susceptible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are emerging in skin and soft tissue infections in Nigeria, demonstrating that these resistant strains are already established in the human population. The presence of similar resistance patterns in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from vegetables suggests that foodborne transmission may contribute to the community circulation of these pathogens. Furthermore, the use of untreated wastewater for irrigation, a practice documented in some peri-urban agricultural areas of Nigeria, could directly introduce human-associated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-positive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onto crops (</w:t>
      </w:r>
      <w:proofErr w:type="spellStart"/>
      <w:r w:rsidRPr="00A26B4A">
        <w:rPr>
          <w:rFonts w:ascii="Times New Roman" w:eastAsia="Times New Roman" w:hAnsi="Times New Roman" w:cs="Times New Roman"/>
          <w:sz w:val="20"/>
          <w:szCs w:val="20"/>
        </w:rPr>
        <w:t>Ezeh</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2023).</w:t>
      </w:r>
    </w:p>
    <w:p w14:paraId="5EE72348" w14:textId="7E22DC1D"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 xml:space="preserve">Casey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(2014) provided important epidemiological evidence linking crop field application of manure to human MRSA infections in the United States, demonstrating that residence near crop fields receiving manure from high-density livestock operations was associated with significantly increased odds of community-onset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-negative MRSA infection. While their study focused on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-negative strains, the demonstration that manure application to crop fields can influence the distribution of antibiotic-resistant staphylococci in the environment supports the biological plausibility of manure-to-vegetable transmission of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-positive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The same study documented that MRSA could be isolated from air and soil at considerable distances from livestock facilities, highlighting the potential for environmental dissemination beyond the immediate vicinity of farms.</w:t>
      </w:r>
    </w:p>
    <w:p w14:paraId="644164A9" w14:textId="6A70F983"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The contamination pathway from animal manure to vegetables is particularly relevant in the Nigerian context, where intensive livestock production often occurs in proximity to vegetable farming, and where manure management practices may be suboptimal. Without proper composting that achieves sufficient temperatures to eliminate pathogenic bacteria, staphylococci including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-positive strains can survive in manure for extended periods, maintaining their viability and virulence potential. Once applied to agricultural fields, these bacteria can contaminate vegetables through direct contact with soil, splash during rainfall or irrigation, or adherence to plant surfaces. </w:t>
      </w:r>
      <w:r w:rsidR="00E30413" w:rsidRPr="00A26B4A">
        <w:rPr>
          <w:rFonts w:ascii="Times New Roman" w:eastAsia="Times New Roman" w:hAnsi="Times New Roman" w:cs="Times New Roman"/>
          <w:sz w:val="20"/>
          <w:szCs w:val="20"/>
        </w:rPr>
        <w:t>Zeng</w:t>
      </w:r>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(202</w:t>
      </w:r>
      <w:r w:rsidR="00E30413" w:rsidRPr="00A26B4A">
        <w:rPr>
          <w:rFonts w:ascii="Times New Roman" w:eastAsia="Times New Roman" w:hAnsi="Times New Roman" w:cs="Times New Roman"/>
          <w:sz w:val="20"/>
          <w:szCs w:val="20"/>
        </w:rPr>
        <w:t>5</w:t>
      </w:r>
      <w:r w:rsidRPr="00A26B4A">
        <w:rPr>
          <w:rFonts w:ascii="Times New Roman" w:eastAsia="Times New Roman" w:hAnsi="Times New Roman" w:cs="Times New Roman"/>
          <w:sz w:val="20"/>
          <w:szCs w:val="20"/>
        </w:rPr>
        <w:t xml:space="preserve">) </w:t>
      </w:r>
      <w:r w:rsidRPr="00A26B4A">
        <w:rPr>
          <w:rFonts w:ascii="Times New Roman" w:eastAsia="Times New Roman" w:hAnsi="Times New Roman" w:cs="Times New Roman"/>
          <w:sz w:val="20"/>
          <w:szCs w:val="20"/>
        </w:rPr>
        <w:lastRenderedPageBreak/>
        <w:t>emphasized that the persistence of antibiotic-resistant bacteria in agricultural soils amended with animal manure represents a significant pathway for the entry of these pathogens into the food chain.</w:t>
      </w:r>
    </w:p>
    <w:p w14:paraId="3BBF89A0" w14:textId="0D8E7147"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The correlation between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carriage and enhanced antibiotic resistance observed in this study is particularly noteworthy.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-positive isolates demonstrated 100% resistance to gentamicin, streptomycin, clindamycin, and vancomycin, whereas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-negative isolates showed lower resistance rates ranging from 33.3% to 44.4%. This association between virulence gene carriage and antimicrobial resistance has been documented in staphylococci previously, though the underlying mechanisms remain incompletely understood (Hosseini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2020).</w:t>
      </w:r>
    </w:p>
    <w:p w14:paraId="3E0F9DFC" w14:textId="54D968EC"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Several hypotheses may explain the correlation between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carriage and antibiotic resistance. First, the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genes are typically carried on mobile genetic elements, particularly bacteriophages, which may also harbor antibiotic resistance determinants (</w:t>
      </w:r>
      <w:proofErr w:type="spellStart"/>
      <w:r w:rsidRPr="00A26B4A">
        <w:rPr>
          <w:rFonts w:ascii="Times New Roman" w:eastAsia="Times New Roman" w:hAnsi="Times New Roman" w:cs="Times New Roman"/>
          <w:sz w:val="20"/>
          <w:szCs w:val="20"/>
        </w:rPr>
        <w:t>França</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2021). The co-localization of virulence and resistance genes on the same mobile element facilitates their co-selection and dissemination under antibiotic pressure. This genetic linkage has been demonstrated in methicillin-resistant </w:t>
      </w:r>
      <w:r w:rsidRPr="00A26B4A">
        <w:rPr>
          <w:rFonts w:ascii="Times New Roman" w:eastAsia="Times New Roman" w:hAnsi="Times New Roman" w:cs="Times New Roman"/>
          <w:i/>
          <w:iCs/>
          <w:sz w:val="20"/>
          <w:szCs w:val="20"/>
        </w:rPr>
        <w:t>S. aureus</w:t>
      </w:r>
      <w:r w:rsidRPr="00A26B4A">
        <w:rPr>
          <w:rFonts w:ascii="Times New Roman" w:eastAsia="Times New Roman" w:hAnsi="Times New Roman" w:cs="Times New Roman"/>
          <w:sz w:val="20"/>
          <w:szCs w:val="20"/>
        </w:rPr>
        <w:t> where the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-encoding prophage is frequently integrated into the bacterial chromosome in close proximity to the staphylococcal cassette chromosome </w:t>
      </w:r>
      <w:proofErr w:type="spellStart"/>
      <w:r w:rsidRPr="00A26B4A">
        <w:rPr>
          <w:rFonts w:ascii="Times New Roman" w:eastAsia="Times New Roman" w:hAnsi="Times New Roman" w:cs="Times New Roman"/>
          <w:i/>
          <w:iCs/>
          <w:sz w:val="20"/>
          <w:szCs w:val="20"/>
        </w:rPr>
        <w:t>mec</w:t>
      </w:r>
      <w:proofErr w:type="spellEnd"/>
      <w:r w:rsidRPr="00A26B4A">
        <w:rPr>
          <w:rFonts w:ascii="Times New Roman" w:eastAsia="Times New Roman" w:hAnsi="Times New Roman" w:cs="Times New Roman"/>
          <w:sz w:val="20"/>
          <w:szCs w:val="20"/>
        </w:rPr>
        <w:t> (</w:t>
      </w:r>
      <w:proofErr w:type="spellStart"/>
      <w:r w:rsidRPr="00A26B4A">
        <w:rPr>
          <w:rFonts w:ascii="Times New Roman" w:eastAsia="Times New Roman" w:hAnsi="Times New Roman" w:cs="Times New Roman"/>
          <w:sz w:val="20"/>
          <w:szCs w:val="20"/>
        </w:rPr>
        <w:t>SCC</w:t>
      </w:r>
      <w:r w:rsidRPr="00A26B4A">
        <w:rPr>
          <w:rFonts w:ascii="Times New Roman" w:eastAsia="Times New Roman" w:hAnsi="Times New Roman" w:cs="Times New Roman"/>
          <w:i/>
          <w:iCs/>
          <w:sz w:val="20"/>
          <w:szCs w:val="20"/>
        </w:rPr>
        <w:t>mec</w:t>
      </w:r>
      <w:proofErr w:type="spellEnd"/>
      <w:r w:rsidRPr="00A26B4A">
        <w:rPr>
          <w:rFonts w:ascii="Times New Roman" w:eastAsia="Times New Roman" w:hAnsi="Times New Roman" w:cs="Times New Roman"/>
          <w:sz w:val="20"/>
          <w:szCs w:val="20"/>
        </w:rPr>
        <w:t xml:space="preserve">) element that carries methicillin resistance determinants (Shallcross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2013). While the genetic architecture may differ in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similar mechanisms of co-selection likely operate. The finding by Ruiz-</w:t>
      </w:r>
      <w:proofErr w:type="spellStart"/>
      <w:r w:rsidRPr="00A26B4A">
        <w:rPr>
          <w:rFonts w:ascii="Times New Roman" w:eastAsia="Times New Roman" w:hAnsi="Times New Roman" w:cs="Times New Roman"/>
          <w:sz w:val="20"/>
          <w:szCs w:val="20"/>
        </w:rPr>
        <w:t>Ripa</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(2020) that 87% of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from swine farm environments exhibited multidrug resistance, with some harboring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genes, provides evidence that these virulent strains frequently carry multiple resistance determinants.</w:t>
      </w:r>
    </w:p>
    <w:p w14:paraId="782CA4BC" w14:textId="33CED3FB"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Second,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-positive strains may belong to specific clonal lineages that have accumulated multiple resistance determinants through successive horizontal gene transfer events. Studies of </w:t>
      </w:r>
      <w:r w:rsidRPr="00A26B4A">
        <w:rPr>
          <w:rFonts w:ascii="Times New Roman" w:eastAsia="Times New Roman" w:hAnsi="Times New Roman" w:cs="Times New Roman"/>
          <w:i/>
          <w:iCs/>
          <w:sz w:val="20"/>
          <w:szCs w:val="20"/>
        </w:rPr>
        <w:t>S. aureus</w:t>
      </w:r>
      <w:r w:rsidRPr="00A26B4A">
        <w:rPr>
          <w:rFonts w:ascii="Times New Roman" w:eastAsia="Times New Roman" w:hAnsi="Times New Roman" w:cs="Times New Roman"/>
          <w:sz w:val="20"/>
          <w:szCs w:val="20"/>
        </w:rPr>
        <w:t> have demonstrated that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-positive strains often cluster within specific clonal complexes, which frequently exhibit distinct resistance profiles compared to other strain types (</w:t>
      </w:r>
      <w:proofErr w:type="spellStart"/>
      <w:r w:rsidRPr="00A26B4A">
        <w:rPr>
          <w:rFonts w:ascii="Times New Roman" w:eastAsia="Times New Roman" w:hAnsi="Times New Roman" w:cs="Times New Roman"/>
          <w:sz w:val="20"/>
          <w:szCs w:val="20"/>
        </w:rPr>
        <w:t>França</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2021). The expansion of these successful clonal lineages in diverse environments, including animal farms and food sources, could explain the observed association between virulence and resistance. </w:t>
      </w:r>
      <w:proofErr w:type="spellStart"/>
      <w:r w:rsidRPr="00A26B4A">
        <w:rPr>
          <w:rFonts w:ascii="Times New Roman" w:eastAsia="Times New Roman" w:hAnsi="Times New Roman" w:cs="Times New Roman"/>
          <w:sz w:val="20"/>
          <w:szCs w:val="20"/>
        </w:rPr>
        <w:t>Seker</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(2023) reported that in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isolated from bovine mastitis in Turkey, strains carrying </w:t>
      </w:r>
      <w:proofErr w:type="spellStart"/>
      <w:r w:rsidRPr="00A26B4A">
        <w:rPr>
          <w:rFonts w:ascii="Times New Roman" w:eastAsia="Times New Roman" w:hAnsi="Times New Roman" w:cs="Times New Roman"/>
          <w:i/>
          <w:iCs/>
          <w:sz w:val="20"/>
          <w:szCs w:val="20"/>
        </w:rPr>
        <w:t>mecA</w:t>
      </w:r>
      <w:proofErr w:type="spellEnd"/>
      <w:r w:rsidRPr="00A26B4A">
        <w:rPr>
          <w:rFonts w:ascii="Times New Roman" w:eastAsia="Times New Roman" w:hAnsi="Times New Roman" w:cs="Times New Roman"/>
          <w:sz w:val="20"/>
          <w:szCs w:val="20"/>
        </w:rPr>
        <w:t> frequently also harbored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suggesting that these virulence and resistance determinants may be co-selected in agricultural settings where antibiotic use is common.</w:t>
      </w:r>
    </w:p>
    <w:p w14:paraId="63B8B87B" w14:textId="6B1B103D"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 xml:space="preserve">Third, the inflammatory response triggered by PVL toxin production may create a microenvironment that selects for antibiotic-resistant subpopulations. Furthermore, biofilm formation, which is enhanced in many virulent staphylococcal strains, provides a protective niche that facilitates horizontal gene transfer and the persistence of resistance determinants (Hosseini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2020). The agricultural environment, where antibiotics may be used for growth promotion or disease treatment in livestock, creates selective pressure that favors the emergence and persistence of multidrug-resistant strains. When these resistant strains also carry virulence genes like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 they represent a dual threat of enhanced pathogenicity and limited treatment options. Asante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(2021) highlighted that multidrug-resistant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isolated from bloodstream infections in South Africa frequently carried multiple virulence genes, demonstrating the clinical relevance of this co-occurrence.</w:t>
      </w:r>
    </w:p>
    <w:p w14:paraId="408A2E03" w14:textId="3EBB6377"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The presence of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-positive, multidrug-resistant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on fresh vegetables represents a potential route for community acquisition of these virulent strains. Unlike clinical settings where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infections primarily affect immunocompromised or device-associated patients, foodborne transmission could expose otherwise healthy individuals to these pathogens. While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are generally considered less virulent than </w:t>
      </w:r>
      <w:r w:rsidRPr="00A26B4A">
        <w:rPr>
          <w:rFonts w:ascii="Times New Roman" w:eastAsia="Times New Roman" w:hAnsi="Times New Roman" w:cs="Times New Roman"/>
          <w:i/>
          <w:iCs/>
          <w:sz w:val="20"/>
          <w:szCs w:val="20"/>
        </w:rPr>
        <w:t>S. aureus</w:t>
      </w:r>
      <w:r w:rsidRPr="00A26B4A">
        <w:rPr>
          <w:rFonts w:ascii="Times New Roman" w:eastAsia="Times New Roman" w:hAnsi="Times New Roman" w:cs="Times New Roman"/>
          <w:sz w:val="20"/>
          <w:szCs w:val="20"/>
        </w:rPr>
        <w:t>, the acquisition of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and other virulence factors may enhance their pathogenic potential (</w:t>
      </w:r>
      <w:proofErr w:type="spellStart"/>
      <w:r w:rsidRPr="00A26B4A">
        <w:rPr>
          <w:rFonts w:ascii="Times New Roman" w:eastAsia="Times New Roman" w:hAnsi="Times New Roman" w:cs="Times New Roman"/>
          <w:sz w:val="20"/>
          <w:szCs w:val="20"/>
        </w:rPr>
        <w:t>Heilmann</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2019). Previous studies have documented that some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species can cause skin lesions similar to those produced by </w:t>
      </w:r>
      <w:r w:rsidRPr="00A26B4A">
        <w:rPr>
          <w:rFonts w:ascii="Times New Roman" w:eastAsia="Times New Roman" w:hAnsi="Times New Roman" w:cs="Times New Roman"/>
          <w:i/>
          <w:iCs/>
          <w:sz w:val="20"/>
          <w:szCs w:val="20"/>
        </w:rPr>
        <w:t>S. aureus</w:t>
      </w:r>
      <w:r w:rsidRPr="00A26B4A">
        <w:rPr>
          <w:rFonts w:ascii="Times New Roman" w:eastAsia="Times New Roman" w:hAnsi="Times New Roman" w:cs="Times New Roman"/>
          <w:sz w:val="20"/>
          <w:szCs w:val="20"/>
        </w:rPr>
        <w:t> in experimental models (</w:t>
      </w:r>
      <w:proofErr w:type="spellStart"/>
      <w:r w:rsidRPr="00A26B4A">
        <w:rPr>
          <w:rFonts w:ascii="Times New Roman" w:eastAsia="Times New Roman" w:hAnsi="Times New Roman" w:cs="Times New Roman"/>
          <w:sz w:val="20"/>
          <w:szCs w:val="20"/>
        </w:rPr>
        <w:t>Międzobrodzki</w:t>
      </w:r>
      <w:proofErr w:type="spellEnd"/>
      <w:r w:rsidRPr="00A26B4A">
        <w:rPr>
          <w:rFonts w:ascii="Times New Roman" w:eastAsia="Times New Roman" w:hAnsi="Times New Roman" w:cs="Times New Roman"/>
          <w:sz w:val="20"/>
          <w:szCs w:val="20"/>
        </w:rPr>
        <w:t xml:space="preserve"> and </w:t>
      </w:r>
      <w:proofErr w:type="spellStart"/>
      <w:r w:rsidRPr="00A26B4A">
        <w:rPr>
          <w:rFonts w:ascii="Times New Roman" w:eastAsia="Times New Roman" w:hAnsi="Times New Roman" w:cs="Times New Roman"/>
          <w:sz w:val="20"/>
          <w:szCs w:val="20"/>
        </w:rPr>
        <w:t>Tadeusiewicz</w:t>
      </w:r>
      <w:proofErr w:type="spellEnd"/>
      <w:r w:rsidRPr="00A26B4A">
        <w:rPr>
          <w:rFonts w:ascii="Times New Roman" w:eastAsia="Times New Roman" w:hAnsi="Times New Roman" w:cs="Times New Roman"/>
          <w:sz w:val="20"/>
          <w:szCs w:val="20"/>
        </w:rPr>
        <w:t>, 1987). The consumption of raw or inadequately washed vegetables contaminated with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-positive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could potentially lead to colonization or infection, particularly in individuals with compromised skin barriers or underlying health conditions.</w:t>
      </w:r>
    </w:p>
    <w:p w14:paraId="1013EF13" w14:textId="763F168C"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 xml:space="preserve">The interconnected contamination pathways involving animal manure and irrigation water highlight the need for a comprehensive One Health approach to address the dissemination of virulent, antibiotic-resistant staphylococci. Interventions must span the human, animal, and environmental domains to be effective. These include improved manure management practices such as proper composting before field application, protection of water sources from fecal contamination, treatment of irrigation water, and enhanced hygiene during vegetable harvesting and handling. </w:t>
      </w:r>
      <w:proofErr w:type="spellStart"/>
      <w:r w:rsidRPr="00A26B4A">
        <w:rPr>
          <w:rFonts w:ascii="Times New Roman" w:eastAsia="Times New Roman" w:hAnsi="Times New Roman" w:cs="Times New Roman"/>
          <w:sz w:val="20"/>
          <w:szCs w:val="20"/>
        </w:rPr>
        <w:t>Adesoji</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(2025) emphasized that the high prevalence of methicillin-resistant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in Africa necessitates coordinated surveillance and intervention strategies that integrate human, animal, and environmental health sectors.</w:t>
      </w:r>
    </w:p>
    <w:p w14:paraId="67C77867" w14:textId="4DE28D30"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 xml:space="preserve">Furthermore, the use of antibiotics in livestock production should be regulated and monitored, as the selective pressure from agricultural antibiotic use contributes to the emergence and persistence of multidrug-resistant strains in farm environments that may subsequently contaminate crops. </w:t>
      </w:r>
      <w:proofErr w:type="spellStart"/>
      <w:r w:rsidRPr="00A26B4A">
        <w:rPr>
          <w:rFonts w:ascii="Times New Roman" w:eastAsia="Times New Roman" w:hAnsi="Times New Roman" w:cs="Times New Roman"/>
          <w:sz w:val="20"/>
          <w:szCs w:val="20"/>
        </w:rPr>
        <w:t>Haaber</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(2017) demonstrated that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can serve as reservoirs of antibiotic resistance genes that may be horizontally transferred to more pathogenic species, including </w:t>
      </w:r>
      <w:r w:rsidRPr="00A26B4A">
        <w:rPr>
          <w:rFonts w:ascii="Times New Roman" w:eastAsia="Times New Roman" w:hAnsi="Times New Roman" w:cs="Times New Roman"/>
          <w:i/>
          <w:iCs/>
          <w:sz w:val="20"/>
          <w:szCs w:val="20"/>
        </w:rPr>
        <w:t>S. aureus</w:t>
      </w:r>
      <w:r w:rsidRPr="00A26B4A">
        <w:rPr>
          <w:rFonts w:ascii="Times New Roman" w:eastAsia="Times New Roman" w:hAnsi="Times New Roman" w:cs="Times New Roman"/>
          <w:sz w:val="20"/>
          <w:szCs w:val="20"/>
        </w:rPr>
        <w:t>. The presence of methicillin-resistant,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-positive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in the food chain could therefore contribute to the dissemination of resistance and virulence determinants throughout the staphylococcal population. The detection </w:t>
      </w:r>
      <w:r w:rsidRPr="00A26B4A">
        <w:rPr>
          <w:rFonts w:ascii="Times New Roman" w:eastAsia="Times New Roman" w:hAnsi="Times New Roman" w:cs="Times New Roman"/>
          <w:sz w:val="20"/>
          <w:szCs w:val="20"/>
        </w:rPr>
        <w:lastRenderedPageBreak/>
        <w:t>of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 in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from animal and environmental sources in multiple studies (Ruiz-</w:t>
      </w:r>
      <w:proofErr w:type="spellStart"/>
      <w:r w:rsidRPr="00A26B4A">
        <w:rPr>
          <w:rFonts w:ascii="Times New Roman" w:eastAsia="Times New Roman" w:hAnsi="Times New Roman" w:cs="Times New Roman"/>
          <w:sz w:val="20"/>
          <w:szCs w:val="20"/>
        </w:rPr>
        <w:t>Ripa</w:t>
      </w:r>
      <w:proofErr w:type="spellEnd"/>
      <w:r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xml:space="preserve">., 2020; </w:t>
      </w:r>
      <w:proofErr w:type="spellStart"/>
      <w:r w:rsidR="00813032" w:rsidRPr="00A26B4A">
        <w:rPr>
          <w:rStyle w:val="text"/>
          <w:rFonts w:ascii="Times New Roman" w:hAnsi="Times New Roman" w:cs="Times New Roman"/>
          <w:sz w:val="20"/>
          <w:szCs w:val="20"/>
        </w:rPr>
        <w:t>Mechesso</w:t>
      </w:r>
      <w:proofErr w:type="spellEnd"/>
      <w:r w:rsidR="00813032" w:rsidRPr="00A26B4A">
        <w:rPr>
          <w:rFonts w:ascii="Times New Roman" w:eastAsia="Times New Roman" w:hAnsi="Times New Roman" w:cs="Times New Roman"/>
          <w:sz w:val="20"/>
          <w:szCs w:val="20"/>
        </w:rPr>
        <w:t xml:space="preserve"> </w:t>
      </w:r>
      <w:r w:rsidR="00FA074B" w:rsidRPr="00FA074B">
        <w:rPr>
          <w:rFonts w:ascii="Times New Roman" w:eastAsia="Times New Roman" w:hAnsi="Times New Roman" w:cs="Times New Roman"/>
          <w:i/>
          <w:sz w:val="20"/>
          <w:szCs w:val="20"/>
        </w:rPr>
        <w:t>et al</w:t>
      </w:r>
      <w:r w:rsidR="00813032" w:rsidRPr="00A26B4A">
        <w:rPr>
          <w:rFonts w:ascii="Times New Roman" w:eastAsia="Times New Roman" w:hAnsi="Times New Roman" w:cs="Times New Roman"/>
          <w:sz w:val="20"/>
          <w:szCs w:val="20"/>
        </w:rPr>
        <w:t>., 2021</w:t>
      </w:r>
      <w:r w:rsidRPr="00A26B4A">
        <w:rPr>
          <w:rFonts w:ascii="Times New Roman" w:eastAsia="Times New Roman" w:hAnsi="Times New Roman" w:cs="Times New Roman"/>
          <w:sz w:val="20"/>
          <w:szCs w:val="20"/>
        </w:rPr>
        <w:t xml:space="preserve">; Mama </w:t>
      </w:r>
      <w:r w:rsidR="00FA074B" w:rsidRPr="00FA074B">
        <w:rPr>
          <w:rFonts w:ascii="Times New Roman" w:eastAsia="Times New Roman" w:hAnsi="Times New Roman" w:cs="Times New Roman"/>
          <w:i/>
          <w:sz w:val="20"/>
          <w:szCs w:val="20"/>
        </w:rPr>
        <w:t>et al</w:t>
      </w:r>
      <w:r w:rsidRPr="00A26B4A">
        <w:rPr>
          <w:rFonts w:ascii="Times New Roman" w:eastAsia="Times New Roman" w:hAnsi="Times New Roman" w:cs="Times New Roman"/>
          <w:sz w:val="20"/>
          <w:szCs w:val="20"/>
        </w:rPr>
        <w:t>., 2019) confirms that these pathogens are established in agricultural ecosystems, with potential for ongoing transmission to humans through food, water, and direct animal contact.</w:t>
      </w:r>
    </w:p>
    <w:p w14:paraId="6A62F2B7" w14:textId="77777777" w:rsidR="00AB456D" w:rsidRPr="00A26B4A"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Study limitations should be acknowledged. The sample size was relatively small, limiting the statistical power to detect significant associations between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 carriage and resistance phenotypes. Species-level identification of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isolates was not performed, which may obscure species-specific patterns of resistance and virulence gene carriage. Whole-genome sequencing would provide more detailed information about the genetic context of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genes and their relationship to resistance determinants. Future studies should address these limitations through larger sample sizes, advanced molecular characterization, and direct investigation of transmission pathways from manure and irrigation water to vegetables.</w:t>
      </w:r>
    </w:p>
    <w:p w14:paraId="71063483" w14:textId="51E7ADD5" w:rsidR="00AB456D" w:rsidRDefault="00AB456D" w:rsidP="00415DC5">
      <w:pPr>
        <w:shd w:val="clear" w:color="auto" w:fill="FFFFFF"/>
        <w:spacing w:after="0" w:line="240" w:lineRule="auto"/>
        <w:jc w:val="both"/>
        <w:rPr>
          <w:rFonts w:ascii="Times New Roman" w:eastAsia="Times New Roman" w:hAnsi="Times New Roman" w:cs="Times New Roman"/>
          <w:sz w:val="20"/>
          <w:szCs w:val="20"/>
        </w:rPr>
      </w:pPr>
      <w:r w:rsidRPr="00A26B4A">
        <w:rPr>
          <w:rFonts w:ascii="Times New Roman" w:eastAsia="Times New Roman" w:hAnsi="Times New Roman" w:cs="Times New Roman"/>
          <w:sz w:val="20"/>
          <w:szCs w:val="20"/>
        </w:rPr>
        <w:t>Despite these limitations, this study provides valuable insights into the prevalence of antibiotic-resistant, </w:t>
      </w:r>
      <w:proofErr w:type="spellStart"/>
      <w:r w:rsidRPr="00A26B4A">
        <w:rPr>
          <w:rFonts w:ascii="Times New Roman" w:eastAsia="Times New Roman" w:hAnsi="Times New Roman" w:cs="Times New Roman"/>
          <w:i/>
          <w:iCs/>
          <w:sz w:val="20"/>
          <w:szCs w:val="20"/>
        </w:rPr>
        <w:t>pvl</w:t>
      </w:r>
      <w:proofErr w:type="spellEnd"/>
      <w:r w:rsidRPr="00A26B4A">
        <w:rPr>
          <w:rFonts w:ascii="Times New Roman" w:eastAsia="Times New Roman" w:hAnsi="Times New Roman" w:cs="Times New Roman"/>
          <w:sz w:val="20"/>
          <w:szCs w:val="20"/>
        </w:rPr>
        <w:t xml:space="preserve">-harboring </w:t>
      </w:r>
      <w:proofErr w:type="spellStart"/>
      <w:r w:rsidRPr="00A26B4A">
        <w:rPr>
          <w:rFonts w:ascii="Times New Roman" w:eastAsia="Times New Roman" w:hAnsi="Times New Roman" w:cs="Times New Roman"/>
          <w:sz w:val="20"/>
          <w:szCs w:val="20"/>
        </w:rPr>
        <w:t>CoNS</w:t>
      </w:r>
      <w:proofErr w:type="spellEnd"/>
      <w:r w:rsidRPr="00A26B4A">
        <w:rPr>
          <w:rFonts w:ascii="Times New Roman" w:eastAsia="Times New Roman" w:hAnsi="Times New Roman" w:cs="Times New Roman"/>
          <w:sz w:val="20"/>
          <w:szCs w:val="20"/>
        </w:rPr>
        <w:t xml:space="preserve"> on fresh vegetables in Nigeria. The findings underscore the critical r</w:t>
      </w:r>
      <w:r w:rsidR="00E0076F" w:rsidRPr="00A26B4A">
        <w:rPr>
          <w:rFonts w:ascii="Times New Roman" w:eastAsia="Times New Roman" w:hAnsi="Times New Roman" w:cs="Times New Roman"/>
          <w:sz w:val="20"/>
          <w:szCs w:val="20"/>
        </w:rPr>
        <w:t xml:space="preserve">ole that agricultural practices </w:t>
      </w:r>
      <w:r w:rsidRPr="00A26B4A">
        <w:rPr>
          <w:rFonts w:ascii="Times New Roman" w:eastAsia="Times New Roman" w:hAnsi="Times New Roman" w:cs="Times New Roman"/>
          <w:sz w:val="20"/>
          <w:szCs w:val="20"/>
        </w:rPr>
        <w:t>particularly manure applicati</w:t>
      </w:r>
      <w:r w:rsidR="00E0076F" w:rsidRPr="00A26B4A">
        <w:rPr>
          <w:rFonts w:ascii="Times New Roman" w:eastAsia="Times New Roman" w:hAnsi="Times New Roman" w:cs="Times New Roman"/>
          <w:sz w:val="20"/>
          <w:szCs w:val="20"/>
        </w:rPr>
        <w:t xml:space="preserve">on and irrigation water quality </w:t>
      </w:r>
      <w:r w:rsidRPr="00A26B4A">
        <w:rPr>
          <w:rFonts w:ascii="Times New Roman" w:eastAsia="Times New Roman" w:hAnsi="Times New Roman" w:cs="Times New Roman"/>
          <w:sz w:val="20"/>
          <w:szCs w:val="20"/>
        </w:rPr>
        <w:t>play in the dissemination of virulent, drug-resistant pathogens through the food chain. Addressing these contamination pathways is essential for protecting public health and mitigating the spread of antimicrobial resistance from environmental and animal reservoirs to human populations.</w:t>
      </w:r>
    </w:p>
    <w:p w14:paraId="0479B30D" w14:textId="1F94522A" w:rsidR="008C2315" w:rsidRPr="008C2315" w:rsidRDefault="008C2315" w:rsidP="00415DC5">
      <w:pPr>
        <w:shd w:val="clear" w:color="auto" w:fill="FFFFFF"/>
        <w:spacing w:after="0" w:line="240" w:lineRule="auto"/>
        <w:jc w:val="both"/>
        <w:rPr>
          <w:rFonts w:ascii="Times New Roman" w:eastAsia="Times New Roman" w:hAnsi="Times New Roman" w:cs="Times New Roman"/>
          <w:sz w:val="20"/>
          <w:szCs w:val="20"/>
        </w:rPr>
      </w:pPr>
      <w:r w:rsidRPr="00200253">
        <w:rPr>
          <w:rFonts w:ascii="Times New Roman" w:hAnsi="Times New Roman" w:cs="Times New Roman"/>
          <w:color w:val="0F1115"/>
          <w:sz w:val="20"/>
          <w:szCs w:val="20"/>
          <w:highlight w:val="yellow"/>
          <w:shd w:val="clear" w:color="auto" w:fill="FFFFFF"/>
        </w:rPr>
        <w:t>Despite the concerning detection of </w:t>
      </w:r>
      <w:proofErr w:type="spellStart"/>
      <w:r w:rsidRPr="00200253">
        <w:rPr>
          <w:rStyle w:val="Emphasis"/>
          <w:rFonts w:ascii="Times New Roman" w:hAnsi="Times New Roman" w:cs="Times New Roman"/>
          <w:color w:val="0F1115"/>
          <w:sz w:val="20"/>
          <w:szCs w:val="20"/>
          <w:highlight w:val="yellow"/>
          <w:shd w:val="clear" w:color="auto" w:fill="FFFFFF"/>
        </w:rPr>
        <w:t>pvl</w:t>
      </w:r>
      <w:proofErr w:type="spellEnd"/>
      <w:r w:rsidRPr="00200253">
        <w:rPr>
          <w:rFonts w:ascii="Times New Roman" w:hAnsi="Times New Roman" w:cs="Times New Roman"/>
          <w:color w:val="0F1115"/>
          <w:sz w:val="20"/>
          <w:szCs w:val="20"/>
          <w:highlight w:val="yellow"/>
          <w:shd w:val="clear" w:color="auto" w:fill="FFFFFF"/>
        </w:rPr>
        <w:t xml:space="preserve">-harboring, multidrug-resistant </w:t>
      </w:r>
      <w:proofErr w:type="spellStart"/>
      <w:r w:rsidRPr="00200253">
        <w:rPr>
          <w:rFonts w:ascii="Times New Roman" w:hAnsi="Times New Roman" w:cs="Times New Roman"/>
          <w:color w:val="0F1115"/>
          <w:sz w:val="20"/>
          <w:szCs w:val="20"/>
          <w:highlight w:val="yellow"/>
          <w:shd w:val="clear" w:color="auto" w:fill="FFFFFF"/>
        </w:rPr>
        <w:t>CoNS</w:t>
      </w:r>
      <w:proofErr w:type="spellEnd"/>
      <w:r w:rsidRPr="00200253">
        <w:rPr>
          <w:rFonts w:ascii="Times New Roman" w:hAnsi="Times New Roman" w:cs="Times New Roman"/>
          <w:color w:val="0F1115"/>
          <w:sz w:val="20"/>
          <w:szCs w:val="20"/>
          <w:highlight w:val="yellow"/>
          <w:shd w:val="clear" w:color="auto" w:fill="FFFFFF"/>
        </w:rPr>
        <w:t xml:space="preserve"> in </w:t>
      </w:r>
      <w:r w:rsidRPr="00200253">
        <w:rPr>
          <w:rStyle w:val="Emphasis"/>
          <w:rFonts w:ascii="Times New Roman" w:hAnsi="Times New Roman" w:cs="Times New Roman"/>
          <w:color w:val="0F1115"/>
          <w:sz w:val="20"/>
          <w:szCs w:val="20"/>
          <w:highlight w:val="yellow"/>
          <w:shd w:val="clear" w:color="auto" w:fill="FFFFFF"/>
        </w:rPr>
        <w:t xml:space="preserve">T. </w:t>
      </w:r>
      <w:proofErr w:type="spellStart"/>
      <w:r w:rsidRPr="00200253">
        <w:rPr>
          <w:rStyle w:val="Emphasis"/>
          <w:rFonts w:ascii="Times New Roman" w:hAnsi="Times New Roman" w:cs="Times New Roman"/>
          <w:color w:val="0F1115"/>
          <w:sz w:val="20"/>
          <w:szCs w:val="20"/>
          <w:highlight w:val="yellow"/>
          <w:shd w:val="clear" w:color="auto" w:fill="FFFFFF"/>
        </w:rPr>
        <w:t>occidentalis</w:t>
      </w:r>
      <w:proofErr w:type="spellEnd"/>
      <w:r w:rsidRPr="00200253">
        <w:rPr>
          <w:rFonts w:ascii="Times New Roman" w:hAnsi="Times New Roman" w:cs="Times New Roman"/>
          <w:color w:val="0F1115"/>
          <w:sz w:val="20"/>
          <w:szCs w:val="20"/>
          <w:highlight w:val="yellow"/>
          <w:shd w:val="clear" w:color="auto" w:fill="FFFFFF"/>
        </w:rPr>
        <w:t>, consumers need not avoid this nutritious vegetable entirely. Instead, several practical measures can effectively eliminate or reduce the risk of exposure. Thorough cooking is the most reliable intervention; boiling or simmering the vegetable for at least 5–10 minutes at ≥70°C completely inactivates viable staphylococci. For situations where cooking is not intended, vigorous washing of individual leaves under running tap water combined with a 10–15 minute soak in a 1% salt or vinegar solution significantly reduces bacterial load. Additionally, prompt refrigeration at ≤4°C and consumption within 2–3 days of purchase limit bacterial proliferation. Vulnerable populations, including pregnant women, young children, the elderly, and immunocompromised individuals, should particularly avoid consuming raw or inadequately washed </w:t>
      </w:r>
      <w:r w:rsidRPr="00200253">
        <w:rPr>
          <w:rStyle w:val="Emphasis"/>
          <w:rFonts w:ascii="Times New Roman" w:hAnsi="Times New Roman" w:cs="Times New Roman"/>
          <w:color w:val="0F1115"/>
          <w:sz w:val="20"/>
          <w:szCs w:val="20"/>
          <w:highlight w:val="yellow"/>
          <w:shd w:val="clear" w:color="auto" w:fill="FFFFFF"/>
        </w:rPr>
        <w:t xml:space="preserve">T. </w:t>
      </w:r>
      <w:proofErr w:type="spellStart"/>
      <w:r w:rsidRPr="00200253">
        <w:rPr>
          <w:rStyle w:val="Emphasis"/>
          <w:rFonts w:ascii="Times New Roman" w:hAnsi="Times New Roman" w:cs="Times New Roman"/>
          <w:color w:val="0F1115"/>
          <w:sz w:val="20"/>
          <w:szCs w:val="20"/>
          <w:highlight w:val="yellow"/>
          <w:shd w:val="clear" w:color="auto" w:fill="FFFFFF"/>
        </w:rPr>
        <w:t>occidentalis</w:t>
      </w:r>
      <w:proofErr w:type="spellEnd"/>
      <w:r w:rsidRPr="00200253">
        <w:rPr>
          <w:rFonts w:ascii="Times New Roman" w:hAnsi="Times New Roman" w:cs="Times New Roman"/>
          <w:color w:val="0F1115"/>
          <w:sz w:val="20"/>
          <w:szCs w:val="20"/>
          <w:highlight w:val="yellow"/>
          <w:shd w:val="clear" w:color="auto" w:fill="FFFFFF"/>
        </w:rPr>
        <w:t>. Public health authorities should complement these household measures with educational campaigns promoting safe food handling practices for fresh vegetables.</w:t>
      </w:r>
    </w:p>
    <w:p w14:paraId="4004AB7B" w14:textId="77777777" w:rsidR="006B1542" w:rsidRPr="00A26B4A" w:rsidRDefault="006B1542" w:rsidP="00415DC5">
      <w:pPr>
        <w:shd w:val="clear" w:color="auto" w:fill="FFFFFF"/>
        <w:spacing w:after="0" w:line="240" w:lineRule="auto"/>
        <w:jc w:val="both"/>
        <w:rPr>
          <w:rFonts w:ascii="Times New Roman" w:eastAsia="Times New Roman" w:hAnsi="Times New Roman" w:cs="Times New Roman"/>
          <w:sz w:val="20"/>
          <w:szCs w:val="20"/>
        </w:rPr>
      </w:pPr>
    </w:p>
    <w:p w14:paraId="16198439" w14:textId="77777777" w:rsidR="00442E3B" w:rsidRPr="00A26B4A" w:rsidRDefault="00442E3B" w:rsidP="00415DC5">
      <w:pPr>
        <w:pStyle w:val="Heading2"/>
        <w:shd w:val="clear" w:color="auto" w:fill="FFFFFF"/>
        <w:spacing w:before="0" w:beforeAutospacing="0" w:after="0" w:afterAutospacing="0"/>
        <w:jc w:val="both"/>
        <w:rPr>
          <w:sz w:val="20"/>
          <w:szCs w:val="20"/>
        </w:rPr>
      </w:pPr>
      <w:r w:rsidRPr="00A26B4A">
        <w:rPr>
          <w:sz w:val="20"/>
          <w:szCs w:val="20"/>
        </w:rPr>
        <w:t>5. Conclusion</w:t>
      </w:r>
    </w:p>
    <w:p w14:paraId="6BF23122" w14:textId="77777777" w:rsidR="00442E3B" w:rsidRPr="00A26B4A" w:rsidRDefault="00442E3B" w:rsidP="00415DC5">
      <w:pPr>
        <w:pStyle w:val="ds-markdown-paragraph"/>
        <w:shd w:val="clear" w:color="auto" w:fill="FFFFFF"/>
        <w:spacing w:before="0" w:beforeAutospacing="0" w:after="0" w:afterAutospacing="0"/>
        <w:jc w:val="both"/>
        <w:rPr>
          <w:sz w:val="20"/>
          <w:szCs w:val="20"/>
        </w:rPr>
      </w:pPr>
      <w:r w:rsidRPr="00A26B4A">
        <w:rPr>
          <w:sz w:val="20"/>
          <w:szCs w:val="20"/>
        </w:rPr>
        <w:t>This study demonstrates that fresh </w:t>
      </w:r>
      <w:proofErr w:type="spellStart"/>
      <w:r w:rsidRPr="00A26B4A">
        <w:rPr>
          <w:rStyle w:val="Emphasis"/>
          <w:sz w:val="20"/>
          <w:szCs w:val="20"/>
        </w:rPr>
        <w:t>Telfairia</w:t>
      </w:r>
      <w:proofErr w:type="spellEnd"/>
      <w:r w:rsidRPr="00A26B4A">
        <w:rPr>
          <w:rStyle w:val="Emphasis"/>
          <w:sz w:val="20"/>
          <w:szCs w:val="20"/>
        </w:rPr>
        <w:t xml:space="preserve"> </w:t>
      </w:r>
      <w:proofErr w:type="spellStart"/>
      <w:r w:rsidRPr="00A26B4A">
        <w:rPr>
          <w:rStyle w:val="Emphasis"/>
          <w:sz w:val="20"/>
          <w:szCs w:val="20"/>
        </w:rPr>
        <w:t>occidentalis</w:t>
      </w:r>
      <w:proofErr w:type="spellEnd"/>
      <w:r w:rsidRPr="00A26B4A">
        <w:rPr>
          <w:sz w:val="20"/>
          <w:szCs w:val="20"/>
        </w:rPr>
        <w:t xml:space="preserve"> vegetables sold in Enugu, Nigeria, are frequently contaminated with multidrug-resistant coagulase-negative staphylococci harboring the Panton-Valentine </w:t>
      </w:r>
      <w:proofErr w:type="spellStart"/>
      <w:r w:rsidRPr="00A26B4A">
        <w:rPr>
          <w:sz w:val="20"/>
          <w:szCs w:val="20"/>
        </w:rPr>
        <w:t>leukocidin</w:t>
      </w:r>
      <w:proofErr w:type="spellEnd"/>
      <w:r w:rsidRPr="00A26B4A">
        <w:rPr>
          <w:sz w:val="20"/>
          <w:szCs w:val="20"/>
        </w:rPr>
        <w:t xml:space="preserve"> gene. The presence of </w:t>
      </w:r>
      <w:proofErr w:type="spellStart"/>
      <w:r w:rsidRPr="00A26B4A">
        <w:rPr>
          <w:rStyle w:val="Emphasis"/>
          <w:sz w:val="20"/>
          <w:szCs w:val="20"/>
        </w:rPr>
        <w:t>pvl</w:t>
      </w:r>
      <w:proofErr w:type="spellEnd"/>
      <w:r w:rsidRPr="00A26B4A">
        <w:rPr>
          <w:sz w:val="20"/>
          <w:szCs w:val="20"/>
        </w:rPr>
        <w:t xml:space="preserve">-positive, methicillin-resistant, and vancomycin-non-susceptible </w:t>
      </w:r>
      <w:proofErr w:type="spellStart"/>
      <w:r w:rsidRPr="00A26B4A">
        <w:rPr>
          <w:sz w:val="20"/>
          <w:szCs w:val="20"/>
        </w:rPr>
        <w:t>CoNS</w:t>
      </w:r>
      <w:proofErr w:type="spellEnd"/>
      <w:r w:rsidRPr="00A26B4A">
        <w:rPr>
          <w:sz w:val="20"/>
          <w:szCs w:val="20"/>
        </w:rPr>
        <w:t xml:space="preserve"> on ready-to-eat vegetables represents a potential public health threat through foodborne transmission of virulent and difficult-to-treat pathogens. The observed correlation between </w:t>
      </w:r>
      <w:proofErr w:type="spellStart"/>
      <w:r w:rsidRPr="00A26B4A">
        <w:rPr>
          <w:rStyle w:val="Emphasis"/>
          <w:sz w:val="20"/>
          <w:szCs w:val="20"/>
        </w:rPr>
        <w:t>pvl</w:t>
      </w:r>
      <w:proofErr w:type="spellEnd"/>
      <w:r w:rsidRPr="00A26B4A">
        <w:rPr>
          <w:sz w:val="20"/>
          <w:szCs w:val="20"/>
        </w:rPr>
        <w:t> carriage and enhanced antibiotic resistance suggests that these isolates may possess dual mechanisms for pathogenicity and treatment evasion. These findings highlight the urgent need for integrated surveillance systems that monitor antimicrobial resistance and virulence determinants across human, animal, and environmental compartments. Implementation of good agricultural practices, improved food handling hygiene, and strengthened antimicrobial stewardship programs are essential to mitigate the dissemination of these resilient pathogens through the food chain.</w:t>
      </w:r>
    </w:p>
    <w:p w14:paraId="700D3EE4" w14:textId="77777777" w:rsidR="005E4558" w:rsidRPr="00A26B4A" w:rsidRDefault="005E4558" w:rsidP="00951931">
      <w:pPr>
        <w:pStyle w:val="Heading2"/>
        <w:spacing w:before="0" w:beforeAutospacing="0" w:after="240" w:afterAutospacing="0"/>
        <w:jc w:val="both"/>
        <w:rPr>
          <w:sz w:val="20"/>
          <w:szCs w:val="20"/>
        </w:rPr>
      </w:pPr>
    </w:p>
    <w:p w14:paraId="4732AC29" w14:textId="77777777" w:rsidR="005E4558" w:rsidRPr="00A26B4A" w:rsidRDefault="005E4558" w:rsidP="00951931">
      <w:pPr>
        <w:pStyle w:val="Heading2"/>
        <w:spacing w:before="0" w:beforeAutospacing="0" w:after="240" w:afterAutospacing="0"/>
        <w:jc w:val="both"/>
        <w:rPr>
          <w:sz w:val="20"/>
          <w:szCs w:val="20"/>
        </w:rPr>
      </w:pPr>
    </w:p>
    <w:p w14:paraId="749AA3A3" w14:textId="77777777" w:rsidR="00F94BED" w:rsidRPr="00A26B4A" w:rsidRDefault="00F94BED" w:rsidP="00F94BED">
      <w:pPr>
        <w:spacing w:after="200" w:line="276" w:lineRule="auto"/>
        <w:rPr>
          <w:rFonts w:ascii="Calibri" w:eastAsia="Calibri" w:hAnsi="Calibri" w:cs="Times New Roman"/>
          <w:b/>
          <w:kern w:val="2"/>
          <w14:ligatures w14:val="standardContextual"/>
        </w:rPr>
      </w:pPr>
      <w:r w:rsidRPr="00A26B4A">
        <w:rPr>
          <w:rFonts w:ascii="Calibri" w:eastAsia="Calibri" w:hAnsi="Calibri" w:cs="Times New Roman"/>
          <w:b/>
          <w:kern w:val="2"/>
          <w14:ligatures w14:val="standardContextual"/>
        </w:rPr>
        <w:t>Disclaimer (Artificial intelligence)</w:t>
      </w:r>
    </w:p>
    <w:p w14:paraId="6B8488B1" w14:textId="77777777" w:rsidR="00F94BED" w:rsidRPr="00A26B4A" w:rsidRDefault="00F94BED" w:rsidP="00F94BED">
      <w:pPr>
        <w:spacing w:after="200" w:line="276" w:lineRule="auto"/>
        <w:rPr>
          <w:rFonts w:ascii="Calibri" w:eastAsia="Calibri" w:hAnsi="Calibri" w:cs="Times New Roman"/>
          <w:kern w:val="2"/>
          <w14:ligatures w14:val="standardContextual"/>
        </w:rPr>
      </w:pPr>
      <w:r w:rsidRPr="00A26B4A">
        <w:rPr>
          <w:rFonts w:ascii="Calibri" w:eastAsia="Calibri" w:hAnsi="Calibri" w:cs="Times New Roman"/>
          <w:kern w:val="2"/>
          <w14:ligatures w14:val="standardContextual"/>
        </w:rPr>
        <w:t>Author(s) hereby declare that NO generative AI technologies such as Large Language Models (</w:t>
      </w:r>
      <w:proofErr w:type="spellStart"/>
      <w:r w:rsidRPr="00A26B4A">
        <w:rPr>
          <w:rFonts w:ascii="Calibri" w:eastAsia="Calibri" w:hAnsi="Calibri" w:cs="Times New Roman"/>
          <w:kern w:val="2"/>
          <w14:ligatures w14:val="standardContextual"/>
        </w:rPr>
        <w:t>ChatGPT</w:t>
      </w:r>
      <w:proofErr w:type="spellEnd"/>
      <w:r w:rsidRPr="00A26B4A">
        <w:rPr>
          <w:rFonts w:ascii="Calibri" w:eastAsia="Calibri" w:hAnsi="Calibri" w:cs="Times New Roman"/>
          <w:kern w:val="2"/>
          <w14:ligatures w14:val="standardContextual"/>
        </w:rPr>
        <w:t xml:space="preserve">, COPILOT, etc.) and text-to-image generators have been used during the writing or editing of this manuscript. </w:t>
      </w:r>
    </w:p>
    <w:p w14:paraId="7E037A21" w14:textId="77777777" w:rsidR="005E4558" w:rsidRPr="00A26B4A" w:rsidRDefault="005E4558" w:rsidP="00951931">
      <w:pPr>
        <w:pStyle w:val="Heading2"/>
        <w:spacing w:before="0" w:beforeAutospacing="0" w:after="240" w:afterAutospacing="0"/>
        <w:jc w:val="both"/>
        <w:rPr>
          <w:sz w:val="20"/>
          <w:szCs w:val="20"/>
        </w:rPr>
      </w:pPr>
    </w:p>
    <w:p w14:paraId="66715100" w14:textId="77777777" w:rsidR="005E4558" w:rsidRPr="00A26B4A" w:rsidRDefault="005E4558" w:rsidP="00951931">
      <w:pPr>
        <w:pStyle w:val="Heading2"/>
        <w:spacing w:before="0" w:beforeAutospacing="0" w:after="240" w:afterAutospacing="0"/>
        <w:jc w:val="both"/>
        <w:rPr>
          <w:sz w:val="20"/>
          <w:szCs w:val="20"/>
        </w:rPr>
      </w:pPr>
    </w:p>
    <w:p w14:paraId="2C973281" w14:textId="243D6783" w:rsidR="005E4558" w:rsidRPr="00A26B4A" w:rsidRDefault="001170B7" w:rsidP="005E4558">
      <w:pPr>
        <w:pStyle w:val="Heading2"/>
        <w:spacing w:before="0" w:beforeAutospacing="0" w:after="240" w:afterAutospacing="0"/>
        <w:jc w:val="both"/>
        <w:rPr>
          <w:sz w:val="20"/>
          <w:szCs w:val="20"/>
        </w:rPr>
      </w:pPr>
      <w:r w:rsidRPr="00A26B4A">
        <w:rPr>
          <w:sz w:val="20"/>
          <w:szCs w:val="20"/>
        </w:rPr>
        <w:t>References</w:t>
      </w:r>
    </w:p>
    <w:p w14:paraId="3F793A0F"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sz w:val="20"/>
          <w:szCs w:val="20"/>
        </w:rPr>
        <w:lastRenderedPageBreak/>
        <w:t>Abdel-</w:t>
      </w:r>
      <w:proofErr w:type="spellStart"/>
      <w:r w:rsidRPr="00A26B4A">
        <w:rPr>
          <w:sz w:val="20"/>
          <w:szCs w:val="20"/>
        </w:rPr>
        <w:t>Tawab</w:t>
      </w:r>
      <w:proofErr w:type="spellEnd"/>
      <w:r w:rsidRPr="00A26B4A">
        <w:rPr>
          <w:sz w:val="20"/>
          <w:szCs w:val="20"/>
        </w:rPr>
        <w:t>, A. A., Darwish, S. F., El-</w:t>
      </w:r>
      <w:proofErr w:type="spellStart"/>
      <w:r w:rsidRPr="00A26B4A">
        <w:rPr>
          <w:sz w:val="20"/>
          <w:szCs w:val="20"/>
        </w:rPr>
        <w:t>Hofy</w:t>
      </w:r>
      <w:proofErr w:type="spellEnd"/>
      <w:r w:rsidRPr="00A26B4A">
        <w:rPr>
          <w:sz w:val="20"/>
          <w:szCs w:val="20"/>
        </w:rPr>
        <w:t xml:space="preserve">, F., &amp; </w:t>
      </w:r>
      <w:proofErr w:type="spellStart"/>
      <w:r w:rsidRPr="00A26B4A">
        <w:rPr>
          <w:sz w:val="20"/>
          <w:szCs w:val="20"/>
        </w:rPr>
        <w:t>Shoieb</w:t>
      </w:r>
      <w:proofErr w:type="spellEnd"/>
      <w:r w:rsidRPr="00A26B4A">
        <w:rPr>
          <w:sz w:val="20"/>
          <w:szCs w:val="20"/>
        </w:rPr>
        <w:t>, E. M. (2018). Phenotypic and genotypic characterization of coagulase negative </w:t>
      </w:r>
      <w:r w:rsidRPr="00A26B4A">
        <w:rPr>
          <w:rStyle w:val="Emphasis"/>
          <w:sz w:val="20"/>
          <w:szCs w:val="20"/>
        </w:rPr>
        <w:t>S. aureus</w:t>
      </w:r>
      <w:r w:rsidRPr="00A26B4A">
        <w:rPr>
          <w:sz w:val="20"/>
          <w:szCs w:val="20"/>
        </w:rPr>
        <w:t> isolated from different sources. </w:t>
      </w:r>
      <w:proofErr w:type="spellStart"/>
      <w:r w:rsidRPr="00A26B4A">
        <w:rPr>
          <w:rStyle w:val="Emphasis"/>
          <w:sz w:val="20"/>
          <w:szCs w:val="20"/>
        </w:rPr>
        <w:t>Benha</w:t>
      </w:r>
      <w:proofErr w:type="spellEnd"/>
      <w:r w:rsidRPr="00A26B4A">
        <w:rPr>
          <w:rStyle w:val="Emphasis"/>
          <w:sz w:val="20"/>
          <w:szCs w:val="20"/>
        </w:rPr>
        <w:t xml:space="preserve"> Veterinary Medical Journal</w:t>
      </w:r>
      <w:r w:rsidRPr="00A26B4A">
        <w:rPr>
          <w:sz w:val="20"/>
          <w:szCs w:val="20"/>
        </w:rPr>
        <w:t>, 34(3), 129-149.</w:t>
      </w:r>
    </w:p>
    <w:p w14:paraId="28B517F5"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proofErr w:type="spellStart"/>
      <w:r w:rsidRPr="00A26B4A">
        <w:rPr>
          <w:sz w:val="20"/>
          <w:szCs w:val="20"/>
        </w:rPr>
        <w:t>Adesoji</w:t>
      </w:r>
      <w:proofErr w:type="spellEnd"/>
      <w:r w:rsidRPr="00A26B4A">
        <w:rPr>
          <w:sz w:val="20"/>
          <w:szCs w:val="20"/>
        </w:rPr>
        <w:t xml:space="preserve">, T. O., </w:t>
      </w:r>
      <w:proofErr w:type="spellStart"/>
      <w:r w:rsidRPr="00A26B4A">
        <w:rPr>
          <w:sz w:val="20"/>
          <w:szCs w:val="20"/>
        </w:rPr>
        <w:t>Somda</w:t>
      </w:r>
      <w:proofErr w:type="spellEnd"/>
      <w:r w:rsidRPr="00A26B4A">
        <w:rPr>
          <w:sz w:val="20"/>
          <w:szCs w:val="20"/>
        </w:rPr>
        <w:t>, N. S., Tetteh-</w:t>
      </w:r>
      <w:proofErr w:type="spellStart"/>
      <w:r w:rsidRPr="00A26B4A">
        <w:rPr>
          <w:sz w:val="20"/>
          <w:szCs w:val="20"/>
        </w:rPr>
        <w:t>Quarcoo</w:t>
      </w:r>
      <w:proofErr w:type="spellEnd"/>
      <w:r w:rsidRPr="00A26B4A">
        <w:rPr>
          <w:sz w:val="20"/>
          <w:szCs w:val="20"/>
        </w:rPr>
        <w:t>, P., Shittu, A. O., &amp; Donkor, E. S. (2025). Prevalence of methicillin-resistant coagulase-negative </w:t>
      </w:r>
      <w:r w:rsidRPr="00A26B4A">
        <w:rPr>
          <w:rStyle w:val="Emphasis"/>
          <w:sz w:val="20"/>
          <w:szCs w:val="20"/>
        </w:rPr>
        <w:t>staphylococci</w:t>
      </w:r>
      <w:r w:rsidRPr="00A26B4A">
        <w:rPr>
          <w:sz w:val="20"/>
          <w:szCs w:val="20"/>
        </w:rPr>
        <w:t> in Africa: A systematic review and meta-analysis. </w:t>
      </w:r>
      <w:r w:rsidRPr="00A26B4A">
        <w:rPr>
          <w:rStyle w:val="Emphasis"/>
          <w:sz w:val="20"/>
          <w:szCs w:val="20"/>
        </w:rPr>
        <w:t>BMC Infectious Diseases</w:t>
      </w:r>
      <w:r w:rsidRPr="00A26B4A">
        <w:rPr>
          <w:sz w:val="20"/>
          <w:szCs w:val="20"/>
        </w:rPr>
        <w:t>, 25, 906.</w:t>
      </w:r>
    </w:p>
    <w:p w14:paraId="4664E8EC" w14:textId="77777777" w:rsidR="005E4558" w:rsidRPr="00A26B4A" w:rsidRDefault="005E4558" w:rsidP="005E4558">
      <w:pPr>
        <w:pStyle w:val="ds-markdown-paragraph"/>
        <w:numPr>
          <w:ilvl w:val="0"/>
          <w:numId w:val="2"/>
        </w:numPr>
        <w:shd w:val="clear" w:color="auto" w:fill="FFFFFF"/>
        <w:spacing w:after="0" w:afterAutospacing="0"/>
        <w:jc w:val="both"/>
        <w:rPr>
          <w:rStyle w:val="Hyperlink"/>
          <w:color w:val="auto"/>
          <w:sz w:val="20"/>
          <w:szCs w:val="20"/>
        </w:rPr>
      </w:pPr>
      <w:proofErr w:type="spellStart"/>
      <w:r w:rsidRPr="00A26B4A">
        <w:rPr>
          <w:rStyle w:val="Strong"/>
          <w:b w:val="0"/>
          <w:sz w:val="20"/>
          <w:szCs w:val="20"/>
        </w:rPr>
        <w:t>Agwu</w:t>
      </w:r>
      <w:proofErr w:type="spellEnd"/>
      <w:r w:rsidRPr="00A26B4A">
        <w:rPr>
          <w:rStyle w:val="Strong"/>
          <w:b w:val="0"/>
          <w:sz w:val="20"/>
          <w:szCs w:val="20"/>
        </w:rPr>
        <w:t xml:space="preserve">, F. O., </w:t>
      </w:r>
      <w:proofErr w:type="spellStart"/>
      <w:r w:rsidRPr="00A26B4A">
        <w:rPr>
          <w:rStyle w:val="Strong"/>
          <w:b w:val="0"/>
          <w:sz w:val="20"/>
          <w:szCs w:val="20"/>
        </w:rPr>
        <w:t>Iroha</w:t>
      </w:r>
      <w:proofErr w:type="spellEnd"/>
      <w:r w:rsidRPr="00A26B4A">
        <w:rPr>
          <w:rStyle w:val="Strong"/>
          <w:b w:val="0"/>
          <w:sz w:val="20"/>
          <w:szCs w:val="20"/>
        </w:rPr>
        <w:t xml:space="preserve">, C. S., </w:t>
      </w:r>
      <w:proofErr w:type="spellStart"/>
      <w:r w:rsidRPr="00A26B4A">
        <w:rPr>
          <w:rStyle w:val="Strong"/>
          <w:b w:val="0"/>
          <w:sz w:val="20"/>
          <w:szCs w:val="20"/>
        </w:rPr>
        <w:t>Edemekong</w:t>
      </w:r>
      <w:proofErr w:type="spellEnd"/>
      <w:r w:rsidRPr="00A26B4A">
        <w:rPr>
          <w:rStyle w:val="Strong"/>
          <w:b w:val="0"/>
          <w:sz w:val="20"/>
          <w:szCs w:val="20"/>
        </w:rPr>
        <w:t xml:space="preserve">, C. I., Peter, I. U. , &amp; </w:t>
      </w:r>
      <w:proofErr w:type="spellStart"/>
      <w:r w:rsidRPr="00A26B4A">
        <w:rPr>
          <w:rStyle w:val="Strong"/>
          <w:b w:val="0"/>
          <w:sz w:val="20"/>
          <w:szCs w:val="20"/>
        </w:rPr>
        <w:t>Iroha</w:t>
      </w:r>
      <w:proofErr w:type="spellEnd"/>
      <w:r w:rsidRPr="00A26B4A">
        <w:rPr>
          <w:rStyle w:val="Strong"/>
          <w:b w:val="0"/>
          <w:sz w:val="20"/>
          <w:szCs w:val="20"/>
        </w:rPr>
        <w:t xml:space="preserve">, I. R. (2026a). Prevalence of </w:t>
      </w:r>
      <w:proofErr w:type="spellStart"/>
      <w:r w:rsidRPr="00A26B4A">
        <w:rPr>
          <w:rStyle w:val="Strong"/>
          <w:b w:val="0"/>
          <w:sz w:val="20"/>
          <w:szCs w:val="20"/>
        </w:rPr>
        <w:t>QnrA</w:t>
      </w:r>
      <w:proofErr w:type="spellEnd"/>
      <w:r w:rsidRPr="00A26B4A">
        <w:rPr>
          <w:rStyle w:val="Strong"/>
          <w:b w:val="0"/>
          <w:sz w:val="20"/>
          <w:szCs w:val="20"/>
        </w:rPr>
        <w:t xml:space="preserve"> gene in phenotypic ESBL-producing </w:t>
      </w:r>
      <w:r w:rsidRPr="00A26B4A">
        <w:rPr>
          <w:rStyle w:val="Emphasis"/>
          <w:sz w:val="20"/>
          <w:szCs w:val="20"/>
        </w:rPr>
        <w:t xml:space="preserve">Acinetobacter </w:t>
      </w:r>
      <w:proofErr w:type="spellStart"/>
      <w:r w:rsidRPr="00A26B4A">
        <w:rPr>
          <w:rStyle w:val="Emphasis"/>
          <w:sz w:val="20"/>
          <w:szCs w:val="20"/>
        </w:rPr>
        <w:t>baumannii</w:t>
      </w:r>
      <w:proofErr w:type="spellEnd"/>
      <w:r w:rsidRPr="00A26B4A">
        <w:rPr>
          <w:rStyle w:val="Strong"/>
          <w:b w:val="0"/>
          <w:sz w:val="20"/>
          <w:szCs w:val="20"/>
        </w:rPr>
        <w:t> from high vaginal swabs in selected wards of a Nigerian tertiary hospital. </w:t>
      </w:r>
      <w:r w:rsidRPr="00A26B4A">
        <w:rPr>
          <w:rStyle w:val="Emphasis"/>
          <w:sz w:val="20"/>
          <w:szCs w:val="20"/>
        </w:rPr>
        <w:t>World Journal of Biology Pharmacy and Health Sciences</w:t>
      </w:r>
      <w:r w:rsidRPr="00A26B4A">
        <w:rPr>
          <w:rStyle w:val="Strong"/>
          <w:b w:val="0"/>
          <w:sz w:val="20"/>
          <w:szCs w:val="20"/>
        </w:rPr>
        <w:t>, 26(01), 51–60.</w:t>
      </w:r>
      <w:r w:rsidRPr="00A26B4A">
        <w:rPr>
          <w:sz w:val="20"/>
          <w:szCs w:val="20"/>
        </w:rPr>
        <w:t> </w:t>
      </w:r>
      <w:hyperlink r:id="rId7" w:tgtFrame="_blank" w:history="1">
        <w:r w:rsidRPr="00A26B4A">
          <w:rPr>
            <w:rStyle w:val="Hyperlink"/>
            <w:color w:val="auto"/>
            <w:sz w:val="20"/>
            <w:szCs w:val="20"/>
          </w:rPr>
          <w:t>https://doi.org/10.30574/wjbphs.2026.26.1.0175</w:t>
        </w:r>
      </w:hyperlink>
    </w:p>
    <w:p w14:paraId="28487430" w14:textId="77777777" w:rsidR="005E4558" w:rsidRPr="00A26B4A" w:rsidRDefault="005E4558" w:rsidP="005E4558">
      <w:pPr>
        <w:pStyle w:val="ds-markdown-paragraph"/>
        <w:numPr>
          <w:ilvl w:val="0"/>
          <w:numId w:val="2"/>
        </w:numPr>
        <w:shd w:val="clear" w:color="auto" w:fill="FFFFFF"/>
        <w:spacing w:after="0" w:afterAutospacing="0"/>
        <w:jc w:val="both"/>
        <w:rPr>
          <w:rStyle w:val="Strong"/>
          <w:b w:val="0"/>
          <w:bCs w:val="0"/>
          <w:sz w:val="20"/>
          <w:szCs w:val="20"/>
        </w:rPr>
      </w:pPr>
      <w:proofErr w:type="spellStart"/>
      <w:r w:rsidRPr="00A26B4A">
        <w:rPr>
          <w:rStyle w:val="Strong"/>
          <w:b w:val="0"/>
          <w:sz w:val="20"/>
          <w:szCs w:val="20"/>
          <w:shd w:val="clear" w:color="auto" w:fill="FFFFFF"/>
        </w:rPr>
        <w:t>Agwu</w:t>
      </w:r>
      <w:proofErr w:type="spellEnd"/>
      <w:r w:rsidRPr="00A26B4A">
        <w:rPr>
          <w:rStyle w:val="Strong"/>
          <w:b w:val="0"/>
          <w:sz w:val="20"/>
          <w:szCs w:val="20"/>
          <w:shd w:val="clear" w:color="auto" w:fill="FFFFFF"/>
        </w:rPr>
        <w:t xml:space="preserve">, F. O., </w:t>
      </w:r>
      <w:proofErr w:type="spellStart"/>
      <w:r w:rsidRPr="00A26B4A">
        <w:rPr>
          <w:rStyle w:val="Strong"/>
          <w:b w:val="0"/>
          <w:sz w:val="20"/>
          <w:szCs w:val="20"/>
          <w:shd w:val="clear" w:color="auto" w:fill="FFFFFF"/>
        </w:rPr>
        <w:t>Iroha</w:t>
      </w:r>
      <w:proofErr w:type="spellEnd"/>
      <w:r w:rsidRPr="00A26B4A">
        <w:rPr>
          <w:rStyle w:val="Strong"/>
          <w:b w:val="0"/>
          <w:sz w:val="20"/>
          <w:szCs w:val="20"/>
          <w:shd w:val="clear" w:color="auto" w:fill="FFFFFF"/>
        </w:rPr>
        <w:t xml:space="preserve">, C. S., </w:t>
      </w:r>
      <w:proofErr w:type="spellStart"/>
      <w:r w:rsidRPr="00A26B4A">
        <w:rPr>
          <w:rStyle w:val="Strong"/>
          <w:b w:val="0"/>
          <w:sz w:val="20"/>
          <w:szCs w:val="20"/>
          <w:shd w:val="clear" w:color="auto" w:fill="FFFFFF"/>
        </w:rPr>
        <w:t>Onoura</w:t>
      </w:r>
      <w:proofErr w:type="spellEnd"/>
      <w:r w:rsidRPr="00A26B4A">
        <w:rPr>
          <w:rStyle w:val="Strong"/>
          <w:b w:val="0"/>
          <w:sz w:val="20"/>
          <w:szCs w:val="20"/>
          <w:shd w:val="clear" w:color="auto" w:fill="FFFFFF"/>
        </w:rPr>
        <w:t xml:space="preserve">, A. L., Peter, I. U. , &amp; </w:t>
      </w:r>
      <w:proofErr w:type="spellStart"/>
      <w:r w:rsidRPr="00A26B4A">
        <w:rPr>
          <w:rStyle w:val="Strong"/>
          <w:b w:val="0"/>
          <w:sz w:val="20"/>
          <w:szCs w:val="20"/>
          <w:shd w:val="clear" w:color="auto" w:fill="FFFFFF"/>
        </w:rPr>
        <w:t>Iroha</w:t>
      </w:r>
      <w:proofErr w:type="spellEnd"/>
      <w:r w:rsidRPr="00A26B4A">
        <w:rPr>
          <w:rStyle w:val="Strong"/>
          <w:b w:val="0"/>
          <w:sz w:val="20"/>
          <w:szCs w:val="20"/>
          <w:shd w:val="clear" w:color="auto" w:fill="FFFFFF"/>
        </w:rPr>
        <w:t>, I. R. (2026b). Gender-Based Differences in Antibiotic Resistance Profiles of Multidrug-Resistant </w:t>
      </w:r>
      <w:r w:rsidRPr="00A26B4A">
        <w:rPr>
          <w:rStyle w:val="Emphasis"/>
          <w:sz w:val="20"/>
          <w:szCs w:val="20"/>
          <w:shd w:val="clear" w:color="auto" w:fill="FFFFFF"/>
        </w:rPr>
        <w:t>Pseudomonas aeruginosa</w:t>
      </w:r>
      <w:r w:rsidRPr="00A26B4A">
        <w:rPr>
          <w:rStyle w:val="Strong"/>
          <w:b w:val="0"/>
          <w:sz w:val="20"/>
          <w:szCs w:val="20"/>
          <w:shd w:val="clear" w:color="auto" w:fill="FFFFFF"/>
        </w:rPr>
        <w:t> Isolates from a Nigerian Tertiary Hospital: A Comparative Statistical Analysis. </w:t>
      </w:r>
      <w:r w:rsidRPr="00A26B4A">
        <w:rPr>
          <w:rStyle w:val="Emphasis"/>
          <w:sz w:val="20"/>
          <w:szCs w:val="20"/>
          <w:shd w:val="clear" w:color="auto" w:fill="FFFFFF"/>
        </w:rPr>
        <w:t>Journal of International Research in Medical and Pharmaceutical Sciences</w:t>
      </w:r>
      <w:r w:rsidRPr="00A26B4A">
        <w:rPr>
          <w:rStyle w:val="Strong"/>
          <w:b w:val="0"/>
          <w:sz w:val="20"/>
          <w:szCs w:val="20"/>
          <w:shd w:val="clear" w:color="auto" w:fill="FFFFFF"/>
        </w:rPr>
        <w:t>, 21(2):171–182</w:t>
      </w:r>
    </w:p>
    <w:p w14:paraId="7E9E0FBA"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proofErr w:type="spellStart"/>
      <w:r w:rsidRPr="00A26B4A">
        <w:rPr>
          <w:sz w:val="20"/>
          <w:szCs w:val="20"/>
        </w:rPr>
        <w:t>Akinduti</w:t>
      </w:r>
      <w:proofErr w:type="spellEnd"/>
      <w:r w:rsidRPr="00A26B4A">
        <w:rPr>
          <w:sz w:val="20"/>
          <w:szCs w:val="20"/>
        </w:rPr>
        <w:t xml:space="preserve">, P. A., Obafemi, Y. D., </w:t>
      </w:r>
      <w:proofErr w:type="spellStart"/>
      <w:r w:rsidRPr="00A26B4A">
        <w:rPr>
          <w:sz w:val="20"/>
          <w:szCs w:val="20"/>
        </w:rPr>
        <w:t>Ugboko</w:t>
      </w:r>
      <w:proofErr w:type="spellEnd"/>
      <w:r w:rsidRPr="00A26B4A">
        <w:rPr>
          <w:sz w:val="20"/>
          <w:szCs w:val="20"/>
        </w:rPr>
        <w:t>, H., El-</w:t>
      </w:r>
      <w:proofErr w:type="spellStart"/>
      <w:r w:rsidRPr="00A26B4A">
        <w:rPr>
          <w:sz w:val="20"/>
          <w:szCs w:val="20"/>
        </w:rPr>
        <w:t>Ashker</w:t>
      </w:r>
      <w:proofErr w:type="spellEnd"/>
      <w:r w:rsidRPr="00A26B4A">
        <w:rPr>
          <w:sz w:val="20"/>
          <w:szCs w:val="20"/>
        </w:rPr>
        <w:t xml:space="preserve">, M., </w:t>
      </w:r>
      <w:proofErr w:type="spellStart"/>
      <w:r w:rsidRPr="00A26B4A">
        <w:rPr>
          <w:sz w:val="20"/>
          <w:szCs w:val="20"/>
        </w:rPr>
        <w:t>Akinnola</w:t>
      </w:r>
      <w:proofErr w:type="spellEnd"/>
      <w:r w:rsidRPr="00A26B4A">
        <w:rPr>
          <w:sz w:val="20"/>
          <w:szCs w:val="20"/>
        </w:rPr>
        <w:t xml:space="preserve">, O., </w:t>
      </w:r>
      <w:proofErr w:type="spellStart"/>
      <w:r w:rsidRPr="00A26B4A">
        <w:rPr>
          <w:sz w:val="20"/>
          <w:szCs w:val="20"/>
        </w:rPr>
        <w:t>Agunsoye</w:t>
      </w:r>
      <w:proofErr w:type="spellEnd"/>
      <w:r w:rsidRPr="00A26B4A">
        <w:rPr>
          <w:sz w:val="20"/>
          <w:szCs w:val="20"/>
        </w:rPr>
        <w:t xml:space="preserve">, C. J., </w:t>
      </w:r>
      <w:proofErr w:type="spellStart"/>
      <w:r w:rsidRPr="00A26B4A">
        <w:rPr>
          <w:sz w:val="20"/>
          <w:szCs w:val="20"/>
        </w:rPr>
        <w:t>Ogunyebo</w:t>
      </w:r>
      <w:proofErr w:type="spellEnd"/>
      <w:r w:rsidRPr="00A26B4A">
        <w:rPr>
          <w:sz w:val="20"/>
          <w:szCs w:val="20"/>
        </w:rPr>
        <w:t xml:space="preserve">, O. O., Adeyemi, T., Adegoke, A., </w:t>
      </w:r>
      <w:proofErr w:type="spellStart"/>
      <w:r w:rsidRPr="00A26B4A">
        <w:rPr>
          <w:sz w:val="20"/>
          <w:szCs w:val="20"/>
        </w:rPr>
        <w:t>Heiken</w:t>
      </w:r>
      <w:proofErr w:type="spellEnd"/>
      <w:r w:rsidRPr="00A26B4A">
        <w:rPr>
          <w:sz w:val="20"/>
          <w:szCs w:val="20"/>
        </w:rPr>
        <w:t xml:space="preserve">, L., &amp; </w:t>
      </w:r>
      <w:proofErr w:type="spellStart"/>
      <w:r w:rsidRPr="00A26B4A">
        <w:rPr>
          <w:sz w:val="20"/>
          <w:szCs w:val="20"/>
        </w:rPr>
        <w:t>Wareth</w:t>
      </w:r>
      <w:proofErr w:type="spellEnd"/>
      <w:r w:rsidRPr="00A26B4A">
        <w:rPr>
          <w:sz w:val="20"/>
          <w:szCs w:val="20"/>
        </w:rPr>
        <w:t>, G. (2022). Emerging vancomycin-non susceptible coagulase negative Staphylococci associated with skin and soft tissue infections. </w:t>
      </w:r>
      <w:r w:rsidRPr="00A26B4A">
        <w:rPr>
          <w:rStyle w:val="Emphasis"/>
          <w:sz w:val="20"/>
          <w:szCs w:val="20"/>
        </w:rPr>
        <w:t>Annals of Clinical Microbiology and Antimicrobials</w:t>
      </w:r>
      <w:r w:rsidRPr="00A26B4A">
        <w:rPr>
          <w:sz w:val="20"/>
          <w:szCs w:val="20"/>
        </w:rPr>
        <w:t>, 21(1), 1-10. </w:t>
      </w:r>
      <w:hyperlink r:id="rId8" w:tgtFrame="_blank" w:history="1">
        <w:r w:rsidRPr="00A26B4A">
          <w:rPr>
            <w:rStyle w:val="Hyperlink"/>
            <w:color w:val="auto"/>
            <w:sz w:val="20"/>
            <w:szCs w:val="20"/>
          </w:rPr>
          <w:t>https://doi.org/10.1186/s12941-022-00516-4</w:t>
        </w:r>
      </w:hyperlink>
    </w:p>
    <w:p w14:paraId="10CE5EEA"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sz w:val="20"/>
          <w:szCs w:val="20"/>
        </w:rPr>
        <w:t>Al-</w:t>
      </w:r>
      <w:proofErr w:type="spellStart"/>
      <w:r w:rsidRPr="00A26B4A">
        <w:rPr>
          <w:sz w:val="20"/>
          <w:szCs w:val="20"/>
        </w:rPr>
        <w:t>Haqan</w:t>
      </w:r>
      <w:proofErr w:type="spellEnd"/>
      <w:r w:rsidRPr="00A26B4A">
        <w:rPr>
          <w:sz w:val="20"/>
          <w:szCs w:val="20"/>
        </w:rPr>
        <w:t xml:space="preserve">, A., </w:t>
      </w:r>
      <w:proofErr w:type="spellStart"/>
      <w:r w:rsidRPr="00A26B4A">
        <w:rPr>
          <w:sz w:val="20"/>
          <w:szCs w:val="20"/>
        </w:rPr>
        <w:t>Boswihi</w:t>
      </w:r>
      <w:proofErr w:type="spellEnd"/>
      <w:r w:rsidRPr="00A26B4A">
        <w:rPr>
          <w:sz w:val="20"/>
          <w:szCs w:val="20"/>
        </w:rPr>
        <w:t>, S. S., Pathan, S., &amp; Udo, E. E. (2020). Antimicrobial resistance and virulence determinants in coagulase-negative staphylococci isolated mainly from preterm neonates. </w:t>
      </w:r>
      <w:proofErr w:type="spellStart"/>
      <w:r w:rsidRPr="00A26B4A">
        <w:rPr>
          <w:rStyle w:val="Emphasis"/>
          <w:sz w:val="20"/>
          <w:szCs w:val="20"/>
        </w:rPr>
        <w:t>PLoS</w:t>
      </w:r>
      <w:proofErr w:type="spellEnd"/>
      <w:r w:rsidRPr="00A26B4A">
        <w:rPr>
          <w:rStyle w:val="Emphasis"/>
          <w:sz w:val="20"/>
          <w:szCs w:val="20"/>
        </w:rPr>
        <w:t xml:space="preserve"> ONE</w:t>
      </w:r>
      <w:r w:rsidRPr="00A26B4A">
        <w:rPr>
          <w:sz w:val="20"/>
          <w:szCs w:val="20"/>
        </w:rPr>
        <w:t>, 15(8), e0236713. </w:t>
      </w:r>
      <w:hyperlink r:id="rId9" w:tgtFrame="_blank" w:history="1">
        <w:r w:rsidRPr="00A26B4A">
          <w:rPr>
            <w:rStyle w:val="Hyperlink"/>
            <w:color w:val="auto"/>
            <w:sz w:val="20"/>
            <w:szCs w:val="20"/>
          </w:rPr>
          <w:t>https://doi.org/10.1371/journal.pone.0236713</w:t>
        </w:r>
      </w:hyperlink>
    </w:p>
    <w:p w14:paraId="581BF2B9"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rStyle w:val="Strong"/>
          <w:b w:val="0"/>
          <w:sz w:val="20"/>
          <w:szCs w:val="20"/>
          <w:shd w:val="clear" w:color="auto" w:fill="FFFFFF"/>
        </w:rPr>
        <w:t xml:space="preserve">Ali, A. I., </w:t>
      </w:r>
      <w:proofErr w:type="spellStart"/>
      <w:r w:rsidRPr="00A26B4A">
        <w:rPr>
          <w:rStyle w:val="Strong"/>
          <w:b w:val="0"/>
          <w:sz w:val="20"/>
          <w:szCs w:val="20"/>
          <w:shd w:val="clear" w:color="auto" w:fill="FFFFFF"/>
        </w:rPr>
        <w:t>Dandago</w:t>
      </w:r>
      <w:proofErr w:type="spellEnd"/>
      <w:r w:rsidRPr="00A26B4A">
        <w:rPr>
          <w:rStyle w:val="Strong"/>
          <w:b w:val="0"/>
          <w:sz w:val="20"/>
          <w:szCs w:val="20"/>
          <w:shd w:val="clear" w:color="auto" w:fill="FFFFFF"/>
        </w:rPr>
        <w:t>, M. A., &amp; Ali, F. I.</w:t>
      </w:r>
      <w:r w:rsidRPr="00A26B4A">
        <w:rPr>
          <w:sz w:val="20"/>
          <w:szCs w:val="20"/>
          <w:shd w:val="clear" w:color="auto" w:fill="FFFFFF"/>
        </w:rPr>
        <w:t> (2024). Food Applications of </w:t>
      </w:r>
      <w:proofErr w:type="spellStart"/>
      <w:r w:rsidRPr="00A26B4A">
        <w:rPr>
          <w:rStyle w:val="Emphasis"/>
          <w:sz w:val="20"/>
          <w:szCs w:val="20"/>
          <w:shd w:val="clear" w:color="auto" w:fill="FFFFFF"/>
        </w:rPr>
        <w:t>Telfairia</w:t>
      </w:r>
      <w:proofErr w:type="spellEnd"/>
      <w:r w:rsidRPr="00A26B4A">
        <w:rPr>
          <w:rStyle w:val="Emphasis"/>
          <w:sz w:val="20"/>
          <w:szCs w:val="20"/>
          <w:shd w:val="clear" w:color="auto" w:fill="FFFFFF"/>
        </w:rPr>
        <w:t xml:space="preserve"> </w:t>
      </w:r>
      <w:proofErr w:type="spellStart"/>
      <w:r w:rsidRPr="00A26B4A">
        <w:rPr>
          <w:rStyle w:val="Emphasis"/>
          <w:sz w:val="20"/>
          <w:szCs w:val="20"/>
          <w:shd w:val="clear" w:color="auto" w:fill="FFFFFF"/>
        </w:rPr>
        <w:t>occidentalis</w:t>
      </w:r>
      <w:proofErr w:type="spellEnd"/>
      <w:r w:rsidRPr="00A26B4A">
        <w:rPr>
          <w:sz w:val="20"/>
          <w:szCs w:val="20"/>
          <w:shd w:val="clear" w:color="auto" w:fill="FFFFFF"/>
        </w:rPr>
        <w:t> as a Functional Ingredient and Nanoencapsulation as a Promising Approach toward Enhancing Food Fortification. </w:t>
      </w:r>
      <w:r w:rsidRPr="00A26B4A">
        <w:rPr>
          <w:rStyle w:val="Emphasis"/>
          <w:sz w:val="20"/>
          <w:szCs w:val="20"/>
          <w:shd w:val="clear" w:color="auto" w:fill="FFFFFF"/>
        </w:rPr>
        <w:t>Published: 12 June 2024</w:t>
      </w:r>
      <w:r w:rsidRPr="00A26B4A">
        <w:rPr>
          <w:sz w:val="20"/>
          <w:szCs w:val="20"/>
          <w:shd w:val="clear" w:color="auto" w:fill="FFFFFF"/>
        </w:rPr>
        <w:t>. </w:t>
      </w:r>
      <w:hyperlink r:id="rId10" w:tgtFrame="_blank" w:history="1">
        <w:r w:rsidRPr="00A26B4A">
          <w:rPr>
            <w:rStyle w:val="Hyperlink"/>
            <w:color w:val="auto"/>
            <w:sz w:val="20"/>
            <w:szCs w:val="20"/>
            <w:shd w:val="clear" w:color="auto" w:fill="FFFFFF"/>
          </w:rPr>
          <w:t>https://doi.org/10.5772/intechopen.111716</w:t>
        </w:r>
      </w:hyperlink>
    </w:p>
    <w:p w14:paraId="433B9A7E"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sz w:val="20"/>
          <w:szCs w:val="20"/>
        </w:rPr>
        <w:t xml:space="preserve">Asante, J., </w:t>
      </w:r>
      <w:proofErr w:type="spellStart"/>
      <w:r w:rsidRPr="00A26B4A">
        <w:rPr>
          <w:sz w:val="20"/>
          <w:szCs w:val="20"/>
        </w:rPr>
        <w:t>Hetsa</w:t>
      </w:r>
      <w:proofErr w:type="spellEnd"/>
      <w:r w:rsidRPr="00A26B4A">
        <w:rPr>
          <w:sz w:val="20"/>
          <w:szCs w:val="20"/>
        </w:rPr>
        <w:t xml:space="preserve">, B. A., Amoako, D. G., </w:t>
      </w:r>
      <w:proofErr w:type="spellStart"/>
      <w:r w:rsidRPr="00A26B4A">
        <w:rPr>
          <w:sz w:val="20"/>
          <w:szCs w:val="20"/>
        </w:rPr>
        <w:t>Abia</w:t>
      </w:r>
      <w:proofErr w:type="spellEnd"/>
      <w:r w:rsidRPr="00A26B4A">
        <w:rPr>
          <w:sz w:val="20"/>
          <w:szCs w:val="20"/>
        </w:rPr>
        <w:t xml:space="preserve">, A. L. K., Bester, L. A., &amp; </w:t>
      </w:r>
      <w:proofErr w:type="spellStart"/>
      <w:r w:rsidRPr="00A26B4A">
        <w:rPr>
          <w:sz w:val="20"/>
          <w:szCs w:val="20"/>
        </w:rPr>
        <w:t>Essack</w:t>
      </w:r>
      <w:proofErr w:type="spellEnd"/>
      <w:r w:rsidRPr="00A26B4A">
        <w:rPr>
          <w:sz w:val="20"/>
          <w:szCs w:val="20"/>
        </w:rPr>
        <w:t>, S. Y. (2021). Multidrug-resistant coagulase-negative staphylococci isolated from bloodstream in the uMgungundlovu district of KwaZulu-Natal province in South Africa: Emerging pathogens. </w:t>
      </w:r>
      <w:r w:rsidRPr="00A26B4A">
        <w:rPr>
          <w:rStyle w:val="Emphasis"/>
          <w:sz w:val="20"/>
          <w:szCs w:val="20"/>
        </w:rPr>
        <w:t>Antibiotics</w:t>
      </w:r>
      <w:r w:rsidRPr="00A26B4A">
        <w:rPr>
          <w:sz w:val="20"/>
          <w:szCs w:val="20"/>
        </w:rPr>
        <w:t>, 10(2), 1-11. </w:t>
      </w:r>
      <w:hyperlink r:id="rId11" w:tgtFrame="_blank" w:history="1">
        <w:r w:rsidRPr="00A26B4A">
          <w:rPr>
            <w:rStyle w:val="Hyperlink"/>
            <w:color w:val="auto"/>
            <w:sz w:val="20"/>
            <w:szCs w:val="20"/>
          </w:rPr>
          <w:t>https://doi.org/10.3390/antibiotics10020198</w:t>
        </w:r>
      </w:hyperlink>
    </w:p>
    <w:p w14:paraId="60A2B434"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sz w:val="20"/>
          <w:szCs w:val="20"/>
        </w:rPr>
        <w:t>Avila-</w:t>
      </w:r>
      <w:proofErr w:type="spellStart"/>
      <w:r w:rsidRPr="00A26B4A">
        <w:rPr>
          <w:sz w:val="20"/>
          <w:szCs w:val="20"/>
        </w:rPr>
        <w:t>Novoa</w:t>
      </w:r>
      <w:proofErr w:type="spellEnd"/>
      <w:r w:rsidRPr="00A26B4A">
        <w:rPr>
          <w:sz w:val="20"/>
          <w:szCs w:val="20"/>
        </w:rPr>
        <w:t xml:space="preserve">, M. G., </w:t>
      </w:r>
      <w:proofErr w:type="spellStart"/>
      <w:r w:rsidRPr="00A26B4A">
        <w:rPr>
          <w:sz w:val="20"/>
          <w:szCs w:val="20"/>
        </w:rPr>
        <w:t>Iñíguez</w:t>
      </w:r>
      <w:proofErr w:type="spellEnd"/>
      <w:r w:rsidRPr="00A26B4A">
        <w:rPr>
          <w:sz w:val="20"/>
          <w:szCs w:val="20"/>
        </w:rPr>
        <w:t>-Moreno, M., Solís-Velázquez, O. A., González-Gomez, J. P., Guerrero-Medina, P. J., &amp; Gutiérrez-</w:t>
      </w:r>
      <w:proofErr w:type="spellStart"/>
      <w:r w:rsidRPr="00A26B4A">
        <w:rPr>
          <w:sz w:val="20"/>
          <w:szCs w:val="20"/>
        </w:rPr>
        <w:t>Lomelí</w:t>
      </w:r>
      <w:proofErr w:type="spellEnd"/>
      <w:r w:rsidRPr="00A26B4A">
        <w:rPr>
          <w:sz w:val="20"/>
          <w:szCs w:val="20"/>
        </w:rPr>
        <w:t>, M. (2018). Biofilm formation by </w:t>
      </w:r>
      <w:r w:rsidRPr="00A26B4A">
        <w:rPr>
          <w:rStyle w:val="Emphasis"/>
          <w:sz w:val="20"/>
          <w:szCs w:val="20"/>
        </w:rPr>
        <w:t>Staphylococcus aureus</w:t>
      </w:r>
      <w:r w:rsidRPr="00A26B4A">
        <w:rPr>
          <w:sz w:val="20"/>
          <w:szCs w:val="20"/>
        </w:rPr>
        <w:t> isolated from food contact surfaces in the dairy industry of Jalisco, Mexico. </w:t>
      </w:r>
      <w:r w:rsidRPr="00A26B4A">
        <w:rPr>
          <w:rStyle w:val="Emphasis"/>
          <w:sz w:val="20"/>
          <w:szCs w:val="20"/>
        </w:rPr>
        <w:t>Journal of Food Quality</w:t>
      </w:r>
      <w:r w:rsidRPr="00A26B4A">
        <w:rPr>
          <w:sz w:val="20"/>
          <w:szCs w:val="20"/>
        </w:rPr>
        <w:t>, 2018, 1746139. </w:t>
      </w:r>
      <w:hyperlink r:id="rId12" w:tgtFrame="_blank" w:history="1">
        <w:r w:rsidRPr="00A26B4A">
          <w:rPr>
            <w:rStyle w:val="Hyperlink"/>
            <w:color w:val="auto"/>
            <w:sz w:val="20"/>
            <w:szCs w:val="20"/>
          </w:rPr>
          <w:t>https://doi.org/10.1155/2018/1746139</w:t>
        </w:r>
      </w:hyperlink>
    </w:p>
    <w:p w14:paraId="5CE82653"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sz w:val="20"/>
          <w:szCs w:val="20"/>
        </w:rPr>
        <w:t xml:space="preserve">Becker, K., Both, A., </w:t>
      </w:r>
      <w:proofErr w:type="spellStart"/>
      <w:r w:rsidRPr="00A26B4A">
        <w:rPr>
          <w:sz w:val="20"/>
          <w:szCs w:val="20"/>
        </w:rPr>
        <w:t>Weißelberg</w:t>
      </w:r>
      <w:proofErr w:type="spellEnd"/>
      <w:r w:rsidRPr="00A26B4A">
        <w:rPr>
          <w:sz w:val="20"/>
          <w:szCs w:val="20"/>
        </w:rPr>
        <w:t xml:space="preserve">, S., </w:t>
      </w:r>
      <w:proofErr w:type="spellStart"/>
      <w:r w:rsidRPr="00A26B4A">
        <w:rPr>
          <w:sz w:val="20"/>
          <w:szCs w:val="20"/>
        </w:rPr>
        <w:t>Heilmann</w:t>
      </w:r>
      <w:proofErr w:type="spellEnd"/>
      <w:r w:rsidRPr="00A26B4A">
        <w:rPr>
          <w:sz w:val="20"/>
          <w:szCs w:val="20"/>
        </w:rPr>
        <w:t>, C., &amp; Rohde, H. (2020). Emergence of coagulase-negative </w:t>
      </w:r>
      <w:r w:rsidRPr="00A26B4A">
        <w:rPr>
          <w:rStyle w:val="Emphasis"/>
          <w:sz w:val="20"/>
          <w:szCs w:val="20"/>
        </w:rPr>
        <w:t>staphylococci</w:t>
      </w:r>
      <w:r w:rsidRPr="00A26B4A">
        <w:rPr>
          <w:sz w:val="20"/>
          <w:szCs w:val="20"/>
        </w:rPr>
        <w:t>. </w:t>
      </w:r>
      <w:r w:rsidRPr="00A26B4A">
        <w:rPr>
          <w:rStyle w:val="Emphasis"/>
          <w:sz w:val="20"/>
          <w:szCs w:val="20"/>
        </w:rPr>
        <w:t>Expert Review of Anti-infective Therapy</w:t>
      </w:r>
      <w:r w:rsidRPr="00A26B4A">
        <w:rPr>
          <w:sz w:val="20"/>
          <w:szCs w:val="20"/>
        </w:rPr>
        <w:t>, 18(4), 349-366. </w:t>
      </w:r>
      <w:hyperlink r:id="rId13" w:tgtFrame="_blank" w:history="1">
        <w:r w:rsidRPr="00A26B4A">
          <w:rPr>
            <w:rStyle w:val="Hyperlink"/>
            <w:color w:val="auto"/>
            <w:sz w:val="20"/>
            <w:szCs w:val="20"/>
          </w:rPr>
          <w:t>https://doi.org/10.1080/14787210.2020.1730813</w:t>
        </w:r>
      </w:hyperlink>
    </w:p>
    <w:p w14:paraId="51132C85"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sz w:val="20"/>
          <w:szCs w:val="20"/>
        </w:rPr>
        <w:t xml:space="preserve">Becker, K., </w:t>
      </w:r>
      <w:proofErr w:type="spellStart"/>
      <w:r w:rsidRPr="00A26B4A">
        <w:rPr>
          <w:sz w:val="20"/>
          <w:szCs w:val="20"/>
        </w:rPr>
        <w:t>Heilmann</w:t>
      </w:r>
      <w:proofErr w:type="spellEnd"/>
      <w:r w:rsidRPr="00A26B4A">
        <w:rPr>
          <w:sz w:val="20"/>
          <w:szCs w:val="20"/>
        </w:rPr>
        <w:t>, C., &amp; Peters, G. (2014). Coagulase-negative </w:t>
      </w:r>
      <w:r w:rsidRPr="00A26B4A">
        <w:rPr>
          <w:rStyle w:val="Emphasis"/>
          <w:sz w:val="20"/>
          <w:szCs w:val="20"/>
        </w:rPr>
        <w:t>staphylococci</w:t>
      </w:r>
      <w:r w:rsidRPr="00A26B4A">
        <w:rPr>
          <w:sz w:val="20"/>
          <w:szCs w:val="20"/>
        </w:rPr>
        <w:t>. </w:t>
      </w:r>
      <w:r w:rsidRPr="00A26B4A">
        <w:rPr>
          <w:rStyle w:val="Emphasis"/>
          <w:sz w:val="20"/>
          <w:szCs w:val="20"/>
        </w:rPr>
        <w:t>Clinical Microbiology Reviews</w:t>
      </w:r>
      <w:r w:rsidRPr="00A26B4A">
        <w:rPr>
          <w:sz w:val="20"/>
          <w:szCs w:val="20"/>
        </w:rPr>
        <w:t>, 27(4), 870-926. </w:t>
      </w:r>
      <w:hyperlink r:id="rId14" w:tgtFrame="_blank" w:history="1">
        <w:r w:rsidRPr="00A26B4A">
          <w:rPr>
            <w:rStyle w:val="Hyperlink"/>
            <w:color w:val="auto"/>
            <w:sz w:val="20"/>
            <w:szCs w:val="20"/>
          </w:rPr>
          <w:t>https://doi.org/10.1128/CMR.00109-13</w:t>
        </w:r>
      </w:hyperlink>
    </w:p>
    <w:p w14:paraId="679FD982"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sz w:val="20"/>
          <w:szCs w:val="20"/>
        </w:rPr>
        <w:t xml:space="preserve">Casey, J. A., </w:t>
      </w:r>
      <w:proofErr w:type="spellStart"/>
      <w:r w:rsidRPr="00A26B4A">
        <w:rPr>
          <w:sz w:val="20"/>
          <w:szCs w:val="20"/>
        </w:rPr>
        <w:t>Curriero</w:t>
      </w:r>
      <w:proofErr w:type="spellEnd"/>
      <w:r w:rsidRPr="00A26B4A">
        <w:rPr>
          <w:sz w:val="20"/>
          <w:szCs w:val="20"/>
        </w:rPr>
        <w:t>, F. C., Cosgrove, S. E., Nachman, K. E., &amp; Schwartz, B. S. (2013). High-density livestock operations, crop field application of manure, and risk of community-associated methicillin-resistant </w:t>
      </w:r>
      <w:r w:rsidRPr="00A26B4A">
        <w:rPr>
          <w:rStyle w:val="Emphasis"/>
          <w:sz w:val="20"/>
          <w:szCs w:val="20"/>
        </w:rPr>
        <w:t>Staphylococcus aureus</w:t>
      </w:r>
      <w:r w:rsidRPr="00A26B4A">
        <w:rPr>
          <w:sz w:val="20"/>
          <w:szCs w:val="20"/>
        </w:rPr>
        <w:t> infection in Pennsylvania. </w:t>
      </w:r>
      <w:r w:rsidRPr="00A26B4A">
        <w:rPr>
          <w:rStyle w:val="Emphasis"/>
          <w:sz w:val="20"/>
          <w:szCs w:val="20"/>
        </w:rPr>
        <w:t>JAMA Internal Medicine</w:t>
      </w:r>
      <w:r w:rsidRPr="00A26B4A">
        <w:rPr>
          <w:sz w:val="20"/>
          <w:szCs w:val="20"/>
        </w:rPr>
        <w:t>, 174(3), 419-426. </w:t>
      </w:r>
      <w:hyperlink r:id="rId15" w:tgtFrame="_blank" w:history="1">
        <w:r w:rsidRPr="00A26B4A">
          <w:rPr>
            <w:rStyle w:val="Hyperlink"/>
            <w:color w:val="auto"/>
            <w:sz w:val="20"/>
            <w:szCs w:val="20"/>
          </w:rPr>
          <w:t>https://doi.org/10.1001/jamainternmed.2013.14408</w:t>
        </w:r>
      </w:hyperlink>
    </w:p>
    <w:p w14:paraId="7A683F58"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sz w:val="20"/>
          <w:szCs w:val="20"/>
        </w:rPr>
        <w:t xml:space="preserve">Charles, A. J., </w:t>
      </w:r>
      <w:proofErr w:type="spellStart"/>
      <w:r w:rsidRPr="00A26B4A">
        <w:rPr>
          <w:sz w:val="20"/>
          <w:szCs w:val="20"/>
        </w:rPr>
        <w:t>Majigo</w:t>
      </w:r>
      <w:proofErr w:type="spellEnd"/>
      <w:r w:rsidRPr="00A26B4A">
        <w:rPr>
          <w:sz w:val="20"/>
          <w:szCs w:val="20"/>
        </w:rPr>
        <w:t xml:space="preserve">, M., </w:t>
      </w:r>
      <w:proofErr w:type="spellStart"/>
      <w:r w:rsidRPr="00A26B4A">
        <w:rPr>
          <w:sz w:val="20"/>
          <w:szCs w:val="20"/>
        </w:rPr>
        <w:t>Makupa</w:t>
      </w:r>
      <w:proofErr w:type="spellEnd"/>
      <w:r w:rsidRPr="00A26B4A">
        <w:rPr>
          <w:sz w:val="20"/>
          <w:szCs w:val="20"/>
        </w:rPr>
        <w:t xml:space="preserve">, J. E., </w:t>
      </w:r>
      <w:proofErr w:type="spellStart"/>
      <w:r w:rsidRPr="00A26B4A">
        <w:rPr>
          <w:sz w:val="20"/>
          <w:szCs w:val="20"/>
        </w:rPr>
        <w:t>Kibwana</w:t>
      </w:r>
      <w:proofErr w:type="spellEnd"/>
      <w:r w:rsidRPr="00A26B4A">
        <w:rPr>
          <w:sz w:val="20"/>
          <w:szCs w:val="20"/>
        </w:rPr>
        <w:t xml:space="preserve">, U., </w:t>
      </w:r>
      <w:proofErr w:type="spellStart"/>
      <w:r w:rsidRPr="00A26B4A">
        <w:rPr>
          <w:sz w:val="20"/>
          <w:szCs w:val="20"/>
        </w:rPr>
        <w:t>Mwazyunga</w:t>
      </w:r>
      <w:proofErr w:type="spellEnd"/>
      <w:r w:rsidRPr="00A26B4A">
        <w:rPr>
          <w:sz w:val="20"/>
          <w:szCs w:val="20"/>
        </w:rPr>
        <w:t xml:space="preserve">, Z., </w:t>
      </w:r>
      <w:proofErr w:type="spellStart"/>
      <w:r w:rsidRPr="00A26B4A">
        <w:rPr>
          <w:sz w:val="20"/>
          <w:szCs w:val="20"/>
        </w:rPr>
        <w:t>Mwandigha</w:t>
      </w:r>
      <w:proofErr w:type="spellEnd"/>
      <w:r w:rsidRPr="00A26B4A">
        <w:rPr>
          <w:sz w:val="20"/>
          <w:szCs w:val="20"/>
        </w:rPr>
        <w:t xml:space="preserve">, A. M., </w:t>
      </w:r>
      <w:proofErr w:type="spellStart"/>
      <w:r w:rsidRPr="00A26B4A">
        <w:rPr>
          <w:sz w:val="20"/>
          <w:szCs w:val="20"/>
        </w:rPr>
        <w:t>Niccodem</w:t>
      </w:r>
      <w:proofErr w:type="spellEnd"/>
      <w:r w:rsidRPr="00A26B4A">
        <w:rPr>
          <w:sz w:val="20"/>
          <w:szCs w:val="20"/>
        </w:rPr>
        <w:t xml:space="preserve">, E. M., Efraim, J., Moremi, N., </w:t>
      </w:r>
      <w:proofErr w:type="spellStart"/>
      <w:r w:rsidRPr="00A26B4A">
        <w:rPr>
          <w:sz w:val="20"/>
          <w:szCs w:val="20"/>
        </w:rPr>
        <w:t>Manyahi</w:t>
      </w:r>
      <w:proofErr w:type="spellEnd"/>
      <w:r w:rsidRPr="00A26B4A">
        <w:rPr>
          <w:sz w:val="20"/>
          <w:szCs w:val="20"/>
        </w:rPr>
        <w:t xml:space="preserve">, J., </w:t>
      </w:r>
      <w:proofErr w:type="spellStart"/>
      <w:r w:rsidRPr="00A26B4A">
        <w:rPr>
          <w:sz w:val="20"/>
          <w:szCs w:val="20"/>
        </w:rPr>
        <w:t>Kamori</w:t>
      </w:r>
      <w:proofErr w:type="spellEnd"/>
      <w:r w:rsidRPr="00A26B4A">
        <w:rPr>
          <w:sz w:val="20"/>
          <w:szCs w:val="20"/>
        </w:rPr>
        <w:t xml:space="preserve">, D., </w:t>
      </w:r>
      <w:proofErr w:type="spellStart"/>
      <w:r w:rsidRPr="00A26B4A">
        <w:rPr>
          <w:sz w:val="20"/>
          <w:szCs w:val="20"/>
        </w:rPr>
        <w:t>Matee</w:t>
      </w:r>
      <w:proofErr w:type="spellEnd"/>
      <w:r w:rsidRPr="00A26B4A">
        <w:rPr>
          <w:sz w:val="20"/>
          <w:szCs w:val="20"/>
        </w:rPr>
        <w:t xml:space="preserve">, M. I., &amp; Joachim, A. (2024). Occurrence of virulence genes </w:t>
      </w:r>
      <w:proofErr w:type="spellStart"/>
      <w:r w:rsidRPr="00A26B4A">
        <w:rPr>
          <w:sz w:val="20"/>
          <w:szCs w:val="20"/>
        </w:rPr>
        <w:t>icaADBC</w:t>
      </w:r>
      <w:proofErr w:type="spellEnd"/>
      <w:r w:rsidRPr="00A26B4A">
        <w:rPr>
          <w:sz w:val="20"/>
          <w:szCs w:val="20"/>
        </w:rPr>
        <w:t xml:space="preserve"> and antibiotic resistance genes </w:t>
      </w:r>
      <w:proofErr w:type="spellStart"/>
      <w:r w:rsidRPr="00A26B4A">
        <w:rPr>
          <w:sz w:val="20"/>
          <w:szCs w:val="20"/>
        </w:rPr>
        <w:t>blaZ</w:t>
      </w:r>
      <w:proofErr w:type="spellEnd"/>
      <w:r w:rsidRPr="00A26B4A">
        <w:rPr>
          <w:sz w:val="20"/>
          <w:szCs w:val="20"/>
        </w:rPr>
        <w:t xml:space="preserve">, </w:t>
      </w:r>
      <w:proofErr w:type="spellStart"/>
      <w:r w:rsidRPr="00A26B4A">
        <w:rPr>
          <w:sz w:val="20"/>
          <w:szCs w:val="20"/>
        </w:rPr>
        <w:t>mecA</w:t>
      </w:r>
      <w:proofErr w:type="spellEnd"/>
      <w:r w:rsidRPr="00A26B4A">
        <w:rPr>
          <w:sz w:val="20"/>
          <w:szCs w:val="20"/>
        </w:rPr>
        <w:t xml:space="preserve">, and </w:t>
      </w:r>
      <w:proofErr w:type="spellStart"/>
      <w:r w:rsidRPr="00A26B4A">
        <w:rPr>
          <w:sz w:val="20"/>
          <w:szCs w:val="20"/>
        </w:rPr>
        <w:t>aac</w:t>
      </w:r>
      <w:proofErr w:type="spellEnd"/>
      <w:r w:rsidRPr="00A26B4A">
        <w:rPr>
          <w:sz w:val="20"/>
          <w:szCs w:val="20"/>
        </w:rPr>
        <w:t>(6′)-</w:t>
      </w:r>
      <w:proofErr w:type="spellStart"/>
      <w:r w:rsidRPr="00A26B4A">
        <w:rPr>
          <w:sz w:val="20"/>
          <w:szCs w:val="20"/>
        </w:rPr>
        <w:t>Ie-</w:t>
      </w:r>
      <w:proofErr w:type="gramStart"/>
      <w:r w:rsidRPr="00A26B4A">
        <w:rPr>
          <w:sz w:val="20"/>
          <w:szCs w:val="20"/>
        </w:rPr>
        <w:t>aph</w:t>
      </w:r>
      <w:proofErr w:type="spellEnd"/>
      <w:r w:rsidRPr="00A26B4A">
        <w:rPr>
          <w:sz w:val="20"/>
          <w:szCs w:val="20"/>
        </w:rPr>
        <w:t>(</w:t>
      </w:r>
      <w:proofErr w:type="gramEnd"/>
      <w:r w:rsidRPr="00A26B4A">
        <w:rPr>
          <w:sz w:val="20"/>
          <w:szCs w:val="20"/>
        </w:rPr>
        <w:t>2″)-</w:t>
      </w:r>
      <w:proofErr w:type="spellStart"/>
      <w:r w:rsidRPr="00A26B4A">
        <w:rPr>
          <w:sz w:val="20"/>
          <w:szCs w:val="20"/>
        </w:rPr>
        <w:t>Ia</w:t>
      </w:r>
      <w:proofErr w:type="spellEnd"/>
      <w:r w:rsidRPr="00A26B4A">
        <w:rPr>
          <w:sz w:val="20"/>
          <w:szCs w:val="20"/>
        </w:rPr>
        <w:t xml:space="preserve"> in coagulase-</w:t>
      </w:r>
      <w:r w:rsidRPr="00A26B4A">
        <w:rPr>
          <w:sz w:val="20"/>
          <w:szCs w:val="20"/>
        </w:rPr>
        <w:lastRenderedPageBreak/>
        <w:t>negative staphylococci isolates from neonates with sepsis at a regional referral hospital in Dar es Salaam, Tanzania. </w:t>
      </w:r>
      <w:r w:rsidRPr="00A26B4A">
        <w:rPr>
          <w:rStyle w:val="Emphasis"/>
          <w:sz w:val="20"/>
          <w:szCs w:val="20"/>
        </w:rPr>
        <w:t>Bulletin of the National Research Centre</w:t>
      </w:r>
      <w:r w:rsidRPr="00A26B4A">
        <w:rPr>
          <w:sz w:val="20"/>
          <w:szCs w:val="20"/>
        </w:rPr>
        <w:t>, 48, 115. </w:t>
      </w:r>
      <w:hyperlink r:id="rId16" w:tgtFrame="_blank" w:history="1">
        <w:r w:rsidRPr="00A26B4A">
          <w:rPr>
            <w:rStyle w:val="Hyperlink"/>
            <w:color w:val="auto"/>
            <w:sz w:val="20"/>
            <w:szCs w:val="20"/>
          </w:rPr>
          <w:t>https://doi.org/10.1186/s42269-024-01123-5</w:t>
        </w:r>
      </w:hyperlink>
    </w:p>
    <w:p w14:paraId="0C52FB1F"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proofErr w:type="spellStart"/>
      <w:r w:rsidRPr="00A26B4A">
        <w:rPr>
          <w:sz w:val="20"/>
          <w:szCs w:val="20"/>
        </w:rPr>
        <w:t>Cheesbrough</w:t>
      </w:r>
      <w:proofErr w:type="spellEnd"/>
      <w:r w:rsidRPr="00A26B4A">
        <w:rPr>
          <w:sz w:val="20"/>
          <w:szCs w:val="20"/>
        </w:rPr>
        <w:t>, M. (2006). </w:t>
      </w:r>
      <w:r w:rsidRPr="00A26B4A">
        <w:rPr>
          <w:rStyle w:val="Emphasis"/>
          <w:sz w:val="20"/>
          <w:szCs w:val="20"/>
        </w:rPr>
        <w:t>District Laboratory Practice in Tropical Countries</w:t>
      </w:r>
      <w:r w:rsidRPr="00A26B4A">
        <w:rPr>
          <w:sz w:val="20"/>
          <w:szCs w:val="20"/>
        </w:rPr>
        <w:t> (Part II). Cambridge University Press.</w:t>
      </w:r>
    </w:p>
    <w:p w14:paraId="66789A51"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sz w:val="20"/>
          <w:szCs w:val="20"/>
        </w:rPr>
        <w:t xml:space="preserve">Chen, Q., </w:t>
      </w:r>
      <w:proofErr w:type="spellStart"/>
      <w:r w:rsidRPr="00A26B4A">
        <w:rPr>
          <w:sz w:val="20"/>
          <w:szCs w:val="20"/>
        </w:rPr>
        <w:t>Xie</w:t>
      </w:r>
      <w:proofErr w:type="spellEnd"/>
      <w:r w:rsidRPr="00A26B4A">
        <w:rPr>
          <w:sz w:val="20"/>
          <w:szCs w:val="20"/>
        </w:rPr>
        <w:t>, S., Lou, X., Cheng, S., Liu, X., Zheng, W., Zheng, Z., &amp; Wang, H. (2020). Biofilm formation and prevalence of adhesion genes among </w:t>
      </w:r>
      <w:r w:rsidRPr="00A26B4A">
        <w:rPr>
          <w:rStyle w:val="Emphasis"/>
          <w:sz w:val="20"/>
          <w:szCs w:val="20"/>
        </w:rPr>
        <w:t>Staphylococcus aureus</w:t>
      </w:r>
      <w:r w:rsidRPr="00A26B4A">
        <w:rPr>
          <w:sz w:val="20"/>
          <w:szCs w:val="20"/>
        </w:rPr>
        <w:t> isolates from different food sources. </w:t>
      </w:r>
      <w:proofErr w:type="spellStart"/>
      <w:r w:rsidRPr="00A26B4A">
        <w:rPr>
          <w:rStyle w:val="Emphasis"/>
          <w:sz w:val="20"/>
          <w:szCs w:val="20"/>
        </w:rPr>
        <w:t>MicrobiologyOpen</w:t>
      </w:r>
      <w:proofErr w:type="spellEnd"/>
      <w:r w:rsidRPr="00A26B4A">
        <w:rPr>
          <w:sz w:val="20"/>
          <w:szCs w:val="20"/>
        </w:rPr>
        <w:t>, 9(2), e946. </w:t>
      </w:r>
      <w:hyperlink r:id="rId17" w:tgtFrame="_blank" w:history="1">
        <w:r w:rsidRPr="00A26B4A">
          <w:rPr>
            <w:rStyle w:val="Hyperlink"/>
            <w:color w:val="auto"/>
            <w:sz w:val="20"/>
            <w:szCs w:val="20"/>
          </w:rPr>
          <w:t>https://doi.org/10.1002/mbo3.946</w:t>
        </w:r>
      </w:hyperlink>
    </w:p>
    <w:p w14:paraId="3BC50F42"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sz w:val="20"/>
          <w:szCs w:val="20"/>
        </w:rPr>
        <w:t>Clinical and Laboratory Standards Institute. (2022). </w:t>
      </w:r>
      <w:r w:rsidRPr="00A26B4A">
        <w:rPr>
          <w:rStyle w:val="Emphasis"/>
          <w:sz w:val="20"/>
          <w:szCs w:val="20"/>
        </w:rPr>
        <w:t>Performance Standards for Antimicrobial Susceptibility Testing</w:t>
      </w:r>
      <w:r w:rsidRPr="00A26B4A">
        <w:rPr>
          <w:sz w:val="20"/>
          <w:szCs w:val="20"/>
        </w:rPr>
        <w:t> (32nd ed.). CLSI Supplement M100.</w:t>
      </w:r>
    </w:p>
    <w:p w14:paraId="11E73E28" w14:textId="77777777" w:rsidR="005E4558" w:rsidRPr="00A26B4A" w:rsidRDefault="005E4558" w:rsidP="005E4558">
      <w:pPr>
        <w:pStyle w:val="ds-markdown-paragraph"/>
        <w:numPr>
          <w:ilvl w:val="0"/>
          <w:numId w:val="2"/>
        </w:numPr>
        <w:shd w:val="clear" w:color="auto" w:fill="FFFFFF"/>
        <w:spacing w:after="0" w:afterAutospacing="0"/>
        <w:jc w:val="both"/>
        <w:rPr>
          <w:rStyle w:val="Hyperlink"/>
          <w:color w:val="auto"/>
          <w:sz w:val="20"/>
          <w:szCs w:val="20"/>
        </w:rPr>
      </w:pPr>
      <w:proofErr w:type="spellStart"/>
      <w:r w:rsidRPr="00A26B4A">
        <w:rPr>
          <w:rStyle w:val="Strong"/>
          <w:b w:val="0"/>
          <w:sz w:val="20"/>
          <w:szCs w:val="20"/>
        </w:rPr>
        <w:t>Ebenyi</w:t>
      </w:r>
      <w:proofErr w:type="spellEnd"/>
      <w:r w:rsidRPr="00A26B4A">
        <w:rPr>
          <w:rStyle w:val="Strong"/>
          <w:b w:val="0"/>
          <w:sz w:val="20"/>
          <w:szCs w:val="20"/>
        </w:rPr>
        <w:t xml:space="preserve">, I. J., </w:t>
      </w:r>
      <w:proofErr w:type="spellStart"/>
      <w:r w:rsidRPr="00A26B4A">
        <w:rPr>
          <w:rStyle w:val="Strong"/>
          <w:b w:val="0"/>
          <w:sz w:val="20"/>
          <w:szCs w:val="20"/>
        </w:rPr>
        <w:t>Iroha</w:t>
      </w:r>
      <w:proofErr w:type="spellEnd"/>
      <w:r w:rsidRPr="00A26B4A">
        <w:rPr>
          <w:rStyle w:val="Strong"/>
          <w:b w:val="0"/>
          <w:sz w:val="20"/>
          <w:szCs w:val="20"/>
        </w:rPr>
        <w:t xml:space="preserve">, C. S., </w:t>
      </w:r>
      <w:proofErr w:type="spellStart"/>
      <w:r w:rsidRPr="00A26B4A">
        <w:rPr>
          <w:rStyle w:val="Strong"/>
          <w:b w:val="0"/>
          <w:sz w:val="20"/>
          <w:szCs w:val="20"/>
        </w:rPr>
        <w:t>Ebenyi</w:t>
      </w:r>
      <w:proofErr w:type="spellEnd"/>
      <w:r w:rsidRPr="00A26B4A">
        <w:rPr>
          <w:rStyle w:val="Strong"/>
          <w:b w:val="0"/>
          <w:sz w:val="20"/>
          <w:szCs w:val="20"/>
        </w:rPr>
        <w:t xml:space="preserve">, O. C., Peter, I. U. , </w:t>
      </w:r>
      <w:proofErr w:type="spellStart"/>
      <w:r w:rsidRPr="00A26B4A">
        <w:rPr>
          <w:rStyle w:val="Strong"/>
          <w:b w:val="0"/>
          <w:sz w:val="20"/>
          <w:szCs w:val="20"/>
        </w:rPr>
        <w:t>Edemekong</w:t>
      </w:r>
      <w:proofErr w:type="spellEnd"/>
      <w:r w:rsidRPr="00A26B4A">
        <w:rPr>
          <w:rStyle w:val="Strong"/>
          <w:b w:val="0"/>
          <w:sz w:val="20"/>
          <w:szCs w:val="20"/>
        </w:rPr>
        <w:t xml:space="preserve">, C. I., &amp; </w:t>
      </w:r>
      <w:proofErr w:type="spellStart"/>
      <w:r w:rsidRPr="00A26B4A">
        <w:rPr>
          <w:rStyle w:val="Strong"/>
          <w:b w:val="0"/>
          <w:sz w:val="20"/>
          <w:szCs w:val="20"/>
        </w:rPr>
        <w:t>Iroha</w:t>
      </w:r>
      <w:proofErr w:type="spellEnd"/>
      <w:r w:rsidRPr="00A26B4A">
        <w:rPr>
          <w:rStyle w:val="Strong"/>
          <w:b w:val="0"/>
          <w:sz w:val="20"/>
          <w:szCs w:val="20"/>
        </w:rPr>
        <w:t>, I. R. (2026a). First report of high-risk rare </w:t>
      </w:r>
      <w:proofErr w:type="spellStart"/>
      <w:r w:rsidRPr="00A26B4A">
        <w:rPr>
          <w:rStyle w:val="Emphasis"/>
          <w:sz w:val="20"/>
          <w:szCs w:val="20"/>
        </w:rPr>
        <w:t>bla</w:t>
      </w:r>
      <w:r w:rsidRPr="00A26B4A">
        <w:rPr>
          <w:rStyle w:val="Strong"/>
          <w:b w:val="0"/>
          <w:sz w:val="20"/>
          <w:szCs w:val="20"/>
        </w:rPr>
        <w:t>SIM</w:t>
      </w:r>
      <w:proofErr w:type="spellEnd"/>
      <w:r w:rsidRPr="00A26B4A">
        <w:rPr>
          <w:rStyle w:val="Strong"/>
          <w:b w:val="0"/>
          <w:sz w:val="20"/>
          <w:szCs w:val="20"/>
        </w:rPr>
        <w:t>, </w:t>
      </w:r>
      <w:proofErr w:type="spellStart"/>
      <w:r w:rsidRPr="00A26B4A">
        <w:rPr>
          <w:rStyle w:val="Emphasis"/>
          <w:sz w:val="20"/>
          <w:szCs w:val="20"/>
        </w:rPr>
        <w:t>bla</w:t>
      </w:r>
      <w:r w:rsidRPr="00A26B4A">
        <w:rPr>
          <w:rStyle w:val="Strong"/>
          <w:b w:val="0"/>
          <w:sz w:val="20"/>
          <w:szCs w:val="20"/>
        </w:rPr>
        <w:t>SPM</w:t>
      </w:r>
      <w:proofErr w:type="spellEnd"/>
      <w:r w:rsidRPr="00A26B4A">
        <w:rPr>
          <w:rStyle w:val="Strong"/>
          <w:b w:val="0"/>
          <w:sz w:val="20"/>
          <w:szCs w:val="20"/>
        </w:rPr>
        <w:t>, and </w:t>
      </w:r>
      <w:proofErr w:type="spellStart"/>
      <w:r w:rsidRPr="00A26B4A">
        <w:rPr>
          <w:rStyle w:val="Emphasis"/>
          <w:sz w:val="20"/>
          <w:szCs w:val="20"/>
        </w:rPr>
        <w:t>bla</w:t>
      </w:r>
      <w:r w:rsidRPr="00A26B4A">
        <w:rPr>
          <w:rStyle w:val="Strong"/>
          <w:b w:val="0"/>
          <w:sz w:val="20"/>
          <w:szCs w:val="20"/>
        </w:rPr>
        <w:t>GIM</w:t>
      </w:r>
      <w:proofErr w:type="spellEnd"/>
      <w:r w:rsidRPr="00A26B4A">
        <w:rPr>
          <w:rStyle w:val="Strong"/>
          <w:b w:val="0"/>
          <w:sz w:val="20"/>
          <w:szCs w:val="20"/>
        </w:rPr>
        <w:t xml:space="preserve"> </w:t>
      </w:r>
      <w:proofErr w:type="spellStart"/>
      <w:r w:rsidRPr="00A26B4A">
        <w:rPr>
          <w:rStyle w:val="Strong"/>
          <w:b w:val="0"/>
          <w:sz w:val="20"/>
          <w:szCs w:val="20"/>
        </w:rPr>
        <w:t>metallo</w:t>
      </w:r>
      <w:proofErr w:type="spellEnd"/>
      <w:r w:rsidRPr="00A26B4A">
        <w:rPr>
          <w:rStyle w:val="Strong"/>
          <w:b w:val="0"/>
          <w:sz w:val="20"/>
          <w:szCs w:val="20"/>
        </w:rPr>
        <w:t>-β-lactamase genes in clinical </w:t>
      </w:r>
      <w:r w:rsidRPr="00A26B4A">
        <w:rPr>
          <w:rStyle w:val="Emphasis"/>
          <w:sz w:val="20"/>
          <w:szCs w:val="20"/>
        </w:rPr>
        <w:t>Pseudomonas aeruginosa</w:t>
      </w:r>
      <w:r w:rsidRPr="00A26B4A">
        <w:rPr>
          <w:rStyle w:val="Strong"/>
          <w:b w:val="0"/>
          <w:sz w:val="20"/>
          <w:szCs w:val="20"/>
        </w:rPr>
        <w:t> isolates from Nigeria. </w:t>
      </w:r>
      <w:r w:rsidRPr="00A26B4A">
        <w:rPr>
          <w:rStyle w:val="Emphasis"/>
          <w:sz w:val="20"/>
          <w:szCs w:val="20"/>
        </w:rPr>
        <w:t>World Journal of Advanced Pharmaceutical and Medical Research</w:t>
      </w:r>
      <w:r w:rsidRPr="00A26B4A">
        <w:rPr>
          <w:rStyle w:val="Strong"/>
          <w:b w:val="0"/>
          <w:sz w:val="20"/>
          <w:szCs w:val="20"/>
        </w:rPr>
        <w:t>, 10(02), 11–24.</w:t>
      </w:r>
      <w:r w:rsidRPr="00A26B4A">
        <w:rPr>
          <w:sz w:val="20"/>
          <w:szCs w:val="20"/>
        </w:rPr>
        <w:t> </w:t>
      </w:r>
      <w:hyperlink r:id="rId18" w:tgtFrame="_blank" w:history="1">
        <w:r w:rsidRPr="00A26B4A">
          <w:rPr>
            <w:rStyle w:val="Hyperlink"/>
            <w:color w:val="auto"/>
            <w:sz w:val="20"/>
            <w:szCs w:val="20"/>
          </w:rPr>
          <w:t>https://doi.org/10.53346/wjapmr.2026.10.2.0013</w:t>
        </w:r>
      </w:hyperlink>
    </w:p>
    <w:p w14:paraId="6F483C93" w14:textId="1721357A" w:rsidR="005E4558" w:rsidRPr="00A26B4A" w:rsidRDefault="005E4558" w:rsidP="005E4558">
      <w:pPr>
        <w:pStyle w:val="ds-markdown-paragraph"/>
        <w:numPr>
          <w:ilvl w:val="0"/>
          <w:numId w:val="2"/>
        </w:numPr>
        <w:shd w:val="clear" w:color="auto" w:fill="FFFFFF"/>
        <w:spacing w:after="0" w:afterAutospacing="0"/>
        <w:jc w:val="both"/>
        <w:rPr>
          <w:rStyle w:val="Strong"/>
          <w:b w:val="0"/>
          <w:bCs w:val="0"/>
          <w:sz w:val="20"/>
          <w:szCs w:val="20"/>
        </w:rPr>
      </w:pPr>
      <w:proofErr w:type="spellStart"/>
      <w:r w:rsidRPr="00A26B4A">
        <w:rPr>
          <w:rStyle w:val="Strong"/>
          <w:b w:val="0"/>
          <w:sz w:val="20"/>
          <w:szCs w:val="20"/>
          <w:shd w:val="clear" w:color="auto" w:fill="FFFFFF"/>
        </w:rPr>
        <w:t>Ebenyi</w:t>
      </w:r>
      <w:proofErr w:type="spellEnd"/>
      <w:r w:rsidRPr="00A26B4A">
        <w:rPr>
          <w:rStyle w:val="Strong"/>
          <w:b w:val="0"/>
          <w:sz w:val="20"/>
          <w:szCs w:val="20"/>
          <w:shd w:val="clear" w:color="auto" w:fill="FFFFFF"/>
        </w:rPr>
        <w:t xml:space="preserve">, I. J., </w:t>
      </w:r>
      <w:proofErr w:type="spellStart"/>
      <w:r w:rsidRPr="00A26B4A">
        <w:rPr>
          <w:rStyle w:val="Strong"/>
          <w:b w:val="0"/>
          <w:sz w:val="20"/>
          <w:szCs w:val="20"/>
          <w:shd w:val="clear" w:color="auto" w:fill="FFFFFF"/>
        </w:rPr>
        <w:t>Iroha</w:t>
      </w:r>
      <w:proofErr w:type="spellEnd"/>
      <w:r w:rsidRPr="00A26B4A">
        <w:rPr>
          <w:rStyle w:val="Strong"/>
          <w:b w:val="0"/>
          <w:sz w:val="20"/>
          <w:szCs w:val="20"/>
          <w:shd w:val="clear" w:color="auto" w:fill="FFFFFF"/>
        </w:rPr>
        <w:t xml:space="preserve">, C. S., </w:t>
      </w:r>
      <w:proofErr w:type="spellStart"/>
      <w:r w:rsidRPr="00A26B4A">
        <w:rPr>
          <w:rStyle w:val="Strong"/>
          <w:b w:val="0"/>
          <w:sz w:val="20"/>
          <w:szCs w:val="20"/>
          <w:shd w:val="clear" w:color="auto" w:fill="FFFFFF"/>
        </w:rPr>
        <w:t>Ebenyi</w:t>
      </w:r>
      <w:proofErr w:type="spellEnd"/>
      <w:r w:rsidRPr="00A26B4A">
        <w:rPr>
          <w:rStyle w:val="Strong"/>
          <w:b w:val="0"/>
          <w:sz w:val="20"/>
          <w:szCs w:val="20"/>
          <w:shd w:val="clear" w:color="auto" w:fill="FFFFFF"/>
        </w:rPr>
        <w:t xml:space="preserve">, O. C., Peter, I. U., Nwankwo, F. M., Nnamdi, A. B., </w:t>
      </w:r>
      <w:proofErr w:type="spellStart"/>
      <w:r w:rsidRPr="00A26B4A">
        <w:rPr>
          <w:rStyle w:val="Strong"/>
          <w:b w:val="0"/>
          <w:sz w:val="20"/>
          <w:szCs w:val="20"/>
          <w:shd w:val="clear" w:color="auto" w:fill="FFFFFF"/>
        </w:rPr>
        <w:t>Okeh</w:t>
      </w:r>
      <w:proofErr w:type="spellEnd"/>
      <w:r w:rsidRPr="00A26B4A">
        <w:rPr>
          <w:rStyle w:val="Strong"/>
          <w:b w:val="0"/>
          <w:sz w:val="20"/>
          <w:szCs w:val="20"/>
          <w:shd w:val="clear" w:color="auto" w:fill="FFFFFF"/>
        </w:rPr>
        <w:t xml:space="preserve">, O., Osuji, B. O., &amp; </w:t>
      </w:r>
      <w:proofErr w:type="spellStart"/>
      <w:r w:rsidRPr="00A26B4A">
        <w:rPr>
          <w:rStyle w:val="Strong"/>
          <w:b w:val="0"/>
          <w:sz w:val="20"/>
          <w:szCs w:val="20"/>
          <w:shd w:val="clear" w:color="auto" w:fill="FFFFFF"/>
        </w:rPr>
        <w:t>Iroha</w:t>
      </w:r>
      <w:proofErr w:type="spellEnd"/>
      <w:r w:rsidRPr="00A26B4A">
        <w:rPr>
          <w:rStyle w:val="Strong"/>
          <w:b w:val="0"/>
          <w:sz w:val="20"/>
          <w:szCs w:val="20"/>
          <w:shd w:val="clear" w:color="auto" w:fill="FFFFFF"/>
        </w:rPr>
        <w:t>, I. R. (2026b). Risk Factors and Antibiotic Resistance Patterns of MBL-Producing </w:t>
      </w:r>
      <w:r w:rsidRPr="00A26B4A">
        <w:rPr>
          <w:rStyle w:val="Emphasis"/>
          <w:sz w:val="20"/>
          <w:szCs w:val="20"/>
          <w:shd w:val="clear" w:color="auto" w:fill="FFFFFF"/>
        </w:rPr>
        <w:t>Pseudomonas aeruginosa</w:t>
      </w:r>
      <w:r w:rsidRPr="00A26B4A">
        <w:rPr>
          <w:rStyle w:val="Strong"/>
          <w:b w:val="0"/>
          <w:sz w:val="20"/>
          <w:szCs w:val="20"/>
          <w:shd w:val="clear" w:color="auto" w:fill="FFFFFF"/>
        </w:rPr>
        <w:t> in Outpatients and Inpatients in Southeast Nigeria. </w:t>
      </w:r>
      <w:r w:rsidRPr="00A26B4A">
        <w:rPr>
          <w:rStyle w:val="Emphasis"/>
          <w:sz w:val="20"/>
          <w:szCs w:val="20"/>
          <w:shd w:val="clear" w:color="auto" w:fill="FFFFFF"/>
        </w:rPr>
        <w:t>Journal of Disease and Global Health</w:t>
      </w:r>
      <w:r w:rsidRPr="00A26B4A">
        <w:rPr>
          <w:rStyle w:val="Strong"/>
          <w:b w:val="0"/>
          <w:sz w:val="20"/>
          <w:szCs w:val="20"/>
          <w:shd w:val="clear" w:color="auto" w:fill="FFFFFF"/>
        </w:rPr>
        <w:t>, 19(1):260–269.</w:t>
      </w:r>
    </w:p>
    <w:p w14:paraId="4148CE83"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proofErr w:type="spellStart"/>
      <w:r w:rsidRPr="00A26B4A">
        <w:rPr>
          <w:sz w:val="20"/>
          <w:szCs w:val="20"/>
        </w:rPr>
        <w:t>Ezeh</w:t>
      </w:r>
      <w:proofErr w:type="spellEnd"/>
      <w:r w:rsidRPr="00A26B4A">
        <w:rPr>
          <w:sz w:val="20"/>
          <w:szCs w:val="20"/>
        </w:rPr>
        <w:t xml:space="preserve">, C. K., </w:t>
      </w:r>
      <w:proofErr w:type="spellStart"/>
      <w:r w:rsidRPr="00A26B4A">
        <w:rPr>
          <w:sz w:val="20"/>
          <w:szCs w:val="20"/>
        </w:rPr>
        <w:t>Eze</w:t>
      </w:r>
      <w:proofErr w:type="spellEnd"/>
      <w:r w:rsidRPr="00A26B4A">
        <w:rPr>
          <w:sz w:val="20"/>
          <w:szCs w:val="20"/>
        </w:rPr>
        <w:t xml:space="preserve">, C. N., </w:t>
      </w:r>
      <w:proofErr w:type="spellStart"/>
      <w:r w:rsidRPr="00A26B4A">
        <w:rPr>
          <w:sz w:val="20"/>
          <w:szCs w:val="20"/>
        </w:rPr>
        <w:t>Dibua</w:t>
      </w:r>
      <w:proofErr w:type="spellEnd"/>
      <w:r w:rsidRPr="00A26B4A">
        <w:rPr>
          <w:sz w:val="20"/>
          <w:szCs w:val="20"/>
        </w:rPr>
        <w:t xml:space="preserve">, M. E. U., &amp; </w:t>
      </w:r>
      <w:proofErr w:type="spellStart"/>
      <w:r w:rsidRPr="00A26B4A">
        <w:rPr>
          <w:sz w:val="20"/>
          <w:szCs w:val="20"/>
        </w:rPr>
        <w:t>Emencheta</w:t>
      </w:r>
      <w:proofErr w:type="spellEnd"/>
      <w:r w:rsidRPr="00A26B4A">
        <w:rPr>
          <w:sz w:val="20"/>
          <w:szCs w:val="20"/>
        </w:rPr>
        <w:t>, S. C. (2023). A meta-analysis on the prevalence of resistance of </w:t>
      </w:r>
      <w:r w:rsidRPr="00A26B4A">
        <w:rPr>
          <w:rStyle w:val="Emphasis"/>
          <w:sz w:val="20"/>
          <w:szCs w:val="20"/>
        </w:rPr>
        <w:t>Staphylococcus aureus</w:t>
      </w:r>
      <w:r w:rsidRPr="00A26B4A">
        <w:rPr>
          <w:sz w:val="20"/>
          <w:szCs w:val="20"/>
        </w:rPr>
        <w:t> to different antibiotics in Nigeria. </w:t>
      </w:r>
      <w:r w:rsidRPr="00A26B4A">
        <w:rPr>
          <w:rStyle w:val="Emphasis"/>
          <w:sz w:val="20"/>
          <w:szCs w:val="20"/>
        </w:rPr>
        <w:t>Antimicrobial Resistance and Infection Control</w:t>
      </w:r>
      <w:r w:rsidRPr="00A26B4A">
        <w:rPr>
          <w:sz w:val="20"/>
          <w:szCs w:val="20"/>
        </w:rPr>
        <w:t>, 12, 40. </w:t>
      </w:r>
      <w:hyperlink r:id="rId19" w:tgtFrame="_blank" w:history="1">
        <w:r w:rsidRPr="00A26B4A">
          <w:rPr>
            <w:rStyle w:val="Hyperlink"/>
            <w:color w:val="auto"/>
            <w:sz w:val="20"/>
            <w:szCs w:val="20"/>
          </w:rPr>
          <w:t>https://doi.org/10.1186/s13756-023-01245-9</w:t>
        </w:r>
      </w:hyperlink>
    </w:p>
    <w:p w14:paraId="21273BDA"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proofErr w:type="spellStart"/>
      <w:r w:rsidRPr="00A26B4A">
        <w:rPr>
          <w:sz w:val="20"/>
          <w:szCs w:val="20"/>
        </w:rPr>
        <w:t>França</w:t>
      </w:r>
      <w:proofErr w:type="spellEnd"/>
      <w:r w:rsidRPr="00A26B4A">
        <w:rPr>
          <w:sz w:val="20"/>
          <w:szCs w:val="20"/>
        </w:rPr>
        <w:t xml:space="preserve">, A., </w:t>
      </w:r>
      <w:proofErr w:type="spellStart"/>
      <w:r w:rsidRPr="00A26B4A">
        <w:rPr>
          <w:sz w:val="20"/>
          <w:szCs w:val="20"/>
        </w:rPr>
        <w:t>Gaio</w:t>
      </w:r>
      <w:proofErr w:type="spellEnd"/>
      <w:r w:rsidRPr="00A26B4A">
        <w:rPr>
          <w:sz w:val="20"/>
          <w:szCs w:val="20"/>
        </w:rPr>
        <w:t>, V., Lopes, N., &amp; Melo, L. D. R. (2021). Virulence factors in coagulase-negative staphylococci. </w:t>
      </w:r>
      <w:r w:rsidRPr="00A26B4A">
        <w:rPr>
          <w:rStyle w:val="Emphasis"/>
          <w:sz w:val="20"/>
          <w:szCs w:val="20"/>
        </w:rPr>
        <w:t>Pathogens</w:t>
      </w:r>
      <w:r w:rsidRPr="00A26B4A">
        <w:rPr>
          <w:sz w:val="20"/>
          <w:szCs w:val="20"/>
        </w:rPr>
        <w:t>, 10(2), 170. </w:t>
      </w:r>
      <w:hyperlink r:id="rId20" w:tgtFrame="_blank" w:history="1">
        <w:r w:rsidRPr="00A26B4A">
          <w:rPr>
            <w:rStyle w:val="Hyperlink"/>
            <w:color w:val="auto"/>
            <w:sz w:val="20"/>
            <w:szCs w:val="20"/>
          </w:rPr>
          <w:t>https://doi.org/10.3390/pathogens10020170</w:t>
        </w:r>
      </w:hyperlink>
    </w:p>
    <w:p w14:paraId="792FDFE0"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proofErr w:type="spellStart"/>
      <w:r w:rsidRPr="00A26B4A">
        <w:rPr>
          <w:sz w:val="20"/>
          <w:szCs w:val="20"/>
        </w:rPr>
        <w:t>Haaber</w:t>
      </w:r>
      <w:proofErr w:type="spellEnd"/>
      <w:r w:rsidRPr="00A26B4A">
        <w:rPr>
          <w:sz w:val="20"/>
          <w:szCs w:val="20"/>
        </w:rPr>
        <w:t xml:space="preserve">, J., </w:t>
      </w:r>
      <w:proofErr w:type="spellStart"/>
      <w:r w:rsidRPr="00A26B4A">
        <w:rPr>
          <w:sz w:val="20"/>
          <w:szCs w:val="20"/>
        </w:rPr>
        <w:t>Penadés</w:t>
      </w:r>
      <w:proofErr w:type="spellEnd"/>
      <w:r w:rsidRPr="00A26B4A">
        <w:rPr>
          <w:sz w:val="20"/>
          <w:szCs w:val="20"/>
        </w:rPr>
        <w:t xml:space="preserve">, J. R., &amp; </w:t>
      </w:r>
      <w:proofErr w:type="spellStart"/>
      <w:r w:rsidRPr="00A26B4A">
        <w:rPr>
          <w:sz w:val="20"/>
          <w:szCs w:val="20"/>
        </w:rPr>
        <w:t>Ingmer</w:t>
      </w:r>
      <w:proofErr w:type="spellEnd"/>
      <w:r w:rsidRPr="00A26B4A">
        <w:rPr>
          <w:sz w:val="20"/>
          <w:szCs w:val="20"/>
        </w:rPr>
        <w:t>, H. (2017). Transfer of antibiotic resistance in </w:t>
      </w:r>
      <w:r w:rsidRPr="00A26B4A">
        <w:rPr>
          <w:rStyle w:val="Emphasis"/>
          <w:sz w:val="20"/>
          <w:szCs w:val="20"/>
        </w:rPr>
        <w:t>Staphylococcus aureus</w:t>
      </w:r>
      <w:r w:rsidRPr="00A26B4A">
        <w:rPr>
          <w:sz w:val="20"/>
          <w:szCs w:val="20"/>
        </w:rPr>
        <w:t>. </w:t>
      </w:r>
      <w:r w:rsidRPr="00A26B4A">
        <w:rPr>
          <w:rStyle w:val="Emphasis"/>
          <w:sz w:val="20"/>
          <w:szCs w:val="20"/>
        </w:rPr>
        <w:t>Trends in Microbiology</w:t>
      </w:r>
      <w:r w:rsidRPr="00A26B4A">
        <w:rPr>
          <w:sz w:val="20"/>
          <w:szCs w:val="20"/>
        </w:rPr>
        <w:t>, 25(11), 893-905. </w:t>
      </w:r>
      <w:hyperlink r:id="rId21" w:tgtFrame="_blank" w:history="1">
        <w:r w:rsidRPr="00A26B4A">
          <w:rPr>
            <w:rStyle w:val="Hyperlink"/>
            <w:color w:val="auto"/>
            <w:sz w:val="20"/>
            <w:szCs w:val="20"/>
          </w:rPr>
          <w:t>https://doi.org/10.1016/j.tim.2017.05.011</w:t>
        </w:r>
      </w:hyperlink>
    </w:p>
    <w:p w14:paraId="3CAC91BB"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proofErr w:type="spellStart"/>
      <w:r w:rsidRPr="00A26B4A">
        <w:rPr>
          <w:sz w:val="20"/>
          <w:szCs w:val="20"/>
        </w:rPr>
        <w:t>Heilmann</w:t>
      </w:r>
      <w:proofErr w:type="spellEnd"/>
      <w:r w:rsidRPr="00A26B4A">
        <w:rPr>
          <w:sz w:val="20"/>
          <w:szCs w:val="20"/>
        </w:rPr>
        <w:t xml:space="preserve">, C., </w:t>
      </w:r>
      <w:proofErr w:type="spellStart"/>
      <w:r w:rsidRPr="00A26B4A">
        <w:rPr>
          <w:sz w:val="20"/>
          <w:szCs w:val="20"/>
        </w:rPr>
        <w:t>Ziebuhr</w:t>
      </w:r>
      <w:proofErr w:type="spellEnd"/>
      <w:r w:rsidRPr="00A26B4A">
        <w:rPr>
          <w:sz w:val="20"/>
          <w:szCs w:val="20"/>
        </w:rPr>
        <w:t>, W., &amp; Becker, K. (2019). Are coagulase-negative </w:t>
      </w:r>
      <w:r w:rsidRPr="00A26B4A">
        <w:rPr>
          <w:rStyle w:val="Emphasis"/>
          <w:sz w:val="20"/>
          <w:szCs w:val="20"/>
        </w:rPr>
        <w:t>staphylococci</w:t>
      </w:r>
      <w:r w:rsidRPr="00A26B4A">
        <w:rPr>
          <w:sz w:val="20"/>
          <w:szCs w:val="20"/>
        </w:rPr>
        <w:t> virulent? </w:t>
      </w:r>
      <w:r w:rsidRPr="00A26B4A">
        <w:rPr>
          <w:rStyle w:val="Emphasis"/>
          <w:sz w:val="20"/>
          <w:szCs w:val="20"/>
        </w:rPr>
        <w:t>Clinical Microbiology and Infection</w:t>
      </w:r>
      <w:r w:rsidRPr="00A26B4A">
        <w:rPr>
          <w:sz w:val="20"/>
          <w:szCs w:val="20"/>
        </w:rPr>
        <w:t>, 25(9), 1071-1080. </w:t>
      </w:r>
      <w:hyperlink r:id="rId22" w:tgtFrame="_blank" w:history="1">
        <w:r w:rsidRPr="00A26B4A">
          <w:rPr>
            <w:rStyle w:val="Hyperlink"/>
            <w:color w:val="auto"/>
            <w:sz w:val="20"/>
            <w:szCs w:val="20"/>
          </w:rPr>
          <w:t>https://doi.org/10.1016/j.cmi.2018.11.012</w:t>
        </w:r>
      </w:hyperlink>
    </w:p>
    <w:p w14:paraId="435F886D"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sz w:val="20"/>
          <w:szCs w:val="20"/>
        </w:rPr>
        <w:t xml:space="preserve">Hosseini, M., </w:t>
      </w:r>
      <w:proofErr w:type="spellStart"/>
      <w:r w:rsidRPr="00A26B4A">
        <w:rPr>
          <w:sz w:val="20"/>
          <w:szCs w:val="20"/>
        </w:rPr>
        <w:t>Shapouri</w:t>
      </w:r>
      <w:proofErr w:type="spellEnd"/>
      <w:r w:rsidRPr="00A26B4A">
        <w:rPr>
          <w:sz w:val="20"/>
          <w:szCs w:val="20"/>
        </w:rPr>
        <w:t xml:space="preserve"> Moghaddam, A., </w:t>
      </w:r>
      <w:proofErr w:type="spellStart"/>
      <w:r w:rsidRPr="00A26B4A">
        <w:rPr>
          <w:sz w:val="20"/>
          <w:szCs w:val="20"/>
        </w:rPr>
        <w:t>Derakhshan</w:t>
      </w:r>
      <w:proofErr w:type="spellEnd"/>
      <w:r w:rsidRPr="00A26B4A">
        <w:rPr>
          <w:sz w:val="20"/>
          <w:szCs w:val="20"/>
        </w:rPr>
        <w:t xml:space="preserve">, S., </w:t>
      </w:r>
      <w:proofErr w:type="spellStart"/>
      <w:r w:rsidRPr="00A26B4A">
        <w:rPr>
          <w:sz w:val="20"/>
          <w:szCs w:val="20"/>
        </w:rPr>
        <w:t>Hashemipour</w:t>
      </w:r>
      <w:proofErr w:type="spellEnd"/>
      <w:r w:rsidRPr="00A26B4A">
        <w:rPr>
          <w:sz w:val="20"/>
          <w:szCs w:val="20"/>
        </w:rPr>
        <w:t xml:space="preserve">, S. M. A., </w:t>
      </w:r>
      <w:proofErr w:type="spellStart"/>
      <w:r w:rsidRPr="00A26B4A">
        <w:rPr>
          <w:sz w:val="20"/>
          <w:szCs w:val="20"/>
        </w:rPr>
        <w:t>Hadadi-Fishani</w:t>
      </w:r>
      <w:proofErr w:type="spellEnd"/>
      <w:r w:rsidRPr="00A26B4A">
        <w:rPr>
          <w:sz w:val="20"/>
          <w:szCs w:val="20"/>
        </w:rPr>
        <w:t xml:space="preserve">, M., &amp; </w:t>
      </w:r>
      <w:proofErr w:type="spellStart"/>
      <w:r w:rsidRPr="00A26B4A">
        <w:rPr>
          <w:sz w:val="20"/>
          <w:szCs w:val="20"/>
        </w:rPr>
        <w:t>Pirouzi</w:t>
      </w:r>
      <w:proofErr w:type="spellEnd"/>
      <w:r w:rsidRPr="00A26B4A">
        <w:rPr>
          <w:sz w:val="20"/>
          <w:szCs w:val="20"/>
        </w:rPr>
        <w:t>, A. (2020). Correlation between biofilm formation and antibiotic resistance in MRSA and MSSA isolated from clinical samples in Iran: A systematic review and meta-analysis. </w:t>
      </w:r>
      <w:r w:rsidRPr="00A26B4A">
        <w:rPr>
          <w:rStyle w:val="Emphasis"/>
          <w:sz w:val="20"/>
          <w:szCs w:val="20"/>
        </w:rPr>
        <w:t>Microbial Drug Resistance</w:t>
      </w:r>
      <w:r w:rsidRPr="00A26B4A">
        <w:rPr>
          <w:sz w:val="20"/>
          <w:szCs w:val="20"/>
        </w:rPr>
        <w:t>, 26(9), 1071-1080. </w:t>
      </w:r>
      <w:hyperlink r:id="rId23" w:tgtFrame="_blank" w:history="1">
        <w:r w:rsidRPr="00A26B4A">
          <w:rPr>
            <w:rStyle w:val="Hyperlink"/>
            <w:color w:val="auto"/>
            <w:sz w:val="20"/>
            <w:szCs w:val="20"/>
          </w:rPr>
          <w:t>https://doi.org/10.1089/mdr.2020.0001</w:t>
        </w:r>
      </w:hyperlink>
    </w:p>
    <w:p w14:paraId="4301A11A" w14:textId="77777777" w:rsidR="005E4558" w:rsidRPr="00A26B4A" w:rsidRDefault="005E4558" w:rsidP="005E4558">
      <w:pPr>
        <w:pStyle w:val="ds-markdown-paragraph"/>
        <w:numPr>
          <w:ilvl w:val="0"/>
          <w:numId w:val="2"/>
        </w:numPr>
        <w:spacing w:before="0" w:beforeAutospacing="0" w:after="240" w:afterAutospacing="0"/>
        <w:jc w:val="both"/>
        <w:rPr>
          <w:rStyle w:val="Hyperlink"/>
          <w:color w:val="auto"/>
          <w:sz w:val="20"/>
          <w:szCs w:val="20"/>
        </w:rPr>
      </w:pPr>
      <w:proofErr w:type="spellStart"/>
      <w:r w:rsidRPr="00A26B4A">
        <w:rPr>
          <w:sz w:val="20"/>
          <w:szCs w:val="20"/>
        </w:rPr>
        <w:t>Igbinosa</w:t>
      </w:r>
      <w:proofErr w:type="spellEnd"/>
      <w:r w:rsidRPr="00A26B4A">
        <w:rPr>
          <w:sz w:val="20"/>
          <w:szCs w:val="20"/>
        </w:rPr>
        <w:t xml:space="preserve">, E. O., </w:t>
      </w:r>
      <w:proofErr w:type="spellStart"/>
      <w:r w:rsidRPr="00A26B4A">
        <w:rPr>
          <w:sz w:val="20"/>
          <w:szCs w:val="20"/>
        </w:rPr>
        <w:t>Beshiru</w:t>
      </w:r>
      <w:proofErr w:type="spellEnd"/>
      <w:r w:rsidRPr="00A26B4A">
        <w:rPr>
          <w:sz w:val="20"/>
          <w:szCs w:val="20"/>
        </w:rPr>
        <w:t xml:space="preserve">, A., </w:t>
      </w:r>
      <w:proofErr w:type="spellStart"/>
      <w:r w:rsidRPr="00A26B4A">
        <w:rPr>
          <w:sz w:val="20"/>
          <w:szCs w:val="20"/>
        </w:rPr>
        <w:t>Akporehe</w:t>
      </w:r>
      <w:proofErr w:type="spellEnd"/>
      <w:r w:rsidRPr="00A26B4A">
        <w:rPr>
          <w:sz w:val="20"/>
          <w:szCs w:val="20"/>
        </w:rPr>
        <w:t xml:space="preserve">, L. U., </w:t>
      </w:r>
      <w:proofErr w:type="spellStart"/>
      <w:r w:rsidRPr="00A26B4A">
        <w:rPr>
          <w:sz w:val="20"/>
          <w:szCs w:val="20"/>
        </w:rPr>
        <w:t>Oviasogie</w:t>
      </w:r>
      <w:proofErr w:type="spellEnd"/>
      <w:r w:rsidRPr="00A26B4A">
        <w:rPr>
          <w:sz w:val="20"/>
          <w:szCs w:val="20"/>
        </w:rPr>
        <w:t xml:space="preserve">, F. E., &amp; </w:t>
      </w:r>
      <w:proofErr w:type="spellStart"/>
      <w:r w:rsidRPr="00A26B4A">
        <w:rPr>
          <w:sz w:val="20"/>
          <w:szCs w:val="20"/>
        </w:rPr>
        <w:t>Igbinosa</w:t>
      </w:r>
      <w:proofErr w:type="spellEnd"/>
      <w:r w:rsidRPr="00A26B4A">
        <w:rPr>
          <w:sz w:val="20"/>
          <w:szCs w:val="20"/>
        </w:rPr>
        <w:t>, O. O. (2016). Prevalence of methicillin-resistant </w:t>
      </w:r>
      <w:r w:rsidRPr="00A26B4A">
        <w:rPr>
          <w:rStyle w:val="Emphasis"/>
          <w:sz w:val="20"/>
          <w:szCs w:val="20"/>
        </w:rPr>
        <w:t>Staphylococcus aureus</w:t>
      </w:r>
      <w:r w:rsidRPr="00A26B4A">
        <w:rPr>
          <w:sz w:val="20"/>
          <w:szCs w:val="20"/>
        </w:rPr>
        <w:t> and other </w:t>
      </w:r>
      <w:r w:rsidRPr="00A26B4A">
        <w:rPr>
          <w:rStyle w:val="Emphasis"/>
          <w:sz w:val="20"/>
          <w:szCs w:val="20"/>
        </w:rPr>
        <w:t>Staphylococcus</w:t>
      </w:r>
      <w:r w:rsidRPr="00A26B4A">
        <w:rPr>
          <w:sz w:val="20"/>
          <w:szCs w:val="20"/>
        </w:rPr>
        <w:t> species in raw meat samples intended for human consumption in Benin City, Nigeria: Implications for public health. </w:t>
      </w:r>
      <w:r w:rsidRPr="00A26B4A">
        <w:rPr>
          <w:rStyle w:val="Emphasis"/>
          <w:sz w:val="20"/>
          <w:szCs w:val="20"/>
        </w:rPr>
        <w:t>International Journal of Environmental Research and Public Health</w:t>
      </w:r>
      <w:r w:rsidRPr="00A26B4A">
        <w:rPr>
          <w:sz w:val="20"/>
          <w:szCs w:val="20"/>
        </w:rPr>
        <w:t>, 13(10), 949. </w:t>
      </w:r>
      <w:hyperlink r:id="rId24" w:tgtFrame="_blank" w:history="1">
        <w:r w:rsidRPr="00A26B4A">
          <w:rPr>
            <w:rStyle w:val="Hyperlink"/>
            <w:color w:val="auto"/>
            <w:sz w:val="20"/>
            <w:szCs w:val="20"/>
          </w:rPr>
          <w:t>https://doi.org/10.3390/ijerph13100949</w:t>
        </w:r>
      </w:hyperlink>
    </w:p>
    <w:p w14:paraId="308E44AD" w14:textId="065CDBD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rStyle w:val="Strong"/>
          <w:b w:val="0"/>
          <w:sz w:val="20"/>
          <w:szCs w:val="20"/>
          <w:shd w:val="clear" w:color="auto" w:fill="FFFFFF"/>
        </w:rPr>
        <w:t>Mama, O. M., Gómez, P., Ruiz-</w:t>
      </w:r>
      <w:proofErr w:type="spellStart"/>
      <w:r w:rsidRPr="00A26B4A">
        <w:rPr>
          <w:rStyle w:val="Strong"/>
          <w:b w:val="0"/>
          <w:sz w:val="20"/>
          <w:szCs w:val="20"/>
          <w:shd w:val="clear" w:color="auto" w:fill="FFFFFF"/>
        </w:rPr>
        <w:t>Ripa</w:t>
      </w:r>
      <w:proofErr w:type="spellEnd"/>
      <w:r w:rsidRPr="00A26B4A">
        <w:rPr>
          <w:rStyle w:val="Strong"/>
          <w:b w:val="0"/>
          <w:sz w:val="20"/>
          <w:szCs w:val="20"/>
          <w:shd w:val="clear" w:color="auto" w:fill="FFFFFF"/>
        </w:rPr>
        <w:t xml:space="preserve">, L., Gómez-Sanz, E., </w:t>
      </w:r>
      <w:proofErr w:type="spellStart"/>
      <w:r w:rsidRPr="00A26B4A">
        <w:rPr>
          <w:rStyle w:val="Strong"/>
          <w:b w:val="0"/>
          <w:sz w:val="20"/>
          <w:szCs w:val="20"/>
          <w:shd w:val="clear" w:color="auto" w:fill="FFFFFF"/>
        </w:rPr>
        <w:t>Zarazaga</w:t>
      </w:r>
      <w:proofErr w:type="spellEnd"/>
      <w:r w:rsidRPr="00A26B4A">
        <w:rPr>
          <w:rStyle w:val="Strong"/>
          <w:b w:val="0"/>
          <w:sz w:val="20"/>
          <w:szCs w:val="20"/>
          <w:shd w:val="clear" w:color="auto" w:fill="FFFFFF"/>
        </w:rPr>
        <w:t>, M., &amp; Torres, C.</w:t>
      </w:r>
      <w:r w:rsidRPr="00A26B4A">
        <w:rPr>
          <w:sz w:val="20"/>
          <w:szCs w:val="20"/>
          <w:shd w:val="clear" w:color="auto" w:fill="FFFFFF"/>
        </w:rPr>
        <w:t> (2019). Antimicrobial Resistance, Virulence, and Genetic Lineages of Staphylococci from Horses Destined for Human Consumption: High Detection of </w:t>
      </w:r>
      <w:r w:rsidRPr="00A26B4A">
        <w:rPr>
          <w:rStyle w:val="Emphasis"/>
          <w:sz w:val="20"/>
          <w:szCs w:val="20"/>
          <w:shd w:val="clear" w:color="auto" w:fill="FFFFFF"/>
        </w:rPr>
        <w:t>S. aureus</w:t>
      </w:r>
      <w:r w:rsidRPr="00A26B4A">
        <w:rPr>
          <w:sz w:val="20"/>
          <w:szCs w:val="20"/>
          <w:shd w:val="clear" w:color="auto" w:fill="FFFFFF"/>
        </w:rPr>
        <w:t> Isolates of Lineage ST1640 and Those Carrying the </w:t>
      </w:r>
      <w:proofErr w:type="spellStart"/>
      <w:r w:rsidRPr="00A26B4A">
        <w:rPr>
          <w:rStyle w:val="Emphasis"/>
          <w:sz w:val="20"/>
          <w:szCs w:val="20"/>
          <w:shd w:val="clear" w:color="auto" w:fill="FFFFFF"/>
        </w:rPr>
        <w:t>lukPQ</w:t>
      </w:r>
      <w:proofErr w:type="spellEnd"/>
      <w:r w:rsidRPr="00A26B4A">
        <w:rPr>
          <w:sz w:val="20"/>
          <w:szCs w:val="20"/>
          <w:shd w:val="clear" w:color="auto" w:fill="FFFFFF"/>
        </w:rPr>
        <w:t> Gene. </w:t>
      </w:r>
      <w:r w:rsidRPr="00A26B4A">
        <w:rPr>
          <w:rStyle w:val="Emphasis"/>
          <w:sz w:val="20"/>
          <w:szCs w:val="20"/>
          <w:shd w:val="clear" w:color="auto" w:fill="FFFFFF"/>
        </w:rPr>
        <w:t>Animals</w:t>
      </w:r>
      <w:r w:rsidRPr="00A26B4A">
        <w:rPr>
          <w:sz w:val="20"/>
          <w:szCs w:val="20"/>
          <w:shd w:val="clear" w:color="auto" w:fill="FFFFFF"/>
        </w:rPr>
        <w:t>, 9, 900. </w:t>
      </w:r>
      <w:hyperlink r:id="rId25" w:tgtFrame="_blank" w:history="1">
        <w:r w:rsidRPr="00A26B4A">
          <w:rPr>
            <w:rStyle w:val="Hyperlink"/>
            <w:color w:val="auto"/>
            <w:sz w:val="20"/>
            <w:szCs w:val="20"/>
            <w:shd w:val="clear" w:color="auto" w:fill="FFFFFF"/>
          </w:rPr>
          <w:t>https://doi.org/10.3390/ani9110900</w:t>
        </w:r>
      </w:hyperlink>
    </w:p>
    <w:p w14:paraId="5CED7FB5" w14:textId="783759ED" w:rsidR="005E4558" w:rsidRPr="00A26B4A" w:rsidRDefault="005E4558" w:rsidP="005E4558">
      <w:pPr>
        <w:pStyle w:val="ds-markdown-paragraph"/>
        <w:numPr>
          <w:ilvl w:val="0"/>
          <w:numId w:val="2"/>
        </w:numPr>
        <w:spacing w:before="0" w:beforeAutospacing="0" w:after="240" w:afterAutospacing="0"/>
        <w:jc w:val="both"/>
        <w:rPr>
          <w:sz w:val="20"/>
          <w:szCs w:val="20"/>
        </w:rPr>
      </w:pPr>
      <w:proofErr w:type="spellStart"/>
      <w:r w:rsidRPr="00A26B4A">
        <w:rPr>
          <w:rStyle w:val="Strong"/>
          <w:b w:val="0"/>
          <w:sz w:val="20"/>
          <w:szCs w:val="20"/>
          <w:shd w:val="clear" w:color="auto" w:fill="FFFFFF"/>
        </w:rPr>
        <w:t>Mechesso</w:t>
      </w:r>
      <w:proofErr w:type="spellEnd"/>
      <w:r w:rsidRPr="00A26B4A">
        <w:rPr>
          <w:rStyle w:val="Strong"/>
          <w:b w:val="0"/>
          <w:sz w:val="20"/>
          <w:szCs w:val="20"/>
          <w:shd w:val="clear" w:color="auto" w:fill="FFFFFF"/>
        </w:rPr>
        <w:t>, A. F., Kim, S.-J., Park, H.-S., Choi, J.-H., Song, H.-J., Kim, M. H., Lim, S.-k., Yoon, S.-S., &amp; Moon, D. C.</w:t>
      </w:r>
      <w:r w:rsidRPr="00A26B4A">
        <w:rPr>
          <w:sz w:val="20"/>
          <w:szCs w:val="20"/>
          <w:shd w:val="clear" w:color="auto" w:fill="FFFFFF"/>
        </w:rPr>
        <w:t xml:space="preserve"> (2021). Short communication: First detection of Panton-Valentine </w:t>
      </w:r>
      <w:proofErr w:type="spellStart"/>
      <w:r w:rsidRPr="00A26B4A">
        <w:rPr>
          <w:sz w:val="20"/>
          <w:szCs w:val="20"/>
          <w:shd w:val="clear" w:color="auto" w:fill="FFFFFF"/>
        </w:rPr>
        <w:t>leukocidin</w:t>
      </w:r>
      <w:proofErr w:type="spellEnd"/>
      <w:r w:rsidRPr="00A26B4A">
        <w:rPr>
          <w:sz w:val="20"/>
          <w:szCs w:val="20"/>
          <w:shd w:val="clear" w:color="auto" w:fill="FFFFFF"/>
        </w:rPr>
        <w:t>–positive methicillin-resistant </w:t>
      </w:r>
      <w:r w:rsidRPr="00A26B4A">
        <w:rPr>
          <w:rStyle w:val="Emphasis"/>
          <w:sz w:val="20"/>
          <w:szCs w:val="20"/>
          <w:shd w:val="clear" w:color="auto" w:fill="FFFFFF"/>
        </w:rPr>
        <w:t>Staphylococcus aureus</w:t>
      </w:r>
      <w:r w:rsidRPr="00A26B4A">
        <w:rPr>
          <w:sz w:val="20"/>
          <w:szCs w:val="20"/>
          <w:shd w:val="clear" w:color="auto" w:fill="FFFFFF"/>
        </w:rPr>
        <w:t> ST30 in raw milk taken from dairy cows with mastitis in South Korea. </w:t>
      </w:r>
      <w:r w:rsidRPr="00A26B4A">
        <w:rPr>
          <w:rStyle w:val="Emphasis"/>
          <w:sz w:val="20"/>
          <w:szCs w:val="20"/>
          <w:shd w:val="clear" w:color="auto" w:fill="FFFFFF"/>
        </w:rPr>
        <w:t>Journal of Dairy Science</w:t>
      </w:r>
      <w:r w:rsidRPr="00A26B4A">
        <w:rPr>
          <w:sz w:val="20"/>
          <w:szCs w:val="20"/>
          <w:shd w:val="clear" w:color="auto" w:fill="FFFFFF"/>
        </w:rPr>
        <w:t>, 104(1), 969–976. </w:t>
      </w:r>
      <w:hyperlink r:id="rId26" w:tgtFrame="_blank" w:history="1">
        <w:r w:rsidRPr="00A26B4A">
          <w:rPr>
            <w:rStyle w:val="Hyperlink"/>
            <w:color w:val="auto"/>
            <w:sz w:val="20"/>
            <w:szCs w:val="20"/>
            <w:shd w:val="clear" w:color="auto" w:fill="FFFFFF"/>
          </w:rPr>
          <w:t>https://doi.org/10.3168/jds.2020-18935</w:t>
        </w:r>
      </w:hyperlink>
    </w:p>
    <w:p w14:paraId="1E491AF2"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proofErr w:type="spellStart"/>
      <w:r w:rsidRPr="00A26B4A">
        <w:rPr>
          <w:sz w:val="20"/>
          <w:szCs w:val="20"/>
        </w:rPr>
        <w:lastRenderedPageBreak/>
        <w:t>Méric</w:t>
      </w:r>
      <w:proofErr w:type="spellEnd"/>
      <w:r w:rsidRPr="00A26B4A">
        <w:rPr>
          <w:sz w:val="20"/>
          <w:szCs w:val="20"/>
        </w:rPr>
        <w:t xml:space="preserve">, G., </w:t>
      </w:r>
      <w:proofErr w:type="spellStart"/>
      <w:r w:rsidRPr="00A26B4A">
        <w:rPr>
          <w:sz w:val="20"/>
          <w:szCs w:val="20"/>
        </w:rPr>
        <w:t>Miragaia</w:t>
      </w:r>
      <w:proofErr w:type="spellEnd"/>
      <w:r w:rsidRPr="00A26B4A">
        <w:rPr>
          <w:sz w:val="20"/>
          <w:szCs w:val="20"/>
        </w:rPr>
        <w:t xml:space="preserve">, M., de Been, M., </w:t>
      </w:r>
      <w:proofErr w:type="spellStart"/>
      <w:r w:rsidRPr="00A26B4A">
        <w:rPr>
          <w:sz w:val="20"/>
          <w:szCs w:val="20"/>
        </w:rPr>
        <w:t>Yahara</w:t>
      </w:r>
      <w:proofErr w:type="spellEnd"/>
      <w:r w:rsidRPr="00A26B4A">
        <w:rPr>
          <w:sz w:val="20"/>
          <w:szCs w:val="20"/>
        </w:rPr>
        <w:t xml:space="preserve">, K., Pascoe, B., </w:t>
      </w:r>
      <w:proofErr w:type="spellStart"/>
      <w:r w:rsidRPr="00A26B4A">
        <w:rPr>
          <w:sz w:val="20"/>
          <w:szCs w:val="20"/>
        </w:rPr>
        <w:t>Mageiros</w:t>
      </w:r>
      <w:proofErr w:type="spellEnd"/>
      <w:r w:rsidRPr="00A26B4A">
        <w:rPr>
          <w:sz w:val="20"/>
          <w:szCs w:val="20"/>
        </w:rPr>
        <w:t xml:space="preserve">, L., Mikhail, J., Harris, L. G., Wilkinson, T. S., </w:t>
      </w:r>
      <w:proofErr w:type="spellStart"/>
      <w:r w:rsidRPr="00A26B4A">
        <w:rPr>
          <w:sz w:val="20"/>
          <w:szCs w:val="20"/>
        </w:rPr>
        <w:t>Rolo</w:t>
      </w:r>
      <w:proofErr w:type="spellEnd"/>
      <w:r w:rsidRPr="00A26B4A">
        <w:rPr>
          <w:sz w:val="20"/>
          <w:szCs w:val="20"/>
        </w:rPr>
        <w:t xml:space="preserve">, J., Lamble, S., Bray, J. E., Jolley, K. A., </w:t>
      </w:r>
      <w:proofErr w:type="spellStart"/>
      <w:r w:rsidRPr="00A26B4A">
        <w:rPr>
          <w:sz w:val="20"/>
          <w:szCs w:val="20"/>
        </w:rPr>
        <w:t>Hanage</w:t>
      </w:r>
      <w:proofErr w:type="spellEnd"/>
      <w:r w:rsidRPr="00A26B4A">
        <w:rPr>
          <w:sz w:val="20"/>
          <w:szCs w:val="20"/>
        </w:rPr>
        <w:t xml:space="preserve">, W. P., Bowden, R., Maiden, M. C. J., Mack, D., de </w:t>
      </w:r>
      <w:proofErr w:type="spellStart"/>
      <w:r w:rsidRPr="00A26B4A">
        <w:rPr>
          <w:sz w:val="20"/>
          <w:szCs w:val="20"/>
        </w:rPr>
        <w:t>Lencastre</w:t>
      </w:r>
      <w:proofErr w:type="spellEnd"/>
      <w:r w:rsidRPr="00A26B4A">
        <w:rPr>
          <w:sz w:val="20"/>
          <w:szCs w:val="20"/>
        </w:rPr>
        <w:t xml:space="preserve">, H., Feil, E. J., </w:t>
      </w:r>
      <w:proofErr w:type="spellStart"/>
      <w:r w:rsidRPr="00A26B4A">
        <w:rPr>
          <w:sz w:val="20"/>
          <w:szCs w:val="20"/>
        </w:rPr>
        <w:t>Corander</w:t>
      </w:r>
      <w:proofErr w:type="spellEnd"/>
      <w:r w:rsidRPr="00A26B4A">
        <w:rPr>
          <w:sz w:val="20"/>
          <w:szCs w:val="20"/>
        </w:rPr>
        <w:t>, J., &amp; Sheppard, S. K. (2015). Ecological overlap and horizontal gene transfer in </w:t>
      </w:r>
      <w:r w:rsidRPr="00A26B4A">
        <w:rPr>
          <w:rStyle w:val="Emphasis"/>
          <w:sz w:val="20"/>
          <w:szCs w:val="20"/>
        </w:rPr>
        <w:t>Staphylococcus aureus</w:t>
      </w:r>
      <w:r w:rsidRPr="00A26B4A">
        <w:rPr>
          <w:sz w:val="20"/>
          <w:szCs w:val="20"/>
        </w:rPr>
        <w:t> and </w:t>
      </w:r>
      <w:r w:rsidRPr="00A26B4A">
        <w:rPr>
          <w:rStyle w:val="Emphasis"/>
          <w:sz w:val="20"/>
          <w:szCs w:val="20"/>
        </w:rPr>
        <w:t>Staphylococcus epidermidis</w:t>
      </w:r>
      <w:r w:rsidRPr="00A26B4A">
        <w:rPr>
          <w:sz w:val="20"/>
          <w:szCs w:val="20"/>
        </w:rPr>
        <w:t>. </w:t>
      </w:r>
      <w:r w:rsidRPr="00A26B4A">
        <w:rPr>
          <w:rStyle w:val="Emphasis"/>
          <w:sz w:val="20"/>
          <w:szCs w:val="20"/>
        </w:rPr>
        <w:t>Genome Biology and Evolution</w:t>
      </w:r>
      <w:r w:rsidRPr="00A26B4A">
        <w:rPr>
          <w:sz w:val="20"/>
          <w:szCs w:val="20"/>
        </w:rPr>
        <w:t>, 7(5), 1313-1328. </w:t>
      </w:r>
      <w:hyperlink r:id="rId27" w:tgtFrame="_blank" w:history="1">
        <w:r w:rsidRPr="00A26B4A">
          <w:rPr>
            <w:rStyle w:val="Hyperlink"/>
            <w:color w:val="auto"/>
            <w:sz w:val="20"/>
            <w:szCs w:val="20"/>
          </w:rPr>
          <w:t>https://doi.org/10.1093/gbe/evv066</w:t>
        </w:r>
      </w:hyperlink>
    </w:p>
    <w:p w14:paraId="759B87BC"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proofErr w:type="spellStart"/>
      <w:r w:rsidRPr="00A26B4A">
        <w:rPr>
          <w:sz w:val="20"/>
          <w:szCs w:val="20"/>
        </w:rPr>
        <w:t>Michalik</w:t>
      </w:r>
      <w:proofErr w:type="spellEnd"/>
      <w:r w:rsidRPr="00A26B4A">
        <w:rPr>
          <w:sz w:val="20"/>
          <w:szCs w:val="20"/>
        </w:rPr>
        <w:t xml:space="preserve">, M., </w:t>
      </w:r>
      <w:proofErr w:type="spellStart"/>
      <w:r w:rsidRPr="00A26B4A">
        <w:rPr>
          <w:sz w:val="20"/>
          <w:szCs w:val="20"/>
        </w:rPr>
        <w:t>Samet</w:t>
      </w:r>
      <w:proofErr w:type="spellEnd"/>
      <w:r w:rsidRPr="00A26B4A">
        <w:rPr>
          <w:sz w:val="20"/>
          <w:szCs w:val="20"/>
        </w:rPr>
        <w:t xml:space="preserve">, A., </w:t>
      </w:r>
      <w:proofErr w:type="spellStart"/>
      <w:r w:rsidRPr="00A26B4A">
        <w:rPr>
          <w:sz w:val="20"/>
          <w:szCs w:val="20"/>
        </w:rPr>
        <w:t>Podbielska-Kubera</w:t>
      </w:r>
      <w:proofErr w:type="spellEnd"/>
      <w:r w:rsidRPr="00A26B4A">
        <w:rPr>
          <w:sz w:val="20"/>
          <w:szCs w:val="20"/>
        </w:rPr>
        <w:t xml:space="preserve">, A., </w:t>
      </w:r>
      <w:proofErr w:type="spellStart"/>
      <w:r w:rsidRPr="00A26B4A">
        <w:rPr>
          <w:sz w:val="20"/>
          <w:szCs w:val="20"/>
        </w:rPr>
        <w:t>Savini</w:t>
      </w:r>
      <w:proofErr w:type="spellEnd"/>
      <w:r w:rsidRPr="00A26B4A">
        <w:rPr>
          <w:sz w:val="20"/>
          <w:szCs w:val="20"/>
        </w:rPr>
        <w:t xml:space="preserve">, V., </w:t>
      </w:r>
      <w:proofErr w:type="spellStart"/>
      <w:r w:rsidRPr="00A26B4A">
        <w:rPr>
          <w:sz w:val="20"/>
          <w:szCs w:val="20"/>
        </w:rPr>
        <w:t>Międzobrodzki</w:t>
      </w:r>
      <w:proofErr w:type="spellEnd"/>
      <w:r w:rsidRPr="00A26B4A">
        <w:rPr>
          <w:sz w:val="20"/>
          <w:szCs w:val="20"/>
        </w:rPr>
        <w:t xml:space="preserve">, J., &amp; </w:t>
      </w:r>
      <w:proofErr w:type="spellStart"/>
      <w:r w:rsidRPr="00A26B4A">
        <w:rPr>
          <w:sz w:val="20"/>
          <w:szCs w:val="20"/>
        </w:rPr>
        <w:t>Kosecka-Strojek</w:t>
      </w:r>
      <w:proofErr w:type="spellEnd"/>
      <w:r w:rsidRPr="00A26B4A">
        <w:rPr>
          <w:sz w:val="20"/>
          <w:szCs w:val="20"/>
        </w:rPr>
        <w:t>, M. (2020). Coagulase-negative staphylococci (</w:t>
      </w:r>
      <w:proofErr w:type="spellStart"/>
      <w:r w:rsidRPr="00A26B4A">
        <w:rPr>
          <w:sz w:val="20"/>
          <w:szCs w:val="20"/>
        </w:rPr>
        <w:t>CoNS</w:t>
      </w:r>
      <w:proofErr w:type="spellEnd"/>
      <w:r w:rsidRPr="00A26B4A">
        <w:rPr>
          <w:sz w:val="20"/>
          <w:szCs w:val="20"/>
        </w:rPr>
        <w:t>) as a significant etiological factor of laryngological infections: A review. </w:t>
      </w:r>
      <w:r w:rsidRPr="00A26B4A">
        <w:rPr>
          <w:rStyle w:val="Emphasis"/>
          <w:sz w:val="20"/>
          <w:szCs w:val="20"/>
        </w:rPr>
        <w:t>Annals of Clinical Microbiology and Antimicrobials</w:t>
      </w:r>
      <w:r w:rsidRPr="00A26B4A">
        <w:rPr>
          <w:sz w:val="20"/>
          <w:szCs w:val="20"/>
        </w:rPr>
        <w:t>, 19, 26. </w:t>
      </w:r>
      <w:hyperlink r:id="rId28" w:tgtFrame="_blank" w:history="1">
        <w:r w:rsidRPr="00A26B4A">
          <w:rPr>
            <w:rStyle w:val="Hyperlink"/>
            <w:color w:val="auto"/>
            <w:sz w:val="20"/>
            <w:szCs w:val="20"/>
          </w:rPr>
          <w:t>https://doi.org/10.1186/s12941-020-00367-x</w:t>
        </w:r>
      </w:hyperlink>
    </w:p>
    <w:p w14:paraId="6AB31E9F"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proofErr w:type="spellStart"/>
      <w:r w:rsidRPr="00A26B4A">
        <w:rPr>
          <w:sz w:val="20"/>
          <w:szCs w:val="20"/>
        </w:rPr>
        <w:t>Międzobrodzki</w:t>
      </w:r>
      <w:proofErr w:type="spellEnd"/>
      <w:r w:rsidRPr="00A26B4A">
        <w:rPr>
          <w:sz w:val="20"/>
          <w:szCs w:val="20"/>
        </w:rPr>
        <w:t xml:space="preserve">, J., &amp; </w:t>
      </w:r>
      <w:proofErr w:type="spellStart"/>
      <w:r w:rsidRPr="00A26B4A">
        <w:rPr>
          <w:sz w:val="20"/>
          <w:szCs w:val="20"/>
        </w:rPr>
        <w:t>Tadeusiewicz</w:t>
      </w:r>
      <w:proofErr w:type="spellEnd"/>
      <w:r w:rsidRPr="00A26B4A">
        <w:rPr>
          <w:sz w:val="20"/>
          <w:szCs w:val="20"/>
        </w:rPr>
        <w:t>, R. (1987). Staphylococcal dermonecrotic reactions in guinea pigs. </w:t>
      </w:r>
      <w:r w:rsidRPr="00A26B4A">
        <w:rPr>
          <w:rStyle w:val="Emphasis"/>
          <w:sz w:val="20"/>
          <w:szCs w:val="20"/>
        </w:rPr>
        <w:t>International Journal of Bio-Medical Computing</w:t>
      </w:r>
      <w:r w:rsidRPr="00A26B4A">
        <w:rPr>
          <w:sz w:val="20"/>
          <w:szCs w:val="20"/>
        </w:rPr>
        <w:t>, 21(1), 67-74. </w:t>
      </w:r>
      <w:hyperlink r:id="rId29" w:tgtFrame="_blank" w:history="1">
        <w:r w:rsidRPr="00A26B4A">
          <w:rPr>
            <w:rStyle w:val="Hyperlink"/>
            <w:color w:val="auto"/>
            <w:sz w:val="20"/>
            <w:szCs w:val="20"/>
          </w:rPr>
          <w:t>https://doi.org/10.1016/0020-7101(87)90054-7</w:t>
        </w:r>
      </w:hyperlink>
    </w:p>
    <w:p w14:paraId="74AAA62E" w14:textId="77777777" w:rsidR="005E4558" w:rsidRPr="00A26B4A" w:rsidRDefault="005E4558" w:rsidP="005E4558">
      <w:pPr>
        <w:pStyle w:val="ds-markdown-paragraph"/>
        <w:numPr>
          <w:ilvl w:val="0"/>
          <w:numId w:val="2"/>
        </w:numPr>
        <w:shd w:val="clear" w:color="auto" w:fill="FFFFFF"/>
        <w:spacing w:after="0" w:afterAutospacing="0"/>
        <w:jc w:val="both"/>
        <w:rPr>
          <w:rStyle w:val="Strong"/>
          <w:b w:val="0"/>
          <w:bCs w:val="0"/>
          <w:sz w:val="20"/>
          <w:szCs w:val="20"/>
        </w:rPr>
      </w:pPr>
      <w:proofErr w:type="spellStart"/>
      <w:r w:rsidRPr="00A26B4A">
        <w:rPr>
          <w:rStyle w:val="Strong"/>
          <w:b w:val="0"/>
          <w:sz w:val="20"/>
          <w:szCs w:val="20"/>
        </w:rPr>
        <w:t>Nomeh</w:t>
      </w:r>
      <w:proofErr w:type="spellEnd"/>
      <w:r w:rsidRPr="00A26B4A">
        <w:rPr>
          <w:rStyle w:val="Strong"/>
          <w:b w:val="0"/>
          <w:sz w:val="20"/>
          <w:szCs w:val="20"/>
        </w:rPr>
        <w:t xml:space="preserve">, O. L., </w:t>
      </w:r>
      <w:proofErr w:type="spellStart"/>
      <w:r w:rsidRPr="00A26B4A">
        <w:rPr>
          <w:rStyle w:val="Strong"/>
          <w:b w:val="0"/>
          <w:sz w:val="20"/>
          <w:szCs w:val="20"/>
        </w:rPr>
        <w:t>Edemekong</w:t>
      </w:r>
      <w:proofErr w:type="spellEnd"/>
      <w:r w:rsidRPr="00A26B4A">
        <w:rPr>
          <w:rStyle w:val="Strong"/>
          <w:b w:val="0"/>
          <w:sz w:val="20"/>
          <w:szCs w:val="20"/>
        </w:rPr>
        <w:t>, C. I., Ogba, R. C., Kelechi-Mathew, O. O., &amp; Peter, I. U. (2025). Prevalence and Antibiotic Resistance Profiles of </w:t>
      </w:r>
      <w:r w:rsidRPr="00A26B4A">
        <w:rPr>
          <w:rStyle w:val="Emphasis"/>
          <w:sz w:val="20"/>
          <w:szCs w:val="20"/>
        </w:rPr>
        <w:t>Escherichia coli</w:t>
      </w:r>
      <w:r w:rsidRPr="00A26B4A">
        <w:rPr>
          <w:rStyle w:val="Strong"/>
          <w:b w:val="0"/>
          <w:sz w:val="20"/>
          <w:szCs w:val="20"/>
        </w:rPr>
        <w:t> and </w:t>
      </w:r>
      <w:r w:rsidRPr="00A26B4A">
        <w:rPr>
          <w:rStyle w:val="Emphasis"/>
          <w:sz w:val="20"/>
          <w:szCs w:val="20"/>
        </w:rPr>
        <w:t>Staphylococcus aureus</w:t>
      </w:r>
      <w:r w:rsidRPr="00A26B4A">
        <w:rPr>
          <w:rStyle w:val="Strong"/>
          <w:b w:val="0"/>
          <w:sz w:val="20"/>
          <w:szCs w:val="20"/>
        </w:rPr>
        <w:t xml:space="preserve"> in Leafy Vegetables from Open Markets in </w:t>
      </w:r>
      <w:proofErr w:type="spellStart"/>
      <w:r w:rsidRPr="00A26B4A">
        <w:rPr>
          <w:rStyle w:val="Strong"/>
          <w:b w:val="0"/>
          <w:sz w:val="20"/>
          <w:szCs w:val="20"/>
        </w:rPr>
        <w:t>Abakaliki</w:t>
      </w:r>
      <w:proofErr w:type="spellEnd"/>
      <w:r w:rsidRPr="00A26B4A">
        <w:rPr>
          <w:rStyle w:val="Strong"/>
          <w:b w:val="0"/>
          <w:sz w:val="20"/>
          <w:szCs w:val="20"/>
        </w:rPr>
        <w:t>, Nigeria: Implications for Food Safety and Public Health. </w:t>
      </w:r>
      <w:r w:rsidRPr="00A26B4A">
        <w:rPr>
          <w:rStyle w:val="Emphasis"/>
          <w:sz w:val="20"/>
          <w:szCs w:val="20"/>
        </w:rPr>
        <w:t>Journal of Science, Technology and Innovation Research</w:t>
      </w:r>
      <w:r w:rsidRPr="00A26B4A">
        <w:rPr>
          <w:rStyle w:val="Strong"/>
          <w:b w:val="0"/>
          <w:sz w:val="20"/>
          <w:szCs w:val="20"/>
        </w:rPr>
        <w:t>, 13(1):14–24.</w:t>
      </w:r>
      <w:r w:rsidRPr="00A26B4A">
        <w:rPr>
          <w:sz w:val="20"/>
          <w:szCs w:val="20"/>
        </w:rPr>
        <w:t> </w:t>
      </w:r>
      <w:hyperlink r:id="rId30" w:tgtFrame="_blank" w:history="1">
        <w:r w:rsidRPr="00A26B4A">
          <w:rPr>
            <w:rStyle w:val="Hyperlink"/>
            <w:color w:val="auto"/>
            <w:sz w:val="20"/>
            <w:szCs w:val="20"/>
          </w:rPr>
          <w:t>https://doi.org/10.51459/jostir.2025.1.Special-Issue.071</w:t>
        </w:r>
      </w:hyperlink>
    </w:p>
    <w:p w14:paraId="51B62C8B" w14:textId="77777777" w:rsidR="005E4558" w:rsidRPr="00A26B4A" w:rsidRDefault="005E4558" w:rsidP="005E4558">
      <w:pPr>
        <w:pStyle w:val="ds-markdown-paragraph"/>
        <w:numPr>
          <w:ilvl w:val="0"/>
          <w:numId w:val="2"/>
        </w:numPr>
        <w:shd w:val="clear" w:color="auto" w:fill="FFFFFF"/>
        <w:spacing w:after="0" w:afterAutospacing="0"/>
        <w:jc w:val="both"/>
        <w:rPr>
          <w:sz w:val="20"/>
          <w:szCs w:val="20"/>
        </w:rPr>
      </w:pPr>
      <w:proofErr w:type="spellStart"/>
      <w:r w:rsidRPr="00A26B4A">
        <w:rPr>
          <w:rStyle w:val="Strong"/>
          <w:b w:val="0"/>
          <w:sz w:val="20"/>
          <w:szCs w:val="20"/>
          <w:shd w:val="clear" w:color="auto" w:fill="FFFFFF"/>
        </w:rPr>
        <w:t>Nwode</w:t>
      </w:r>
      <w:proofErr w:type="spellEnd"/>
      <w:r w:rsidRPr="00A26B4A">
        <w:rPr>
          <w:rStyle w:val="Strong"/>
          <w:b w:val="0"/>
          <w:sz w:val="20"/>
          <w:szCs w:val="20"/>
          <w:shd w:val="clear" w:color="auto" w:fill="FFFFFF"/>
        </w:rPr>
        <w:t xml:space="preserve">, V. F., </w:t>
      </w:r>
      <w:proofErr w:type="spellStart"/>
      <w:r w:rsidRPr="00A26B4A">
        <w:rPr>
          <w:rStyle w:val="Strong"/>
          <w:b w:val="0"/>
          <w:sz w:val="20"/>
          <w:szCs w:val="20"/>
          <w:shd w:val="clear" w:color="auto" w:fill="FFFFFF"/>
        </w:rPr>
        <w:t>Iroha</w:t>
      </w:r>
      <w:proofErr w:type="spellEnd"/>
      <w:r w:rsidRPr="00A26B4A">
        <w:rPr>
          <w:rStyle w:val="Strong"/>
          <w:b w:val="0"/>
          <w:sz w:val="20"/>
          <w:szCs w:val="20"/>
          <w:shd w:val="clear" w:color="auto" w:fill="FFFFFF"/>
        </w:rPr>
        <w:t xml:space="preserve">, C. S., </w:t>
      </w:r>
      <w:proofErr w:type="spellStart"/>
      <w:r w:rsidRPr="00A26B4A">
        <w:rPr>
          <w:rStyle w:val="Strong"/>
          <w:b w:val="0"/>
          <w:sz w:val="20"/>
          <w:szCs w:val="20"/>
          <w:shd w:val="clear" w:color="auto" w:fill="FFFFFF"/>
        </w:rPr>
        <w:t>Edemekong</w:t>
      </w:r>
      <w:proofErr w:type="spellEnd"/>
      <w:r w:rsidRPr="00A26B4A">
        <w:rPr>
          <w:rStyle w:val="Strong"/>
          <w:b w:val="0"/>
          <w:sz w:val="20"/>
          <w:szCs w:val="20"/>
          <w:shd w:val="clear" w:color="auto" w:fill="FFFFFF"/>
        </w:rPr>
        <w:t xml:space="preserve">, C. I., Peter, I. U. , &amp; </w:t>
      </w:r>
      <w:proofErr w:type="spellStart"/>
      <w:r w:rsidRPr="00A26B4A">
        <w:rPr>
          <w:rStyle w:val="Strong"/>
          <w:b w:val="0"/>
          <w:sz w:val="20"/>
          <w:szCs w:val="20"/>
          <w:shd w:val="clear" w:color="auto" w:fill="FFFFFF"/>
        </w:rPr>
        <w:t>Iroha</w:t>
      </w:r>
      <w:proofErr w:type="spellEnd"/>
      <w:r w:rsidRPr="00A26B4A">
        <w:rPr>
          <w:rStyle w:val="Strong"/>
          <w:b w:val="0"/>
          <w:sz w:val="20"/>
          <w:szCs w:val="20"/>
          <w:shd w:val="clear" w:color="auto" w:fill="FFFFFF"/>
        </w:rPr>
        <w:t>, I. R. (2026). High Carriage of Multidrug-Resistant, Biofilm-Forming MRSA phenotype in Poultry and Swine in Southeast Nigeria. </w:t>
      </w:r>
      <w:r w:rsidRPr="00A26B4A">
        <w:rPr>
          <w:rStyle w:val="Emphasis"/>
          <w:sz w:val="20"/>
          <w:szCs w:val="20"/>
          <w:shd w:val="clear" w:color="auto" w:fill="FFFFFF"/>
        </w:rPr>
        <w:t>World Journal of Biological and Pharmaceutical Research</w:t>
      </w:r>
      <w:r w:rsidRPr="00A26B4A">
        <w:rPr>
          <w:rStyle w:val="Strong"/>
          <w:b w:val="0"/>
          <w:sz w:val="20"/>
          <w:szCs w:val="20"/>
          <w:shd w:val="clear" w:color="auto" w:fill="FFFFFF"/>
        </w:rPr>
        <w:t>, 10(01):006–014.</w:t>
      </w:r>
      <w:r w:rsidRPr="00A26B4A">
        <w:rPr>
          <w:sz w:val="20"/>
          <w:szCs w:val="20"/>
          <w:shd w:val="clear" w:color="auto" w:fill="FFFFFF"/>
        </w:rPr>
        <w:t> </w:t>
      </w:r>
      <w:hyperlink r:id="rId31" w:tgtFrame="_blank" w:history="1">
        <w:r w:rsidRPr="00A26B4A">
          <w:rPr>
            <w:rStyle w:val="Hyperlink"/>
            <w:rFonts w:eastAsiaTheme="majorEastAsia"/>
            <w:color w:val="auto"/>
            <w:sz w:val="20"/>
            <w:szCs w:val="20"/>
            <w:shd w:val="clear" w:color="auto" w:fill="FFFFFF"/>
          </w:rPr>
          <w:t>https://doi.org/10.53346/wjbpr.2026.10.1.0013</w:t>
        </w:r>
      </w:hyperlink>
    </w:p>
    <w:p w14:paraId="54D7B7D2" w14:textId="77777777" w:rsidR="005E4558" w:rsidRPr="00A26B4A" w:rsidRDefault="005E4558" w:rsidP="005E4558">
      <w:pPr>
        <w:pStyle w:val="ds-markdown-paragraph"/>
        <w:numPr>
          <w:ilvl w:val="0"/>
          <w:numId w:val="2"/>
        </w:numPr>
        <w:shd w:val="clear" w:color="auto" w:fill="FFFFFF"/>
        <w:spacing w:after="0" w:afterAutospacing="0"/>
        <w:jc w:val="both"/>
        <w:rPr>
          <w:rStyle w:val="Strong"/>
          <w:b w:val="0"/>
          <w:bCs w:val="0"/>
          <w:sz w:val="20"/>
          <w:szCs w:val="20"/>
        </w:rPr>
      </w:pPr>
      <w:proofErr w:type="spellStart"/>
      <w:r w:rsidRPr="00A26B4A">
        <w:rPr>
          <w:rStyle w:val="Strong"/>
          <w:b w:val="0"/>
          <w:sz w:val="20"/>
          <w:szCs w:val="20"/>
        </w:rPr>
        <w:t>Oke</w:t>
      </w:r>
      <w:proofErr w:type="spellEnd"/>
      <w:r w:rsidRPr="00A26B4A">
        <w:rPr>
          <w:rStyle w:val="Strong"/>
          <w:b w:val="0"/>
          <w:sz w:val="20"/>
          <w:szCs w:val="20"/>
        </w:rPr>
        <w:t xml:space="preserve">, B., </w:t>
      </w:r>
      <w:proofErr w:type="spellStart"/>
      <w:r w:rsidRPr="00A26B4A">
        <w:rPr>
          <w:rStyle w:val="Strong"/>
          <w:b w:val="0"/>
          <w:sz w:val="20"/>
          <w:szCs w:val="20"/>
        </w:rPr>
        <w:t>Nomeh</w:t>
      </w:r>
      <w:proofErr w:type="spellEnd"/>
      <w:r w:rsidRPr="00A26B4A">
        <w:rPr>
          <w:rStyle w:val="Strong"/>
          <w:b w:val="0"/>
          <w:sz w:val="20"/>
          <w:szCs w:val="20"/>
        </w:rPr>
        <w:t xml:space="preserve">, O. L., </w:t>
      </w:r>
      <w:proofErr w:type="spellStart"/>
      <w:r w:rsidRPr="00A26B4A">
        <w:rPr>
          <w:rStyle w:val="Strong"/>
          <w:b w:val="0"/>
          <w:sz w:val="20"/>
          <w:szCs w:val="20"/>
        </w:rPr>
        <w:t>Egwu</w:t>
      </w:r>
      <w:proofErr w:type="spellEnd"/>
      <w:r w:rsidRPr="00A26B4A">
        <w:rPr>
          <w:rStyle w:val="Strong"/>
          <w:b w:val="0"/>
          <w:sz w:val="20"/>
          <w:szCs w:val="20"/>
        </w:rPr>
        <w:t xml:space="preserve">, I. H., </w:t>
      </w:r>
      <w:proofErr w:type="spellStart"/>
      <w:r w:rsidRPr="00A26B4A">
        <w:rPr>
          <w:rStyle w:val="Strong"/>
          <w:b w:val="0"/>
          <w:sz w:val="20"/>
          <w:szCs w:val="20"/>
        </w:rPr>
        <w:t>Edemekong</w:t>
      </w:r>
      <w:proofErr w:type="spellEnd"/>
      <w:r w:rsidRPr="00A26B4A">
        <w:rPr>
          <w:rStyle w:val="Strong"/>
          <w:b w:val="0"/>
          <w:sz w:val="20"/>
          <w:szCs w:val="20"/>
        </w:rPr>
        <w:t xml:space="preserve">, C. I., </w:t>
      </w:r>
      <w:proofErr w:type="spellStart"/>
      <w:r w:rsidRPr="00A26B4A">
        <w:rPr>
          <w:rStyle w:val="Strong"/>
          <w:b w:val="0"/>
          <w:sz w:val="20"/>
          <w:szCs w:val="20"/>
        </w:rPr>
        <w:t>Nwiboko</w:t>
      </w:r>
      <w:proofErr w:type="spellEnd"/>
      <w:r w:rsidRPr="00A26B4A">
        <w:rPr>
          <w:rStyle w:val="Strong"/>
          <w:b w:val="0"/>
          <w:sz w:val="20"/>
          <w:szCs w:val="20"/>
        </w:rPr>
        <w:t xml:space="preserve">, M. C., Peter, I. U. , &amp; </w:t>
      </w:r>
      <w:proofErr w:type="spellStart"/>
      <w:r w:rsidRPr="00A26B4A">
        <w:rPr>
          <w:rStyle w:val="Strong"/>
          <w:b w:val="0"/>
          <w:sz w:val="20"/>
          <w:szCs w:val="20"/>
        </w:rPr>
        <w:t>Iroha</w:t>
      </w:r>
      <w:proofErr w:type="spellEnd"/>
      <w:r w:rsidRPr="00A26B4A">
        <w:rPr>
          <w:rStyle w:val="Strong"/>
          <w:b w:val="0"/>
          <w:sz w:val="20"/>
          <w:szCs w:val="20"/>
        </w:rPr>
        <w:t>, I. R. (2024a). High prevalence of </w:t>
      </w:r>
      <w:r w:rsidRPr="00A26B4A">
        <w:rPr>
          <w:rStyle w:val="Emphasis"/>
          <w:sz w:val="20"/>
          <w:szCs w:val="20"/>
        </w:rPr>
        <w:t>Salmonella</w:t>
      </w:r>
      <w:r w:rsidRPr="00A26B4A">
        <w:rPr>
          <w:rStyle w:val="Strong"/>
          <w:b w:val="0"/>
          <w:sz w:val="20"/>
          <w:szCs w:val="20"/>
        </w:rPr>
        <w:t> Typhi from well water harboring CTX-M and </w:t>
      </w:r>
      <w:proofErr w:type="spellStart"/>
      <w:r w:rsidRPr="00A26B4A">
        <w:rPr>
          <w:rStyle w:val="Emphasis"/>
          <w:sz w:val="20"/>
          <w:szCs w:val="20"/>
        </w:rPr>
        <w:t>tet</w:t>
      </w:r>
      <w:r w:rsidRPr="00A26B4A">
        <w:rPr>
          <w:rStyle w:val="Strong"/>
          <w:b w:val="0"/>
          <w:sz w:val="20"/>
          <w:szCs w:val="20"/>
        </w:rPr>
        <w:t>A</w:t>
      </w:r>
      <w:proofErr w:type="spellEnd"/>
      <w:r w:rsidRPr="00A26B4A">
        <w:rPr>
          <w:rStyle w:val="Strong"/>
          <w:b w:val="0"/>
          <w:sz w:val="20"/>
          <w:szCs w:val="20"/>
        </w:rPr>
        <w:t xml:space="preserve"> resistance gene. </w:t>
      </w:r>
      <w:r w:rsidRPr="00A26B4A">
        <w:rPr>
          <w:rStyle w:val="Emphasis"/>
          <w:sz w:val="20"/>
          <w:szCs w:val="20"/>
        </w:rPr>
        <w:t>World Journal of Advanced Research and Reviews</w:t>
      </w:r>
      <w:r w:rsidRPr="00A26B4A">
        <w:rPr>
          <w:rStyle w:val="Strong"/>
          <w:b w:val="0"/>
          <w:sz w:val="20"/>
          <w:szCs w:val="20"/>
        </w:rPr>
        <w:t>, 23(01), 2848–2857.</w:t>
      </w:r>
    </w:p>
    <w:p w14:paraId="72B3DFA2" w14:textId="77777777" w:rsidR="005E4558" w:rsidRPr="00A26B4A" w:rsidRDefault="005E4558" w:rsidP="005E4558">
      <w:pPr>
        <w:pStyle w:val="ds-markdown-paragraph"/>
        <w:numPr>
          <w:ilvl w:val="0"/>
          <w:numId w:val="2"/>
        </w:numPr>
        <w:shd w:val="clear" w:color="auto" w:fill="FFFFFF"/>
        <w:spacing w:after="0" w:afterAutospacing="0"/>
        <w:jc w:val="both"/>
        <w:rPr>
          <w:sz w:val="20"/>
          <w:szCs w:val="20"/>
        </w:rPr>
      </w:pPr>
      <w:proofErr w:type="spellStart"/>
      <w:r w:rsidRPr="00A26B4A">
        <w:rPr>
          <w:rStyle w:val="Strong"/>
          <w:b w:val="0"/>
          <w:sz w:val="20"/>
          <w:szCs w:val="20"/>
        </w:rPr>
        <w:t>Oke</w:t>
      </w:r>
      <w:proofErr w:type="spellEnd"/>
      <w:r w:rsidRPr="00A26B4A">
        <w:rPr>
          <w:rStyle w:val="Strong"/>
          <w:b w:val="0"/>
          <w:sz w:val="20"/>
          <w:szCs w:val="20"/>
        </w:rPr>
        <w:t xml:space="preserve">, B., Peter, I. U. , </w:t>
      </w:r>
      <w:proofErr w:type="spellStart"/>
      <w:r w:rsidRPr="00A26B4A">
        <w:rPr>
          <w:rStyle w:val="Strong"/>
          <w:b w:val="0"/>
          <w:sz w:val="20"/>
          <w:szCs w:val="20"/>
        </w:rPr>
        <w:t>Chinenye</w:t>
      </w:r>
      <w:proofErr w:type="spellEnd"/>
      <w:r w:rsidRPr="00A26B4A">
        <w:rPr>
          <w:rStyle w:val="Strong"/>
          <w:b w:val="0"/>
          <w:sz w:val="20"/>
          <w:szCs w:val="20"/>
        </w:rPr>
        <w:t xml:space="preserve">, C. O. L., </w:t>
      </w:r>
      <w:proofErr w:type="spellStart"/>
      <w:r w:rsidRPr="00A26B4A">
        <w:rPr>
          <w:rStyle w:val="Strong"/>
          <w:b w:val="0"/>
          <w:sz w:val="20"/>
          <w:szCs w:val="20"/>
        </w:rPr>
        <w:t>Okpaga</w:t>
      </w:r>
      <w:proofErr w:type="spellEnd"/>
      <w:r w:rsidRPr="00A26B4A">
        <w:rPr>
          <w:rStyle w:val="Strong"/>
          <w:b w:val="0"/>
          <w:sz w:val="20"/>
          <w:szCs w:val="20"/>
        </w:rPr>
        <w:t>, A. O., Chukwuemeka, N. M., John-</w:t>
      </w:r>
      <w:proofErr w:type="spellStart"/>
      <w:r w:rsidRPr="00A26B4A">
        <w:rPr>
          <w:rStyle w:val="Strong"/>
          <w:b w:val="0"/>
          <w:sz w:val="20"/>
          <w:szCs w:val="20"/>
        </w:rPr>
        <w:t>onwe</w:t>
      </w:r>
      <w:proofErr w:type="spellEnd"/>
      <w:r w:rsidRPr="00A26B4A">
        <w:rPr>
          <w:rStyle w:val="Strong"/>
          <w:b w:val="0"/>
          <w:sz w:val="20"/>
          <w:szCs w:val="20"/>
        </w:rPr>
        <w:t xml:space="preserve">, B. N., </w:t>
      </w:r>
      <w:proofErr w:type="spellStart"/>
      <w:r w:rsidRPr="00A26B4A">
        <w:rPr>
          <w:rStyle w:val="Strong"/>
          <w:b w:val="0"/>
          <w:sz w:val="20"/>
          <w:szCs w:val="20"/>
        </w:rPr>
        <w:t>Mbam</w:t>
      </w:r>
      <w:proofErr w:type="spellEnd"/>
      <w:r w:rsidRPr="00A26B4A">
        <w:rPr>
          <w:rStyle w:val="Strong"/>
          <w:b w:val="0"/>
          <w:sz w:val="20"/>
          <w:szCs w:val="20"/>
        </w:rPr>
        <w:t xml:space="preserve">, N. F., &amp; </w:t>
      </w:r>
      <w:proofErr w:type="spellStart"/>
      <w:r w:rsidRPr="00A26B4A">
        <w:rPr>
          <w:rStyle w:val="Strong"/>
          <w:b w:val="0"/>
          <w:sz w:val="20"/>
          <w:szCs w:val="20"/>
        </w:rPr>
        <w:t>Iroha</w:t>
      </w:r>
      <w:proofErr w:type="spellEnd"/>
      <w:r w:rsidRPr="00A26B4A">
        <w:rPr>
          <w:rStyle w:val="Strong"/>
          <w:b w:val="0"/>
          <w:sz w:val="20"/>
          <w:szCs w:val="20"/>
        </w:rPr>
        <w:t xml:space="preserve">, I. R. (2024b). Distribution and antibiotic resistance profile of Enterobacteriaceae isolates from well water in the rural communities of </w:t>
      </w:r>
      <w:proofErr w:type="spellStart"/>
      <w:r w:rsidRPr="00A26B4A">
        <w:rPr>
          <w:rStyle w:val="Strong"/>
          <w:b w:val="0"/>
          <w:sz w:val="20"/>
          <w:szCs w:val="20"/>
        </w:rPr>
        <w:t>Ezza</w:t>
      </w:r>
      <w:proofErr w:type="spellEnd"/>
      <w:r w:rsidRPr="00A26B4A">
        <w:rPr>
          <w:rStyle w:val="Strong"/>
          <w:b w:val="0"/>
          <w:sz w:val="20"/>
          <w:szCs w:val="20"/>
        </w:rPr>
        <w:t xml:space="preserve"> South Local Government Area of Ebonyi State. </w:t>
      </w:r>
      <w:r w:rsidRPr="00A26B4A">
        <w:rPr>
          <w:rStyle w:val="Emphasis"/>
          <w:sz w:val="20"/>
          <w:szCs w:val="20"/>
        </w:rPr>
        <w:t>International Journal of Pathogen Research</w:t>
      </w:r>
      <w:r w:rsidRPr="00A26B4A">
        <w:rPr>
          <w:rStyle w:val="Strong"/>
          <w:b w:val="0"/>
          <w:sz w:val="20"/>
          <w:szCs w:val="20"/>
        </w:rPr>
        <w:t>, 13(4), 22–34.</w:t>
      </w:r>
    </w:p>
    <w:p w14:paraId="79973CB7"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sz w:val="20"/>
          <w:szCs w:val="20"/>
        </w:rPr>
        <w:t>Oladipo, A. O., Oladipo, O. G., &amp; Bezuidenhout, C. C. (2019). Multi-drug resistance traits of methicillin-resistant </w:t>
      </w:r>
      <w:r w:rsidRPr="00A26B4A">
        <w:rPr>
          <w:rStyle w:val="Emphasis"/>
          <w:sz w:val="20"/>
          <w:szCs w:val="20"/>
        </w:rPr>
        <w:t>Staphylococcus aureus</w:t>
      </w:r>
      <w:r w:rsidRPr="00A26B4A">
        <w:rPr>
          <w:sz w:val="20"/>
          <w:szCs w:val="20"/>
        </w:rPr>
        <w:t> and other staphylococcal species from clinical and environmental sources. </w:t>
      </w:r>
      <w:r w:rsidRPr="00A26B4A">
        <w:rPr>
          <w:rStyle w:val="Emphasis"/>
          <w:sz w:val="20"/>
          <w:szCs w:val="20"/>
        </w:rPr>
        <w:t>Journal of Water and Health</w:t>
      </w:r>
      <w:r w:rsidRPr="00A26B4A">
        <w:rPr>
          <w:sz w:val="20"/>
          <w:szCs w:val="20"/>
        </w:rPr>
        <w:t>, 17(6), 930-943. </w:t>
      </w:r>
      <w:hyperlink r:id="rId32" w:tgtFrame="_blank" w:history="1">
        <w:r w:rsidRPr="00A26B4A">
          <w:rPr>
            <w:rStyle w:val="Hyperlink"/>
            <w:color w:val="auto"/>
            <w:sz w:val="20"/>
            <w:szCs w:val="20"/>
          </w:rPr>
          <w:t>https://doi.org/10.2166/wh.2019.177</w:t>
        </w:r>
      </w:hyperlink>
    </w:p>
    <w:p w14:paraId="3A0123DA" w14:textId="77777777" w:rsidR="005E4558" w:rsidRPr="00A26B4A" w:rsidRDefault="005E4558" w:rsidP="005E4558">
      <w:pPr>
        <w:pStyle w:val="ds-markdown-paragraph"/>
        <w:numPr>
          <w:ilvl w:val="0"/>
          <w:numId w:val="2"/>
        </w:numPr>
        <w:shd w:val="clear" w:color="auto" w:fill="FFFFFF"/>
        <w:spacing w:after="0" w:afterAutospacing="0"/>
        <w:jc w:val="both"/>
        <w:rPr>
          <w:sz w:val="20"/>
          <w:szCs w:val="20"/>
        </w:rPr>
      </w:pPr>
      <w:r w:rsidRPr="00A26B4A">
        <w:rPr>
          <w:rStyle w:val="Strong"/>
          <w:b w:val="0"/>
          <w:sz w:val="20"/>
          <w:szCs w:val="20"/>
        </w:rPr>
        <w:t xml:space="preserve">Peter, I. U., </w:t>
      </w:r>
      <w:proofErr w:type="spellStart"/>
      <w:r w:rsidRPr="00A26B4A">
        <w:rPr>
          <w:rStyle w:val="Strong"/>
          <w:b w:val="0"/>
          <w:sz w:val="20"/>
          <w:szCs w:val="20"/>
        </w:rPr>
        <w:t>Obike</w:t>
      </w:r>
      <w:proofErr w:type="spellEnd"/>
      <w:r w:rsidRPr="00A26B4A">
        <w:rPr>
          <w:rStyle w:val="Strong"/>
          <w:b w:val="0"/>
          <w:sz w:val="20"/>
          <w:szCs w:val="20"/>
        </w:rPr>
        <w:t xml:space="preserve">, O. C., </w:t>
      </w:r>
      <w:proofErr w:type="spellStart"/>
      <w:r w:rsidRPr="00A26B4A">
        <w:rPr>
          <w:rStyle w:val="Strong"/>
          <w:b w:val="0"/>
          <w:sz w:val="20"/>
          <w:szCs w:val="20"/>
        </w:rPr>
        <w:t>Ngwu</w:t>
      </w:r>
      <w:proofErr w:type="spellEnd"/>
      <w:r w:rsidRPr="00A26B4A">
        <w:rPr>
          <w:rStyle w:val="Strong"/>
          <w:b w:val="0"/>
          <w:sz w:val="20"/>
          <w:szCs w:val="20"/>
        </w:rPr>
        <w:t xml:space="preserve">, J. N., </w:t>
      </w:r>
      <w:proofErr w:type="spellStart"/>
      <w:r w:rsidRPr="00A26B4A">
        <w:rPr>
          <w:rStyle w:val="Strong"/>
          <w:b w:val="0"/>
          <w:sz w:val="20"/>
          <w:szCs w:val="20"/>
        </w:rPr>
        <w:t>Emeruwa</w:t>
      </w:r>
      <w:proofErr w:type="spellEnd"/>
      <w:r w:rsidRPr="00A26B4A">
        <w:rPr>
          <w:rStyle w:val="Strong"/>
          <w:b w:val="0"/>
          <w:sz w:val="20"/>
          <w:szCs w:val="20"/>
        </w:rPr>
        <w:t xml:space="preserve">, A. P., Okolo, I. O., &amp; Mohammed, I. D. (2025). Prevalence of Biofilm-forming and </w:t>
      </w:r>
      <w:proofErr w:type="spellStart"/>
      <w:r w:rsidRPr="00A26B4A">
        <w:rPr>
          <w:rStyle w:val="Strong"/>
          <w:b w:val="0"/>
          <w:sz w:val="20"/>
          <w:szCs w:val="20"/>
        </w:rPr>
        <w:t>Carbapenemase</w:t>
      </w:r>
      <w:proofErr w:type="spellEnd"/>
      <w:r w:rsidRPr="00A26B4A">
        <w:rPr>
          <w:rStyle w:val="Strong"/>
          <w:b w:val="0"/>
          <w:sz w:val="20"/>
          <w:szCs w:val="20"/>
        </w:rPr>
        <w:t>-producing Gram-negative Bacilli Colonizing Indwelling Urinary Catheters of Patients. </w:t>
      </w:r>
      <w:r w:rsidRPr="00A26B4A">
        <w:rPr>
          <w:rStyle w:val="Emphasis"/>
          <w:sz w:val="20"/>
          <w:szCs w:val="20"/>
        </w:rPr>
        <w:t xml:space="preserve">UMYU </w:t>
      </w:r>
      <w:proofErr w:type="spellStart"/>
      <w:r w:rsidRPr="00A26B4A">
        <w:rPr>
          <w:rStyle w:val="Emphasis"/>
          <w:sz w:val="20"/>
          <w:szCs w:val="20"/>
        </w:rPr>
        <w:t>Scientifica</w:t>
      </w:r>
      <w:proofErr w:type="spellEnd"/>
      <w:r w:rsidRPr="00A26B4A">
        <w:rPr>
          <w:rStyle w:val="Strong"/>
          <w:b w:val="0"/>
          <w:sz w:val="20"/>
          <w:szCs w:val="20"/>
        </w:rPr>
        <w:t>, 4(2), 270–284.</w:t>
      </w:r>
      <w:r w:rsidRPr="00A26B4A">
        <w:rPr>
          <w:sz w:val="20"/>
          <w:szCs w:val="20"/>
        </w:rPr>
        <w:t> </w:t>
      </w:r>
      <w:hyperlink r:id="rId33" w:tgtFrame="_blank" w:history="1">
        <w:r w:rsidRPr="00A26B4A">
          <w:rPr>
            <w:rStyle w:val="Hyperlink"/>
            <w:rFonts w:eastAsiaTheme="majorEastAsia"/>
            <w:color w:val="auto"/>
            <w:sz w:val="20"/>
            <w:szCs w:val="20"/>
          </w:rPr>
          <w:t>https://doi.org/10.56919/usci.2542.027</w:t>
        </w:r>
      </w:hyperlink>
    </w:p>
    <w:p w14:paraId="58C94746"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sz w:val="20"/>
          <w:szCs w:val="20"/>
        </w:rPr>
        <w:t xml:space="preserve">Peter, I. U., Ogbonna, I. P., </w:t>
      </w:r>
      <w:proofErr w:type="spellStart"/>
      <w:r w:rsidRPr="00A26B4A">
        <w:rPr>
          <w:sz w:val="20"/>
          <w:szCs w:val="20"/>
        </w:rPr>
        <w:t>Edemekong</w:t>
      </w:r>
      <w:proofErr w:type="spellEnd"/>
      <w:r w:rsidRPr="00A26B4A">
        <w:rPr>
          <w:sz w:val="20"/>
          <w:szCs w:val="20"/>
        </w:rPr>
        <w:t>, C. I., Okolo, I. O., &amp; Mohammed, I. D. (2024). Screening for genes encoding virulence factor in </w:t>
      </w:r>
      <w:r w:rsidRPr="00A26B4A">
        <w:rPr>
          <w:rStyle w:val="Emphasis"/>
          <w:sz w:val="20"/>
          <w:szCs w:val="20"/>
        </w:rPr>
        <w:t>Salmonella</w:t>
      </w:r>
      <w:r w:rsidRPr="00A26B4A">
        <w:rPr>
          <w:sz w:val="20"/>
          <w:szCs w:val="20"/>
        </w:rPr>
        <w:t> serovar Typhimurium isolated from tiger nut juice. </w:t>
      </w:r>
      <w:r w:rsidRPr="00A26B4A">
        <w:rPr>
          <w:rStyle w:val="Emphasis"/>
          <w:sz w:val="20"/>
          <w:szCs w:val="20"/>
        </w:rPr>
        <w:t>Ibom Medical Journal</w:t>
      </w:r>
      <w:r w:rsidRPr="00A26B4A">
        <w:rPr>
          <w:sz w:val="20"/>
          <w:szCs w:val="20"/>
        </w:rPr>
        <w:t>, 17(3), 393-401.</w:t>
      </w:r>
    </w:p>
    <w:p w14:paraId="3CC0238B"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r w:rsidRPr="00A26B4A">
        <w:rPr>
          <w:sz w:val="20"/>
          <w:szCs w:val="20"/>
        </w:rPr>
        <w:t>Ruiz-</w:t>
      </w:r>
      <w:proofErr w:type="spellStart"/>
      <w:r w:rsidRPr="00A26B4A">
        <w:rPr>
          <w:sz w:val="20"/>
          <w:szCs w:val="20"/>
        </w:rPr>
        <w:t>Ripa</w:t>
      </w:r>
      <w:proofErr w:type="spellEnd"/>
      <w:r w:rsidRPr="00A26B4A">
        <w:rPr>
          <w:sz w:val="20"/>
          <w:szCs w:val="20"/>
        </w:rPr>
        <w:t xml:space="preserve">, L., </w:t>
      </w:r>
      <w:proofErr w:type="spellStart"/>
      <w:r w:rsidRPr="00A26B4A">
        <w:rPr>
          <w:sz w:val="20"/>
          <w:szCs w:val="20"/>
        </w:rPr>
        <w:t>Feßler</w:t>
      </w:r>
      <w:proofErr w:type="spellEnd"/>
      <w:r w:rsidRPr="00A26B4A">
        <w:rPr>
          <w:sz w:val="20"/>
          <w:szCs w:val="20"/>
        </w:rPr>
        <w:t xml:space="preserve">, A. T., Hanke, D., Sanz, S., </w:t>
      </w:r>
      <w:proofErr w:type="spellStart"/>
      <w:r w:rsidRPr="00A26B4A">
        <w:rPr>
          <w:sz w:val="20"/>
          <w:szCs w:val="20"/>
        </w:rPr>
        <w:t>Olarte</w:t>
      </w:r>
      <w:proofErr w:type="spellEnd"/>
      <w:r w:rsidRPr="00A26B4A">
        <w:rPr>
          <w:sz w:val="20"/>
          <w:szCs w:val="20"/>
        </w:rPr>
        <w:t xml:space="preserve">, C., Mama, O. M., Eichhorn, I., Schwarz, S., &amp; Torres, C. (2020). Coagulase-negative staphylococci carrying </w:t>
      </w:r>
      <w:proofErr w:type="spellStart"/>
      <w:r w:rsidRPr="00A26B4A">
        <w:rPr>
          <w:sz w:val="20"/>
          <w:szCs w:val="20"/>
        </w:rPr>
        <w:t>cfr</w:t>
      </w:r>
      <w:proofErr w:type="spellEnd"/>
      <w:r w:rsidRPr="00A26B4A">
        <w:rPr>
          <w:sz w:val="20"/>
          <w:szCs w:val="20"/>
        </w:rPr>
        <w:t xml:space="preserve"> and PVL genes, and MRSA/MSSA-CC398 in the swine farm environment. </w:t>
      </w:r>
      <w:r w:rsidRPr="00A26B4A">
        <w:rPr>
          <w:rStyle w:val="Emphasis"/>
          <w:sz w:val="20"/>
          <w:szCs w:val="20"/>
        </w:rPr>
        <w:t>Veterinary Microbiology</w:t>
      </w:r>
      <w:r w:rsidRPr="00A26B4A">
        <w:rPr>
          <w:sz w:val="20"/>
          <w:szCs w:val="20"/>
        </w:rPr>
        <w:t>, 243, 108631. </w:t>
      </w:r>
      <w:hyperlink r:id="rId34" w:tgtFrame="_blank" w:history="1">
        <w:r w:rsidRPr="00A26B4A">
          <w:rPr>
            <w:rStyle w:val="Hyperlink"/>
            <w:color w:val="auto"/>
            <w:sz w:val="20"/>
            <w:szCs w:val="20"/>
          </w:rPr>
          <w:t>https://doi.org/10.1016/j.vetmic.2020.108631</w:t>
        </w:r>
      </w:hyperlink>
    </w:p>
    <w:p w14:paraId="3220608A" w14:textId="77777777" w:rsidR="005E4558" w:rsidRPr="00A26B4A" w:rsidRDefault="005E4558" w:rsidP="005E4558">
      <w:pPr>
        <w:pStyle w:val="ds-markdown-paragraph"/>
        <w:numPr>
          <w:ilvl w:val="0"/>
          <w:numId w:val="2"/>
        </w:numPr>
        <w:spacing w:before="0" w:beforeAutospacing="0" w:after="240" w:afterAutospacing="0"/>
        <w:jc w:val="both"/>
        <w:rPr>
          <w:sz w:val="20"/>
          <w:szCs w:val="20"/>
        </w:rPr>
      </w:pPr>
      <w:proofErr w:type="spellStart"/>
      <w:r w:rsidRPr="00A26B4A">
        <w:rPr>
          <w:sz w:val="20"/>
          <w:szCs w:val="20"/>
        </w:rPr>
        <w:t>Seker</w:t>
      </w:r>
      <w:proofErr w:type="spellEnd"/>
      <w:r w:rsidRPr="00A26B4A">
        <w:rPr>
          <w:sz w:val="20"/>
          <w:szCs w:val="20"/>
        </w:rPr>
        <w:t xml:space="preserve">, E., </w:t>
      </w:r>
      <w:proofErr w:type="spellStart"/>
      <w:r w:rsidRPr="00A26B4A">
        <w:rPr>
          <w:sz w:val="20"/>
          <w:szCs w:val="20"/>
        </w:rPr>
        <w:t>Ozenc</w:t>
      </w:r>
      <w:proofErr w:type="spellEnd"/>
      <w:r w:rsidRPr="00A26B4A">
        <w:rPr>
          <w:sz w:val="20"/>
          <w:szCs w:val="20"/>
        </w:rPr>
        <w:t xml:space="preserve">, E., </w:t>
      </w:r>
      <w:proofErr w:type="spellStart"/>
      <w:r w:rsidRPr="00A26B4A">
        <w:rPr>
          <w:sz w:val="20"/>
          <w:szCs w:val="20"/>
        </w:rPr>
        <w:t>Turedi</w:t>
      </w:r>
      <w:proofErr w:type="spellEnd"/>
      <w:r w:rsidRPr="00A26B4A">
        <w:rPr>
          <w:sz w:val="20"/>
          <w:szCs w:val="20"/>
        </w:rPr>
        <w:t>, O. K., &amp; Yilmaz, M. (2023). Prevalence of </w:t>
      </w:r>
      <w:proofErr w:type="spellStart"/>
      <w:r w:rsidRPr="00A26B4A">
        <w:rPr>
          <w:rStyle w:val="Emphasis"/>
          <w:sz w:val="20"/>
          <w:szCs w:val="20"/>
        </w:rPr>
        <w:t>mecA</w:t>
      </w:r>
      <w:proofErr w:type="spellEnd"/>
      <w:r w:rsidRPr="00A26B4A">
        <w:rPr>
          <w:sz w:val="20"/>
          <w:szCs w:val="20"/>
        </w:rPr>
        <w:t> and </w:t>
      </w:r>
      <w:proofErr w:type="spellStart"/>
      <w:r w:rsidRPr="00A26B4A">
        <w:rPr>
          <w:rStyle w:val="Emphasis"/>
          <w:sz w:val="20"/>
          <w:szCs w:val="20"/>
        </w:rPr>
        <w:t>pvl</w:t>
      </w:r>
      <w:proofErr w:type="spellEnd"/>
      <w:r w:rsidRPr="00A26B4A">
        <w:rPr>
          <w:sz w:val="20"/>
          <w:szCs w:val="20"/>
        </w:rPr>
        <w:t> genes in coagulase negative staphylococci isolated from bovine mastitis in smallholder dairy farms in Turkey. </w:t>
      </w:r>
      <w:r w:rsidRPr="00A26B4A">
        <w:rPr>
          <w:rStyle w:val="Emphasis"/>
          <w:sz w:val="20"/>
          <w:szCs w:val="20"/>
        </w:rPr>
        <w:t>Animal Biotechnology</w:t>
      </w:r>
      <w:r w:rsidRPr="00A26B4A">
        <w:rPr>
          <w:sz w:val="20"/>
          <w:szCs w:val="20"/>
        </w:rPr>
        <w:t>, 34(7), 2427-2432. </w:t>
      </w:r>
      <w:hyperlink r:id="rId35" w:tgtFrame="_blank" w:history="1">
        <w:r w:rsidRPr="00A26B4A">
          <w:rPr>
            <w:rStyle w:val="Hyperlink"/>
            <w:color w:val="auto"/>
            <w:sz w:val="20"/>
            <w:szCs w:val="20"/>
          </w:rPr>
          <w:t>https://doi.org/10.1080/10495398.2022.2096625</w:t>
        </w:r>
      </w:hyperlink>
    </w:p>
    <w:p w14:paraId="1F246E31" w14:textId="77777777" w:rsidR="005E4558" w:rsidRPr="00A26B4A" w:rsidRDefault="005E4558" w:rsidP="005E4558">
      <w:pPr>
        <w:pStyle w:val="ds-markdown-paragraph"/>
        <w:numPr>
          <w:ilvl w:val="0"/>
          <w:numId w:val="2"/>
        </w:numPr>
        <w:spacing w:before="0" w:beforeAutospacing="0"/>
        <w:jc w:val="both"/>
        <w:rPr>
          <w:sz w:val="20"/>
          <w:szCs w:val="20"/>
        </w:rPr>
      </w:pPr>
      <w:r w:rsidRPr="00A26B4A">
        <w:rPr>
          <w:sz w:val="20"/>
          <w:szCs w:val="20"/>
        </w:rPr>
        <w:t xml:space="preserve">Shallcross, L. J., </w:t>
      </w:r>
      <w:proofErr w:type="spellStart"/>
      <w:r w:rsidRPr="00A26B4A">
        <w:rPr>
          <w:sz w:val="20"/>
          <w:szCs w:val="20"/>
        </w:rPr>
        <w:t>Fragaszy</w:t>
      </w:r>
      <w:proofErr w:type="spellEnd"/>
      <w:r w:rsidRPr="00A26B4A">
        <w:rPr>
          <w:sz w:val="20"/>
          <w:szCs w:val="20"/>
        </w:rPr>
        <w:t>, E., Johnson, A. M., &amp; Hayward, A. C. (2013). The role of the Panton-Valentine leucocidin toxin in staphylococcal disease: A systematic review and meta-analysis. </w:t>
      </w:r>
      <w:r w:rsidRPr="00A26B4A">
        <w:rPr>
          <w:rStyle w:val="Emphasis"/>
          <w:sz w:val="20"/>
          <w:szCs w:val="20"/>
        </w:rPr>
        <w:t>The Lancet Infectious Diseases</w:t>
      </w:r>
      <w:r w:rsidRPr="00A26B4A">
        <w:rPr>
          <w:sz w:val="20"/>
          <w:szCs w:val="20"/>
        </w:rPr>
        <w:t>, 13(1), 43-54. </w:t>
      </w:r>
      <w:hyperlink r:id="rId36" w:tgtFrame="_blank" w:history="1">
        <w:r w:rsidRPr="00A26B4A">
          <w:rPr>
            <w:rStyle w:val="Hyperlink"/>
            <w:color w:val="auto"/>
            <w:sz w:val="20"/>
            <w:szCs w:val="20"/>
          </w:rPr>
          <w:t>https://doi.org/10.1016/S1473-3099(12)70238-4</w:t>
        </w:r>
      </w:hyperlink>
    </w:p>
    <w:p w14:paraId="53A42265" w14:textId="77777777" w:rsidR="005E4558" w:rsidRPr="00A26B4A" w:rsidRDefault="005E4558" w:rsidP="005E4558">
      <w:pPr>
        <w:pStyle w:val="ds-markdown-paragraph"/>
        <w:numPr>
          <w:ilvl w:val="0"/>
          <w:numId w:val="2"/>
        </w:numPr>
        <w:shd w:val="clear" w:color="auto" w:fill="FFFFFF"/>
        <w:spacing w:after="0" w:afterAutospacing="0"/>
        <w:jc w:val="both"/>
        <w:rPr>
          <w:rStyle w:val="Hyperlink"/>
          <w:color w:val="auto"/>
          <w:sz w:val="20"/>
          <w:szCs w:val="20"/>
          <w:shd w:val="clear" w:color="auto" w:fill="FFFFFF"/>
        </w:rPr>
      </w:pPr>
      <w:proofErr w:type="spellStart"/>
      <w:r w:rsidRPr="00A26B4A">
        <w:rPr>
          <w:rStyle w:val="Strong"/>
          <w:b w:val="0"/>
          <w:sz w:val="20"/>
          <w:szCs w:val="20"/>
          <w:shd w:val="clear" w:color="auto" w:fill="FFFFFF"/>
        </w:rPr>
        <w:t>Udu-Ibiam</w:t>
      </w:r>
      <w:proofErr w:type="spellEnd"/>
      <w:r w:rsidRPr="00A26B4A">
        <w:rPr>
          <w:rStyle w:val="Strong"/>
          <w:b w:val="0"/>
          <w:sz w:val="20"/>
          <w:szCs w:val="20"/>
          <w:shd w:val="clear" w:color="auto" w:fill="FFFFFF"/>
        </w:rPr>
        <w:t xml:space="preserve">, O. E., Akindele, K., &amp; Peter, I. U. (2025). Bacterial contaminants reducing quality of food drinks: A case study of </w:t>
      </w:r>
      <w:proofErr w:type="spellStart"/>
      <w:r w:rsidRPr="00A26B4A">
        <w:rPr>
          <w:rStyle w:val="Strong"/>
          <w:b w:val="0"/>
          <w:sz w:val="20"/>
          <w:szCs w:val="20"/>
          <w:shd w:val="clear" w:color="auto" w:fill="FFFFFF"/>
        </w:rPr>
        <w:t>Zobo</w:t>
      </w:r>
      <w:proofErr w:type="spellEnd"/>
      <w:r w:rsidRPr="00A26B4A">
        <w:rPr>
          <w:rStyle w:val="Strong"/>
          <w:b w:val="0"/>
          <w:sz w:val="20"/>
          <w:szCs w:val="20"/>
          <w:shd w:val="clear" w:color="auto" w:fill="FFFFFF"/>
        </w:rPr>
        <w:t xml:space="preserve"> drink (a non-alcoholic beverage from </w:t>
      </w:r>
      <w:r w:rsidRPr="00A26B4A">
        <w:rPr>
          <w:rStyle w:val="Emphasis"/>
          <w:sz w:val="20"/>
          <w:szCs w:val="20"/>
          <w:shd w:val="clear" w:color="auto" w:fill="FFFFFF"/>
        </w:rPr>
        <w:t>Hibiscus sabdariffa</w:t>
      </w:r>
      <w:r w:rsidRPr="00A26B4A">
        <w:rPr>
          <w:rStyle w:val="Strong"/>
          <w:b w:val="0"/>
          <w:sz w:val="20"/>
          <w:szCs w:val="20"/>
          <w:shd w:val="clear" w:color="auto" w:fill="FFFFFF"/>
        </w:rPr>
        <w:t xml:space="preserve">) sold in </w:t>
      </w:r>
      <w:proofErr w:type="spellStart"/>
      <w:r w:rsidRPr="00A26B4A">
        <w:rPr>
          <w:rStyle w:val="Strong"/>
          <w:b w:val="0"/>
          <w:sz w:val="20"/>
          <w:szCs w:val="20"/>
          <w:shd w:val="clear" w:color="auto" w:fill="FFFFFF"/>
        </w:rPr>
        <w:t>Abakaliki</w:t>
      </w:r>
      <w:proofErr w:type="spellEnd"/>
      <w:r w:rsidRPr="00A26B4A">
        <w:rPr>
          <w:rStyle w:val="Strong"/>
          <w:b w:val="0"/>
          <w:sz w:val="20"/>
          <w:szCs w:val="20"/>
          <w:shd w:val="clear" w:color="auto" w:fill="FFFFFF"/>
        </w:rPr>
        <w:t xml:space="preserve"> metropolis, Ebonyi state, Nigeria. </w:t>
      </w:r>
      <w:r w:rsidRPr="00A26B4A">
        <w:rPr>
          <w:rStyle w:val="Emphasis"/>
          <w:sz w:val="20"/>
          <w:szCs w:val="20"/>
          <w:shd w:val="clear" w:color="auto" w:fill="FFFFFF"/>
        </w:rPr>
        <w:t>World Journal of Advanced Research and Reviews</w:t>
      </w:r>
      <w:r w:rsidRPr="00A26B4A">
        <w:rPr>
          <w:rStyle w:val="Strong"/>
          <w:b w:val="0"/>
          <w:sz w:val="20"/>
          <w:szCs w:val="20"/>
          <w:shd w:val="clear" w:color="auto" w:fill="FFFFFF"/>
        </w:rPr>
        <w:t>, 25(02):109–118.</w:t>
      </w:r>
      <w:r w:rsidRPr="00A26B4A">
        <w:rPr>
          <w:sz w:val="20"/>
          <w:szCs w:val="20"/>
          <w:shd w:val="clear" w:color="auto" w:fill="FFFFFF"/>
        </w:rPr>
        <w:t> </w:t>
      </w:r>
      <w:hyperlink r:id="rId37" w:tgtFrame="_blank" w:history="1">
        <w:r w:rsidRPr="00A26B4A">
          <w:rPr>
            <w:rStyle w:val="Hyperlink"/>
            <w:color w:val="auto"/>
            <w:sz w:val="20"/>
            <w:szCs w:val="20"/>
            <w:shd w:val="clear" w:color="auto" w:fill="FFFFFF"/>
          </w:rPr>
          <w:t>https://doi.org/10.30574/wjarr.2025.25.2.0231</w:t>
        </w:r>
      </w:hyperlink>
    </w:p>
    <w:p w14:paraId="5AC8594D" w14:textId="77777777" w:rsidR="005E4558" w:rsidRPr="00A26B4A" w:rsidRDefault="005E4558" w:rsidP="005E4558">
      <w:pPr>
        <w:pStyle w:val="ds-markdown-paragraph"/>
        <w:numPr>
          <w:ilvl w:val="0"/>
          <w:numId w:val="2"/>
        </w:numPr>
        <w:shd w:val="clear" w:color="auto" w:fill="FFFFFF"/>
        <w:spacing w:after="0" w:afterAutospacing="0"/>
        <w:jc w:val="both"/>
        <w:rPr>
          <w:sz w:val="20"/>
          <w:szCs w:val="20"/>
        </w:rPr>
      </w:pPr>
      <w:proofErr w:type="spellStart"/>
      <w:r w:rsidRPr="00A26B4A">
        <w:rPr>
          <w:rStyle w:val="Strong"/>
          <w:b w:val="0"/>
          <w:sz w:val="20"/>
          <w:szCs w:val="20"/>
        </w:rPr>
        <w:lastRenderedPageBreak/>
        <w:t>Udu-Ibiam</w:t>
      </w:r>
      <w:proofErr w:type="spellEnd"/>
      <w:r w:rsidRPr="00A26B4A">
        <w:rPr>
          <w:rStyle w:val="Strong"/>
          <w:b w:val="0"/>
          <w:sz w:val="20"/>
          <w:szCs w:val="20"/>
        </w:rPr>
        <w:t xml:space="preserve">, O. E., Chukwu, S. K., </w:t>
      </w:r>
      <w:proofErr w:type="spellStart"/>
      <w:r w:rsidRPr="00A26B4A">
        <w:rPr>
          <w:rStyle w:val="Strong"/>
          <w:b w:val="0"/>
          <w:sz w:val="20"/>
          <w:szCs w:val="20"/>
        </w:rPr>
        <w:t>Ikemesit</w:t>
      </w:r>
      <w:proofErr w:type="spellEnd"/>
      <w:r w:rsidRPr="00A26B4A">
        <w:rPr>
          <w:rStyle w:val="Strong"/>
          <w:b w:val="0"/>
          <w:sz w:val="20"/>
          <w:szCs w:val="20"/>
        </w:rPr>
        <w:t xml:space="preserve"> P., Nwankwo, C. E., Iganga, N., &amp; Akindele, K. I. (2021). Antibiotic susceptibility pattern of bacteria isolated from freshly cut watermelon fruit sold within </w:t>
      </w:r>
      <w:proofErr w:type="spellStart"/>
      <w:r w:rsidRPr="00A26B4A">
        <w:rPr>
          <w:rStyle w:val="Strong"/>
          <w:b w:val="0"/>
          <w:sz w:val="20"/>
          <w:szCs w:val="20"/>
        </w:rPr>
        <w:t>Abakaliki</w:t>
      </w:r>
      <w:proofErr w:type="spellEnd"/>
      <w:r w:rsidRPr="00A26B4A">
        <w:rPr>
          <w:rStyle w:val="Strong"/>
          <w:b w:val="0"/>
          <w:sz w:val="20"/>
          <w:szCs w:val="20"/>
        </w:rPr>
        <w:t xml:space="preserve"> Metropolis (</w:t>
      </w:r>
      <w:proofErr w:type="spellStart"/>
      <w:r w:rsidRPr="00A26B4A">
        <w:rPr>
          <w:rStyle w:val="Strong"/>
          <w:b w:val="0"/>
          <w:sz w:val="20"/>
          <w:szCs w:val="20"/>
        </w:rPr>
        <w:t>Presco</w:t>
      </w:r>
      <w:proofErr w:type="spellEnd"/>
      <w:r w:rsidRPr="00A26B4A">
        <w:rPr>
          <w:rStyle w:val="Strong"/>
          <w:b w:val="0"/>
          <w:sz w:val="20"/>
          <w:szCs w:val="20"/>
        </w:rPr>
        <w:t xml:space="preserve"> Junction) Ebonyi State Nigeria. </w:t>
      </w:r>
      <w:r w:rsidRPr="00A26B4A">
        <w:rPr>
          <w:rStyle w:val="Emphasis"/>
          <w:sz w:val="20"/>
          <w:szCs w:val="20"/>
        </w:rPr>
        <w:t>IDOSR Journal of Experimental Sciences</w:t>
      </w:r>
      <w:r w:rsidRPr="00A26B4A">
        <w:rPr>
          <w:rStyle w:val="Strong"/>
          <w:b w:val="0"/>
          <w:sz w:val="20"/>
          <w:szCs w:val="20"/>
        </w:rPr>
        <w:t>, 6(1), 127–132.</w:t>
      </w:r>
      <w:r w:rsidRPr="00A26B4A">
        <w:rPr>
          <w:sz w:val="20"/>
          <w:szCs w:val="20"/>
        </w:rPr>
        <w:t> </w:t>
      </w:r>
    </w:p>
    <w:p w14:paraId="5316CC4B" w14:textId="77777777" w:rsidR="005E4558" w:rsidRPr="00A26B4A" w:rsidRDefault="005E4558" w:rsidP="005E4558">
      <w:pPr>
        <w:pStyle w:val="ListParagraph"/>
        <w:numPr>
          <w:ilvl w:val="0"/>
          <w:numId w:val="2"/>
        </w:numPr>
        <w:shd w:val="clear" w:color="auto" w:fill="FFFFFF"/>
        <w:rPr>
          <w:rFonts w:ascii="Times New Roman" w:hAnsi="Times New Roman" w:cs="Times New Roman"/>
          <w:sz w:val="20"/>
          <w:szCs w:val="20"/>
        </w:rPr>
      </w:pPr>
      <w:r w:rsidRPr="00A26B4A">
        <w:rPr>
          <w:rStyle w:val="Strong"/>
          <w:rFonts w:ascii="Times New Roman" w:hAnsi="Times New Roman" w:cs="Times New Roman"/>
          <w:b w:val="0"/>
          <w:sz w:val="20"/>
          <w:szCs w:val="20"/>
          <w:shd w:val="clear" w:color="auto" w:fill="FFFFFF"/>
        </w:rPr>
        <w:t>Zeng, Y., Feng, R., Huang, C., Liu, J., &amp; Yang, F</w:t>
      </w:r>
      <w:r w:rsidRPr="00A26B4A">
        <w:rPr>
          <w:rStyle w:val="Strong"/>
          <w:rFonts w:ascii="Times New Roman" w:hAnsi="Times New Roman" w:cs="Times New Roman"/>
          <w:sz w:val="20"/>
          <w:szCs w:val="20"/>
          <w:shd w:val="clear" w:color="auto" w:fill="FFFFFF"/>
        </w:rPr>
        <w:t>.</w:t>
      </w:r>
      <w:r w:rsidRPr="00A26B4A">
        <w:rPr>
          <w:rFonts w:ascii="Times New Roman" w:hAnsi="Times New Roman" w:cs="Times New Roman"/>
          <w:sz w:val="20"/>
          <w:szCs w:val="20"/>
          <w:shd w:val="clear" w:color="auto" w:fill="FFFFFF"/>
        </w:rPr>
        <w:t> (2025). Antibiotic Resistance Genes in Agricultural Soils: A Comprehensive Review of the Hidden Crisis and Exploring Control Strategies. </w:t>
      </w:r>
      <w:r w:rsidRPr="00A26B4A">
        <w:rPr>
          <w:rStyle w:val="Emphasis"/>
          <w:rFonts w:ascii="Times New Roman" w:hAnsi="Times New Roman" w:cs="Times New Roman"/>
          <w:sz w:val="20"/>
          <w:szCs w:val="20"/>
          <w:shd w:val="clear" w:color="auto" w:fill="FFFFFF"/>
        </w:rPr>
        <w:t>Toxics, 13</w:t>
      </w:r>
      <w:r w:rsidRPr="00A26B4A">
        <w:rPr>
          <w:rFonts w:ascii="Times New Roman" w:hAnsi="Times New Roman" w:cs="Times New Roman"/>
          <w:sz w:val="20"/>
          <w:szCs w:val="20"/>
          <w:shd w:val="clear" w:color="auto" w:fill="FFFFFF"/>
        </w:rPr>
        <w:t>(4), 239. </w:t>
      </w:r>
      <w:hyperlink r:id="rId38" w:tgtFrame="_blank" w:history="1">
        <w:r w:rsidRPr="00A26B4A">
          <w:rPr>
            <w:rStyle w:val="Hyperlink"/>
            <w:rFonts w:ascii="Times New Roman" w:hAnsi="Times New Roman" w:cs="Times New Roman"/>
            <w:color w:val="auto"/>
            <w:sz w:val="20"/>
            <w:szCs w:val="20"/>
            <w:shd w:val="clear" w:color="auto" w:fill="FFFFFF"/>
          </w:rPr>
          <w:t>https://doi.org/10.3390/toxics13040239</w:t>
        </w:r>
      </w:hyperlink>
    </w:p>
    <w:p w14:paraId="77157AAD" w14:textId="77777777" w:rsidR="001170B7" w:rsidRPr="00A26B4A" w:rsidRDefault="001170B7" w:rsidP="00AB456D">
      <w:pPr>
        <w:jc w:val="both"/>
        <w:rPr>
          <w:rFonts w:ascii="Times New Roman" w:hAnsi="Times New Roman" w:cs="Times New Roman"/>
          <w:sz w:val="20"/>
          <w:szCs w:val="20"/>
        </w:rPr>
      </w:pPr>
    </w:p>
    <w:p w14:paraId="0E103084" w14:textId="77777777" w:rsidR="001170B7" w:rsidRPr="00A26B4A" w:rsidRDefault="001170B7" w:rsidP="00AB456D">
      <w:pPr>
        <w:jc w:val="both"/>
        <w:rPr>
          <w:rFonts w:ascii="Times New Roman" w:hAnsi="Times New Roman" w:cs="Times New Roman"/>
          <w:sz w:val="20"/>
          <w:szCs w:val="20"/>
        </w:rPr>
      </w:pPr>
    </w:p>
    <w:p w14:paraId="1E220090" w14:textId="77777777" w:rsidR="001170B7" w:rsidRPr="00A26B4A" w:rsidRDefault="001170B7" w:rsidP="00AB456D">
      <w:pPr>
        <w:jc w:val="both"/>
        <w:rPr>
          <w:rFonts w:ascii="Times New Roman" w:hAnsi="Times New Roman" w:cs="Times New Roman"/>
          <w:sz w:val="20"/>
          <w:szCs w:val="20"/>
        </w:rPr>
      </w:pPr>
    </w:p>
    <w:sectPr w:rsidR="001170B7" w:rsidRPr="00A26B4A">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DBD9C" w14:textId="77777777" w:rsidR="00534F4E" w:rsidRDefault="00534F4E" w:rsidP="00C05325">
      <w:pPr>
        <w:spacing w:after="0" w:line="240" w:lineRule="auto"/>
      </w:pPr>
      <w:r>
        <w:separator/>
      </w:r>
    </w:p>
  </w:endnote>
  <w:endnote w:type="continuationSeparator" w:id="0">
    <w:p w14:paraId="17F4FBBD" w14:textId="77777777" w:rsidR="00534F4E" w:rsidRDefault="00534F4E" w:rsidP="00C0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241D4" w14:textId="77777777" w:rsidR="00C05325" w:rsidRDefault="00C05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8B82" w14:textId="77777777" w:rsidR="00C05325" w:rsidRDefault="00C05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2A09" w14:textId="77777777" w:rsidR="00C05325" w:rsidRDefault="00C05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F9188" w14:textId="77777777" w:rsidR="00534F4E" w:rsidRDefault="00534F4E" w:rsidP="00C05325">
      <w:pPr>
        <w:spacing w:after="0" w:line="240" w:lineRule="auto"/>
      </w:pPr>
      <w:r>
        <w:separator/>
      </w:r>
    </w:p>
  </w:footnote>
  <w:footnote w:type="continuationSeparator" w:id="0">
    <w:p w14:paraId="5025DE79" w14:textId="77777777" w:rsidR="00534F4E" w:rsidRDefault="00534F4E" w:rsidP="00C0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73FF8" w14:textId="6BF92ADB" w:rsidR="00C05325" w:rsidRDefault="00534F4E">
    <w:pPr>
      <w:pStyle w:val="Header"/>
    </w:pPr>
    <w:r>
      <w:rPr>
        <w:noProof/>
      </w:rPr>
      <w:pict w14:anchorId="0F027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58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6A9A" w14:textId="4B8842EF" w:rsidR="00C05325" w:rsidRDefault="00534F4E">
    <w:pPr>
      <w:pStyle w:val="Header"/>
    </w:pPr>
    <w:r>
      <w:rPr>
        <w:noProof/>
      </w:rPr>
      <w:pict w14:anchorId="49CFF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58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C892A" w14:textId="1386FB98" w:rsidR="00C05325" w:rsidRDefault="00534F4E">
    <w:pPr>
      <w:pStyle w:val="Header"/>
    </w:pPr>
    <w:r>
      <w:rPr>
        <w:noProof/>
      </w:rPr>
      <w:pict w14:anchorId="7E2CB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58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25796"/>
    <w:multiLevelType w:val="hybridMultilevel"/>
    <w:tmpl w:val="DCB0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C5867"/>
    <w:multiLevelType w:val="multilevel"/>
    <w:tmpl w:val="5A141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C5"/>
    <w:rsid w:val="00012A0E"/>
    <w:rsid w:val="000132C4"/>
    <w:rsid w:val="00053D01"/>
    <w:rsid w:val="000640F0"/>
    <w:rsid w:val="00075D6D"/>
    <w:rsid w:val="00082541"/>
    <w:rsid w:val="000D37A2"/>
    <w:rsid w:val="000F784C"/>
    <w:rsid w:val="00113A7A"/>
    <w:rsid w:val="0011599E"/>
    <w:rsid w:val="001170B7"/>
    <w:rsid w:val="001336F1"/>
    <w:rsid w:val="00143F4D"/>
    <w:rsid w:val="00150F26"/>
    <w:rsid w:val="0017652D"/>
    <w:rsid w:val="001A79A9"/>
    <w:rsid w:val="001D0B81"/>
    <w:rsid w:val="001D5807"/>
    <w:rsid w:val="00200253"/>
    <w:rsid w:val="00285ADB"/>
    <w:rsid w:val="002B2949"/>
    <w:rsid w:val="002B5ED7"/>
    <w:rsid w:val="002E436B"/>
    <w:rsid w:val="003501F3"/>
    <w:rsid w:val="003932B5"/>
    <w:rsid w:val="0039614F"/>
    <w:rsid w:val="003A161A"/>
    <w:rsid w:val="003C04A6"/>
    <w:rsid w:val="003C4C0B"/>
    <w:rsid w:val="003F5E2E"/>
    <w:rsid w:val="00412916"/>
    <w:rsid w:val="00415DC5"/>
    <w:rsid w:val="00442E3B"/>
    <w:rsid w:val="004570FE"/>
    <w:rsid w:val="00473591"/>
    <w:rsid w:val="004742A5"/>
    <w:rsid w:val="004866D4"/>
    <w:rsid w:val="00494A3A"/>
    <w:rsid w:val="004971A2"/>
    <w:rsid w:val="004D5A1F"/>
    <w:rsid w:val="004F77DE"/>
    <w:rsid w:val="00522B02"/>
    <w:rsid w:val="00533D8C"/>
    <w:rsid w:val="00534F4E"/>
    <w:rsid w:val="0056324D"/>
    <w:rsid w:val="00577C71"/>
    <w:rsid w:val="005C6663"/>
    <w:rsid w:val="005D198B"/>
    <w:rsid w:val="005E0889"/>
    <w:rsid w:val="005E4558"/>
    <w:rsid w:val="00602BCB"/>
    <w:rsid w:val="00610C60"/>
    <w:rsid w:val="00635B5B"/>
    <w:rsid w:val="00640399"/>
    <w:rsid w:val="00676E84"/>
    <w:rsid w:val="00681CC8"/>
    <w:rsid w:val="006861C5"/>
    <w:rsid w:val="00694A65"/>
    <w:rsid w:val="006B1542"/>
    <w:rsid w:val="006D07DD"/>
    <w:rsid w:val="006F292E"/>
    <w:rsid w:val="006F511E"/>
    <w:rsid w:val="007173B6"/>
    <w:rsid w:val="00725D29"/>
    <w:rsid w:val="00725EAC"/>
    <w:rsid w:val="00753F12"/>
    <w:rsid w:val="0079334E"/>
    <w:rsid w:val="007A649C"/>
    <w:rsid w:val="007A735A"/>
    <w:rsid w:val="007B40D1"/>
    <w:rsid w:val="007D0CFD"/>
    <w:rsid w:val="007D2A54"/>
    <w:rsid w:val="007D6F09"/>
    <w:rsid w:val="007F1F45"/>
    <w:rsid w:val="007F5A9E"/>
    <w:rsid w:val="00802260"/>
    <w:rsid w:val="00813032"/>
    <w:rsid w:val="00841A13"/>
    <w:rsid w:val="00843605"/>
    <w:rsid w:val="00895F14"/>
    <w:rsid w:val="00897F92"/>
    <w:rsid w:val="008A288C"/>
    <w:rsid w:val="008A3780"/>
    <w:rsid w:val="008B6557"/>
    <w:rsid w:val="008C2315"/>
    <w:rsid w:val="008E2C6A"/>
    <w:rsid w:val="008E67C3"/>
    <w:rsid w:val="008F3E95"/>
    <w:rsid w:val="008F6F9A"/>
    <w:rsid w:val="009023CC"/>
    <w:rsid w:val="009176D0"/>
    <w:rsid w:val="009315CA"/>
    <w:rsid w:val="00951931"/>
    <w:rsid w:val="00967558"/>
    <w:rsid w:val="00971944"/>
    <w:rsid w:val="00984023"/>
    <w:rsid w:val="009D3187"/>
    <w:rsid w:val="009D6DA8"/>
    <w:rsid w:val="009F1388"/>
    <w:rsid w:val="009F36EC"/>
    <w:rsid w:val="00A26B4A"/>
    <w:rsid w:val="00A311E6"/>
    <w:rsid w:val="00A519E2"/>
    <w:rsid w:val="00A55805"/>
    <w:rsid w:val="00A603C3"/>
    <w:rsid w:val="00A632BB"/>
    <w:rsid w:val="00A6418C"/>
    <w:rsid w:val="00A73E5D"/>
    <w:rsid w:val="00A8457C"/>
    <w:rsid w:val="00A97209"/>
    <w:rsid w:val="00AB456D"/>
    <w:rsid w:val="00AC0D3B"/>
    <w:rsid w:val="00AE23C5"/>
    <w:rsid w:val="00AE73EC"/>
    <w:rsid w:val="00B05420"/>
    <w:rsid w:val="00B2209B"/>
    <w:rsid w:val="00B31D96"/>
    <w:rsid w:val="00B4305D"/>
    <w:rsid w:val="00B7493B"/>
    <w:rsid w:val="00B749F6"/>
    <w:rsid w:val="00B75780"/>
    <w:rsid w:val="00B84249"/>
    <w:rsid w:val="00B858F5"/>
    <w:rsid w:val="00B923EE"/>
    <w:rsid w:val="00BD0107"/>
    <w:rsid w:val="00BE20FD"/>
    <w:rsid w:val="00BE7ABF"/>
    <w:rsid w:val="00BF3F30"/>
    <w:rsid w:val="00C00BFE"/>
    <w:rsid w:val="00C05325"/>
    <w:rsid w:val="00C17704"/>
    <w:rsid w:val="00C704D7"/>
    <w:rsid w:val="00C8760A"/>
    <w:rsid w:val="00CB60BB"/>
    <w:rsid w:val="00CC206A"/>
    <w:rsid w:val="00CC560D"/>
    <w:rsid w:val="00D11CF0"/>
    <w:rsid w:val="00D3157D"/>
    <w:rsid w:val="00D6343F"/>
    <w:rsid w:val="00D74B61"/>
    <w:rsid w:val="00DB6A21"/>
    <w:rsid w:val="00DD6F6D"/>
    <w:rsid w:val="00E0076F"/>
    <w:rsid w:val="00E12AE1"/>
    <w:rsid w:val="00E15817"/>
    <w:rsid w:val="00E246F8"/>
    <w:rsid w:val="00E30413"/>
    <w:rsid w:val="00E43C6C"/>
    <w:rsid w:val="00E93CBE"/>
    <w:rsid w:val="00EA3711"/>
    <w:rsid w:val="00EB3069"/>
    <w:rsid w:val="00F15A46"/>
    <w:rsid w:val="00F54F84"/>
    <w:rsid w:val="00F6567B"/>
    <w:rsid w:val="00F718E5"/>
    <w:rsid w:val="00F912C3"/>
    <w:rsid w:val="00F94BED"/>
    <w:rsid w:val="00FA074B"/>
    <w:rsid w:val="00FB2967"/>
    <w:rsid w:val="00FD3785"/>
    <w:rsid w:val="00FD657A"/>
    <w:rsid w:val="00FE11E7"/>
    <w:rsid w:val="00FE172C"/>
    <w:rsid w:val="00FE4754"/>
    <w:rsid w:val="00FF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AC0390"/>
  <w15:chartTrackingRefBased/>
  <w15:docId w15:val="{DE2ED0DB-7D7F-40FF-946F-1F18A812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B45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F3F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12A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37A2"/>
    <w:rPr>
      <w:i/>
      <w:iCs/>
    </w:rPr>
  </w:style>
  <w:style w:type="character" w:styleId="Strong">
    <w:name w:val="Strong"/>
    <w:basedOn w:val="DefaultParagraphFont"/>
    <w:uiPriority w:val="22"/>
    <w:qFormat/>
    <w:rsid w:val="000D37A2"/>
    <w:rPr>
      <w:b/>
      <w:bCs/>
    </w:rPr>
  </w:style>
  <w:style w:type="character" w:customStyle="1" w:styleId="Heading2Char">
    <w:name w:val="Heading 2 Char"/>
    <w:basedOn w:val="DefaultParagraphFont"/>
    <w:link w:val="Heading2"/>
    <w:uiPriority w:val="9"/>
    <w:rsid w:val="00AB456D"/>
    <w:rPr>
      <w:rFonts w:ascii="Times New Roman" w:eastAsia="Times New Roman" w:hAnsi="Times New Roman" w:cs="Times New Roman"/>
      <w:b/>
      <w:bCs/>
      <w:sz w:val="36"/>
      <w:szCs w:val="36"/>
    </w:rPr>
  </w:style>
  <w:style w:type="paragraph" w:customStyle="1" w:styleId="ds-markdown-paragraph">
    <w:name w:val="ds-markdown-paragraph"/>
    <w:basedOn w:val="Normal"/>
    <w:rsid w:val="00AB45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70B7"/>
    <w:rPr>
      <w:color w:val="0000FF"/>
      <w:u w:val="single"/>
    </w:rPr>
  </w:style>
  <w:style w:type="character" w:customStyle="1" w:styleId="Heading3Char">
    <w:name w:val="Heading 3 Char"/>
    <w:basedOn w:val="DefaultParagraphFont"/>
    <w:link w:val="Heading3"/>
    <w:uiPriority w:val="9"/>
    <w:semiHidden/>
    <w:rsid w:val="00BF3F3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12AE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B43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0D3B"/>
    <w:rPr>
      <w:rFonts w:asciiTheme="majorHAnsi" w:eastAsiaTheme="majorEastAsia" w:hAnsiTheme="majorHAnsi" w:cstheme="majorBidi"/>
      <w:color w:val="2E74B5" w:themeColor="accent1" w:themeShade="BF"/>
      <w:sz w:val="32"/>
      <w:szCs w:val="32"/>
    </w:rPr>
  </w:style>
  <w:style w:type="character" w:customStyle="1" w:styleId="inlineblock">
    <w:name w:val="inlineblock"/>
    <w:basedOn w:val="DefaultParagraphFont"/>
    <w:rsid w:val="00AC0D3B"/>
  </w:style>
  <w:style w:type="character" w:customStyle="1" w:styleId="t">
    <w:name w:val="t"/>
    <w:basedOn w:val="DefaultParagraphFont"/>
    <w:rsid w:val="003F5E2E"/>
  </w:style>
  <w:style w:type="character" w:customStyle="1" w:styleId="text">
    <w:name w:val="text"/>
    <w:basedOn w:val="DefaultParagraphFont"/>
    <w:rsid w:val="009D6DA8"/>
  </w:style>
  <w:style w:type="character" w:customStyle="1" w:styleId="title-text">
    <w:name w:val="title-text"/>
    <w:basedOn w:val="DefaultParagraphFont"/>
    <w:rsid w:val="00143F4D"/>
  </w:style>
  <w:style w:type="character" w:customStyle="1" w:styleId="sr-only">
    <w:name w:val="sr-only"/>
    <w:basedOn w:val="DefaultParagraphFont"/>
    <w:rsid w:val="00143F4D"/>
  </w:style>
  <w:style w:type="character" w:customStyle="1" w:styleId="react-xocs-alternative-link">
    <w:name w:val="react-xocs-alternative-link"/>
    <w:basedOn w:val="DefaultParagraphFont"/>
    <w:rsid w:val="00143F4D"/>
  </w:style>
  <w:style w:type="character" w:customStyle="1" w:styleId="given-name">
    <w:name w:val="given-name"/>
    <w:basedOn w:val="DefaultParagraphFont"/>
    <w:rsid w:val="00143F4D"/>
  </w:style>
  <w:style w:type="character" w:customStyle="1" w:styleId="anchor-text">
    <w:name w:val="anchor-text"/>
    <w:basedOn w:val="DefaultParagraphFont"/>
    <w:rsid w:val="00143F4D"/>
  </w:style>
  <w:style w:type="paragraph" w:customStyle="1" w:styleId="authorstitle">
    <w:name w:val="authors__title"/>
    <w:basedOn w:val="Normal"/>
    <w:rsid w:val="00457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dates">
    <w:name w:val="chapter__dates"/>
    <w:basedOn w:val="Normal"/>
    <w:rsid w:val="00457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doi">
    <w:name w:val="chapter__doi"/>
    <w:basedOn w:val="Normal"/>
    <w:rsid w:val="004570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4558"/>
    <w:pPr>
      <w:ind w:left="720"/>
      <w:contextualSpacing/>
    </w:pPr>
  </w:style>
  <w:style w:type="character" w:customStyle="1" w:styleId="UnresolvedMention1">
    <w:name w:val="Unresolved Mention1"/>
    <w:basedOn w:val="DefaultParagraphFont"/>
    <w:uiPriority w:val="99"/>
    <w:semiHidden/>
    <w:unhideWhenUsed/>
    <w:rsid w:val="00A55805"/>
    <w:rPr>
      <w:color w:val="605E5C"/>
      <w:shd w:val="clear" w:color="auto" w:fill="E1DFDD"/>
    </w:rPr>
  </w:style>
  <w:style w:type="paragraph" w:styleId="Header">
    <w:name w:val="header"/>
    <w:basedOn w:val="Normal"/>
    <w:link w:val="HeaderChar"/>
    <w:uiPriority w:val="99"/>
    <w:unhideWhenUsed/>
    <w:rsid w:val="00C0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325"/>
  </w:style>
  <w:style w:type="paragraph" w:styleId="Footer">
    <w:name w:val="footer"/>
    <w:basedOn w:val="Normal"/>
    <w:link w:val="FooterChar"/>
    <w:uiPriority w:val="99"/>
    <w:unhideWhenUsed/>
    <w:rsid w:val="00C0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325"/>
  </w:style>
  <w:style w:type="character" w:styleId="CommentReference">
    <w:name w:val="annotation reference"/>
    <w:basedOn w:val="DefaultParagraphFont"/>
    <w:uiPriority w:val="99"/>
    <w:semiHidden/>
    <w:unhideWhenUsed/>
    <w:rsid w:val="00B05420"/>
    <w:rPr>
      <w:sz w:val="16"/>
      <w:szCs w:val="16"/>
    </w:rPr>
  </w:style>
  <w:style w:type="paragraph" w:styleId="CommentText">
    <w:name w:val="annotation text"/>
    <w:basedOn w:val="Normal"/>
    <w:link w:val="CommentTextChar"/>
    <w:uiPriority w:val="99"/>
    <w:semiHidden/>
    <w:unhideWhenUsed/>
    <w:rsid w:val="00B05420"/>
    <w:pPr>
      <w:spacing w:line="240" w:lineRule="auto"/>
    </w:pPr>
    <w:rPr>
      <w:sz w:val="20"/>
      <w:szCs w:val="20"/>
    </w:rPr>
  </w:style>
  <w:style w:type="character" w:customStyle="1" w:styleId="CommentTextChar">
    <w:name w:val="Comment Text Char"/>
    <w:basedOn w:val="DefaultParagraphFont"/>
    <w:link w:val="CommentText"/>
    <w:uiPriority w:val="99"/>
    <w:semiHidden/>
    <w:rsid w:val="00B05420"/>
    <w:rPr>
      <w:sz w:val="20"/>
      <w:szCs w:val="20"/>
    </w:rPr>
  </w:style>
  <w:style w:type="paragraph" w:styleId="CommentSubject">
    <w:name w:val="annotation subject"/>
    <w:basedOn w:val="CommentText"/>
    <w:next w:val="CommentText"/>
    <w:link w:val="CommentSubjectChar"/>
    <w:uiPriority w:val="99"/>
    <w:semiHidden/>
    <w:unhideWhenUsed/>
    <w:rsid w:val="00B05420"/>
    <w:rPr>
      <w:b/>
      <w:bCs/>
    </w:rPr>
  </w:style>
  <w:style w:type="character" w:customStyle="1" w:styleId="CommentSubjectChar">
    <w:name w:val="Comment Subject Char"/>
    <w:basedOn w:val="CommentTextChar"/>
    <w:link w:val="CommentSubject"/>
    <w:uiPriority w:val="99"/>
    <w:semiHidden/>
    <w:rsid w:val="00B05420"/>
    <w:rPr>
      <w:b/>
      <w:bCs/>
      <w:sz w:val="20"/>
      <w:szCs w:val="20"/>
    </w:rPr>
  </w:style>
  <w:style w:type="paragraph" w:styleId="BalloonText">
    <w:name w:val="Balloon Text"/>
    <w:basedOn w:val="Normal"/>
    <w:link w:val="BalloonTextChar"/>
    <w:uiPriority w:val="99"/>
    <w:semiHidden/>
    <w:unhideWhenUsed/>
    <w:rsid w:val="00B05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5642">
      <w:bodyDiv w:val="1"/>
      <w:marLeft w:val="0"/>
      <w:marRight w:val="0"/>
      <w:marTop w:val="0"/>
      <w:marBottom w:val="0"/>
      <w:divBdr>
        <w:top w:val="none" w:sz="0" w:space="0" w:color="auto"/>
        <w:left w:val="none" w:sz="0" w:space="0" w:color="auto"/>
        <w:bottom w:val="none" w:sz="0" w:space="0" w:color="auto"/>
        <w:right w:val="none" w:sz="0" w:space="0" w:color="auto"/>
      </w:divBdr>
    </w:div>
    <w:div w:id="127205629">
      <w:bodyDiv w:val="1"/>
      <w:marLeft w:val="0"/>
      <w:marRight w:val="0"/>
      <w:marTop w:val="0"/>
      <w:marBottom w:val="0"/>
      <w:divBdr>
        <w:top w:val="none" w:sz="0" w:space="0" w:color="auto"/>
        <w:left w:val="none" w:sz="0" w:space="0" w:color="auto"/>
        <w:bottom w:val="none" w:sz="0" w:space="0" w:color="auto"/>
        <w:right w:val="none" w:sz="0" w:space="0" w:color="auto"/>
      </w:divBdr>
      <w:divsChild>
        <w:div w:id="1368138264">
          <w:marLeft w:val="0"/>
          <w:marRight w:val="0"/>
          <w:marTop w:val="0"/>
          <w:marBottom w:val="0"/>
          <w:divBdr>
            <w:top w:val="none" w:sz="0" w:space="0" w:color="auto"/>
            <w:left w:val="none" w:sz="0" w:space="0" w:color="auto"/>
            <w:bottom w:val="none" w:sz="0" w:space="0" w:color="auto"/>
            <w:right w:val="none" w:sz="0" w:space="0" w:color="auto"/>
          </w:divBdr>
          <w:divsChild>
            <w:div w:id="3361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077">
      <w:bodyDiv w:val="1"/>
      <w:marLeft w:val="0"/>
      <w:marRight w:val="0"/>
      <w:marTop w:val="0"/>
      <w:marBottom w:val="0"/>
      <w:divBdr>
        <w:top w:val="none" w:sz="0" w:space="0" w:color="auto"/>
        <w:left w:val="none" w:sz="0" w:space="0" w:color="auto"/>
        <w:bottom w:val="none" w:sz="0" w:space="0" w:color="auto"/>
        <w:right w:val="none" w:sz="0" w:space="0" w:color="auto"/>
      </w:divBdr>
    </w:div>
    <w:div w:id="584343311">
      <w:bodyDiv w:val="1"/>
      <w:marLeft w:val="0"/>
      <w:marRight w:val="0"/>
      <w:marTop w:val="0"/>
      <w:marBottom w:val="0"/>
      <w:divBdr>
        <w:top w:val="none" w:sz="0" w:space="0" w:color="auto"/>
        <w:left w:val="none" w:sz="0" w:space="0" w:color="auto"/>
        <w:bottom w:val="none" w:sz="0" w:space="0" w:color="auto"/>
        <w:right w:val="none" w:sz="0" w:space="0" w:color="auto"/>
      </w:divBdr>
      <w:divsChild>
        <w:div w:id="641236341">
          <w:marLeft w:val="0"/>
          <w:marRight w:val="0"/>
          <w:marTop w:val="0"/>
          <w:marBottom w:val="0"/>
          <w:divBdr>
            <w:top w:val="none" w:sz="0" w:space="0" w:color="auto"/>
            <w:left w:val="none" w:sz="0" w:space="0" w:color="auto"/>
            <w:bottom w:val="none" w:sz="0" w:space="0" w:color="auto"/>
            <w:right w:val="none" w:sz="0" w:space="0" w:color="auto"/>
          </w:divBdr>
        </w:div>
      </w:divsChild>
    </w:div>
    <w:div w:id="648246289">
      <w:bodyDiv w:val="1"/>
      <w:marLeft w:val="0"/>
      <w:marRight w:val="0"/>
      <w:marTop w:val="0"/>
      <w:marBottom w:val="0"/>
      <w:divBdr>
        <w:top w:val="none" w:sz="0" w:space="0" w:color="auto"/>
        <w:left w:val="none" w:sz="0" w:space="0" w:color="auto"/>
        <w:bottom w:val="none" w:sz="0" w:space="0" w:color="auto"/>
        <w:right w:val="none" w:sz="0" w:space="0" w:color="auto"/>
      </w:divBdr>
      <w:divsChild>
        <w:div w:id="190459067">
          <w:marLeft w:val="0"/>
          <w:marRight w:val="0"/>
          <w:marTop w:val="0"/>
          <w:marBottom w:val="0"/>
          <w:divBdr>
            <w:top w:val="none" w:sz="0" w:space="0" w:color="auto"/>
            <w:left w:val="none" w:sz="0" w:space="0" w:color="auto"/>
            <w:bottom w:val="none" w:sz="0" w:space="0" w:color="auto"/>
            <w:right w:val="none" w:sz="0" w:space="0" w:color="auto"/>
          </w:divBdr>
          <w:divsChild>
            <w:div w:id="610667004">
              <w:marLeft w:val="0"/>
              <w:marRight w:val="0"/>
              <w:marTop w:val="0"/>
              <w:marBottom w:val="0"/>
              <w:divBdr>
                <w:top w:val="none" w:sz="0" w:space="0" w:color="auto"/>
                <w:left w:val="none" w:sz="0" w:space="0" w:color="auto"/>
                <w:bottom w:val="none" w:sz="0" w:space="0" w:color="auto"/>
                <w:right w:val="none" w:sz="0" w:space="0" w:color="auto"/>
              </w:divBdr>
              <w:divsChild>
                <w:div w:id="1446316043">
                  <w:marLeft w:val="0"/>
                  <w:marRight w:val="0"/>
                  <w:marTop w:val="0"/>
                  <w:marBottom w:val="0"/>
                  <w:divBdr>
                    <w:top w:val="none" w:sz="0" w:space="0" w:color="auto"/>
                    <w:left w:val="none" w:sz="0" w:space="0" w:color="auto"/>
                    <w:bottom w:val="none" w:sz="0" w:space="0" w:color="auto"/>
                    <w:right w:val="none" w:sz="0" w:space="0" w:color="auto"/>
                  </w:divBdr>
                  <w:divsChild>
                    <w:div w:id="7094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823893">
      <w:bodyDiv w:val="1"/>
      <w:marLeft w:val="0"/>
      <w:marRight w:val="0"/>
      <w:marTop w:val="0"/>
      <w:marBottom w:val="0"/>
      <w:divBdr>
        <w:top w:val="none" w:sz="0" w:space="0" w:color="auto"/>
        <w:left w:val="none" w:sz="0" w:space="0" w:color="auto"/>
        <w:bottom w:val="none" w:sz="0" w:space="0" w:color="auto"/>
        <w:right w:val="none" w:sz="0" w:space="0" w:color="auto"/>
      </w:divBdr>
    </w:div>
    <w:div w:id="956446315">
      <w:bodyDiv w:val="1"/>
      <w:marLeft w:val="0"/>
      <w:marRight w:val="0"/>
      <w:marTop w:val="0"/>
      <w:marBottom w:val="0"/>
      <w:divBdr>
        <w:top w:val="none" w:sz="0" w:space="0" w:color="auto"/>
        <w:left w:val="none" w:sz="0" w:space="0" w:color="auto"/>
        <w:bottom w:val="none" w:sz="0" w:space="0" w:color="auto"/>
        <w:right w:val="none" w:sz="0" w:space="0" w:color="auto"/>
      </w:divBdr>
    </w:div>
    <w:div w:id="957879253">
      <w:bodyDiv w:val="1"/>
      <w:marLeft w:val="0"/>
      <w:marRight w:val="0"/>
      <w:marTop w:val="0"/>
      <w:marBottom w:val="0"/>
      <w:divBdr>
        <w:top w:val="none" w:sz="0" w:space="0" w:color="auto"/>
        <w:left w:val="none" w:sz="0" w:space="0" w:color="auto"/>
        <w:bottom w:val="none" w:sz="0" w:space="0" w:color="auto"/>
        <w:right w:val="none" w:sz="0" w:space="0" w:color="auto"/>
      </w:divBdr>
      <w:divsChild>
        <w:div w:id="413627301">
          <w:marLeft w:val="0"/>
          <w:marRight w:val="0"/>
          <w:marTop w:val="0"/>
          <w:marBottom w:val="0"/>
          <w:divBdr>
            <w:top w:val="none" w:sz="0" w:space="0" w:color="auto"/>
            <w:left w:val="none" w:sz="0" w:space="0" w:color="auto"/>
            <w:bottom w:val="none" w:sz="0" w:space="0" w:color="auto"/>
            <w:right w:val="none" w:sz="0" w:space="0" w:color="auto"/>
          </w:divBdr>
          <w:divsChild>
            <w:div w:id="904150147">
              <w:marLeft w:val="0"/>
              <w:marRight w:val="0"/>
              <w:marTop w:val="0"/>
              <w:marBottom w:val="0"/>
              <w:divBdr>
                <w:top w:val="none" w:sz="0" w:space="0" w:color="auto"/>
                <w:left w:val="none" w:sz="0" w:space="0" w:color="auto"/>
                <w:bottom w:val="none" w:sz="0" w:space="0" w:color="auto"/>
                <w:right w:val="none" w:sz="0" w:space="0" w:color="auto"/>
              </w:divBdr>
            </w:div>
            <w:div w:id="398673795">
              <w:marLeft w:val="0"/>
              <w:marRight w:val="0"/>
              <w:marTop w:val="0"/>
              <w:marBottom w:val="0"/>
              <w:divBdr>
                <w:top w:val="none" w:sz="0" w:space="0" w:color="auto"/>
                <w:left w:val="none" w:sz="0" w:space="0" w:color="auto"/>
                <w:bottom w:val="none" w:sz="0" w:space="0" w:color="auto"/>
                <w:right w:val="none" w:sz="0" w:space="0" w:color="auto"/>
              </w:divBdr>
            </w:div>
            <w:div w:id="81412242">
              <w:marLeft w:val="0"/>
              <w:marRight w:val="0"/>
              <w:marTop w:val="0"/>
              <w:marBottom w:val="0"/>
              <w:divBdr>
                <w:top w:val="none" w:sz="0" w:space="0" w:color="auto"/>
                <w:left w:val="none" w:sz="0" w:space="0" w:color="auto"/>
                <w:bottom w:val="none" w:sz="0" w:space="0" w:color="auto"/>
                <w:right w:val="none" w:sz="0" w:space="0" w:color="auto"/>
              </w:divBdr>
            </w:div>
            <w:div w:id="1129741472">
              <w:marLeft w:val="0"/>
              <w:marRight w:val="0"/>
              <w:marTop w:val="0"/>
              <w:marBottom w:val="0"/>
              <w:divBdr>
                <w:top w:val="none" w:sz="0" w:space="0" w:color="auto"/>
                <w:left w:val="none" w:sz="0" w:space="0" w:color="auto"/>
                <w:bottom w:val="none" w:sz="0" w:space="0" w:color="auto"/>
                <w:right w:val="none" w:sz="0" w:space="0" w:color="auto"/>
              </w:divBdr>
            </w:div>
            <w:div w:id="79595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31590">
      <w:bodyDiv w:val="1"/>
      <w:marLeft w:val="0"/>
      <w:marRight w:val="0"/>
      <w:marTop w:val="0"/>
      <w:marBottom w:val="0"/>
      <w:divBdr>
        <w:top w:val="none" w:sz="0" w:space="0" w:color="auto"/>
        <w:left w:val="none" w:sz="0" w:space="0" w:color="auto"/>
        <w:bottom w:val="none" w:sz="0" w:space="0" w:color="auto"/>
        <w:right w:val="none" w:sz="0" w:space="0" w:color="auto"/>
      </w:divBdr>
    </w:div>
    <w:div w:id="1311131008">
      <w:bodyDiv w:val="1"/>
      <w:marLeft w:val="0"/>
      <w:marRight w:val="0"/>
      <w:marTop w:val="0"/>
      <w:marBottom w:val="0"/>
      <w:divBdr>
        <w:top w:val="none" w:sz="0" w:space="0" w:color="auto"/>
        <w:left w:val="none" w:sz="0" w:space="0" w:color="auto"/>
        <w:bottom w:val="none" w:sz="0" w:space="0" w:color="auto"/>
        <w:right w:val="none" w:sz="0" w:space="0" w:color="auto"/>
      </w:divBdr>
    </w:div>
    <w:div w:id="1707244910">
      <w:bodyDiv w:val="1"/>
      <w:marLeft w:val="0"/>
      <w:marRight w:val="0"/>
      <w:marTop w:val="0"/>
      <w:marBottom w:val="0"/>
      <w:divBdr>
        <w:top w:val="none" w:sz="0" w:space="0" w:color="auto"/>
        <w:left w:val="none" w:sz="0" w:space="0" w:color="auto"/>
        <w:bottom w:val="none" w:sz="0" w:space="0" w:color="auto"/>
        <w:right w:val="none" w:sz="0" w:space="0" w:color="auto"/>
      </w:divBdr>
    </w:div>
    <w:div w:id="1830439700">
      <w:bodyDiv w:val="1"/>
      <w:marLeft w:val="0"/>
      <w:marRight w:val="0"/>
      <w:marTop w:val="0"/>
      <w:marBottom w:val="0"/>
      <w:divBdr>
        <w:top w:val="none" w:sz="0" w:space="0" w:color="auto"/>
        <w:left w:val="none" w:sz="0" w:space="0" w:color="auto"/>
        <w:bottom w:val="none" w:sz="0" w:space="0" w:color="auto"/>
        <w:right w:val="none" w:sz="0" w:space="0" w:color="auto"/>
      </w:divBdr>
    </w:div>
    <w:div w:id="1925190359">
      <w:bodyDiv w:val="1"/>
      <w:marLeft w:val="0"/>
      <w:marRight w:val="0"/>
      <w:marTop w:val="0"/>
      <w:marBottom w:val="0"/>
      <w:divBdr>
        <w:top w:val="none" w:sz="0" w:space="0" w:color="auto"/>
        <w:left w:val="none" w:sz="0" w:space="0" w:color="auto"/>
        <w:bottom w:val="none" w:sz="0" w:space="0" w:color="auto"/>
        <w:right w:val="none" w:sz="0" w:space="0" w:color="auto"/>
      </w:divBdr>
    </w:div>
    <w:div w:id="1945915922">
      <w:bodyDiv w:val="1"/>
      <w:marLeft w:val="0"/>
      <w:marRight w:val="0"/>
      <w:marTop w:val="0"/>
      <w:marBottom w:val="0"/>
      <w:divBdr>
        <w:top w:val="none" w:sz="0" w:space="0" w:color="auto"/>
        <w:left w:val="none" w:sz="0" w:space="0" w:color="auto"/>
        <w:bottom w:val="none" w:sz="0" w:space="0" w:color="auto"/>
        <w:right w:val="none" w:sz="0" w:space="0" w:color="auto"/>
      </w:divBdr>
      <w:divsChild>
        <w:div w:id="1207067551">
          <w:marLeft w:val="0"/>
          <w:marRight w:val="0"/>
          <w:marTop w:val="0"/>
          <w:marBottom w:val="0"/>
          <w:divBdr>
            <w:top w:val="none" w:sz="0" w:space="0" w:color="auto"/>
            <w:left w:val="none" w:sz="0" w:space="0" w:color="auto"/>
            <w:bottom w:val="none" w:sz="0" w:space="0" w:color="auto"/>
            <w:right w:val="none" w:sz="0" w:space="0" w:color="auto"/>
          </w:divBdr>
        </w:div>
      </w:divsChild>
    </w:div>
    <w:div w:id="1965843598">
      <w:bodyDiv w:val="1"/>
      <w:marLeft w:val="0"/>
      <w:marRight w:val="0"/>
      <w:marTop w:val="0"/>
      <w:marBottom w:val="0"/>
      <w:divBdr>
        <w:top w:val="none" w:sz="0" w:space="0" w:color="auto"/>
        <w:left w:val="none" w:sz="0" w:space="0" w:color="auto"/>
        <w:bottom w:val="none" w:sz="0" w:space="0" w:color="auto"/>
        <w:right w:val="none" w:sz="0" w:space="0" w:color="auto"/>
      </w:divBdr>
    </w:div>
    <w:div w:id="1977832716">
      <w:bodyDiv w:val="1"/>
      <w:marLeft w:val="0"/>
      <w:marRight w:val="0"/>
      <w:marTop w:val="0"/>
      <w:marBottom w:val="0"/>
      <w:divBdr>
        <w:top w:val="none" w:sz="0" w:space="0" w:color="auto"/>
        <w:left w:val="none" w:sz="0" w:space="0" w:color="auto"/>
        <w:bottom w:val="none" w:sz="0" w:space="0" w:color="auto"/>
        <w:right w:val="none" w:sz="0" w:space="0" w:color="auto"/>
      </w:divBdr>
    </w:div>
    <w:div w:id="2141606276">
      <w:bodyDiv w:val="1"/>
      <w:marLeft w:val="0"/>
      <w:marRight w:val="0"/>
      <w:marTop w:val="0"/>
      <w:marBottom w:val="0"/>
      <w:divBdr>
        <w:top w:val="none" w:sz="0" w:space="0" w:color="auto"/>
        <w:left w:val="none" w:sz="0" w:space="0" w:color="auto"/>
        <w:bottom w:val="none" w:sz="0" w:space="0" w:color="auto"/>
        <w:right w:val="none" w:sz="0" w:space="0" w:color="auto"/>
      </w:divBdr>
      <w:divsChild>
        <w:div w:id="731004155">
          <w:marLeft w:val="0"/>
          <w:marRight w:val="0"/>
          <w:marTop w:val="0"/>
          <w:marBottom w:val="120"/>
          <w:divBdr>
            <w:top w:val="none" w:sz="0" w:space="0" w:color="auto"/>
            <w:left w:val="none" w:sz="0" w:space="0" w:color="auto"/>
            <w:bottom w:val="none" w:sz="0" w:space="0" w:color="auto"/>
            <w:right w:val="none" w:sz="0" w:space="0" w:color="auto"/>
          </w:divBdr>
          <w:divsChild>
            <w:div w:id="1531381114">
              <w:marLeft w:val="0"/>
              <w:marRight w:val="0"/>
              <w:marTop w:val="0"/>
              <w:marBottom w:val="0"/>
              <w:divBdr>
                <w:top w:val="none" w:sz="0" w:space="0" w:color="auto"/>
                <w:left w:val="none" w:sz="0" w:space="0" w:color="auto"/>
                <w:bottom w:val="none" w:sz="0" w:space="0" w:color="auto"/>
                <w:right w:val="none" w:sz="0" w:space="0" w:color="auto"/>
              </w:divBdr>
              <w:divsChild>
                <w:div w:id="1114330784">
                  <w:marLeft w:val="0"/>
                  <w:marRight w:val="0"/>
                  <w:marTop w:val="0"/>
                  <w:marBottom w:val="0"/>
                  <w:divBdr>
                    <w:top w:val="none" w:sz="0" w:space="0" w:color="auto"/>
                    <w:left w:val="none" w:sz="0" w:space="0" w:color="auto"/>
                    <w:bottom w:val="none" w:sz="0" w:space="0" w:color="auto"/>
                    <w:right w:val="none" w:sz="0" w:space="0" w:color="auto"/>
                  </w:divBdr>
                  <w:divsChild>
                    <w:div w:id="4493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4787210.2020.1730813" TargetMode="External"/><Relationship Id="rId18" Type="http://schemas.openxmlformats.org/officeDocument/2006/relationships/hyperlink" Target="https://doi.org/10.53346/wjapmr.2026.10.2.0013" TargetMode="External"/><Relationship Id="rId26" Type="http://schemas.openxmlformats.org/officeDocument/2006/relationships/hyperlink" Target="https://doi.org/10.3168/jds.2020-18935" TargetMode="External"/><Relationship Id="rId39" Type="http://schemas.openxmlformats.org/officeDocument/2006/relationships/header" Target="header1.xml"/><Relationship Id="rId21" Type="http://schemas.openxmlformats.org/officeDocument/2006/relationships/hyperlink" Target="https://doi.org/10.1016/j.tim.2017.05.011" TargetMode="External"/><Relationship Id="rId34" Type="http://schemas.openxmlformats.org/officeDocument/2006/relationships/hyperlink" Target="https://doi.org/10.1016/j.vetmic.2020.108631" TargetMode="External"/><Relationship Id="rId42" Type="http://schemas.openxmlformats.org/officeDocument/2006/relationships/footer" Target="footer2.xml"/><Relationship Id="rId7" Type="http://schemas.openxmlformats.org/officeDocument/2006/relationships/hyperlink" Target="https://doi.org/10.30574/wjbphs.2026.26.1.0175" TargetMode="External"/><Relationship Id="rId2" Type="http://schemas.openxmlformats.org/officeDocument/2006/relationships/styles" Target="styles.xml"/><Relationship Id="rId16" Type="http://schemas.openxmlformats.org/officeDocument/2006/relationships/hyperlink" Target="https://doi.org/10.1186/s42269-024-01123-5" TargetMode="External"/><Relationship Id="rId29" Type="http://schemas.openxmlformats.org/officeDocument/2006/relationships/hyperlink" Target="https://doi.org/10.1016/0020-7101(87)9005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ntibiotics10020198" TargetMode="External"/><Relationship Id="rId24" Type="http://schemas.openxmlformats.org/officeDocument/2006/relationships/hyperlink" Target="https://doi.org/10.3390/ijerph13100949" TargetMode="External"/><Relationship Id="rId32" Type="http://schemas.openxmlformats.org/officeDocument/2006/relationships/hyperlink" Target="https://doi.org/10.2166/wh.2019.177" TargetMode="External"/><Relationship Id="rId37" Type="http://schemas.openxmlformats.org/officeDocument/2006/relationships/hyperlink" Target="https://doi.org/10.30574/wjarr.2025.25.2.0231"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1/jamainternmed.2013.14408" TargetMode="External"/><Relationship Id="rId23" Type="http://schemas.openxmlformats.org/officeDocument/2006/relationships/hyperlink" Target="https://doi.org/10.1089/mdr.2020.0001" TargetMode="External"/><Relationship Id="rId28" Type="http://schemas.openxmlformats.org/officeDocument/2006/relationships/hyperlink" Target="https://doi.org/10.1186/s12941-020-00367-x" TargetMode="External"/><Relationship Id="rId36" Type="http://schemas.openxmlformats.org/officeDocument/2006/relationships/hyperlink" Target="https://doi.org/10.1016/S1473-3099(12)70238-4" TargetMode="External"/><Relationship Id="rId10" Type="http://schemas.openxmlformats.org/officeDocument/2006/relationships/hyperlink" Target="https://doi.org/10.5772/intechopen.111716" TargetMode="External"/><Relationship Id="rId19" Type="http://schemas.openxmlformats.org/officeDocument/2006/relationships/hyperlink" Target="https://doi.org/10.1186/s13756-023-01245-9" TargetMode="External"/><Relationship Id="rId31" Type="http://schemas.openxmlformats.org/officeDocument/2006/relationships/hyperlink" Target="https://doi.org/10.53346/wjbpr.2026.10.1.0013"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371/journal.pone.0236713" TargetMode="External"/><Relationship Id="rId14" Type="http://schemas.openxmlformats.org/officeDocument/2006/relationships/hyperlink" Target="https://doi.org/10.1128/CMR.00109-13" TargetMode="External"/><Relationship Id="rId22" Type="http://schemas.openxmlformats.org/officeDocument/2006/relationships/hyperlink" Target="https://doi.org/10.1016/j.cmi.2018.11.012" TargetMode="External"/><Relationship Id="rId27" Type="http://schemas.openxmlformats.org/officeDocument/2006/relationships/hyperlink" Target="https://doi.org/10.1093/gbe/evv066" TargetMode="External"/><Relationship Id="rId30" Type="http://schemas.openxmlformats.org/officeDocument/2006/relationships/hyperlink" Target="https://doi.org/10.51459/jostir.2025.1.Special-Issue.071" TargetMode="External"/><Relationship Id="rId35" Type="http://schemas.openxmlformats.org/officeDocument/2006/relationships/hyperlink" Target="https://doi.org/10.1080/10495398.2022.2096625" TargetMode="External"/><Relationship Id="rId43" Type="http://schemas.openxmlformats.org/officeDocument/2006/relationships/header" Target="header3.xml"/><Relationship Id="rId8" Type="http://schemas.openxmlformats.org/officeDocument/2006/relationships/hyperlink" Target="https://doi.org/10.1186/s12941-022-00516-4" TargetMode="External"/><Relationship Id="rId3" Type="http://schemas.openxmlformats.org/officeDocument/2006/relationships/settings" Target="settings.xml"/><Relationship Id="rId12" Type="http://schemas.openxmlformats.org/officeDocument/2006/relationships/hyperlink" Target="https://doi.org/10.1155/2018/1746139" TargetMode="External"/><Relationship Id="rId17" Type="http://schemas.openxmlformats.org/officeDocument/2006/relationships/hyperlink" Target="https://doi.org/10.1002/mbo3.946" TargetMode="External"/><Relationship Id="rId25" Type="http://schemas.openxmlformats.org/officeDocument/2006/relationships/hyperlink" Target="https://doi.org/10.3390/ani9110900" TargetMode="External"/><Relationship Id="rId33" Type="http://schemas.openxmlformats.org/officeDocument/2006/relationships/hyperlink" Target="https://doi.org/10.56919/usci.2542.027" TargetMode="External"/><Relationship Id="rId38" Type="http://schemas.openxmlformats.org/officeDocument/2006/relationships/hyperlink" Target="https://doi.org/10.3390/toxics13040239" TargetMode="External"/><Relationship Id="rId46" Type="http://schemas.openxmlformats.org/officeDocument/2006/relationships/theme" Target="theme/theme1.xml"/><Relationship Id="rId20" Type="http://schemas.openxmlformats.org/officeDocument/2006/relationships/hyperlink" Target="https://doi.org/10.3390/pathogens10020170"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11</Pages>
  <Words>7239</Words>
  <Characters>41267</Characters>
  <Application>Microsoft Office Word</Application>
  <DocSecurity>0</DocSecurity>
  <Lines>343</Lines>
  <Paragraphs>96</Paragraphs>
  <ScaleCrop>false</ScaleCrop>
  <Company/>
  <LinksUpToDate>false</LinksUpToDate>
  <CharactersWithSpaces>48410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119</cp:revision>
  <dcterms:created xsi:type="dcterms:W3CDTF">2026-04-15T10:42:00Z</dcterms:created>
  <dcterms:modified xsi:type="dcterms:W3CDTF">2026-05-13T05:40:00Z</dcterms:modified>
</cp:coreProperties>
</file>