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85772" w14:textId="56FE9A7E" w:rsidR="00DB7B4A" w:rsidRPr="00DB7B4A" w:rsidRDefault="00DB7B4A" w:rsidP="00441B6F">
      <w:pPr>
        <w:pStyle w:val="Author"/>
        <w:spacing w:line="240" w:lineRule="auto"/>
        <w:rPr>
          <w:rFonts w:ascii="Arial" w:hAnsi="Arial" w:cs="Arial"/>
          <w:bCs/>
          <w:i/>
          <w:iCs/>
          <w:kern w:val="28"/>
          <w:sz w:val="36"/>
          <w:u w:val="single"/>
        </w:rPr>
      </w:pPr>
      <w:r w:rsidRPr="00DB7B4A">
        <w:rPr>
          <w:rFonts w:ascii="Arial" w:hAnsi="Arial" w:cs="Arial"/>
          <w:bCs/>
          <w:i/>
          <w:iCs/>
          <w:kern w:val="28"/>
          <w:sz w:val="36"/>
          <w:u w:val="single"/>
        </w:rPr>
        <w:t>Original Research Article</w:t>
      </w:r>
    </w:p>
    <w:p w14:paraId="0079AC6B" w14:textId="77777777" w:rsidR="00DB7B4A" w:rsidRDefault="00DB7B4A" w:rsidP="00441B6F">
      <w:pPr>
        <w:pStyle w:val="Author"/>
        <w:spacing w:line="240" w:lineRule="auto"/>
        <w:rPr>
          <w:rFonts w:ascii="Arial" w:hAnsi="Arial" w:cs="Arial"/>
          <w:bCs/>
          <w:iCs/>
          <w:kern w:val="28"/>
          <w:sz w:val="36"/>
        </w:rPr>
      </w:pPr>
    </w:p>
    <w:p w14:paraId="14C656F6" w14:textId="3C6C3B32" w:rsidR="00163BC4" w:rsidRPr="00163BC4" w:rsidRDefault="00FC0625" w:rsidP="00441B6F">
      <w:pPr>
        <w:pStyle w:val="Author"/>
        <w:spacing w:line="240" w:lineRule="auto"/>
        <w:rPr>
          <w:rFonts w:ascii="Arial" w:hAnsi="Arial" w:cs="Arial"/>
          <w:bCs/>
          <w:iCs/>
          <w:kern w:val="28"/>
          <w:sz w:val="36"/>
        </w:rPr>
      </w:pPr>
      <w:r w:rsidRPr="00FC0625">
        <w:rPr>
          <w:rFonts w:ascii="Arial" w:hAnsi="Arial" w:cs="Arial"/>
          <w:bCs/>
          <w:iCs/>
          <w:kern w:val="28"/>
          <w:sz w:val="36"/>
        </w:rPr>
        <w:t>Assess</w:t>
      </w:r>
      <w:r w:rsidR="000A7954">
        <w:rPr>
          <w:rFonts w:ascii="Arial" w:hAnsi="Arial" w:cs="Arial"/>
          <w:bCs/>
          <w:iCs/>
          <w:kern w:val="28"/>
          <w:sz w:val="36"/>
        </w:rPr>
        <w:t>ing</w:t>
      </w:r>
      <w:r w:rsidRPr="00FC0625">
        <w:rPr>
          <w:rFonts w:ascii="Arial" w:hAnsi="Arial" w:cs="Arial"/>
          <w:bCs/>
          <w:iCs/>
          <w:kern w:val="28"/>
          <w:sz w:val="36"/>
        </w:rPr>
        <w:t xml:space="preserve"> the Potential for Youth Participation in Ghana’s Aquaculture Sector: A Case Study of Senior High Schools in Sunyani Municipality</w:t>
      </w:r>
      <w:r w:rsidR="00D523D6">
        <w:rPr>
          <w:rFonts w:ascii="Arial" w:hAnsi="Arial" w:cs="Arial"/>
          <w:bCs/>
          <w:iCs/>
          <w:kern w:val="28"/>
          <w:sz w:val="36"/>
        </w:rPr>
        <w:t xml:space="preserve"> of </w:t>
      </w:r>
      <w:r w:rsidR="00D523D6" w:rsidRPr="00D523D6">
        <w:rPr>
          <w:rFonts w:ascii="Arial" w:hAnsi="Arial" w:cs="Arial"/>
          <w:bCs/>
          <w:iCs/>
          <w:kern w:val="28"/>
          <w:sz w:val="36"/>
        </w:rPr>
        <w:t>Bono Region</w:t>
      </w:r>
      <w:r w:rsidR="00D523D6">
        <w:rPr>
          <w:rFonts w:ascii="Arial" w:hAnsi="Arial" w:cs="Arial"/>
          <w:bCs/>
          <w:iCs/>
          <w:kern w:val="28"/>
          <w:sz w:val="36"/>
        </w:rPr>
        <w:t>, Ghana</w:t>
      </w:r>
      <w:r w:rsidR="00231920">
        <w:rPr>
          <w:rFonts w:ascii="Arial" w:hAnsi="Arial" w:cs="Arial"/>
          <w:bCs/>
          <w:iCs/>
          <w:kern w:val="28"/>
          <w:sz w:val="36"/>
        </w:rPr>
        <w:t xml:space="preserve"> </w:t>
      </w:r>
    </w:p>
    <w:p w14:paraId="1802C58E" w14:textId="77777777" w:rsidR="00A258C3" w:rsidRPr="00790ADA" w:rsidRDefault="00A258C3" w:rsidP="00441B6F">
      <w:pPr>
        <w:pStyle w:val="Author"/>
        <w:spacing w:line="240" w:lineRule="auto"/>
        <w:jc w:val="both"/>
        <w:rPr>
          <w:rFonts w:ascii="Arial" w:hAnsi="Arial" w:cs="Arial"/>
          <w:sz w:val="36"/>
        </w:rPr>
      </w:pPr>
    </w:p>
    <w:p w14:paraId="174CF02D" w14:textId="77777777" w:rsidR="00A509E2" w:rsidRPr="00FB3A86" w:rsidRDefault="00A509E2" w:rsidP="004D2566">
      <w:pPr>
        <w:pStyle w:val="Affiliation"/>
        <w:rPr>
          <w:rFonts w:ascii="Arial" w:hAnsi="Arial" w:cs="Arial"/>
        </w:rPr>
      </w:pPr>
    </w:p>
    <w:p w14:paraId="68DEC7C5" w14:textId="1E8B0FD5" w:rsidR="00B01FCD" w:rsidRPr="00FB3A86" w:rsidRDefault="00F531CB" w:rsidP="00441B6F">
      <w:pPr>
        <w:pStyle w:val="Copyright"/>
        <w:spacing w:after="0" w:line="240" w:lineRule="auto"/>
        <w:jc w:val="both"/>
        <w:rPr>
          <w:rFonts w:ascii="Arial" w:hAnsi="Arial" w:cs="Arial"/>
        </w:rPr>
        <w:sectPr w:rsidR="00B01FCD" w:rsidRPr="00FB3A86" w:rsidSect="009D33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3B64B" wp14:editId="49F6DD0D">
                <wp:extent cx="5303520" cy="635"/>
                <wp:effectExtent l="15240" t="14605" r="15240" b="13970"/>
                <wp:docPr id="15681132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D18C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A2B771" w14:textId="33AB07DA" w:rsidR="00B01FCD" w:rsidRDefault="00B01FCD" w:rsidP="00441B6F">
      <w:pPr>
        <w:pStyle w:val="AbstHead"/>
        <w:spacing w:after="0"/>
        <w:jc w:val="both"/>
        <w:rPr>
          <w:rFonts w:ascii="Arial" w:hAnsi="Arial" w:cs="Arial"/>
        </w:rPr>
      </w:pPr>
      <w:r w:rsidRPr="00FB3A86">
        <w:rPr>
          <w:rFonts w:ascii="Arial" w:hAnsi="Arial" w:cs="Arial"/>
        </w:rPr>
        <w:t>ABSTRACT</w:t>
      </w:r>
    </w:p>
    <w:p w14:paraId="0E645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656C4DD" w14:textId="77777777" w:rsidTr="001E44FE">
        <w:tc>
          <w:tcPr>
            <w:tcW w:w="9576" w:type="dxa"/>
            <w:shd w:val="clear" w:color="auto" w:fill="F2F2F2"/>
          </w:tcPr>
          <w:p w14:paraId="7AEFE62B" w14:textId="44549129" w:rsidR="009C7469" w:rsidRDefault="009C7469" w:rsidP="00441B6F">
            <w:pPr>
              <w:pStyle w:val="Body"/>
              <w:spacing w:after="0"/>
              <w:rPr>
                <w:rFonts w:ascii="Arial" w:eastAsia="Calibri" w:hAnsi="Arial" w:cs="Arial"/>
                <w:b/>
                <w:szCs w:val="22"/>
              </w:rPr>
            </w:pPr>
            <w:bookmarkStart w:id="0" w:name="_Hlk228048905"/>
            <w:r w:rsidRPr="009C7469">
              <w:rPr>
                <w:rFonts w:ascii="Arial" w:eastAsia="Calibri" w:hAnsi="Arial" w:cs="Arial"/>
                <w:b/>
                <w:szCs w:val="22"/>
                <w:highlight w:val="yellow"/>
              </w:rPr>
              <w:t>Background:</w:t>
            </w:r>
            <w:r>
              <w:rPr>
                <w:rFonts w:ascii="Arial" w:eastAsia="Calibri" w:hAnsi="Arial" w:cs="Arial"/>
                <w:b/>
                <w:szCs w:val="22"/>
              </w:rPr>
              <w:t xml:space="preserve"> </w:t>
            </w:r>
            <w:r w:rsidRPr="009C7469">
              <w:rPr>
                <w:rFonts w:ascii="Arial" w:eastAsia="Calibri" w:hAnsi="Arial" w:cs="Arial"/>
                <w:szCs w:val="22"/>
                <w:highlight w:val="yellow"/>
              </w:rPr>
              <w:t>Fish farming has become an important solution to increasing fish demand in Ghana, yet limited studies have examined Senior High School students’ awareness, perceptions, and willingness to engage in aquaculture in Sunyani, Bono Region.</w:t>
            </w:r>
          </w:p>
          <w:p w14:paraId="2385C88F" w14:textId="7FE4788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C0625" w:rsidRPr="00FC0625">
              <w:rPr>
                <w:rFonts w:ascii="Arial" w:eastAsia="Calibri" w:hAnsi="Arial" w:cs="Arial"/>
                <w:szCs w:val="22"/>
              </w:rPr>
              <w:t>This study assessed Senior High School (SHS) students’ awareness, perceptions, and intentions toward fish farming in the Sunyani Municipality of the Bono Region, Ghana.</w:t>
            </w:r>
          </w:p>
          <w:p w14:paraId="35EC5CCE" w14:textId="61D88B1A" w:rsidR="00251A80" w:rsidRPr="00BA1B01" w:rsidRDefault="00BA1B01" w:rsidP="00251A8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51A80" w:rsidRPr="00FC0625">
              <w:rPr>
                <w:rFonts w:ascii="Arial" w:eastAsia="Calibri" w:hAnsi="Arial" w:cs="Arial"/>
                <w:szCs w:val="22"/>
              </w:rPr>
              <w:t>A cross-sectional survey was conducted using a semi-structured questionnaire.</w:t>
            </w:r>
          </w:p>
          <w:p w14:paraId="6B96442D" w14:textId="7EF44C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2298D" w:rsidRPr="00E2298D">
              <w:rPr>
                <w:rFonts w:ascii="Arial" w:eastAsia="Calibri" w:hAnsi="Arial" w:cs="Arial"/>
                <w:szCs w:val="22"/>
              </w:rPr>
              <w:t>The study was conducted in the Sunyani Municipality in the Bono Region of Ghana</w:t>
            </w:r>
            <w:r w:rsidR="00E2298D">
              <w:rPr>
                <w:rFonts w:ascii="Arial" w:eastAsia="Calibri" w:hAnsi="Arial" w:cs="Arial"/>
                <w:szCs w:val="22"/>
              </w:rPr>
              <w:t>, in May</w:t>
            </w:r>
            <w:r w:rsidRPr="00BA1B01">
              <w:rPr>
                <w:rFonts w:ascii="Arial" w:eastAsia="Calibri" w:hAnsi="Arial" w:cs="Arial"/>
                <w:szCs w:val="22"/>
              </w:rPr>
              <w:t xml:space="preserve"> 201</w:t>
            </w:r>
            <w:r w:rsidR="00E2298D">
              <w:rPr>
                <w:rFonts w:ascii="Arial" w:eastAsia="Calibri" w:hAnsi="Arial" w:cs="Arial"/>
                <w:szCs w:val="22"/>
              </w:rPr>
              <w:t>7</w:t>
            </w:r>
            <w:r w:rsidRPr="00BA1B01">
              <w:rPr>
                <w:rFonts w:ascii="Arial" w:eastAsia="Calibri" w:hAnsi="Arial" w:cs="Arial"/>
                <w:szCs w:val="22"/>
              </w:rPr>
              <w:t>.</w:t>
            </w:r>
          </w:p>
          <w:p w14:paraId="7EC2668F" w14:textId="5123048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2298D" w:rsidRPr="00E2298D">
              <w:rPr>
                <w:rFonts w:ascii="Arial" w:eastAsia="Calibri" w:hAnsi="Arial" w:cs="Arial"/>
                <w:szCs w:val="22"/>
              </w:rPr>
              <w:t xml:space="preserve">A multi-stage sampling technique was employed </w:t>
            </w:r>
            <w:r w:rsidR="00E2298D">
              <w:rPr>
                <w:rFonts w:ascii="Arial" w:eastAsia="Calibri" w:hAnsi="Arial" w:cs="Arial"/>
                <w:szCs w:val="22"/>
              </w:rPr>
              <w:t xml:space="preserve">to </w:t>
            </w:r>
            <w:r w:rsidR="00E2298D" w:rsidRPr="00E2298D">
              <w:rPr>
                <w:rFonts w:ascii="Arial" w:eastAsia="Calibri" w:hAnsi="Arial" w:cs="Arial"/>
                <w:szCs w:val="22"/>
              </w:rPr>
              <w:t>randomly select</w:t>
            </w:r>
            <w:r w:rsidR="00E2298D">
              <w:rPr>
                <w:rFonts w:ascii="Arial" w:eastAsia="Calibri" w:hAnsi="Arial" w:cs="Arial"/>
                <w:szCs w:val="22"/>
              </w:rPr>
              <w:t xml:space="preserve"> three (3) </w:t>
            </w:r>
            <w:r w:rsidR="00E2298D" w:rsidRPr="00E2298D">
              <w:rPr>
                <w:rFonts w:ascii="Arial" w:eastAsia="Calibri" w:hAnsi="Arial" w:cs="Arial"/>
                <w:szCs w:val="22"/>
              </w:rPr>
              <w:t>SHSs</w:t>
            </w:r>
            <w:r w:rsidR="00E2298D">
              <w:rPr>
                <w:rFonts w:ascii="Arial" w:eastAsia="Calibri" w:hAnsi="Arial" w:cs="Arial"/>
                <w:szCs w:val="22"/>
              </w:rPr>
              <w:t xml:space="preserve"> from </w:t>
            </w:r>
            <w:r w:rsidR="00E2298D" w:rsidRPr="00E2298D">
              <w:rPr>
                <w:rFonts w:ascii="Arial" w:eastAsia="Calibri" w:hAnsi="Arial" w:cs="Arial"/>
                <w:szCs w:val="22"/>
              </w:rPr>
              <w:t xml:space="preserve">five (5) government </w:t>
            </w:r>
            <w:r w:rsidR="00E2298D">
              <w:rPr>
                <w:rFonts w:ascii="Arial" w:eastAsia="Calibri" w:hAnsi="Arial" w:cs="Arial"/>
                <w:szCs w:val="22"/>
              </w:rPr>
              <w:t xml:space="preserve">SHSs </w:t>
            </w:r>
            <w:r w:rsidR="00E2298D" w:rsidRPr="00E2298D">
              <w:rPr>
                <w:rFonts w:ascii="Arial" w:eastAsia="Calibri" w:hAnsi="Arial" w:cs="Arial"/>
                <w:szCs w:val="22"/>
              </w:rPr>
              <w:t>in the municipality</w:t>
            </w:r>
            <w:r w:rsidR="00E2298D">
              <w:rPr>
                <w:rFonts w:ascii="Arial" w:eastAsia="Calibri" w:hAnsi="Arial" w:cs="Arial"/>
                <w:szCs w:val="22"/>
              </w:rPr>
              <w:t>. In each selected SHS</w:t>
            </w:r>
            <w:r w:rsidR="00A251D6">
              <w:rPr>
                <w:rFonts w:ascii="Arial" w:eastAsia="Calibri" w:hAnsi="Arial" w:cs="Arial"/>
                <w:szCs w:val="22"/>
              </w:rPr>
              <w:t>,</w:t>
            </w:r>
            <w:r w:rsidR="00E2298D">
              <w:rPr>
                <w:rFonts w:ascii="Arial" w:eastAsia="Calibri" w:hAnsi="Arial" w:cs="Arial"/>
                <w:szCs w:val="22"/>
              </w:rPr>
              <w:t xml:space="preserve"> a</w:t>
            </w:r>
            <w:r w:rsidR="00E2298D" w:rsidRPr="00E2298D">
              <w:rPr>
                <w:rFonts w:ascii="Arial" w:eastAsia="Calibri" w:hAnsi="Arial" w:cs="Arial"/>
                <w:szCs w:val="22"/>
              </w:rPr>
              <w:t xml:space="preserve"> simple random sampling was used to select respondents from different classes. A total of ninety (90) students were selected, comprising 30 students from each school. </w:t>
            </w:r>
            <w:r w:rsidR="00A251D6" w:rsidRPr="00E2298D">
              <w:rPr>
                <w:rFonts w:ascii="Arial" w:eastAsia="Calibri" w:hAnsi="Arial" w:cs="Arial"/>
                <w:szCs w:val="22"/>
              </w:rPr>
              <w:t xml:space="preserve">The sample comprised 47% males and 53% females from various academic </w:t>
            </w:r>
            <w:proofErr w:type="spellStart"/>
            <w:r w:rsidR="00A251D6" w:rsidRPr="00E2298D">
              <w:rPr>
                <w:rFonts w:ascii="Arial" w:eastAsia="Calibri" w:hAnsi="Arial" w:cs="Arial"/>
                <w:szCs w:val="22"/>
              </w:rPr>
              <w:t>programmes</w:t>
            </w:r>
            <w:proofErr w:type="spellEnd"/>
            <w:r w:rsidR="00A251D6" w:rsidRPr="00E2298D">
              <w:rPr>
                <w:rFonts w:ascii="Arial" w:eastAsia="Calibri" w:hAnsi="Arial" w:cs="Arial"/>
                <w:szCs w:val="22"/>
              </w:rPr>
              <w:t>, with the majority studying General Arts (49%) and General Science (29%).</w:t>
            </w:r>
          </w:p>
          <w:p w14:paraId="02E571AA" w14:textId="7678B60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2298D" w:rsidRPr="00E2298D">
              <w:rPr>
                <w:rFonts w:ascii="Arial" w:eastAsia="Calibri" w:hAnsi="Arial" w:cs="Arial"/>
                <w:szCs w:val="22"/>
              </w:rPr>
              <w:t>The results showed that awareness of fish farming was very high (99%), with most students (73%) indicating that they learned about it in school. Among those aware, 62% identified tilapia as the most commonly farmed species. Although students generally had positive perceptions of fish farming and 88% expressed willingness to learn more, only 32% indicated interest in engaging in it as a future livelihood. Statistical analysis confirmed that students’ awareness and knowledge of farmed fish species were significant (p &lt; 0.05).</w:t>
            </w:r>
          </w:p>
          <w:p w14:paraId="1E45C9AD" w14:textId="5782261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2298D" w:rsidRPr="00E2298D">
              <w:rPr>
                <w:rFonts w:ascii="Arial" w:eastAsia="Calibri" w:hAnsi="Arial" w:cs="Arial"/>
                <w:szCs w:val="22"/>
              </w:rPr>
              <w:t>Overall, the findings reveal a gap between awareness and actual willingness to participate in fish farming. The study highlights the need for targeted educational and awareness programs in secondary schools to promote practical engagement and encourage youth participation in aquaculture for socio-economic development in Ghana.</w:t>
            </w:r>
            <w:bookmarkEnd w:id="0"/>
          </w:p>
        </w:tc>
      </w:tr>
    </w:tbl>
    <w:p w14:paraId="79CB5C60" w14:textId="77777777" w:rsidR="00636EB2" w:rsidRDefault="00636EB2" w:rsidP="00441B6F">
      <w:pPr>
        <w:pStyle w:val="Body"/>
        <w:spacing w:after="0"/>
        <w:rPr>
          <w:rFonts w:ascii="Arial" w:hAnsi="Arial" w:cs="Arial"/>
          <w:i/>
        </w:rPr>
      </w:pPr>
    </w:p>
    <w:p w14:paraId="09A3C617" w14:textId="764C6811" w:rsidR="00A24E7E" w:rsidRDefault="00A24E7E" w:rsidP="00441B6F">
      <w:pPr>
        <w:pStyle w:val="Body"/>
        <w:spacing w:after="0"/>
        <w:rPr>
          <w:rFonts w:ascii="Arial" w:hAnsi="Arial" w:cs="Arial"/>
          <w:i/>
        </w:rPr>
      </w:pPr>
      <w:r>
        <w:rPr>
          <w:rFonts w:ascii="Arial" w:hAnsi="Arial" w:cs="Arial"/>
          <w:i/>
        </w:rPr>
        <w:t xml:space="preserve">Keywords: </w:t>
      </w:r>
      <w:r w:rsidR="00A251D6" w:rsidRPr="00A251D6">
        <w:rPr>
          <w:rFonts w:ascii="Arial" w:hAnsi="Arial" w:cs="Arial"/>
          <w:i/>
        </w:rPr>
        <w:t xml:space="preserve">Awareness, </w:t>
      </w:r>
      <w:r w:rsidR="00C73B8D">
        <w:rPr>
          <w:rFonts w:ascii="Arial" w:hAnsi="Arial" w:cs="Arial"/>
          <w:i/>
        </w:rPr>
        <w:t>f</w:t>
      </w:r>
      <w:r w:rsidR="00A251D6" w:rsidRPr="00A251D6">
        <w:rPr>
          <w:rFonts w:ascii="Arial" w:hAnsi="Arial" w:cs="Arial"/>
          <w:i/>
        </w:rPr>
        <w:t xml:space="preserve">ish farming, </w:t>
      </w:r>
      <w:r w:rsidR="00C73B8D">
        <w:rPr>
          <w:rFonts w:ascii="Arial" w:hAnsi="Arial" w:cs="Arial"/>
          <w:i/>
        </w:rPr>
        <w:t>s</w:t>
      </w:r>
      <w:r w:rsidR="00A251D6" w:rsidRPr="00A251D6">
        <w:rPr>
          <w:rFonts w:ascii="Arial" w:hAnsi="Arial" w:cs="Arial"/>
          <w:i/>
        </w:rPr>
        <w:t xml:space="preserve">chools, second cycle institutions, </w:t>
      </w:r>
      <w:r w:rsidR="000A7954" w:rsidRPr="000A7954">
        <w:rPr>
          <w:rFonts w:ascii="Arial" w:hAnsi="Arial" w:cs="Arial"/>
          <w:i/>
        </w:rPr>
        <w:t>sustainable</w:t>
      </w:r>
      <w:r w:rsidR="000A7954">
        <w:rPr>
          <w:rFonts w:ascii="Arial" w:hAnsi="Arial" w:cs="Arial"/>
          <w:i/>
        </w:rPr>
        <w:t>,</w:t>
      </w:r>
      <w:r w:rsidR="000A7954" w:rsidRPr="000A7954">
        <w:rPr>
          <w:rFonts w:ascii="Arial" w:hAnsi="Arial" w:cs="Arial"/>
          <w:i/>
        </w:rPr>
        <w:t xml:space="preserve"> </w:t>
      </w:r>
      <w:r w:rsidR="00C73B8D">
        <w:rPr>
          <w:rFonts w:ascii="Arial" w:hAnsi="Arial" w:cs="Arial"/>
          <w:i/>
        </w:rPr>
        <w:t>t</w:t>
      </w:r>
      <w:r w:rsidR="00A251D6" w:rsidRPr="00A251D6">
        <w:rPr>
          <w:rFonts w:ascii="Arial" w:hAnsi="Arial" w:cs="Arial"/>
          <w:i/>
        </w:rPr>
        <w:t>ilapia</w:t>
      </w:r>
      <w:r w:rsidR="00A251D6">
        <w:rPr>
          <w:rFonts w:ascii="Arial" w:hAnsi="Arial" w:cs="Arial"/>
          <w:i/>
        </w:rPr>
        <w:t>.</w:t>
      </w:r>
    </w:p>
    <w:p w14:paraId="6AF31387" w14:textId="77777777" w:rsidR="00790ADA" w:rsidRDefault="00790ADA" w:rsidP="00441B6F">
      <w:pPr>
        <w:pStyle w:val="Body"/>
        <w:spacing w:after="0"/>
        <w:rPr>
          <w:rFonts w:ascii="Arial" w:hAnsi="Arial" w:cs="Arial"/>
          <w:i/>
        </w:rPr>
      </w:pPr>
    </w:p>
    <w:p w14:paraId="4A6C9D56" w14:textId="57AD36F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FBE4B7" w14:textId="76E0DEE6" w:rsidR="00251A80" w:rsidRPr="00753DF5" w:rsidRDefault="00251A80" w:rsidP="00753DF5">
      <w:pPr>
        <w:jc w:val="both"/>
        <w:rPr>
          <w:rFonts w:ascii="Arial" w:hAnsi="Arial" w:cs="Arial"/>
        </w:rPr>
      </w:pPr>
      <w:r w:rsidRPr="00753DF5">
        <w:rPr>
          <w:rFonts w:ascii="Arial" w:hAnsi="Arial" w:cs="Arial"/>
        </w:rPr>
        <w:t xml:space="preserve">Fish farming (aquaculture) has been practiced for about </w:t>
      </w:r>
      <w:r w:rsidR="00D523D6">
        <w:rPr>
          <w:rFonts w:ascii="Arial" w:hAnsi="Arial" w:cs="Arial"/>
        </w:rPr>
        <w:t>4,000 years in many parts of the world (</w:t>
      </w:r>
      <w:proofErr w:type="spellStart"/>
      <w:r w:rsidR="00D523D6">
        <w:rPr>
          <w:rFonts w:ascii="Arial" w:hAnsi="Arial" w:cs="Arial"/>
        </w:rPr>
        <w:t>Iwama</w:t>
      </w:r>
      <w:proofErr w:type="spellEnd"/>
      <w:r w:rsidR="00D523D6">
        <w:rPr>
          <w:rFonts w:ascii="Arial" w:hAnsi="Arial" w:cs="Arial"/>
        </w:rPr>
        <w:t>, 1991) and remains an important source of food, nutrition, income, and livelihoods for hundreds of millions of people worldwide</w:t>
      </w:r>
      <w:r w:rsidRPr="00753DF5">
        <w:rPr>
          <w:rFonts w:ascii="Arial" w:hAnsi="Arial" w:cs="Arial"/>
        </w:rPr>
        <w:t xml:space="preserve">. In 2014, fish produced from aquaculture for human consumption overtook that of wild-caught fish for the first time. With relatively static production of capture fisheries since the late 1980’s, fish farming has been responsible for the impressive growth in the supply of fish for human consumption (FAO, 2016). Fish for human consumption </w:t>
      </w:r>
      <w:r w:rsidRPr="00753DF5">
        <w:rPr>
          <w:rFonts w:ascii="Arial" w:hAnsi="Arial" w:cs="Arial"/>
        </w:rPr>
        <w:lastRenderedPageBreak/>
        <w:t xml:space="preserve">from fish farming has increased in 1974, 1994, 2004 and 2020 by 7 percent, 26 percent, 39 percent and 49 percent, respectively. China has played a major role as it represents more than 50 percent of the world’s aquaculture production (FAO, 2016; FAO, 2022). </w:t>
      </w:r>
    </w:p>
    <w:p w14:paraId="468223D6" w14:textId="3A599722" w:rsidR="00251A80" w:rsidRPr="00753DF5" w:rsidRDefault="00251A80" w:rsidP="00753DF5">
      <w:pPr>
        <w:jc w:val="both"/>
        <w:rPr>
          <w:rFonts w:ascii="Arial" w:hAnsi="Arial" w:cs="Arial"/>
        </w:rPr>
      </w:pPr>
      <w:r w:rsidRPr="00753DF5">
        <w:rPr>
          <w:rFonts w:ascii="Arial" w:hAnsi="Arial" w:cs="Arial"/>
        </w:rPr>
        <w:t>In Africa, demand for fish is growing rapidly, leading to an increase in aquaculture investment and production</w:t>
      </w:r>
      <w:r w:rsidR="00CA6B5A">
        <w:rPr>
          <w:rFonts w:ascii="Arial" w:hAnsi="Arial" w:cs="Arial"/>
        </w:rPr>
        <w:t xml:space="preserve"> (</w:t>
      </w:r>
      <w:proofErr w:type="spellStart"/>
      <w:r w:rsidR="00CA6B5A">
        <w:rPr>
          <w:rFonts w:ascii="Arial" w:hAnsi="Arial" w:cs="Arial"/>
          <w:color w:val="222222"/>
          <w:shd w:val="clear" w:color="auto" w:fill="FFFFFF"/>
        </w:rPr>
        <w:t>Amenyogbe</w:t>
      </w:r>
      <w:proofErr w:type="spellEnd"/>
      <w:r w:rsidR="00CA6B5A">
        <w:rPr>
          <w:rFonts w:ascii="Arial" w:hAnsi="Arial" w:cs="Arial"/>
          <w:color w:val="222222"/>
          <w:shd w:val="clear" w:color="auto" w:fill="FFFFFF"/>
        </w:rPr>
        <w:t xml:space="preserve"> et al., 2018</w:t>
      </w:r>
      <w:r w:rsidR="00CA6B5A">
        <w:rPr>
          <w:rFonts w:ascii="Arial" w:hAnsi="Arial" w:cs="Arial"/>
        </w:rPr>
        <w:t>)</w:t>
      </w:r>
      <w:r w:rsidRPr="00753DF5">
        <w:rPr>
          <w:rFonts w:ascii="Arial" w:hAnsi="Arial" w:cs="Arial"/>
        </w:rPr>
        <w:t>. Fish farming has been recognized as one of the primary occupations and lucrative businesses on the continent, with Egypt being the major contributor in production (67. 62%), with Nigeria being the second (11.12%) and the major producer in West Africa (FAO, 2022</w:t>
      </w:r>
      <w:r w:rsidR="00B52CA1">
        <w:rPr>
          <w:rFonts w:ascii="Arial" w:hAnsi="Arial" w:cs="Arial"/>
        </w:rPr>
        <w:t>;</w:t>
      </w:r>
      <w:r w:rsidR="00B52CA1" w:rsidRPr="00B52CA1">
        <w:rPr>
          <w:rFonts w:ascii="Arial" w:hAnsi="Arial" w:cs="Arial"/>
          <w:color w:val="222222"/>
          <w:shd w:val="clear" w:color="auto" w:fill="FFFFFF"/>
        </w:rPr>
        <w:t xml:space="preserve"> </w:t>
      </w:r>
      <w:proofErr w:type="spellStart"/>
      <w:r w:rsidR="00B52CA1">
        <w:rPr>
          <w:rFonts w:ascii="Arial" w:hAnsi="Arial" w:cs="Arial"/>
          <w:color w:val="222222"/>
          <w:shd w:val="clear" w:color="auto" w:fill="FFFFFF"/>
        </w:rPr>
        <w:t>Ragasa</w:t>
      </w:r>
      <w:proofErr w:type="spellEnd"/>
      <w:r w:rsidR="00B52CA1">
        <w:rPr>
          <w:rFonts w:ascii="Arial" w:hAnsi="Arial" w:cs="Arial"/>
          <w:color w:val="222222"/>
          <w:shd w:val="clear" w:color="auto" w:fill="FFFFFF"/>
        </w:rPr>
        <w:t xml:space="preserve"> et al., 2022</w:t>
      </w:r>
      <w:r w:rsidR="00FF16B3">
        <w:rPr>
          <w:rFonts w:ascii="Arial" w:hAnsi="Arial" w:cs="Arial"/>
          <w:color w:val="222222"/>
          <w:shd w:val="clear" w:color="auto" w:fill="FFFFFF"/>
        </w:rPr>
        <w:t>;</w:t>
      </w:r>
      <w:r w:rsidR="00FF16B3" w:rsidRPr="00FF16B3">
        <w:rPr>
          <w:rFonts w:ascii="Arial" w:hAnsi="Arial" w:cs="Arial"/>
          <w:color w:val="222222"/>
          <w:shd w:val="clear" w:color="auto" w:fill="FFFFFF"/>
        </w:rPr>
        <w:t xml:space="preserve"> </w:t>
      </w:r>
      <w:proofErr w:type="spellStart"/>
      <w:r w:rsidR="00FF16B3">
        <w:rPr>
          <w:rFonts w:ascii="Arial" w:hAnsi="Arial" w:cs="Arial"/>
          <w:color w:val="222222"/>
          <w:shd w:val="clear" w:color="auto" w:fill="FFFFFF"/>
        </w:rPr>
        <w:t>Nigussie</w:t>
      </w:r>
      <w:proofErr w:type="spellEnd"/>
      <w:r w:rsidR="00FF16B3">
        <w:rPr>
          <w:rFonts w:ascii="Arial" w:hAnsi="Arial" w:cs="Arial"/>
          <w:color w:val="222222"/>
          <w:shd w:val="clear" w:color="auto" w:fill="FFFFFF"/>
        </w:rPr>
        <w:t xml:space="preserve"> et al., 2024</w:t>
      </w:r>
      <w:r w:rsidRPr="00753DF5">
        <w:rPr>
          <w:rFonts w:ascii="Arial" w:hAnsi="Arial" w:cs="Arial"/>
        </w:rPr>
        <w:t xml:space="preserve">). </w:t>
      </w:r>
    </w:p>
    <w:p w14:paraId="09A59D0A" w14:textId="541EB706" w:rsidR="00251A80" w:rsidRPr="00753DF5" w:rsidRDefault="00251A80" w:rsidP="00753DF5">
      <w:pPr>
        <w:jc w:val="both"/>
        <w:rPr>
          <w:rFonts w:ascii="Arial" w:hAnsi="Arial" w:cs="Arial"/>
        </w:rPr>
      </w:pPr>
      <w:r w:rsidRPr="00753DF5">
        <w:rPr>
          <w:rFonts w:ascii="Arial" w:hAnsi="Arial" w:cs="Arial"/>
        </w:rPr>
        <w:t xml:space="preserve">In Ghana, fish farming </w:t>
      </w:r>
      <w:r w:rsidR="00E16C9E">
        <w:rPr>
          <w:rFonts w:ascii="Arial" w:hAnsi="Arial" w:cs="Arial"/>
        </w:rPr>
        <w:t>began in 1953, with the former Department of Fisheries operating hatcheries to support the culture-based reservoir fishery development program of the then-colonial</w:t>
      </w:r>
      <w:r w:rsidRPr="00753DF5">
        <w:rPr>
          <w:rFonts w:ascii="Arial" w:hAnsi="Arial" w:cs="Arial"/>
        </w:rPr>
        <w:t xml:space="preserve"> administration (FAO, 2000). Through military government, there was a boost in the early 1980’s following a national campaign. The first experimental fish farm was established in the Upper West Region in 1985. Between 1982, 1985 and 1986, the number of fish ponds increased from 578 to 1,299 and to 1400, respectively, covering a surface area of 658m² (</w:t>
      </w:r>
      <w:proofErr w:type="spellStart"/>
      <w:r w:rsidRPr="00753DF5">
        <w:rPr>
          <w:rFonts w:ascii="Arial" w:hAnsi="Arial" w:cs="Arial"/>
        </w:rPr>
        <w:t>Amisah</w:t>
      </w:r>
      <w:proofErr w:type="spellEnd"/>
      <w:r w:rsidRPr="00753DF5">
        <w:rPr>
          <w:rFonts w:ascii="Arial" w:hAnsi="Arial" w:cs="Arial"/>
        </w:rPr>
        <w:t xml:space="preserve"> and </w:t>
      </w:r>
      <w:proofErr w:type="spellStart"/>
      <w:r w:rsidRPr="00753DF5">
        <w:rPr>
          <w:rFonts w:ascii="Arial" w:hAnsi="Arial" w:cs="Arial"/>
        </w:rPr>
        <w:t>Quagrainie</w:t>
      </w:r>
      <w:proofErr w:type="spellEnd"/>
      <w:r w:rsidRPr="00753DF5">
        <w:rPr>
          <w:rFonts w:ascii="Arial" w:hAnsi="Arial" w:cs="Arial"/>
        </w:rPr>
        <w:t xml:space="preserve">, 2007). The major species grown were </w:t>
      </w:r>
      <w:r w:rsidRPr="00753DF5">
        <w:rPr>
          <w:rFonts w:ascii="Arial" w:hAnsi="Arial" w:cs="Arial"/>
          <w:i/>
          <w:iCs/>
        </w:rPr>
        <w:t xml:space="preserve">Oreochromis </w:t>
      </w:r>
      <w:proofErr w:type="spellStart"/>
      <w:r w:rsidRPr="00753DF5">
        <w:rPr>
          <w:rFonts w:ascii="Arial" w:hAnsi="Arial" w:cs="Arial"/>
          <w:i/>
          <w:iCs/>
        </w:rPr>
        <w:t>niloticus</w:t>
      </w:r>
      <w:proofErr w:type="spellEnd"/>
      <w:r w:rsidRPr="00753DF5">
        <w:rPr>
          <w:rFonts w:ascii="Arial" w:hAnsi="Arial" w:cs="Arial"/>
        </w:rPr>
        <w:t xml:space="preserve">, </w:t>
      </w:r>
      <w:proofErr w:type="spellStart"/>
      <w:r w:rsidRPr="00753DF5">
        <w:rPr>
          <w:rFonts w:ascii="Arial" w:hAnsi="Arial" w:cs="Arial"/>
          <w:i/>
          <w:iCs/>
        </w:rPr>
        <w:t>Clarias</w:t>
      </w:r>
      <w:proofErr w:type="spellEnd"/>
      <w:r w:rsidRPr="00753DF5">
        <w:rPr>
          <w:rFonts w:ascii="Arial" w:hAnsi="Arial" w:cs="Arial"/>
          <w:i/>
          <w:iCs/>
        </w:rPr>
        <w:t xml:space="preserve"> </w:t>
      </w:r>
      <w:proofErr w:type="spellStart"/>
      <w:r w:rsidRPr="00753DF5">
        <w:rPr>
          <w:rFonts w:ascii="Arial" w:hAnsi="Arial" w:cs="Arial"/>
          <w:i/>
          <w:iCs/>
        </w:rPr>
        <w:t>gariepinus</w:t>
      </w:r>
      <w:proofErr w:type="spellEnd"/>
      <w:r w:rsidRPr="00753DF5">
        <w:rPr>
          <w:rFonts w:ascii="Arial" w:hAnsi="Arial" w:cs="Arial"/>
        </w:rPr>
        <w:t xml:space="preserve">, and </w:t>
      </w:r>
      <w:proofErr w:type="spellStart"/>
      <w:r w:rsidRPr="00753DF5">
        <w:rPr>
          <w:rFonts w:ascii="Arial" w:hAnsi="Arial" w:cs="Arial"/>
          <w:i/>
          <w:iCs/>
        </w:rPr>
        <w:t>Heterotis</w:t>
      </w:r>
      <w:proofErr w:type="spellEnd"/>
      <w:r w:rsidRPr="00753DF5">
        <w:rPr>
          <w:rFonts w:ascii="Arial" w:hAnsi="Arial" w:cs="Arial"/>
          <w:i/>
          <w:iCs/>
        </w:rPr>
        <w:t xml:space="preserve"> </w:t>
      </w:r>
      <w:proofErr w:type="spellStart"/>
      <w:r w:rsidRPr="00753DF5">
        <w:rPr>
          <w:rFonts w:ascii="Arial" w:hAnsi="Arial" w:cs="Arial"/>
          <w:i/>
          <w:iCs/>
        </w:rPr>
        <w:t>niloticus</w:t>
      </w:r>
      <w:proofErr w:type="spellEnd"/>
      <w:r w:rsidRPr="00753DF5">
        <w:rPr>
          <w:rFonts w:ascii="Arial" w:hAnsi="Arial" w:cs="Arial"/>
        </w:rPr>
        <w:t xml:space="preserve"> (FAO, 2000</w:t>
      </w:r>
      <w:r w:rsidR="00FF16B3">
        <w:rPr>
          <w:rFonts w:ascii="Arial" w:hAnsi="Arial" w:cs="Arial"/>
        </w:rPr>
        <w:t xml:space="preserve">; </w:t>
      </w:r>
      <w:proofErr w:type="spellStart"/>
      <w:r w:rsidR="00FF16B3">
        <w:rPr>
          <w:rFonts w:ascii="Arial" w:hAnsi="Arial" w:cs="Arial"/>
          <w:color w:val="222222"/>
          <w:shd w:val="clear" w:color="auto" w:fill="FFFFFF"/>
        </w:rPr>
        <w:t>Quagrainie</w:t>
      </w:r>
      <w:proofErr w:type="spellEnd"/>
      <w:r w:rsidR="00FF16B3">
        <w:rPr>
          <w:rFonts w:ascii="Arial" w:hAnsi="Arial" w:cs="Arial"/>
          <w:color w:val="222222"/>
          <w:shd w:val="clear" w:color="auto" w:fill="FFFFFF"/>
        </w:rPr>
        <w:t xml:space="preserve"> et al., 2009</w:t>
      </w:r>
      <w:r w:rsidRPr="00753DF5">
        <w:rPr>
          <w:rFonts w:ascii="Arial" w:hAnsi="Arial" w:cs="Arial"/>
        </w:rPr>
        <w:t>).</w:t>
      </w:r>
    </w:p>
    <w:p w14:paraId="3186495F" w14:textId="70098864" w:rsidR="00251A80" w:rsidRPr="00753DF5" w:rsidRDefault="00251A80" w:rsidP="00753DF5">
      <w:pPr>
        <w:jc w:val="both"/>
        <w:rPr>
          <w:rFonts w:ascii="Arial" w:hAnsi="Arial" w:cs="Arial"/>
        </w:rPr>
      </w:pPr>
      <w:r w:rsidRPr="00753DF5">
        <w:rPr>
          <w:rFonts w:ascii="Arial" w:hAnsi="Arial" w:cs="Arial"/>
        </w:rPr>
        <w:t>The aquaculture sub-sector in Ghana comprises largely small-scale subsistence farmers who practice extensive farming with very few commercial operators</w:t>
      </w:r>
      <w:r w:rsidR="00756485">
        <w:rPr>
          <w:rFonts w:ascii="Arial" w:hAnsi="Arial" w:cs="Arial"/>
        </w:rPr>
        <w:t xml:space="preserve"> (</w:t>
      </w:r>
      <w:proofErr w:type="spellStart"/>
      <w:r w:rsidR="00756485">
        <w:rPr>
          <w:rFonts w:ascii="Arial" w:hAnsi="Arial" w:cs="Arial"/>
          <w:color w:val="222222"/>
          <w:shd w:val="clear" w:color="auto" w:fill="FFFFFF"/>
        </w:rPr>
        <w:t>Ekanya</w:t>
      </w:r>
      <w:proofErr w:type="spellEnd"/>
      <w:r w:rsidR="00756485">
        <w:rPr>
          <w:rFonts w:ascii="Arial" w:hAnsi="Arial" w:cs="Arial"/>
          <w:color w:val="222222"/>
          <w:shd w:val="clear" w:color="auto" w:fill="FFFFFF"/>
        </w:rPr>
        <w:t xml:space="preserve"> et al., 2024</w:t>
      </w:r>
      <w:r w:rsidR="00756485">
        <w:rPr>
          <w:rFonts w:ascii="Arial" w:hAnsi="Arial" w:cs="Arial"/>
        </w:rPr>
        <w:t>)</w:t>
      </w:r>
      <w:r w:rsidRPr="00753DF5">
        <w:rPr>
          <w:rFonts w:ascii="Arial" w:hAnsi="Arial" w:cs="Arial"/>
        </w:rPr>
        <w:t xml:space="preserve">. Statistics from FAO (2010) stated that tilapia and </w:t>
      </w:r>
      <w:proofErr w:type="spellStart"/>
      <w:r w:rsidRPr="00753DF5">
        <w:rPr>
          <w:rFonts w:ascii="Arial" w:hAnsi="Arial" w:cs="Arial"/>
          <w:i/>
          <w:iCs/>
        </w:rPr>
        <w:t>Clarias</w:t>
      </w:r>
      <w:proofErr w:type="spellEnd"/>
      <w:r w:rsidRPr="00753DF5">
        <w:rPr>
          <w:rFonts w:ascii="Arial" w:hAnsi="Arial" w:cs="Arial"/>
        </w:rPr>
        <w:t xml:space="preserve"> sp. contributed to 5% of the total supply of fish in the country. It has been estimated that the production from ponds and culture-based fisheries is worth USD 1.5 million a year. In 2007, the production rate from small-scale operators was estimated at 1.5 tones/ha/</w:t>
      </w:r>
      <w:proofErr w:type="spellStart"/>
      <w:r w:rsidRPr="00753DF5">
        <w:rPr>
          <w:rFonts w:ascii="Arial" w:hAnsi="Arial" w:cs="Arial"/>
        </w:rPr>
        <w:t>yr</w:t>
      </w:r>
      <w:proofErr w:type="spellEnd"/>
      <w:r w:rsidRPr="00753DF5">
        <w:rPr>
          <w:rFonts w:ascii="Arial" w:hAnsi="Arial" w:cs="Arial"/>
        </w:rPr>
        <w:t xml:space="preserve"> (FAO, 2010). Production from aquaculture in Ghana appears to be growing at a near-exponential rate, growing from less than 1,000 tons in 2003 to over 7,000 tons in 2009. According to a survey conducted by the DOF (2007), this rapid growth was attributed to increasing production from commercial operators, accounting for about 75% of the production since 2006. With the demand for fish increasing rapidly over the past few years, growing from 960,000 </w:t>
      </w:r>
      <w:proofErr w:type="spellStart"/>
      <w:r w:rsidRPr="00753DF5">
        <w:rPr>
          <w:rFonts w:ascii="Arial" w:hAnsi="Arial" w:cs="Arial"/>
        </w:rPr>
        <w:t>tones</w:t>
      </w:r>
      <w:proofErr w:type="spellEnd"/>
      <w:r w:rsidRPr="00753DF5">
        <w:rPr>
          <w:rFonts w:ascii="Arial" w:hAnsi="Arial" w:cs="Arial"/>
        </w:rPr>
        <w:t xml:space="preserve"> in 2010 to 1.1 million </w:t>
      </w:r>
      <w:proofErr w:type="spellStart"/>
      <w:r w:rsidRPr="00753DF5">
        <w:rPr>
          <w:rFonts w:ascii="Arial" w:hAnsi="Arial" w:cs="Arial"/>
        </w:rPr>
        <w:t>tones</w:t>
      </w:r>
      <w:proofErr w:type="spellEnd"/>
      <w:r w:rsidRPr="00753DF5">
        <w:rPr>
          <w:rFonts w:ascii="Arial" w:hAnsi="Arial" w:cs="Arial"/>
        </w:rPr>
        <w:t xml:space="preserve"> in 2018 and the per capita fish consumption increasing from 24.2kg to 27.9kg at a rate of 1.6 percent per annum, there is a need for the promotion of alternative ways of sustaining fish production through aquaculture in Ghana (</w:t>
      </w:r>
      <w:proofErr w:type="spellStart"/>
      <w:r w:rsidRPr="00753DF5">
        <w:rPr>
          <w:rFonts w:ascii="Arial" w:hAnsi="Arial" w:cs="Arial"/>
        </w:rPr>
        <w:t>MoFAD</w:t>
      </w:r>
      <w:proofErr w:type="spellEnd"/>
      <w:r w:rsidRPr="00753DF5">
        <w:rPr>
          <w:rFonts w:ascii="Arial" w:hAnsi="Arial" w:cs="Arial"/>
        </w:rPr>
        <w:t>, 2018).</w:t>
      </w:r>
    </w:p>
    <w:p w14:paraId="07B998F5" w14:textId="2E894BC2" w:rsidR="00251A80" w:rsidRPr="00753DF5" w:rsidRDefault="00251A80" w:rsidP="00753DF5">
      <w:pPr>
        <w:jc w:val="both"/>
        <w:rPr>
          <w:rFonts w:ascii="Arial" w:hAnsi="Arial" w:cs="Arial"/>
        </w:rPr>
      </w:pPr>
      <w:r w:rsidRPr="00753DF5">
        <w:rPr>
          <w:rFonts w:ascii="Arial" w:hAnsi="Arial" w:cs="Arial"/>
        </w:rPr>
        <w:t>While aquaculture has been identified as a viable solution to bridge this supply gap, its long-term success requires not only technological and financial investments but also a deliberate effort to cultivate interest, awareness, and entrepreneurial intent among the youth</w:t>
      </w:r>
      <w:r w:rsidR="00CA6B5A">
        <w:rPr>
          <w:rFonts w:ascii="Arial" w:hAnsi="Arial" w:cs="Arial"/>
        </w:rPr>
        <w:t xml:space="preserve"> (</w:t>
      </w:r>
      <w:proofErr w:type="spellStart"/>
      <w:r w:rsidR="00CA6B5A">
        <w:rPr>
          <w:rFonts w:ascii="Arial" w:hAnsi="Arial" w:cs="Arial"/>
          <w:color w:val="222222"/>
          <w:shd w:val="clear" w:color="auto" w:fill="FFFFFF"/>
        </w:rPr>
        <w:t>Adelodun</w:t>
      </w:r>
      <w:proofErr w:type="spellEnd"/>
      <w:r w:rsidR="00CA6B5A">
        <w:rPr>
          <w:rFonts w:ascii="Arial" w:hAnsi="Arial" w:cs="Arial"/>
          <w:color w:val="222222"/>
          <w:shd w:val="clear" w:color="auto" w:fill="FFFFFF"/>
        </w:rPr>
        <w:t>, 2015</w:t>
      </w:r>
      <w:r w:rsidR="009A167C">
        <w:rPr>
          <w:rFonts w:ascii="Arial" w:hAnsi="Arial" w:cs="Arial"/>
          <w:color w:val="222222"/>
          <w:shd w:val="clear" w:color="auto" w:fill="FFFFFF"/>
        </w:rPr>
        <w:t xml:space="preserve">; </w:t>
      </w:r>
      <w:r w:rsidR="009A167C">
        <w:rPr>
          <w:rFonts w:ascii="Arial" w:hAnsi="Arial" w:cs="Arial"/>
          <w:color w:val="222222"/>
          <w:shd w:val="clear" w:color="auto" w:fill="FFFFFF"/>
        </w:rPr>
        <w:t>Kabir</w:t>
      </w:r>
      <w:r w:rsidR="009A167C">
        <w:rPr>
          <w:rFonts w:ascii="Arial" w:hAnsi="Arial" w:cs="Arial"/>
          <w:color w:val="222222"/>
          <w:shd w:val="clear" w:color="auto" w:fill="FFFFFF"/>
        </w:rPr>
        <w:t xml:space="preserve"> et al., 2022</w:t>
      </w:r>
      <w:bookmarkStart w:id="1" w:name="_GoBack"/>
      <w:bookmarkEnd w:id="1"/>
      <w:r w:rsidR="00CA6B5A">
        <w:rPr>
          <w:rFonts w:ascii="Arial" w:hAnsi="Arial" w:cs="Arial"/>
        </w:rPr>
        <w:t>)</w:t>
      </w:r>
      <w:r w:rsidRPr="00753DF5">
        <w:rPr>
          <w:rFonts w:ascii="Arial" w:hAnsi="Arial" w:cs="Arial"/>
        </w:rPr>
        <w:t>. Senior High School (SHS) students are at a critical decision-making stage where career aspirations and livelihood pathways are shaped (MOE, 2010). Understanding their perceptions, awareness levels, and willingness to engage in fish farming is therefore essential for designing targeted educational interventions, policy frameworks, and capacity-building programs. However, empirical data on youth perceptions of aquaculture in Ghana remain limited, particularly at the pre-tertiary level (</w:t>
      </w:r>
      <w:proofErr w:type="spellStart"/>
      <w:r w:rsidRPr="00753DF5">
        <w:rPr>
          <w:rFonts w:ascii="Arial" w:hAnsi="Arial" w:cs="Arial"/>
        </w:rPr>
        <w:t>Kyei</w:t>
      </w:r>
      <w:proofErr w:type="spellEnd"/>
      <w:r w:rsidRPr="00753DF5">
        <w:rPr>
          <w:rFonts w:ascii="Arial" w:hAnsi="Arial" w:cs="Arial"/>
        </w:rPr>
        <w:t xml:space="preserve">, 2016). </w:t>
      </w:r>
    </w:p>
    <w:p w14:paraId="762DA181" w14:textId="77777777" w:rsidR="00251A80" w:rsidRPr="00753DF5" w:rsidRDefault="00251A80" w:rsidP="00753DF5">
      <w:pPr>
        <w:jc w:val="both"/>
        <w:rPr>
          <w:rFonts w:ascii="Arial" w:hAnsi="Arial" w:cs="Arial"/>
        </w:rPr>
      </w:pPr>
      <w:r w:rsidRPr="00753DF5">
        <w:rPr>
          <w:rFonts w:ascii="Arial" w:hAnsi="Arial" w:cs="Arial"/>
        </w:rPr>
        <w:t xml:space="preserve">This study provides valuable baseline evidence on students’ awareness, attitudes, and intentions toward fish farming in Sunyani, the capital city of the Bono region of Ghana. By identifying gaps between awareness and actual willingness to venture into aquaculture, the research highlights critical barriers such as limited practical exposure, inadequate career guidance, and possible misconceptions about the sector. These insights are crucial for informing curriculum development, youth engagement strategies, and national policies aimed at promoting aquaculture as a viable and attractive livelihood option. Furthermore, the findings of this study contribute to broader national and regional development goals, including youth employment, poverty reduction, and sustainable food systems. By aligning aquaculture promotion with educational systems, Ghana can harness the potential of its youthful population to drive the transformation of the fisheries sector. </w:t>
      </w:r>
    </w:p>
    <w:p w14:paraId="19C3A17A" w14:textId="77777777" w:rsidR="00790ADA" w:rsidRPr="00753DF5" w:rsidRDefault="00790ADA" w:rsidP="00753DF5">
      <w:pPr>
        <w:pStyle w:val="Body"/>
        <w:spacing w:after="0"/>
        <w:rPr>
          <w:rFonts w:ascii="Arial" w:hAnsi="Arial" w:cs="Arial"/>
        </w:rPr>
      </w:pPr>
    </w:p>
    <w:p w14:paraId="01167F8B" w14:textId="1E7B27E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8D7E2A4" w14:textId="0E7F9DFC"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2.1 </w:t>
      </w:r>
      <w:r w:rsidRPr="00753DF5">
        <w:rPr>
          <w:rFonts w:ascii="Arial" w:hAnsi="Arial" w:cs="Arial"/>
          <w:b/>
          <w:bCs/>
          <w:sz w:val="22"/>
          <w:szCs w:val="22"/>
        </w:rPr>
        <w:t>Study Area</w:t>
      </w:r>
    </w:p>
    <w:p w14:paraId="0D1EA53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lastRenderedPageBreak/>
        <w:t>The study was conducted in the Sunyani Municipality (7°20′N, 2°20′W), located in the Bono Region of Ghana. Sunyani is the capital city of the Bono Region of Ghana. The municipality lies within the moist semi-deciduous forest zone and experiences average temperatures ranging from 19.5°C to 34.8°C. It covers a land area of approximately 1,289 km² and comprises several urban and peri-urban communities. The area has increasing aquaculture activities, making it suitable for assessing youth perceptions of fish farming.</w:t>
      </w:r>
    </w:p>
    <w:p w14:paraId="6BB5F225" w14:textId="77777777" w:rsidR="00753DF5" w:rsidRPr="00753DF5" w:rsidRDefault="00753DF5" w:rsidP="00753DF5">
      <w:pPr>
        <w:jc w:val="both"/>
        <w:rPr>
          <w:rFonts w:ascii="Arial" w:hAnsi="Arial" w:cs="Arial"/>
          <w:sz w:val="22"/>
          <w:szCs w:val="22"/>
        </w:rPr>
      </w:pPr>
    </w:p>
    <w:p w14:paraId="3E175F3E" w14:textId="650B474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2.2 </w:t>
      </w:r>
      <w:r w:rsidRPr="00753DF5">
        <w:rPr>
          <w:rFonts w:ascii="Arial" w:hAnsi="Arial" w:cs="Arial"/>
          <w:b/>
          <w:bCs/>
          <w:sz w:val="22"/>
          <w:szCs w:val="22"/>
        </w:rPr>
        <w:t>Research Design</w:t>
      </w:r>
    </w:p>
    <w:p w14:paraId="21AD934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employed a cross-sectional descriptive survey design to assess Senior High School (SHS) students’ awareness, perceptions, and intentions regarding fish farming. This design was appropriate as it allowed for the collection of data from a defined population at a single point in time and facilitated the description of existing conditions and relationships among variables.</w:t>
      </w:r>
    </w:p>
    <w:p w14:paraId="1AF80F1E" w14:textId="77777777" w:rsidR="00753DF5" w:rsidRPr="00753DF5" w:rsidRDefault="00753DF5" w:rsidP="00753DF5">
      <w:pPr>
        <w:jc w:val="both"/>
        <w:rPr>
          <w:rFonts w:ascii="Arial" w:hAnsi="Arial" w:cs="Arial"/>
          <w:sz w:val="22"/>
          <w:szCs w:val="22"/>
        </w:rPr>
      </w:pPr>
    </w:p>
    <w:p w14:paraId="3968C332" w14:textId="760748D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2.3 </w:t>
      </w:r>
      <w:r w:rsidRPr="00753DF5">
        <w:rPr>
          <w:rFonts w:ascii="Arial" w:hAnsi="Arial" w:cs="Arial"/>
          <w:b/>
          <w:bCs/>
          <w:sz w:val="22"/>
          <w:szCs w:val="22"/>
        </w:rPr>
        <w:t>Study Population</w:t>
      </w:r>
    </w:p>
    <w:p w14:paraId="031532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target population comprised students enrolled in public Senior High Schools within the Sunyani Municipality. These students represent a critical demographic group, as they are at a transitional stage where career decisions and future livelihood choices are being shaped.</w:t>
      </w:r>
    </w:p>
    <w:p w14:paraId="5F2EE5BB" w14:textId="77777777" w:rsidR="00753DF5" w:rsidRPr="00753DF5" w:rsidRDefault="00753DF5" w:rsidP="00753DF5">
      <w:pPr>
        <w:jc w:val="both"/>
        <w:rPr>
          <w:rFonts w:ascii="Arial" w:hAnsi="Arial" w:cs="Arial"/>
          <w:sz w:val="22"/>
          <w:szCs w:val="22"/>
        </w:rPr>
      </w:pPr>
    </w:p>
    <w:p w14:paraId="2530272E" w14:textId="10B990C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2.4 </w:t>
      </w:r>
      <w:r w:rsidRPr="00753DF5">
        <w:rPr>
          <w:rFonts w:ascii="Arial" w:hAnsi="Arial" w:cs="Arial"/>
          <w:b/>
          <w:bCs/>
          <w:sz w:val="22"/>
          <w:szCs w:val="22"/>
        </w:rPr>
        <w:t>Sampling Procedure and Sample Size</w:t>
      </w:r>
    </w:p>
    <w:p w14:paraId="435BDD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multi-stage sampling technique was employed. First, three (3) public Senior High Schools were randomly selected from the five (5) government SHSs in the municipality: St. James Seminary SHS, Sunyani SHS, and Notre Dame Girls SHS. In the second stage, simple random sampling was used to select respondents from different classes within each school. A total of ninety (90) students were selected, comprising 30 students from each school. The sample included 42 males (47%) and 48 females (53%).</w:t>
      </w:r>
    </w:p>
    <w:p w14:paraId="365E0BF1" w14:textId="77777777" w:rsidR="00753DF5" w:rsidRPr="00753DF5" w:rsidRDefault="00753DF5" w:rsidP="00753DF5">
      <w:pPr>
        <w:jc w:val="both"/>
        <w:rPr>
          <w:rFonts w:ascii="Arial" w:hAnsi="Arial" w:cs="Arial"/>
          <w:sz w:val="22"/>
          <w:szCs w:val="22"/>
        </w:rPr>
      </w:pPr>
    </w:p>
    <w:p w14:paraId="50FCE887" w14:textId="7B4BDD3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2.5 </w:t>
      </w:r>
      <w:r w:rsidRPr="00753DF5">
        <w:rPr>
          <w:rFonts w:ascii="Arial" w:hAnsi="Arial" w:cs="Arial"/>
          <w:b/>
          <w:bCs/>
          <w:sz w:val="22"/>
          <w:szCs w:val="22"/>
        </w:rPr>
        <w:t>Data Collection Instruments</w:t>
      </w:r>
    </w:p>
    <w:p w14:paraId="117163EE"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t>Primary data were collected using a semi-structured questionnaire. The questionnaire consisted of both closed-ended and a few open-ended questions designed to capture socio-demographic characteristics (age, gender, etc.), awareness of fish farming, sources of information, knowledge of fish species cultured, perceptions and attitudes toward fish farming, intentions and willingness to engage in fish farming of the students. The instrument was designed to be simple, clear, and appropriate for the comprehension level of the respondents. To enhance the reliability of the instrument, a pilot test was conducted among a small group of students in a non-participating school, and necessary adjustments were made before the main data collection.</w:t>
      </w:r>
    </w:p>
    <w:p w14:paraId="46134F9E" w14:textId="77777777" w:rsidR="00753DF5" w:rsidRPr="00753DF5" w:rsidRDefault="00753DF5" w:rsidP="00753DF5">
      <w:pPr>
        <w:jc w:val="both"/>
        <w:rPr>
          <w:rFonts w:ascii="Arial" w:hAnsi="Arial" w:cs="Arial"/>
          <w:sz w:val="22"/>
          <w:szCs w:val="22"/>
        </w:rPr>
      </w:pPr>
    </w:p>
    <w:p w14:paraId="6DE2360A" w14:textId="005BDE5B"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2.6 </w:t>
      </w:r>
      <w:r w:rsidRPr="00753DF5">
        <w:rPr>
          <w:rFonts w:ascii="Arial" w:hAnsi="Arial" w:cs="Arial"/>
          <w:b/>
          <w:bCs/>
          <w:sz w:val="22"/>
          <w:szCs w:val="22"/>
        </w:rPr>
        <w:t>Data Collection Procedure</w:t>
      </w:r>
    </w:p>
    <w:p w14:paraId="1A400F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Data were collected in May 2017. The questionnaires were administered in person by the researchers during school hours with the cooperation of school authorities. Respondents were selected at different times to minimize disruption to academic activities.</w:t>
      </w:r>
    </w:p>
    <w:p w14:paraId="268F260B" w14:textId="77777777" w:rsidR="00753DF5" w:rsidRPr="00753DF5" w:rsidRDefault="00753DF5" w:rsidP="00753DF5">
      <w:pPr>
        <w:jc w:val="both"/>
        <w:rPr>
          <w:rFonts w:ascii="Arial" w:hAnsi="Arial" w:cs="Arial"/>
          <w:sz w:val="22"/>
          <w:szCs w:val="22"/>
        </w:rPr>
      </w:pPr>
    </w:p>
    <w:p w14:paraId="5CB33B2D" w14:textId="72FBE362"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2.7 </w:t>
      </w:r>
      <w:r w:rsidRPr="00753DF5">
        <w:rPr>
          <w:rFonts w:ascii="Arial" w:hAnsi="Arial" w:cs="Arial"/>
          <w:b/>
          <w:bCs/>
          <w:sz w:val="22"/>
          <w:szCs w:val="22"/>
        </w:rPr>
        <w:t>Data Analysis</w:t>
      </w:r>
    </w:p>
    <w:p w14:paraId="62F21C9D"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lastRenderedPageBreak/>
        <w:t>Data collected were coded and entered into Statistical Package for Social Sciences (SPSS) version 20 for analysis. Both descriptive and inferential statistics were employed. Descriptive statistics (frequencies, percentages, and charts) were used to summarize respondents’ characteristics and responses, while inferential statistics, including one-sample t-tests, were conducted to assess the statistical significance of students’ awareness of fish farming and knowledge of fish species cultured at a 95% confidence level. Results were presented using tables, charts, and narrative descriptions.</w:t>
      </w:r>
    </w:p>
    <w:p w14:paraId="7D40A91E" w14:textId="77777777" w:rsidR="00753DF5" w:rsidRPr="00753DF5" w:rsidRDefault="00753DF5" w:rsidP="00753DF5">
      <w:pPr>
        <w:jc w:val="both"/>
        <w:rPr>
          <w:rFonts w:ascii="Arial" w:hAnsi="Arial" w:cs="Arial"/>
          <w:sz w:val="22"/>
          <w:szCs w:val="22"/>
        </w:rPr>
      </w:pPr>
    </w:p>
    <w:p w14:paraId="17D90594" w14:textId="41E829E0"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2.8 </w:t>
      </w:r>
      <w:r w:rsidRPr="00753DF5">
        <w:rPr>
          <w:rFonts w:ascii="Arial" w:hAnsi="Arial" w:cs="Arial"/>
          <w:b/>
          <w:bCs/>
          <w:sz w:val="22"/>
          <w:szCs w:val="22"/>
        </w:rPr>
        <w:t>Limitations of the Study</w:t>
      </w:r>
    </w:p>
    <w:p w14:paraId="7BB7B8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faced some limitations, including delays in obtaining permission from school authorities due to administrative procedures. Additionally, the relatively small sample size and focus on only three schools may limit the generalizability of the findings beyond the study area.</w:t>
      </w:r>
    </w:p>
    <w:p w14:paraId="52269BB8" w14:textId="77777777" w:rsidR="00753DF5" w:rsidRPr="00753DF5" w:rsidRDefault="00753DF5" w:rsidP="00753DF5">
      <w:pPr>
        <w:jc w:val="both"/>
        <w:rPr>
          <w:rFonts w:ascii="Arial" w:hAnsi="Arial" w:cs="Arial"/>
          <w:sz w:val="22"/>
          <w:szCs w:val="22"/>
        </w:rPr>
      </w:pPr>
    </w:p>
    <w:p w14:paraId="4916E8F7" w14:textId="7D964A1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BD6EC7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From the 90 Senior High School students (SHS) who participated in the study, the majority of them were 17 years old (47%), followed by 16-year-olds (33%), indicating that most participants fell within the typical SHS age bracket as can be seen in Table 1. Smaller proportions of students were aged 18 (12%), 15 (6%), and 19 (2%). Overall, the distribution confirmed that the sample was largely composed of students within the expected secondary school age range, ensuring the relevance of their perceptions to youth-focused aquaculture interventions.</w:t>
      </w:r>
    </w:p>
    <w:p w14:paraId="6F3AE2F4" w14:textId="77777777" w:rsidR="00753DF5" w:rsidRPr="00753DF5" w:rsidRDefault="00753DF5" w:rsidP="00753DF5">
      <w:pPr>
        <w:jc w:val="both"/>
        <w:rPr>
          <w:rFonts w:ascii="Arial" w:hAnsi="Arial" w:cs="Arial"/>
          <w:sz w:val="22"/>
          <w:szCs w:val="22"/>
        </w:rPr>
      </w:pPr>
    </w:p>
    <w:p w14:paraId="41219FCB" w14:textId="77777777" w:rsidR="00753DF5" w:rsidRPr="00753DF5" w:rsidRDefault="00753DF5" w:rsidP="00753DF5">
      <w:pPr>
        <w:jc w:val="both"/>
        <w:rPr>
          <w:rFonts w:ascii="Arial" w:hAnsi="Arial" w:cs="Arial"/>
          <w:bCs/>
          <w:sz w:val="22"/>
          <w:szCs w:val="22"/>
        </w:rPr>
      </w:pPr>
      <w:r w:rsidRPr="00753DF5">
        <w:rPr>
          <w:rFonts w:ascii="Arial" w:hAnsi="Arial" w:cs="Arial"/>
          <w:bCs/>
          <w:sz w:val="22"/>
          <w:szCs w:val="22"/>
        </w:rPr>
        <w:t>Table 1: Age Distribution of Senior High School Students Surveyed in Sunyani Municipality, Ghana</w:t>
      </w:r>
    </w:p>
    <w:tbl>
      <w:tblPr>
        <w:tblW w:w="8799" w:type="dxa"/>
        <w:tblCellMar>
          <w:left w:w="0" w:type="dxa"/>
          <w:right w:w="0" w:type="dxa"/>
        </w:tblCellMar>
        <w:tblLook w:val="04A0" w:firstRow="1" w:lastRow="0" w:firstColumn="1" w:lastColumn="0" w:noHBand="0" w:noVBand="1"/>
      </w:tblPr>
      <w:tblGrid>
        <w:gridCol w:w="2933"/>
        <w:gridCol w:w="2933"/>
        <w:gridCol w:w="2933"/>
      </w:tblGrid>
      <w:tr w:rsidR="00753DF5" w:rsidRPr="00753DF5" w14:paraId="4F87C24A" w14:textId="77777777" w:rsidTr="002F2911">
        <w:trPr>
          <w:trHeight w:val="340"/>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41FBF541"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Variable</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79FC958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6A0150D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3C17BCEB" w14:textId="77777777" w:rsidTr="002F2911">
        <w:trPr>
          <w:trHeight w:val="340"/>
        </w:trPr>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26357D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Age</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D290BE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15</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ABA67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3A6124D8" w14:textId="77777777" w:rsidTr="002F2911">
        <w:trPr>
          <w:trHeight w:val="362"/>
        </w:trPr>
        <w:tc>
          <w:tcPr>
            <w:tcW w:w="2933" w:type="dxa"/>
            <w:tcBorders>
              <w:top w:val="nil"/>
              <w:left w:val="nil"/>
              <w:bottom w:val="nil"/>
              <w:right w:val="nil"/>
            </w:tcBorders>
            <w:tcMar>
              <w:top w:w="15" w:type="dxa"/>
              <w:left w:w="108" w:type="dxa"/>
              <w:bottom w:w="0" w:type="dxa"/>
              <w:right w:w="108" w:type="dxa"/>
            </w:tcMar>
            <w:hideMark/>
          </w:tcPr>
          <w:p w14:paraId="75B765D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17CA436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16</w:t>
            </w:r>
          </w:p>
        </w:tc>
        <w:tc>
          <w:tcPr>
            <w:tcW w:w="2933" w:type="dxa"/>
            <w:tcBorders>
              <w:top w:val="nil"/>
              <w:left w:val="nil"/>
              <w:bottom w:val="nil"/>
              <w:right w:val="nil"/>
            </w:tcBorders>
            <w:tcMar>
              <w:top w:w="15" w:type="dxa"/>
              <w:left w:w="108" w:type="dxa"/>
              <w:bottom w:w="0" w:type="dxa"/>
              <w:right w:w="108" w:type="dxa"/>
            </w:tcMar>
            <w:hideMark/>
          </w:tcPr>
          <w:p w14:paraId="45892BC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33</w:t>
            </w:r>
          </w:p>
        </w:tc>
      </w:tr>
      <w:tr w:rsidR="00753DF5" w:rsidRPr="00753DF5" w14:paraId="592F6DE6" w14:textId="77777777" w:rsidTr="002F2911">
        <w:trPr>
          <w:trHeight w:val="340"/>
        </w:trPr>
        <w:tc>
          <w:tcPr>
            <w:tcW w:w="2933" w:type="dxa"/>
            <w:tcBorders>
              <w:top w:val="nil"/>
              <w:left w:val="nil"/>
              <w:bottom w:val="nil"/>
              <w:right w:val="nil"/>
            </w:tcBorders>
            <w:shd w:val="clear" w:color="auto" w:fill="F2F2F2"/>
            <w:tcMar>
              <w:top w:w="15" w:type="dxa"/>
              <w:left w:w="108" w:type="dxa"/>
              <w:bottom w:w="0" w:type="dxa"/>
              <w:right w:w="108" w:type="dxa"/>
            </w:tcMar>
            <w:hideMark/>
          </w:tcPr>
          <w:p w14:paraId="3BCF4B1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1A8146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17</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6C782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w:t>
            </w:r>
          </w:p>
        </w:tc>
      </w:tr>
      <w:tr w:rsidR="00753DF5" w:rsidRPr="00753DF5" w14:paraId="5803021E" w14:textId="77777777" w:rsidTr="002F2911">
        <w:trPr>
          <w:trHeight w:val="340"/>
        </w:trPr>
        <w:tc>
          <w:tcPr>
            <w:tcW w:w="2933" w:type="dxa"/>
            <w:tcBorders>
              <w:top w:val="nil"/>
              <w:left w:val="nil"/>
              <w:bottom w:val="nil"/>
              <w:right w:val="nil"/>
            </w:tcBorders>
            <w:tcMar>
              <w:top w:w="15" w:type="dxa"/>
              <w:left w:w="108" w:type="dxa"/>
              <w:bottom w:w="0" w:type="dxa"/>
              <w:right w:w="108" w:type="dxa"/>
            </w:tcMar>
            <w:hideMark/>
          </w:tcPr>
          <w:p w14:paraId="0B97EE4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5E9D6FA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18</w:t>
            </w:r>
          </w:p>
        </w:tc>
        <w:tc>
          <w:tcPr>
            <w:tcW w:w="2933" w:type="dxa"/>
            <w:tcBorders>
              <w:top w:val="nil"/>
              <w:left w:val="nil"/>
              <w:bottom w:val="nil"/>
              <w:right w:val="nil"/>
            </w:tcBorders>
            <w:tcMar>
              <w:top w:w="15" w:type="dxa"/>
              <w:left w:w="108" w:type="dxa"/>
              <w:bottom w:w="0" w:type="dxa"/>
              <w:right w:w="108" w:type="dxa"/>
            </w:tcMar>
            <w:hideMark/>
          </w:tcPr>
          <w:p w14:paraId="58D0A97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12</w:t>
            </w:r>
          </w:p>
        </w:tc>
      </w:tr>
      <w:tr w:rsidR="00753DF5" w:rsidRPr="00753DF5" w14:paraId="4D6AB2B1" w14:textId="77777777" w:rsidTr="002F2911">
        <w:trPr>
          <w:trHeight w:val="362"/>
        </w:trPr>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06750D5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538DB7A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19</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7ECB042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w:t>
            </w:r>
          </w:p>
        </w:tc>
      </w:tr>
      <w:tr w:rsidR="00753DF5" w:rsidRPr="00753DF5" w14:paraId="096A6773" w14:textId="77777777" w:rsidTr="002F2911">
        <w:trPr>
          <w:trHeight w:val="323"/>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1156136F"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E3448B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6D6619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520F63D8" w14:textId="77777777" w:rsidR="00753DF5" w:rsidRPr="00753DF5" w:rsidRDefault="00753DF5" w:rsidP="00753DF5">
      <w:pPr>
        <w:jc w:val="both"/>
        <w:rPr>
          <w:rFonts w:ascii="Arial" w:hAnsi="Arial" w:cs="Arial"/>
          <w:sz w:val="22"/>
          <w:szCs w:val="22"/>
        </w:rPr>
      </w:pPr>
    </w:p>
    <w:p w14:paraId="337630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The majority of students who participated in the study were enrolled in General Arts (49%), followed by General Science (29%) and Business (14%) (Table 2). Smaller proportions were found in Home Science (6%), while General Agriculture and Visual Arts each accounted for only 1% of the sample. The distribution indicates a strong representation of non-agriculture-related </w:t>
      </w:r>
      <w:proofErr w:type="spellStart"/>
      <w:r w:rsidRPr="00753DF5">
        <w:rPr>
          <w:rFonts w:ascii="Arial" w:hAnsi="Arial" w:cs="Arial"/>
          <w:sz w:val="22"/>
          <w:szCs w:val="22"/>
        </w:rPr>
        <w:t>programmes</w:t>
      </w:r>
      <w:proofErr w:type="spellEnd"/>
      <w:r w:rsidRPr="00753DF5">
        <w:rPr>
          <w:rFonts w:ascii="Arial" w:hAnsi="Arial" w:cs="Arial"/>
          <w:sz w:val="22"/>
          <w:szCs w:val="22"/>
        </w:rPr>
        <w:t>, which may have implications for students’ exposure to and engagement with aquaculture concepts within the school curriculum.</w:t>
      </w:r>
    </w:p>
    <w:p w14:paraId="583858EA" w14:textId="77777777" w:rsidR="00753DF5" w:rsidRPr="00753DF5" w:rsidRDefault="00753DF5" w:rsidP="00753DF5">
      <w:pPr>
        <w:jc w:val="both"/>
        <w:rPr>
          <w:rFonts w:ascii="Arial" w:hAnsi="Arial" w:cs="Arial"/>
          <w:sz w:val="22"/>
          <w:szCs w:val="22"/>
        </w:rPr>
      </w:pPr>
    </w:p>
    <w:p w14:paraId="04B7E0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2: Distribution of Students by </w:t>
      </w:r>
      <w:proofErr w:type="spellStart"/>
      <w:r w:rsidRPr="00753DF5">
        <w:rPr>
          <w:rFonts w:ascii="Arial" w:hAnsi="Arial" w:cs="Arial"/>
          <w:sz w:val="22"/>
          <w:szCs w:val="22"/>
        </w:rPr>
        <w:t>Programme</w:t>
      </w:r>
      <w:proofErr w:type="spellEnd"/>
      <w:r w:rsidRPr="00753DF5">
        <w:rPr>
          <w:rFonts w:ascii="Arial" w:hAnsi="Arial" w:cs="Arial"/>
          <w:sz w:val="22"/>
          <w:szCs w:val="22"/>
        </w:rPr>
        <w:t xml:space="preserve"> of Study in Selected Senior High Schools in Sunyani Municipality, Ghana </w:t>
      </w:r>
    </w:p>
    <w:tbl>
      <w:tblPr>
        <w:tblW w:w="8802" w:type="dxa"/>
        <w:tblCellMar>
          <w:left w:w="0" w:type="dxa"/>
          <w:right w:w="0" w:type="dxa"/>
        </w:tblCellMar>
        <w:tblLook w:val="04A0" w:firstRow="1" w:lastRow="0" w:firstColumn="1" w:lastColumn="0" w:noHBand="0" w:noVBand="1"/>
      </w:tblPr>
      <w:tblGrid>
        <w:gridCol w:w="2934"/>
        <w:gridCol w:w="2934"/>
        <w:gridCol w:w="2934"/>
      </w:tblGrid>
      <w:tr w:rsidR="00753DF5" w:rsidRPr="00753DF5" w14:paraId="636319E5" w14:textId="77777777" w:rsidTr="002F2911">
        <w:trPr>
          <w:trHeight w:val="318"/>
        </w:trPr>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1D38D400"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2829B33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62CCBC5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1FC20A19" w14:textId="77777777" w:rsidTr="002F2911">
        <w:trPr>
          <w:trHeight w:val="318"/>
        </w:trPr>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BE545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lastRenderedPageBreak/>
              <w:t xml:space="preserve">Program of study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5A53B4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3EDF836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w:t>
            </w:r>
          </w:p>
        </w:tc>
      </w:tr>
      <w:tr w:rsidR="00753DF5" w:rsidRPr="00753DF5" w14:paraId="6BB60E56" w14:textId="77777777" w:rsidTr="002F2911">
        <w:trPr>
          <w:trHeight w:val="336"/>
        </w:trPr>
        <w:tc>
          <w:tcPr>
            <w:tcW w:w="2934" w:type="dxa"/>
            <w:tcBorders>
              <w:top w:val="nil"/>
              <w:left w:val="nil"/>
              <w:bottom w:val="nil"/>
              <w:right w:val="nil"/>
            </w:tcBorders>
            <w:tcMar>
              <w:top w:w="15" w:type="dxa"/>
              <w:left w:w="108" w:type="dxa"/>
              <w:bottom w:w="0" w:type="dxa"/>
              <w:right w:w="108" w:type="dxa"/>
            </w:tcMar>
            <w:hideMark/>
          </w:tcPr>
          <w:p w14:paraId="720A339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C698E1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Agriculture </w:t>
            </w:r>
          </w:p>
        </w:tc>
        <w:tc>
          <w:tcPr>
            <w:tcW w:w="2934" w:type="dxa"/>
            <w:tcBorders>
              <w:top w:val="nil"/>
              <w:left w:val="nil"/>
              <w:bottom w:val="nil"/>
              <w:right w:val="nil"/>
            </w:tcBorders>
            <w:tcMar>
              <w:top w:w="15" w:type="dxa"/>
              <w:left w:w="108" w:type="dxa"/>
              <w:bottom w:w="0" w:type="dxa"/>
              <w:right w:w="108" w:type="dxa"/>
            </w:tcMar>
            <w:hideMark/>
          </w:tcPr>
          <w:p w14:paraId="487C82E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513C0E31" w14:textId="77777777" w:rsidTr="002F2911">
        <w:trPr>
          <w:trHeight w:val="318"/>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4250EB3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355C34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2D5FDA0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49</w:t>
            </w:r>
          </w:p>
        </w:tc>
      </w:tr>
      <w:tr w:rsidR="00753DF5" w:rsidRPr="00753DF5" w14:paraId="08013A87" w14:textId="77777777" w:rsidTr="002F2911">
        <w:trPr>
          <w:trHeight w:val="318"/>
        </w:trPr>
        <w:tc>
          <w:tcPr>
            <w:tcW w:w="2934" w:type="dxa"/>
            <w:tcBorders>
              <w:top w:val="nil"/>
              <w:left w:val="nil"/>
              <w:bottom w:val="nil"/>
              <w:right w:val="nil"/>
            </w:tcBorders>
            <w:tcMar>
              <w:top w:w="15" w:type="dxa"/>
              <w:left w:w="108" w:type="dxa"/>
              <w:bottom w:w="0" w:type="dxa"/>
              <w:right w:w="108" w:type="dxa"/>
            </w:tcMar>
            <w:hideMark/>
          </w:tcPr>
          <w:p w14:paraId="07F94AD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1B9CAB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934" w:type="dxa"/>
            <w:tcBorders>
              <w:top w:val="nil"/>
              <w:left w:val="nil"/>
              <w:bottom w:val="nil"/>
              <w:right w:val="nil"/>
            </w:tcBorders>
            <w:tcMar>
              <w:top w:w="15" w:type="dxa"/>
              <w:left w:w="108" w:type="dxa"/>
              <w:bottom w:w="0" w:type="dxa"/>
              <w:right w:w="108" w:type="dxa"/>
            </w:tcMar>
            <w:hideMark/>
          </w:tcPr>
          <w:p w14:paraId="4FA1A9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29</w:t>
            </w:r>
          </w:p>
        </w:tc>
      </w:tr>
      <w:tr w:rsidR="00753DF5" w:rsidRPr="00753DF5" w14:paraId="14A4E3CE" w14:textId="77777777" w:rsidTr="002F2911">
        <w:trPr>
          <w:trHeight w:val="336"/>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322F0B7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1D76D1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0818A5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5764E217" w14:textId="77777777" w:rsidTr="002F2911">
        <w:trPr>
          <w:trHeight w:val="318"/>
        </w:trPr>
        <w:tc>
          <w:tcPr>
            <w:tcW w:w="2934" w:type="dxa"/>
            <w:tcBorders>
              <w:top w:val="nil"/>
              <w:left w:val="nil"/>
              <w:bottom w:val="single" w:sz="8" w:space="0" w:color="000000"/>
              <w:right w:val="nil"/>
            </w:tcBorders>
            <w:tcMar>
              <w:top w:w="15" w:type="dxa"/>
              <w:left w:w="108" w:type="dxa"/>
              <w:bottom w:w="0" w:type="dxa"/>
              <w:right w:w="108" w:type="dxa"/>
            </w:tcMar>
            <w:hideMark/>
          </w:tcPr>
          <w:p w14:paraId="14C4122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single" w:sz="8" w:space="0" w:color="000000"/>
              <w:right w:val="nil"/>
            </w:tcBorders>
            <w:tcMar>
              <w:top w:w="15" w:type="dxa"/>
              <w:left w:w="108" w:type="dxa"/>
              <w:bottom w:w="0" w:type="dxa"/>
              <w:right w:w="108" w:type="dxa"/>
            </w:tcMar>
            <w:hideMark/>
          </w:tcPr>
          <w:p w14:paraId="40F9447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934" w:type="dxa"/>
            <w:tcBorders>
              <w:top w:val="nil"/>
              <w:left w:val="nil"/>
              <w:bottom w:val="single" w:sz="8" w:space="0" w:color="000000"/>
              <w:right w:val="nil"/>
            </w:tcBorders>
            <w:tcMar>
              <w:top w:w="15" w:type="dxa"/>
              <w:left w:w="108" w:type="dxa"/>
              <w:bottom w:w="0" w:type="dxa"/>
              <w:right w:w="108" w:type="dxa"/>
            </w:tcMar>
            <w:hideMark/>
          </w:tcPr>
          <w:p w14:paraId="35C4BBC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1E1E55E6" w14:textId="77777777" w:rsidTr="002F2911">
        <w:trPr>
          <w:trHeight w:val="318"/>
        </w:trPr>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4425E8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11322B08"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CA98349"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0CD20BE2" w14:textId="77777777" w:rsidR="00753DF5" w:rsidRPr="00753DF5" w:rsidRDefault="00753DF5" w:rsidP="00753DF5">
      <w:pPr>
        <w:jc w:val="both"/>
        <w:rPr>
          <w:rFonts w:ascii="Arial" w:hAnsi="Arial" w:cs="Arial"/>
          <w:sz w:val="22"/>
          <w:szCs w:val="22"/>
        </w:rPr>
      </w:pPr>
    </w:p>
    <w:p w14:paraId="711EA0D6" w14:textId="0117B3F2"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Overall, the students’ awareness of fish farming across different </w:t>
      </w:r>
      <w:proofErr w:type="spellStart"/>
      <w:r w:rsidRPr="00753DF5">
        <w:rPr>
          <w:rFonts w:ascii="Arial" w:hAnsi="Arial" w:cs="Arial"/>
          <w:sz w:val="22"/>
          <w:szCs w:val="22"/>
        </w:rPr>
        <w:t>programmes</w:t>
      </w:r>
      <w:proofErr w:type="spellEnd"/>
      <w:r w:rsidRPr="00753DF5">
        <w:rPr>
          <w:rFonts w:ascii="Arial" w:hAnsi="Arial" w:cs="Arial"/>
          <w:sz w:val="22"/>
          <w:szCs w:val="22"/>
        </w:rPr>
        <w:t xml:space="preserve"> of study was very high, with 98.9% of respondents indicating that they were aware of fish farming, while only 1.1% reported otherwise (Table 3). General Arts students constituted the largest proportion of those aware (47.8%), followed by General Science (28.9%) and Business (14.4%). Notably, all students in Business, General Agriculture, General Science, Home Science, and Visual Arts reported awareness, with no recorded cases of lack of awareness in these categories. The only instance of non-awareness (1.1%) was observed among General Arts students. These findings suggest that awareness of fish farming is widespread across all academic disciplines, irrespective of students’ </w:t>
      </w:r>
      <w:r w:rsidR="00755766">
        <w:rPr>
          <w:rFonts w:ascii="Arial" w:hAnsi="Arial" w:cs="Arial"/>
          <w:sz w:val="22"/>
          <w:szCs w:val="22"/>
        </w:rPr>
        <w:t>fields</w:t>
      </w:r>
      <w:r w:rsidRPr="00753DF5">
        <w:rPr>
          <w:rFonts w:ascii="Arial" w:hAnsi="Arial" w:cs="Arial"/>
          <w:sz w:val="22"/>
          <w:szCs w:val="22"/>
        </w:rPr>
        <w:t xml:space="preserve"> of study.</w:t>
      </w:r>
    </w:p>
    <w:p w14:paraId="3F0D1360" w14:textId="77777777" w:rsidR="00753DF5" w:rsidRPr="00753DF5" w:rsidRDefault="00753DF5" w:rsidP="00753DF5">
      <w:pPr>
        <w:jc w:val="both"/>
        <w:rPr>
          <w:rFonts w:ascii="Arial" w:hAnsi="Arial" w:cs="Arial"/>
          <w:sz w:val="22"/>
          <w:szCs w:val="22"/>
        </w:rPr>
      </w:pPr>
    </w:p>
    <w:p w14:paraId="73AD17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3: Students’ Awareness of Fish Farming by </w:t>
      </w:r>
      <w:proofErr w:type="spellStart"/>
      <w:r w:rsidRPr="00753DF5">
        <w:rPr>
          <w:rFonts w:ascii="Arial" w:hAnsi="Arial" w:cs="Arial"/>
          <w:sz w:val="22"/>
          <w:szCs w:val="22"/>
        </w:rPr>
        <w:t>Programme</w:t>
      </w:r>
      <w:proofErr w:type="spellEnd"/>
      <w:r w:rsidRPr="00753DF5">
        <w:rPr>
          <w:rFonts w:ascii="Arial" w:hAnsi="Arial" w:cs="Arial"/>
          <w:sz w:val="22"/>
          <w:szCs w:val="22"/>
        </w:rPr>
        <w:t xml:space="preserve"> of Study in Selected Senior High Schools in Sunyani Municipality, Ghana </w:t>
      </w:r>
    </w:p>
    <w:tbl>
      <w:tblPr>
        <w:tblW w:w="8889" w:type="dxa"/>
        <w:tblCellMar>
          <w:left w:w="0" w:type="dxa"/>
          <w:right w:w="0" w:type="dxa"/>
        </w:tblCellMar>
        <w:tblLook w:val="04A0" w:firstRow="1" w:lastRow="0" w:firstColumn="1" w:lastColumn="0" w:noHBand="0" w:noVBand="1"/>
      </w:tblPr>
      <w:tblGrid>
        <w:gridCol w:w="2949"/>
        <w:gridCol w:w="2013"/>
        <w:gridCol w:w="1706"/>
        <w:gridCol w:w="2221"/>
      </w:tblGrid>
      <w:tr w:rsidR="00753DF5" w:rsidRPr="00753DF5" w14:paraId="0F90DCA4" w14:textId="77777777" w:rsidTr="002F2911">
        <w:trPr>
          <w:trHeight w:val="343"/>
        </w:trPr>
        <w:tc>
          <w:tcPr>
            <w:tcW w:w="8889" w:type="dxa"/>
            <w:gridSpan w:val="4"/>
            <w:tcBorders>
              <w:top w:val="single" w:sz="8" w:space="0" w:color="000000"/>
              <w:left w:val="nil"/>
              <w:bottom w:val="single" w:sz="8" w:space="0" w:color="000000"/>
              <w:right w:val="nil"/>
            </w:tcBorders>
            <w:tcMar>
              <w:top w:w="15" w:type="dxa"/>
              <w:left w:w="108" w:type="dxa"/>
              <w:bottom w:w="0" w:type="dxa"/>
              <w:right w:w="108" w:type="dxa"/>
            </w:tcMar>
            <w:hideMark/>
          </w:tcPr>
          <w:p w14:paraId="52688A5C"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Awareness of fish farming </w:t>
            </w:r>
          </w:p>
        </w:tc>
      </w:tr>
      <w:tr w:rsidR="00753DF5" w:rsidRPr="00753DF5" w14:paraId="6A6B52EA" w14:textId="77777777" w:rsidTr="002F2911">
        <w:trPr>
          <w:trHeight w:val="307"/>
        </w:trPr>
        <w:tc>
          <w:tcPr>
            <w:tcW w:w="2949"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36D44AA"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Program of study </w:t>
            </w:r>
          </w:p>
        </w:tc>
        <w:tc>
          <w:tcPr>
            <w:tcW w:w="2013"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1EFF35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Yes (%)</w:t>
            </w:r>
          </w:p>
        </w:tc>
        <w:tc>
          <w:tcPr>
            <w:tcW w:w="1706"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7D582D2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No (%)</w:t>
            </w:r>
          </w:p>
        </w:tc>
        <w:tc>
          <w:tcPr>
            <w:tcW w:w="2221"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3AC9CA86"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 (%)</w:t>
            </w:r>
          </w:p>
        </w:tc>
      </w:tr>
      <w:tr w:rsidR="00753DF5" w:rsidRPr="00753DF5" w14:paraId="3E058924" w14:textId="77777777" w:rsidTr="002F2911">
        <w:trPr>
          <w:trHeight w:val="343"/>
        </w:trPr>
        <w:tc>
          <w:tcPr>
            <w:tcW w:w="2949" w:type="dxa"/>
            <w:tcBorders>
              <w:top w:val="single" w:sz="8" w:space="0" w:color="000000"/>
              <w:left w:val="nil"/>
              <w:bottom w:val="nil"/>
              <w:right w:val="nil"/>
            </w:tcBorders>
            <w:tcMar>
              <w:top w:w="15" w:type="dxa"/>
              <w:left w:w="108" w:type="dxa"/>
              <w:bottom w:w="0" w:type="dxa"/>
              <w:right w:w="108" w:type="dxa"/>
            </w:tcMar>
            <w:hideMark/>
          </w:tcPr>
          <w:p w14:paraId="3258CB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013" w:type="dxa"/>
            <w:tcBorders>
              <w:top w:val="single" w:sz="8" w:space="0" w:color="000000"/>
              <w:left w:val="nil"/>
              <w:bottom w:val="nil"/>
              <w:right w:val="nil"/>
            </w:tcBorders>
            <w:tcMar>
              <w:top w:w="15" w:type="dxa"/>
              <w:left w:w="108" w:type="dxa"/>
              <w:bottom w:w="0" w:type="dxa"/>
              <w:right w:w="108" w:type="dxa"/>
            </w:tcMar>
            <w:hideMark/>
          </w:tcPr>
          <w:p w14:paraId="139132C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c>
          <w:tcPr>
            <w:tcW w:w="1706" w:type="dxa"/>
            <w:tcBorders>
              <w:top w:val="single" w:sz="8" w:space="0" w:color="000000"/>
              <w:left w:val="nil"/>
              <w:bottom w:val="nil"/>
              <w:right w:val="nil"/>
            </w:tcBorders>
            <w:tcMar>
              <w:top w:w="15" w:type="dxa"/>
              <w:left w:w="108" w:type="dxa"/>
              <w:bottom w:w="0" w:type="dxa"/>
              <w:right w:w="108" w:type="dxa"/>
            </w:tcMar>
            <w:hideMark/>
          </w:tcPr>
          <w:p w14:paraId="4456BCB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single" w:sz="8" w:space="0" w:color="000000"/>
              <w:left w:val="nil"/>
              <w:bottom w:val="nil"/>
              <w:right w:val="nil"/>
            </w:tcBorders>
            <w:tcMar>
              <w:top w:w="15" w:type="dxa"/>
              <w:left w:w="108" w:type="dxa"/>
              <w:bottom w:w="0" w:type="dxa"/>
              <w:right w:w="108" w:type="dxa"/>
            </w:tcMar>
            <w:hideMark/>
          </w:tcPr>
          <w:p w14:paraId="4E917A1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r>
      <w:tr w:rsidR="00753DF5" w:rsidRPr="00753DF5" w14:paraId="2878B096" w14:textId="77777777" w:rsidTr="002F2911">
        <w:trPr>
          <w:trHeight w:val="371"/>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756AFA2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Agriculture</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240C70D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0C5259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E442C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466DF0B2" w14:textId="77777777" w:rsidTr="002F2911">
        <w:trPr>
          <w:trHeight w:val="361"/>
        </w:trPr>
        <w:tc>
          <w:tcPr>
            <w:tcW w:w="2949" w:type="dxa"/>
            <w:tcBorders>
              <w:top w:val="nil"/>
              <w:left w:val="nil"/>
              <w:bottom w:val="nil"/>
              <w:right w:val="nil"/>
            </w:tcBorders>
            <w:tcMar>
              <w:top w:w="15" w:type="dxa"/>
              <w:left w:w="108" w:type="dxa"/>
              <w:bottom w:w="0" w:type="dxa"/>
              <w:right w:w="108" w:type="dxa"/>
            </w:tcMar>
            <w:hideMark/>
          </w:tcPr>
          <w:p w14:paraId="391B2FB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013" w:type="dxa"/>
            <w:tcBorders>
              <w:top w:val="nil"/>
              <w:left w:val="nil"/>
              <w:bottom w:val="nil"/>
              <w:right w:val="nil"/>
            </w:tcBorders>
            <w:tcMar>
              <w:top w:w="15" w:type="dxa"/>
              <w:left w:w="108" w:type="dxa"/>
              <w:bottom w:w="0" w:type="dxa"/>
              <w:right w:w="108" w:type="dxa"/>
            </w:tcMar>
            <w:hideMark/>
          </w:tcPr>
          <w:p w14:paraId="6302C61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47.8</w:t>
            </w:r>
          </w:p>
        </w:tc>
        <w:tc>
          <w:tcPr>
            <w:tcW w:w="1706" w:type="dxa"/>
            <w:tcBorders>
              <w:top w:val="nil"/>
              <w:left w:val="nil"/>
              <w:bottom w:val="nil"/>
              <w:right w:val="nil"/>
            </w:tcBorders>
            <w:tcMar>
              <w:top w:w="15" w:type="dxa"/>
              <w:left w:w="108" w:type="dxa"/>
              <w:bottom w:w="0" w:type="dxa"/>
              <w:right w:w="108" w:type="dxa"/>
            </w:tcMar>
            <w:hideMark/>
          </w:tcPr>
          <w:p w14:paraId="7C7734A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nil"/>
              <w:left w:val="nil"/>
              <w:bottom w:val="nil"/>
              <w:right w:val="nil"/>
            </w:tcBorders>
            <w:tcMar>
              <w:top w:w="15" w:type="dxa"/>
              <w:left w:w="108" w:type="dxa"/>
              <w:bottom w:w="0" w:type="dxa"/>
              <w:right w:w="108" w:type="dxa"/>
            </w:tcMar>
            <w:hideMark/>
          </w:tcPr>
          <w:p w14:paraId="042CD18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48.9</w:t>
            </w:r>
          </w:p>
        </w:tc>
      </w:tr>
      <w:tr w:rsidR="00753DF5" w:rsidRPr="00753DF5" w14:paraId="24243EA6" w14:textId="77777777" w:rsidTr="002F2911">
        <w:trPr>
          <w:trHeight w:val="343"/>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02B7A44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5A26C3F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1C3891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13B89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r>
      <w:tr w:rsidR="00753DF5" w:rsidRPr="00753DF5" w14:paraId="17B9618F" w14:textId="77777777" w:rsidTr="002F2911">
        <w:trPr>
          <w:trHeight w:val="309"/>
        </w:trPr>
        <w:tc>
          <w:tcPr>
            <w:tcW w:w="2949" w:type="dxa"/>
            <w:tcBorders>
              <w:top w:val="nil"/>
              <w:left w:val="nil"/>
              <w:bottom w:val="nil"/>
              <w:right w:val="nil"/>
            </w:tcBorders>
            <w:tcMar>
              <w:top w:w="15" w:type="dxa"/>
              <w:left w:w="108" w:type="dxa"/>
              <w:bottom w:w="0" w:type="dxa"/>
              <w:right w:w="108" w:type="dxa"/>
            </w:tcMar>
            <w:hideMark/>
          </w:tcPr>
          <w:p w14:paraId="1D8420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013" w:type="dxa"/>
            <w:tcBorders>
              <w:top w:val="nil"/>
              <w:left w:val="nil"/>
              <w:bottom w:val="nil"/>
              <w:right w:val="nil"/>
            </w:tcBorders>
            <w:tcMar>
              <w:top w:w="15" w:type="dxa"/>
              <w:left w:w="108" w:type="dxa"/>
              <w:bottom w:w="0" w:type="dxa"/>
              <w:right w:w="108" w:type="dxa"/>
            </w:tcMar>
            <w:hideMark/>
          </w:tcPr>
          <w:p w14:paraId="70E3738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c>
          <w:tcPr>
            <w:tcW w:w="1706" w:type="dxa"/>
            <w:tcBorders>
              <w:top w:val="nil"/>
              <w:left w:val="nil"/>
              <w:bottom w:val="nil"/>
              <w:right w:val="nil"/>
            </w:tcBorders>
            <w:tcMar>
              <w:top w:w="15" w:type="dxa"/>
              <w:left w:w="108" w:type="dxa"/>
              <w:bottom w:w="0" w:type="dxa"/>
              <w:right w:w="108" w:type="dxa"/>
            </w:tcMar>
            <w:hideMark/>
          </w:tcPr>
          <w:p w14:paraId="60D516F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tcMar>
              <w:top w:w="15" w:type="dxa"/>
              <w:left w:w="108" w:type="dxa"/>
              <w:bottom w:w="0" w:type="dxa"/>
              <w:right w:w="108" w:type="dxa"/>
            </w:tcMar>
            <w:hideMark/>
          </w:tcPr>
          <w:p w14:paraId="69DE7EF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r>
      <w:tr w:rsidR="00753DF5" w:rsidRPr="00753DF5" w14:paraId="3FA75A98" w14:textId="77777777" w:rsidTr="002F2911">
        <w:trPr>
          <w:trHeight w:val="343"/>
        </w:trPr>
        <w:tc>
          <w:tcPr>
            <w:tcW w:w="2949"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3DE07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01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67F45A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244D7A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4B6D6AC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630B690C" w14:textId="77777777" w:rsidTr="002F2911">
        <w:trPr>
          <w:trHeight w:val="325"/>
        </w:trPr>
        <w:tc>
          <w:tcPr>
            <w:tcW w:w="2949" w:type="dxa"/>
            <w:tcBorders>
              <w:top w:val="single" w:sz="8" w:space="0" w:color="000000"/>
              <w:left w:val="nil"/>
              <w:bottom w:val="single" w:sz="8" w:space="0" w:color="000000"/>
              <w:right w:val="nil"/>
            </w:tcBorders>
            <w:tcMar>
              <w:top w:w="15" w:type="dxa"/>
              <w:left w:w="108" w:type="dxa"/>
              <w:bottom w:w="0" w:type="dxa"/>
              <w:right w:w="108" w:type="dxa"/>
            </w:tcMar>
            <w:hideMark/>
          </w:tcPr>
          <w:p w14:paraId="124B596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013" w:type="dxa"/>
            <w:tcBorders>
              <w:top w:val="single" w:sz="8" w:space="0" w:color="000000"/>
              <w:left w:val="nil"/>
              <w:bottom w:val="single" w:sz="8" w:space="0" w:color="000000"/>
              <w:right w:val="nil"/>
            </w:tcBorders>
            <w:tcMar>
              <w:top w:w="15" w:type="dxa"/>
              <w:left w:w="108" w:type="dxa"/>
              <w:bottom w:w="0" w:type="dxa"/>
              <w:right w:w="108" w:type="dxa"/>
            </w:tcMar>
            <w:hideMark/>
          </w:tcPr>
          <w:p w14:paraId="6FB28D2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98.9</w:t>
            </w:r>
          </w:p>
        </w:tc>
        <w:tc>
          <w:tcPr>
            <w:tcW w:w="1706" w:type="dxa"/>
            <w:tcBorders>
              <w:top w:val="single" w:sz="8" w:space="0" w:color="000000"/>
              <w:left w:val="nil"/>
              <w:bottom w:val="single" w:sz="8" w:space="0" w:color="000000"/>
              <w:right w:val="nil"/>
            </w:tcBorders>
            <w:tcMar>
              <w:top w:w="15" w:type="dxa"/>
              <w:left w:w="108" w:type="dxa"/>
              <w:bottom w:w="0" w:type="dxa"/>
              <w:right w:w="108" w:type="dxa"/>
            </w:tcMar>
            <w:hideMark/>
          </w:tcPr>
          <w:p w14:paraId="2FDCFF5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single" w:sz="8" w:space="0" w:color="000000"/>
              <w:left w:val="nil"/>
              <w:bottom w:val="single" w:sz="8" w:space="0" w:color="000000"/>
              <w:right w:val="nil"/>
            </w:tcBorders>
            <w:tcMar>
              <w:top w:w="15" w:type="dxa"/>
              <w:left w:w="108" w:type="dxa"/>
              <w:bottom w:w="0" w:type="dxa"/>
              <w:right w:w="108" w:type="dxa"/>
            </w:tcMar>
            <w:hideMark/>
          </w:tcPr>
          <w:p w14:paraId="4C3D344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100</w:t>
            </w:r>
          </w:p>
        </w:tc>
      </w:tr>
    </w:tbl>
    <w:p w14:paraId="47C9E8B8" w14:textId="77777777" w:rsidR="00753DF5" w:rsidRPr="00753DF5" w:rsidRDefault="00753DF5" w:rsidP="00753DF5">
      <w:pPr>
        <w:jc w:val="both"/>
        <w:rPr>
          <w:rFonts w:ascii="Arial" w:hAnsi="Arial" w:cs="Arial"/>
          <w:sz w:val="22"/>
          <w:szCs w:val="22"/>
        </w:rPr>
      </w:pPr>
    </w:p>
    <w:p w14:paraId="27F1C2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majority of respondents (73%) indicated that they learned about fish farming through formal education in school, highlighting the dominant role of the educational system in knowledge dissemination (Figure 1). Media sources accounted for 19% of awareness, reflecting the influence of television, radio, and digital platforms. A smaller proportion (8%) reported friends as their source of information. Overall, the figure underscores the importance of schools as the primary channel for promoting aquaculture awareness among students, while also indicating the complementary role of media and peer networks.</w:t>
      </w:r>
    </w:p>
    <w:p w14:paraId="00B5B7D8" w14:textId="77777777" w:rsidR="00753DF5" w:rsidRPr="00753DF5" w:rsidRDefault="00753DF5" w:rsidP="00753DF5">
      <w:pPr>
        <w:jc w:val="both"/>
        <w:rPr>
          <w:rFonts w:ascii="Arial" w:hAnsi="Arial" w:cs="Arial"/>
          <w:sz w:val="22"/>
          <w:szCs w:val="22"/>
        </w:rPr>
      </w:pPr>
    </w:p>
    <w:p w14:paraId="565A7B7C"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02ABA232" wp14:editId="0D7A0FC4">
            <wp:extent cx="4772660" cy="2093077"/>
            <wp:effectExtent l="0" t="0" r="889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402FB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1: Sources of Information on Fish Farming Awareness Among Senior High School Students in Sunyani Municipality, Ghana</w:t>
      </w:r>
    </w:p>
    <w:p w14:paraId="01738BD3" w14:textId="77777777" w:rsidR="00753DF5" w:rsidRPr="00753DF5" w:rsidRDefault="00753DF5" w:rsidP="00753DF5">
      <w:pPr>
        <w:jc w:val="both"/>
        <w:rPr>
          <w:rFonts w:ascii="Arial" w:hAnsi="Arial" w:cs="Arial"/>
          <w:sz w:val="22"/>
          <w:szCs w:val="22"/>
        </w:rPr>
      </w:pPr>
    </w:p>
    <w:p w14:paraId="48C7D94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An overwhelming majority of respondents (98%) indicated that they were aware that fish farming is practiced in the country, demonstrating a very high level of general knowledge (Table 4). Only 1% of students reported that fish farming is not practiced in Ghana, while another 1% were unsure. The findings suggest that fish farming is widely recognized among students as an existing economic activity in Ghana, likely due to its growing prominence and visibility in the country.</w:t>
      </w:r>
    </w:p>
    <w:p w14:paraId="35E80291" w14:textId="77777777" w:rsidR="00753DF5" w:rsidRPr="00753DF5" w:rsidRDefault="00753DF5" w:rsidP="00753DF5">
      <w:pPr>
        <w:jc w:val="both"/>
        <w:rPr>
          <w:rFonts w:ascii="Arial" w:hAnsi="Arial" w:cs="Arial"/>
          <w:sz w:val="22"/>
          <w:szCs w:val="22"/>
        </w:rPr>
      </w:pPr>
    </w:p>
    <w:p w14:paraId="20B73E5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4: Students’ Knowledge of Fish Farming Practices in Ghana Among Selected Senior High Schools in Sunyani Municipality </w:t>
      </w:r>
    </w:p>
    <w:tbl>
      <w:tblPr>
        <w:tblStyle w:val="PlainTable4"/>
        <w:tblW w:w="0" w:type="auto"/>
        <w:tblLook w:val="04A0" w:firstRow="1" w:lastRow="0" w:firstColumn="1" w:lastColumn="0" w:noHBand="0" w:noVBand="1"/>
      </w:tblPr>
      <w:tblGrid>
        <w:gridCol w:w="2153"/>
        <w:gridCol w:w="2908"/>
        <w:gridCol w:w="2470"/>
      </w:tblGrid>
      <w:tr w:rsidR="00753DF5" w:rsidRPr="00753DF5" w14:paraId="715CCCC2" w14:textId="77777777" w:rsidTr="002F291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30DF0B90" w14:textId="77777777" w:rsidR="00753DF5" w:rsidRPr="00753DF5" w:rsidRDefault="00753DF5" w:rsidP="00753DF5">
            <w:pPr>
              <w:jc w:val="both"/>
              <w:rPr>
                <w:rFonts w:ascii="Arial" w:hAnsi="Arial" w:cs="Arial"/>
                <w:b w:val="0"/>
              </w:rPr>
            </w:pPr>
            <w:r w:rsidRPr="00753DF5">
              <w:rPr>
                <w:rFonts w:ascii="Arial" w:hAnsi="Arial" w:cs="Arial"/>
              </w:rPr>
              <w:t>Response</w:t>
            </w:r>
          </w:p>
        </w:tc>
        <w:tc>
          <w:tcPr>
            <w:tcW w:w="2908" w:type="dxa"/>
            <w:tcBorders>
              <w:top w:val="single" w:sz="4" w:space="0" w:color="auto"/>
              <w:bottom w:val="single" w:sz="4" w:space="0" w:color="auto"/>
            </w:tcBorders>
            <w:noWrap/>
            <w:hideMark/>
          </w:tcPr>
          <w:p w14:paraId="77CB4E2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Frequency</w:t>
            </w:r>
          </w:p>
        </w:tc>
        <w:tc>
          <w:tcPr>
            <w:tcW w:w="2470" w:type="dxa"/>
            <w:tcBorders>
              <w:top w:val="single" w:sz="4" w:space="0" w:color="auto"/>
              <w:bottom w:val="single" w:sz="4" w:space="0" w:color="auto"/>
            </w:tcBorders>
            <w:noWrap/>
            <w:hideMark/>
          </w:tcPr>
          <w:p w14:paraId="4D81386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Percent (%)</w:t>
            </w:r>
          </w:p>
        </w:tc>
      </w:tr>
      <w:tr w:rsidR="00753DF5" w:rsidRPr="00753DF5" w14:paraId="41A1750A"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tcBorders>
            <w:noWrap/>
            <w:hideMark/>
          </w:tcPr>
          <w:p w14:paraId="1028216B" w14:textId="77777777" w:rsidR="00753DF5" w:rsidRPr="00753DF5" w:rsidRDefault="00753DF5" w:rsidP="00753DF5">
            <w:pPr>
              <w:jc w:val="both"/>
              <w:rPr>
                <w:rFonts w:ascii="Arial" w:hAnsi="Arial" w:cs="Arial"/>
              </w:rPr>
            </w:pPr>
            <w:r w:rsidRPr="00753DF5">
              <w:rPr>
                <w:rFonts w:ascii="Arial" w:hAnsi="Arial" w:cs="Arial"/>
              </w:rPr>
              <w:t>Yes</w:t>
            </w:r>
          </w:p>
        </w:tc>
        <w:tc>
          <w:tcPr>
            <w:tcW w:w="2908" w:type="dxa"/>
            <w:tcBorders>
              <w:top w:val="single" w:sz="4" w:space="0" w:color="auto"/>
            </w:tcBorders>
            <w:noWrap/>
            <w:hideMark/>
          </w:tcPr>
          <w:p w14:paraId="6E96D1EC"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88</w:t>
            </w:r>
          </w:p>
        </w:tc>
        <w:tc>
          <w:tcPr>
            <w:tcW w:w="2470" w:type="dxa"/>
            <w:tcBorders>
              <w:top w:val="single" w:sz="4" w:space="0" w:color="auto"/>
            </w:tcBorders>
            <w:noWrap/>
            <w:hideMark/>
          </w:tcPr>
          <w:p w14:paraId="2B00329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98</w:t>
            </w:r>
          </w:p>
        </w:tc>
      </w:tr>
      <w:tr w:rsidR="00753DF5" w:rsidRPr="00753DF5" w14:paraId="66385356"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A13E496" w14:textId="77777777" w:rsidR="00753DF5" w:rsidRPr="00753DF5" w:rsidRDefault="00753DF5" w:rsidP="00753DF5">
            <w:pPr>
              <w:jc w:val="both"/>
              <w:rPr>
                <w:rFonts w:ascii="Arial" w:hAnsi="Arial" w:cs="Arial"/>
              </w:rPr>
            </w:pPr>
            <w:r w:rsidRPr="00753DF5">
              <w:rPr>
                <w:rFonts w:ascii="Arial" w:hAnsi="Arial" w:cs="Arial"/>
              </w:rPr>
              <w:t>No</w:t>
            </w:r>
          </w:p>
        </w:tc>
        <w:tc>
          <w:tcPr>
            <w:tcW w:w="2908" w:type="dxa"/>
            <w:noWrap/>
            <w:hideMark/>
          </w:tcPr>
          <w:p w14:paraId="1835342C"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c>
          <w:tcPr>
            <w:tcW w:w="2470" w:type="dxa"/>
            <w:noWrap/>
            <w:hideMark/>
          </w:tcPr>
          <w:p w14:paraId="4C1F421E"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60C0A0F3"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bottom w:val="single" w:sz="4" w:space="0" w:color="auto"/>
            </w:tcBorders>
            <w:noWrap/>
            <w:hideMark/>
          </w:tcPr>
          <w:p w14:paraId="19E1ED4D" w14:textId="77777777" w:rsidR="00753DF5" w:rsidRPr="00753DF5" w:rsidRDefault="00753DF5" w:rsidP="00753DF5">
            <w:pPr>
              <w:jc w:val="both"/>
              <w:rPr>
                <w:rFonts w:ascii="Arial" w:hAnsi="Arial" w:cs="Arial"/>
              </w:rPr>
            </w:pPr>
            <w:r w:rsidRPr="00753DF5">
              <w:rPr>
                <w:rFonts w:ascii="Arial" w:hAnsi="Arial" w:cs="Arial"/>
              </w:rPr>
              <w:t>Not sure</w:t>
            </w:r>
          </w:p>
        </w:tc>
        <w:tc>
          <w:tcPr>
            <w:tcW w:w="2908" w:type="dxa"/>
            <w:tcBorders>
              <w:bottom w:val="single" w:sz="4" w:space="0" w:color="auto"/>
            </w:tcBorders>
            <w:noWrap/>
            <w:hideMark/>
          </w:tcPr>
          <w:p w14:paraId="0B595B6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c>
          <w:tcPr>
            <w:tcW w:w="2470" w:type="dxa"/>
            <w:tcBorders>
              <w:bottom w:val="single" w:sz="4" w:space="0" w:color="auto"/>
            </w:tcBorders>
            <w:noWrap/>
            <w:hideMark/>
          </w:tcPr>
          <w:p w14:paraId="7E1402E9"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2A2EC3E0"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58EB714D" w14:textId="77777777" w:rsidR="00753DF5" w:rsidRPr="00753DF5" w:rsidRDefault="00753DF5" w:rsidP="00753DF5">
            <w:pPr>
              <w:jc w:val="both"/>
              <w:rPr>
                <w:rFonts w:ascii="Arial" w:hAnsi="Arial" w:cs="Arial"/>
                <w:b w:val="0"/>
              </w:rPr>
            </w:pPr>
            <w:r w:rsidRPr="00753DF5">
              <w:rPr>
                <w:rFonts w:ascii="Arial" w:hAnsi="Arial" w:cs="Arial"/>
              </w:rPr>
              <w:t>Total</w:t>
            </w:r>
          </w:p>
        </w:tc>
        <w:tc>
          <w:tcPr>
            <w:tcW w:w="2908" w:type="dxa"/>
            <w:tcBorders>
              <w:top w:val="single" w:sz="4" w:space="0" w:color="auto"/>
              <w:bottom w:val="single" w:sz="4" w:space="0" w:color="auto"/>
            </w:tcBorders>
            <w:noWrap/>
            <w:hideMark/>
          </w:tcPr>
          <w:p w14:paraId="5B668DCF"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90</w:t>
            </w:r>
          </w:p>
        </w:tc>
        <w:tc>
          <w:tcPr>
            <w:tcW w:w="2470" w:type="dxa"/>
            <w:tcBorders>
              <w:top w:val="single" w:sz="4" w:space="0" w:color="auto"/>
              <w:bottom w:val="single" w:sz="4" w:space="0" w:color="auto"/>
            </w:tcBorders>
            <w:noWrap/>
            <w:hideMark/>
          </w:tcPr>
          <w:p w14:paraId="085B1B30"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100</w:t>
            </w:r>
          </w:p>
        </w:tc>
      </w:tr>
    </w:tbl>
    <w:p w14:paraId="5F1D2E22" w14:textId="77777777" w:rsidR="00753DF5" w:rsidRPr="00753DF5" w:rsidRDefault="00753DF5" w:rsidP="00753DF5">
      <w:pPr>
        <w:rPr>
          <w:rFonts w:ascii="Arial" w:hAnsi="Arial" w:cs="Arial"/>
          <w:i/>
          <w:sz w:val="22"/>
          <w:szCs w:val="22"/>
        </w:rPr>
      </w:pPr>
    </w:p>
    <w:p w14:paraId="7D7FAC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Approximately 77% of the students indicated they knew at least one fish species used in fish farming, while twenty-one of them indicated otherwise. Tilapia was the most frequently identified species (62%), reflecting its dominance in Ghana’s aquaculture sector. Other species mentioned include “red fish” (13%) and catfish (6%) (Figure 2). A number of students also cited species that are not typically cultured in Ghana, indicating some misconceptions or gaps in technical knowledge. Overall, the figure highlights that while students are generally aware of fish farming, their understanding of the specific species involved varies in accuracy and depth.</w:t>
      </w:r>
    </w:p>
    <w:p w14:paraId="26024A5D" w14:textId="77777777" w:rsidR="00753DF5" w:rsidRPr="00753DF5" w:rsidRDefault="00753DF5" w:rsidP="00753DF5">
      <w:pPr>
        <w:jc w:val="both"/>
        <w:rPr>
          <w:rFonts w:ascii="Arial" w:hAnsi="Arial" w:cs="Arial"/>
          <w:sz w:val="22"/>
          <w:szCs w:val="22"/>
        </w:rPr>
      </w:pPr>
    </w:p>
    <w:p w14:paraId="40EB8868"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1EBB7D24" wp14:editId="3108C61F">
            <wp:extent cx="5181600" cy="2286000"/>
            <wp:effectExtent l="0" t="0" r="0" b="0"/>
            <wp:docPr id="1090811770" name="Chart 1090811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CE79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2: Fish Species Identified by Students as Commonly Cultured in Fish Farming in Sunyani Municipality, Ghana </w:t>
      </w:r>
    </w:p>
    <w:p w14:paraId="03AD04E4" w14:textId="77777777" w:rsidR="00753DF5" w:rsidRPr="00753DF5" w:rsidRDefault="00753DF5" w:rsidP="00753DF5">
      <w:pPr>
        <w:jc w:val="both"/>
        <w:rPr>
          <w:rFonts w:ascii="Arial" w:hAnsi="Arial" w:cs="Arial"/>
          <w:b/>
          <w:bCs/>
          <w:sz w:val="22"/>
          <w:szCs w:val="22"/>
        </w:rPr>
      </w:pPr>
    </w:p>
    <w:p w14:paraId="1FA1566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large majority of respondents (90%) correctly identified fish farming as the rearing and management of fish in controlled environments (Table 5). Additionally, 60% agreed that fish farming can be practiced in natural water bodies such as rivers and lakes. Most students rejected limiting perceptions of the practice: 64% disagreed that fish farming is practiced only by educated individuals, 80% disagreed that it is practiced only by poor people, and 82% disagreed that it is limited to males. Furthermore, 83% of respondents agreed that fish farming is a profitable and viable economic activity (Table 5). These findings indicate generally positive perceptions toward aquaculture among students, although some variations in understanding persist.</w:t>
      </w:r>
    </w:p>
    <w:p w14:paraId="0B7D64E6" w14:textId="77777777" w:rsidR="00753DF5" w:rsidRPr="00753DF5" w:rsidRDefault="00753DF5" w:rsidP="00753DF5">
      <w:pPr>
        <w:jc w:val="both"/>
        <w:rPr>
          <w:rFonts w:ascii="Arial" w:hAnsi="Arial" w:cs="Arial"/>
          <w:sz w:val="22"/>
          <w:szCs w:val="22"/>
        </w:rPr>
      </w:pPr>
    </w:p>
    <w:p w14:paraId="6494821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5: Students’ Perceptions and Views on Fish Farming in Selected Senior High Schools in Sunyani Municipality, Ghana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26"/>
        <w:gridCol w:w="1230"/>
        <w:gridCol w:w="1134"/>
        <w:gridCol w:w="1418"/>
      </w:tblGrid>
      <w:tr w:rsidR="00753DF5" w:rsidRPr="00753DF5" w14:paraId="6B22CF11" w14:textId="77777777" w:rsidTr="002F2911">
        <w:trPr>
          <w:tblHeader/>
          <w:tblCellSpacing w:w="15" w:type="dxa"/>
        </w:trPr>
        <w:tc>
          <w:tcPr>
            <w:tcW w:w="0" w:type="auto"/>
            <w:vAlign w:val="center"/>
          </w:tcPr>
          <w:p w14:paraId="30500247" w14:textId="77777777" w:rsidR="00753DF5" w:rsidRPr="00933F72" w:rsidRDefault="00753DF5" w:rsidP="00753DF5">
            <w:pPr>
              <w:jc w:val="both"/>
              <w:rPr>
                <w:rFonts w:ascii="Arial" w:hAnsi="Arial" w:cs="Arial"/>
                <w:b/>
                <w:bCs/>
                <w:sz w:val="22"/>
                <w:szCs w:val="22"/>
              </w:rPr>
            </w:pPr>
          </w:p>
        </w:tc>
        <w:tc>
          <w:tcPr>
            <w:tcW w:w="3737" w:type="dxa"/>
            <w:gridSpan w:val="3"/>
            <w:vAlign w:val="center"/>
            <w:hideMark/>
          </w:tcPr>
          <w:p w14:paraId="087427AD" w14:textId="77777777" w:rsidR="00753DF5" w:rsidRPr="00933F72" w:rsidRDefault="00753DF5" w:rsidP="00753DF5">
            <w:pPr>
              <w:jc w:val="center"/>
              <w:rPr>
                <w:rFonts w:ascii="Arial" w:hAnsi="Arial" w:cs="Arial"/>
                <w:b/>
                <w:bCs/>
                <w:sz w:val="22"/>
                <w:szCs w:val="22"/>
              </w:rPr>
            </w:pPr>
            <w:r w:rsidRPr="00753DF5">
              <w:rPr>
                <w:rFonts w:ascii="Arial" w:hAnsi="Arial" w:cs="Arial"/>
                <w:b/>
                <w:bCs/>
                <w:sz w:val="22"/>
                <w:szCs w:val="22"/>
              </w:rPr>
              <w:t>Responses</w:t>
            </w:r>
          </w:p>
        </w:tc>
      </w:tr>
      <w:tr w:rsidR="00753DF5" w:rsidRPr="00753DF5" w14:paraId="034BF5E9" w14:textId="77777777" w:rsidTr="002F2911">
        <w:trPr>
          <w:tblHeader/>
          <w:tblCellSpacing w:w="15" w:type="dxa"/>
        </w:trPr>
        <w:tc>
          <w:tcPr>
            <w:tcW w:w="0" w:type="auto"/>
            <w:vAlign w:val="center"/>
          </w:tcPr>
          <w:p w14:paraId="316EBA5C" w14:textId="77777777" w:rsidR="00753DF5" w:rsidRPr="00753DF5" w:rsidRDefault="00753DF5" w:rsidP="00753DF5">
            <w:pPr>
              <w:jc w:val="both"/>
              <w:rPr>
                <w:rFonts w:ascii="Arial" w:hAnsi="Arial" w:cs="Arial"/>
                <w:b/>
                <w:bCs/>
                <w:sz w:val="22"/>
                <w:szCs w:val="22"/>
              </w:rPr>
            </w:pPr>
            <w:r w:rsidRPr="00753DF5">
              <w:rPr>
                <w:rFonts w:ascii="Arial" w:hAnsi="Arial" w:cs="Arial"/>
                <w:b/>
                <w:bCs/>
                <w:sz w:val="22"/>
                <w:szCs w:val="22"/>
              </w:rPr>
              <w:t>Opinion/</w:t>
            </w:r>
            <w:r w:rsidRPr="00933F72">
              <w:rPr>
                <w:rFonts w:ascii="Arial" w:hAnsi="Arial" w:cs="Arial"/>
                <w:b/>
                <w:bCs/>
                <w:sz w:val="22"/>
                <w:szCs w:val="22"/>
              </w:rPr>
              <w:t>Statement</w:t>
            </w:r>
          </w:p>
        </w:tc>
        <w:tc>
          <w:tcPr>
            <w:tcW w:w="1200" w:type="dxa"/>
            <w:tcBorders>
              <w:top w:val="single" w:sz="4" w:space="0" w:color="auto"/>
              <w:bottom w:val="nil"/>
            </w:tcBorders>
            <w:vAlign w:val="center"/>
          </w:tcPr>
          <w:p w14:paraId="7FF02692"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Agree</w:t>
            </w:r>
          </w:p>
        </w:tc>
        <w:tc>
          <w:tcPr>
            <w:tcW w:w="1104" w:type="dxa"/>
            <w:tcBorders>
              <w:top w:val="single" w:sz="4" w:space="0" w:color="auto"/>
              <w:bottom w:val="nil"/>
            </w:tcBorders>
            <w:vAlign w:val="center"/>
          </w:tcPr>
          <w:p w14:paraId="3B04B65C"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Disagree</w:t>
            </w:r>
          </w:p>
        </w:tc>
        <w:tc>
          <w:tcPr>
            <w:tcW w:w="1373" w:type="dxa"/>
            <w:tcBorders>
              <w:top w:val="single" w:sz="4" w:space="0" w:color="auto"/>
              <w:bottom w:val="nil"/>
            </w:tcBorders>
            <w:vAlign w:val="center"/>
          </w:tcPr>
          <w:p w14:paraId="3ED4C30F"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Not Sure</w:t>
            </w:r>
          </w:p>
        </w:tc>
      </w:tr>
      <w:tr w:rsidR="00D945E3" w:rsidRPr="00753DF5" w14:paraId="3FD257EE" w14:textId="77777777" w:rsidTr="002F2911">
        <w:trPr>
          <w:tblCellSpacing w:w="15" w:type="dxa"/>
        </w:trPr>
        <w:tc>
          <w:tcPr>
            <w:tcW w:w="0" w:type="auto"/>
            <w:tcBorders>
              <w:top w:val="single" w:sz="4" w:space="0" w:color="auto"/>
              <w:bottom w:val="nil"/>
            </w:tcBorders>
            <w:vAlign w:val="center"/>
            <w:hideMark/>
          </w:tcPr>
          <w:p w14:paraId="1425AEDC"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involves the rearing of fish.</w:t>
            </w:r>
          </w:p>
        </w:tc>
        <w:tc>
          <w:tcPr>
            <w:tcW w:w="1200" w:type="dxa"/>
            <w:tcBorders>
              <w:top w:val="single" w:sz="4" w:space="0" w:color="auto"/>
              <w:bottom w:val="nil"/>
            </w:tcBorders>
            <w:vAlign w:val="center"/>
            <w:hideMark/>
          </w:tcPr>
          <w:p w14:paraId="04B1DEC8"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90</w:t>
            </w:r>
          </w:p>
        </w:tc>
        <w:tc>
          <w:tcPr>
            <w:tcW w:w="1104" w:type="dxa"/>
            <w:tcBorders>
              <w:top w:val="single" w:sz="4" w:space="0" w:color="auto"/>
              <w:bottom w:val="nil"/>
            </w:tcBorders>
            <w:vAlign w:val="center"/>
            <w:hideMark/>
          </w:tcPr>
          <w:p w14:paraId="36BC5342"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w:t>
            </w:r>
          </w:p>
        </w:tc>
        <w:tc>
          <w:tcPr>
            <w:tcW w:w="1373" w:type="dxa"/>
            <w:tcBorders>
              <w:top w:val="single" w:sz="4" w:space="0" w:color="auto"/>
              <w:bottom w:val="nil"/>
            </w:tcBorders>
            <w:vAlign w:val="center"/>
            <w:hideMark/>
          </w:tcPr>
          <w:p w14:paraId="71D2D21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4</w:t>
            </w:r>
          </w:p>
        </w:tc>
      </w:tr>
      <w:tr w:rsidR="00753DF5" w:rsidRPr="00753DF5" w14:paraId="5DA969E9" w14:textId="77777777" w:rsidTr="002F2911">
        <w:trPr>
          <w:tblCellSpacing w:w="15" w:type="dxa"/>
        </w:trPr>
        <w:tc>
          <w:tcPr>
            <w:tcW w:w="0" w:type="auto"/>
            <w:vAlign w:val="center"/>
          </w:tcPr>
          <w:p w14:paraId="0384194F"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w:t>
            </w:r>
            <w:r w:rsidRPr="00753DF5">
              <w:rPr>
                <w:rFonts w:ascii="Arial" w:hAnsi="Arial" w:cs="Arial"/>
                <w:sz w:val="22"/>
                <w:szCs w:val="22"/>
              </w:rPr>
              <w:t>also practiced in natural water bodies</w:t>
            </w:r>
            <w:r w:rsidRPr="00933F72">
              <w:rPr>
                <w:rFonts w:ascii="Arial" w:hAnsi="Arial" w:cs="Arial"/>
                <w:sz w:val="22"/>
                <w:szCs w:val="22"/>
              </w:rPr>
              <w:t>.</w:t>
            </w:r>
          </w:p>
        </w:tc>
        <w:tc>
          <w:tcPr>
            <w:tcW w:w="1200" w:type="dxa"/>
            <w:vAlign w:val="center"/>
          </w:tcPr>
          <w:p w14:paraId="7DCBA8F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60</w:t>
            </w:r>
          </w:p>
        </w:tc>
        <w:tc>
          <w:tcPr>
            <w:tcW w:w="1104" w:type="dxa"/>
            <w:vAlign w:val="center"/>
          </w:tcPr>
          <w:p w14:paraId="091EE215"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22</w:t>
            </w:r>
          </w:p>
        </w:tc>
        <w:tc>
          <w:tcPr>
            <w:tcW w:w="1373" w:type="dxa"/>
            <w:vAlign w:val="center"/>
          </w:tcPr>
          <w:p w14:paraId="00D3EFF6"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18</w:t>
            </w:r>
          </w:p>
        </w:tc>
      </w:tr>
      <w:tr w:rsidR="00753DF5" w:rsidRPr="00753DF5" w14:paraId="0E471E7F" w14:textId="77777777" w:rsidTr="002F2911">
        <w:trPr>
          <w:tblCellSpacing w:w="15" w:type="dxa"/>
        </w:trPr>
        <w:tc>
          <w:tcPr>
            <w:tcW w:w="0" w:type="auto"/>
            <w:vAlign w:val="center"/>
            <w:hideMark/>
          </w:tcPr>
          <w:p w14:paraId="4750FCAB"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educated people.</w:t>
            </w:r>
          </w:p>
        </w:tc>
        <w:tc>
          <w:tcPr>
            <w:tcW w:w="1200" w:type="dxa"/>
            <w:vAlign w:val="center"/>
            <w:hideMark/>
          </w:tcPr>
          <w:p w14:paraId="08F9F61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24</w:t>
            </w:r>
          </w:p>
        </w:tc>
        <w:tc>
          <w:tcPr>
            <w:tcW w:w="1104" w:type="dxa"/>
            <w:vAlign w:val="center"/>
            <w:hideMark/>
          </w:tcPr>
          <w:p w14:paraId="78621B7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64</w:t>
            </w:r>
          </w:p>
        </w:tc>
        <w:tc>
          <w:tcPr>
            <w:tcW w:w="1373" w:type="dxa"/>
            <w:vAlign w:val="center"/>
            <w:hideMark/>
          </w:tcPr>
          <w:p w14:paraId="66C4283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12</w:t>
            </w:r>
          </w:p>
        </w:tc>
      </w:tr>
      <w:tr w:rsidR="00753DF5" w:rsidRPr="00753DF5" w14:paraId="004E09E8" w14:textId="77777777" w:rsidTr="002F2911">
        <w:trPr>
          <w:tblCellSpacing w:w="15" w:type="dxa"/>
        </w:trPr>
        <w:tc>
          <w:tcPr>
            <w:tcW w:w="0" w:type="auto"/>
            <w:vAlign w:val="center"/>
          </w:tcPr>
          <w:p w14:paraId="5969AC2D"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is practiced by </w:t>
            </w:r>
            <w:r w:rsidRPr="00753DF5">
              <w:rPr>
                <w:rFonts w:ascii="Arial" w:hAnsi="Arial" w:cs="Arial"/>
                <w:sz w:val="22"/>
                <w:szCs w:val="22"/>
              </w:rPr>
              <w:t xml:space="preserve">poor </w:t>
            </w:r>
            <w:r w:rsidRPr="00933F72">
              <w:rPr>
                <w:rFonts w:ascii="Arial" w:hAnsi="Arial" w:cs="Arial"/>
                <w:sz w:val="22"/>
                <w:szCs w:val="22"/>
              </w:rPr>
              <w:t>people.</w:t>
            </w:r>
          </w:p>
        </w:tc>
        <w:tc>
          <w:tcPr>
            <w:tcW w:w="1200" w:type="dxa"/>
            <w:vAlign w:val="center"/>
          </w:tcPr>
          <w:p w14:paraId="45FF2379"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9</w:t>
            </w:r>
          </w:p>
        </w:tc>
        <w:tc>
          <w:tcPr>
            <w:tcW w:w="1104" w:type="dxa"/>
            <w:vAlign w:val="center"/>
          </w:tcPr>
          <w:p w14:paraId="6800ACBA"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80</w:t>
            </w:r>
          </w:p>
        </w:tc>
        <w:tc>
          <w:tcPr>
            <w:tcW w:w="1373" w:type="dxa"/>
            <w:vAlign w:val="center"/>
          </w:tcPr>
          <w:p w14:paraId="7CEF3841"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11</w:t>
            </w:r>
          </w:p>
        </w:tc>
      </w:tr>
      <w:tr w:rsidR="00753DF5" w:rsidRPr="00753DF5" w14:paraId="20058061" w14:textId="77777777" w:rsidTr="002F2911">
        <w:trPr>
          <w:tblCellSpacing w:w="15" w:type="dxa"/>
        </w:trPr>
        <w:tc>
          <w:tcPr>
            <w:tcW w:w="0" w:type="auto"/>
            <w:vAlign w:val="center"/>
            <w:hideMark/>
          </w:tcPr>
          <w:p w14:paraId="4CDEB929"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only males.</w:t>
            </w:r>
          </w:p>
        </w:tc>
        <w:tc>
          <w:tcPr>
            <w:tcW w:w="1200" w:type="dxa"/>
            <w:vAlign w:val="center"/>
            <w:hideMark/>
          </w:tcPr>
          <w:p w14:paraId="1772365C"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w:t>
            </w:r>
          </w:p>
        </w:tc>
        <w:tc>
          <w:tcPr>
            <w:tcW w:w="1104" w:type="dxa"/>
            <w:vAlign w:val="center"/>
            <w:hideMark/>
          </w:tcPr>
          <w:p w14:paraId="139C2ED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82</w:t>
            </w:r>
          </w:p>
        </w:tc>
        <w:tc>
          <w:tcPr>
            <w:tcW w:w="1373" w:type="dxa"/>
            <w:vAlign w:val="center"/>
            <w:hideMark/>
          </w:tcPr>
          <w:p w14:paraId="69BD58D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10</w:t>
            </w:r>
          </w:p>
        </w:tc>
      </w:tr>
      <w:tr w:rsidR="00753DF5" w:rsidRPr="00753DF5" w14:paraId="695509D1" w14:textId="77777777" w:rsidTr="002F2911">
        <w:trPr>
          <w:tblCellSpacing w:w="15" w:type="dxa"/>
        </w:trPr>
        <w:tc>
          <w:tcPr>
            <w:tcW w:w="0" w:type="auto"/>
            <w:vAlign w:val="center"/>
          </w:tcPr>
          <w:p w14:paraId="0E1AC80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w:t>
            </w:r>
            <w:r w:rsidRPr="00933F72">
              <w:rPr>
                <w:rFonts w:ascii="Arial" w:hAnsi="Arial" w:cs="Arial"/>
                <w:sz w:val="22"/>
                <w:szCs w:val="22"/>
              </w:rPr>
              <w:t xml:space="preserve">ish farming </w:t>
            </w:r>
            <w:r w:rsidRPr="00753DF5">
              <w:rPr>
                <w:rFonts w:ascii="Arial" w:hAnsi="Arial" w:cs="Arial"/>
                <w:sz w:val="22"/>
                <w:szCs w:val="22"/>
              </w:rPr>
              <w:t>lucrative or profitable</w:t>
            </w:r>
            <w:r w:rsidRPr="00933F72">
              <w:rPr>
                <w:rFonts w:ascii="Arial" w:hAnsi="Arial" w:cs="Arial"/>
                <w:sz w:val="22"/>
                <w:szCs w:val="22"/>
              </w:rPr>
              <w:t>.</w:t>
            </w:r>
          </w:p>
        </w:tc>
        <w:tc>
          <w:tcPr>
            <w:tcW w:w="1200" w:type="dxa"/>
            <w:vAlign w:val="center"/>
          </w:tcPr>
          <w:p w14:paraId="347896A0"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83</w:t>
            </w:r>
          </w:p>
        </w:tc>
        <w:tc>
          <w:tcPr>
            <w:tcW w:w="1104" w:type="dxa"/>
            <w:vAlign w:val="center"/>
          </w:tcPr>
          <w:p w14:paraId="1137490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3</w:t>
            </w:r>
          </w:p>
        </w:tc>
        <w:tc>
          <w:tcPr>
            <w:tcW w:w="1373" w:type="dxa"/>
            <w:vAlign w:val="center"/>
          </w:tcPr>
          <w:p w14:paraId="10FA31CC"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13</w:t>
            </w:r>
          </w:p>
        </w:tc>
      </w:tr>
    </w:tbl>
    <w:p w14:paraId="7E66854B" w14:textId="77777777" w:rsidR="00753DF5" w:rsidRPr="00753DF5" w:rsidRDefault="00753DF5" w:rsidP="00753DF5">
      <w:pPr>
        <w:jc w:val="both"/>
        <w:rPr>
          <w:rFonts w:ascii="Arial" w:hAnsi="Arial" w:cs="Arial"/>
          <w:sz w:val="22"/>
          <w:szCs w:val="22"/>
        </w:rPr>
      </w:pPr>
    </w:p>
    <w:p w14:paraId="3E147D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Slightly over half of the respondents (51%) expressed interest in engaging in fish farming, while 32% indicated no interest and 17% were undecided (Figure 3). The distribution suggests a moderate level of interest among students, although a considerable proportion remains either disinterested or uncertain, highlighting the need for targeted interventions to stimulate enthusiasm for aquaculture.</w:t>
      </w:r>
    </w:p>
    <w:p w14:paraId="331D20CF" w14:textId="77777777" w:rsidR="00753DF5" w:rsidRPr="00753DF5" w:rsidRDefault="00753DF5" w:rsidP="00753DF5">
      <w:pPr>
        <w:jc w:val="both"/>
        <w:rPr>
          <w:rFonts w:ascii="Arial" w:hAnsi="Arial" w:cs="Arial"/>
          <w:sz w:val="22"/>
          <w:szCs w:val="22"/>
        </w:rPr>
      </w:pPr>
    </w:p>
    <w:p w14:paraId="7F8066FC"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73AB4940" wp14:editId="0D260D52">
            <wp:extent cx="4797706" cy="2511706"/>
            <wp:effectExtent l="0" t="0" r="317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FBBD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3: Students’ Interest in Fish Farming in Selected Senior High Schools in Sunyani Municipality, Ghana </w:t>
      </w:r>
    </w:p>
    <w:p w14:paraId="03ADE6E7" w14:textId="77777777" w:rsidR="00753DF5" w:rsidRPr="00753DF5" w:rsidRDefault="00753DF5" w:rsidP="00753DF5">
      <w:pPr>
        <w:jc w:val="both"/>
        <w:rPr>
          <w:rFonts w:ascii="Arial" w:hAnsi="Arial" w:cs="Arial"/>
          <w:sz w:val="22"/>
          <w:szCs w:val="22"/>
        </w:rPr>
      </w:pPr>
    </w:p>
    <w:p w14:paraId="417FD5A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substantial majority (88%) indicated a willingness to learn more about aquaculture, while 7% were not interested and 6% were unsure (Figure 4). The high level of willingness suggests strong potential for educational and capacity-building programs to deepen students’ engagement with fish farming.</w:t>
      </w:r>
    </w:p>
    <w:p w14:paraId="6034482D" w14:textId="77777777" w:rsidR="00753DF5" w:rsidRPr="00753DF5" w:rsidRDefault="00753DF5" w:rsidP="00753DF5">
      <w:pPr>
        <w:jc w:val="both"/>
        <w:rPr>
          <w:rFonts w:ascii="Arial" w:hAnsi="Arial" w:cs="Arial"/>
          <w:sz w:val="22"/>
          <w:szCs w:val="22"/>
        </w:rPr>
      </w:pPr>
    </w:p>
    <w:p w14:paraId="50C1BE63"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drawing>
          <wp:inline distT="0" distB="0" distL="0" distR="0" wp14:anchorId="07D9BA04" wp14:editId="443B6947">
            <wp:extent cx="4838218" cy="2257064"/>
            <wp:effectExtent l="0" t="0" r="63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B1C63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4: Students’ Willingness to Acquire More Knowledge on Fish Farming in Selected Senior High Schools in Sunyani Municipality, Ghana</w:t>
      </w:r>
    </w:p>
    <w:p w14:paraId="460DF52F" w14:textId="77777777" w:rsidR="00753DF5" w:rsidRPr="00753DF5" w:rsidRDefault="00753DF5" w:rsidP="00753DF5">
      <w:pPr>
        <w:jc w:val="both"/>
        <w:rPr>
          <w:rFonts w:ascii="Arial" w:hAnsi="Arial" w:cs="Arial"/>
          <w:sz w:val="22"/>
          <w:szCs w:val="22"/>
        </w:rPr>
      </w:pPr>
    </w:p>
    <w:p w14:paraId="2083F7A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5 presents students’ intentions to pursue fish farming as a future livelihood. Only 32% of respondents indicated that they would consider engaging in fish farming after school, while 31% expressed no intention to do so and 37% were uncertain. The results highlight a significant gap between awareness and actual career intentions, suggesting the presence of barriers that limit students’ transition from interest to active participation in aquaculture.</w:t>
      </w:r>
    </w:p>
    <w:p w14:paraId="01C15509" w14:textId="77777777" w:rsidR="00753DF5" w:rsidRPr="00753DF5" w:rsidRDefault="00753DF5" w:rsidP="00753DF5">
      <w:pPr>
        <w:jc w:val="both"/>
        <w:rPr>
          <w:rFonts w:ascii="Arial" w:hAnsi="Arial" w:cs="Arial"/>
          <w:sz w:val="22"/>
          <w:szCs w:val="22"/>
        </w:rPr>
      </w:pPr>
    </w:p>
    <w:p w14:paraId="70E7DBAF"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15D18ACD" wp14:editId="0F82FF00">
            <wp:extent cx="4751070" cy="225706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53DF5">
        <w:rPr>
          <w:rFonts w:ascii="Arial" w:hAnsi="Arial" w:cs="Arial"/>
          <w:sz w:val="22"/>
          <w:szCs w:val="22"/>
        </w:rPr>
        <w:t xml:space="preserve"> </w:t>
      </w:r>
    </w:p>
    <w:p w14:paraId="09E3C93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5: Students’ Willingness to Engage in Fish Farming as a Future Livelihood in Selected Senior High Schools in Sunyani Municipality, Ghana </w:t>
      </w:r>
    </w:p>
    <w:p w14:paraId="37B2949E" w14:textId="200F2BF0" w:rsidR="00502516" w:rsidRPr="00753DF5" w:rsidRDefault="00502516" w:rsidP="00753DF5">
      <w:pPr>
        <w:pStyle w:val="Body"/>
        <w:spacing w:after="0"/>
        <w:rPr>
          <w:rFonts w:ascii="Arial" w:hAnsi="Arial" w:cs="Arial"/>
          <w:sz w:val="22"/>
          <w:szCs w:val="22"/>
        </w:rPr>
      </w:pPr>
    </w:p>
    <w:p w14:paraId="36E04626" w14:textId="383D6B8A" w:rsidR="00702368" w:rsidRDefault="00000F8F" w:rsidP="00441B6F">
      <w:pPr>
        <w:pStyle w:val="ConcHead"/>
        <w:spacing w:after="0"/>
        <w:jc w:val="both"/>
        <w:rPr>
          <w:rFonts w:ascii="Arial" w:hAnsi="Arial" w:cs="Arial"/>
        </w:rPr>
      </w:pPr>
      <w:r>
        <w:rPr>
          <w:rFonts w:ascii="Arial" w:hAnsi="Arial" w:cs="Arial"/>
        </w:rPr>
        <w:t xml:space="preserve">4. </w:t>
      </w:r>
      <w:r w:rsidR="00702368">
        <w:rPr>
          <w:rFonts w:ascii="Arial" w:hAnsi="Arial" w:cs="Arial"/>
        </w:rPr>
        <w:t>Discussion</w:t>
      </w:r>
      <w:r w:rsidR="00702368" w:rsidRPr="00FB3A86">
        <w:rPr>
          <w:rFonts w:ascii="Arial" w:hAnsi="Arial" w:cs="Arial"/>
        </w:rPr>
        <w:t xml:space="preserve"> </w:t>
      </w:r>
    </w:p>
    <w:p w14:paraId="5EBCB2F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 xml:space="preserve">This study provides empirical evidence of a striking paradox in aquaculture development in Ghana: high awareness but low entrepreneurial intention among youth. While nearly all respondents (99%) demonstrated awareness of fish farming, only a modest proportion (32%) expressed willingness to engage in it as a future livelihood. This finding underscores a critical disconnect between knowledge acquisition and behavioral intention, which has also been observed in other agricultural and aquaculture adoption studies in sub-Saharan Africa. The exceptionally high awareness level reported in this study exceeds earlier findings by </w:t>
      </w:r>
      <w:proofErr w:type="spellStart"/>
      <w:r w:rsidRPr="00702368">
        <w:rPr>
          <w:rFonts w:ascii="Arial" w:hAnsi="Arial" w:cs="Arial"/>
          <w:sz w:val="22"/>
          <w:szCs w:val="22"/>
        </w:rPr>
        <w:t>Kyei</w:t>
      </w:r>
      <w:proofErr w:type="spellEnd"/>
      <w:r w:rsidRPr="00702368">
        <w:rPr>
          <w:rFonts w:ascii="Arial" w:hAnsi="Arial" w:cs="Arial"/>
          <w:sz w:val="22"/>
          <w:szCs w:val="22"/>
        </w:rPr>
        <w:t xml:space="preserve"> (2016), who reported 75% awareness among students in the Tamale Metropolis. This suggests a positive trajectory in aquaculture awareness, likely driven by intensified educational efforts and national policy focus on fisheries development. The dominance of schools as the primary source of information (73%) highlights the central role of formal education in shaping knowledge about aquaculture. This aligns with the assertion by the Food and Agriculture Organization that education systems are critical pathways for disseminating innovations in agriculture and aquaculture (FAO, 2022). However, awareness alone is insufficient to drive participation, as knowledge does not automatically translate into action without enabling conditions such as access to capital, skills, and institutional support (</w:t>
      </w:r>
      <w:proofErr w:type="spellStart"/>
      <w:r w:rsidRPr="00702368">
        <w:rPr>
          <w:rFonts w:ascii="Arial" w:hAnsi="Arial" w:cs="Arial"/>
          <w:sz w:val="22"/>
          <w:szCs w:val="22"/>
        </w:rPr>
        <w:t>Asmah</w:t>
      </w:r>
      <w:proofErr w:type="spellEnd"/>
      <w:r w:rsidRPr="00702368">
        <w:rPr>
          <w:rFonts w:ascii="Arial" w:hAnsi="Arial" w:cs="Arial"/>
          <w:sz w:val="22"/>
          <w:szCs w:val="22"/>
        </w:rPr>
        <w:t>, 2008).</w:t>
      </w:r>
    </w:p>
    <w:p w14:paraId="082A3F0B"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observed gap between awareness and willingness to engage in fish farming reflects deeper structural and perceptual barriers. Despite 83% of students perceiving aquaculture as profitable, only a minority expressed interest in pursuing it. This inconsistency may be explained by perceived constraints such as high start-up costs, limited access to land and water resources, and uncertainty about returns on investment. Previous studies have identified financial and technical barriers as key deterrents to youth participation in aquaculture in Ghana (</w:t>
      </w:r>
      <w:proofErr w:type="spellStart"/>
      <w:r w:rsidRPr="00702368">
        <w:rPr>
          <w:rFonts w:ascii="Arial" w:hAnsi="Arial" w:cs="Arial"/>
          <w:sz w:val="22"/>
          <w:szCs w:val="22"/>
        </w:rPr>
        <w:t>Amisah</w:t>
      </w:r>
      <w:proofErr w:type="spellEnd"/>
      <w:r w:rsidRPr="00702368">
        <w:rPr>
          <w:rFonts w:ascii="Arial" w:hAnsi="Arial" w:cs="Arial"/>
          <w:sz w:val="22"/>
          <w:szCs w:val="22"/>
        </w:rPr>
        <w:t xml:space="preserve"> and </w:t>
      </w:r>
      <w:proofErr w:type="spellStart"/>
      <w:r w:rsidRPr="00702368">
        <w:rPr>
          <w:rFonts w:ascii="Arial" w:hAnsi="Arial" w:cs="Arial"/>
          <w:sz w:val="22"/>
          <w:szCs w:val="22"/>
        </w:rPr>
        <w:t>Quagrainie</w:t>
      </w:r>
      <w:proofErr w:type="spellEnd"/>
      <w:r w:rsidRPr="00702368">
        <w:rPr>
          <w:rFonts w:ascii="Arial" w:hAnsi="Arial" w:cs="Arial"/>
          <w:sz w:val="22"/>
          <w:szCs w:val="22"/>
        </w:rPr>
        <w:t xml:space="preserve">, 2007; </w:t>
      </w:r>
      <w:proofErr w:type="spellStart"/>
      <w:r w:rsidRPr="00702368">
        <w:rPr>
          <w:rFonts w:ascii="Arial" w:hAnsi="Arial" w:cs="Arial"/>
          <w:sz w:val="22"/>
          <w:szCs w:val="22"/>
        </w:rPr>
        <w:t>Asmah</w:t>
      </w:r>
      <w:proofErr w:type="spellEnd"/>
      <w:r w:rsidRPr="00702368">
        <w:rPr>
          <w:rFonts w:ascii="Arial" w:hAnsi="Arial" w:cs="Arial"/>
          <w:sz w:val="22"/>
          <w:szCs w:val="22"/>
        </w:rPr>
        <w:t>, 2008). Additionally, the lack of practical exposure and entrepreneurial training within the school system may contribute to low confidence among students in their ability to successfully engage in fish farming.</w:t>
      </w:r>
    </w:p>
    <w:p w14:paraId="57C13AE6" w14:textId="0E1304F6" w:rsidR="00702368" w:rsidRPr="00702368" w:rsidRDefault="00702368" w:rsidP="00702368">
      <w:pPr>
        <w:jc w:val="both"/>
        <w:rPr>
          <w:rFonts w:ascii="Arial" w:hAnsi="Arial" w:cs="Arial"/>
          <w:sz w:val="22"/>
          <w:szCs w:val="22"/>
        </w:rPr>
      </w:pPr>
      <w:r w:rsidRPr="00702368">
        <w:rPr>
          <w:rFonts w:ascii="Arial" w:hAnsi="Arial" w:cs="Arial"/>
          <w:sz w:val="22"/>
          <w:szCs w:val="22"/>
        </w:rPr>
        <w:t xml:space="preserve">The findings also reveal important insights into students’ knowledge of aquaculture species and systems. The predominance of tilapia (62%) in students’ responses </w:t>
      </w:r>
      <w:r w:rsidRPr="00702368">
        <w:rPr>
          <w:rFonts w:ascii="Arial" w:hAnsi="Arial" w:cs="Arial"/>
          <w:sz w:val="22"/>
          <w:szCs w:val="22"/>
        </w:rPr>
        <w:lastRenderedPageBreak/>
        <w:t>reflects its dominance in Ghana’s aquaculture sector, where it accounts for approximately 80% of production (</w:t>
      </w:r>
      <w:proofErr w:type="spellStart"/>
      <w:r w:rsidRPr="00702368">
        <w:rPr>
          <w:rFonts w:ascii="Arial" w:hAnsi="Arial" w:cs="Arial"/>
          <w:sz w:val="22"/>
          <w:szCs w:val="22"/>
        </w:rPr>
        <w:t>Cobbina</w:t>
      </w:r>
      <w:proofErr w:type="spellEnd"/>
      <w:r w:rsidRPr="00702368">
        <w:rPr>
          <w:rFonts w:ascii="Arial" w:hAnsi="Arial" w:cs="Arial"/>
          <w:sz w:val="22"/>
          <w:szCs w:val="22"/>
        </w:rPr>
        <w:t xml:space="preserve"> and </w:t>
      </w:r>
      <w:proofErr w:type="spellStart"/>
      <w:r w:rsidRPr="00702368">
        <w:rPr>
          <w:rFonts w:ascii="Arial" w:hAnsi="Arial" w:cs="Arial"/>
          <w:sz w:val="22"/>
          <w:szCs w:val="22"/>
        </w:rPr>
        <w:t>Eiriksdottir</w:t>
      </w:r>
      <w:proofErr w:type="spellEnd"/>
      <w:r w:rsidRPr="00702368">
        <w:rPr>
          <w:rFonts w:ascii="Arial" w:hAnsi="Arial" w:cs="Arial"/>
          <w:sz w:val="22"/>
          <w:szCs w:val="22"/>
        </w:rPr>
        <w:t xml:space="preserve">, 2010). However, the mention of non-cultured or less relevant species (e.g., tuna, herrings) indicates gaps in technical knowledge, suggesting that theoretical awareness is not always accompanied by accurate or context-specific understanding. This reinforces the need </w:t>
      </w:r>
      <w:r w:rsidR="00755766">
        <w:rPr>
          <w:rFonts w:ascii="Arial" w:hAnsi="Arial" w:cs="Arial"/>
          <w:sz w:val="22"/>
          <w:szCs w:val="22"/>
        </w:rPr>
        <w:t>to enhance the curriculum by including more practical,</w:t>
      </w:r>
      <w:r w:rsidRPr="00702368">
        <w:rPr>
          <w:rFonts w:ascii="Arial" w:hAnsi="Arial" w:cs="Arial"/>
          <w:sz w:val="22"/>
          <w:szCs w:val="22"/>
        </w:rPr>
        <w:t xml:space="preserve"> industry-relevant content.</w:t>
      </w:r>
    </w:p>
    <w:p w14:paraId="2AFD6259"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Interestingly, students demonstrated relatively progressive perceptions regarding inclusivity in aquaculture. The majority rejected the notion that fish farming is limited to a specific gender or socio-economic group, aligning with broader evidence that aquaculture can be an inclusive livelihood activity (FAO, 2005). This is a positive indicator for future workforce diversification in the sector. However, perception of inclusivity alone does not guarantee participation, particularly when systemic barriers remain unaddressed.</w:t>
      </w:r>
    </w:p>
    <w:p w14:paraId="55B2AD2C"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high proportion of students (88%) willing to learn more about fish farming represents a significant opportunity for intervention. This latent interest suggests that targeted educational and policy measures could effectively convert awareness into active participation. Experiential learning approaches, such as school-based aquaculture projects, internships, and demonstration farms, have been shown to enhance skill acquisition and stimulate entrepreneurial interest among youth (Beveridge et al., 1997). Integrating such approaches into secondary education could bridge the gap between theoretical knowledge and practical application.</w:t>
      </w:r>
    </w:p>
    <w:p w14:paraId="42AA5DB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From a policy perspective, the findings align with national development priorities that emphasize youth employment and food security. Ghana’s increasing fish demand, coupled with stagnating capture fisheries, necessitates expansion of aquaculture production (</w:t>
      </w:r>
      <w:proofErr w:type="spellStart"/>
      <w:r w:rsidRPr="00702368">
        <w:rPr>
          <w:rFonts w:ascii="Arial" w:hAnsi="Arial" w:cs="Arial"/>
          <w:sz w:val="22"/>
          <w:szCs w:val="22"/>
        </w:rPr>
        <w:t>MoFAD</w:t>
      </w:r>
      <w:proofErr w:type="spellEnd"/>
      <w:r w:rsidRPr="00702368">
        <w:rPr>
          <w:rFonts w:ascii="Arial" w:hAnsi="Arial" w:cs="Arial"/>
          <w:sz w:val="22"/>
          <w:szCs w:val="22"/>
        </w:rPr>
        <w:t>, 2018). However, without deliberate efforts to attract and retain young people in the sector, the long-term sustainability of aquaculture growth may be compromised. Policies that provide financial incentives, access to credit, and startup support for young aquaculture entrepreneurs could play a critical role in addressing this challenge.</w:t>
      </w:r>
    </w:p>
    <w:p w14:paraId="1CD9B1B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Furthermore, the results contribute to the broader discourse on agricultural transformation in Africa, where youth engagement remains a persistent challenge. Studies have shown that young people often perceive agriculture as labor-intensive, risky, and less prestigious compared to other career options (Lam et al., 2012). Addressing these perceptions requires not only awareness campaigns but also structural reforms that make aquaculture more attractive, profitable, and accessible.</w:t>
      </w:r>
    </w:p>
    <w:p w14:paraId="66844FF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It is important to acknowledge the limitations of this study. The relatively small sample size and focus on three schools limit the generalizability of the findings. Additionally, the cross-sectional design captures perceptions at a single point in time and does not account for changes in attitudes over time. Future research should consider longitudinal approaches and larger, more diverse samples to provide a more comprehensive understanding of youth engagement in aquaculture across Ghana.</w:t>
      </w:r>
    </w:p>
    <w:p w14:paraId="7CFD7CD1" w14:textId="77777777" w:rsidR="00702368" w:rsidRDefault="00702368" w:rsidP="00702368">
      <w:pPr>
        <w:jc w:val="both"/>
        <w:rPr>
          <w:rFonts w:ascii="Arial" w:hAnsi="Arial" w:cs="Arial"/>
          <w:sz w:val="22"/>
          <w:szCs w:val="22"/>
        </w:rPr>
      </w:pPr>
      <w:r w:rsidRPr="00702368">
        <w:rPr>
          <w:rFonts w:ascii="Arial" w:hAnsi="Arial" w:cs="Arial"/>
          <w:sz w:val="22"/>
          <w:szCs w:val="22"/>
        </w:rPr>
        <w:t>Overall, this study highlights that awareness is a necessary but insufficient condition for youth participation in aquaculture. Bridging the gap between knowledge and action requires a multifaceted approach that combines education, practical training, financial support, and policy interventions. By addressing these factors, Ghana can harness the potential of its youth population to drive sustainable growth in the aquaculture sector and contribute to national food security and economic development.</w:t>
      </w:r>
    </w:p>
    <w:p w14:paraId="3694FADB" w14:textId="77777777" w:rsidR="00E16C9E" w:rsidRDefault="00E16C9E" w:rsidP="00702368">
      <w:pPr>
        <w:jc w:val="both"/>
        <w:rPr>
          <w:rFonts w:ascii="Arial" w:hAnsi="Arial" w:cs="Arial"/>
          <w:sz w:val="22"/>
          <w:szCs w:val="22"/>
        </w:rPr>
      </w:pPr>
    </w:p>
    <w:p w14:paraId="6BF2BBBF" w14:textId="7D017194" w:rsidR="00B01FCD" w:rsidRDefault="00702368" w:rsidP="00441B6F">
      <w:pPr>
        <w:pStyle w:val="ConcHead"/>
        <w:spacing w:after="0"/>
        <w:jc w:val="both"/>
        <w:rPr>
          <w:rFonts w:ascii="Arial" w:hAnsi="Arial" w:cs="Arial"/>
        </w:rPr>
      </w:pPr>
      <w:r>
        <w:rPr>
          <w:rFonts w:ascii="Arial" w:hAnsi="Arial" w:cs="Arial"/>
        </w:rPr>
        <w:lastRenderedPageBreak/>
        <w:t xml:space="preserve">5. </w:t>
      </w:r>
      <w:r w:rsidR="00B01FCD" w:rsidRPr="00FB3A86">
        <w:rPr>
          <w:rFonts w:ascii="Arial" w:hAnsi="Arial" w:cs="Arial"/>
        </w:rPr>
        <w:t>Conclusion</w:t>
      </w:r>
    </w:p>
    <w:p w14:paraId="1E135020" w14:textId="370B8207" w:rsidR="00B01FCD" w:rsidRDefault="00702368" w:rsidP="00441B6F">
      <w:pPr>
        <w:pStyle w:val="Body"/>
        <w:spacing w:after="0"/>
        <w:rPr>
          <w:rFonts w:ascii="Arial" w:hAnsi="Arial" w:cs="Arial"/>
        </w:rPr>
      </w:pPr>
      <w:r w:rsidRPr="00702368">
        <w:rPr>
          <w:rFonts w:ascii="Arial" w:hAnsi="Arial" w:cs="Arial"/>
        </w:rPr>
        <w:t>This study demonstrated that awareness of fish farming among Senior High School students in the Sunyani Municipality is very high, with most students acquiring knowledge through formal education and recognizing aquaculture as a profitable and inclusive livelihood option. Despite these positive perceptions, only a small proportion of students expressed willingness to engage in fish farming as a future career, revealing a significant gap between awareness and actual participation. The findings highlight the need to move beyond awareness creation toward interventions that promote practical engagement and entrepreneurial interest among the youth. Strengthening aquaculture education through hands-on training, improving access to resources, and enhancing career guidance could help bridge this gap. Addressing these constraints is essential for increasing youth participation in aquaculture and ensuring the sector’s contribution to food security, employment, and sustainable development in Ghana.</w:t>
      </w:r>
    </w:p>
    <w:p w14:paraId="65F59385" w14:textId="77777777" w:rsidR="00790ADA" w:rsidRPr="00FB3A86" w:rsidRDefault="00790ADA" w:rsidP="00441B6F">
      <w:pPr>
        <w:pStyle w:val="Body"/>
        <w:spacing w:after="0"/>
        <w:rPr>
          <w:rFonts w:ascii="Arial" w:hAnsi="Arial" w:cs="Arial"/>
        </w:rPr>
      </w:pPr>
    </w:p>
    <w:p w14:paraId="1C8A0420" w14:textId="77777777" w:rsidR="00F531CB" w:rsidRDefault="00F531CB" w:rsidP="00441B6F">
      <w:pPr>
        <w:pStyle w:val="ReferHead"/>
        <w:spacing w:after="0"/>
        <w:jc w:val="both"/>
        <w:rPr>
          <w:rFonts w:ascii="Arial" w:hAnsi="Arial" w:cs="Arial"/>
          <w:b w:val="0"/>
          <w:caps w:val="0"/>
          <w:sz w:val="20"/>
        </w:rPr>
      </w:pPr>
    </w:p>
    <w:p w14:paraId="19036F97" w14:textId="1424EBC7" w:rsidR="005C784C" w:rsidRDefault="005C784C" w:rsidP="00441B6F">
      <w:pPr>
        <w:pStyle w:val="ReferHead"/>
        <w:spacing w:after="0"/>
        <w:jc w:val="both"/>
        <w:rPr>
          <w:rFonts w:ascii="Arial" w:hAnsi="Arial" w:cs="Arial"/>
          <w:bCs/>
        </w:rPr>
      </w:pPr>
      <w:r>
        <w:rPr>
          <w:rFonts w:ascii="Arial" w:hAnsi="Arial" w:cs="Arial"/>
          <w:bCs/>
        </w:rPr>
        <w:t>Ethical approval</w:t>
      </w:r>
      <w:r w:rsidR="00F41BAA">
        <w:rPr>
          <w:rFonts w:ascii="Arial" w:hAnsi="Arial" w:cs="Arial"/>
          <w:bCs/>
        </w:rPr>
        <w:t xml:space="preserve"> AND CONSNET </w:t>
      </w:r>
    </w:p>
    <w:p w14:paraId="3DCFEAF1" w14:textId="6C57A987" w:rsidR="0041027F" w:rsidRDefault="00702368" w:rsidP="00702368">
      <w:pPr>
        <w:pStyle w:val="ReferHead"/>
        <w:spacing w:after="0"/>
        <w:jc w:val="both"/>
        <w:rPr>
          <w:rFonts w:ascii="Arial" w:hAnsi="Arial" w:cs="Arial"/>
          <w:b w:val="0"/>
          <w:caps w:val="0"/>
          <w:sz w:val="20"/>
        </w:rPr>
      </w:pPr>
      <w:r w:rsidRPr="00702368">
        <w:rPr>
          <w:rFonts w:ascii="Arial" w:hAnsi="Arial" w:cs="Arial"/>
          <w:b w:val="0"/>
          <w:caps w:val="0"/>
          <w:sz w:val="20"/>
        </w:rPr>
        <w:t>Ethical standards were strictly adhered to throughout the study. An official introductory letter was obtained from the Department of Fisheries and Aquatic Resources Management, University for Development Studies, Tamale, Ghana, to seek permission from the school authorities. Participation was voluntary, and verbal informed consent was obtained from all respondents after explaining the purpose of the study. Respondents were assured of anonymity and confidentiality, and no personal identifiers were collected.</w:t>
      </w:r>
    </w:p>
    <w:p w14:paraId="7A0F9AFF" w14:textId="43BA2BB0" w:rsidR="004852C6" w:rsidRDefault="004852C6" w:rsidP="00702368">
      <w:pPr>
        <w:pStyle w:val="ReferHead"/>
        <w:spacing w:after="0"/>
        <w:jc w:val="both"/>
        <w:rPr>
          <w:rFonts w:ascii="Arial" w:hAnsi="Arial" w:cs="Arial"/>
          <w:b w:val="0"/>
          <w:caps w:val="0"/>
          <w:sz w:val="20"/>
        </w:rPr>
      </w:pPr>
    </w:p>
    <w:p w14:paraId="0DAD3A5D" w14:textId="77777777" w:rsidR="000874CB" w:rsidRPr="00005ED1" w:rsidRDefault="000874CB" w:rsidP="000874CB">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49A4BA81" w14:textId="77777777" w:rsidR="000874CB" w:rsidRPr="00005ED1" w:rsidRDefault="000874CB" w:rsidP="000874CB">
      <w:pPr>
        <w:pStyle w:val="NoSpacing"/>
        <w:rPr>
          <w:rFonts w:ascii="Arial" w:hAnsi="Arial" w:cs="Arial"/>
          <w:highlight w:val="yellow"/>
        </w:rPr>
      </w:pPr>
    </w:p>
    <w:p w14:paraId="4F93D3F5" w14:textId="77777777" w:rsidR="000874CB" w:rsidRPr="00005ED1" w:rsidRDefault="000874CB" w:rsidP="000874C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582ACCF0" w14:textId="77777777" w:rsidR="004852C6" w:rsidRDefault="004852C6" w:rsidP="00702368">
      <w:pPr>
        <w:pStyle w:val="ReferHead"/>
        <w:spacing w:after="0"/>
        <w:jc w:val="both"/>
        <w:rPr>
          <w:rFonts w:ascii="Arial" w:hAnsi="Arial" w:cs="Arial"/>
          <w:b w:val="0"/>
          <w:caps w:val="0"/>
          <w:sz w:val="20"/>
        </w:rPr>
      </w:pPr>
    </w:p>
    <w:p w14:paraId="1046718F" w14:textId="77777777" w:rsidR="00860000" w:rsidRDefault="00860000" w:rsidP="00441B6F">
      <w:pPr>
        <w:pStyle w:val="ReferHead"/>
        <w:spacing w:after="0"/>
        <w:jc w:val="both"/>
        <w:rPr>
          <w:rFonts w:ascii="Arial" w:hAnsi="Arial" w:cs="Arial"/>
        </w:rPr>
      </w:pPr>
    </w:p>
    <w:p w14:paraId="797F30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F03E0F"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Amisah</w:t>
      </w:r>
      <w:proofErr w:type="spellEnd"/>
      <w:r w:rsidRPr="00E16C9E">
        <w:rPr>
          <w:rFonts w:ascii="Arial" w:hAnsi="Arial" w:cs="Arial"/>
        </w:rPr>
        <w:t xml:space="preserve">, S., and </w:t>
      </w:r>
      <w:proofErr w:type="spellStart"/>
      <w:r w:rsidRPr="00E16C9E">
        <w:rPr>
          <w:rFonts w:ascii="Arial" w:hAnsi="Arial" w:cs="Arial"/>
        </w:rPr>
        <w:t>Quagrainie</w:t>
      </w:r>
      <w:proofErr w:type="spellEnd"/>
      <w:r w:rsidRPr="00E16C9E">
        <w:rPr>
          <w:rFonts w:ascii="Arial" w:hAnsi="Arial" w:cs="Arial"/>
        </w:rPr>
        <w:t>, K. K. (2007). Opportunities and challenges for sustainable tilapia production and commercialization in Ghana. In: </w:t>
      </w:r>
      <w:r w:rsidRPr="00E16C9E">
        <w:rPr>
          <w:rFonts w:ascii="Arial" w:hAnsi="Arial" w:cs="Arial"/>
          <w:i/>
          <w:iCs/>
        </w:rPr>
        <w:t>World Aquaculture Conference, San Antonio, USA</w:t>
      </w:r>
      <w:r w:rsidRPr="00E16C9E">
        <w:rPr>
          <w:rFonts w:ascii="Arial" w:hAnsi="Arial" w:cs="Arial"/>
        </w:rPr>
        <w:t>.</w:t>
      </w:r>
    </w:p>
    <w:p w14:paraId="73899565"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Asmah</w:t>
      </w:r>
      <w:proofErr w:type="spellEnd"/>
      <w:r w:rsidRPr="00E16C9E">
        <w:rPr>
          <w:rFonts w:ascii="Arial" w:hAnsi="Arial" w:cs="Arial"/>
        </w:rPr>
        <w:t xml:space="preserve">, R. (2008). </w:t>
      </w:r>
      <w:r w:rsidRPr="00E16C9E">
        <w:rPr>
          <w:rFonts w:ascii="Arial" w:hAnsi="Arial" w:cs="Arial"/>
          <w:i/>
          <w:iCs/>
        </w:rPr>
        <w:t>Development potential and financial viability of fish farming in Ghana</w:t>
      </w:r>
      <w:r w:rsidRPr="00E16C9E">
        <w:rPr>
          <w:rFonts w:ascii="Arial" w:hAnsi="Arial" w:cs="Arial"/>
        </w:rPr>
        <w:t xml:space="preserve">. Institute of Aquaculture, University of Sterling. </w:t>
      </w:r>
    </w:p>
    <w:p w14:paraId="00353CA1" w14:textId="5982C25F" w:rsidR="00702368" w:rsidRPr="00E16C9E" w:rsidRDefault="00702368" w:rsidP="00702368">
      <w:pPr>
        <w:ind w:left="720" w:hanging="720"/>
        <w:jc w:val="both"/>
        <w:rPr>
          <w:rFonts w:ascii="Arial" w:hAnsi="Arial" w:cs="Arial"/>
        </w:rPr>
      </w:pPr>
      <w:r w:rsidRPr="00E16C9E">
        <w:rPr>
          <w:rFonts w:ascii="Arial" w:hAnsi="Arial" w:cs="Arial"/>
        </w:rPr>
        <w:t>Beveridge, M. C., Ross, L. G.</w:t>
      </w:r>
      <w:r w:rsidR="00755766" w:rsidRPr="00E16C9E">
        <w:rPr>
          <w:rFonts w:ascii="Arial" w:hAnsi="Arial" w:cs="Arial"/>
        </w:rPr>
        <w:t>, and</w:t>
      </w:r>
      <w:r w:rsidRPr="00E16C9E">
        <w:rPr>
          <w:rFonts w:ascii="Arial" w:hAnsi="Arial" w:cs="Arial"/>
        </w:rPr>
        <w:t xml:space="preserve"> Stewart, J. A. (1997). The development of Mini culture and its implications for biodiversity, In: Marine Biodiversity: Patterns and Processes (eds. R. F. G. Ormond, J. D. Gage and M. V. Angel), 16, 105-128. Cambridge University Press, Cambridge, United Kingdom. </w:t>
      </w:r>
    </w:p>
    <w:p w14:paraId="1563A690"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Cobbina</w:t>
      </w:r>
      <w:proofErr w:type="spellEnd"/>
      <w:r w:rsidRPr="00E16C9E">
        <w:rPr>
          <w:rFonts w:ascii="Arial" w:hAnsi="Arial" w:cs="Arial"/>
        </w:rPr>
        <w:t xml:space="preserve">, R., and </w:t>
      </w:r>
      <w:proofErr w:type="spellStart"/>
      <w:r w:rsidRPr="00E16C9E">
        <w:rPr>
          <w:rFonts w:ascii="Arial" w:hAnsi="Arial" w:cs="Arial"/>
        </w:rPr>
        <w:t>Eiriksdottir</w:t>
      </w:r>
      <w:proofErr w:type="spellEnd"/>
      <w:r w:rsidRPr="00E16C9E">
        <w:rPr>
          <w:rFonts w:ascii="Arial" w:hAnsi="Arial" w:cs="Arial"/>
        </w:rPr>
        <w:t xml:space="preserve">, K. (2010). Aquaculture in Ghana: Economic perspectives of Ghanaian aquaculture for policy development. UNU-Fisheries Training </w:t>
      </w:r>
      <w:proofErr w:type="spellStart"/>
      <w:r w:rsidRPr="00E16C9E">
        <w:rPr>
          <w:rFonts w:ascii="Arial" w:hAnsi="Arial" w:cs="Arial"/>
        </w:rPr>
        <w:t>Programme</w:t>
      </w:r>
      <w:proofErr w:type="spellEnd"/>
      <w:r w:rsidRPr="00E16C9E">
        <w:rPr>
          <w:rFonts w:ascii="Arial" w:hAnsi="Arial" w:cs="Arial"/>
        </w:rPr>
        <w:t>. Final project, 4.</w:t>
      </w:r>
    </w:p>
    <w:p w14:paraId="2AF98D06" w14:textId="77777777" w:rsidR="00702368" w:rsidRPr="00E16C9E" w:rsidRDefault="00702368" w:rsidP="00702368">
      <w:pPr>
        <w:ind w:left="720" w:hanging="720"/>
        <w:jc w:val="both"/>
        <w:rPr>
          <w:rFonts w:ascii="Arial" w:hAnsi="Arial" w:cs="Arial"/>
        </w:rPr>
      </w:pPr>
      <w:r w:rsidRPr="00E16C9E">
        <w:rPr>
          <w:rFonts w:ascii="Arial" w:hAnsi="Arial" w:cs="Arial"/>
        </w:rPr>
        <w:t xml:space="preserve">DOF (2007). Report on pond and reservoir surveying in Ghana.  Ministry of Fisheries, Ghana. </w:t>
      </w:r>
    </w:p>
    <w:p w14:paraId="42A3F58E"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(2000). </w:t>
      </w:r>
      <w:r w:rsidRPr="00E16C9E">
        <w:rPr>
          <w:rFonts w:ascii="Arial" w:hAnsi="Arial" w:cs="Arial"/>
          <w:i/>
          <w:iCs/>
        </w:rPr>
        <w:t>National aquaculture sector overview: Ghana</w:t>
      </w:r>
      <w:r w:rsidRPr="00E16C9E">
        <w:rPr>
          <w:rFonts w:ascii="Arial" w:hAnsi="Arial" w:cs="Arial"/>
        </w:rPr>
        <w:t>. FAO Fisheries and Aquaculture Department.</w:t>
      </w:r>
    </w:p>
    <w:p w14:paraId="2710147D" w14:textId="77777777" w:rsidR="00702368" w:rsidRPr="00E16C9E" w:rsidRDefault="00702368" w:rsidP="00702368">
      <w:pPr>
        <w:ind w:left="720" w:hanging="720"/>
        <w:jc w:val="both"/>
        <w:rPr>
          <w:rFonts w:ascii="Arial" w:hAnsi="Arial" w:cs="Arial"/>
        </w:rPr>
      </w:pPr>
      <w:r w:rsidRPr="00E16C9E">
        <w:rPr>
          <w:rFonts w:ascii="Arial" w:hAnsi="Arial" w:cs="Arial"/>
        </w:rPr>
        <w:t>FAO (2005). Results of the 2003-2004 Baseline Survey of Ghanaian Fish Farmers. FAO Regional Office for Africa. Accra pp.77</w:t>
      </w:r>
    </w:p>
    <w:p w14:paraId="2EEED953"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(2005). </w:t>
      </w:r>
      <w:r w:rsidRPr="00E16C9E">
        <w:rPr>
          <w:rFonts w:ascii="Arial" w:hAnsi="Arial" w:cs="Arial"/>
          <w:i/>
          <w:iCs/>
        </w:rPr>
        <w:t>Results of the 2003–2004 baseline survey of Ghanaian fish farmers</w:t>
      </w:r>
      <w:r w:rsidRPr="00E16C9E">
        <w:rPr>
          <w:rFonts w:ascii="Arial" w:hAnsi="Arial" w:cs="Arial"/>
        </w:rPr>
        <w:t>. FAO Regional Office for Africa.</w:t>
      </w:r>
    </w:p>
    <w:p w14:paraId="1C141DCC"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(2010). National Aquaculture Sector Overview, Ghana (November 2010) </w:t>
      </w:r>
      <w:hyperlink r:id="rId19" w:history="1">
        <w:r w:rsidRPr="00E16C9E">
          <w:rPr>
            <w:rStyle w:val="Hyperlink"/>
            <w:rFonts w:ascii="Arial" w:hAnsi="Arial" w:cs="Arial"/>
          </w:rPr>
          <w:t>http://www.fao.org/fishery/countrysector/naso_ghana/en</w:t>
        </w:r>
      </w:hyperlink>
      <w:r w:rsidRPr="00E16C9E">
        <w:rPr>
          <w:rFonts w:ascii="Arial" w:hAnsi="Arial" w:cs="Arial"/>
        </w:rPr>
        <w:t xml:space="preserve"> </w:t>
      </w:r>
    </w:p>
    <w:p w14:paraId="4AC7CA04" w14:textId="77777777" w:rsidR="00702368" w:rsidRPr="00E16C9E" w:rsidRDefault="00702368" w:rsidP="00702368">
      <w:pPr>
        <w:ind w:left="720" w:hanging="720"/>
        <w:jc w:val="both"/>
        <w:rPr>
          <w:rFonts w:ascii="Arial" w:hAnsi="Arial" w:cs="Arial"/>
        </w:rPr>
      </w:pPr>
      <w:r w:rsidRPr="00E16C9E">
        <w:rPr>
          <w:rFonts w:ascii="Arial" w:hAnsi="Arial" w:cs="Arial"/>
        </w:rPr>
        <w:lastRenderedPageBreak/>
        <w:t xml:space="preserve">FAO (2010). </w:t>
      </w:r>
      <w:r w:rsidRPr="00E16C9E">
        <w:rPr>
          <w:rFonts w:ascii="Arial" w:hAnsi="Arial" w:cs="Arial"/>
          <w:i/>
          <w:iCs/>
        </w:rPr>
        <w:t>The state of world fisheries and aquaculture</w:t>
      </w:r>
      <w:r w:rsidRPr="00E16C9E">
        <w:rPr>
          <w:rFonts w:ascii="Arial" w:hAnsi="Arial" w:cs="Arial"/>
        </w:rPr>
        <w:t>. FAO Fisheries and Aquaculture Department.</w:t>
      </w:r>
    </w:p>
    <w:p w14:paraId="6D9DCA0D" w14:textId="77777777" w:rsidR="00702368" w:rsidRPr="00E16C9E" w:rsidRDefault="00702368" w:rsidP="00702368">
      <w:pPr>
        <w:ind w:left="720" w:hanging="720"/>
        <w:jc w:val="both"/>
        <w:rPr>
          <w:rFonts w:ascii="Arial" w:hAnsi="Arial" w:cs="Arial"/>
        </w:rPr>
      </w:pPr>
      <w:r w:rsidRPr="00E16C9E">
        <w:rPr>
          <w:rFonts w:ascii="Arial" w:hAnsi="Arial" w:cs="Arial"/>
        </w:rPr>
        <w:t>FAO (2016). The State of the World Fisheries and Aquaculture 2016. Contributing to Food Security and Nutrition for all. Rome 200pp.</w:t>
      </w:r>
    </w:p>
    <w:p w14:paraId="595D4351"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(2022). </w:t>
      </w:r>
      <w:r w:rsidRPr="00E16C9E">
        <w:rPr>
          <w:rFonts w:ascii="Arial" w:hAnsi="Arial" w:cs="Arial"/>
          <w:i/>
          <w:iCs/>
        </w:rPr>
        <w:t>The State of World Fisheries and Aquaculture 2022: Towards blue transformation</w:t>
      </w:r>
      <w:r w:rsidRPr="00E16C9E">
        <w:rPr>
          <w:rFonts w:ascii="Arial" w:hAnsi="Arial" w:cs="Arial"/>
        </w:rPr>
        <w:t>. FAO.</w:t>
      </w:r>
    </w:p>
    <w:p w14:paraId="69EC5829" w14:textId="77777777" w:rsidR="00702368" w:rsidRPr="00E16C9E" w:rsidRDefault="00702368" w:rsidP="00702368">
      <w:pPr>
        <w:ind w:left="720" w:hanging="720"/>
        <w:jc w:val="both"/>
        <w:rPr>
          <w:rFonts w:ascii="Arial" w:hAnsi="Arial" w:cs="Arial"/>
        </w:rPr>
      </w:pPr>
      <w:r w:rsidRPr="00E16C9E">
        <w:rPr>
          <w:rFonts w:ascii="Arial" w:hAnsi="Arial" w:cs="Arial"/>
        </w:rPr>
        <w:t>FAO (2022). The State of World Fisheries and Aquaculture. Towards a blue transformation. Rome 223pp.</w:t>
      </w:r>
    </w:p>
    <w:p w14:paraId="2AFEFFA7"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Iwama</w:t>
      </w:r>
      <w:proofErr w:type="spellEnd"/>
      <w:r w:rsidRPr="00E16C9E">
        <w:rPr>
          <w:rFonts w:ascii="Arial" w:hAnsi="Arial" w:cs="Arial"/>
        </w:rPr>
        <w:t>, G. K. (1991). Interactions between aquaculture and the environment. Critical Reviews in Environmental Control 21 (2): 177-216.</w:t>
      </w:r>
    </w:p>
    <w:p w14:paraId="13A26C95" w14:textId="77777777" w:rsidR="00702368" w:rsidRPr="00E16C9E" w:rsidRDefault="00702368" w:rsidP="00702368">
      <w:pPr>
        <w:ind w:left="720" w:hanging="720"/>
        <w:jc w:val="both"/>
        <w:rPr>
          <w:rFonts w:ascii="Arial" w:hAnsi="Arial" w:cs="Arial"/>
          <w:highlight w:val="yellow"/>
        </w:rPr>
      </w:pPr>
      <w:proofErr w:type="spellStart"/>
      <w:r w:rsidRPr="00E16C9E">
        <w:rPr>
          <w:rFonts w:ascii="Arial" w:hAnsi="Arial" w:cs="Arial"/>
        </w:rPr>
        <w:t>Kyei</w:t>
      </w:r>
      <w:proofErr w:type="spellEnd"/>
      <w:r w:rsidRPr="00E16C9E">
        <w:rPr>
          <w:rFonts w:ascii="Arial" w:hAnsi="Arial" w:cs="Arial"/>
        </w:rPr>
        <w:t xml:space="preserve">, T. R. (2016). A survey on awareness of Senior High School Students on Fish Farming: A Case Study of Tamale Metropolis, Northern Region of Ghana. Unpublished </w:t>
      </w:r>
    </w:p>
    <w:p w14:paraId="592C4B79" w14:textId="77777777" w:rsidR="00702368" w:rsidRPr="00E16C9E" w:rsidRDefault="00702368" w:rsidP="00702368">
      <w:pPr>
        <w:ind w:left="720" w:hanging="720"/>
        <w:jc w:val="both"/>
        <w:rPr>
          <w:rFonts w:ascii="Arial" w:hAnsi="Arial" w:cs="Arial"/>
        </w:rPr>
      </w:pPr>
      <w:r w:rsidRPr="00E16C9E">
        <w:rPr>
          <w:rFonts w:ascii="Arial" w:hAnsi="Arial" w:cs="Arial"/>
        </w:rPr>
        <w:t xml:space="preserve">Lam, V. W. Y., Cheung, W. W. L., Swartz, W., &amp; </w:t>
      </w:r>
      <w:proofErr w:type="spellStart"/>
      <w:r w:rsidRPr="00E16C9E">
        <w:rPr>
          <w:rFonts w:ascii="Arial" w:hAnsi="Arial" w:cs="Arial"/>
        </w:rPr>
        <w:t>Sumaila</w:t>
      </w:r>
      <w:proofErr w:type="spellEnd"/>
      <w:r w:rsidRPr="00E16C9E">
        <w:rPr>
          <w:rFonts w:ascii="Arial" w:hAnsi="Arial" w:cs="Arial"/>
        </w:rPr>
        <w:t xml:space="preserve">, U. R. (2012). Climate change impacts on fisheries in West Africa: Implications for economic, food and nutritional security. </w:t>
      </w:r>
      <w:r w:rsidRPr="00E16C9E">
        <w:rPr>
          <w:rFonts w:ascii="Arial" w:hAnsi="Arial" w:cs="Arial"/>
          <w:i/>
          <w:iCs/>
        </w:rPr>
        <w:t>African Journal of Marine Science</w:t>
      </w:r>
      <w:r w:rsidRPr="00E16C9E">
        <w:rPr>
          <w:rFonts w:ascii="Arial" w:hAnsi="Arial" w:cs="Arial"/>
        </w:rPr>
        <w:t xml:space="preserve">, 34(1), 103–117. </w:t>
      </w:r>
      <w:hyperlink r:id="rId20" w:tgtFrame="_new" w:history="1">
        <w:r w:rsidRPr="00E16C9E">
          <w:rPr>
            <w:rStyle w:val="Hyperlink"/>
            <w:rFonts w:ascii="Arial" w:hAnsi="Arial" w:cs="Arial"/>
          </w:rPr>
          <w:t>https://doi.org/10.2989/1814232X.2012.673294</w:t>
        </w:r>
      </w:hyperlink>
    </w:p>
    <w:p w14:paraId="13583567" w14:textId="77777777" w:rsidR="00702368" w:rsidRPr="00E16C9E" w:rsidRDefault="00702368" w:rsidP="00702368">
      <w:pPr>
        <w:ind w:left="720" w:hanging="720"/>
        <w:jc w:val="both"/>
        <w:rPr>
          <w:rFonts w:ascii="Arial" w:hAnsi="Arial" w:cs="Arial"/>
        </w:rPr>
      </w:pPr>
      <w:r w:rsidRPr="00E16C9E">
        <w:rPr>
          <w:rFonts w:ascii="Arial" w:hAnsi="Arial" w:cs="Arial"/>
        </w:rPr>
        <w:t>MOE (2010). Report on Basic Statistics and Planning Parameters for SENIOR HIGH SCHOOLS in Ghana 2009/2010. 3</w:t>
      </w:r>
    </w:p>
    <w:p w14:paraId="3A057F18" w14:textId="37498318" w:rsidR="00702368" w:rsidRDefault="00702368" w:rsidP="00702368">
      <w:pPr>
        <w:ind w:left="720" w:hanging="720"/>
        <w:jc w:val="both"/>
        <w:rPr>
          <w:rFonts w:ascii="Arial" w:hAnsi="Arial" w:cs="Arial"/>
        </w:rPr>
      </w:pPr>
      <w:proofErr w:type="spellStart"/>
      <w:r w:rsidRPr="00E16C9E">
        <w:rPr>
          <w:rFonts w:ascii="Arial" w:hAnsi="Arial" w:cs="Arial"/>
        </w:rPr>
        <w:t>MoFAD</w:t>
      </w:r>
      <w:proofErr w:type="spellEnd"/>
      <w:r w:rsidRPr="00E16C9E">
        <w:rPr>
          <w:rFonts w:ascii="Arial" w:hAnsi="Arial" w:cs="Arial"/>
        </w:rPr>
        <w:t xml:space="preserve"> (2018). Annual report 2017. </w:t>
      </w:r>
      <w:proofErr w:type="spellStart"/>
      <w:r w:rsidRPr="00E16C9E">
        <w:rPr>
          <w:rFonts w:ascii="Arial" w:hAnsi="Arial" w:cs="Arial"/>
        </w:rPr>
        <w:t>MoFAD</w:t>
      </w:r>
      <w:proofErr w:type="spellEnd"/>
      <w:r w:rsidRPr="00E16C9E">
        <w:rPr>
          <w:rFonts w:ascii="Arial" w:hAnsi="Arial" w:cs="Arial"/>
        </w:rPr>
        <w:t>, Accra. Ghana. 77 pp.</w:t>
      </w:r>
    </w:p>
    <w:p w14:paraId="1A3700F2" w14:textId="4B2BF37E" w:rsidR="00756485" w:rsidRDefault="00756485" w:rsidP="00702368">
      <w:pPr>
        <w:ind w:left="720" w:hanging="720"/>
        <w:jc w:val="both"/>
        <w:rPr>
          <w:rFonts w:ascii="Arial" w:hAnsi="Arial" w:cs="Arial"/>
        </w:rPr>
      </w:pPr>
    </w:p>
    <w:p w14:paraId="7800B016" w14:textId="77777777" w:rsidR="00756485" w:rsidRDefault="00756485" w:rsidP="00702368">
      <w:pPr>
        <w:ind w:left="720" w:hanging="720"/>
        <w:jc w:val="both"/>
        <w:rPr>
          <w:rFonts w:ascii="Arial" w:hAnsi="Arial" w:cs="Arial"/>
          <w:color w:val="222222"/>
          <w:shd w:val="clear" w:color="auto" w:fill="FFFFFF"/>
        </w:rPr>
      </w:pPr>
    </w:p>
    <w:p w14:paraId="70290FB9" w14:textId="3BCB0EB9"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Ekanya</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Nkongho</w:t>
      </w:r>
      <w:proofErr w:type="spellEnd"/>
      <w:r>
        <w:rPr>
          <w:rFonts w:ascii="Arial" w:hAnsi="Arial" w:cs="Arial"/>
          <w:color w:val="222222"/>
          <w:shd w:val="clear" w:color="auto" w:fill="FFFFFF"/>
        </w:rPr>
        <w:t xml:space="preserve">, G. O., ARREYTABE, J., </w:t>
      </w:r>
      <w:proofErr w:type="spellStart"/>
      <w:r>
        <w:rPr>
          <w:rFonts w:ascii="Arial" w:hAnsi="Arial" w:cs="Arial"/>
          <w:color w:val="222222"/>
          <w:shd w:val="clear" w:color="auto" w:fill="FFFFFF"/>
        </w:rPr>
        <w:t>Nchanji</w:t>
      </w:r>
      <w:proofErr w:type="spellEnd"/>
      <w:r>
        <w:rPr>
          <w:rFonts w:ascii="Arial" w:hAnsi="Arial" w:cs="Arial"/>
          <w:color w:val="222222"/>
          <w:shd w:val="clear" w:color="auto" w:fill="FFFFFF"/>
        </w:rPr>
        <w:t xml:space="preserve">, G. T., </w:t>
      </w:r>
      <w:proofErr w:type="spellStart"/>
      <w:r>
        <w:rPr>
          <w:rFonts w:ascii="Arial" w:hAnsi="Arial" w:cs="Arial"/>
          <w:color w:val="222222"/>
          <w:shd w:val="clear" w:color="auto" w:fill="FFFFFF"/>
        </w:rPr>
        <w:t>Etchutakang</w:t>
      </w:r>
      <w:proofErr w:type="spellEnd"/>
      <w:r>
        <w:rPr>
          <w:rFonts w:ascii="Arial" w:hAnsi="Arial" w:cs="Arial"/>
          <w:color w:val="222222"/>
          <w:shd w:val="clear" w:color="auto" w:fill="FFFFFF"/>
        </w:rPr>
        <w:t xml:space="preserve">, Y. N., </w:t>
      </w:r>
      <w:proofErr w:type="spellStart"/>
      <w:r>
        <w:rPr>
          <w:rFonts w:ascii="Arial" w:hAnsi="Arial" w:cs="Arial"/>
          <w:color w:val="222222"/>
          <w:shd w:val="clear" w:color="auto" w:fill="FFFFFF"/>
        </w:rPr>
        <w:t>Ndassa</w:t>
      </w:r>
      <w:proofErr w:type="spellEnd"/>
      <w:r>
        <w:rPr>
          <w:rFonts w:ascii="Arial" w:hAnsi="Arial" w:cs="Arial"/>
          <w:color w:val="222222"/>
          <w:shd w:val="clear" w:color="auto" w:fill="FFFFFF"/>
        </w:rPr>
        <w:t xml:space="preserve">, E., ... &amp; Marcel, E. (2024). Youth Engagement and Inclusiveness in Fish Farming in the </w:t>
      </w:r>
      <w:proofErr w:type="spellStart"/>
      <w:r>
        <w:rPr>
          <w:rFonts w:ascii="Arial" w:hAnsi="Arial" w:cs="Arial"/>
          <w:color w:val="222222"/>
          <w:shd w:val="clear" w:color="auto" w:fill="FFFFFF"/>
        </w:rPr>
        <w:t>Fako</w:t>
      </w:r>
      <w:proofErr w:type="spellEnd"/>
      <w:r>
        <w:rPr>
          <w:rFonts w:ascii="Arial" w:hAnsi="Arial" w:cs="Arial"/>
          <w:color w:val="222222"/>
          <w:shd w:val="clear" w:color="auto" w:fill="FFFFFF"/>
        </w:rPr>
        <w:t xml:space="preserve"> Division Southwest Region of Cameroon. </w:t>
      </w:r>
      <w:r>
        <w:rPr>
          <w:rFonts w:ascii="Arial" w:hAnsi="Arial" w:cs="Arial"/>
          <w:i/>
          <w:iCs/>
          <w:color w:val="222222"/>
          <w:shd w:val="clear" w:color="auto" w:fill="FFFFFF"/>
        </w:rPr>
        <w:t>International Journal of Research</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1-8.</w:t>
      </w:r>
    </w:p>
    <w:p w14:paraId="773429A3" w14:textId="7457F4DF"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Amenyogbe</w:t>
      </w:r>
      <w:proofErr w:type="spellEnd"/>
      <w:r>
        <w:rPr>
          <w:rFonts w:ascii="Arial" w:hAnsi="Arial" w:cs="Arial"/>
          <w:color w:val="222222"/>
          <w:shd w:val="clear" w:color="auto" w:fill="FFFFFF"/>
        </w:rPr>
        <w:t xml:space="preserve">, E., Chen, G., Wang, Z., Lin, M., Lu, X., </w:t>
      </w:r>
      <w:proofErr w:type="spellStart"/>
      <w:r>
        <w:rPr>
          <w:rFonts w:ascii="Arial" w:hAnsi="Arial" w:cs="Arial"/>
          <w:color w:val="222222"/>
          <w:shd w:val="clear" w:color="auto" w:fill="FFFFFF"/>
        </w:rPr>
        <w:t>Atujona</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Abarike</w:t>
      </w:r>
      <w:proofErr w:type="spellEnd"/>
      <w:r>
        <w:rPr>
          <w:rFonts w:ascii="Arial" w:hAnsi="Arial" w:cs="Arial"/>
          <w:color w:val="222222"/>
          <w:shd w:val="clear" w:color="auto" w:fill="FFFFFF"/>
        </w:rPr>
        <w:t xml:space="preserve">, E. D. (2018). A review of </w:t>
      </w:r>
      <w:proofErr w:type="spellStart"/>
      <w:r>
        <w:rPr>
          <w:rFonts w:ascii="Arial" w:hAnsi="Arial" w:cs="Arial"/>
          <w:color w:val="222222"/>
          <w:shd w:val="clear" w:color="auto" w:fill="FFFFFF"/>
        </w:rPr>
        <w:t>Ghanas</w:t>
      </w:r>
      <w:proofErr w:type="spellEnd"/>
      <w:r>
        <w:rPr>
          <w:rFonts w:ascii="Arial" w:hAnsi="Arial" w:cs="Arial"/>
          <w:color w:val="222222"/>
          <w:shd w:val="clear" w:color="auto" w:fill="FFFFFF"/>
        </w:rPr>
        <w:t xml:space="preserve"> aquaculture industry. </w:t>
      </w:r>
      <w:r>
        <w:rPr>
          <w:rFonts w:ascii="Arial" w:hAnsi="Arial" w:cs="Arial"/>
          <w:i/>
          <w:iCs/>
          <w:color w:val="222222"/>
          <w:shd w:val="clear" w:color="auto" w:fill="FFFFFF"/>
        </w:rPr>
        <w:t>Journal of Aquaculture Research &amp; Development</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(08).</w:t>
      </w:r>
    </w:p>
    <w:p w14:paraId="6D5A1116" w14:textId="7FCAEF1C"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Adelodun</w:t>
      </w:r>
      <w:proofErr w:type="spellEnd"/>
      <w:r>
        <w:rPr>
          <w:rFonts w:ascii="Arial" w:hAnsi="Arial" w:cs="Arial"/>
          <w:color w:val="222222"/>
          <w:shd w:val="clear" w:color="auto" w:fill="FFFFFF"/>
        </w:rPr>
        <w:t>, O. B. (2015). Participation of youth in aquaculture. </w:t>
      </w:r>
      <w:r>
        <w:rPr>
          <w:rFonts w:ascii="Arial" w:hAnsi="Arial" w:cs="Arial"/>
          <w:i/>
          <w:iCs/>
          <w:color w:val="222222"/>
          <w:shd w:val="clear" w:color="auto" w:fill="FFFFFF"/>
        </w:rPr>
        <w:t>Journal of Aquaculture Research and Development</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(12), 386-389.</w:t>
      </w:r>
    </w:p>
    <w:p w14:paraId="27440F57" w14:textId="4D7036E0"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Ragasa</w:t>
      </w:r>
      <w:proofErr w:type="spellEnd"/>
      <w:r>
        <w:rPr>
          <w:rFonts w:ascii="Arial" w:hAnsi="Arial" w:cs="Arial"/>
          <w:color w:val="222222"/>
          <w:shd w:val="clear" w:color="auto" w:fill="FFFFFF"/>
        </w:rPr>
        <w:t xml:space="preserve">, C., </w:t>
      </w:r>
      <w:proofErr w:type="spellStart"/>
      <w:r>
        <w:rPr>
          <w:rFonts w:ascii="Arial" w:hAnsi="Arial" w:cs="Arial"/>
          <w:color w:val="222222"/>
          <w:shd w:val="clear" w:color="auto" w:fill="FFFFFF"/>
        </w:rPr>
        <w:t>Agyakwah</w:t>
      </w:r>
      <w:proofErr w:type="spellEnd"/>
      <w:r>
        <w:rPr>
          <w:rFonts w:ascii="Arial" w:hAnsi="Arial" w:cs="Arial"/>
          <w:color w:val="222222"/>
          <w:shd w:val="clear" w:color="auto" w:fill="FFFFFF"/>
        </w:rPr>
        <w:t xml:space="preserve">, S. K., </w:t>
      </w:r>
      <w:proofErr w:type="spellStart"/>
      <w:r>
        <w:rPr>
          <w:rFonts w:ascii="Arial" w:hAnsi="Arial" w:cs="Arial"/>
          <w:color w:val="222222"/>
          <w:shd w:val="clear" w:color="auto" w:fill="FFFFFF"/>
        </w:rPr>
        <w:t>Asmah</w:t>
      </w:r>
      <w:proofErr w:type="spellEnd"/>
      <w:r>
        <w:rPr>
          <w:rFonts w:ascii="Arial" w:hAnsi="Arial" w:cs="Arial"/>
          <w:color w:val="222222"/>
          <w:shd w:val="clear" w:color="auto" w:fill="FFFFFF"/>
        </w:rPr>
        <w:t xml:space="preserve">, R., Mensah, E. T. D., </w:t>
      </w:r>
      <w:proofErr w:type="spellStart"/>
      <w:r>
        <w:rPr>
          <w:rFonts w:ascii="Arial" w:hAnsi="Arial" w:cs="Arial"/>
          <w:color w:val="222222"/>
          <w:shd w:val="clear" w:color="auto" w:fill="FFFFFF"/>
        </w:rPr>
        <w:t>Amewu</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Oyih</w:t>
      </w:r>
      <w:proofErr w:type="spellEnd"/>
      <w:r>
        <w:rPr>
          <w:rFonts w:ascii="Arial" w:hAnsi="Arial" w:cs="Arial"/>
          <w:color w:val="222222"/>
          <w:shd w:val="clear" w:color="auto" w:fill="FFFFFF"/>
        </w:rPr>
        <w:t>, M. (2022). Accelerating pond aquaculture development and resilience beyond COVID: Ensuring food and jobs in Ghana. </w:t>
      </w:r>
      <w:r>
        <w:rPr>
          <w:rFonts w:ascii="Arial" w:hAnsi="Arial" w:cs="Arial"/>
          <w:i/>
          <w:iCs/>
          <w:color w:val="222222"/>
          <w:shd w:val="clear" w:color="auto" w:fill="FFFFFF"/>
        </w:rPr>
        <w:t>Aquaculture</w:t>
      </w:r>
      <w:r>
        <w:rPr>
          <w:rFonts w:ascii="Arial" w:hAnsi="Arial" w:cs="Arial"/>
          <w:color w:val="222222"/>
          <w:shd w:val="clear" w:color="auto" w:fill="FFFFFF"/>
        </w:rPr>
        <w:t>, </w:t>
      </w:r>
      <w:r>
        <w:rPr>
          <w:rFonts w:ascii="Arial" w:hAnsi="Arial" w:cs="Arial"/>
          <w:i/>
          <w:iCs/>
          <w:color w:val="222222"/>
          <w:shd w:val="clear" w:color="auto" w:fill="FFFFFF"/>
        </w:rPr>
        <w:t>547</w:t>
      </w:r>
      <w:r>
        <w:rPr>
          <w:rFonts w:ascii="Arial" w:hAnsi="Arial" w:cs="Arial"/>
          <w:color w:val="222222"/>
          <w:shd w:val="clear" w:color="auto" w:fill="FFFFFF"/>
        </w:rPr>
        <w:t>, 737476.</w:t>
      </w:r>
    </w:p>
    <w:p w14:paraId="64F60504" w14:textId="14187BD7"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Nigussie</w:t>
      </w:r>
      <w:proofErr w:type="spellEnd"/>
      <w:r>
        <w:rPr>
          <w:rFonts w:ascii="Arial" w:hAnsi="Arial" w:cs="Arial"/>
          <w:color w:val="222222"/>
          <w:shd w:val="clear" w:color="auto" w:fill="FFFFFF"/>
        </w:rPr>
        <w:t xml:space="preserve">, L., Minh, T. T., &amp; </w:t>
      </w:r>
      <w:proofErr w:type="spellStart"/>
      <w:r>
        <w:rPr>
          <w:rFonts w:ascii="Arial" w:hAnsi="Arial" w:cs="Arial"/>
          <w:color w:val="222222"/>
          <w:shd w:val="clear" w:color="auto" w:fill="FFFFFF"/>
        </w:rPr>
        <w:t>Senaratna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Sellamuttu</w:t>
      </w:r>
      <w:proofErr w:type="spellEnd"/>
      <w:r>
        <w:rPr>
          <w:rFonts w:ascii="Arial" w:hAnsi="Arial" w:cs="Arial"/>
          <w:color w:val="222222"/>
          <w:shd w:val="clear" w:color="auto" w:fill="FFFFFF"/>
        </w:rPr>
        <w:t>, S. (2024). Youth inclusion in value chain development: a case of the aquaculture in Nigeria. </w:t>
      </w:r>
      <w:r>
        <w:rPr>
          <w:rFonts w:ascii="Arial" w:hAnsi="Arial" w:cs="Arial"/>
          <w:i/>
          <w:iCs/>
          <w:color w:val="222222"/>
          <w:shd w:val="clear" w:color="auto" w:fill="FFFFFF"/>
        </w:rPr>
        <w:t>CABI Agriculture and Bioscience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 44.</w:t>
      </w:r>
    </w:p>
    <w:p w14:paraId="0A5395CA" w14:textId="2BEC9146" w:rsidR="00756485" w:rsidRDefault="00756485" w:rsidP="00702368">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Quagrainie</w:t>
      </w:r>
      <w:proofErr w:type="spellEnd"/>
      <w:r>
        <w:rPr>
          <w:rFonts w:ascii="Arial" w:hAnsi="Arial" w:cs="Arial"/>
          <w:color w:val="222222"/>
          <w:shd w:val="clear" w:color="auto" w:fill="FFFFFF"/>
        </w:rPr>
        <w:t xml:space="preserve">, K. K., </w:t>
      </w:r>
      <w:proofErr w:type="spellStart"/>
      <w:r>
        <w:rPr>
          <w:rFonts w:ascii="Arial" w:hAnsi="Arial" w:cs="Arial"/>
          <w:color w:val="222222"/>
          <w:shd w:val="clear" w:color="auto" w:fill="FFFFFF"/>
        </w:rPr>
        <w:t>Amisah</w:t>
      </w:r>
      <w:proofErr w:type="spellEnd"/>
      <w:r>
        <w:rPr>
          <w:rFonts w:ascii="Arial" w:hAnsi="Arial" w:cs="Arial"/>
          <w:color w:val="222222"/>
          <w:shd w:val="clear" w:color="auto" w:fill="FFFFFF"/>
        </w:rPr>
        <w:t>, S., &amp; Ngugi, C. C. (2009). Aquaculture information sources for small</w:t>
      </w:r>
      <w:r>
        <w:rPr>
          <w:rFonts w:ascii="Cambria Math" w:hAnsi="Cambria Math" w:cs="Cambria Math"/>
          <w:color w:val="222222"/>
          <w:shd w:val="clear" w:color="auto" w:fill="FFFFFF"/>
        </w:rPr>
        <w:t>‐</w:t>
      </w:r>
      <w:r>
        <w:rPr>
          <w:rFonts w:ascii="Arial" w:hAnsi="Arial" w:cs="Arial"/>
          <w:color w:val="222222"/>
          <w:shd w:val="clear" w:color="auto" w:fill="FFFFFF"/>
        </w:rPr>
        <w:t>scale fish farmers: the case of Ghana. </w:t>
      </w:r>
      <w:r>
        <w:rPr>
          <w:rFonts w:ascii="Arial" w:hAnsi="Arial" w:cs="Arial"/>
          <w:i/>
          <w:iCs/>
          <w:color w:val="222222"/>
          <w:shd w:val="clear" w:color="auto" w:fill="FFFFFF"/>
        </w:rPr>
        <w:t>Aquaculture Research</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(13), 1516-1522.</w:t>
      </w:r>
    </w:p>
    <w:p w14:paraId="2D8E0060" w14:textId="5A38B210" w:rsidR="00756485" w:rsidRPr="00E16C9E" w:rsidRDefault="00756485" w:rsidP="00702368">
      <w:pPr>
        <w:ind w:left="720" w:hanging="720"/>
        <w:jc w:val="both"/>
        <w:rPr>
          <w:rFonts w:ascii="Arial" w:hAnsi="Arial" w:cs="Arial"/>
        </w:rPr>
      </w:pPr>
      <w:r>
        <w:rPr>
          <w:rFonts w:ascii="Arial" w:hAnsi="Arial" w:cs="Arial"/>
          <w:color w:val="222222"/>
          <w:shd w:val="clear" w:color="auto" w:fill="FFFFFF"/>
        </w:rPr>
        <w:t xml:space="preserve">Kabir, K. H., Uddin, M. N., Rahman, S., </w:t>
      </w:r>
      <w:proofErr w:type="spellStart"/>
      <w:r>
        <w:rPr>
          <w:rFonts w:ascii="Arial" w:hAnsi="Arial" w:cs="Arial"/>
          <w:color w:val="222222"/>
          <w:shd w:val="clear" w:color="auto" w:fill="FFFFFF"/>
        </w:rPr>
        <w:t>Darr</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Drubo</w:t>
      </w:r>
      <w:proofErr w:type="spellEnd"/>
      <w:r>
        <w:rPr>
          <w:rFonts w:ascii="Arial" w:hAnsi="Arial" w:cs="Arial"/>
          <w:color w:val="222222"/>
          <w:shd w:val="clear" w:color="auto" w:fill="FFFFFF"/>
        </w:rPr>
        <w:t>, M. A. Z. S. (2022). Opportunities and determinants for rural youth engagement in catfish farming: empirical evidence from north-central Bangladesh. </w:t>
      </w:r>
      <w:r>
        <w:rPr>
          <w:rFonts w:ascii="Arial" w:hAnsi="Arial" w:cs="Arial"/>
          <w:i/>
          <w:iCs/>
          <w:color w:val="222222"/>
          <w:shd w:val="clear" w:color="auto" w:fill="FFFFFF"/>
        </w:rPr>
        <w:t>Aquaculture International</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(5), 2557-2578.</w:t>
      </w:r>
    </w:p>
    <w:sectPr w:rsidR="00756485" w:rsidRPr="00E16C9E" w:rsidSect="009D33E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CB7F" w14:textId="77777777" w:rsidR="00B45453" w:rsidRDefault="00B45453" w:rsidP="00C37E61">
      <w:r>
        <w:separator/>
      </w:r>
    </w:p>
  </w:endnote>
  <w:endnote w:type="continuationSeparator" w:id="0">
    <w:p w14:paraId="3DAE36C6" w14:textId="77777777" w:rsidR="00B45453" w:rsidRDefault="00B454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EFE6" w14:textId="77777777" w:rsidR="009D33EB" w:rsidRDefault="009D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36FA" w14:textId="77777777" w:rsidR="009D33EB" w:rsidRDefault="009D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BB9A" w14:textId="77777777" w:rsidR="009E048A" w:rsidRDefault="009E048A">
    <w:pPr>
      <w:pStyle w:val="Footer"/>
      <w:rPr>
        <w:rFonts w:ascii="Arial" w:hAnsi="Arial" w:cs="Arial"/>
        <w:sz w:val="16"/>
      </w:rPr>
    </w:pPr>
  </w:p>
  <w:p w14:paraId="1C27EF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16BCB2" w14:textId="77777777" w:rsidR="009E048A" w:rsidRDefault="009E048A">
    <w:pPr>
      <w:pStyle w:val="Footer"/>
      <w:rPr>
        <w:rFonts w:ascii="Arial" w:hAnsi="Arial" w:cs="Arial"/>
        <w:sz w:val="16"/>
      </w:rPr>
    </w:pPr>
  </w:p>
  <w:p w14:paraId="5A51C0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851C" w14:textId="77777777" w:rsidR="00B45453" w:rsidRDefault="00B45453" w:rsidP="00C37E61">
      <w:r>
        <w:separator/>
      </w:r>
    </w:p>
  </w:footnote>
  <w:footnote w:type="continuationSeparator" w:id="0">
    <w:p w14:paraId="2E808804" w14:textId="77777777" w:rsidR="00B45453" w:rsidRDefault="00B454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752E" w14:textId="2528BD6B" w:rsidR="009D33EB" w:rsidRDefault="009A167C">
    <w:pPr>
      <w:pStyle w:val="Header"/>
    </w:pPr>
    <w:r>
      <w:rPr>
        <w:noProof/>
      </w:rPr>
      <w:pict w14:anchorId="64943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8B3B" w14:textId="4CC794C9" w:rsidR="009D33EB" w:rsidRDefault="009A167C">
    <w:pPr>
      <w:pStyle w:val="Header"/>
    </w:pPr>
    <w:r>
      <w:rPr>
        <w:noProof/>
      </w:rPr>
      <w:pict w14:anchorId="4EE1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A1E6" w14:textId="03DE168E" w:rsidR="00296529" w:rsidRPr="00296529" w:rsidRDefault="009A167C" w:rsidP="00296529">
    <w:pPr>
      <w:ind w:left="2160"/>
      <w:jc w:val="center"/>
      <w:rPr>
        <w:rFonts w:ascii="Times New Roman" w:eastAsia="Calibri" w:hAnsi="Times New Roman"/>
        <w:i/>
        <w:sz w:val="18"/>
        <w:szCs w:val="22"/>
      </w:rPr>
    </w:pPr>
    <w:r>
      <w:rPr>
        <w:noProof/>
      </w:rPr>
      <w:pict w14:anchorId="0D2C9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FAB0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493E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9E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BB3A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F3F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0241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MDY1MTQ3NzczMzJX0lEKTi0uzszPAykwrAUAoKPfVywAAAA="/>
  </w:docVars>
  <w:rsids>
    <w:rsidRoot w:val="00AA6219"/>
    <w:rsid w:val="00000F8F"/>
    <w:rsid w:val="00030174"/>
    <w:rsid w:val="0004579C"/>
    <w:rsid w:val="000874CB"/>
    <w:rsid w:val="000A47FA"/>
    <w:rsid w:val="000A65D3"/>
    <w:rsid w:val="000A795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32C"/>
    <w:rsid w:val="00204835"/>
    <w:rsid w:val="00231920"/>
    <w:rsid w:val="0023195C"/>
    <w:rsid w:val="0024282C"/>
    <w:rsid w:val="002460DC"/>
    <w:rsid w:val="00250985"/>
    <w:rsid w:val="00251A80"/>
    <w:rsid w:val="002556F6"/>
    <w:rsid w:val="00277C81"/>
    <w:rsid w:val="00283105"/>
    <w:rsid w:val="00284C4C"/>
    <w:rsid w:val="00287E68"/>
    <w:rsid w:val="00296529"/>
    <w:rsid w:val="002B27FB"/>
    <w:rsid w:val="002B685A"/>
    <w:rsid w:val="002C57D2"/>
    <w:rsid w:val="002E0D56"/>
    <w:rsid w:val="00315186"/>
    <w:rsid w:val="0033343E"/>
    <w:rsid w:val="00340504"/>
    <w:rsid w:val="003512C2"/>
    <w:rsid w:val="00371FB6"/>
    <w:rsid w:val="003721C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C6"/>
    <w:rsid w:val="00496770"/>
    <w:rsid w:val="004D2566"/>
    <w:rsid w:val="004D305E"/>
    <w:rsid w:val="004D4277"/>
    <w:rsid w:val="00502516"/>
    <w:rsid w:val="00505F06"/>
    <w:rsid w:val="00506828"/>
    <w:rsid w:val="00512604"/>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368"/>
    <w:rsid w:val="007369E6"/>
    <w:rsid w:val="00746E59"/>
    <w:rsid w:val="00753DF5"/>
    <w:rsid w:val="00754C9A"/>
    <w:rsid w:val="00755766"/>
    <w:rsid w:val="0075599A"/>
    <w:rsid w:val="00756485"/>
    <w:rsid w:val="00761D52"/>
    <w:rsid w:val="0077749E"/>
    <w:rsid w:val="00790ADA"/>
    <w:rsid w:val="007C02A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0960"/>
    <w:rsid w:val="009A167C"/>
    <w:rsid w:val="009B3FB9"/>
    <w:rsid w:val="009C2465"/>
    <w:rsid w:val="009C7469"/>
    <w:rsid w:val="009D33EB"/>
    <w:rsid w:val="009D35A0"/>
    <w:rsid w:val="009D7EB7"/>
    <w:rsid w:val="009E048A"/>
    <w:rsid w:val="009E08E9"/>
    <w:rsid w:val="009E3DB9"/>
    <w:rsid w:val="009E6E35"/>
    <w:rsid w:val="009F0EDA"/>
    <w:rsid w:val="00A03B96"/>
    <w:rsid w:val="00A05B19"/>
    <w:rsid w:val="00A1134E"/>
    <w:rsid w:val="00A24E7E"/>
    <w:rsid w:val="00A251D6"/>
    <w:rsid w:val="00A258C3"/>
    <w:rsid w:val="00A347C0"/>
    <w:rsid w:val="00A509E2"/>
    <w:rsid w:val="00A51431"/>
    <w:rsid w:val="00A539AD"/>
    <w:rsid w:val="00A94063"/>
    <w:rsid w:val="00AA6219"/>
    <w:rsid w:val="00AA74E0"/>
    <w:rsid w:val="00AB1F48"/>
    <w:rsid w:val="00AB703F"/>
    <w:rsid w:val="00AC6BB8"/>
    <w:rsid w:val="00AE008F"/>
    <w:rsid w:val="00B01FCD"/>
    <w:rsid w:val="00B1776C"/>
    <w:rsid w:val="00B45453"/>
    <w:rsid w:val="00B52583"/>
    <w:rsid w:val="00B52896"/>
    <w:rsid w:val="00B52CA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DF3"/>
    <w:rsid w:val="00C70F1B"/>
    <w:rsid w:val="00C71A47"/>
    <w:rsid w:val="00C73B8D"/>
    <w:rsid w:val="00C7464C"/>
    <w:rsid w:val="00C85588"/>
    <w:rsid w:val="00CA6B5A"/>
    <w:rsid w:val="00CD6755"/>
    <w:rsid w:val="00CD6856"/>
    <w:rsid w:val="00CE0089"/>
    <w:rsid w:val="00CE793C"/>
    <w:rsid w:val="00CE7BCE"/>
    <w:rsid w:val="00CF193C"/>
    <w:rsid w:val="00D173F1"/>
    <w:rsid w:val="00D523D6"/>
    <w:rsid w:val="00D74CB0"/>
    <w:rsid w:val="00D8295D"/>
    <w:rsid w:val="00D945E3"/>
    <w:rsid w:val="00DB7B4A"/>
    <w:rsid w:val="00DC2A65"/>
    <w:rsid w:val="00DE15F0"/>
    <w:rsid w:val="00DE5663"/>
    <w:rsid w:val="00DE78AA"/>
    <w:rsid w:val="00E053D0"/>
    <w:rsid w:val="00E15994"/>
    <w:rsid w:val="00E16C9E"/>
    <w:rsid w:val="00E2298D"/>
    <w:rsid w:val="00E2738E"/>
    <w:rsid w:val="00E3114E"/>
    <w:rsid w:val="00E31A70"/>
    <w:rsid w:val="00E35B02"/>
    <w:rsid w:val="00E66496"/>
    <w:rsid w:val="00E66B35"/>
    <w:rsid w:val="00E66E10"/>
    <w:rsid w:val="00E769F6"/>
    <w:rsid w:val="00E8407C"/>
    <w:rsid w:val="00E84F3C"/>
    <w:rsid w:val="00EA012C"/>
    <w:rsid w:val="00EB6D50"/>
    <w:rsid w:val="00EC6A55"/>
    <w:rsid w:val="00ED0288"/>
    <w:rsid w:val="00EE52CB"/>
    <w:rsid w:val="00EF581D"/>
    <w:rsid w:val="00EF7FD8"/>
    <w:rsid w:val="00F06F59"/>
    <w:rsid w:val="00F17988"/>
    <w:rsid w:val="00F41BAA"/>
    <w:rsid w:val="00F469F0"/>
    <w:rsid w:val="00F531CB"/>
    <w:rsid w:val="00F53273"/>
    <w:rsid w:val="00F6759A"/>
    <w:rsid w:val="00F755E4"/>
    <w:rsid w:val="00F77D02"/>
    <w:rsid w:val="00FB3A86"/>
    <w:rsid w:val="00FC0625"/>
    <w:rsid w:val="00FD36C8"/>
    <w:rsid w:val="00FF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ECB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53DF5"/>
    <w:rPr>
      <w:rFonts w:asciiTheme="minorHAnsi" w:eastAsiaTheme="minorEastAsia" w:hAnsiTheme="minorHAnsi" w:cstheme="minorBidi"/>
      <w:kern w:val="2"/>
      <w:sz w:val="22"/>
      <w:szCs w:val="22"/>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874C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454994">
      <w:bodyDiv w:val="1"/>
      <w:marLeft w:val="0"/>
      <w:marRight w:val="0"/>
      <w:marTop w:val="0"/>
      <w:marBottom w:val="0"/>
      <w:divBdr>
        <w:top w:val="none" w:sz="0" w:space="0" w:color="auto"/>
        <w:left w:val="none" w:sz="0" w:space="0" w:color="auto"/>
        <w:bottom w:val="none" w:sz="0" w:space="0" w:color="auto"/>
        <w:right w:val="none" w:sz="0" w:space="0" w:color="auto"/>
      </w:divBdr>
    </w:div>
    <w:div w:id="5023562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89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989/1814232X.2012.673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www.fao.org/fishery/countrysector/naso_ghan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Desktop\IIR%20PP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Desktop\IIR%20PP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Desktop\IIR%20PPT.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AppData\Roaming\Microsoft\Excel\IIR%20PPT%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Desktop\IIR%20P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 of students</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Sheet1!$B$4:$B$6</c:f>
              <c:strCache>
                <c:ptCount val="3"/>
                <c:pt idx="0">
                  <c:v>Friends</c:v>
                </c:pt>
                <c:pt idx="1">
                  <c:v>Media</c:v>
                </c:pt>
                <c:pt idx="2">
                  <c:v>Taught in school</c:v>
                </c:pt>
              </c:strCache>
            </c:strRef>
          </c:cat>
          <c:val>
            <c:numRef>
              <c:f>Sheet1!$C$4:$C$6</c:f>
              <c:numCache>
                <c:formatCode>General</c:formatCode>
                <c:ptCount val="3"/>
                <c:pt idx="0">
                  <c:v>8</c:v>
                </c:pt>
                <c:pt idx="1">
                  <c:v>19</c:v>
                </c:pt>
                <c:pt idx="2">
                  <c:v>73</c:v>
                </c:pt>
              </c:numCache>
            </c:numRef>
          </c:val>
          <c:extLst>
            <c:ext xmlns:c16="http://schemas.microsoft.com/office/drawing/2014/chart" uri="{C3380CC4-5D6E-409C-BE32-E72D297353CC}">
              <c16:uniqueId val="{00000000-9E67-4C3F-A168-EE06057D7BC1}"/>
            </c:ext>
          </c:extLst>
        </c:ser>
        <c:dLbls>
          <c:showLegendKey val="0"/>
          <c:showVal val="0"/>
          <c:showCatName val="0"/>
          <c:showSerName val="0"/>
          <c:showPercent val="0"/>
          <c:showBubbleSize val="0"/>
        </c:dLbls>
        <c:gapWidth val="150"/>
        <c:shape val="box"/>
        <c:axId val="277936416"/>
        <c:axId val="280065592"/>
        <c:axId val="0"/>
      </c:bar3DChart>
      <c:catAx>
        <c:axId val="277936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i="0" u="none" strike="noStrike" baseline="0">
                    <a:effectLst/>
                    <a:latin typeface="Times New Roman" panose="02020603050405020304" pitchFamily="18" charset="0"/>
                    <a:cs typeface="Times New Roman" panose="02020603050405020304" pitchFamily="18" charset="0"/>
                  </a:rPr>
                  <a:t>Sources of information about fish farming</a:t>
                </a:r>
                <a:r>
                  <a:rPr lang="en-GB" sz="1000" b="1" i="0" u="none" strike="noStrike" baseline="0">
                    <a:latin typeface="Times New Roman" panose="02020603050405020304" pitchFamily="18" charset="0"/>
                    <a:cs typeface="Times New Roman" panose="02020603050405020304" pitchFamily="18" charset="0"/>
                  </a:rPr>
                  <a:t> </a:t>
                </a:r>
                <a:endParaRPr lang="en-GB"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0065592"/>
        <c:crosses val="autoZero"/>
        <c:auto val="1"/>
        <c:lblAlgn val="ctr"/>
        <c:lblOffset val="100"/>
        <c:noMultiLvlLbl val="0"/>
      </c:catAx>
      <c:valAx>
        <c:axId val="280065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6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Sheet1!$C$22</c:f>
              <c:strCache>
                <c:ptCount val="1"/>
                <c:pt idx="0">
                  <c:v>% of students</c:v>
                </c:pt>
              </c:strCache>
            </c:strRef>
          </c:tx>
          <c:spPr>
            <a:solidFill>
              <a:schemeClr val="accent1"/>
            </a:solidFill>
            <a:ln>
              <a:noFill/>
            </a:ln>
            <a:effectLst/>
            <a:sp3d/>
          </c:spPr>
          <c:invertIfNegative val="0"/>
          <c:dLbls>
            <c:dLbl>
              <c:idx val="7"/>
              <c:layout>
                <c:manualLayout>
                  <c:x val="2.7777777777777779E-3"/>
                  <c:y val="3.278133353432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F-498E-94E0-BAFD46F5359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Sheet1!$B$23:$B$31</c:f>
              <c:strCache>
                <c:ptCount val="9"/>
                <c:pt idx="0">
                  <c:v>Tilapia</c:v>
                </c:pt>
                <c:pt idx="1">
                  <c:v>Catfish</c:v>
                </c:pt>
                <c:pt idx="2">
                  <c:v>Mud fish</c:v>
                </c:pt>
                <c:pt idx="3">
                  <c:v>Cassava fish</c:v>
                </c:pt>
                <c:pt idx="4">
                  <c:v>Herrings</c:v>
                </c:pt>
                <c:pt idx="5">
                  <c:v>Prawns</c:v>
                </c:pt>
                <c:pt idx="6">
                  <c:v>Tuna</c:v>
                </c:pt>
                <c:pt idx="7">
                  <c:v>Red fish</c:v>
                </c:pt>
                <c:pt idx="8">
                  <c:v>Salmon</c:v>
                </c:pt>
              </c:strCache>
            </c:strRef>
          </c:cat>
          <c:val>
            <c:numRef>
              <c:f>Sheet1!$C$23:$C$31</c:f>
              <c:numCache>
                <c:formatCode>General</c:formatCode>
                <c:ptCount val="9"/>
                <c:pt idx="0">
                  <c:v>62</c:v>
                </c:pt>
                <c:pt idx="1">
                  <c:v>6</c:v>
                </c:pt>
                <c:pt idx="2">
                  <c:v>5</c:v>
                </c:pt>
                <c:pt idx="3">
                  <c:v>2</c:v>
                </c:pt>
                <c:pt idx="4">
                  <c:v>6</c:v>
                </c:pt>
                <c:pt idx="5">
                  <c:v>1</c:v>
                </c:pt>
                <c:pt idx="6">
                  <c:v>2</c:v>
                </c:pt>
                <c:pt idx="7">
                  <c:v>13</c:v>
                </c:pt>
                <c:pt idx="8">
                  <c:v>2</c:v>
                </c:pt>
              </c:numCache>
            </c:numRef>
          </c:val>
          <c:extLst>
            <c:ext xmlns:c16="http://schemas.microsoft.com/office/drawing/2014/chart" uri="{C3380CC4-5D6E-409C-BE32-E72D297353CC}">
              <c16:uniqueId val="{00000001-02AF-498E-94E0-BAFD46F53596}"/>
            </c:ext>
          </c:extLst>
        </c:ser>
        <c:dLbls>
          <c:showLegendKey val="0"/>
          <c:showVal val="1"/>
          <c:showCatName val="0"/>
          <c:showSerName val="0"/>
          <c:showPercent val="0"/>
          <c:showBubbleSize val="0"/>
        </c:dLbls>
        <c:gapWidth val="150"/>
        <c:shape val="box"/>
        <c:axId val="339090880"/>
        <c:axId val="421783976"/>
        <c:axId val="0"/>
      </c:bar3DChart>
      <c:catAx>
        <c:axId val="3390908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Fish species</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783976"/>
        <c:crosses val="autoZero"/>
        <c:auto val="1"/>
        <c:lblAlgn val="ctr"/>
        <c:lblOffset val="100"/>
        <c:noMultiLvlLbl val="0"/>
      </c:catAx>
      <c:valAx>
        <c:axId val="421783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090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Sheet1!$C$43</c:f>
              <c:strCache>
                <c:ptCount val="1"/>
                <c:pt idx="0">
                  <c:v>% of students</c:v>
                </c:pt>
              </c:strCache>
            </c:strRef>
          </c:tx>
          <c:spPr>
            <a:solidFill>
              <a:schemeClr val="accent1"/>
            </a:solidFill>
            <a:ln>
              <a:noFill/>
            </a:ln>
            <a:effectLst/>
            <a:sp3d/>
          </c:spPr>
          <c:invertIfNegative val="0"/>
          <c:dLbls>
            <c:dLbl>
              <c:idx val="0"/>
              <c:layout>
                <c:manualLayout>
                  <c:x val="0"/>
                  <c:y val="-5.4591267167234128E-2"/>
                </c:manualLayout>
              </c:layout>
              <c:tx>
                <c:rich>
                  <a:bodyPr/>
                  <a:lstStyle/>
                  <a:p>
                    <a:fld id="{5A485615-2B56-44C2-B55B-0FB4117CDE71}" type="VALUE">
                      <a:rPr lang="en-US" sz="14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0A-4AD5-8363-1C3549DA747A}"/>
                </c:ext>
              </c:extLst>
            </c:dLbl>
            <c:dLbl>
              <c:idx val="1"/>
              <c:layout>
                <c:manualLayout>
                  <c:x val="0"/>
                  <c:y val="-7.7070024236095214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0A-4AD5-8363-1C3549DA747A}"/>
                </c:ext>
              </c:extLst>
            </c:dLbl>
            <c:dLbl>
              <c:idx val="2"/>
              <c:layout>
                <c:manualLayout>
                  <c:x val="6.8858041710345623E-8"/>
                  <c:y val="-8.6703777265607185E-2"/>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1.7699821905560919E-2"/>
                      <c:h val="2.8853216750593259E-2"/>
                    </c:manualLayout>
                  </c15:layout>
                </c:ext>
                <c:ext xmlns:c16="http://schemas.microsoft.com/office/drawing/2014/chart" uri="{C3380CC4-5D6E-409C-BE32-E72D297353CC}">
                  <c16:uniqueId val="{00000002-CC0A-4AD5-8363-1C3549DA747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Sheet1!$B$44:$B$46</c:f>
              <c:strCache>
                <c:ptCount val="3"/>
                <c:pt idx="0">
                  <c:v>Yes</c:v>
                </c:pt>
                <c:pt idx="1">
                  <c:v>No</c:v>
                </c:pt>
                <c:pt idx="2">
                  <c:v>Not Sure</c:v>
                </c:pt>
              </c:strCache>
            </c:strRef>
          </c:cat>
          <c:val>
            <c:numRef>
              <c:f>Sheet1!$C$44:$C$46</c:f>
              <c:numCache>
                <c:formatCode>General</c:formatCode>
                <c:ptCount val="3"/>
                <c:pt idx="0">
                  <c:v>51</c:v>
                </c:pt>
                <c:pt idx="1">
                  <c:v>32</c:v>
                </c:pt>
                <c:pt idx="2">
                  <c:v>17</c:v>
                </c:pt>
              </c:numCache>
            </c:numRef>
          </c:val>
          <c:extLst>
            <c:ext xmlns:c16="http://schemas.microsoft.com/office/drawing/2014/chart" uri="{C3380CC4-5D6E-409C-BE32-E72D297353CC}">
              <c16:uniqueId val="{00000003-CC0A-4AD5-8363-1C3549DA747A}"/>
            </c:ext>
          </c:extLst>
        </c:ser>
        <c:dLbls>
          <c:showLegendKey val="0"/>
          <c:showVal val="1"/>
          <c:showCatName val="0"/>
          <c:showSerName val="0"/>
          <c:showPercent val="0"/>
          <c:showBubbleSize val="0"/>
        </c:dLbls>
        <c:gapWidth val="150"/>
        <c:shape val="box"/>
        <c:axId val="472258584"/>
        <c:axId val="472260224"/>
        <c:axId val="0"/>
      </c:bar3DChart>
      <c:catAx>
        <c:axId val="4722585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Interest in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2260224"/>
        <c:crosses val="autoZero"/>
        <c:auto val="1"/>
        <c:lblAlgn val="ctr"/>
        <c:lblOffset val="100"/>
        <c:noMultiLvlLbl val="0"/>
      </c:catAx>
      <c:valAx>
        <c:axId val="47226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72258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Sheet1!$C$82</c:f>
              <c:strCache>
                <c:ptCount val="1"/>
                <c:pt idx="0">
                  <c:v>Percentage</c:v>
                </c:pt>
              </c:strCache>
            </c:strRef>
          </c:tx>
          <c:spPr>
            <a:solidFill>
              <a:schemeClr val="accent1"/>
            </a:solidFill>
            <a:ln>
              <a:noFill/>
            </a:ln>
            <a:effectLst/>
            <a:sp3d/>
          </c:spPr>
          <c:invertIfNegative val="0"/>
          <c:dLbls>
            <c:dLbl>
              <c:idx val="0"/>
              <c:layout>
                <c:manualLayout>
                  <c:x val="0"/>
                  <c:y val="-6.9444444444444448E-2"/>
                </c:manualLayout>
              </c:layout>
              <c:tx>
                <c:rich>
                  <a:bodyPr/>
                  <a:lstStyle/>
                  <a:p>
                    <a:fld id="{4BC42F37-8846-47F7-8841-FD99FB4366D6}" type="VALUE">
                      <a:rPr lang="en-US" sz="1100"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58C-47EA-BAD1-4B9FDB08D712}"/>
                </c:ext>
              </c:extLst>
            </c:dLbl>
            <c:dLbl>
              <c:idx val="1"/>
              <c:layout>
                <c:manualLayout>
                  <c:x val="0"/>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8C-47EA-BAD1-4B9FDB08D712}"/>
                </c:ext>
              </c:extLst>
            </c:dLbl>
            <c:dLbl>
              <c:idx val="2"/>
              <c:layout>
                <c:manualLayout>
                  <c:x val="-8.3143408378906071E-17"/>
                  <c:y val="-4.629629629629638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8C-47EA-BAD1-4B9FDB08D7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Sheet1!$B$83:$B$85</c:f>
              <c:strCache>
                <c:ptCount val="3"/>
                <c:pt idx="0">
                  <c:v>Yes</c:v>
                </c:pt>
                <c:pt idx="1">
                  <c:v>No</c:v>
                </c:pt>
                <c:pt idx="2">
                  <c:v>Not Sure</c:v>
                </c:pt>
              </c:strCache>
            </c:strRef>
          </c:cat>
          <c:val>
            <c:numRef>
              <c:f>Sheet1!$C$83:$C$85</c:f>
              <c:numCache>
                <c:formatCode>General</c:formatCode>
                <c:ptCount val="3"/>
                <c:pt idx="0">
                  <c:v>88</c:v>
                </c:pt>
                <c:pt idx="1">
                  <c:v>7</c:v>
                </c:pt>
                <c:pt idx="2">
                  <c:v>6</c:v>
                </c:pt>
              </c:numCache>
            </c:numRef>
          </c:val>
          <c:extLst>
            <c:ext xmlns:c16="http://schemas.microsoft.com/office/drawing/2014/chart" uri="{C3380CC4-5D6E-409C-BE32-E72D297353CC}">
              <c16:uniqueId val="{00000003-F58C-47EA-BAD1-4B9FDB08D712}"/>
            </c:ext>
          </c:extLst>
        </c:ser>
        <c:dLbls>
          <c:showLegendKey val="0"/>
          <c:showVal val="1"/>
          <c:showCatName val="0"/>
          <c:showSerName val="0"/>
          <c:showPercent val="0"/>
          <c:showBubbleSize val="0"/>
        </c:dLbls>
        <c:gapWidth val="150"/>
        <c:shape val="box"/>
        <c:axId val="387584000"/>
        <c:axId val="387584328"/>
        <c:axId val="0"/>
      </c:bar3DChart>
      <c:catAx>
        <c:axId val="38758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Willing to seek more knowledge on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584328"/>
        <c:crosses val="autoZero"/>
        <c:auto val="1"/>
        <c:lblAlgn val="ctr"/>
        <c:lblOffset val="100"/>
        <c:noMultiLvlLbl val="0"/>
      </c:catAx>
      <c:valAx>
        <c:axId val="38758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Percentage</a:t>
                </a:r>
                <a:r>
                  <a:rPr lang="en-GB" sz="1000" b="0" i="0" u="none" strike="noStrike" baseline="0"/>
                  <a: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584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Sheet1!$C$61</c:f>
              <c:strCache>
                <c:ptCount val="1"/>
                <c:pt idx="0">
                  <c:v>% of students</c:v>
                </c:pt>
              </c:strCache>
            </c:strRef>
          </c:tx>
          <c:spPr>
            <a:solidFill>
              <a:schemeClr val="accent1"/>
            </a:solidFill>
            <a:ln>
              <a:noFill/>
            </a:ln>
            <a:effectLst/>
            <a:sp3d/>
          </c:spPr>
          <c:invertIfNegative val="0"/>
          <c:dLbls>
            <c:dLbl>
              <c:idx val="0"/>
              <c:layout>
                <c:manualLayout>
                  <c:x val="3.484667599752694E-3"/>
                  <c:y val="-5.1686762419246912E-2"/>
                </c:manualLayout>
              </c:layout>
              <c:tx>
                <c:rich>
                  <a:bodyPr/>
                  <a:lstStyle/>
                  <a:p>
                    <a:fld id="{3D7E85B1-1774-4F97-972C-E26F3AFB1F4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AAB-41A9-BEBE-A941AA68823D}"/>
                </c:ext>
              </c:extLst>
            </c:dLbl>
            <c:dLbl>
              <c:idx val="1"/>
              <c:layout>
                <c:manualLayout>
                  <c:x val="0"/>
                  <c:y val="-5.776755799798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AB-41A9-BEBE-A941AA68823D}"/>
                </c:ext>
              </c:extLst>
            </c:dLbl>
            <c:dLbl>
              <c:idx val="2"/>
              <c:layout>
                <c:manualLayout>
                  <c:x val="-3.4846675997527257E-3"/>
                  <c:y val="-6.0807955787349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AB-41A9-BEBE-A941AA68823D}"/>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Sheet1!$B$62:$B$64</c:f>
              <c:strCache>
                <c:ptCount val="3"/>
                <c:pt idx="0">
                  <c:v>Yes</c:v>
                </c:pt>
                <c:pt idx="1">
                  <c:v>No</c:v>
                </c:pt>
                <c:pt idx="2">
                  <c:v>Not Sure</c:v>
                </c:pt>
              </c:strCache>
            </c:strRef>
          </c:cat>
          <c:val>
            <c:numRef>
              <c:f>Sheet1!$C$62:$C$64</c:f>
              <c:numCache>
                <c:formatCode>General</c:formatCode>
                <c:ptCount val="3"/>
                <c:pt idx="0">
                  <c:v>32</c:v>
                </c:pt>
                <c:pt idx="1">
                  <c:v>31</c:v>
                </c:pt>
                <c:pt idx="2">
                  <c:v>37</c:v>
                </c:pt>
              </c:numCache>
            </c:numRef>
          </c:val>
          <c:extLst>
            <c:ext xmlns:c16="http://schemas.microsoft.com/office/drawing/2014/chart" uri="{C3380CC4-5D6E-409C-BE32-E72D297353CC}">
              <c16:uniqueId val="{00000003-5AAB-41A9-BEBE-A941AA68823D}"/>
            </c:ext>
          </c:extLst>
        </c:ser>
        <c:dLbls>
          <c:showLegendKey val="0"/>
          <c:showVal val="1"/>
          <c:showCatName val="0"/>
          <c:showSerName val="0"/>
          <c:showPercent val="0"/>
          <c:showBubbleSize val="0"/>
        </c:dLbls>
        <c:gapWidth val="150"/>
        <c:shape val="box"/>
        <c:axId val="339090552"/>
        <c:axId val="339091864"/>
        <c:axId val="0"/>
      </c:bar3DChart>
      <c:catAx>
        <c:axId val="3390905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Will you venture into fish farming?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1864"/>
        <c:crosses val="autoZero"/>
        <c:auto val="1"/>
        <c:lblAlgn val="ctr"/>
        <c:lblOffset val="100"/>
        <c:noMultiLvlLbl val="0"/>
      </c:catAx>
      <c:valAx>
        <c:axId val="339091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 of students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0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4BAB-4634-4F29-B80E-53FB1E4B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12</Pages>
  <Words>4429</Words>
  <Characters>26465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cp:revision>
  <cp:lastPrinted>1999-07-06T11:00:00Z</cp:lastPrinted>
  <dcterms:created xsi:type="dcterms:W3CDTF">2026-04-30T23:48:00Z</dcterms:created>
  <dcterms:modified xsi:type="dcterms:W3CDTF">2026-05-08T08:51:00Z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0688bf89-87a6-416d-8976-e10e4a096181</vt:lpwstr>
  </property>
</Properties>
</file>