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D468" w14:textId="77777777" w:rsidR="00822060" w:rsidRDefault="00822060" w:rsidP="0004686A">
      <w:pPr>
        <w:bidi/>
        <w:spacing w:line="240" w:lineRule="auto"/>
        <w:jc w:val="both"/>
        <w:rPr>
          <w:rFonts w:ascii="Arial" w:hAnsi="Arial" w:cs="Arial"/>
          <w:b/>
          <w:bCs/>
          <w:sz w:val="36"/>
          <w:szCs w:val="36"/>
        </w:rPr>
      </w:pPr>
      <w:r w:rsidRPr="00822060">
        <w:rPr>
          <w:rFonts w:ascii="Arial" w:hAnsi="Arial" w:cs="Arial"/>
          <w:b/>
          <w:bCs/>
          <w:sz w:val="36"/>
          <w:szCs w:val="36"/>
        </w:rPr>
        <w:t xml:space="preserve">Original Research Article </w:t>
      </w:r>
    </w:p>
    <w:p w14:paraId="66BAC5B6" w14:textId="17F346A7" w:rsidR="00817000" w:rsidRPr="00817000" w:rsidRDefault="00160502" w:rsidP="0004686A">
      <w:pPr>
        <w:tabs>
          <w:tab w:val="left" w:pos="3525"/>
        </w:tabs>
        <w:bidi/>
        <w:spacing w:line="240" w:lineRule="auto"/>
        <w:jc w:val="both"/>
        <w:rPr>
          <w:rFonts w:ascii="Times New Roman" w:hAnsi="Times New Roman" w:cs="Times New Roman"/>
          <w:sz w:val="24"/>
          <w:szCs w:val="24"/>
          <w:lang w:val="en-GB"/>
        </w:rPr>
      </w:pPr>
      <w:r w:rsidRPr="00160502">
        <w:rPr>
          <w:rFonts w:ascii="Arial" w:hAnsi="Arial" w:cs="Arial"/>
          <w:b/>
          <w:bCs/>
          <w:sz w:val="36"/>
          <w:szCs w:val="36"/>
        </w:rPr>
        <w:t>Bioaccumulation of Heavy Metals in Muscle and Exoskeleton of Shrimp from Karachi Coast, Pakistan</w:t>
      </w:r>
    </w:p>
    <w:p w14:paraId="029E3840" w14:textId="77777777" w:rsidR="00817000" w:rsidRPr="00103351" w:rsidRDefault="0019747A" w:rsidP="0004686A">
      <w:pPr>
        <w:tabs>
          <w:tab w:val="left" w:pos="3525"/>
        </w:tabs>
        <w:spacing w:line="480" w:lineRule="auto"/>
        <w:jc w:val="both"/>
        <w:rPr>
          <w:rFonts w:ascii="Times New Roman" w:hAnsi="Times New Roman" w:cs="Times New Roman"/>
          <w:sz w:val="24"/>
          <w:szCs w:val="24"/>
          <w:lang w:val="en-GB"/>
        </w:rPr>
      </w:pPr>
      <w:r>
        <w:rPr>
          <w:rFonts w:ascii="Arial" w:hAnsi="Arial" w:cs="Arial"/>
          <w:noProof/>
          <w:lang w:eastAsia="id-ID"/>
        </w:rPr>
        <mc:AlternateContent>
          <mc:Choice Requires="wps">
            <w:drawing>
              <wp:inline distT="0" distB="0" distL="0" distR="0" wp14:anchorId="116E0BE5" wp14:editId="45CAF834">
                <wp:extent cx="5829300" cy="45719"/>
                <wp:effectExtent l="0" t="0" r="19050" b="3111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11CA23" id="_x0000_t32" coordsize="21600,21600" o:spt="32" o:oned="t" path="m,l21600,21600e" filled="f">
                <v:path arrowok="t" fillok="f" o:connecttype="none"/>
                <o:lock v:ext="edit" shapetype="t"/>
              </v:shapetype>
              <v:shape id="Straight Arrow Connector 2" o:spid="_x0000_s1026" type="#_x0000_t32" style="width:459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yuLwIAAFkEAAAOAAAAZHJzL2Uyb0RvYy54bWysVMFu2zAMvQ/YPwi+J7ZTp02MOEVhJ7t0&#10;W4F2uyuSHAuTRUFS4wTD/n2U4mbtdhmG+SBTpvj4SD55dXvsFTkI6yToKsmnWUKEZsCl3lfJl6ft&#10;ZJEQ56nmVIEWVXISLrldv3+3GkwpZtCB4sISBNGuHEyVdN6bMk0d60RP3RSM0OhswfbU49buU27p&#10;gOi9SmdZdp0OYLmxwIRz+LU5O5N1xG9bwfzntnXCE1UlyM3H1cZ1F9Z0vaLl3lLTSTbSoP/AoqdS&#10;Y9ILVEM9Jc9W/gHVS2bBQeunDPoU2lYyEWvAavLst2oeO2pErAWb48ylTe7/wbJPhwdLJK+SWUI0&#10;7XFEj95Sue88ubMWBlKD1thGsGQWujUYV2JQrR9sqJcd9aO5B/bNEQ11R/VeRNZPJ4NQeYhI34SE&#10;jTOYczd8BI5n6LOH2Lpja3vSKmm+hsAAju0hxzir02VW4ugJw4/zxWx5leFIGfqK+U2+jLloGWBC&#10;sLHOfxDQk2BUiRurupRzTkEP984Hkr8CQrCGrVQqikNpMiChZTbPIikHSvLgDeec3e9qZcmBBn3F&#10;Z6Tx5piFZ80jWico34y2p1KdbcyudMDD6pDPaJ0F9H2ZLTeLzaKYFLPrzaTImmZyt62LyfU2v5k3&#10;V01dN/mPQC0vyk5yLnRg9yLmvPg7sYzX6izDi5wvfUjfoseGIdmXdyQdBx1me1bJDvjpwb4IAPUb&#10;D493LVyQ13u0X/8R1j8BAAD//wMAUEsDBBQABgAIAAAAIQDpne/p2gAAAAMBAAAPAAAAZHJzL2Rv&#10;d25yZXYueG1sTI4xb8IwEIX3SvwH6yp1Kw5UAprGQaiIoRID0A4dTXxNotrnYBtI++s5WNrlpKf3&#10;9N1XzHtnxQlDbD0pGA0zEEiVNy3VCj7eV48zEDFpMtp6QgU/GGFeDu4KnRt/pi2edqkWDKGYawVN&#10;Sl0uZawadDoOfYfE3ZcPTieOoZYm6DPDnZXjLJtIp1viD43u8LXB6nt3dAqyeNiu1356+Jw8vdmN&#10;a5erZfhV6uG+X7yASNinvzFc9VkdSnba+yOZKCwzeHe73D2PZhz3CqZjkGUh/7uXFwAAAP//AwBQ&#10;SwECLQAUAAYACAAAACEAtoM4kv4AAADhAQAAEwAAAAAAAAAAAAAAAAAAAAAAW0NvbnRlbnRfVHlw&#10;ZXNdLnhtbFBLAQItABQABgAIAAAAIQA4/SH/1gAAAJQBAAALAAAAAAAAAAAAAAAAAC8BAABfcmVs&#10;cy8ucmVsc1BLAQItABQABgAIAAAAIQAPzAyuLwIAAFkEAAAOAAAAAAAAAAAAAAAAAC4CAABkcnMv&#10;ZTJvRG9jLnhtbFBLAQItABQABgAIAAAAIQDpne/p2gAAAAMBAAAPAAAAAAAAAAAAAAAAAIkEAABk&#10;cnMvZG93bnJldi54bWxQSwUGAAAAAAQABADzAAAAkAUAAAAA&#10;" strokeweight="1.5pt">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5F4440" w:rsidRPr="001E44FE" w14:paraId="35AE605A" w14:textId="77777777" w:rsidTr="005F4440">
        <w:tc>
          <w:tcPr>
            <w:tcW w:w="9576" w:type="dxa"/>
            <w:shd w:val="clear" w:color="auto" w:fill="F2F2F2"/>
          </w:tcPr>
          <w:p w14:paraId="0AE094B8" w14:textId="77777777" w:rsidR="005F4440" w:rsidRPr="005F4440" w:rsidRDefault="005F4440" w:rsidP="0004686A">
            <w:pPr>
              <w:pStyle w:val="Body"/>
              <w:spacing w:after="0"/>
              <w:rPr>
                <w:rFonts w:ascii="Arial" w:eastAsia="Calibri" w:hAnsi="Arial" w:cs="Arial"/>
                <w:b/>
                <w:bCs/>
                <w:szCs w:val="22"/>
              </w:rPr>
            </w:pPr>
            <w:r w:rsidRPr="005F4440">
              <w:rPr>
                <w:rFonts w:ascii="Arial" w:eastAsia="Calibri" w:hAnsi="Arial" w:cs="Arial"/>
                <w:b/>
                <w:bCs/>
                <w:szCs w:val="22"/>
              </w:rPr>
              <w:t>Abstract</w:t>
            </w:r>
          </w:p>
          <w:p w14:paraId="64B6036D" w14:textId="03327D8D" w:rsidR="005F4440" w:rsidRPr="00BA1B01" w:rsidRDefault="00D10781" w:rsidP="0004686A">
            <w:pPr>
              <w:pStyle w:val="Body"/>
              <w:spacing w:after="0"/>
              <w:rPr>
                <w:rFonts w:ascii="Arial" w:eastAsia="Calibri" w:hAnsi="Arial" w:cs="Arial"/>
                <w:szCs w:val="22"/>
              </w:rPr>
            </w:pPr>
            <w:r w:rsidRPr="00D10781">
              <w:rPr>
                <w:rFonts w:ascii="Arial" w:eastAsia="Calibri" w:hAnsi="Arial" w:cs="Arial"/>
                <w:szCs w:val="22"/>
                <w:highlight w:val="yellow"/>
                <w:lang w:val="id-ID"/>
              </w:rPr>
              <w:t>Marine seafood like fish and shrimp is nutritionally valuable but increasingly contaminated by heavy metals from human activities, which bioaccumulate in aquatic organisms and pose ecological and human health risks.</w:t>
            </w:r>
            <w:r w:rsidR="00CE0E66">
              <w:rPr>
                <w:rFonts w:ascii="Arial" w:eastAsia="Calibri" w:hAnsi="Arial" w:cs="Arial"/>
                <w:szCs w:val="22"/>
                <w:lang w:val="id-ID"/>
              </w:rPr>
              <w:t>T</w:t>
            </w:r>
            <w:r w:rsidR="00CE0E66" w:rsidRPr="00CE0E66">
              <w:rPr>
                <w:rFonts w:ascii="Arial" w:eastAsia="Calibri" w:hAnsi="Arial" w:cs="Arial"/>
                <w:szCs w:val="22"/>
              </w:rPr>
              <w:t xml:space="preserve">his study assessed the concentrations and size-related accumulation of selected heavy metals in two commercially important shrimp species, </w:t>
            </w:r>
            <w:proofErr w:type="spellStart"/>
            <w:r w:rsidR="00CE0E66" w:rsidRPr="00CE0E66">
              <w:rPr>
                <w:rFonts w:ascii="Arial" w:eastAsia="Calibri" w:hAnsi="Arial" w:cs="Arial"/>
                <w:i/>
                <w:iCs/>
                <w:szCs w:val="22"/>
              </w:rPr>
              <w:t>Fenneropenaeus</w:t>
            </w:r>
            <w:proofErr w:type="spellEnd"/>
            <w:r w:rsidR="00CE0E66" w:rsidRPr="00CE0E66">
              <w:rPr>
                <w:rFonts w:ascii="Arial" w:eastAsia="Calibri" w:hAnsi="Arial" w:cs="Arial"/>
                <w:szCs w:val="22"/>
              </w:rPr>
              <w:t xml:space="preserve"> </w:t>
            </w:r>
            <w:proofErr w:type="spellStart"/>
            <w:r w:rsidR="00CE0E66" w:rsidRPr="00CE0E66">
              <w:rPr>
                <w:rFonts w:ascii="Arial" w:eastAsia="Calibri" w:hAnsi="Arial" w:cs="Arial"/>
                <w:i/>
                <w:iCs/>
                <w:szCs w:val="22"/>
              </w:rPr>
              <w:t>merguiensis</w:t>
            </w:r>
            <w:proofErr w:type="spellEnd"/>
            <w:r w:rsidR="00CE0E66" w:rsidRPr="00CE0E66">
              <w:rPr>
                <w:rFonts w:ascii="Arial" w:eastAsia="Calibri" w:hAnsi="Arial" w:cs="Arial"/>
                <w:szCs w:val="22"/>
              </w:rPr>
              <w:t xml:space="preserve"> (banana prawn) and </w:t>
            </w:r>
            <w:proofErr w:type="spellStart"/>
            <w:r w:rsidR="00CE0E66" w:rsidRPr="00CE0E66">
              <w:rPr>
                <w:rFonts w:ascii="Arial" w:eastAsia="Calibri" w:hAnsi="Arial" w:cs="Arial"/>
                <w:i/>
                <w:iCs/>
                <w:szCs w:val="22"/>
              </w:rPr>
              <w:t>Fenneropenaeus</w:t>
            </w:r>
            <w:proofErr w:type="spellEnd"/>
            <w:r w:rsidR="00CE0E66" w:rsidRPr="00CE0E66">
              <w:rPr>
                <w:rFonts w:ascii="Arial" w:eastAsia="Calibri" w:hAnsi="Arial" w:cs="Arial"/>
                <w:szCs w:val="22"/>
              </w:rPr>
              <w:t xml:space="preserve"> </w:t>
            </w:r>
            <w:proofErr w:type="spellStart"/>
            <w:r w:rsidR="00CE0E66" w:rsidRPr="00CE0E66">
              <w:rPr>
                <w:rFonts w:ascii="Arial" w:eastAsia="Calibri" w:hAnsi="Arial" w:cs="Arial"/>
                <w:i/>
                <w:iCs/>
                <w:szCs w:val="22"/>
              </w:rPr>
              <w:t>penicillatus</w:t>
            </w:r>
            <w:proofErr w:type="spellEnd"/>
            <w:r w:rsidR="00CE0E66" w:rsidRPr="00CE0E66">
              <w:rPr>
                <w:rFonts w:ascii="Arial" w:eastAsia="Calibri" w:hAnsi="Arial" w:cs="Arial"/>
                <w:szCs w:val="22"/>
              </w:rPr>
              <w:t xml:space="preserve"> (</w:t>
            </w:r>
            <w:proofErr w:type="spellStart"/>
            <w:r w:rsidR="00CE0E66" w:rsidRPr="00CE0E66">
              <w:rPr>
                <w:rFonts w:ascii="Arial" w:eastAsia="Calibri" w:hAnsi="Arial" w:cs="Arial"/>
                <w:szCs w:val="22"/>
              </w:rPr>
              <w:t>redtail</w:t>
            </w:r>
            <w:proofErr w:type="spellEnd"/>
            <w:r w:rsidR="00CE0E66" w:rsidRPr="00CE0E66">
              <w:rPr>
                <w:rFonts w:ascii="Arial" w:eastAsia="Calibri" w:hAnsi="Arial" w:cs="Arial"/>
                <w:szCs w:val="22"/>
              </w:rPr>
              <w:t xml:space="preserve"> shrimp), collected from Karachi Fish </w:t>
            </w:r>
            <w:proofErr w:type="spellStart"/>
            <w:r w:rsidR="00CE0E66" w:rsidRPr="00CE0E66">
              <w:rPr>
                <w:rFonts w:ascii="Arial" w:eastAsia="Calibri" w:hAnsi="Arial" w:cs="Arial"/>
                <w:szCs w:val="22"/>
              </w:rPr>
              <w:t>Harbour</w:t>
            </w:r>
            <w:proofErr w:type="spellEnd"/>
            <w:r w:rsidR="00CE0E66" w:rsidRPr="00CE0E66">
              <w:rPr>
                <w:rFonts w:ascii="Arial" w:eastAsia="Calibri" w:hAnsi="Arial" w:cs="Arial"/>
                <w:szCs w:val="22"/>
              </w:rPr>
              <w:t>, Pakistan. Muscle and exoskeleton tissues were classified into three size groups based on morphometric parameters and analyzed for aluminum (Al), lead (Pb), zinc (Zn), copper (Cu), and cadmium (Cd) using inductively coupled plasma optical emission spectrometry (ICP-OES).</w:t>
            </w:r>
            <w:r w:rsidR="00CE0E66">
              <w:rPr>
                <w:rFonts w:ascii="Arial" w:eastAsia="Calibri" w:hAnsi="Arial" w:cs="Arial"/>
                <w:szCs w:val="22"/>
                <w:lang w:val="id-ID"/>
              </w:rPr>
              <w:t xml:space="preserve"> </w:t>
            </w:r>
            <w:r w:rsidR="00CE0E66" w:rsidRPr="00CE0E66">
              <w:rPr>
                <w:rFonts w:ascii="Arial" w:eastAsia="Calibri" w:hAnsi="Arial" w:cs="Arial"/>
                <w:szCs w:val="22"/>
              </w:rPr>
              <w:t xml:space="preserve">Mean metal concentrations (µg/g) in </w:t>
            </w:r>
            <w:proofErr w:type="spellStart"/>
            <w:r w:rsidR="00CE0E66" w:rsidRPr="00CE0E66">
              <w:rPr>
                <w:rFonts w:ascii="Arial" w:eastAsia="Calibri" w:hAnsi="Arial" w:cs="Arial"/>
                <w:i/>
                <w:iCs/>
                <w:szCs w:val="22"/>
              </w:rPr>
              <w:t>Fenneropenaeus</w:t>
            </w:r>
            <w:proofErr w:type="spellEnd"/>
            <w:r w:rsidR="00CE0E66" w:rsidRPr="00CE0E66">
              <w:rPr>
                <w:rFonts w:ascii="Arial" w:eastAsia="Calibri" w:hAnsi="Arial" w:cs="Arial"/>
                <w:szCs w:val="22"/>
              </w:rPr>
              <w:t xml:space="preserve"> </w:t>
            </w:r>
            <w:proofErr w:type="spellStart"/>
            <w:r w:rsidR="00CE0E66" w:rsidRPr="00CE0E66">
              <w:rPr>
                <w:rFonts w:ascii="Arial" w:eastAsia="Calibri" w:hAnsi="Arial" w:cs="Arial"/>
                <w:i/>
                <w:iCs/>
                <w:szCs w:val="22"/>
              </w:rPr>
              <w:t>merguiensis</w:t>
            </w:r>
            <w:proofErr w:type="spellEnd"/>
            <w:r w:rsidR="00CE0E66" w:rsidRPr="00CE0E66">
              <w:rPr>
                <w:rFonts w:ascii="Arial" w:eastAsia="Calibri" w:hAnsi="Arial" w:cs="Arial"/>
                <w:szCs w:val="22"/>
              </w:rPr>
              <w:t xml:space="preserve"> muscle were 4.59±1.63 (Al), 0.37±0.23 (Pb), 21.41±8.91 (Zn), 7.47±0.87 (Cu), and 0.17±0.04 (Cd), while corresponding values in the exoskeleton were 3.50±0.72, 0.39±0.23, 25.03±11.35, 7.34±1.75, and 0.19±0.</w:t>
            </w:r>
            <w:r w:rsidR="00CE0E66">
              <w:rPr>
                <w:rFonts w:ascii="Arial" w:eastAsia="Calibri" w:hAnsi="Arial" w:cs="Arial"/>
                <w:szCs w:val="22"/>
              </w:rPr>
              <w:t xml:space="preserve">03, respectively. In </w:t>
            </w:r>
            <w:proofErr w:type="spellStart"/>
            <w:r w:rsidR="00CE0E66" w:rsidRPr="00CE0E66">
              <w:rPr>
                <w:rFonts w:ascii="Arial" w:eastAsia="Calibri" w:hAnsi="Arial" w:cs="Arial"/>
                <w:i/>
                <w:iCs/>
                <w:szCs w:val="22"/>
              </w:rPr>
              <w:t>Fenneropenaeus</w:t>
            </w:r>
            <w:proofErr w:type="spellEnd"/>
            <w:r w:rsidR="00CE0E66" w:rsidRPr="00CE0E66">
              <w:rPr>
                <w:rFonts w:ascii="Arial" w:eastAsia="Calibri" w:hAnsi="Arial" w:cs="Arial"/>
                <w:szCs w:val="22"/>
              </w:rPr>
              <w:t xml:space="preserve"> </w:t>
            </w:r>
            <w:proofErr w:type="spellStart"/>
            <w:r w:rsidR="00CE0E66" w:rsidRPr="00CE0E66">
              <w:rPr>
                <w:rFonts w:ascii="Arial" w:eastAsia="Calibri" w:hAnsi="Arial" w:cs="Arial"/>
                <w:i/>
                <w:iCs/>
                <w:szCs w:val="22"/>
              </w:rPr>
              <w:t>penicillatus</w:t>
            </w:r>
            <w:proofErr w:type="spellEnd"/>
            <w:r w:rsidR="00CE0E66" w:rsidRPr="00CE0E66">
              <w:rPr>
                <w:rFonts w:ascii="Arial" w:eastAsia="Calibri" w:hAnsi="Arial" w:cs="Arial"/>
                <w:szCs w:val="22"/>
              </w:rPr>
              <w:t>, higher concentrations were observed in muscle (11.18±1.27, 1.12±0.26, 60.04±25.07, 15.68±0.38, and 0.26±0.09 µg/g for Al, Pb, Zn, Cu, and Cd, respectively) and exoskeleton (9.58±1.42, 1.23±0.10, 61.59±25.45, 17.78±0.85, and 0.28±0.09 µg/g, respectively). A positive correlation between size and metal accumulation was evident in both species. Comparison with international permissible limits indic</w:t>
            </w:r>
            <w:r w:rsidR="00CE0E66">
              <w:rPr>
                <w:rFonts w:ascii="Arial" w:eastAsia="Calibri" w:hAnsi="Arial" w:cs="Arial"/>
                <w:szCs w:val="22"/>
              </w:rPr>
              <w:t xml:space="preserve">ated that Pb and Cd levels in </w:t>
            </w:r>
            <w:proofErr w:type="spellStart"/>
            <w:r w:rsidR="00CE0E66" w:rsidRPr="00CE0E66">
              <w:rPr>
                <w:rFonts w:ascii="Arial" w:eastAsia="Calibri" w:hAnsi="Arial" w:cs="Arial"/>
                <w:i/>
                <w:iCs/>
                <w:szCs w:val="22"/>
              </w:rPr>
              <w:t>Fenneropenaeus</w:t>
            </w:r>
            <w:proofErr w:type="spellEnd"/>
            <w:r w:rsidR="00CE0E66" w:rsidRPr="00CE0E66">
              <w:rPr>
                <w:rFonts w:ascii="Arial" w:eastAsia="Calibri" w:hAnsi="Arial" w:cs="Arial"/>
                <w:szCs w:val="22"/>
              </w:rPr>
              <w:t xml:space="preserve"> </w:t>
            </w:r>
            <w:proofErr w:type="spellStart"/>
            <w:r w:rsidR="00CE0E66" w:rsidRPr="00CE0E66">
              <w:rPr>
                <w:rFonts w:ascii="Arial" w:eastAsia="Calibri" w:hAnsi="Arial" w:cs="Arial"/>
                <w:i/>
                <w:iCs/>
                <w:szCs w:val="22"/>
              </w:rPr>
              <w:t>penicillatus</w:t>
            </w:r>
            <w:proofErr w:type="spellEnd"/>
            <w:r w:rsidR="00CE0E66" w:rsidRPr="00CE0E66">
              <w:rPr>
                <w:rFonts w:ascii="Arial" w:eastAsia="Calibri" w:hAnsi="Arial" w:cs="Arial"/>
                <w:szCs w:val="22"/>
              </w:rPr>
              <w:t xml:space="preserve"> muscle approached or marginally exceeded recommended thresholds, whereas other metals remained within acceptable ranges. These findings demonstrate species- and size-dependent variation in metal accumulation and highlight potential food sa</w:t>
            </w:r>
            <w:r w:rsidR="00CE0E66">
              <w:rPr>
                <w:rFonts w:ascii="Arial" w:eastAsia="Calibri" w:hAnsi="Arial" w:cs="Arial"/>
                <w:szCs w:val="22"/>
              </w:rPr>
              <w:t xml:space="preserve">fety concerns associated with </w:t>
            </w:r>
            <w:proofErr w:type="spellStart"/>
            <w:r w:rsidR="00CE0E66" w:rsidRPr="00CE0E66">
              <w:rPr>
                <w:rFonts w:ascii="Arial" w:eastAsia="Calibri" w:hAnsi="Arial" w:cs="Arial"/>
                <w:i/>
                <w:iCs/>
                <w:szCs w:val="22"/>
              </w:rPr>
              <w:t>Fenneropenaeus</w:t>
            </w:r>
            <w:proofErr w:type="spellEnd"/>
            <w:r w:rsidR="00CE0E66" w:rsidRPr="00CE0E66">
              <w:rPr>
                <w:rFonts w:ascii="Arial" w:eastAsia="Calibri" w:hAnsi="Arial" w:cs="Arial"/>
                <w:szCs w:val="22"/>
              </w:rPr>
              <w:t xml:space="preserve"> </w:t>
            </w:r>
            <w:proofErr w:type="spellStart"/>
            <w:r w:rsidR="00CE0E66" w:rsidRPr="00CE0E66">
              <w:rPr>
                <w:rFonts w:ascii="Arial" w:eastAsia="Calibri" w:hAnsi="Arial" w:cs="Arial"/>
                <w:i/>
                <w:iCs/>
                <w:szCs w:val="22"/>
              </w:rPr>
              <w:t>penicillatus</w:t>
            </w:r>
            <w:proofErr w:type="spellEnd"/>
            <w:r w:rsidR="00CE0E66" w:rsidRPr="00CE0E66">
              <w:rPr>
                <w:rFonts w:ascii="Arial" w:eastAsia="Calibri" w:hAnsi="Arial" w:cs="Arial"/>
                <w:szCs w:val="22"/>
              </w:rPr>
              <w:t>. Continuous monitoring of heavy metals in shrimp from this region is recommended to safeguard public health and support sustainable fisheries management.</w:t>
            </w:r>
          </w:p>
        </w:tc>
      </w:tr>
    </w:tbl>
    <w:p w14:paraId="7DB33F99" w14:textId="44AFFDCA" w:rsidR="00817000" w:rsidRPr="00374CC2" w:rsidRDefault="00817000" w:rsidP="0004686A">
      <w:pPr>
        <w:jc w:val="both"/>
        <w:rPr>
          <w:rFonts w:ascii="Times New Roman" w:hAnsi="Times New Roman" w:cs="Times New Roman"/>
          <w:sz w:val="24"/>
          <w:szCs w:val="24"/>
        </w:rPr>
      </w:pPr>
      <w:r w:rsidRPr="009F253B">
        <w:rPr>
          <w:rFonts w:ascii="Arial" w:hAnsi="Arial" w:cs="Arial"/>
          <w:b/>
          <w:bCs/>
          <w:sz w:val="20"/>
          <w:szCs w:val="20"/>
        </w:rPr>
        <w:t xml:space="preserve">Keywords: </w:t>
      </w:r>
      <w:r w:rsidR="00644957" w:rsidRPr="009F253B">
        <w:rPr>
          <w:rFonts w:ascii="Arial" w:hAnsi="Arial" w:cs="Arial"/>
          <w:i/>
          <w:iCs/>
          <w:sz w:val="20"/>
          <w:szCs w:val="20"/>
        </w:rPr>
        <w:t>Heavy metal</w:t>
      </w:r>
      <w:r w:rsidRPr="009F253B">
        <w:rPr>
          <w:rFonts w:ascii="Arial" w:hAnsi="Arial" w:cs="Arial"/>
          <w:i/>
          <w:iCs/>
          <w:sz w:val="20"/>
          <w:szCs w:val="20"/>
        </w:rPr>
        <w:t xml:space="preserve">, </w:t>
      </w:r>
      <w:r w:rsidR="00644957" w:rsidRPr="009F253B">
        <w:rPr>
          <w:rFonts w:ascii="Arial" w:hAnsi="Arial" w:cs="Arial"/>
          <w:i/>
          <w:iCs/>
          <w:sz w:val="20"/>
          <w:szCs w:val="20"/>
        </w:rPr>
        <w:t>Fenneropenaeus merguiensis</w:t>
      </w:r>
      <w:r w:rsidRPr="009F253B">
        <w:rPr>
          <w:rFonts w:ascii="Arial" w:hAnsi="Arial" w:cs="Arial"/>
          <w:i/>
          <w:iCs/>
          <w:sz w:val="20"/>
          <w:szCs w:val="20"/>
        </w:rPr>
        <w:t xml:space="preserve">, </w:t>
      </w:r>
      <w:r w:rsidR="00644957" w:rsidRPr="009F253B">
        <w:rPr>
          <w:rFonts w:ascii="Arial" w:hAnsi="Arial" w:cs="Arial"/>
          <w:i/>
          <w:iCs/>
          <w:sz w:val="20"/>
          <w:szCs w:val="20"/>
        </w:rPr>
        <w:t>Fenneropenaeus penicillatus, Karachi Fish Harbour</w:t>
      </w:r>
    </w:p>
    <w:p w14:paraId="609BC7CB" w14:textId="77777777" w:rsidR="00397DBC" w:rsidRPr="00E706DF" w:rsidRDefault="00CF506B" w:rsidP="0004686A">
      <w:pPr>
        <w:jc w:val="both"/>
        <w:rPr>
          <w:rFonts w:ascii="Arial" w:hAnsi="Arial" w:cs="Arial"/>
          <w:b/>
          <w:bCs/>
          <w:lang w:val="en-GB"/>
        </w:rPr>
      </w:pPr>
      <w:r>
        <w:rPr>
          <w:rFonts w:ascii="Arial" w:hAnsi="Arial" w:cs="Arial"/>
          <w:b/>
          <w:bCs/>
        </w:rPr>
        <w:t xml:space="preserve">1. </w:t>
      </w:r>
      <w:r w:rsidR="00E706DF" w:rsidRPr="00E706DF">
        <w:rPr>
          <w:rFonts w:ascii="Arial" w:hAnsi="Arial" w:cs="Arial"/>
          <w:b/>
          <w:bCs/>
          <w:lang w:val="en-GB"/>
        </w:rPr>
        <w:t>INTRODUCTION</w:t>
      </w:r>
    </w:p>
    <w:p w14:paraId="1EB5EFF1" w14:textId="68121464" w:rsidR="0004686A" w:rsidRDefault="0004686A" w:rsidP="0004686A">
      <w:pPr>
        <w:pStyle w:val="NormalWeb"/>
        <w:jc w:val="both"/>
      </w:pPr>
      <w:r>
        <w:t>Marine fish and shellfish constitute important components of global seafood consumption, with production for human use increasing by approximately 8% annually in recent years (</w:t>
      </w:r>
      <w:proofErr w:type="spellStart"/>
      <w:r>
        <w:t>Glamuzina</w:t>
      </w:r>
      <w:proofErr w:type="spellEnd"/>
      <w:r>
        <w:t xml:space="preserve">, 2009; Bogdanovic et al., 2014; </w:t>
      </w:r>
      <w:proofErr w:type="spellStart"/>
      <w:r>
        <w:t>Saher</w:t>
      </w:r>
      <w:proofErr w:type="spellEnd"/>
      <w:r>
        <w:t xml:space="preserve"> and </w:t>
      </w:r>
      <w:proofErr w:type="spellStart"/>
      <w:r>
        <w:t>Kanwal</w:t>
      </w:r>
      <w:proofErr w:type="spellEnd"/>
      <w:r>
        <w:t xml:space="preserve">, 2019). Seafood is </w:t>
      </w:r>
      <w:proofErr w:type="spellStart"/>
      <w:r>
        <w:t>recognised</w:t>
      </w:r>
      <w:proofErr w:type="spellEnd"/>
      <w:r>
        <w:t xml:space="preserve"> as a valuable source of high-quality protein, essential amino acids, vitamin D, and polyunsaturated fatty acids (PUFAs), all of which contribute to improved human health. However, a major concern associated with shellfish consumption is the presence of contaminants, particularly heavy metals such as cadmium, lead, copper, and zinc (Ginsberg and </w:t>
      </w:r>
      <w:proofErr w:type="spellStart"/>
      <w:r>
        <w:t>Toal</w:t>
      </w:r>
      <w:proofErr w:type="spellEnd"/>
      <w:r>
        <w:t>, 2009).</w:t>
      </w:r>
      <w:r>
        <w:t xml:space="preserve"> </w:t>
      </w:r>
      <w:r>
        <w:t>Marine organisms have the capacity to accumulate contaminants from their surrounding environment, making them useful bioindicators of coastal water quality and the biological effects of pollution (</w:t>
      </w:r>
      <w:proofErr w:type="spellStart"/>
      <w:r>
        <w:t>Baboli</w:t>
      </w:r>
      <w:proofErr w:type="spellEnd"/>
      <w:r>
        <w:t xml:space="preserve"> and </w:t>
      </w:r>
      <w:proofErr w:type="spellStart"/>
      <w:r>
        <w:t>Velayatzadeh</w:t>
      </w:r>
      <w:proofErr w:type="spellEnd"/>
      <w:r>
        <w:t xml:space="preserve">, 2013). Although heavy metals naturally occur in aquatic environments at low concentrations, their levels have increased significantly due to anthropogenic activities, including industrial discharge, agricultural runoff, mining, and atmospheric deposition (Langston, 1990; Bryan and Langston, 1992; Sulieman and Suliman, 2019; </w:t>
      </w:r>
      <w:proofErr w:type="spellStart"/>
      <w:r>
        <w:t>Abougabal</w:t>
      </w:r>
      <w:proofErr w:type="spellEnd"/>
      <w:r>
        <w:t xml:space="preserve"> et al., 2020). The intensification of agricultural and industrial activities has therefore contributed to the growing contamination of aquatic ecosystems, with heavy metals representing a major class of persistent and ecologically harmful pollutants (</w:t>
      </w:r>
      <w:proofErr w:type="spellStart"/>
      <w:r>
        <w:t>Aytekin</w:t>
      </w:r>
      <w:proofErr w:type="spellEnd"/>
      <w:r>
        <w:t xml:space="preserve"> et al., 2019).</w:t>
      </w:r>
    </w:p>
    <w:p w14:paraId="0CBD92EF" w14:textId="71FD21FC" w:rsidR="0004686A" w:rsidRDefault="0004686A" w:rsidP="0004686A">
      <w:pPr>
        <w:pStyle w:val="NormalWeb"/>
        <w:jc w:val="both"/>
      </w:pPr>
      <w:r>
        <w:lastRenderedPageBreak/>
        <w:t>Heavy metals are particularly concerning due to their persistence, non-biodegradability, and ability to bioaccumulate within aquatic organisms, posing risks to both ecosystem health and human consumers. Industrial and domestic effluents have been identified as major sources of heavy metal contamination, contributing to increasing pollutant levels in both aquatic and terrestrial environments (</w:t>
      </w:r>
      <w:proofErr w:type="spellStart"/>
      <w:r>
        <w:t>Jibiri</w:t>
      </w:r>
      <w:proofErr w:type="spellEnd"/>
      <w:r>
        <w:t xml:space="preserve"> and </w:t>
      </w:r>
      <w:proofErr w:type="spellStart"/>
      <w:r>
        <w:t>Adewuyi</w:t>
      </w:r>
      <w:proofErr w:type="spellEnd"/>
      <w:r>
        <w:t xml:space="preserve">, 2008). Crustaceans, especially shrimp, are highly susceptible to metal accumulation owing to their benthic feeding </w:t>
      </w:r>
      <w:proofErr w:type="spellStart"/>
      <w:r>
        <w:t>behaviour</w:t>
      </w:r>
      <w:proofErr w:type="spellEnd"/>
      <w:r>
        <w:t xml:space="preserve"> and close association with sediments. Recent studies indicate that the extent of bioaccumulation is influenced by factors such as species characteristics, habitat conditions, and trophic interactions (Nkansah et al., 2024).</w:t>
      </w:r>
      <w:r>
        <w:t xml:space="preserve"> </w:t>
      </w:r>
      <w:r>
        <w:t>Heavy metals enter aquatic organisms through ingestion of contaminated water and food, as well as through diffusion across permeable membranes such as the skin. The concentration of metals in fish and shrimp tissues often reflects environmental levels, although bioaccumulation in certain organs may exceed those levels. Toxic effects arise when the rate of metal uptake surpasses the organism’s capacity for metabolism, storage, and detoxification (</w:t>
      </w:r>
      <w:proofErr w:type="spellStart"/>
      <w:r>
        <w:t>Rajeshkumar</w:t>
      </w:r>
      <w:proofErr w:type="spellEnd"/>
      <w:r>
        <w:t xml:space="preserve"> and Li, 2018). Numerous studies have identified metals such as </w:t>
      </w:r>
      <w:proofErr w:type="spellStart"/>
      <w:r>
        <w:t>aluminium</w:t>
      </w:r>
      <w:proofErr w:type="spellEnd"/>
      <w:r>
        <w:t>, lead, zinc, copper, and cadmium as significant contaminants in aquatic systems, with harmful effects on aquatic organisms (</w:t>
      </w:r>
      <w:proofErr w:type="spellStart"/>
      <w:r>
        <w:t>Rashed</w:t>
      </w:r>
      <w:proofErr w:type="spellEnd"/>
      <w:r>
        <w:t xml:space="preserve">, 2001; </w:t>
      </w:r>
      <w:proofErr w:type="spellStart"/>
      <w:r>
        <w:t>Rajeshkumar</w:t>
      </w:r>
      <w:proofErr w:type="spellEnd"/>
      <w:r>
        <w:t xml:space="preserve"> and Li, 2018). Higher trophic-level organisms, including fish, shrimp, and crabs, tend to accumulate greater concentrations of these elements due to biomagnification processes (Lambert and Leven, 2000; </w:t>
      </w:r>
      <w:proofErr w:type="spellStart"/>
      <w:r>
        <w:t>Tüzen</w:t>
      </w:r>
      <w:proofErr w:type="spellEnd"/>
      <w:r>
        <w:t>, 2003).</w:t>
      </w:r>
      <w:r>
        <w:t xml:space="preserve"> </w:t>
      </w:r>
      <w:r>
        <w:t>The accumulation of heavy metals in aquatic organisms has direct implications for human health, as these contaminants can be transferred through the food chain. Consumption of contaminated seafood may lead to adverse health effects, including physiological and metabolic disturbances (</w:t>
      </w:r>
      <w:proofErr w:type="spellStart"/>
      <w:r>
        <w:t>Alinnor</w:t>
      </w:r>
      <w:proofErr w:type="spellEnd"/>
      <w:r>
        <w:t xml:space="preserve"> and </w:t>
      </w:r>
      <w:proofErr w:type="spellStart"/>
      <w:r>
        <w:t>Obiji</w:t>
      </w:r>
      <w:proofErr w:type="spellEnd"/>
      <w:r>
        <w:t xml:space="preserve">, 2010; Raja et al., 2009). Emerging evidence further suggests that interactions between heavy metals and other pollutants may enhance toxicity and bioavailability, leading to oxidative stress and physiological impairments in aquatic species. Additionally, dietary exposure through seafood remains a primary pathway for human intake of toxic metals, particularly in coastal populations with high seafood consumption (Derrick, 2025; Ray and </w:t>
      </w:r>
      <w:proofErr w:type="spellStart"/>
      <w:r>
        <w:t>Vashishth</w:t>
      </w:r>
      <w:proofErr w:type="spellEnd"/>
      <w:r>
        <w:t>, 2026).</w:t>
      </w:r>
      <w:r>
        <w:t xml:space="preserve"> </w:t>
      </w:r>
      <w:r>
        <w:t xml:space="preserve">The extent of heavy metal accumulation in aquatic organisms is influenced by various environmental factors, including pH, temperature, alkalinity, pollutant type, and sampling location (Miri et al., 2017; Fakhri et al., 2018). Heavy metal contamination can also alter the physicochemical properties of aquatic environments and disrupt biological functions, including </w:t>
      </w:r>
      <w:proofErr w:type="spellStart"/>
      <w:r>
        <w:t>behaviour</w:t>
      </w:r>
      <w:proofErr w:type="spellEnd"/>
      <w:r>
        <w:t>, physiology, blood parameters, cellular structure, ionic balance, carbohydrate metabolism, and liver function (</w:t>
      </w:r>
      <w:proofErr w:type="spellStart"/>
      <w:r>
        <w:t>Oikari</w:t>
      </w:r>
      <w:proofErr w:type="spellEnd"/>
      <w:r>
        <w:t xml:space="preserve"> and </w:t>
      </w:r>
      <w:proofErr w:type="spellStart"/>
      <w:r>
        <w:t>Soivio</w:t>
      </w:r>
      <w:proofErr w:type="spellEnd"/>
      <w:r>
        <w:t xml:space="preserve">, 1976; </w:t>
      </w:r>
      <w:proofErr w:type="spellStart"/>
      <w:r>
        <w:t>Oikari</w:t>
      </w:r>
      <w:proofErr w:type="spellEnd"/>
      <w:r>
        <w:t xml:space="preserve"> and </w:t>
      </w:r>
      <w:proofErr w:type="spellStart"/>
      <w:r>
        <w:t>Nakari</w:t>
      </w:r>
      <w:proofErr w:type="spellEnd"/>
      <w:r>
        <w:t>, 1982).</w:t>
      </w:r>
    </w:p>
    <w:p w14:paraId="11B00022" w14:textId="025E1D78" w:rsidR="0004686A" w:rsidRDefault="0004686A" w:rsidP="0004686A">
      <w:pPr>
        <w:pStyle w:val="NormalWeb"/>
        <w:jc w:val="both"/>
      </w:pPr>
      <w:r>
        <w:t xml:space="preserve">Metals are generally classified as essential or non-essential based on their biological roles. Non-essential metals, such as </w:t>
      </w:r>
      <w:proofErr w:type="spellStart"/>
      <w:r>
        <w:t>aluminium</w:t>
      </w:r>
      <w:proofErr w:type="spellEnd"/>
      <w:r>
        <w:t xml:space="preserve"> (Al), cadmium (Cd), and lead (Pb), have no known physiological function and exhibit toxicity even at low concentrations. In contrast, essential metals such as copper (Cu) and zinc (Zn) play important biological roles but may become toxic at elevated concentrations or under conditions of metabolic imbalance (</w:t>
      </w:r>
      <w:proofErr w:type="spellStart"/>
      <w:r>
        <w:t>Sfakianakis</w:t>
      </w:r>
      <w:proofErr w:type="spellEnd"/>
      <w:r>
        <w:t xml:space="preserve"> et al., 2015). Both deficiency and excess of essential metals can lead to adverse health effects (Kennedy, 2011).</w:t>
      </w:r>
      <w:r>
        <w:t xml:space="preserve"> </w:t>
      </w:r>
      <w:r>
        <w:t>Common heavy metals detected in aquatic organisms include cadmium, lead, mercury, zinc, copper, nickel, cobalt, molybdenum, chromium, and tin. Among these, cadmium, copper, lead, zinc, mercury, and chromium are most frequently associated with physiological abnormalities in fish. Given the commercial importance of prawns and shrimp for both domestic consumption and export markets, monitoring heavy metal contamination is essential. Therefore, the present study was conducted to assess the levels of metal contamination in the muscle tissue and exoskeleton of banana prawn (</w:t>
      </w:r>
      <w:proofErr w:type="spellStart"/>
      <w:r>
        <w:rPr>
          <w:rStyle w:val="Emphasis"/>
        </w:rPr>
        <w:t>Fenneropenaeus</w:t>
      </w:r>
      <w:proofErr w:type="spellEnd"/>
      <w:r>
        <w:rPr>
          <w:rStyle w:val="Emphasis"/>
        </w:rPr>
        <w:t xml:space="preserve"> </w:t>
      </w:r>
      <w:proofErr w:type="spellStart"/>
      <w:r>
        <w:rPr>
          <w:rStyle w:val="Emphasis"/>
        </w:rPr>
        <w:t>merguiensis</w:t>
      </w:r>
      <w:proofErr w:type="spellEnd"/>
      <w:r>
        <w:t xml:space="preserve">) and </w:t>
      </w:r>
      <w:proofErr w:type="spellStart"/>
      <w:r>
        <w:t>redtail</w:t>
      </w:r>
      <w:proofErr w:type="spellEnd"/>
      <w:r>
        <w:t xml:space="preserve"> shrimp (</w:t>
      </w:r>
      <w:proofErr w:type="spellStart"/>
      <w:r>
        <w:rPr>
          <w:rStyle w:val="Emphasis"/>
        </w:rPr>
        <w:t>Fenneropenaeus</w:t>
      </w:r>
      <w:proofErr w:type="spellEnd"/>
      <w:r>
        <w:rPr>
          <w:rStyle w:val="Emphasis"/>
        </w:rPr>
        <w:t xml:space="preserve"> </w:t>
      </w:r>
      <w:proofErr w:type="spellStart"/>
      <w:r>
        <w:rPr>
          <w:rStyle w:val="Emphasis"/>
        </w:rPr>
        <w:t>penicillatus</w:t>
      </w:r>
      <w:proofErr w:type="spellEnd"/>
      <w:r>
        <w:t xml:space="preserve">) collected from Karachi Fish </w:t>
      </w:r>
      <w:proofErr w:type="spellStart"/>
      <w:r>
        <w:t>Harbour</w:t>
      </w:r>
      <w:proofErr w:type="spellEnd"/>
      <w:r>
        <w:t>, Karachi, Pakistan.</w:t>
      </w:r>
    </w:p>
    <w:p w14:paraId="433F55AF" w14:textId="77777777" w:rsidR="00655727" w:rsidRPr="002C7572" w:rsidRDefault="00CF506B" w:rsidP="0004686A">
      <w:pPr>
        <w:tabs>
          <w:tab w:val="left" w:pos="2880"/>
        </w:tabs>
        <w:spacing w:line="480" w:lineRule="auto"/>
        <w:jc w:val="both"/>
        <w:rPr>
          <w:rFonts w:ascii="Arial" w:hAnsi="Arial" w:cs="Arial"/>
        </w:rPr>
      </w:pPr>
      <w:r>
        <w:rPr>
          <w:rFonts w:ascii="Arial" w:hAnsi="Arial" w:cs="Arial"/>
          <w:b/>
          <w:bCs/>
        </w:rPr>
        <w:lastRenderedPageBreak/>
        <w:t xml:space="preserve">2. </w:t>
      </w:r>
      <w:r w:rsidR="002C7572" w:rsidRPr="002C7572">
        <w:rPr>
          <w:rFonts w:ascii="Arial" w:hAnsi="Arial" w:cs="Arial"/>
          <w:b/>
          <w:bCs/>
        </w:rPr>
        <w:t>MATERIALS AND METHODS</w:t>
      </w:r>
    </w:p>
    <w:p w14:paraId="6FC6EC52" w14:textId="77777777" w:rsidR="00655727" w:rsidRPr="00031E88" w:rsidRDefault="00031E88" w:rsidP="0004686A">
      <w:pPr>
        <w:tabs>
          <w:tab w:val="left" w:pos="2880"/>
        </w:tabs>
        <w:spacing w:line="480" w:lineRule="auto"/>
        <w:jc w:val="both"/>
        <w:rPr>
          <w:rFonts w:ascii="Arial" w:hAnsi="Arial" w:cs="Arial"/>
          <w:b/>
          <w:bCs/>
        </w:rPr>
      </w:pPr>
      <w:r w:rsidRPr="00031E88">
        <w:rPr>
          <w:rFonts w:ascii="Arial" w:hAnsi="Arial" w:cs="Arial"/>
          <w:b/>
          <w:bCs/>
        </w:rPr>
        <w:t xml:space="preserve">2.1 </w:t>
      </w:r>
      <w:r w:rsidR="00655727" w:rsidRPr="00031E88">
        <w:rPr>
          <w:rFonts w:ascii="Arial" w:hAnsi="Arial" w:cs="Arial"/>
          <w:b/>
          <w:bCs/>
        </w:rPr>
        <w:t>Sampling for heavy metals determination</w:t>
      </w:r>
    </w:p>
    <w:p w14:paraId="27A2F6A1" w14:textId="391CA638" w:rsidR="0004686A" w:rsidRDefault="0004686A" w:rsidP="0004686A">
      <w:pPr>
        <w:pStyle w:val="NormalWeb"/>
        <w:jc w:val="both"/>
      </w:pPr>
      <w:r>
        <w:t>Banana prawn (</w:t>
      </w:r>
      <w:proofErr w:type="spellStart"/>
      <w:r>
        <w:rPr>
          <w:rStyle w:val="Emphasis"/>
        </w:rPr>
        <w:t>Fenneropenaeus</w:t>
      </w:r>
      <w:proofErr w:type="spellEnd"/>
      <w:r>
        <w:rPr>
          <w:rStyle w:val="Emphasis"/>
        </w:rPr>
        <w:t xml:space="preserve"> </w:t>
      </w:r>
      <w:proofErr w:type="spellStart"/>
      <w:r>
        <w:rPr>
          <w:rStyle w:val="Emphasis"/>
        </w:rPr>
        <w:t>merguiensis</w:t>
      </w:r>
      <w:proofErr w:type="spellEnd"/>
      <w:r>
        <w:t xml:space="preserve">) and </w:t>
      </w:r>
      <w:proofErr w:type="spellStart"/>
      <w:r>
        <w:t>redtail</w:t>
      </w:r>
      <w:proofErr w:type="spellEnd"/>
      <w:r>
        <w:t xml:space="preserve"> shrimp (</w:t>
      </w:r>
      <w:proofErr w:type="spellStart"/>
      <w:r>
        <w:rPr>
          <w:rStyle w:val="Emphasis"/>
        </w:rPr>
        <w:t>Fenneropenaeus</w:t>
      </w:r>
      <w:proofErr w:type="spellEnd"/>
      <w:r>
        <w:rPr>
          <w:rStyle w:val="Emphasis"/>
        </w:rPr>
        <w:t xml:space="preserve"> </w:t>
      </w:r>
      <w:proofErr w:type="spellStart"/>
      <w:r>
        <w:rPr>
          <w:rStyle w:val="Emphasis"/>
        </w:rPr>
        <w:t>penicillatus</w:t>
      </w:r>
      <w:proofErr w:type="spellEnd"/>
      <w:r>
        <w:t xml:space="preserve">) were collected from Karachi Fish </w:t>
      </w:r>
      <w:proofErr w:type="spellStart"/>
      <w:r>
        <w:t>Harbour</w:t>
      </w:r>
      <w:proofErr w:type="spellEnd"/>
      <w:r>
        <w:t>, Karachi, Pakistan. The samples were placed in clean, zip-sealed polythene bags and transported to the research facility at the International Center for Chemical and Biological Sciences (ICCBS), University of Karachi, in an ice-filled polystyrene container to maintain sample integrity.</w:t>
      </w:r>
      <w:r>
        <w:t xml:space="preserve"> </w:t>
      </w:r>
      <w:r>
        <w:t xml:space="preserve">Upon arrival, the specimens were cleaned to remove adhering debris and stored in a freezer at −20 °C in the Industrial Analytical Center (IAC) laboratory to </w:t>
      </w:r>
      <w:proofErr w:type="spellStart"/>
      <w:r>
        <w:t>minimise</w:t>
      </w:r>
      <w:proofErr w:type="spellEnd"/>
      <w:r>
        <w:t xml:space="preserve"> organic degradation prior to analysis. The specimens were then sorted according to their weight and size, as presented in Table 1. Before dissection, the samples were rinsed thoroughly with distilled water. Muscle tissue and exoskeleton were carefully isolated using stainless-steel scissors, forceps, and sharpened blades.</w:t>
      </w:r>
    </w:p>
    <w:p w14:paraId="6B7D93F9" w14:textId="6F316E15" w:rsidR="0004686A" w:rsidRDefault="0004686A" w:rsidP="0004686A">
      <w:pPr>
        <w:pStyle w:val="NormalWeb"/>
        <w:jc w:val="both"/>
      </w:pPr>
      <w:r>
        <w:t xml:space="preserve">The dissected samples were further washed with Milli-Q water, oven-dried at 80 °C for 12 hours, and subsequently ground into a fine powder using a mortar and pestle. The dried tissue powder was accurately weighed (1 g) and transferred into glass digestion vessels. A mixture of concentrated acids (10 mL; 60% HNO₃ and 70% </w:t>
      </w:r>
      <w:proofErr w:type="spellStart"/>
      <w:r>
        <w:t>HClO</w:t>
      </w:r>
      <w:proofErr w:type="spellEnd"/>
      <w:r>
        <w:t xml:space="preserve">₄) was added, and the samples were left at room temperature for 12 hours for initial digestion. Thereafter, the samples were gradually heated to 180 °C until the volume was reduced to approximately 2–3 </w:t>
      </w:r>
      <w:proofErr w:type="spellStart"/>
      <w:r>
        <w:t>mL.</w:t>
      </w:r>
      <w:proofErr w:type="spellEnd"/>
      <w:r>
        <w:t xml:space="preserve"> </w:t>
      </w:r>
      <w:r>
        <w:t xml:space="preserve">Following digestion, each sample was filtered and diluted to a final volume of 25 mL using Milli-Q water. The concentrations of heavy metals were then determined using Inductively Coupled Plasma Optical Emission Spectrometry (ICP-OES; </w:t>
      </w:r>
      <w:proofErr w:type="spellStart"/>
      <w:r>
        <w:t>Avio</w:t>
      </w:r>
      <w:proofErr w:type="spellEnd"/>
      <w:r>
        <w:t>™ 500, PerkinElmer, USA).</w:t>
      </w:r>
    </w:p>
    <w:p w14:paraId="62DE0A0F" w14:textId="77777777" w:rsidR="008927CD" w:rsidRPr="004E0A61" w:rsidRDefault="004E0A61" w:rsidP="0004686A">
      <w:pPr>
        <w:spacing w:line="240" w:lineRule="auto"/>
        <w:jc w:val="both"/>
        <w:rPr>
          <w:rFonts w:ascii="Arial" w:hAnsi="Arial" w:cs="Arial"/>
          <w:b/>
          <w:bCs/>
        </w:rPr>
      </w:pPr>
      <w:r w:rsidRPr="004E0A61">
        <w:rPr>
          <w:rFonts w:ascii="Arial" w:hAnsi="Arial" w:cs="Arial"/>
          <w:b/>
          <w:bCs/>
        </w:rPr>
        <w:t xml:space="preserve">2.2 </w:t>
      </w:r>
      <w:r w:rsidR="008927CD" w:rsidRPr="004E0A61">
        <w:rPr>
          <w:rFonts w:ascii="Arial" w:hAnsi="Arial" w:cs="Arial"/>
          <w:b/>
          <w:bCs/>
        </w:rPr>
        <w:t>Calibration</w:t>
      </w:r>
    </w:p>
    <w:p w14:paraId="27D7F9CC" w14:textId="77777777" w:rsidR="0004686A" w:rsidRDefault="0004686A" w:rsidP="0004686A">
      <w:pPr>
        <w:pStyle w:val="NormalWeb"/>
      </w:pPr>
      <w:r>
        <w:t xml:space="preserve">Calibration of elemental concentrations using inductively coupled plasma optical emission spectrometry (ICP-OES) was performed with a series of standards and blanks. A matrix-matched solution of 1% nitric acid was employed as the calibration medium, with calibration ranges spanning 0–5 ppm for all </w:t>
      </w:r>
      <w:proofErr w:type="spellStart"/>
      <w:r>
        <w:t>analysed</w:t>
      </w:r>
      <w:proofErr w:type="spellEnd"/>
      <w:r>
        <w:t xml:space="preserve"> elements. Standard solutions used for calibration curve preparation included concentrations of 0.01, 0.05, 0.1, 0.5, and 2 ppm, in accordance with established procedures (Taylor, 2001; Hoenig, 2001).</w:t>
      </w:r>
    </w:p>
    <w:p w14:paraId="7B34BB82" w14:textId="072D7CA4" w:rsidR="00614CDD" w:rsidRPr="0004686A" w:rsidRDefault="0004686A" w:rsidP="0004686A">
      <w:pPr>
        <w:pStyle w:val="NormalWeb"/>
      </w:pPr>
      <w:r>
        <w:t xml:space="preserve">In addition, calibration equations were constructed using standards at concentrations of 0, 10, 25, 50, 75, and 100 ppb. Internal standards were added to calibration solutions, blanks, and samples to act as </w:t>
      </w:r>
      <w:proofErr w:type="spellStart"/>
      <w:r>
        <w:t>ionisation</w:t>
      </w:r>
      <w:proofErr w:type="spellEnd"/>
      <w:r>
        <w:t xml:space="preserve"> buffers and to monitor potential analytical variations during measurement. For ICP-OES analysis, yttrium (Y) and </w:t>
      </w:r>
      <w:proofErr w:type="spellStart"/>
      <w:r>
        <w:t>caesium</w:t>
      </w:r>
      <w:proofErr w:type="spellEnd"/>
      <w:r>
        <w:t xml:space="preserve"> (Cs) were </w:t>
      </w:r>
      <w:proofErr w:type="spellStart"/>
      <w:r>
        <w:t>utilised</w:t>
      </w:r>
      <w:proofErr w:type="spellEnd"/>
      <w:r>
        <w:t xml:space="preserve"> as internal standards (Sneddon and Vincent, 2008).</w:t>
      </w:r>
    </w:p>
    <w:p w14:paraId="310A772B" w14:textId="77777777" w:rsidR="008927CD" w:rsidRPr="00031E88" w:rsidRDefault="006F5E5C" w:rsidP="0004686A">
      <w:pPr>
        <w:spacing w:line="240" w:lineRule="auto"/>
        <w:jc w:val="both"/>
        <w:rPr>
          <w:rFonts w:ascii="Arial" w:hAnsi="Arial" w:cs="Arial"/>
          <w:b/>
          <w:bCs/>
          <w:sz w:val="20"/>
          <w:szCs w:val="20"/>
        </w:rPr>
      </w:pPr>
      <w:r>
        <w:rPr>
          <w:rFonts w:ascii="Arial" w:hAnsi="Arial" w:cs="Arial"/>
          <w:b/>
          <w:bCs/>
        </w:rPr>
        <w:t xml:space="preserve">2.3 </w:t>
      </w:r>
      <w:r w:rsidR="008927CD" w:rsidRPr="006F5E5C">
        <w:rPr>
          <w:rFonts w:ascii="Arial" w:hAnsi="Arial" w:cs="Arial"/>
          <w:b/>
          <w:bCs/>
        </w:rPr>
        <w:t>Instrumentation</w:t>
      </w:r>
    </w:p>
    <w:p w14:paraId="798A79B8" w14:textId="77777777" w:rsidR="00614CDD" w:rsidRPr="00031E88" w:rsidRDefault="008927CD" w:rsidP="0004686A">
      <w:pPr>
        <w:spacing w:line="240" w:lineRule="auto"/>
        <w:jc w:val="both"/>
        <w:rPr>
          <w:rFonts w:ascii="Arial" w:hAnsi="Arial" w:cs="Arial"/>
          <w:sz w:val="20"/>
          <w:szCs w:val="20"/>
        </w:rPr>
      </w:pPr>
      <w:r w:rsidRPr="00031E88">
        <w:rPr>
          <w:rFonts w:ascii="Arial" w:hAnsi="Arial" w:cs="Arial"/>
          <w:sz w:val="20"/>
          <w:szCs w:val="20"/>
        </w:rPr>
        <w:t xml:space="preserve"> </w:t>
      </w:r>
      <w:r w:rsidR="00614CDD" w:rsidRPr="00031E88">
        <w:rPr>
          <w:rFonts w:ascii="Arial" w:hAnsi="Arial" w:cs="Arial"/>
          <w:sz w:val="20"/>
          <w:szCs w:val="20"/>
        </w:rPr>
        <w:t>(ICP-OES AvioTM 500 PerkinElmer USA) were used for this analysis. The main parts of the instruments are shown in Figure 1. ICP-OES (Fig. 1) has a carrier gas tube and a torch made of a quartz tube and connected to a radio-frequency (RF) generator. Argon is introduced to the torch and RF is applied to create a magnetic field and produce ions and electrons. The resultant current flow heats the gas so that once sample introduction is done via the nebulizer, it is converted to aerosol and directed to the tor</w:t>
      </w:r>
      <w:r w:rsidR="003445AD" w:rsidRPr="00031E88">
        <w:rPr>
          <w:rFonts w:ascii="Arial" w:hAnsi="Arial" w:cs="Arial"/>
          <w:sz w:val="20"/>
          <w:szCs w:val="20"/>
        </w:rPr>
        <w:t xml:space="preserve">ch </w:t>
      </w:r>
      <w:r w:rsidR="003445A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{"citationItems":[{"id":"ITEM-1","itemData":{"DOI":"10.1021/ed078p1465","ISSN":"00219584","author":[{"dropping-particle":"","family":"Taylor","given":"H. E.","non-dropping-particle":"","parse-names":false,"suffix":""}],"container-title":"New York, NY: Academic Press. Journal of Chemical Education Today","id":"ITEM-1","issue":"11","issued":{"date-parts":[["2001"]]},"page":"1465","title":"Inductively coupled plasma-mass spectrometry: Practices and techniques","type":"article-journal","volume":"78"},"uris":["http://www.mendeley.com/documents/?uuid=82044fcb-11b4-41d6-a8a4-c0f0391a184e"]}],"mendeley":{"formattedCitation":"(Taylor, 2001)","plainTextFormattedCitation":"(Taylor, 2001)","previouslyFormattedCitation":"(Taylor 2001)"},"properties":{"noteIndex":0},"schema":"https://github.com/citation-style-language/schema/raw/master/csl-citation.json"}</w:instrText>
      </w:r>
      <w:r w:rsidR="003445AD" w:rsidRPr="00031E88">
        <w:rPr>
          <w:rFonts w:ascii="Arial" w:hAnsi="Arial" w:cs="Arial"/>
          <w:sz w:val="20"/>
          <w:szCs w:val="20"/>
        </w:rPr>
        <w:fldChar w:fldCharType="separate"/>
      </w:r>
      <w:r w:rsidR="000A7347" w:rsidRPr="00031E88">
        <w:rPr>
          <w:rFonts w:ascii="Arial" w:hAnsi="Arial" w:cs="Arial"/>
          <w:noProof/>
          <w:sz w:val="20"/>
          <w:szCs w:val="20"/>
        </w:rPr>
        <w:t>(Taylor</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 xml:space="preserve"> 2001</w:t>
      </w:r>
      <w:r w:rsidR="003445AD" w:rsidRPr="00031E88">
        <w:rPr>
          <w:rFonts w:ascii="Arial" w:hAnsi="Arial" w:cs="Arial"/>
          <w:sz w:val="20"/>
          <w:szCs w:val="20"/>
        </w:rPr>
        <w:fldChar w:fldCharType="end"/>
      </w:r>
      <w:r w:rsidR="00614CDD" w:rsidRPr="00031E88">
        <w:rPr>
          <w:rFonts w:ascii="Arial" w:hAnsi="Arial" w:cs="Arial"/>
          <w:sz w:val="20"/>
          <w:szCs w:val="20"/>
        </w:rPr>
        <w:t xml:space="preserve">; </w:t>
      </w:r>
      <w:r w:rsidR="003445A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{"citationItems":[{"id":"ITEM-1","itemData":{"DOI":"https://doi.org/10.1080/00032710802013991","ISBN":"0003271080","ISSN":"00032719","abstract":"This mini-review gives a general overview of inductively coupled plasma-optical emission spectrometry (ICP-OES) and inductively coupled plasma-mass spectrometry (ICP-MS) for the determination of metals in oysters. A brief description of the basic principles, instrumentation, and recent developments is provided. A comparison and selected applications of these two analytical techniques for metal determination in oysters is presented. It was noted that the National Institute of Science and Technology (NIST) standard reference materials (SRM 1556b, Oyster Tissue) were frequently used for accuracy studies in a wide variety of reports. Copyright © Taylor &amp; Francis Group, LLC.","author":[{"dropping-particle":"","family":"Sneddon","given":"Joseph","non-dropping-particle":"","parse-names":false,"suffix":""},{"dropping-particle":"","family":"Vincent","given":"Michael D.","non-dropping-particle":"","parse-names":false,"suffix":""}],"container-title":"Analytical Letters","id":"ITEM-1","issue":"8","issued":{"date-parts":[["2008"]]},"page":"1291-1303","title":"ICP-OES and ICP-MS for the determination of metals: Application to oysters","type":"article-journal","volume":"41"},"uris":["http://www.mendeley.com/documents/?uuid=12911d9c-cd5a-4aa2-aa68-13d678b1d9d8"]}],"mendeley":{"formattedCitation":"(Sneddon &amp; Vincent, 2008)","plainTextFormattedCitation":"(Sneddon &amp; Vincent, 2008)","previouslyFormattedCitation":"(Sneddon and Vincent 2008)"},"properties":{"noteIndex":0},"schema":"https://github.com/citation-style-language/schema/raw/master/csl-citation.json"}</w:instrText>
      </w:r>
      <w:r w:rsidR="003445AD" w:rsidRPr="00031E88">
        <w:rPr>
          <w:rFonts w:ascii="Arial" w:hAnsi="Arial" w:cs="Arial"/>
          <w:sz w:val="20"/>
          <w:szCs w:val="20"/>
        </w:rPr>
        <w:fldChar w:fldCharType="separate"/>
      </w:r>
      <w:r w:rsidR="000A7347" w:rsidRPr="00031E88">
        <w:rPr>
          <w:rFonts w:ascii="Arial" w:hAnsi="Arial" w:cs="Arial"/>
          <w:noProof/>
          <w:sz w:val="20"/>
          <w:szCs w:val="20"/>
        </w:rPr>
        <w:t xml:space="preserve">Sneddon </w:t>
      </w:r>
      <w:r w:rsidR="00EC4DC1" w:rsidRPr="00031E88">
        <w:rPr>
          <w:rFonts w:ascii="Arial" w:hAnsi="Arial" w:cs="Arial"/>
          <w:noProof/>
          <w:sz w:val="20"/>
          <w:szCs w:val="20"/>
        </w:rPr>
        <w:t>and</w:t>
      </w:r>
      <w:r w:rsidR="000A7347" w:rsidRPr="00031E88">
        <w:rPr>
          <w:rFonts w:ascii="Arial" w:hAnsi="Arial" w:cs="Arial"/>
          <w:noProof/>
          <w:sz w:val="20"/>
          <w:szCs w:val="20"/>
        </w:rPr>
        <w:t xml:space="preserve"> Vincent</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2008)</w:t>
      </w:r>
      <w:r w:rsidR="003445AD" w:rsidRPr="00031E88">
        <w:rPr>
          <w:rFonts w:ascii="Arial" w:hAnsi="Arial" w:cs="Arial"/>
          <w:sz w:val="20"/>
          <w:szCs w:val="20"/>
        </w:rPr>
        <w:fldChar w:fldCharType="end"/>
      </w:r>
      <w:r w:rsidR="003445AD" w:rsidRPr="00031E88">
        <w:rPr>
          <w:rFonts w:ascii="Arial" w:hAnsi="Arial" w:cs="Arial"/>
          <w:sz w:val="20"/>
          <w:szCs w:val="20"/>
        </w:rPr>
        <w:t xml:space="preserve">. </w:t>
      </w:r>
      <w:r w:rsidR="00614CDD" w:rsidRPr="00031E88">
        <w:rPr>
          <w:rFonts w:ascii="Arial" w:hAnsi="Arial" w:cs="Arial"/>
          <w:sz w:val="20"/>
          <w:szCs w:val="20"/>
        </w:rPr>
        <w:t>Light emitted by atoms of metals from samples in plasma is converted to quantifiable electrical signals.</w:t>
      </w:r>
    </w:p>
    <w:p w14:paraId="506C8486" w14:textId="77777777" w:rsidR="00614CDD" w:rsidRPr="00511E08" w:rsidRDefault="00614CDD" w:rsidP="0004686A">
      <w:pPr>
        <w:spacing w:line="480" w:lineRule="auto"/>
        <w:jc w:val="both"/>
        <w:rPr>
          <w:rFonts w:ascii="Times New Roman" w:hAnsi="Times New Roman" w:cs="Times New Roman"/>
          <w:sz w:val="24"/>
          <w:szCs w:val="24"/>
        </w:rPr>
      </w:pPr>
      <w:r w:rsidRPr="00511E08">
        <w:rPr>
          <w:rFonts w:ascii="Times New Roman" w:hAnsi="Times New Roman" w:cs="Times New Roman"/>
          <w:noProof/>
          <w:sz w:val="24"/>
          <w:szCs w:val="24"/>
          <w:lang w:eastAsia="id-ID"/>
        </w:rPr>
        <w:lastRenderedPageBreak/>
        <w:drawing>
          <wp:inline distT="0" distB="0" distL="0" distR="0" wp14:anchorId="16A0BC95" wp14:editId="2F6F63DE">
            <wp:extent cx="5731510" cy="32073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07385"/>
                    </a:xfrm>
                    <a:prstGeom prst="rect">
                      <a:avLst/>
                    </a:prstGeom>
                    <a:noFill/>
                    <a:ln>
                      <a:noFill/>
                    </a:ln>
                  </pic:spPr>
                </pic:pic>
              </a:graphicData>
            </a:graphic>
          </wp:inline>
        </w:drawing>
      </w:r>
    </w:p>
    <w:p w14:paraId="6E24EC1B" w14:textId="77777777" w:rsidR="00614CDD" w:rsidRPr="00511E08" w:rsidRDefault="00614CDD" w:rsidP="0004686A">
      <w:pPr>
        <w:spacing w:line="240" w:lineRule="auto"/>
        <w:jc w:val="both"/>
        <w:rPr>
          <w:rFonts w:ascii="Times New Roman" w:hAnsi="Times New Roman" w:cs="Times New Roman"/>
          <w:sz w:val="24"/>
          <w:szCs w:val="24"/>
        </w:rPr>
      </w:pPr>
      <w:r w:rsidRPr="00031E88">
        <w:rPr>
          <w:rFonts w:ascii="Arial" w:hAnsi="Arial" w:cs="Arial"/>
          <w:b/>
          <w:bCs/>
          <w:sz w:val="20"/>
          <w:szCs w:val="20"/>
        </w:rPr>
        <w:t>Fig. 1.</w:t>
      </w:r>
      <w:r w:rsidRPr="00031E88">
        <w:rPr>
          <w:rFonts w:ascii="Arial" w:hAnsi="Arial" w:cs="Arial"/>
          <w:sz w:val="20"/>
          <w:szCs w:val="20"/>
        </w:rPr>
        <w:t xml:space="preserve"> Schematic of a typical ICP-OES Avio</w:t>
      </w:r>
      <w:r w:rsidRPr="00031E88">
        <w:rPr>
          <w:rFonts w:ascii="Arial" w:hAnsi="Arial" w:cs="Arial"/>
          <w:sz w:val="20"/>
          <w:szCs w:val="20"/>
          <w:vertAlign w:val="superscript"/>
        </w:rPr>
        <w:t>TM</w:t>
      </w:r>
      <w:r w:rsidRPr="00031E88">
        <w:rPr>
          <w:rFonts w:ascii="Arial" w:hAnsi="Arial" w:cs="Arial"/>
          <w:sz w:val="20"/>
          <w:szCs w:val="20"/>
        </w:rPr>
        <w:t xml:space="preserve"> 500 PerkinElmer USA) system. ICP-OES Inductively Coupled Plasma Optical Emission Spectrometry; PMT, photo-multiplier tube; PC, personal computer.</w:t>
      </w:r>
      <w:r w:rsidR="002A5910" w:rsidRPr="00031E88">
        <w:rPr>
          <w:rFonts w:ascii="Arial" w:hAnsi="Arial" w:cs="Arial"/>
          <w:sz w:val="20"/>
          <w:szCs w:val="20"/>
        </w:rPr>
        <w:t xml:space="preserve"> </w:t>
      </w:r>
      <w:r w:rsidR="002A591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{"citationItems":[{"id":"ITEM-1","itemData":{"DOI":"10.1021/ed078p1465","ISSN":"00219584","author":[{"dropping-particle":"","family":"Taylor","given":"H. E.","non-dropping-particle":"","parse-names":false,"suffix":""}],"container-title":"New York, NY: Academic Press. Journal of Chemical Education Today","id":"ITEM-1","issue":"11","issued":{"date-parts":[["2001"]]},"page":"1465","title":"Inductively coupled plasma-mass spectrometry: Practices and techniques","type":"article-journal","volume":"78"},"uris":["http://www.mendeley.com/documents/?uuid=82044fcb-11b4-41d6-a8a4-c0f0391a184e"]}],"mendeley":{"formattedCitation":"(Taylor, 2001)","plainTextFormattedCitation":"(Taylor, 2001)","previouslyFormattedCitation":"(Taylor 2001)"},"properties":{"noteIndex":0},"schema":"https://github.com/citation-style-language/schema/raw/master/csl-citation.json"}</w:instrText>
      </w:r>
      <w:r w:rsidR="002A5910" w:rsidRPr="00031E88">
        <w:rPr>
          <w:rFonts w:ascii="Arial" w:hAnsi="Arial" w:cs="Arial"/>
          <w:sz w:val="20"/>
          <w:szCs w:val="20"/>
        </w:rPr>
        <w:fldChar w:fldCharType="separate"/>
      </w:r>
      <w:r w:rsidR="000A7347" w:rsidRPr="00031E88">
        <w:rPr>
          <w:rFonts w:ascii="Arial" w:hAnsi="Arial" w:cs="Arial"/>
          <w:noProof/>
          <w:sz w:val="20"/>
          <w:szCs w:val="20"/>
        </w:rPr>
        <w:t>(Taylor</w:t>
      </w:r>
      <w:r w:rsidR="005C4D76">
        <w:rPr>
          <w:rFonts w:ascii="Arial" w:hAnsi="Arial" w:cs="Arial"/>
          <w:noProof/>
          <w:sz w:val="20"/>
          <w:szCs w:val="20"/>
        </w:rPr>
        <w:t>,</w:t>
      </w:r>
      <w:r w:rsidR="000A7347" w:rsidRPr="00031E88">
        <w:rPr>
          <w:rFonts w:ascii="Arial" w:hAnsi="Arial" w:cs="Arial"/>
          <w:noProof/>
          <w:sz w:val="20"/>
          <w:szCs w:val="20"/>
        </w:rPr>
        <w:t xml:space="preserve"> 2001</w:t>
      </w:r>
      <w:r w:rsidR="002A5910" w:rsidRPr="00031E88">
        <w:rPr>
          <w:rFonts w:ascii="Arial" w:hAnsi="Arial" w:cs="Arial"/>
          <w:sz w:val="20"/>
          <w:szCs w:val="20"/>
        </w:rPr>
        <w:fldChar w:fldCharType="end"/>
      </w:r>
      <w:r w:rsidRPr="00031E88">
        <w:rPr>
          <w:rFonts w:ascii="Arial" w:hAnsi="Arial" w:cs="Arial"/>
          <w:sz w:val="20"/>
          <w:szCs w:val="20"/>
        </w:rPr>
        <w:t xml:space="preserve">; </w:t>
      </w:r>
      <w:r w:rsidR="002A591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{"citationItems":[{"id":"ITEM-1","itemData":{"DOI":"https://doi.org/10.1080/00032710802013991","ISBN":"0003271080","ISSN":"00032719","abstract":"This mini-review gives a general overview of inductively coupled plasma-optical emission spectrometry (ICP-OES) and inductively coupled plasma-mass spectrometry (ICP-MS) for the determination of metals in oysters. A brief description of the basic principles, instrumentation, and recent developments is provided. A comparison and selected applications of these two analytical techniques for metal determination in oysters is presented. It was noted that the National Institute of Science and Technology (NIST) standard reference materials (SRM 1556b, Oyster Tissue) were frequently used for accuracy studies in a wide variety of reports. Copyright © Taylor &amp; Francis Group, LLC.","author":[{"dropping-particle":"","family":"Sneddon","given":"Joseph","non-dropping-particle":"","parse-names":false,"suffix":""},{"dropping-particle":"","family":"Vincent","given":"Michael D.","non-dropping-particle":"","parse-names":false,"suffix":""}],"container-title":"Analytical Letters","id":"ITEM-1","issue":"8","issued":{"date-parts":[["2008"]]},"page":"1291-1303","title":"ICP-OES and ICP-MS for the determination of metals: Application to oysters","type":"article-journal","volume":"41"},"uris":["http://www.mendeley.com/documents/?uuid=12911d9c-cd5a-4aa2-aa68-13d678b1d9d8"]}],"mendeley":{"formattedCitation":"(Sneddon &amp; Vincent, 2008)","plainTextFormattedCitation":"(Sneddon &amp; Vincent, 2008)","previouslyFormattedCitation":"(Sneddon and Vincent 2008)"},"properties":{"noteIndex":0},"schema":"https://github.com/citation-style-language/schema/raw/master/csl-citation.json"}</w:instrText>
      </w:r>
      <w:r w:rsidR="002A5910" w:rsidRPr="00031E88">
        <w:rPr>
          <w:rFonts w:ascii="Arial" w:hAnsi="Arial" w:cs="Arial"/>
          <w:sz w:val="20"/>
          <w:szCs w:val="20"/>
        </w:rPr>
        <w:fldChar w:fldCharType="separate"/>
      </w:r>
      <w:r w:rsidR="000A7347" w:rsidRPr="00031E88">
        <w:rPr>
          <w:rFonts w:ascii="Arial" w:hAnsi="Arial" w:cs="Arial"/>
          <w:noProof/>
          <w:sz w:val="20"/>
          <w:szCs w:val="20"/>
        </w:rPr>
        <w:t xml:space="preserve">Sneddon </w:t>
      </w:r>
      <w:r w:rsidR="00EC4DC1" w:rsidRPr="00031E88">
        <w:rPr>
          <w:rFonts w:ascii="Arial" w:hAnsi="Arial" w:cs="Arial"/>
          <w:noProof/>
          <w:sz w:val="20"/>
          <w:szCs w:val="20"/>
        </w:rPr>
        <w:t>and</w:t>
      </w:r>
      <w:r w:rsidR="000A7347" w:rsidRPr="00031E88">
        <w:rPr>
          <w:rFonts w:ascii="Arial" w:hAnsi="Arial" w:cs="Arial"/>
          <w:noProof/>
          <w:sz w:val="20"/>
          <w:szCs w:val="20"/>
        </w:rPr>
        <w:t xml:space="preserve"> Vincent</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 xml:space="preserve"> 2008</w:t>
      </w:r>
      <w:r w:rsidR="002A5910" w:rsidRPr="00031E88">
        <w:rPr>
          <w:rFonts w:ascii="Arial" w:hAnsi="Arial" w:cs="Arial"/>
          <w:sz w:val="20"/>
          <w:szCs w:val="20"/>
        </w:rPr>
        <w:fldChar w:fldCharType="end"/>
      </w:r>
      <w:r w:rsidR="002A5910" w:rsidRPr="00031E88">
        <w:rPr>
          <w:rFonts w:ascii="Arial" w:hAnsi="Arial" w:cs="Arial"/>
          <w:sz w:val="20"/>
          <w:szCs w:val="20"/>
        </w:rPr>
        <w:t xml:space="preserve">; </w:t>
      </w:r>
      <w:r w:rsidR="002F7F72"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{"citationItems":[{"id":"ITEM-1","itemData":{"DOI":"https://doi.org/10.1177/1178622119869002","ISSN":"11786221","abstract":"Precise estimation of metals in samples remains a challenge as a result of analytical biases and errors, which occur at sample collection, preparation, and measurement stages. A poor understanding of the nature and occurrence of these errors further aggravates this challenge. This study aimed at comparing the effectiveness of inductively coupled plasma (ICP) mass spectrometry (MS) and optical emission spectrometry (OES) techniques in quantifying metals from contaminated soils of Roundhill landfill vicinity. Using statistical tools, the study evaluated biases of the 2 methods. High coefficients of variation were realized for V, Cr, and Pb concentrations varied at various sampling sites. Concentrations of elements obtained using the 2 methods had no significant differences using t-test analysis. Definitive agreement for the 2 methods was observed for V, Cr, Co, Ni, Cu, Zn, Sr, and Pb concentrations, whereas the concentrations of Mg, Ca, Ti, Mn, and Fe showed some deviations in their regression lines. Spectral, systematic, memory, and carry over errors could be attributable to these deviations. The errors promote chelation and adsorption of ions in samples to form insoluble compounds that cannot be quantified. Overall, ICP-MS had greater sensitivity than ICP-OES in trace elements analysis compared with major elements.","author":[{"dropping-particle":"","family":"Nyika","given":"Joan","non-dropping-particle":"","parse-names":false,"suffix":""},{"dropping-particle":"","family":"Onyari","given":"Ednah","non-dropping-particle":"","parse-names":false,"suffix":""},{"dropping-particle":"","family":"Dinka","given":"Megersa Olumana","non-dropping-particle":"","parse-names":false,"suffix":""},{"dropping-particle":"","family":"Mishra","given":"Shivani Bhardwaj","non-dropping-particle":"","parse-names":false,"suffix":""}],"container-title":"Air, Soil and Water Research","id":"ITEM-1","issued":{"date-parts":[["2019"]]},"title":"A comparison of reproducibility of inductively coupled spectrometric techniques in soil metal analyses","type":"article-journal","volume":"12"},"uris":["http://www.mendeley.com/documents/?uuid=08d67bd6-7c00-4086-a9e8-f3441c5a7a77"]}],"mendeley":{"formattedCitation":"(Nyika et al., 2019)","plainTextFormattedCitation":"(Nyika et al., 2019)","previouslyFormattedCitation":"(Nyika et al. 2019)"},"properties":{"noteIndex":0},"schema":"https://github.com/citation-style-language/schema/raw/master/csl-citation.json"}</w:instrText>
      </w:r>
      <w:r w:rsidR="002F7F72" w:rsidRPr="00031E88">
        <w:rPr>
          <w:rFonts w:ascii="Arial" w:hAnsi="Arial" w:cs="Arial"/>
          <w:sz w:val="20"/>
          <w:szCs w:val="20"/>
        </w:rPr>
        <w:fldChar w:fldCharType="separate"/>
      </w:r>
      <w:r w:rsidR="000A7347" w:rsidRPr="00031E88">
        <w:rPr>
          <w:rFonts w:ascii="Arial" w:hAnsi="Arial" w:cs="Arial"/>
          <w:noProof/>
          <w:sz w:val="20"/>
          <w:szCs w:val="20"/>
        </w:rPr>
        <w:t>Nyika et al.</w:t>
      </w:r>
      <w:r w:rsidR="005C4D76">
        <w:rPr>
          <w:rFonts w:ascii="Arial" w:hAnsi="Arial" w:cs="Arial"/>
          <w:noProof/>
          <w:sz w:val="20"/>
          <w:szCs w:val="20"/>
        </w:rPr>
        <w:t>,</w:t>
      </w:r>
      <w:r w:rsidR="000A7347" w:rsidRPr="00031E88">
        <w:rPr>
          <w:rFonts w:ascii="Arial" w:hAnsi="Arial" w:cs="Arial"/>
          <w:noProof/>
          <w:sz w:val="20"/>
          <w:szCs w:val="20"/>
        </w:rPr>
        <w:t xml:space="preserve"> 2019)</w:t>
      </w:r>
      <w:r w:rsidR="002F7F72" w:rsidRPr="00031E88">
        <w:rPr>
          <w:rFonts w:ascii="Arial" w:hAnsi="Arial" w:cs="Arial"/>
          <w:sz w:val="20"/>
          <w:szCs w:val="20"/>
        </w:rPr>
        <w:fldChar w:fldCharType="end"/>
      </w:r>
      <w:r w:rsidR="002F7F72" w:rsidRPr="00031E88">
        <w:rPr>
          <w:rFonts w:ascii="Arial" w:hAnsi="Arial" w:cs="Arial"/>
          <w:sz w:val="20"/>
          <w:szCs w:val="20"/>
        </w:rPr>
        <w:t>.</w:t>
      </w:r>
    </w:p>
    <w:p w14:paraId="1982C970" w14:textId="77777777" w:rsidR="00614CDD" w:rsidRPr="00031E88" w:rsidRDefault="00614CDD" w:rsidP="0004686A">
      <w:pPr>
        <w:spacing w:line="240" w:lineRule="auto"/>
        <w:jc w:val="both"/>
        <w:rPr>
          <w:rFonts w:ascii="Arial" w:hAnsi="Arial" w:cs="Arial"/>
          <w:sz w:val="20"/>
          <w:szCs w:val="20"/>
        </w:rPr>
      </w:pPr>
      <w:r w:rsidRPr="00031E88">
        <w:rPr>
          <w:rFonts w:ascii="Arial" w:hAnsi="Arial" w:cs="Arial"/>
          <w:sz w:val="20"/>
          <w:szCs w:val="20"/>
        </w:rPr>
        <w:t>Digested samples were filtered, diluted, and assayed using the ICP-OES instruments. After analysis, the final concentrations of each element were determined in ppm (mg/kg):</w:t>
      </w:r>
    </w:p>
    <w:p w14:paraId="49768A74" w14:textId="77777777" w:rsidR="00614CDD" w:rsidRPr="00031E88" w:rsidRDefault="00614CDD" w:rsidP="0004686A">
      <w:pPr>
        <w:spacing w:line="480" w:lineRule="auto"/>
        <w:jc w:val="both"/>
        <w:rPr>
          <w:rFonts w:ascii="Arial" w:hAnsi="Arial" w:cs="Arial"/>
          <w:sz w:val="20"/>
          <w:szCs w:val="20"/>
        </w:rPr>
      </w:pPr>
      <w:r w:rsidRPr="00511E08">
        <w:rPr>
          <w:rFonts w:ascii="Times New Roman" w:hAnsi="Times New Roman" w:cs="Times New Roman"/>
          <w:sz w:val="24"/>
          <w:szCs w:val="24"/>
        </w:rPr>
        <w:t xml:space="preserve">    </w:t>
      </w:r>
      <w:r w:rsidRPr="00031E88">
        <w:rPr>
          <w:rFonts w:ascii="Arial" w:hAnsi="Arial" w:cs="Arial"/>
          <w:sz w:val="20"/>
          <w:szCs w:val="20"/>
        </w:rPr>
        <w:t>Metal concentration (mg/kg)=</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Concentration X volume of sample x dilution factor</m:t>
            </m:r>
          </m:num>
          <m:den>
            <m:r>
              <w:rPr>
                <w:rFonts w:ascii="Cambria Math" w:hAnsi="Cambria Math" w:cs="Arial"/>
                <w:sz w:val="20"/>
                <w:szCs w:val="20"/>
              </w:rPr>
              <m:t>Weight of digested sample</m:t>
            </m:r>
          </m:den>
        </m:f>
        <m:r>
          <w:rPr>
            <w:rFonts w:ascii="Cambria Math" w:hAnsi="Cambria Math" w:cs="Arial"/>
            <w:sz w:val="20"/>
            <w:szCs w:val="20"/>
          </w:rPr>
          <m:t>x 1000</m:t>
        </m:r>
      </m:oMath>
    </w:p>
    <w:p w14:paraId="63AA69E4" w14:textId="77777777" w:rsidR="007F2E9A" w:rsidRPr="00031E88" w:rsidRDefault="007F2E9A" w:rsidP="0004686A">
      <w:pPr>
        <w:spacing w:line="240" w:lineRule="auto"/>
        <w:jc w:val="both"/>
        <w:rPr>
          <w:rFonts w:ascii="Arial" w:hAnsi="Arial" w:cs="Arial"/>
          <w:sz w:val="20"/>
          <w:szCs w:val="20"/>
          <w:lang w:val="en-GB"/>
        </w:rPr>
      </w:pPr>
      <w:r w:rsidRPr="00031E88">
        <w:rPr>
          <w:rFonts w:ascii="Arial" w:hAnsi="Arial" w:cs="Arial"/>
          <w:sz w:val="20"/>
          <w:szCs w:val="20"/>
        </w:rPr>
        <w:t>The metal pollution index (MPI) was calculated to determine total accumulation of the metals in the various tissues. The MPI values were calculated using the equation</w:t>
      </w:r>
      <w:r w:rsidR="000B215D" w:rsidRPr="00031E88">
        <w:rPr>
          <w:rFonts w:ascii="Arial" w:hAnsi="Arial" w:cs="Arial"/>
          <w:sz w:val="20"/>
          <w:szCs w:val="20"/>
          <w:lang w:val="en-GB"/>
        </w:rPr>
        <w:t xml:space="preserve"> </w:t>
      </w:r>
      <w:r w:rsidR="000B215D"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{"citationItems":[{"id":"ITEM-1","itemData":{"DOI":"10.1016/S0160-4120(97)00030-5","ISSN":"18736750","abstract":"Total concentrations of Cu, Zn, Mn, Ni, Cr, Cd, Pb, Fe, As, and Hg were determined in two marine bivalves R. decussatus and R. philippinarum from the Southern Spanish Atlantic Coast. The concentrations of Fe, Ni, Cr, Cu, and As in R. decussatus were significantly higher (p&lt;0.01) than in R. philippinarum; however, R. philippinarum contained more Hg. The levels of Cu, Zn, Pb, Hg, Cd, and Mn were significantly higher (p&lt;0.01) in the samples taken in the Province of Huelva than in the samples from the Province of Cadiz. According to Spanish legislation, all the samples analysed were suitable for human consumption. Three kinds of relationships between metal concentration and the size of R. decussatus and R. philippinarum were found: positive for As, Hg, Pb, Ni, and Cd; negative for Cu, Zn, and Fe; and no correlation for Mn and Cr.","author":[{"dropping-particle":"","family":"Usero","given":"J.","non-dropping-particle":"","parse-names":false,"suffix":""},{"dropping-particle":"","family":"González-Regalado","given":"E.","non-dropping-particle":"","parse-names":false,"suffix":""},{"dropping-particle":"","family":"Gracia","given":"I.","non-dropping-particle":"","parse-names":false,"suffix":""}],"container-title":"Environment International","id":"ITEM-1","issue":"3","issued":{"date-parts":[["1997"]]},"page":"291-298","title":"Trace metals in the bivalve molluscs Ruditapes decussatus and Ruditapes philippinarum from the Atlantic Coast of Southern Spain","type":"article-journal","volume":"23"},"uris":["http://www.mendeley.com/documents/?uuid=480ef26a-f30e-40e4-8374-fecab7c35eab"]}],"mendeley":{"formattedCitation":"(Usero et al., 1997)","plainTextFormattedCitation":"(Usero et al., 1997)","previouslyFormattedCitation":"(Usero, González-Regalado, and Gracia 1997)"},"properties":{"noteIndex":0},"schema":"https://github.com/citation-style-language/schema/raw/master/csl-citation.json"}</w:instrText>
      </w:r>
      <w:r w:rsidR="000B215D" w:rsidRPr="00031E88">
        <w:rPr>
          <w:rFonts w:ascii="Arial" w:hAnsi="Arial" w:cs="Arial"/>
          <w:sz w:val="20"/>
          <w:szCs w:val="20"/>
          <w:lang w:val="en-GB"/>
        </w:rPr>
        <w:fldChar w:fldCharType="separate"/>
      </w:r>
      <w:r w:rsidR="000A7347" w:rsidRPr="00031E88">
        <w:rPr>
          <w:rFonts w:ascii="Arial" w:hAnsi="Arial" w:cs="Arial"/>
          <w:noProof/>
          <w:sz w:val="20"/>
          <w:szCs w:val="20"/>
          <w:lang w:val="en-GB"/>
        </w:rPr>
        <w:t>(Usero et al. 1997)</w:t>
      </w:r>
      <w:r w:rsidR="000B215D" w:rsidRPr="00031E88">
        <w:rPr>
          <w:rFonts w:ascii="Arial" w:hAnsi="Arial" w:cs="Arial"/>
          <w:sz w:val="20"/>
          <w:szCs w:val="20"/>
          <w:lang w:val="en-GB"/>
        </w:rPr>
        <w:fldChar w:fldCharType="end"/>
      </w:r>
      <w:r w:rsidR="000B215D" w:rsidRPr="00031E88">
        <w:rPr>
          <w:rFonts w:ascii="Arial" w:hAnsi="Arial" w:cs="Arial"/>
          <w:sz w:val="20"/>
          <w:szCs w:val="20"/>
          <w:lang w:val="en-GB"/>
        </w:rPr>
        <w:t>:</w:t>
      </w:r>
    </w:p>
    <w:p w14:paraId="1BAD434C" w14:textId="77777777" w:rsidR="007F2E9A" w:rsidRPr="00031E88" w:rsidRDefault="003B1905" w:rsidP="0004686A">
      <w:pPr>
        <w:spacing w:line="240" w:lineRule="auto"/>
        <w:jc w:val="both"/>
        <w:rPr>
          <w:rFonts w:ascii="Arial" w:hAnsi="Arial" w:cs="Arial"/>
          <w:sz w:val="20"/>
          <w:szCs w:val="20"/>
        </w:rPr>
      </w:pPr>
      <w:r w:rsidRPr="00031E88">
        <w:rPr>
          <w:rFonts w:ascii="Arial" w:hAnsi="Arial" w:cs="Arial"/>
          <w:sz w:val="20"/>
          <w:szCs w:val="20"/>
        </w:rPr>
        <w:t>MPI= (Cf</w:t>
      </w:r>
      <w:r w:rsidRPr="00031E88">
        <w:rPr>
          <w:rFonts w:ascii="Arial" w:hAnsi="Arial" w:cs="Arial"/>
          <w:sz w:val="20"/>
          <w:szCs w:val="20"/>
          <w:vertAlign w:val="subscript"/>
        </w:rPr>
        <w:t>1</w:t>
      </w:r>
      <w:r w:rsidRPr="00031E88">
        <w:rPr>
          <w:rFonts w:ascii="Arial" w:hAnsi="Arial" w:cs="Arial"/>
          <w:sz w:val="20"/>
          <w:szCs w:val="20"/>
        </w:rPr>
        <w:t>*</w:t>
      </w:r>
      <w:r w:rsidR="00C202DF" w:rsidRPr="00031E88">
        <w:rPr>
          <w:rFonts w:ascii="Arial" w:hAnsi="Arial" w:cs="Arial"/>
          <w:sz w:val="20"/>
          <w:szCs w:val="20"/>
        </w:rPr>
        <w:t xml:space="preserve"> </w:t>
      </w:r>
      <w:r w:rsidRPr="00031E88">
        <w:rPr>
          <w:rFonts w:ascii="Arial" w:hAnsi="Arial" w:cs="Arial"/>
          <w:sz w:val="20"/>
          <w:szCs w:val="20"/>
        </w:rPr>
        <w:t>Cf</w:t>
      </w:r>
      <w:r w:rsidRPr="00031E88">
        <w:rPr>
          <w:rFonts w:ascii="Arial" w:hAnsi="Arial" w:cs="Arial"/>
          <w:sz w:val="20"/>
          <w:szCs w:val="20"/>
          <w:vertAlign w:val="subscript"/>
        </w:rPr>
        <w:t>2</w:t>
      </w:r>
      <w:r w:rsidRPr="00031E88">
        <w:rPr>
          <w:rFonts w:ascii="Arial" w:hAnsi="Arial" w:cs="Arial"/>
          <w:sz w:val="20"/>
          <w:szCs w:val="20"/>
        </w:rPr>
        <w:t>*</w:t>
      </w:r>
      <w:r w:rsidR="00C202DF" w:rsidRPr="00031E88">
        <w:rPr>
          <w:rFonts w:ascii="Arial" w:hAnsi="Arial" w:cs="Arial"/>
          <w:sz w:val="20"/>
          <w:szCs w:val="20"/>
        </w:rPr>
        <w:t xml:space="preserve"> </w:t>
      </w:r>
      <w:r w:rsidRPr="00031E88">
        <w:rPr>
          <w:rFonts w:ascii="Arial" w:hAnsi="Arial" w:cs="Arial"/>
          <w:sz w:val="20"/>
          <w:szCs w:val="20"/>
        </w:rPr>
        <w:t xml:space="preserve"> Cf</w:t>
      </w:r>
      <w:r w:rsidRPr="00031E88">
        <w:rPr>
          <w:rFonts w:ascii="Arial" w:hAnsi="Arial" w:cs="Arial"/>
          <w:sz w:val="20"/>
          <w:szCs w:val="20"/>
          <w:vertAlign w:val="subscript"/>
        </w:rPr>
        <w:t>3</w:t>
      </w:r>
      <w:r w:rsidRPr="00031E88">
        <w:rPr>
          <w:rFonts w:ascii="Arial" w:hAnsi="Arial" w:cs="Arial"/>
          <w:sz w:val="20"/>
          <w:szCs w:val="20"/>
        </w:rPr>
        <w:t>*.......Cf</w:t>
      </w:r>
      <w:r w:rsidRPr="00031E88">
        <w:rPr>
          <w:rFonts w:ascii="Arial" w:hAnsi="Arial" w:cs="Arial"/>
          <w:sz w:val="20"/>
          <w:szCs w:val="20"/>
          <w:vertAlign w:val="subscript"/>
        </w:rPr>
        <w:t>n</w:t>
      </w:r>
      <w:r w:rsidRPr="00031E88">
        <w:rPr>
          <w:rFonts w:ascii="Arial" w:hAnsi="Arial" w:cs="Arial"/>
          <w:sz w:val="20"/>
          <w:szCs w:val="20"/>
        </w:rPr>
        <w:t>)</w:t>
      </w:r>
      <w:r w:rsidRPr="00031E88">
        <w:rPr>
          <w:rFonts w:ascii="Arial" w:hAnsi="Arial" w:cs="Arial"/>
          <w:sz w:val="20"/>
          <w:szCs w:val="20"/>
          <w:vertAlign w:val="superscript"/>
        </w:rPr>
        <w:t>1/n</w:t>
      </w:r>
      <w:r w:rsidR="00B70978" w:rsidRPr="00031E88">
        <w:rPr>
          <w:rFonts w:ascii="Arial" w:hAnsi="Arial" w:cs="Arial"/>
          <w:sz w:val="20"/>
          <w:szCs w:val="20"/>
          <w:vertAlign w:val="superscript"/>
        </w:rPr>
        <w:t xml:space="preserve">  </w:t>
      </w:r>
      <w:r w:rsidR="00B70978" w:rsidRPr="00031E88">
        <w:rPr>
          <w:rFonts w:ascii="Arial" w:hAnsi="Arial" w:cs="Arial"/>
          <w:sz w:val="20"/>
          <w:szCs w:val="20"/>
        </w:rPr>
        <w:t xml:space="preserve"> </w:t>
      </w:r>
    </w:p>
    <w:p w14:paraId="60FB6A90" w14:textId="77777777" w:rsidR="00B70978" w:rsidRPr="00031E88" w:rsidRDefault="00B70978" w:rsidP="0004686A">
      <w:pPr>
        <w:spacing w:line="240" w:lineRule="auto"/>
        <w:jc w:val="both"/>
        <w:rPr>
          <w:rFonts w:ascii="Arial" w:hAnsi="Arial" w:cs="Arial"/>
          <w:sz w:val="20"/>
          <w:szCs w:val="20"/>
        </w:rPr>
      </w:pPr>
      <w:r w:rsidRPr="00031E88">
        <w:rPr>
          <w:rFonts w:ascii="Arial" w:hAnsi="Arial" w:cs="Arial"/>
          <w:sz w:val="20"/>
          <w:szCs w:val="20"/>
        </w:rPr>
        <w:t>where, Cf</w:t>
      </w:r>
      <w:r w:rsidRPr="00031E88">
        <w:rPr>
          <w:rFonts w:ascii="Arial" w:hAnsi="Arial" w:cs="Arial"/>
          <w:sz w:val="20"/>
          <w:szCs w:val="20"/>
          <w:vertAlign w:val="subscript"/>
        </w:rPr>
        <w:t xml:space="preserve">n </w:t>
      </w:r>
      <w:r w:rsidRPr="00031E88">
        <w:rPr>
          <w:rFonts w:ascii="Arial" w:hAnsi="Arial" w:cs="Arial"/>
          <w:sz w:val="20"/>
          <w:szCs w:val="20"/>
        </w:rPr>
        <w:t>is the concentration for the metal n in the sample.</w:t>
      </w:r>
    </w:p>
    <w:p w14:paraId="2833F9BE" w14:textId="77777777" w:rsidR="008927CD" w:rsidRPr="004E0A61" w:rsidRDefault="00444153" w:rsidP="0004686A">
      <w:pPr>
        <w:spacing w:line="240" w:lineRule="auto"/>
        <w:jc w:val="both"/>
        <w:rPr>
          <w:rFonts w:ascii="Arial" w:hAnsi="Arial" w:cs="Arial"/>
          <w:b/>
          <w:bCs/>
        </w:rPr>
      </w:pPr>
      <w:r>
        <w:rPr>
          <w:rFonts w:ascii="Arial" w:hAnsi="Arial" w:cs="Arial"/>
          <w:b/>
          <w:bCs/>
        </w:rPr>
        <w:t xml:space="preserve">2.4 </w:t>
      </w:r>
      <w:r w:rsidR="008927CD" w:rsidRPr="004E0A61">
        <w:rPr>
          <w:rFonts w:ascii="Arial" w:hAnsi="Arial" w:cs="Arial"/>
          <w:b/>
          <w:bCs/>
        </w:rPr>
        <w:t>Statistical analysis</w:t>
      </w:r>
    </w:p>
    <w:p w14:paraId="414ECE45" w14:textId="0B7AFAE7" w:rsidR="0004686A" w:rsidRDefault="0004686A" w:rsidP="0004686A">
      <w:pPr>
        <w:pStyle w:val="NormalWeb"/>
        <w:jc w:val="both"/>
      </w:pPr>
      <w:r>
        <w:t xml:space="preserve">The concentrations of heavy metals in the muscle tissues of </w:t>
      </w:r>
      <w:proofErr w:type="spellStart"/>
      <w:r>
        <w:rPr>
          <w:rStyle w:val="Emphasis"/>
        </w:rPr>
        <w:t>Fenneropenaeus</w:t>
      </w:r>
      <w:proofErr w:type="spellEnd"/>
      <w:r>
        <w:rPr>
          <w:rStyle w:val="Emphasis"/>
        </w:rPr>
        <w:t xml:space="preserve"> </w:t>
      </w:r>
      <w:proofErr w:type="spellStart"/>
      <w:r>
        <w:rPr>
          <w:rStyle w:val="Emphasis"/>
        </w:rPr>
        <w:t>merguiensis</w:t>
      </w:r>
      <w:proofErr w:type="spellEnd"/>
      <w:r>
        <w:t xml:space="preserve"> and </w:t>
      </w:r>
      <w:proofErr w:type="spellStart"/>
      <w:r>
        <w:rPr>
          <w:rStyle w:val="Emphasis"/>
        </w:rPr>
        <w:t>Fenneropenaeus</w:t>
      </w:r>
      <w:proofErr w:type="spellEnd"/>
      <w:r>
        <w:rPr>
          <w:rStyle w:val="Emphasis"/>
        </w:rPr>
        <w:t xml:space="preserve"> </w:t>
      </w:r>
      <w:proofErr w:type="spellStart"/>
      <w:r>
        <w:rPr>
          <w:rStyle w:val="Emphasis"/>
        </w:rPr>
        <w:t>penicillatus</w:t>
      </w:r>
      <w:proofErr w:type="spellEnd"/>
      <w:r>
        <w:t xml:space="preserve"> were </w:t>
      </w:r>
      <w:proofErr w:type="spellStart"/>
      <w:r>
        <w:t>analysed</w:t>
      </w:r>
      <w:proofErr w:type="spellEnd"/>
      <w:r>
        <w:t xml:space="preserve"> using analysis of variance (ANOVA), followed by Tukey’s honestly significant difference (HSD) post hoc test for multiple comparisons. Statistical significance was determined at a threshold of </w:t>
      </w:r>
      <w:r>
        <w:rPr>
          <w:rStyle w:val="Emphasis"/>
        </w:rPr>
        <w:t>p</w:t>
      </w:r>
      <w:r>
        <w:t xml:space="preserve"> &lt; 0.05, and results were interpreted based on homogeneous groupings.</w:t>
      </w:r>
      <w:r>
        <w:t xml:space="preserve"> </w:t>
      </w:r>
      <w:r>
        <w:t>Elements common to both muscle tissue and exoskeleton in the two species were further examined using Pearson’s correlation coefficients to assess relationships among variables. In addition, correlations between weight groups and levels of metal accumulation were evaluated. All statistical analyses and data processing were conducted using IBM SPSS software (version 24).</w:t>
      </w:r>
    </w:p>
    <w:p w14:paraId="5236D880" w14:textId="77777777" w:rsidR="008927CD" w:rsidRPr="00031E88" w:rsidRDefault="00444153" w:rsidP="0004686A">
      <w:pPr>
        <w:spacing w:line="480" w:lineRule="auto"/>
        <w:jc w:val="both"/>
        <w:rPr>
          <w:rFonts w:ascii="Arial" w:hAnsi="Arial" w:cs="Arial"/>
          <w:b/>
          <w:bCs/>
        </w:rPr>
      </w:pPr>
      <w:r>
        <w:rPr>
          <w:rFonts w:ascii="Arial" w:hAnsi="Arial" w:cs="Arial"/>
          <w:b/>
          <w:bCs/>
        </w:rPr>
        <w:t xml:space="preserve">3. </w:t>
      </w:r>
      <w:r w:rsidR="00031E88" w:rsidRPr="00031E88">
        <w:rPr>
          <w:rFonts w:ascii="Arial" w:hAnsi="Arial" w:cs="Arial"/>
          <w:b/>
          <w:bCs/>
        </w:rPr>
        <w:t>RESULTS AND DISCUSSION</w:t>
      </w:r>
    </w:p>
    <w:p w14:paraId="3F6919C8" w14:textId="77777777" w:rsidR="0004686A" w:rsidRDefault="0004686A" w:rsidP="0004686A">
      <w:pPr>
        <w:pStyle w:val="NormalWeb"/>
        <w:jc w:val="both"/>
      </w:pPr>
      <w:r>
        <w:t xml:space="preserve">Environmental pollution has increased markedly in recent decades as a result of expanding industrial, agricultural, commercial, and domestic activities, leading to the release of </w:t>
      </w:r>
      <w:r>
        <w:lastRenderedPageBreak/>
        <w:t xml:space="preserve">substantial quantities of waste, effluents, emissions, and hazardous substances into the environment. In the present study, the mean concentrations of selected heavy metals (Al, Pb, Zn, Cu, and Cd), expressed as </w:t>
      </w:r>
      <w:proofErr w:type="spellStart"/>
      <w:r>
        <w:t>μg</w:t>
      </w:r>
      <w:proofErr w:type="spellEnd"/>
      <w:r>
        <w:t xml:space="preserve">/g dry weight, in the muscle and exoskeleton of </w:t>
      </w:r>
      <w:proofErr w:type="spellStart"/>
      <w:r>
        <w:rPr>
          <w:rStyle w:val="Emphasis"/>
        </w:rPr>
        <w:t>Fenneropenaeus</w:t>
      </w:r>
      <w:proofErr w:type="spellEnd"/>
      <w:r>
        <w:rPr>
          <w:rStyle w:val="Emphasis"/>
        </w:rPr>
        <w:t xml:space="preserve"> </w:t>
      </w:r>
      <w:proofErr w:type="spellStart"/>
      <w:r>
        <w:rPr>
          <w:rStyle w:val="Emphasis"/>
        </w:rPr>
        <w:t>merguiensis</w:t>
      </w:r>
      <w:proofErr w:type="spellEnd"/>
      <w:r>
        <w:t xml:space="preserve"> and </w:t>
      </w:r>
      <w:proofErr w:type="spellStart"/>
      <w:r>
        <w:rPr>
          <w:rStyle w:val="Emphasis"/>
        </w:rPr>
        <w:t>Fenneropenaeus</w:t>
      </w:r>
      <w:proofErr w:type="spellEnd"/>
      <w:r>
        <w:rPr>
          <w:rStyle w:val="Emphasis"/>
        </w:rPr>
        <w:t xml:space="preserve"> </w:t>
      </w:r>
      <w:proofErr w:type="spellStart"/>
      <w:r>
        <w:rPr>
          <w:rStyle w:val="Emphasis"/>
        </w:rPr>
        <w:t>penicillatus</w:t>
      </w:r>
      <w:proofErr w:type="spellEnd"/>
      <w:r>
        <w:t xml:space="preserve"> are presented in Table 2 and Figure 2.</w:t>
      </w:r>
    </w:p>
    <w:p w14:paraId="1D1C7E65" w14:textId="0D282DF0" w:rsidR="002B59FD" w:rsidRPr="00031E88" w:rsidRDefault="00AD78DB" w:rsidP="0004686A">
      <w:pPr>
        <w:spacing w:line="240" w:lineRule="auto"/>
        <w:jc w:val="both"/>
        <w:rPr>
          <w:rFonts w:ascii="Arial" w:hAnsi="Arial" w:cs="Arial"/>
        </w:rPr>
      </w:pPr>
      <w:r w:rsidRPr="00031E88">
        <w:rPr>
          <w:rFonts w:ascii="Arial" w:hAnsi="Arial" w:cs="Arial"/>
        </w:rPr>
        <w:t xml:space="preserve">While the observed accumulation of metals in muscles and </w:t>
      </w:r>
      <w:r w:rsidRPr="00031E88">
        <w:rPr>
          <w:rFonts w:ascii="Arial" w:hAnsi="Arial" w:cs="Arial"/>
          <w:lang w:val="en-GB"/>
        </w:rPr>
        <w:t xml:space="preserve">exoskeleton </w:t>
      </w:r>
      <w:r w:rsidRPr="00031E88">
        <w:rPr>
          <w:rFonts w:ascii="Arial" w:hAnsi="Arial" w:cs="Arial"/>
        </w:rPr>
        <w:t>of F.</w:t>
      </w:r>
      <w:r w:rsidRPr="00031E88">
        <w:rPr>
          <w:rFonts w:ascii="Arial" w:hAnsi="Arial" w:cs="Arial"/>
          <w:i/>
          <w:iCs/>
        </w:rPr>
        <w:t xml:space="preserve"> merguiensis</w:t>
      </w:r>
      <w:r w:rsidR="00AA1539" w:rsidRPr="00031E88">
        <w:rPr>
          <w:rFonts w:ascii="Arial" w:hAnsi="Arial" w:cs="Arial"/>
        </w:rPr>
        <w:t xml:space="preserve"> and </w:t>
      </w:r>
      <w:r w:rsidRPr="00031E88">
        <w:rPr>
          <w:rFonts w:ascii="Arial" w:hAnsi="Arial" w:cs="Arial"/>
        </w:rPr>
        <w:t xml:space="preserve">F. </w:t>
      </w:r>
      <w:r w:rsidRPr="00031E88">
        <w:rPr>
          <w:rFonts w:ascii="Arial" w:hAnsi="Arial" w:cs="Arial"/>
          <w:i/>
          <w:iCs/>
        </w:rPr>
        <w:t>penicillatus</w:t>
      </w:r>
      <w:r w:rsidRPr="00031E88">
        <w:rPr>
          <w:rFonts w:ascii="Arial" w:hAnsi="Arial" w:cs="Arial"/>
        </w:rPr>
        <w:t xml:space="preserve"> has an order of Zn &gt; Cu &gt; Al &gt; Pb &gt; </w:t>
      </w:r>
      <w:r w:rsidR="00490C6C" w:rsidRPr="00031E88">
        <w:rPr>
          <w:rFonts w:ascii="Arial" w:hAnsi="Arial" w:cs="Arial"/>
        </w:rPr>
        <w:t>Cd.</w:t>
      </w:r>
    </w:p>
    <w:p w14:paraId="69299EA3" w14:textId="77777777" w:rsidR="00D21D02" w:rsidRPr="00031E88" w:rsidRDefault="00D21D02" w:rsidP="0004686A">
      <w:pPr>
        <w:spacing w:line="240" w:lineRule="auto"/>
        <w:jc w:val="both"/>
        <w:rPr>
          <w:rFonts w:ascii="Arial" w:hAnsi="Arial" w:cs="Arial"/>
        </w:rPr>
      </w:pPr>
      <w:r w:rsidRPr="00031E88">
        <w:rPr>
          <w:rFonts w:ascii="Arial" w:hAnsi="Arial" w:cs="Arial"/>
          <w:b/>
          <w:bCs/>
        </w:rPr>
        <w:t>Table 1.</w:t>
      </w:r>
      <w:r w:rsidRPr="00031E88">
        <w:rPr>
          <w:rFonts w:ascii="Arial" w:hAnsi="Arial" w:cs="Arial"/>
        </w:rPr>
        <w:t xml:space="preserve"> Mean±SD</w:t>
      </w:r>
      <w:r w:rsidR="00E81724" w:rsidRPr="00031E88">
        <w:rPr>
          <w:rFonts w:ascii="Arial" w:hAnsi="Arial" w:cs="Arial"/>
        </w:rPr>
        <w:t xml:space="preserve"> and ranges, length (cm), </w:t>
      </w:r>
      <w:r w:rsidRPr="00031E88">
        <w:rPr>
          <w:rFonts w:ascii="Arial" w:hAnsi="Arial" w:cs="Arial"/>
        </w:rPr>
        <w:t>weight (g) and frequency</w:t>
      </w: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
        <w:gridCol w:w="1418"/>
        <w:gridCol w:w="992"/>
        <w:gridCol w:w="1417"/>
        <w:gridCol w:w="993"/>
        <w:gridCol w:w="1417"/>
      </w:tblGrid>
      <w:tr w:rsidR="00656166" w:rsidRPr="00031E88" w14:paraId="0A629DF3" w14:textId="77777777" w:rsidTr="00D86384">
        <w:trPr>
          <w:jc w:val="center"/>
        </w:trPr>
        <w:tc>
          <w:tcPr>
            <w:tcW w:w="3119" w:type="dxa"/>
            <w:tcBorders>
              <w:top w:val="single" w:sz="4" w:space="0" w:color="auto"/>
            </w:tcBorders>
          </w:tcPr>
          <w:p w14:paraId="7CB7CB06" w14:textId="77777777" w:rsidR="00656166" w:rsidRPr="00031E88" w:rsidRDefault="00656166" w:rsidP="0004686A">
            <w:pPr>
              <w:jc w:val="both"/>
              <w:rPr>
                <w:rFonts w:ascii="Arial" w:hAnsi="Arial" w:cs="Arial"/>
                <w:sz w:val="20"/>
                <w:szCs w:val="20"/>
              </w:rPr>
            </w:pPr>
          </w:p>
        </w:tc>
        <w:tc>
          <w:tcPr>
            <w:tcW w:w="567" w:type="dxa"/>
            <w:tcBorders>
              <w:top w:val="single" w:sz="4" w:space="0" w:color="auto"/>
            </w:tcBorders>
          </w:tcPr>
          <w:p w14:paraId="31F49007" w14:textId="77777777" w:rsidR="00656166" w:rsidRPr="00031E88" w:rsidRDefault="00656166" w:rsidP="0004686A">
            <w:pPr>
              <w:jc w:val="both"/>
              <w:rPr>
                <w:rFonts w:ascii="Arial" w:hAnsi="Arial" w:cs="Arial"/>
                <w:sz w:val="20"/>
                <w:szCs w:val="20"/>
              </w:rPr>
            </w:pPr>
          </w:p>
        </w:tc>
        <w:tc>
          <w:tcPr>
            <w:tcW w:w="2410" w:type="dxa"/>
            <w:gridSpan w:val="2"/>
            <w:tcBorders>
              <w:top w:val="single" w:sz="4" w:space="0" w:color="auto"/>
              <w:bottom w:val="single" w:sz="4" w:space="0" w:color="auto"/>
            </w:tcBorders>
          </w:tcPr>
          <w:p w14:paraId="0E463749" w14:textId="77777777" w:rsidR="00656166" w:rsidRPr="00031E88" w:rsidRDefault="00656166" w:rsidP="0004686A">
            <w:pPr>
              <w:jc w:val="both"/>
              <w:rPr>
                <w:rFonts w:ascii="Arial" w:hAnsi="Arial" w:cs="Arial"/>
                <w:b/>
                <w:bCs/>
                <w:sz w:val="20"/>
                <w:szCs w:val="20"/>
              </w:rPr>
            </w:pPr>
            <w:r w:rsidRPr="00031E88">
              <w:rPr>
                <w:rFonts w:ascii="Arial" w:hAnsi="Arial" w:cs="Arial"/>
                <w:b/>
                <w:bCs/>
                <w:sz w:val="20"/>
                <w:szCs w:val="20"/>
              </w:rPr>
              <w:t>Length (cm)</w:t>
            </w:r>
          </w:p>
        </w:tc>
        <w:tc>
          <w:tcPr>
            <w:tcW w:w="2410" w:type="dxa"/>
            <w:gridSpan w:val="2"/>
            <w:tcBorders>
              <w:top w:val="single" w:sz="4" w:space="0" w:color="auto"/>
              <w:bottom w:val="single" w:sz="4" w:space="0" w:color="auto"/>
            </w:tcBorders>
          </w:tcPr>
          <w:p w14:paraId="36C39DB9" w14:textId="77777777" w:rsidR="00656166" w:rsidRPr="00031E88" w:rsidRDefault="00656166" w:rsidP="0004686A">
            <w:pPr>
              <w:jc w:val="both"/>
              <w:rPr>
                <w:rFonts w:ascii="Arial" w:hAnsi="Arial" w:cs="Arial"/>
                <w:b/>
                <w:bCs/>
                <w:sz w:val="20"/>
                <w:szCs w:val="20"/>
              </w:rPr>
            </w:pPr>
            <w:r w:rsidRPr="00031E88">
              <w:rPr>
                <w:rFonts w:ascii="Arial" w:hAnsi="Arial" w:cs="Arial"/>
                <w:b/>
                <w:bCs/>
                <w:sz w:val="20"/>
                <w:szCs w:val="20"/>
              </w:rPr>
              <w:t>Weight (g)</w:t>
            </w:r>
          </w:p>
        </w:tc>
        <w:tc>
          <w:tcPr>
            <w:tcW w:w="1417" w:type="dxa"/>
            <w:tcBorders>
              <w:top w:val="single" w:sz="4" w:space="0" w:color="auto"/>
            </w:tcBorders>
          </w:tcPr>
          <w:p w14:paraId="09869083" w14:textId="77777777" w:rsidR="00656166" w:rsidRPr="00031E88" w:rsidRDefault="00656166" w:rsidP="0004686A">
            <w:pPr>
              <w:jc w:val="both"/>
              <w:rPr>
                <w:rFonts w:ascii="Arial" w:hAnsi="Arial" w:cs="Arial"/>
                <w:b/>
                <w:bCs/>
                <w:sz w:val="20"/>
                <w:szCs w:val="20"/>
              </w:rPr>
            </w:pPr>
            <w:r w:rsidRPr="00031E88">
              <w:rPr>
                <w:rFonts w:ascii="Arial" w:hAnsi="Arial" w:cs="Arial"/>
                <w:b/>
                <w:bCs/>
                <w:sz w:val="20"/>
                <w:szCs w:val="20"/>
              </w:rPr>
              <w:t>Frequency</w:t>
            </w:r>
          </w:p>
        </w:tc>
      </w:tr>
      <w:tr w:rsidR="00656166" w:rsidRPr="00031E88" w14:paraId="18CAA566" w14:textId="77777777" w:rsidTr="00D86384">
        <w:trPr>
          <w:jc w:val="center"/>
        </w:trPr>
        <w:tc>
          <w:tcPr>
            <w:tcW w:w="3119" w:type="dxa"/>
            <w:tcBorders>
              <w:bottom w:val="single" w:sz="4" w:space="0" w:color="auto"/>
            </w:tcBorders>
          </w:tcPr>
          <w:p w14:paraId="04523B23" w14:textId="77777777" w:rsidR="00656166" w:rsidRPr="00031E88" w:rsidRDefault="00656166" w:rsidP="0004686A">
            <w:pPr>
              <w:jc w:val="both"/>
              <w:rPr>
                <w:rFonts w:ascii="Arial" w:hAnsi="Arial" w:cs="Arial"/>
                <w:sz w:val="20"/>
                <w:szCs w:val="20"/>
              </w:rPr>
            </w:pPr>
          </w:p>
        </w:tc>
        <w:tc>
          <w:tcPr>
            <w:tcW w:w="567" w:type="dxa"/>
            <w:tcBorders>
              <w:bottom w:val="single" w:sz="4" w:space="0" w:color="auto"/>
            </w:tcBorders>
          </w:tcPr>
          <w:p w14:paraId="61B3689B" w14:textId="77777777" w:rsidR="00656166" w:rsidRPr="00031E88" w:rsidRDefault="00656166" w:rsidP="0004686A">
            <w:pPr>
              <w:jc w:val="both"/>
              <w:rPr>
                <w:rFonts w:ascii="Arial" w:hAnsi="Arial" w:cs="Arial"/>
                <w:sz w:val="20"/>
                <w:szCs w:val="20"/>
              </w:rPr>
            </w:pPr>
          </w:p>
        </w:tc>
        <w:tc>
          <w:tcPr>
            <w:tcW w:w="1418" w:type="dxa"/>
            <w:tcBorders>
              <w:top w:val="single" w:sz="4" w:space="0" w:color="auto"/>
              <w:bottom w:val="single" w:sz="4" w:space="0" w:color="auto"/>
            </w:tcBorders>
          </w:tcPr>
          <w:p w14:paraId="3AC0F9AC"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Mean±SD</w:t>
            </w:r>
          </w:p>
        </w:tc>
        <w:tc>
          <w:tcPr>
            <w:tcW w:w="992" w:type="dxa"/>
            <w:tcBorders>
              <w:top w:val="single" w:sz="4" w:space="0" w:color="auto"/>
              <w:bottom w:val="single" w:sz="4" w:space="0" w:color="auto"/>
            </w:tcBorders>
          </w:tcPr>
          <w:p w14:paraId="1836FC86"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Ranges</w:t>
            </w:r>
          </w:p>
        </w:tc>
        <w:tc>
          <w:tcPr>
            <w:tcW w:w="1417" w:type="dxa"/>
            <w:tcBorders>
              <w:top w:val="single" w:sz="4" w:space="0" w:color="auto"/>
              <w:bottom w:val="single" w:sz="4" w:space="0" w:color="auto"/>
            </w:tcBorders>
          </w:tcPr>
          <w:p w14:paraId="10826DA2"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Mean±SD</w:t>
            </w:r>
          </w:p>
        </w:tc>
        <w:tc>
          <w:tcPr>
            <w:tcW w:w="993" w:type="dxa"/>
            <w:tcBorders>
              <w:top w:val="single" w:sz="4" w:space="0" w:color="auto"/>
              <w:bottom w:val="single" w:sz="4" w:space="0" w:color="auto"/>
            </w:tcBorders>
          </w:tcPr>
          <w:p w14:paraId="76B4A83B"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Ranges</w:t>
            </w:r>
          </w:p>
        </w:tc>
        <w:tc>
          <w:tcPr>
            <w:tcW w:w="1417" w:type="dxa"/>
            <w:tcBorders>
              <w:bottom w:val="single" w:sz="4" w:space="0" w:color="auto"/>
            </w:tcBorders>
          </w:tcPr>
          <w:p w14:paraId="0BA6CB1C" w14:textId="77777777" w:rsidR="00656166" w:rsidRPr="00031E88" w:rsidRDefault="00656166" w:rsidP="0004686A">
            <w:pPr>
              <w:jc w:val="both"/>
              <w:rPr>
                <w:rFonts w:ascii="Arial" w:hAnsi="Arial" w:cs="Arial"/>
                <w:sz w:val="20"/>
                <w:szCs w:val="20"/>
              </w:rPr>
            </w:pPr>
          </w:p>
        </w:tc>
      </w:tr>
      <w:tr w:rsidR="00656166" w:rsidRPr="00031E88" w14:paraId="4BBF5ACD" w14:textId="77777777" w:rsidTr="00D86384">
        <w:trPr>
          <w:jc w:val="center"/>
        </w:trPr>
        <w:tc>
          <w:tcPr>
            <w:tcW w:w="3119" w:type="dxa"/>
            <w:tcBorders>
              <w:top w:val="single" w:sz="4" w:space="0" w:color="auto"/>
            </w:tcBorders>
          </w:tcPr>
          <w:p w14:paraId="313804AF" w14:textId="77777777" w:rsidR="00656166" w:rsidRPr="00031E88" w:rsidRDefault="00656166" w:rsidP="0004686A">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567" w:type="dxa"/>
            <w:tcBorders>
              <w:top w:val="single" w:sz="4" w:space="0" w:color="auto"/>
            </w:tcBorders>
          </w:tcPr>
          <w:p w14:paraId="4D18841E"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I</w:t>
            </w:r>
          </w:p>
        </w:tc>
        <w:tc>
          <w:tcPr>
            <w:tcW w:w="1418" w:type="dxa"/>
            <w:tcBorders>
              <w:top w:val="single" w:sz="4" w:space="0" w:color="auto"/>
            </w:tcBorders>
          </w:tcPr>
          <w:p w14:paraId="409144DF" w14:textId="77777777" w:rsidR="00656166" w:rsidRPr="00031E88" w:rsidRDefault="002B21F6" w:rsidP="0004686A">
            <w:pPr>
              <w:jc w:val="both"/>
              <w:rPr>
                <w:rFonts w:ascii="Arial" w:hAnsi="Arial" w:cs="Arial"/>
                <w:sz w:val="20"/>
                <w:szCs w:val="20"/>
              </w:rPr>
            </w:pPr>
            <w:r w:rsidRPr="00031E88">
              <w:rPr>
                <w:rFonts w:ascii="Arial" w:hAnsi="Arial" w:cs="Arial"/>
                <w:sz w:val="20"/>
                <w:szCs w:val="20"/>
              </w:rPr>
              <w:t>9.11</w:t>
            </w:r>
            <w:r w:rsidR="00656166" w:rsidRPr="00031E88">
              <w:rPr>
                <w:rFonts w:ascii="Arial" w:hAnsi="Arial" w:cs="Arial"/>
                <w:sz w:val="20"/>
                <w:szCs w:val="20"/>
              </w:rPr>
              <w:t>±</w:t>
            </w:r>
            <w:r w:rsidRPr="00031E88">
              <w:rPr>
                <w:rFonts w:ascii="Arial" w:hAnsi="Arial" w:cs="Arial"/>
                <w:sz w:val="20"/>
                <w:szCs w:val="20"/>
              </w:rPr>
              <w:t>0.44</w:t>
            </w:r>
          </w:p>
        </w:tc>
        <w:tc>
          <w:tcPr>
            <w:tcW w:w="992" w:type="dxa"/>
            <w:tcBorders>
              <w:top w:val="single" w:sz="4" w:space="0" w:color="auto"/>
            </w:tcBorders>
          </w:tcPr>
          <w:p w14:paraId="200BEDEA"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8-10</w:t>
            </w:r>
          </w:p>
        </w:tc>
        <w:tc>
          <w:tcPr>
            <w:tcW w:w="1417" w:type="dxa"/>
            <w:tcBorders>
              <w:top w:val="single" w:sz="4" w:space="0" w:color="auto"/>
            </w:tcBorders>
          </w:tcPr>
          <w:p w14:paraId="04B2E7C1"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7.85±1.20</w:t>
            </w:r>
          </w:p>
        </w:tc>
        <w:tc>
          <w:tcPr>
            <w:tcW w:w="993" w:type="dxa"/>
            <w:tcBorders>
              <w:top w:val="single" w:sz="4" w:space="0" w:color="auto"/>
            </w:tcBorders>
          </w:tcPr>
          <w:p w14:paraId="5E717E00"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6-8</w:t>
            </w:r>
          </w:p>
        </w:tc>
        <w:tc>
          <w:tcPr>
            <w:tcW w:w="1417" w:type="dxa"/>
            <w:tcBorders>
              <w:top w:val="single" w:sz="4" w:space="0" w:color="auto"/>
            </w:tcBorders>
          </w:tcPr>
          <w:p w14:paraId="42FBAA41"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20</w:t>
            </w:r>
          </w:p>
        </w:tc>
      </w:tr>
      <w:tr w:rsidR="00656166" w:rsidRPr="00031E88" w14:paraId="60B80EBD" w14:textId="77777777" w:rsidTr="00D86384">
        <w:trPr>
          <w:jc w:val="center"/>
        </w:trPr>
        <w:tc>
          <w:tcPr>
            <w:tcW w:w="3119" w:type="dxa"/>
          </w:tcPr>
          <w:p w14:paraId="070B467D" w14:textId="77777777" w:rsidR="00656166" w:rsidRPr="00031E88" w:rsidRDefault="00656166" w:rsidP="0004686A">
            <w:pPr>
              <w:jc w:val="both"/>
              <w:rPr>
                <w:rFonts w:ascii="Arial" w:hAnsi="Arial" w:cs="Arial"/>
                <w:sz w:val="20"/>
                <w:szCs w:val="20"/>
              </w:rPr>
            </w:pPr>
          </w:p>
        </w:tc>
        <w:tc>
          <w:tcPr>
            <w:tcW w:w="567" w:type="dxa"/>
          </w:tcPr>
          <w:p w14:paraId="569BDEFC"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II</w:t>
            </w:r>
          </w:p>
        </w:tc>
        <w:tc>
          <w:tcPr>
            <w:tcW w:w="1418" w:type="dxa"/>
          </w:tcPr>
          <w:p w14:paraId="34C63E84" w14:textId="77777777" w:rsidR="00656166" w:rsidRPr="00031E88" w:rsidRDefault="002B21F6" w:rsidP="0004686A">
            <w:pPr>
              <w:jc w:val="both"/>
              <w:rPr>
                <w:rFonts w:ascii="Arial" w:hAnsi="Arial" w:cs="Arial"/>
                <w:sz w:val="20"/>
                <w:szCs w:val="20"/>
              </w:rPr>
            </w:pPr>
            <w:r w:rsidRPr="00031E88">
              <w:rPr>
                <w:rFonts w:ascii="Arial" w:hAnsi="Arial" w:cs="Arial"/>
                <w:sz w:val="20"/>
                <w:szCs w:val="20"/>
              </w:rPr>
              <w:t>11.13</w:t>
            </w:r>
            <w:r w:rsidR="00656166" w:rsidRPr="00031E88">
              <w:rPr>
                <w:rFonts w:ascii="Arial" w:hAnsi="Arial" w:cs="Arial"/>
                <w:sz w:val="20"/>
                <w:szCs w:val="20"/>
              </w:rPr>
              <w:t>±</w:t>
            </w:r>
            <w:r w:rsidRPr="00031E88">
              <w:rPr>
                <w:rFonts w:ascii="Arial" w:hAnsi="Arial" w:cs="Arial"/>
                <w:sz w:val="20"/>
                <w:szCs w:val="20"/>
              </w:rPr>
              <w:t>0.</w:t>
            </w:r>
            <w:r w:rsidR="00AE66BF" w:rsidRPr="00031E88">
              <w:rPr>
                <w:rFonts w:ascii="Arial" w:hAnsi="Arial" w:cs="Arial"/>
                <w:sz w:val="20"/>
                <w:szCs w:val="20"/>
              </w:rPr>
              <w:t>55</w:t>
            </w:r>
          </w:p>
        </w:tc>
        <w:tc>
          <w:tcPr>
            <w:tcW w:w="992" w:type="dxa"/>
          </w:tcPr>
          <w:p w14:paraId="3459270B"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10-12</w:t>
            </w:r>
          </w:p>
        </w:tc>
        <w:tc>
          <w:tcPr>
            <w:tcW w:w="1417" w:type="dxa"/>
          </w:tcPr>
          <w:p w14:paraId="5B3BA9B6"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9.57±0.73</w:t>
            </w:r>
          </w:p>
        </w:tc>
        <w:tc>
          <w:tcPr>
            <w:tcW w:w="993" w:type="dxa"/>
          </w:tcPr>
          <w:p w14:paraId="1AEA875B"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8-10</w:t>
            </w:r>
          </w:p>
        </w:tc>
        <w:tc>
          <w:tcPr>
            <w:tcW w:w="1417" w:type="dxa"/>
          </w:tcPr>
          <w:p w14:paraId="3257788A"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20</w:t>
            </w:r>
          </w:p>
        </w:tc>
      </w:tr>
      <w:tr w:rsidR="00656166" w:rsidRPr="00031E88" w14:paraId="7DEB8285" w14:textId="77777777" w:rsidTr="001E49BC">
        <w:trPr>
          <w:jc w:val="center"/>
        </w:trPr>
        <w:tc>
          <w:tcPr>
            <w:tcW w:w="3119" w:type="dxa"/>
            <w:tcBorders>
              <w:bottom w:val="single" w:sz="4" w:space="0" w:color="auto"/>
            </w:tcBorders>
          </w:tcPr>
          <w:p w14:paraId="101A42E1" w14:textId="77777777" w:rsidR="00656166" w:rsidRPr="00031E88" w:rsidRDefault="00656166" w:rsidP="0004686A">
            <w:pPr>
              <w:jc w:val="both"/>
              <w:rPr>
                <w:rFonts w:ascii="Arial" w:hAnsi="Arial" w:cs="Arial"/>
                <w:sz w:val="20"/>
                <w:szCs w:val="20"/>
              </w:rPr>
            </w:pPr>
          </w:p>
        </w:tc>
        <w:tc>
          <w:tcPr>
            <w:tcW w:w="567" w:type="dxa"/>
            <w:tcBorders>
              <w:bottom w:val="single" w:sz="4" w:space="0" w:color="auto"/>
            </w:tcBorders>
          </w:tcPr>
          <w:p w14:paraId="5A845986"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III</w:t>
            </w:r>
          </w:p>
        </w:tc>
        <w:tc>
          <w:tcPr>
            <w:tcW w:w="1418" w:type="dxa"/>
            <w:tcBorders>
              <w:bottom w:val="single" w:sz="4" w:space="0" w:color="auto"/>
            </w:tcBorders>
          </w:tcPr>
          <w:p w14:paraId="226B54D4" w14:textId="77777777" w:rsidR="00656166" w:rsidRPr="00031E88" w:rsidRDefault="00AE66BF" w:rsidP="0004686A">
            <w:pPr>
              <w:jc w:val="both"/>
              <w:rPr>
                <w:rFonts w:ascii="Arial" w:hAnsi="Arial" w:cs="Arial"/>
                <w:sz w:val="20"/>
                <w:szCs w:val="20"/>
              </w:rPr>
            </w:pPr>
            <w:r w:rsidRPr="00031E88">
              <w:rPr>
                <w:rFonts w:ascii="Arial" w:hAnsi="Arial" w:cs="Arial"/>
                <w:sz w:val="20"/>
                <w:szCs w:val="20"/>
              </w:rPr>
              <w:t>13.21</w:t>
            </w:r>
            <w:r w:rsidR="00656166" w:rsidRPr="00031E88">
              <w:rPr>
                <w:rFonts w:ascii="Arial" w:hAnsi="Arial" w:cs="Arial"/>
                <w:sz w:val="20"/>
                <w:szCs w:val="20"/>
              </w:rPr>
              <w:t>±</w:t>
            </w:r>
            <w:r w:rsidRPr="00031E88">
              <w:rPr>
                <w:rFonts w:ascii="Arial" w:hAnsi="Arial" w:cs="Arial"/>
                <w:sz w:val="20"/>
                <w:szCs w:val="20"/>
              </w:rPr>
              <w:t>0.52</w:t>
            </w:r>
          </w:p>
        </w:tc>
        <w:tc>
          <w:tcPr>
            <w:tcW w:w="992" w:type="dxa"/>
            <w:tcBorders>
              <w:bottom w:val="single" w:sz="4" w:space="0" w:color="auto"/>
            </w:tcBorders>
          </w:tcPr>
          <w:p w14:paraId="0AA2191E"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12-14</w:t>
            </w:r>
          </w:p>
        </w:tc>
        <w:tc>
          <w:tcPr>
            <w:tcW w:w="1417" w:type="dxa"/>
            <w:tcBorders>
              <w:bottom w:val="single" w:sz="4" w:space="0" w:color="auto"/>
            </w:tcBorders>
          </w:tcPr>
          <w:p w14:paraId="07AA4E0C"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11.30±0.95</w:t>
            </w:r>
          </w:p>
        </w:tc>
        <w:tc>
          <w:tcPr>
            <w:tcW w:w="993" w:type="dxa"/>
            <w:tcBorders>
              <w:bottom w:val="single" w:sz="4" w:space="0" w:color="auto"/>
            </w:tcBorders>
          </w:tcPr>
          <w:p w14:paraId="2B80D40A"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10-12</w:t>
            </w:r>
          </w:p>
        </w:tc>
        <w:tc>
          <w:tcPr>
            <w:tcW w:w="1417" w:type="dxa"/>
            <w:tcBorders>
              <w:bottom w:val="single" w:sz="4" w:space="0" w:color="auto"/>
            </w:tcBorders>
          </w:tcPr>
          <w:p w14:paraId="08534786"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20</w:t>
            </w:r>
          </w:p>
        </w:tc>
      </w:tr>
      <w:tr w:rsidR="00656166" w:rsidRPr="00031E88" w14:paraId="43B4C99D" w14:textId="77777777" w:rsidTr="001E49BC">
        <w:trPr>
          <w:jc w:val="center"/>
        </w:trPr>
        <w:tc>
          <w:tcPr>
            <w:tcW w:w="3119" w:type="dxa"/>
            <w:tcBorders>
              <w:top w:val="single" w:sz="4" w:space="0" w:color="auto"/>
            </w:tcBorders>
          </w:tcPr>
          <w:p w14:paraId="4EFB13EA" w14:textId="77777777" w:rsidR="00656166" w:rsidRPr="00031E88" w:rsidRDefault="00656166" w:rsidP="0004686A">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567" w:type="dxa"/>
            <w:tcBorders>
              <w:top w:val="single" w:sz="4" w:space="0" w:color="auto"/>
            </w:tcBorders>
          </w:tcPr>
          <w:p w14:paraId="1137CB8E"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I</w:t>
            </w:r>
          </w:p>
        </w:tc>
        <w:tc>
          <w:tcPr>
            <w:tcW w:w="1418" w:type="dxa"/>
            <w:tcBorders>
              <w:top w:val="single" w:sz="4" w:space="0" w:color="auto"/>
            </w:tcBorders>
          </w:tcPr>
          <w:p w14:paraId="2488CE5F" w14:textId="77777777" w:rsidR="00656166" w:rsidRPr="00031E88" w:rsidRDefault="00AE66BF" w:rsidP="0004686A">
            <w:pPr>
              <w:jc w:val="both"/>
              <w:rPr>
                <w:rFonts w:ascii="Arial" w:hAnsi="Arial" w:cs="Arial"/>
                <w:sz w:val="20"/>
                <w:szCs w:val="20"/>
              </w:rPr>
            </w:pPr>
            <w:r w:rsidRPr="00031E88">
              <w:rPr>
                <w:rFonts w:ascii="Arial" w:hAnsi="Arial" w:cs="Arial"/>
                <w:sz w:val="20"/>
                <w:szCs w:val="20"/>
              </w:rPr>
              <w:t>17.34</w:t>
            </w:r>
            <w:r w:rsidR="00656166" w:rsidRPr="00031E88">
              <w:rPr>
                <w:rFonts w:ascii="Arial" w:hAnsi="Arial" w:cs="Arial"/>
                <w:sz w:val="20"/>
                <w:szCs w:val="20"/>
              </w:rPr>
              <w:t>±</w:t>
            </w:r>
            <w:r w:rsidRPr="00031E88">
              <w:rPr>
                <w:rFonts w:ascii="Arial" w:hAnsi="Arial" w:cs="Arial"/>
                <w:sz w:val="20"/>
                <w:szCs w:val="20"/>
              </w:rPr>
              <w:t>0.82</w:t>
            </w:r>
          </w:p>
        </w:tc>
        <w:tc>
          <w:tcPr>
            <w:tcW w:w="992" w:type="dxa"/>
            <w:tcBorders>
              <w:top w:val="single" w:sz="4" w:space="0" w:color="auto"/>
            </w:tcBorders>
          </w:tcPr>
          <w:p w14:paraId="2F61C670"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16-18</w:t>
            </w:r>
          </w:p>
        </w:tc>
        <w:tc>
          <w:tcPr>
            <w:tcW w:w="1417" w:type="dxa"/>
            <w:tcBorders>
              <w:top w:val="single" w:sz="4" w:space="0" w:color="auto"/>
            </w:tcBorders>
          </w:tcPr>
          <w:p w14:paraId="55068BCE"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19.21±0.82</w:t>
            </w:r>
          </w:p>
        </w:tc>
        <w:tc>
          <w:tcPr>
            <w:tcW w:w="993" w:type="dxa"/>
            <w:tcBorders>
              <w:top w:val="single" w:sz="4" w:space="0" w:color="auto"/>
            </w:tcBorders>
          </w:tcPr>
          <w:p w14:paraId="772E44DC"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18-20</w:t>
            </w:r>
          </w:p>
        </w:tc>
        <w:tc>
          <w:tcPr>
            <w:tcW w:w="1417" w:type="dxa"/>
            <w:tcBorders>
              <w:top w:val="single" w:sz="4" w:space="0" w:color="auto"/>
            </w:tcBorders>
          </w:tcPr>
          <w:p w14:paraId="4514A2C2"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20</w:t>
            </w:r>
          </w:p>
        </w:tc>
      </w:tr>
      <w:tr w:rsidR="00656166" w:rsidRPr="00031E88" w14:paraId="7B305478" w14:textId="77777777" w:rsidTr="00D86384">
        <w:trPr>
          <w:jc w:val="center"/>
        </w:trPr>
        <w:tc>
          <w:tcPr>
            <w:tcW w:w="3119" w:type="dxa"/>
          </w:tcPr>
          <w:p w14:paraId="09A75D69" w14:textId="77777777" w:rsidR="00656166" w:rsidRPr="00031E88" w:rsidRDefault="00656166" w:rsidP="0004686A">
            <w:pPr>
              <w:jc w:val="both"/>
              <w:rPr>
                <w:rFonts w:ascii="Arial" w:hAnsi="Arial" w:cs="Arial"/>
                <w:sz w:val="20"/>
                <w:szCs w:val="20"/>
              </w:rPr>
            </w:pPr>
          </w:p>
        </w:tc>
        <w:tc>
          <w:tcPr>
            <w:tcW w:w="567" w:type="dxa"/>
          </w:tcPr>
          <w:p w14:paraId="74B742A8"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III</w:t>
            </w:r>
          </w:p>
        </w:tc>
        <w:tc>
          <w:tcPr>
            <w:tcW w:w="1418" w:type="dxa"/>
          </w:tcPr>
          <w:p w14:paraId="35852C1B" w14:textId="77777777" w:rsidR="00656166" w:rsidRPr="00031E88" w:rsidRDefault="00AE66BF" w:rsidP="0004686A">
            <w:pPr>
              <w:jc w:val="both"/>
              <w:rPr>
                <w:rFonts w:ascii="Arial" w:hAnsi="Arial" w:cs="Arial"/>
                <w:sz w:val="20"/>
                <w:szCs w:val="20"/>
              </w:rPr>
            </w:pPr>
            <w:r w:rsidRPr="00031E88">
              <w:rPr>
                <w:rFonts w:ascii="Arial" w:hAnsi="Arial" w:cs="Arial"/>
                <w:sz w:val="20"/>
                <w:szCs w:val="20"/>
              </w:rPr>
              <w:t>19.17</w:t>
            </w:r>
            <w:r w:rsidR="00656166" w:rsidRPr="00031E88">
              <w:rPr>
                <w:rFonts w:ascii="Arial" w:hAnsi="Arial" w:cs="Arial"/>
                <w:sz w:val="20"/>
                <w:szCs w:val="20"/>
              </w:rPr>
              <w:t>±</w:t>
            </w:r>
            <w:r w:rsidRPr="00031E88">
              <w:rPr>
                <w:rFonts w:ascii="Arial" w:hAnsi="Arial" w:cs="Arial"/>
                <w:sz w:val="20"/>
                <w:szCs w:val="20"/>
              </w:rPr>
              <w:t>0.78</w:t>
            </w:r>
          </w:p>
        </w:tc>
        <w:tc>
          <w:tcPr>
            <w:tcW w:w="992" w:type="dxa"/>
          </w:tcPr>
          <w:p w14:paraId="50F9D210"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18-20</w:t>
            </w:r>
          </w:p>
        </w:tc>
        <w:tc>
          <w:tcPr>
            <w:tcW w:w="1417" w:type="dxa"/>
          </w:tcPr>
          <w:p w14:paraId="1AFC89E1"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21.42±0.71</w:t>
            </w:r>
          </w:p>
        </w:tc>
        <w:tc>
          <w:tcPr>
            <w:tcW w:w="993" w:type="dxa"/>
          </w:tcPr>
          <w:p w14:paraId="65423CF3"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20-22</w:t>
            </w:r>
          </w:p>
        </w:tc>
        <w:tc>
          <w:tcPr>
            <w:tcW w:w="1417" w:type="dxa"/>
          </w:tcPr>
          <w:p w14:paraId="392929AB"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20</w:t>
            </w:r>
          </w:p>
        </w:tc>
      </w:tr>
      <w:tr w:rsidR="00656166" w:rsidRPr="00031E88" w14:paraId="2877E1C0" w14:textId="77777777" w:rsidTr="00D86384">
        <w:trPr>
          <w:jc w:val="center"/>
        </w:trPr>
        <w:tc>
          <w:tcPr>
            <w:tcW w:w="3119" w:type="dxa"/>
            <w:tcBorders>
              <w:bottom w:val="single" w:sz="4" w:space="0" w:color="auto"/>
            </w:tcBorders>
          </w:tcPr>
          <w:p w14:paraId="08256726" w14:textId="77777777" w:rsidR="00656166" w:rsidRPr="00031E88" w:rsidRDefault="00656166" w:rsidP="0004686A">
            <w:pPr>
              <w:jc w:val="both"/>
              <w:rPr>
                <w:rFonts w:ascii="Arial" w:hAnsi="Arial" w:cs="Arial"/>
                <w:sz w:val="20"/>
                <w:szCs w:val="20"/>
              </w:rPr>
            </w:pPr>
          </w:p>
        </w:tc>
        <w:tc>
          <w:tcPr>
            <w:tcW w:w="567" w:type="dxa"/>
            <w:tcBorders>
              <w:bottom w:val="single" w:sz="4" w:space="0" w:color="auto"/>
            </w:tcBorders>
          </w:tcPr>
          <w:p w14:paraId="1DF2D17B"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III</w:t>
            </w:r>
          </w:p>
        </w:tc>
        <w:tc>
          <w:tcPr>
            <w:tcW w:w="1418" w:type="dxa"/>
            <w:tcBorders>
              <w:bottom w:val="single" w:sz="4" w:space="0" w:color="auto"/>
            </w:tcBorders>
          </w:tcPr>
          <w:p w14:paraId="075B29C3" w14:textId="77777777" w:rsidR="00656166" w:rsidRPr="00031E88" w:rsidRDefault="00AE66BF" w:rsidP="0004686A">
            <w:pPr>
              <w:jc w:val="both"/>
              <w:rPr>
                <w:rFonts w:ascii="Arial" w:hAnsi="Arial" w:cs="Arial"/>
                <w:sz w:val="20"/>
                <w:szCs w:val="20"/>
              </w:rPr>
            </w:pPr>
            <w:r w:rsidRPr="00031E88">
              <w:rPr>
                <w:rFonts w:ascii="Arial" w:hAnsi="Arial" w:cs="Arial"/>
                <w:sz w:val="20"/>
                <w:szCs w:val="20"/>
              </w:rPr>
              <w:t>21.26</w:t>
            </w:r>
            <w:r w:rsidR="00656166" w:rsidRPr="00031E88">
              <w:rPr>
                <w:rFonts w:ascii="Arial" w:hAnsi="Arial" w:cs="Arial"/>
                <w:sz w:val="20"/>
                <w:szCs w:val="20"/>
              </w:rPr>
              <w:t>±</w:t>
            </w:r>
            <w:r w:rsidRPr="00031E88">
              <w:rPr>
                <w:rFonts w:ascii="Arial" w:hAnsi="Arial" w:cs="Arial"/>
                <w:sz w:val="20"/>
                <w:szCs w:val="20"/>
              </w:rPr>
              <w:t>0.45</w:t>
            </w:r>
          </w:p>
        </w:tc>
        <w:tc>
          <w:tcPr>
            <w:tcW w:w="992" w:type="dxa"/>
            <w:tcBorders>
              <w:bottom w:val="single" w:sz="4" w:space="0" w:color="auto"/>
            </w:tcBorders>
          </w:tcPr>
          <w:p w14:paraId="4F5DDBA8"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20-22</w:t>
            </w:r>
          </w:p>
        </w:tc>
        <w:tc>
          <w:tcPr>
            <w:tcW w:w="1417" w:type="dxa"/>
            <w:tcBorders>
              <w:bottom w:val="single" w:sz="4" w:space="0" w:color="auto"/>
            </w:tcBorders>
          </w:tcPr>
          <w:p w14:paraId="5EC09040"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23.64±0.50</w:t>
            </w:r>
          </w:p>
        </w:tc>
        <w:tc>
          <w:tcPr>
            <w:tcW w:w="993" w:type="dxa"/>
            <w:tcBorders>
              <w:bottom w:val="single" w:sz="4" w:space="0" w:color="auto"/>
            </w:tcBorders>
          </w:tcPr>
          <w:p w14:paraId="1C6AC763"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22-24</w:t>
            </w:r>
          </w:p>
        </w:tc>
        <w:tc>
          <w:tcPr>
            <w:tcW w:w="1417" w:type="dxa"/>
            <w:tcBorders>
              <w:bottom w:val="single" w:sz="4" w:space="0" w:color="auto"/>
            </w:tcBorders>
          </w:tcPr>
          <w:p w14:paraId="476FD62A" w14:textId="77777777" w:rsidR="00656166" w:rsidRPr="00031E88" w:rsidRDefault="00656166" w:rsidP="0004686A">
            <w:pPr>
              <w:jc w:val="both"/>
              <w:rPr>
                <w:rFonts w:ascii="Arial" w:hAnsi="Arial" w:cs="Arial"/>
                <w:sz w:val="20"/>
                <w:szCs w:val="20"/>
              </w:rPr>
            </w:pPr>
            <w:r w:rsidRPr="00031E88">
              <w:rPr>
                <w:rFonts w:ascii="Arial" w:hAnsi="Arial" w:cs="Arial"/>
                <w:sz w:val="20"/>
                <w:szCs w:val="20"/>
              </w:rPr>
              <w:t>20</w:t>
            </w:r>
          </w:p>
        </w:tc>
      </w:tr>
    </w:tbl>
    <w:p w14:paraId="1A1C4A16" w14:textId="77777777" w:rsidR="003654A0" w:rsidRPr="00031E88" w:rsidRDefault="003654A0" w:rsidP="0004686A">
      <w:pPr>
        <w:spacing w:line="480" w:lineRule="auto"/>
        <w:jc w:val="both"/>
        <w:rPr>
          <w:rFonts w:ascii="Arial" w:hAnsi="Arial" w:cs="Arial"/>
          <w:b/>
          <w:bCs/>
          <w:sz w:val="20"/>
          <w:szCs w:val="20"/>
        </w:rPr>
      </w:pPr>
    </w:p>
    <w:p w14:paraId="4A52DE78" w14:textId="77777777" w:rsidR="00ED2989" w:rsidRPr="00031E88" w:rsidRDefault="00ED2989" w:rsidP="0004686A">
      <w:pPr>
        <w:spacing w:line="240" w:lineRule="auto"/>
        <w:jc w:val="both"/>
        <w:rPr>
          <w:rFonts w:ascii="Arial" w:hAnsi="Arial" w:cs="Arial"/>
          <w:sz w:val="20"/>
          <w:szCs w:val="20"/>
        </w:rPr>
      </w:pPr>
      <w:r w:rsidRPr="00031E88">
        <w:rPr>
          <w:rFonts w:ascii="Arial" w:hAnsi="Arial" w:cs="Arial"/>
          <w:b/>
          <w:bCs/>
          <w:sz w:val="20"/>
          <w:szCs w:val="20"/>
        </w:rPr>
        <w:t>Table 2.</w:t>
      </w:r>
      <w:r w:rsidRPr="00031E88">
        <w:rPr>
          <w:rFonts w:ascii="Arial" w:hAnsi="Arial" w:cs="Arial"/>
          <w:sz w:val="20"/>
          <w:szCs w:val="20"/>
        </w:rPr>
        <w:t xml:space="preserve"> Average concentrations of heay metals (ppm ± SD) in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101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1406"/>
        <w:gridCol w:w="1406"/>
        <w:gridCol w:w="1293"/>
        <w:gridCol w:w="1560"/>
        <w:gridCol w:w="1547"/>
        <w:gridCol w:w="1418"/>
      </w:tblGrid>
      <w:tr w:rsidR="00ED2989" w:rsidRPr="00031E88" w14:paraId="39EDF8ED" w14:textId="77777777" w:rsidTr="00805663">
        <w:trPr>
          <w:jc w:val="center"/>
        </w:trPr>
        <w:tc>
          <w:tcPr>
            <w:tcW w:w="1565" w:type="dxa"/>
            <w:tcBorders>
              <w:top w:val="single" w:sz="4" w:space="0" w:color="auto"/>
              <w:bottom w:val="single" w:sz="4" w:space="0" w:color="auto"/>
            </w:tcBorders>
          </w:tcPr>
          <w:p w14:paraId="682D8F70" w14:textId="77777777" w:rsidR="00ED2989" w:rsidRPr="00031E88" w:rsidRDefault="00ED2989" w:rsidP="0004686A">
            <w:pPr>
              <w:jc w:val="both"/>
              <w:rPr>
                <w:rFonts w:ascii="Arial" w:hAnsi="Arial" w:cs="Arial"/>
                <w:sz w:val="20"/>
                <w:szCs w:val="20"/>
              </w:rPr>
            </w:pPr>
          </w:p>
        </w:tc>
        <w:tc>
          <w:tcPr>
            <w:tcW w:w="1406" w:type="dxa"/>
            <w:tcBorders>
              <w:top w:val="single" w:sz="4" w:space="0" w:color="auto"/>
              <w:bottom w:val="single" w:sz="4" w:space="0" w:color="auto"/>
            </w:tcBorders>
          </w:tcPr>
          <w:p w14:paraId="36E4A078" w14:textId="77777777" w:rsidR="00ED2989" w:rsidRPr="00031E88" w:rsidRDefault="00ED2989" w:rsidP="0004686A">
            <w:pPr>
              <w:jc w:val="both"/>
              <w:rPr>
                <w:rFonts w:ascii="Arial" w:hAnsi="Arial" w:cs="Arial"/>
                <w:b/>
                <w:bCs/>
                <w:sz w:val="20"/>
                <w:szCs w:val="20"/>
              </w:rPr>
            </w:pPr>
          </w:p>
        </w:tc>
        <w:tc>
          <w:tcPr>
            <w:tcW w:w="1406" w:type="dxa"/>
            <w:tcBorders>
              <w:top w:val="single" w:sz="4" w:space="0" w:color="auto"/>
              <w:bottom w:val="single" w:sz="4" w:space="0" w:color="auto"/>
            </w:tcBorders>
          </w:tcPr>
          <w:p w14:paraId="7BECDAD4" w14:textId="77777777" w:rsidR="00ED2989" w:rsidRPr="00031E88" w:rsidRDefault="00ED2989" w:rsidP="0004686A">
            <w:pPr>
              <w:jc w:val="both"/>
              <w:rPr>
                <w:rFonts w:ascii="Arial" w:hAnsi="Arial" w:cs="Arial"/>
                <w:b/>
                <w:bCs/>
                <w:sz w:val="20"/>
                <w:szCs w:val="20"/>
              </w:rPr>
            </w:pPr>
            <w:r w:rsidRPr="00031E88">
              <w:rPr>
                <w:rFonts w:ascii="Arial" w:hAnsi="Arial" w:cs="Arial"/>
                <w:b/>
                <w:bCs/>
                <w:sz w:val="20"/>
                <w:szCs w:val="20"/>
              </w:rPr>
              <w:t>Al</w:t>
            </w:r>
          </w:p>
        </w:tc>
        <w:tc>
          <w:tcPr>
            <w:tcW w:w="1293" w:type="dxa"/>
            <w:tcBorders>
              <w:top w:val="single" w:sz="4" w:space="0" w:color="auto"/>
              <w:bottom w:val="single" w:sz="4" w:space="0" w:color="auto"/>
            </w:tcBorders>
          </w:tcPr>
          <w:p w14:paraId="489402E8" w14:textId="77777777" w:rsidR="00ED2989" w:rsidRPr="00031E88" w:rsidRDefault="00ED2989" w:rsidP="0004686A">
            <w:pPr>
              <w:jc w:val="both"/>
              <w:rPr>
                <w:rFonts w:ascii="Arial" w:hAnsi="Arial" w:cs="Arial"/>
                <w:b/>
                <w:bCs/>
                <w:sz w:val="20"/>
                <w:szCs w:val="20"/>
              </w:rPr>
            </w:pPr>
            <w:r w:rsidRPr="00031E88">
              <w:rPr>
                <w:rFonts w:ascii="Arial" w:hAnsi="Arial" w:cs="Arial"/>
                <w:b/>
                <w:bCs/>
                <w:sz w:val="20"/>
                <w:szCs w:val="20"/>
              </w:rPr>
              <w:t>Pb</w:t>
            </w:r>
          </w:p>
        </w:tc>
        <w:tc>
          <w:tcPr>
            <w:tcW w:w="1560" w:type="dxa"/>
            <w:tcBorders>
              <w:top w:val="single" w:sz="4" w:space="0" w:color="auto"/>
              <w:bottom w:val="single" w:sz="4" w:space="0" w:color="auto"/>
            </w:tcBorders>
          </w:tcPr>
          <w:p w14:paraId="71405CEA" w14:textId="77777777" w:rsidR="00ED2989" w:rsidRPr="00031E88" w:rsidRDefault="00ED2989" w:rsidP="0004686A">
            <w:pPr>
              <w:jc w:val="both"/>
              <w:rPr>
                <w:rFonts w:ascii="Arial" w:hAnsi="Arial" w:cs="Arial"/>
                <w:b/>
                <w:bCs/>
                <w:sz w:val="20"/>
                <w:szCs w:val="20"/>
              </w:rPr>
            </w:pPr>
            <w:r w:rsidRPr="00031E88">
              <w:rPr>
                <w:rFonts w:ascii="Arial" w:hAnsi="Arial" w:cs="Arial"/>
                <w:b/>
                <w:bCs/>
                <w:sz w:val="20"/>
                <w:szCs w:val="20"/>
              </w:rPr>
              <w:t>Zn</w:t>
            </w:r>
          </w:p>
        </w:tc>
        <w:tc>
          <w:tcPr>
            <w:tcW w:w="1547" w:type="dxa"/>
            <w:tcBorders>
              <w:top w:val="single" w:sz="4" w:space="0" w:color="auto"/>
              <w:bottom w:val="single" w:sz="4" w:space="0" w:color="auto"/>
            </w:tcBorders>
          </w:tcPr>
          <w:p w14:paraId="4D3966A8" w14:textId="77777777" w:rsidR="00ED2989" w:rsidRPr="00031E88" w:rsidRDefault="00ED2989" w:rsidP="0004686A">
            <w:pPr>
              <w:jc w:val="both"/>
              <w:rPr>
                <w:rFonts w:ascii="Arial" w:hAnsi="Arial" w:cs="Arial"/>
                <w:b/>
                <w:bCs/>
                <w:sz w:val="20"/>
                <w:szCs w:val="20"/>
              </w:rPr>
            </w:pPr>
            <w:r w:rsidRPr="00031E88">
              <w:rPr>
                <w:rFonts w:ascii="Arial" w:hAnsi="Arial" w:cs="Arial"/>
                <w:b/>
                <w:bCs/>
                <w:sz w:val="20"/>
                <w:szCs w:val="20"/>
              </w:rPr>
              <w:t>Cu</w:t>
            </w:r>
          </w:p>
        </w:tc>
        <w:tc>
          <w:tcPr>
            <w:tcW w:w="1418" w:type="dxa"/>
            <w:tcBorders>
              <w:top w:val="single" w:sz="4" w:space="0" w:color="auto"/>
              <w:bottom w:val="single" w:sz="4" w:space="0" w:color="auto"/>
            </w:tcBorders>
          </w:tcPr>
          <w:p w14:paraId="2E24195E" w14:textId="77777777" w:rsidR="00ED2989" w:rsidRPr="00031E88" w:rsidRDefault="00ED2989" w:rsidP="0004686A">
            <w:pPr>
              <w:jc w:val="both"/>
              <w:rPr>
                <w:rFonts w:ascii="Arial" w:hAnsi="Arial" w:cs="Arial"/>
                <w:b/>
                <w:bCs/>
                <w:sz w:val="20"/>
                <w:szCs w:val="20"/>
              </w:rPr>
            </w:pPr>
            <w:r w:rsidRPr="00031E88">
              <w:rPr>
                <w:rFonts w:ascii="Arial" w:hAnsi="Arial" w:cs="Arial"/>
                <w:b/>
                <w:bCs/>
                <w:sz w:val="20"/>
                <w:szCs w:val="20"/>
              </w:rPr>
              <w:t>Cd</w:t>
            </w:r>
          </w:p>
        </w:tc>
      </w:tr>
      <w:tr w:rsidR="00ED2989" w:rsidRPr="00031E88" w14:paraId="03833C17" w14:textId="77777777" w:rsidTr="00805663">
        <w:trPr>
          <w:jc w:val="center"/>
        </w:trPr>
        <w:tc>
          <w:tcPr>
            <w:tcW w:w="4377" w:type="dxa"/>
            <w:gridSpan w:val="3"/>
            <w:tcBorders>
              <w:top w:val="single" w:sz="4" w:space="0" w:color="auto"/>
            </w:tcBorders>
          </w:tcPr>
          <w:p w14:paraId="79736466" w14:textId="77777777" w:rsidR="00ED2989" w:rsidRPr="00031E88" w:rsidRDefault="00ED2989" w:rsidP="0004686A">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1293" w:type="dxa"/>
            <w:tcBorders>
              <w:top w:val="single" w:sz="4" w:space="0" w:color="auto"/>
            </w:tcBorders>
          </w:tcPr>
          <w:p w14:paraId="5ADFA81F" w14:textId="77777777" w:rsidR="00ED2989" w:rsidRPr="00031E88" w:rsidRDefault="00ED2989" w:rsidP="0004686A">
            <w:pPr>
              <w:jc w:val="both"/>
              <w:rPr>
                <w:rFonts w:ascii="Arial" w:hAnsi="Arial" w:cs="Arial"/>
                <w:sz w:val="20"/>
                <w:szCs w:val="20"/>
              </w:rPr>
            </w:pPr>
          </w:p>
        </w:tc>
        <w:tc>
          <w:tcPr>
            <w:tcW w:w="1560" w:type="dxa"/>
            <w:tcBorders>
              <w:top w:val="single" w:sz="4" w:space="0" w:color="auto"/>
            </w:tcBorders>
          </w:tcPr>
          <w:p w14:paraId="51418BE5" w14:textId="77777777" w:rsidR="00ED2989" w:rsidRPr="00031E88" w:rsidRDefault="00ED2989" w:rsidP="0004686A">
            <w:pPr>
              <w:jc w:val="both"/>
              <w:rPr>
                <w:rFonts w:ascii="Arial" w:hAnsi="Arial" w:cs="Arial"/>
                <w:sz w:val="20"/>
                <w:szCs w:val="20"/>
              </w:rPr>
            </w:pPr>
          </w:p>
        </w:tc>
        <w:tc>
          <w:tcPr>
            <w:tcW w:w="1547" w:type="dxa"/>
            <w:tcBorders>
              <w:top w:val="single" w:sz="4" w:space="0" w:color="auto"/>
            </w:tcBorders>
          </w:tcPr>
          <w:p w14:paraId="5AA0B9D7" w14:textId="77777777" w:rsidR="00ED2989" w:rsidRPr="00031E88" w:rsidRDefault="00ED2989" w:rsidP="0004686A">
            <w:pPr>
              <w:jc w:val="both"/>
              <w:rPr>
                <w:rFonts w:ascii="Arial" w:hAnsi="Arial" w:cs="Arial"/>
                <w:sz w:val="20"/>
                <w:szCs w:val="20"/>
              </w:rPr>
            </w:pPr>
          </w:p>
        </w:tc>
        <w:tc>
          <w:tcPr>
            <w:tcW w:w="1418" w:type="dxa"/>
            <w:tcBorders>
              <w:top w:val="single" w:sz="4" w:space="0" w:color="auto"/>
            </w:tcBorders>
          </w:tcPr>
          <w:p w14:paraId="63064B4A" w14:textId="77777777" w:rsidR="00ED2989" w:rsidRPr="00031E88" w:rsidRDefault="00ED2989" w:rsidP="0004686A">
            <w:pPr>
              <w:jc w:val="both"/>
              <w:rPr>
                <w:rFonts w:ascii="Arial" w:hAnsi="Arial" w:cs="Arial"/>
                <w:sz w:val="20"/>
                <w:szCs w:val="20"/>
              </w:rPr>
            </w:pPr>
          </w:p>
        </w:tc>
      </w:tr>
      <w:tr w:rsidR="00ED2989" w:rsidRPr="00031E88" w14:paraId="0600FC6B" w14:textId="77777777" w:rsidTr="00805663">
        <w:trPr>
          <w:jc w:val="center"/>
        </w:trPr>
        <w:tc>
          <w:tcPr>
            <w:tcW w:w="1565" w:type="dxa"/>
          </w:tcPr>
          <w:p w14:paraId="5CA4E88A"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I</w:t>
            </w:r>
          </w:p>
        </w:tc>
        <w:tc>
          <w:tcPr>
            <w:tcW w:w="1406" w:type="dxa"/>
          </w:tcPr>
          <w:p w14:paraId="3D79DA16"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Muscle</w:t>
            </w:r>
          </w:p>
        </w:tc>
        <w:tc>
          <w:tcPr>
            <w:tcW w:w="1406" w:type="dxa"/>
          </w:tcPr>
          <w:p w14:paraId="06B063AC" w14:textId="77777777" w:rsidR="00ED2989" w:rsidRPr="00031E88" w:rsidRDefault="00ED2989" w:rsidP="0004686A">
            <w:pPr>
              <w:jc w:val="both"/>
              <w:rPr>
                <w:rFonts w:ascii="Arial" w:hAnsi="Arial" w:cs="Arial"/>
                <w:sz w:val="20"/>
                <w:szCs w:val="20"/>
                <w:lang w:val="en-GB"/>
              </w:rPr>
            </w:pPr>
            <w:r w:rsidRPr="00031E88">
              <w:rPr>
                <w:rFonts w:ascii="Arial" w:hAnsi="Arial" w:cs="Arial"/>
                <w:sz w:val="20"/>
                <w:szCs w:val="20"/>
              </w:rPr>
              <w:t>4.35±0.21</w:t>
            </w:r>
          </w:p>
        </w:tc>
        <w:tc>
          <w:tcPr>
            <w:tcW w:w="1293" w:type="dxa"/>
          </w:tcPr>
          <w:p w14:paraId="37EC839E"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0.25±0.02</w:t>
            </w:r>
          </w:p>
        </w:tc>
        <w:tc>
          <w:tcPr>
            <w:tcW w:w="1560" w:type="dxa"/>
          </w:tcPr>
          <w:p w14:paraId="07821ED7"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12.34±1.33</w:t>
            </w:r>
          </w:p>
        </w:tc>
        <w:tc>
          <w:tcPr>
            <w:tcW w:w="1547" w:type="dxa"/>
          </w:tcPr>
          <w:p w14:paraId="25E5DACD"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7.34±0.13</w:t>
            </w:r>
          </w:p>
        </w:tc>
        <w:tc>
          <w:tcPr>
            <w:tcW w:w="1418" w:type="dxa"/>
          </w:tcPr>
          <w:p w14:paraId="7E07A2E4"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0.13±0.02</w:t>
            </w:r>
          </w:p>
        </w:tc>
      </w:tr>
      <w:tr w:rsidR="00ED2989" w:rsidRPr="00031E88" w14:paraId="67C6F984" w14:textId="77777777" w:rsidTr="00805663">
        <w:trPr>
          <w:jc w:val="center"/>
        </w:trPr>
        <w:tc>
          <w:tcPr>
            <w:tcW w:w="1565" w:type="dxa"/>
          </w:tcPr>
          <w:p w14:paraId="6EE04473" w14:textId="77777777" w:rsidR="00ED2989" w:rsidRPr="00031E88" w:rsidRDefault="00ED2989" w:rsidP="0004686A">
            <w:pPr>
              <w:jc w:val="both"/>
              <w:rPr>
                <w:rFonts w:ascii="Arial" w:hAnsi="Arial" w:cs="Arial"/>
                <w:sz w:val="20"/>
                <w:szCs w:val="20"/>
              </w:rPr>
            </w:pPr>
          </w:p>
        </w:tc>
        <w:tc>
          <w:tcPr>
            <w:tcW w:w="1406" w:type="dxa"/>
          </w:tcPr>
          <w:p w14:paraId="2CAED6BB"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Exoskeleton</w:t>
            </w:r>
          </w:p>
        </w:tc>
        <w:tc>
          <w:tcPr>
            <w:tcW w:w="1406" w:type="dxa"/>
          </w:tcPr>
          <w:p w14:paraId="4A708D96"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3.16±0.64</w:t>
            </w:r>
          </w:p>
        </w:tc>
        <w:tc>
          <w:tcPr>
            <w:tcW w:w="1293" w:type="dxa"/>
          </w:tcPr>
          <w:p w14:paraId="5AF4A289"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0.27±0.10</w:t>
            </w:r>
          </w:p>
        </w:tc>
        <w:tc>
          <w:tcPr>
            <w:tcW w:w="1560" w:type="dxa"/>
          </w:tcPr>
          <w:p w14:paraId="760C42F3"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15.21±2.16</w:t>
            </w:r>
          </w:p>
        </w:tc>
        <w:tc>
          <w:tcPr>
            <w:tcW w:w="1547" w:type="dxa"/>
          </w:tcPr>
          <w:p w14:paraId="4F7154AB"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8.21±1.04</w:t>
            </w:r>
          </w:p>
        </w:tc>
        <w:tc>
          <w:tcPr>
            <w:tcW w:w="1418" w:type="dxa"/>
          </w:tcPr>
          <w:p w14:paraId="49CA0FA5"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0.15±0.02</w:t>
            </w:r>
          </w:p>
        </w:tc>
      </w:tr>
      <w:tr w:rsidR="00ED2989" w:rsidRPr="00031E88" w14:paraId="61DF9D3A" w14:textId="77777777" w:rsidTr="00805663">
        <w:trPr>
          <w:jc w:val="center"/>
        </w:trPr>
        <w:tc>
          <w:tcPr>
            <w:tcW w:w="1565" w:type="dxa"/>
          </w:tcPr>
          <w:p w14:paraId="575F2F38"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II</w:t>
            </w:r>
          </w:p>
        </w:tc>
        <w:tc>
          <w:tcPr>
            <w:tcW w:w="1406" w:type="dxa"/>
          </w:tcPr>
          <w:p w14:paraId="79A35141"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Muscle</w:t>
            </w:r>
          </w:p>
        </w:tc>
        <w:tc>
          <w:tcPr>
            <w:tcW w:w="1406" w:type="dxa"/>
          </w:tcPr>
          <w:p w14:paraId="0971299F"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3.09±0.22</w:t>
            </w:r>
          </w:p>
        </w:tc>
        <w:tc>
          <w:tcPr>
            <w:tcW w:w="1293" w:type="dxa"/>
          </w:tcPr>
          <w:p w14:paraId="555667BE"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0.23±0.03</w:t>
            </w:r>
          </w:p>
        </w:tc>
        <w:tc>
          <w:tcPr>
            <w:tcW w:w="1560" w:type="dxa"/>
          </w:tcPr>
          <w:p w14:paraId="6ED6B997"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21.74±3.07</w:t>
            </w:r>
          </w:p>
        </w:tc>
        <w:tc>
          <w:tcPr>
            <w:tcW w:w="1547" w:type="dxa"/>
          </w:tcPr>
          <w:p w14:paraId="3E9AC054"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8.39±1.23</w:t>
            </w:r>
          </w:p>
        </w:tc>
        <w:tc>
          <w:tcPr>
            <w:tcW w:w="1418" w:type="dxa"/>
          </w:tcPr>
          <w:p w14:paraId="51D134B3"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0.17±0.01</w:t>
            </w:r>
          </w:p>
        </w:tc>
      </w:tr>
      <w:tr w:rsidR="00ED2989" w:rsidRPr="00031E88" w14:paraId="10EE4CB0" w14:textId="77777777" w:rsidTr="00805663">
        <w:trPr>
          <w:jc w:val="center"/>
        </w:trPr>
        <w:tc>
          <w:tcPr>
            <w:tcW w:w="1565" w:type="dxa"/>
          </w:tcPr>
          <w:p w14:paraId="5A9FB0FB" w14:textId="77777777" w:rsidR="00ED2989" w:rsidRPr="00031E88" w:rsidRDefault="00ED2989" w:rsidP="0004686A">
            <w:pPr>
              <w:jc w:val="both"/>
              <w:rPr>
                <w:rFonts w:ascii="Arial" w:hAnsi="Arial" w:cs="Arial"/>
                <w:sz w:val="20"/>
                <w:szCs w:val="20"/>
              </w:rPr>
            </w:pPr>
          </w:p>
        </w:tc>
        <w:tc>
          <w:tcPr>
            <w:tcW w:w="1406" w:type="dxa"/>
          </w:tcPr>
          <w:p w14:paraId="3B557123"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Exoskeleton</w:t>
            </w:r>
          </w:p>
        </w:tc>
        <w:tc>
          <w:tcPr>
            <w:tcW w:w="1406" w:type="dxa"/>
          </w:tcPr>
          <w:p w14:paraId="57E23164"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3.01±0.53</w:t>
            </w:r>
          </w:p>
        </w:tc>
        <w:tc>
          <w:tcPr>
            <w:tcW w:w="1293" w:type="dxa"/>
          </w:tcPr>
          <w:p w14:paraId="1B8DB5D4"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0.25±0.02</w:t>
            </w:r>
          </w:p>
        </w:tc>
        <w:tc>
          <w:tcPr>
            <w:tcW w:w="1560" w:type="dxa"/>
          </w:tcPr>
          <w:p w14:paraId="26853A18"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22.43±1.12</w:t>
            </w:r>
          </w:p>
        </w:tc>
        <w:tc>
          <w:tcPr>
            <w:tcW w:w="1547" w:type="dxa"/>
          </w:tcPr>
          <w:p w14:paraId="60126769"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8.48±2.31</w:t>
            </w:r>
          </w:p>
        </w:tc>
        <w:tc>
          <w:tcPr>
            <w:tcW w:w="1418" w:type="dxa"/>
          </w:tcPr>
          <w:p w14:paraId="3D1605EE"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0.21±0.04</w:t>
            </w:r>
          </w:p>
        </w:tc>
      </w:tr>
      <w:tr w:rsidR="00ED2989" w:rsidRPr="00031E88" w14:paraId="34F1271A" w14:textId="77777777" w:rsidTr="00805663">
        <w:trPr>
          <w:jc w:val="center"/>
        </w:trPr>
        <w:tc>
          <w:tcPr>
            <w:tcW w:w="1565" w:type="dxa"/>
          </w:tcPr>
          <w:p w14:paraId="2100AB85" w14:textId="77777777" w:rsidR="00ED2989" w:rsidRPr="00031E88" w:rsidRDefault="00ED2989" w:rsidP="0004686A">
            <w:pPr>
              <w:jc w:val="both"/>
              <w:rPr>
                <w:rFonts w:ascii="Arial" w:hAnsi="Arial" w:cs="Arial"/>
                <w:sz w:val="20"/>
                <w:szCs w:val="20"/>
                <w:lang w:val="en-GB"/>
              </w:rPr>
            </w:pPr>
            <w:r w:rsidRPr="00031E88">
              <w:rPr>
                <w:rFonts w:ascii="Arial" w:hAnsi="Arial" w:cs="Arial"/>
                <w:sz w:val="20"/>
                <w:szCs w:val="20"/>
              </w:rPr>
              <w:t>II</w:t>
            </w:r>
            <w:r w:rsidRPr="00031E88">
              <w:rPr>
                <w:rFonts w:ascii="Arial" w:hAnsi="Arial" w:cs="Arial"/>
                <w:sz w:val="20"/>
                <w:szCs w:val="20"/>
                <w:lang w:val="en-GB"/>
              </w:rPr>
              <w:t>I</w:t>
            </w:r>
          </w:p>
        </w:tc>
        <w:tc>
          <w:tcPr>
            <w:tcW w:w="1406" w:type="dxa"/>
          </w:tcPr>
          <w:p w14:paraId="31C0CDE8"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Muscle</w:t>
            </w:r>
          </w:p>
        </w:tc>
        <w:tc>
          <w:tcPr>
            <w:tcW w:w="1406" w:type="dxa"/>
          </w:tcPr>
          <w:p w14:paraId="4CA806C9"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6.32±0.29</w:t>
            </w:r>
          </w:p>
        </w:tc>
        <w:tc>
          <w:tcPr>
            <w:tcW w:w="1293" w:type="dxa"/>
          </w:tcPr>
          <w:p w14:paraId="65192E20"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0.63±0.19</w:t>
            </w:r>
          </w:p>
        </w:tc>
        <w:tc>
          <w:tcPr>
            <w:tcW w:w="1560" w:type="dxa"/>
          </w:tcPr>
          <w:p w14:paraId="120B6B0D"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30.16±4.17</w:t>
            </w:r>
          </w:p>
        </w:tc>
        <w:tc>
          <w:tcPr>
            <w:tcW w:w="1547" w:type="dxa"/>
          </w:tcPr>
          <w:p w14:paraId="5B169B00"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6.67±2.12</w:t>
            </w:r>
          </w:p>
        </w:tc>
        <w:tc>
          <w:tcPr>
            <w:tcW w:w="1418" w:type="dxa"/>
          </w:tcPr>
          <w:p w14:paraId="0D454192"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0.20±0.01</w:t>
            </w:r>
          </w:p>
        </w:tc>
      </w:tr>
      <w:tr w:rsidR="00ED2989" w:rsidRPr="00031E88" w14:paraId="72667EF9" w14:textId="77777777" w:rsidTr="00805663">
        <w:trPr>
          <w:jc w:val="center"/>
        </w:trPr>
        <w:tc>
          <w:tcPr>
            <w:tcW w:w="1565" w:type="dxa"/>
            <w:tcBorders>
              <w:bottom w:val="single" w:sz="4" w:space="0" w:color="auto"/>
            </w:tcBorders>
          </w:tcPr>
          <w:p w14:paraId="2275D89A" w14:textId="77777777" w:rsidR="00ED2989" w:rsidRPr="00031E88" w:rsidRDefault="00ED2989" w:rsidP="0004686A">
            <w:pPr>
              <w:jc w:val="both"/>
              <w:rPr>
                <w:rFonts w:ascii="Arial" w:hAnsi="Arial" w:cs="Arial"/>
                <w:sz w:val="20"/>
                <w:szCs w:val="20"/>
              </w:rPr>
            </w:pPr>
          </w:p>
        </w:tc>
        <w:tc>
          <w:tcPr>
            <w:tcW w:w="1406" w:type="dxa"/>
            <w:tcBorders>
              <w:bottom w:val="single" w:sz="4" w:space="0" w:color="auto"/>
            </w:tcBorders>
          </w:tcPr>
          <w:p w14:paraId="1E0362B7"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Exoskeleton</w:t>
            </w:r>
          </w:p>
        </w:tc>
        <w:tc>
          <w:tcPr>
            <w:tcW w:w="1406" w:type="dxa"/>
            <w:tcBorders>
              <w:bottom w:val="single" w:sz="4" w:space="0" w:color="auto"/>
            </w:tcBorders>
          </w:tcPr>
          <w:p w14:paraId="02EEC6FF"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4.33±0.11</w:t>
            </w:r>
          </w:p>
        </w:tc>
        <w:tc>
          <w:tcPr>
            <w:tcW w:w="1293" w:type="dxa"/>
            <w:tcBorders>
              <w:bottom w:val="single" w:sz="4" w:space="0" w:color="auto"/>
            </w:tcBorders>
          </w:tcPr>
          <w:p w14:paraId="1D54E72D"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0.66±0.28</w:t>
            </w:r>
          </w:p>
        </w:tc>
        <w:tc>
          <w:tcPr>
            <w:tcW w:w="1560" w:type="dxa"/>
            <w:tcBorders>
              <w:bottom w:val="single" w:sz="4" w:space="0" w:color="auto"/>
            </w:tcBorders>
          </w:tcPr>
          <w:p w14:paraId="5D356837"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37.45±5.67</w:t>
            </w:r>
          </w:p>
        </w:tc>
        <w:tc>
          <w:tcPr>
            <w:tcW w:w="1547" w:type="dxa"/>
            <w:tcBorders>
              <w:bottom w:val="single" w:sz="4" w:space="0" w:color="auto"/>
            </w:tcBorders>
          </w:tcPr>
          <w:p w14:paraId="64EBDFAB"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5.32±1.42</w:t>
            </w:r>
          </w:p>
        </w:tc>
        <w:tc>
          <w:tcPr>
            <w:tcW w:w="1418" w:type="dxa"/>
            <w:tcBorders>
              <w:bottom w:val="single" w:sz="4" w:space="0" w:color="auto"/>
            </w:tcBorders>
          </w:tcPr>
          <w:p w14:paraId="47F08D38"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0.21±0.01</w:t>
            </w:r>
          </w:p>
        </w:tc>
      </w:tr>
      <w:tr w:rsidR="00ED2989" w:rsidRPr="00031E88" w14:paraId="62526E6B" w14:textId="77777777" w:rsidTr="00805663">
        <w:trPr>
          <w:jc w:val="center"/>
        </w:trPr>
        <w:tc>
          <w:tcPr>
            <w:tcW w:w="4377" w:type="dxa"/>
            <w:gridSpan w:val="3"/>
            <w:tcBorders>
              <w:top w:val="single" w:sz="4" w:space="0" w:color="auto"/>
            </w:tcBorders>
          </w:tcPr>
          <w:p w14:paraId="61220A4B" w14:textId="77777777" w:rsidR="00ED2989" w:rsidRPr="00031E88" w:rsidRDefault="00ED2989" w:rsidP="0004686A">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1293" w:type="dxa"/>
            <w:tcBorders>
              <w:top w:val="single" w:sz="4" w:space="0" w:color="auto"/>
            </w:tcBorders>
          </w:tcPr>
          <w:p w14:paraId="71F1D88D" w14:textId="77777777" w:rsidR="00ED2989" w:rsidRPr="00031E88" w:rsidRDefault="00ED2989" w:rsidP="0004686A">
            <w:pPr>
              <w:jc w:val="both"/>
              <w:rPr>
                <w:rFonts w:ascii="Arial" w:hAnsi="Arial" w:cs="Arial"/>
                <w:sz w:val="20"/>
                <w:szCs w:val="20"/>
              </w:rPr>
            </w:pPr>
          </w:p>
        </w:tc>
        <w:tc>
          <w:tcPr>
            <w:tcW w:w="1560" w:type="dxa"/>
            <w:tcBorders>
              <w:top w:val="single" w:sz="4" w:space="0" w:color="auto"/>
            </w:tcBorders>
          </w:tcPr>
          <w:p w14:paraId="660D9C58" w14:textId="77777777" w:rsidR="00ED2989" w:rsidRPr="00031E88" w:rsidRDefault="00ED2989" w:rsidP="0004686A">
            <w:pPr>
              <w:jc w:val="both"/>
              <w:rPr>
                <w:rFonts w:ascii="Arial" w:hAnsi="Arial" w:cs="Arial"/>
                <w:sz w:val="20"/>
                <w:szCs w:val="20"/>
              </w:rPr>
            </w:pPr>
          </w:p>
        </w:tc>
        <w:tc>
          <w:tcPr>
            <w:tcW w:w="1547" w:type="dxa"/>
            <w:tcBorders>
              <w:top w:val="single" w:sz="4" w:space="0" w:color="auto"/>
            </w:tcBorders>
          </w:tcPr>
          <w:p w14:paraId="3333D760" w14:textId="77777777" w:rsidR="00ED2989" w:rsidRPr="00031E88" w:rsidRDefault="00ED2989" w:rsidP="0004686A">
            <w:pPr>
              <w:jc w:val="both"/>
              <w:rPr>
                <w:rFonts w:ascii="Arial" w:hAnsi="Arial" w:cs="Arial"/>
                <w:sz w:val="20"/>
                <w:szCs w:val="20"/>
              </w:rPr>
            </w:pPr>
          </w:p>
        </w:tc>
        <w:tc>
          <w:tcPr>
            <w:tcW w:w="1418" w:type="dxa"/>
            <w:tcBorders>
              <w:top w:val="single" w:sz="4" w:space="0" w:color="auto"/>
            </w:tcBorders>
          </w:tcPr>
          <w:p w14:paraId="66DA5DEE" w14:textId="77777777" w:rsidR="00ED2989" w:rsidRPr="00031E88" w:rsidRDefault="00ED2989" w:rsidP="0004686A">
            <w:pPr>
              <w:jc w:val="both"/>
              <w:rPr>
                <w:rFonts w:ascii="Arial" w:hAnsi="Arial" w:cs="Arial"/>
                <w:sz w:val="20"/>
                <w:szCs w:val="20"/>
              </w:rPr>
            </w:pPr>
          </w:p>
        </w:tc>
      </w:tr>
      <w:tr w:rsidR="00ED2989" w:rsidRPr="00031E88" w14:paraId="7832FC5C" w14:textId="77777777" w:rsidTr="00805663">
        <w:trPr>
          <w:jc w:val="center"/>
        </w:trPr>
        <w:tc>
          <w:tcPr>
            <w:tcW w:w="1565" w:type="dxa"/>
          </w:tcPr>
          <w:p w14:paraId="0F62DB7C" w14:textId="77777777" w:rsidR="00ED2989" w:rsidRPr="00031E88" w:rsidRDefault="00796C23" w:rsidP="0004686A">
            <w:pPr>
              <w:jc w:val="both"/>
              <w:rPr>
                <w:rFonts w:ascii="Arial" w:hAnsi="Arial" w:cs="Arial"/>
                <w:sz w:val="20"/>
                <w:szCs w:val="20"/>
              </w:rPr>
            </w:pPr>
            <w:r w:rsidRPr="00031E88">
              <w:rPr>
                <w:rFonts w:ascii="Arial" w:hAnsi="Arial" w:cs="Arial"/>
                <w:sz w:val="20"/>
                <w:szCs w:val="20"/>
              </w:rPr>
              <w:t>I</w:t>
            </w:r>
          </w:p>
        </w:tc>
        <w:tc>
          <w:tcPr>
            <w:tcW w:w="1406" w:type="dxa"/>
          </w:tcPr>
          <w:p w14:paraId="5E8AEB01"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Muscle</w:t>
            </w:r>
          </w:p>
        </w:tc>
        <w:tc>
          <w:tcPr>
            <w:tcW w:w="1406" w:type="dxa"/>
          </w:tcPr>
          <w:p w14:paraId="12665FBB"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12.42±0.64</w:t>
            </w:r>
          </w:p>
        </w:tc>
        <w:tc>
          <w:tcPr>
            <w:tcW w:w="1293" w:type="dxa"/>
          </w:tcPr>
          <w:p w14:paraId="7C733EA7"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1.42±0.96</w:t>
            </w:r>
          </w:p>
        </w:tc>
        <w:tc>
          <w:tcPr>
            <w:tcW w:w="1560" w:type="dxa"/>
          </w:tcPr>
          <w:p w14:paraId="6C3795EF"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36.71±2.24</w:t>
            </w:r>
          </w:p>
        </w:tc>
        <w:tc>
          <w:tcPr>
            <w:tcW w:w="1547" w:type="dxa"/>
          </w:tcPr>
          <w:p w14:paraId="2B7FE909"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15.43±3.32</w:t>
            </w:r>
          </w:p>
        </w:tc>
        <w:tc>
          <w:tcPr>
            <w:tcW w:w="1418" w:type="dxa"/>
          </w:tcPr>
          <w:p w14:paraId="651BD7CF"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0.20±0.08</w:t>
            </w:r>
          </w:p>
        </w:tc>
      </w:tr>
      <w:tr w:rsidR="00ED2989" w:rsidRPr="00031E88" w14:paraId="1E2D58CE" w14:textId="77777777" w:rsidTr="00805663">
        <w:trPr>
          <w:jc w:val="center"/>
        </w:trPr>
        <w:tc>
          <w:tcPr>
            <w:tcW w:w="1565" w:type="dxa"/>
          </w:tcPr>
          <w:p w14:paraId="57083F4B" w14:textId="77777777" w:rsidR="00ED2989" w:rsidRPr="00031E88" w:rsidRDefault="00ED2989" w:rsidP="0004686A">
            <w:pPr>
              <w:jc w:val="both"/>
              <w:rPr>
                <w:rFonts w:ascii="Arial" w:hAnsi="Arial" w:cs="Arial"/>
                <w:sz w:val="20"/>
                <w:szCs w:val="20"/>
              </w:rPr>
            </w:pPr>
          </w:p>
        </w:tc>
        <w:tc>
          <w:tcPr>
            <w:tcW w:w="1406" w:type="dxa"/>
          </w:tcPr>
          <w:p w14:paraId="72711368"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Exoskeleton</w:t>
            </w:r>
          </w:p>
        </w:tc>
        <w:tc>
          <w:tcPr>
            <w:tcW w:w="1406" w:type="dxa"/>
          </w:tcPr>
          <w:p w14:paraId="770283F3"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8.38±1.02</w:t>
            </w:r>
          </w:p>
        </w:tc>
        <w:tc>
          <w:tcPr>
            <w:tcW w:w="1293" w:type="dxa"/>
          </w:tcPr>
          <w:p w14:paraId="368CF531"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1.13±0.78</w:t>
            </w:r>
          </w:p>
        </w:tc>
        <w:tc>
          <w:tcPr>
            <w:tcW w:w="1560" w:type="dxa"/>
          </w:tcPr>
          <w:p w14:paraId="58A732A3"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37.69±2.72</w:t>
            </w:r>
          </w:p>
        </w:tc>
        <w:tc>
          <w:tcPr>
            <w:tcW w:w="1547" w:type="dxa"/>
          </w:tcPr>
          <w:p w14:paraId="214E8F41"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18.76±2.38</w:t>
            </w:r>
          </w:p>
        </w:tc>
        <w:tc>
          <w:tcPr>
            <w:tcW w:w="1418" w:type="dxa"/>
          </w:tcPr>
          <w:p w14:paraId="5DDA63A3"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0.24±0.03</w:t>
            </w:r>
          </w:p>
        </w:tc>
      </w:tr>
      <w:tr w:rsidR="00ED2989" w:rsidRPr="00031E88" w14:paraId="5345110E" w14:textId="77777777" w:rsidTr="00805663">
        <w:trPr>
          <w:jc w:val="center"/>
        </w:trPr>
        <w:tc>
          <w:tcPr>
            <w:tcW w:w="1565" w:type="dxa"/>
          </w:tcPr>
          <w:p w14:paraId="4CB4A297"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II</w:t>
            </w:r>
          </w:p>
        </w:tc>
        <w:tc>
          <w:tcPr>
            <w:tcW w:w="1406" w:type="dxa"/>
          </w:tcPr>
          <w:p w14:paraId="48CE46D5"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Muscle</w:t>
            </w:r>
          </w:p>
        </w:tc>
        <w:tc>
          <w:tcPr>
            <w:tcW w:w="1406" w:type="dxa"/>
          </w:tcPr>
          <w:p w14:paraId="2C803A43"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11.25±2.13</w:t>
            </w:r>
          </w:p>
        </w:tc>
        <w:tc>
          <w:tcPr>
            <w:tcW w:w="1293" w:type="dxa"/>
          </w:tcPr>
          <w:p w14:paraId="4E47F0DC"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0.96±0.44</w:t>
            </w:r>
          </w:p>
        </w:tc>
        <w:tc>
          <w:tcPr>
            <w:tcW w:w="1560" w:type="dxa"/>
          </w:tcPr>
          <w:p w14:paraId="38EFFD91"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56.88±4.28</w:t>
            </w:r>
          </w:p>
        </w:tc>
        <w:tc>
          <w:tcPr>
            <w:tcW w:w="1547" w:type="dxa"/>
          </w:tcPr>
          <w:p w14:paraId="69DF6EC0"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16.11±2.23</w:t>
            </w:r>
          </w:p>
        </w:tc>
        <w:tc>
          <w:tcPr>
            <w:tcW w:w="1418" w:type="dxa"/>
          </w:tcPr>
          <w:p w14:paraId="3BA8BC1A"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0.23±0.13</w:t>
            </w:r>
          </w:p>
        </w:tc>
      </w:tr>
      <w:tr w:rsidR="00ED2989" w:rsidRPr="00031E88" w14:paraId="254E93D8" w14:textId="77777777" w:rsidTr="00805663">
        <w:trPr>
          <w:jc w:val="center"/>
        </w:trPr>
        <w:tc>
          <w:tcPr>
            <w:tcW w:w="1565" w:type="dxa"/>
          </w:tcPr>
          <w:p w14:paraId="1BAC173C" w14:textId="77777777" w:rsidR="00ED2989" w:rsidRPr="00031E88" w:rsidRDefault="00ED2989" w:rsidP="0004686A">
            <w:pPr>
              <w:jc w:val="both"/>
              <w:rPr>
                <w:rFonts w:ascii="Arial" w:hAnsi="Arial" w:cs="Arial"/>
                <w:sz w:val="20"/>
                <w:szCs w:val="20"/>
              </w:rPr>
            </w:pPr>
          </w:p>
        </w:tc>
        <w:tc>
          <w:tcPr>
            <w:tcW w:w="1406" w:type="dxa"/>
          </w:tcPr>
          <w:p w14:paraId="340427C6"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Exoskeleton</w:t>
            </w:r>
          </w:p>
        </w:tc>
        <w:tc>
          <w:tcPr>
            <w:tcW w:w="1406" w:type="dxa"/>
          </w:tcPr>
          <w:p w14:paraId="1E769BA4"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9.20±1.37</w:t>
            </w:r>
          </w:p>
        </w:tc>
        <w:tc>
          <w:tcPr>
            <w:tcW w:w="1293" w:type="dxa"/>
          </w:tcPr>
          <w:p w14:paraId="473DABB5"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1.33±0.56</w:t>
            </w:r>
          </w:p>
        </w:tc>
        <w:tc>
          <w:tcPr>
            <w:tcW w:w="1560" w:type="dxa"/>
          </w:tcPr>
          <w:p w14:paraId="23F12362"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58.74±3.55</w:t>
            </w:r>
          </w:p>
        </w:tc>
        <w:tc>
          <w:tcPr>
            <w:tcW w:w="1547" w:type="dxa"/>
          </w:tcPr>
          <w:p w14:paraId="74E73E44"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17.24±1.25</w:t>
            </w:r>
          </w:p>
        </w:tc>
        <w:tc>
          <w:tcPr>
            <w:tcW w:w="1418" w:type="dxa"/>
          </w:tcPr>
          <w:p w14:paraId="664CA479"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0.22±0.08</w:t>
            </w:r>
          </w:p>
        </w:tc>
      </w:tr>
      <w:tr w:rsidR="00ED2989" w:rsidRPr="00031E88" w14:paraId="034BCCCF" w14:textId="77777777" w:rsidTr="00805663">
        <w:trPr>
          <w:jc w:val="center"/>
        </w:trPr>
        <w:tc>
          <w:tcPr>
            <w:tcW w:w="1565" w:type="dxa"/>
          </w:tcPr>
          <w:p w14:paraId="528A8FCC"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III</w:t>
            </w:r>
          </w:p>
        </w:tc>
        <w:tc>
          <w:tcPr>
            <w:tcW w:w="1406" w:type="dxa"/>
          </w:tcPr>
          <w:p w14:paraId="28BB6625"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Muscle</w:t>
            </w:r>
          </w:p>
        </w:tc>
        <w:tc>
          <w:tcPr>
            <w:tcW w:w="1406" w:type="dxa"/>
          </w:tcPr>
          <w:p w14:paraId="384A5589"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9.88±1.26</w:t>
            </w:r>
          </w:p>
        </w:tc>
        <w:tc>
          <w:tcPr>
            <w:tcW w:w="1293" w:type="dxa"/>
          </w:tcPr>
          <w:p w14:paraId="16C0362C"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0.99±0.15</w:t>
            </w:r>
          </w:p>
        </w:tc>
        <w:tc>
          <w:tcPr>
            <w:tcW w:w="1560" w:type="dxa"/>
          </w:tcPr>
          <w:p w14:paraId="66EB01CF"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86.54±5.24</w:t>
            </w:r>
          </w:p>
        </w:tc>
        <w:tc>
          <w:tcPr>
            <w:tcW w:w="1547" w:type="dxa"/>
          </w:tcPr>
          <w:p w14:paraId="60B15B82"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15.49±2.52</w:t>
            </w:r>
          </w:p>
        </w:tc>
        <w:tc>
          <w:tcPr>
            <w:tcW w:w="1418" w:type="dxa"/>
          </w:tcPr>
          <w:p w14:paraId="0F1066FE"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0.36±0.11</w:t>
            </w:r>
          </w:p>
        </w:tc>
      </w:tr>
      <w:tr w:rsidR="00ED2989" w:rsidRPr="00031E88" w14:paraId="30286B8A" w14:textId="77777777" w:rsidTr="00805663">
        <w:trPr>
          <w:jc w:val="center"/>
        </w:trPr>
        <w:tc>
          <w:tcPr>
            <w:tcW w:w="1565" w:type="dxa"/>
            <w:tcBorders>
              <w:bottom w:val="single" w:sz="4" w:space="0" w:color="auto"/>
            </w:tcBorders>
          </w:tcPr>
          <w:p w14:paraId="0DFCCCF6" w14:textId="77777777" w:rsidR="00ED2989" w:rsidRPr="00031E88" w:rsidRDefault="00ED2989" w:rsidP="0004686A">
            <w:pPr>
              <w:jc w:val="both"/>
              <w:rPr>
                <w:rFonts w:ascii="Arial" w:hAnsi="Arial" w:cs="Arial"/>
                <w:sz w:val="20"/>
                <w:szCs w:val="20"/>
              </w:rPr>
            </w:pPr>
          </w:p>
        </w:tc>
        <w:tc>
          <w:tcPr>
            <w:tcW w:w="1406" w:type="dxa"/>
            <w:tcBorders>
              <w:bottom w:val="single" w:sz="4" w:space="0" w:color="auto"/>
            </w:tcBorders>
          </w:tcPr>
          <w:p w14:paraId="364FAFD8"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Exoskeleton</w:t>
            </w:r>
          </w:p>
        </w:tc>
        <w:tc>
          <w:tcPr>
            <w:tcW w:w="1406" w:type="dxa"/>
            <w:tcBorders>
              <w:bottom w:val="single" w:sz="4" w:space="0" w:color="auto"/>
            </w:tcBorders>
          </w:tcPr>
          <w:p w14:paraId="2A19BDF9"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11.15±2.56</w:t>
            </w:r>
          </w:p>
        </w:tc>
        <w:tc>
          <w:tcPr>
            <w:tcW w:w="1293" w:type="dxa"/>
            <w:tcBorders>
              <w:bottom w:val="single" w:sz="4" w:space="0" w:color="auto"/>
            </w:tcBorders>
          </w:tcPr>
          <w:p w14:paraId="3899BE64"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1.23±0.92</w:t>
            </w:r>
          </w:p>
        </w:tc>
        <w:tc>
          <w:tcPr>
            <w:tcW w:w="1560" w:type="dxa"/>
            <w:tcBorders>
              <w:bottom w:val="single" w:sz="4" w:space="0" w:color="auto"/>
            </w:tcBorders>
          </w:tcPr>
          <w:p w14:paraId="7D29E05C"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88.35±4.83</w:t>
            </w:r>
          </w:p>
        </w:tc>
        <w:tc>
          <w:tcPr>
            <w:tcW w:w="1547" w:type="dxa"/>
            <w:tcBorders>
              <w:bottom w:val="single" w:sz="4" w:space="0" w:color="auto"/>
            </w:tcBorders>
          </w:tcPr>
          <w:p w14:paraId="4A91280D"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17.34±1.22</w:t>
            </w:r>
          </w:p>
        </w:tc>
        <w:tc>
          <w:tcPr>
            <w:tcW w:w="1418" w:type="dxa"/>
            <w:tcBorders>
              <w:bottom w:val="single" w:sz="4" w:space="0" w:color="auto"/>
            </w:tcBorders>
          </w:tcPr>
          <w:p w14:paraId="3DBA53AA" w14:textId="77777777" w:rsidR="00ED2989" w:rsidRPr="00031E88" w:rsidRDefault="00ED2989" w:rsidP="0004686A">
            <w:pPr>
              <w:jc w:val="both"/>
              <w:rPr>
                <w:rFonts w:ascii="Arial" w:hAnsi="Arial" w:cs="Arial"/>
                <w:sz w:val="20"/>
                <w:szCs w:val="20"/>
              </w:rPr>
            </w:pPr>
            <w:r w:rsidRPr="00031E88">
              <w:rPr>
                <w:rFonts w:ascii="Arial" w:hAnsi="Arial" w:cs="Arial"/>
                <w:sz w:val="20"/>
                <w:szCs w:val="20"/>
              </w:rPr>
              <w:t>0.38±0.17</w:t>
            </w:r>
          </w:p>
        </w:tc>
      </w:tr>
    </w:tbl>
    <w:p w14:paraId="19B24B40" w14:textId="77777777" w:rsidR="004C6B45" w:rsidRPr="00E9335D" w:rsidRDefault="004C6B45" w:rsidP="0004686A">
      <w:pPr>
        <w:spacing w:line="240" w:lineRule="auto"/>
        <w:jc w:val="both"/>
        <w:rPr>
          <w:rFonts w:ascii="Times New Roman" w:hAnsi="Times New Roman" w:cs="Times New Roman"/>
          <w:sz w:val="24"/>
          <w:szCs w:val="24"/>
        </w:rPr>
      </w:pPr>
    </w:p>
    <w:tbl>
      <w:tblPr>
        <w:tblStyle w:val="TableGrid1"/>
        <w:tblW w:w="103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5436"/>
      </w:tblGrid>
      <w:tr w:rsidR="000751E9" w:rsidRPr="000751E9" w14:paraId="7E0ADB70" w14:textId="77777777" w:rsidTr="005D7928">
        <w:trPr>
          <w:trHeight w:val="3818"/>
          <w:jc w:val="center"/>
        </w:trPr>
        <w:tc>
          <w:tcPr>
            <w:tcW w:w="5286" w:type="dxa"/>
          </w:tcPr>
          <w:p w14:paraId="67FD9FFA" w14:textId="77777777" w:rsidR="000751E9" w:rsidRPr="000751E9" w:rsidRDefault="000751E9" w:rsidP="0004686A">
            <w:pPr>
              <w:jc w:val="both"/>
              <w:rPr>
                <w:rFonts w:ascii="Times New Roman" w:hAnsi="Times New Roman" w:cs="Times New Roman"/>
                <w:sz w:val="24"/>
                <w:szCs w:val="24"/>
              </w:rPr>
            </w:pPr>
            <w:r w:rsidRPr="000751E9">
              <w:rPr>
                <w:noProof/>
                <w:lang w:eastAsia="id-ID"/>
              </w:rPr>
              <w:drawing>
                <wp:inline distT="0" distB="0" distL="0" distR="0" wp14:anchorId="5F56F6EA" wp14:editId="264B62D9">
                  <wp:extent cx="3400425" cy="22764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076" w:type="dxa"/>
          </w:tcPr>
          <w:p w14:paraId="07EF2FD6" w14:textId="77777777" w:rsidR="000751E9" w:rsidRPr="000751E9" w:rsidRDefault="000751E9" w:rsidP="0004686A">
            <w:pPr>
              <w:jc w:val="both"/>
              <w:rPr>
                <w:rFonts w:ascii="Times New Roman" w:hAnsi="Times New Roman" w:cs="Times New Roman"/>
                <w:sz w:val="24"/>
                <w:szCs w:val="24"/>
              </w:rPr>
            </w:pPr>
            <w:r w:rsidRPr="000751E9">
              <w:rPr>
                <w:noProof/>
                <w:lang w:eastAsia="id-ID"/>
              </w:rPr>
              <w:drawing>
                <wp:inline distT="0" distB="0" distL="0" distR="0" wp14:anchorId="351BF1A1" wp14:editId="0C117C51">
                  <wp:extent cx="3305175" cy="2247900"/>
                  <wp:effectExtent l="0" t="0" r="9525" b="0"/>
                  <wp:docPr id="14" name="Chart 14" title="b"/>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751E9" w:rsidRPr="000751E9" w14:paraId="60709A3D" w14:textId="77777777" w:rsidTr="005D7928">
        <w:trPr>
          <w:trHeight w:val="4346"/>
          <w:jc w:val="center"/>
        </w:trPr>
        <w:tc>
          <w:tcPr>
            <w:tcW w:w="5286" w:type="dxa"/>
          </w:tcPr>
          <w:p w14:paraId="01914875" w14:textId="77777777" w:rsidR="000751E9" w:rsidRPr="000751E9" w:rsidRDefault="000751E9" w:rsidP="0004686A">
            <w:pPr>
              <w:jc w:val="both"/>
              <w:rPr>
                <w:rFonts w:ascii="Times New Roman" w:hAnsi="Times New Roman" w:cs="Times New Roman"/>
                <w:sz w:val="24"/>
                <w:szCs w:val="24"/>
              </w:rPr>
            </w:pPr>
          </w:p>
          <w:p w14:paraId="3D957237" w14:textId="77777777" w:rsidR="000751E9" w:rsidRPr="000751E9" w:rsidRDefault="000751E9" w:rsidP="0004686A">
            <w:pPr>
              <w:jc w:val="both"/>
              <w:rPr>
                <w:rFonts w:ascii="Times New Roman" w:hAnsi="Times New Roman" w:cs="Times New Roman"/>
                <w:sz w:val="24"/>
                <w:szCs w:val="24"/>
                <w:lang w:val="en-GB"/>
              </w:rPr>
            </w:pPr>
            <w:r w:rsidRPr="000751E9">
              <w:rPr>
                <w:noProof/>
                <w:lang w:eastAsia="id-ID"/>
              </w:rPr>
              <w:drawing>
                <wp:inline distT="0" distB="0" distL="0" distR="0" wp14:anchorId="15DAE634" wp14:editId="09BE03E7">
                  <wp:extent cx="3390900" cy="20955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076" w:type="dxa"/>
          </w:tcPr>
          <w:p w14:paraId="294B8D49" w14:textId="77777777" w:rsidR="000751E9" w:rsidRPr="000751E9" w:rsidRDefault="000751E9" w:rsidP="0004686A">
            <w:pPr>
              <w:jc w:val="both"/>
              <w:rPr>
                <w:rFonts w:ascii="Times New Roman" w:hAnsi="Times New Roman" w:cs="Times New Roman"/>
                <w:sz w:val="24"/>
                <w:szCs w:val="24"/>
              </w:rPr>
            </w:pPr>
          </w:p>
          <w:p w14:paraId="5277FEA3" w14:textId="77777777" w:rsidR="000751E9" w:rsidRPr="000751E9" w:rsidRDefault="000751E9" w:rsidP="0004686A">
            <w:pPr>
              <w:jc w:val="both"/>
              <w:rPr>
                <w:rFonts w:ascii="Times New Roman" w:hAnsi="Times New Roman" w:cs="Times New Roman"/>
                <w:sz w:val="24"/>
                <w:szCs w:val="24"/>
                <w:lang w:val="en-GB"/>
              </w:rPr>
            </w:pPr>
            <w:r w:rsidRPr="000751E9">
              <w:rPr>
                <w:noProof/>
                <w:lang w:eastAsia="id-ID"/>
              </w:rPr>
              <w:drawing>
                <wp:inline distT="0" distB="0" distL="0" distR="0" wp14:anchorId="59A8726F" wp14:editId="2E3AEB09">
                  <wp:extent cx="3314700" cy="21145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751E9" w:rsidRPr="000751E9" w14:paraId="5594108F" w14:textId="77777777" w:rsidTr="005D7928">
        <w:trPr>
          <w:jc w:val="center"/>
        </w:trPr>
        <w:tc>
          <w:tcPr>
            <w:tcW w:w="10362" w:type="dxa"/>
            <w:gridSpan w:val="2"/>
          </w:tcPr>
          <w:p w14:paraId="5ADA0CFF" w14:textId="77777777" w:rsidR="000751E9" w:rsidRDefault="000751E9" w:rsidP="0004686A">
            <w:pPr>
              <w:jc w:val="both"/>
              <w:rPr>
                <w:rFonts w:ascii="Times New Roman" w:hAnsi="Times New Roman" w:cs="Times New Roman"/>
                <w:sz w:val="24"/>
                <w:szCs w:val="24"/>
              </w:rPr>
            </w:pPr>
            <w:r w:rsidRPr="000751E9">
              <w:rPr>
                <w:noProof/>
                <w:lang w:eastAsia="id-ID"/>
              </w:rPr>
              <w:drawing>
                <wp:inline distT="0" distB="0" distL="0" distR="0" wp14:anchorId="25578287" wp14:editId="293728BF">
                  <wp:extent cx="3905250" cy="20955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316F9F" w14:textId="77777777" w:rsidR="000751E9" w:rsidRPr="00031E88" w:rsidRDefault="000751E9" w:rsidP="0004686A">
            <w:pPr>
              <w:jc w:val="both"/>
              <w:rPr>
                <w:rFonts w:ascii="Arial" w:hAnsi="Arial" w:cs="Arial"/>
                <w:sz w:val="20"/>
                <w:szCs w:val="20"/>
              </w:rPr>
            </w:pPr>
            <w:r w:rsidRPr="00031E88">
              <w:rPr>
                <w:rFonts w:ascii="Arial" w:hAnsi="Arial" w:cs="Arial"/>
                <w:b/>
                <w:bCs/>
                <w:sz w:val="20"/>
                <w:szCs w:val="20"/>
              </w:rPr>
              <w:t>Fig. 2.</w:t>
            </w:r>
            <w:r w:rsidRPr="00031E88">
              <w:rPr>
                <w:rFonts w:ascii="Arial" w:hAnsi="Arial" w:cs="Arial"/>
                <w:sz w:val="20"/>
                <w:szCs w:val="20"/>
              </w:rPr>
              <w:t xml:space="preserve"> Average concentrations of heavy metals (μg/g ± SD) in </w:t>
            </w:r>
            <w:r w:rsidRPr="00031E88">
              <w:rPr>
                <w:rFonts w:ascii="Arial" w:hAnsi="Arial" w:cs="Arial"/>
                <w:sz w:val="20"/>
                <w:szCs w:val="20"/>
                <w:lang w:val="en-GB"/>
              </w:rPr>
              <w:t xml:space="preserve">muscle and exoskeleton </w:t>
            </w:r>
            <w:r w:rsidRPr="00031E88">
              <w:rPr>
                <w:rFonts w:ascii="Arial" w:hAnsi="Arial" w:cs="Arial"/>
                <w:sz w:val="20"/>
                <w:szCs w:val="20"/>
              </w:rPr>
              <w:t>of F</w:t>
            </w:r>
            <w:r w:rsidRPr="00031E88">
              <w:rPr>
                <w:rFonts w:ascii="Arial" w:hAnsi="Arial" w:cs="Arial"/>
                <w:sz w:val="20"/>
                <w:szCs w:val="20"/>
                <w:lang w:val="en-GB"/>
              </w:rPr>
              <w:t xml:space="preserve">. </w:t>
            </w:r>
            <w:r w:rsidRPr="00031E88">
              <w:rPr>
                <w:rFonts w:ascii="Arial" w:hAnsi="Arial" w:cs="Arial"/>
                <w:i/>
                <w:iCs/>
                <w:sz w:val="20"/>
                <w:szCs w:val="20"/>
              </w:rPr>
              <w:t>merguiensis</w:t>
            </w:r>
            <w:r w:rsidRPr="00031E88">
              <w:rPr>
                <w:rFonts w:ascii="Arial" w:hAnsi="Arial" w:cs="Arial"/>
                <w:sz w:val="20"/>
                <w:szCs w:val="20"/>
                <w:lang w:val="en-GB"/>
              </w:rPr>
              <w:t xml:space="preserve"> and </w:t>
            </w:r>
            <w:r w:rsidRPr="00031E88">
              <w:rPr>
                <w:rFonts w:ascii="Arial" w:hAnsi="Arial" w:cs="Arial"/>
                <w:sz w:val="20"/>
                <w:szCs w:val="20"/>
              </w:rPr>
              <w:t xml:space="preserve"> F</w:t>
            </w:r>
            <w:r w:rsidRPr="00031E88">
              <w:rPr>
                <w:rFonts w:ascii="Arial" w:hAnsi="Arial" w:cs="Arial"/>
                <w:sz w:val="20"/>
                <w:szCs w:val="20"/>
                <w:lang w:val="en-GB"/>
              </w:rPr>
              <w:t xml:space="preserve">. </w:t>
            </w:r>
            <w:r w:rsidRPr="00031E88">
              <w:rPr>
                <w:rFonts w:ascii="Arial" w:hAnsi="Arial" w:cs="Arial"/>
                <w:i/>
                <w:iCs/>
                <w:sz w:val="20"/>
                <w:szCs w:val="20"/>
              </w:rPr>
              <w:t>penicillatus</w:t>
            </w:r>
            <w:r w:rsidRPr="00031E88">
              <w:rPr>
                <w:rFonts w:ascii="Arial" w:hAnsi="Arial" w:cs="Arial"/>
                <w:sz w:val="20"/>
                <w:szCs w:val="20"/>
                <w:lang w:val="en-GB"/>
              </w:rPr>
              <w:t xml:space="preserve"> </w:t>
            </w:r>
            <w:r w:rsidRPr="00031E88">
              <w:rPr>
                <w:rFonts w:ascii="Arial" w:hAnsi="Arial" w:cs="Arial"/>
                <w:sz w:val="20"/>
                <w:szCs w:val="20"/>
              </w:rPr>
              <w:t xml:space="preserve">collected from Karachi, Pakistan </w:t>
            </w:r>
          </w:p>
        </w:tc>
      </w:tr>
    </w:tbl>
    <w:p w14:paraId="2C4C2A13" w14:textId="77777777" w:rsidR="000751E9" w:rsidRDefault="000751E9" w:rsidP="0004686A">
      <w:pPr>
        <w:spacing w:line="480" w:lineRule="auto"/>
        <w:jc w:val="both"/>
        <w:rPr>
          <w:rFonts w:ascii="Times New Roman" w:hAnsi="Times New Roman" w:cs="Times New Roman"/>
          <w:b/>
          <w:bCs/>
          <w:sz w:val="24"/>
          <w:szCs w:val="24"/>
        </w:rPr>
      </w:pPr>
    </w:p>
    <w:p w14:paraId="52E150BC" w14:textId="77777777" w:rsidR="0004686A" w:rsidRDefault="0004686A" w:rsidP="0004686A">
      <w:pPr>
        <w:pStyle w:val="NormalWeb"/>
        <w:jc w:val="both"/>
      </w:pPr>
      <w:r>
        <w:t xml:space="preserve">Shrimp constitutes an important component of the human diet as well as that of other organisms. It plays a significant nutritional role due to its high content of quality protein, essential vitamins, and dietary minerals such as calcium and iron. Shellfish, in general, are </w:t>
      </w:r>
      <w:proofErr w:type="spellStart"/>
      <w:r>
        <w:t>recognised</w:t>
      </w:r>
      <w:proofErr w:type="spellEnd"/>
      <w:r>
        <w:t xml:space="preserve"> as valuable food sources, providing high-quality protein along with a range of micronutrients beneficial to human health (</w:t>
      </w:r>
      <w:proofErr w:type="spellStart"/>
      <w:r>
        <w:t>Guérin</w:t>
      </w:r>
      <w:proofErr w:type="spellEnd"/>
      <w:r>
        <w:t xml:space="preserve"> et al., 2011; </w:t>
      </w:r>
      <w:proofErr w:type="spellStart"/>
      <w:r>
        <w:t>Chelladurai</w:t>
      </w:r>
      <w:proofErr w:type="spellEnd"/>
      <w:r>
        <w:t xml:space="preserve"> and Uma, 2020). However, concerns regarding heavy metal contamination and associated health risks have become increasingly prominent, particularly when evaluating the balance between nutritional benefits and potential hazards for frequent consumers of shellfish (</w:t>
      </w:r>
      <w:proofErr w:type="spellStart"/>
      <w:r>
        <w:t>Waykar</w:t>
      </w:r>
      <w:proofErr w:type="spellEnd"/>
      <w:r>
        <w:t xml:space="preserve"> and </w:t>
      </w:r>
      <w:proofErr w:type="spellStart"/>
      <w:r>
        <w:t>Petare</w:t>
      </w:r>
      <w:proofErr w:type="spellEnd"/>
      <w:r>
        <w:t>, 2016; Kong et al., 2019; Prato et al., 2019).</w:t>
      </w:r>
    </w:p>
    <w:p w14:paraId="28E30D99" w14:textId="77777777" w:rsidR="0004686A" w:rsidRDefault="0004686A" w:rsidP="0004686A">
      <w:pPr>
        <w:pStyle w:val="NormalWeb"/>
        <w:jc w:val="both"/>
      </w:pPr>
      <w:r>
        <w:t xml:space="preserve">Various aquatic organisms have been widely </w:t>
      </w:r>
      <w:proofErr w:type="spellStart"/>
      <w:r>
        <w:t>utilised</w:t>
      </w:r>
      <w:proofErr w:type="spellEnd"/>
      <w:r>
        <w:t xml:space="preserve"> as bioindicators to assess environmental quality and monitor ecosystem health (Yousif et al., 2016; </w:t>
      </w:r>
      <w:proofErr w:type="spellStart"/>
      <w:r>
        <w:t>Idam</w:t>
      </w:r>
      <w:proofErr w:type="spellEnd"/>
      <w:r>
        <w:t xml:space="preserve"> et al., 2020; </w:t>
      </w:r>
      <w:proofErr w:type="spellStart"/>
      <w:r>
        <w:t>Mehana</w:t>
      </w:r>
      <w:proofErr w:type="spellEnd"/>
      <w:r>
        <w:t xml:space="preserve"> et al., 2020). Among these, crustaceans have proven particularly effective as biological indicators of coastal water conditions and in evaluating the biological impacts of contaminants in marine ecosystems. Marine crustaceans, including shrimp and crabs, serve as reliable indicator organisms for assessing environmental pollution due to their sensitivity to contaminants and their ecological characteristics (</w:t>
      </w:r>
      <w:proofErr w:type="spellStart"/>
      <w:r>
        <w:t>Darmono</w:t>
      </w:r>
      <w:proofErr w:type="spellEnd"/>
      <w:r>
        <w:t xml:space="preserve"> and Denton, 1990; Kress et al., 1998; </w:t>
      </w:r>
      <w:proofErr w:type="spellStart"/>
      <w:r>
        <w:t>Mantelatto</w:t>
      </w:r>
      <w:proofErr w:type="spellEnd"/>
      <w:r>
        <w:t xml:space="preserve"> et al., 1999).</w:t>
      </w:r>
    </w:p>
    <w:p w14:paraId="298D5D22" w14:textId="77777777" w:rsidR="0004686A" w:rsidRDefault="0004686A" w:rsidP="0004686A">
      <w:pPr>
        <w:pStyle w:val="NormalWeb"/>
        <w:jc w:val="both"/>
      </w:pPr>
      <w:r>
        <w:lastRenderedPageBreak/>
        <w:t xml:space="preserve">Heavy metals such as </w:t>
      </w:r>
      <w:proofErr w:type="spellStart"/>
      <w:r>
        <w:t>aluminium</w:t>
      </w:r>
      <w:proofErr w:type="spellEnd"/>
      <w:r>
        <w:t xml:space="preserve"> (Al), cadmium (Cd), lead (Pb), copper (Cu), and zinc (Zn) are of particular concern due to their toxicity, persistence, and capacity for bioaccumulation and biomagnification within aquatic food chains (Zhang et al., 2010; </w:t>
      </w:r>
      <w:proofErr w:type="spellStart"/>
      <w:r>
        <w:t>Alhashemi</w:t>
      </w:r>
      <w:proofErr w:type="spellEnd"/>
      <w:r>
        <w:t xml:space="preserve"> et al., 2012; Ahmed et al., 2015; Kibria et al., 2016; Abdel Gawad, 2018; Salam et al., 2019; Nour and </w:t>
      </w:r>
      <w:proofErr w:type="spellStart"/>
      <w:r>
        <w:t>Nouh</w:t>
      </w:r>
      <w:proofErr w:type="spellEnd"/>
      <w:r>
        <w:t>, 2020; Yousif et al., 2021; Yousif et al., 2022). Bioaccumulation and biomagnification refer to the processes through which these contaminants are transferred and concentrated across successive trophic levels within the food web (</w:t>
      </w:r>
      <w:proofErr w:type="spellStart"/>
      <w:r>
        <w:t>Pärt</w:t>
      </w:r>
      <w:proofErr w:type="spellEnd"/>
      <w:r>
        <w:t xml:space="preserve"> et al., 1985; Salam et al., 2019).</w:t>
      </w:r>
    </w:p>
    <w:p w14:paraId="2F3A9DD2" w14:textId="77777777" w:rsidR="0004686A" w:rsidRDefault="0004686A" w:rsidP="0004686A">
      <w:pPr>
        <w:pStyle w:val="NormalWeb"/>
        <w:jc w:val="both"/>
      </w:pPr>
      <w:r>
        <w:t>In this context, several aquatic species have been employed as bioindicators, including banana prawn (</w:t>
      </w:r>
      <w:proofErr w:type="spellStart"/>
      <w:r>
        <w:rPr>
          <w:rStyle w:val="Emphasis"/>
        </w:rPr>
        <w:t>Fenneropenaeus</w:t>
      </w:r>
      <w:proofErr w:type="spellEnd"/>
      <w:r>
        <w:rPr>
          <w:rStyle w:val="Emphasis"/>
        </w:rPr>
        <w:t xml:space="preserve"> </w:t>
      </w:r>
      <w:proofErr w:type="spellStart"/>
      <w:r>
        <w:rPr>
          <w:rStyle w:val="Emphasis"/>
        </w:rPr>
        <w:t>merguiensis</w:t>
      </w:r>
      <w:proofErr w:type="spellEnd"/>
      <w:r>
        <w:t>) (</w:t>
      </w:r>
      <w:proofErr w:type="spellStart"/>
      <w:r>
        <w:t>Darmono</w:t>
      </w:r>
      <w:proofErr w:type="spellEnd"/>
      <w:r>
        <w:t xml:space="preserve"> and Denton, 1990; </w:t>
      </w:r>
      <w:proofErr w:type="spellStart"/>
      <w:r>
        <w:t>Pourang</w:t>
      </w:r>
      <w:proofErr w:type="spellEnd"/>
      <w:r>
        <w:t xml:space="preserve"> and </w:t>
      </w:r>
      <w:proofErr w:type="spellStart"/>
      <w:r>
        <w:t>Amini</w:t>
      </w:r>
      <w:proofErr w:type="spellEnd"/>
      <w:r>
        <w:t xml:space="preserve">, 2001; </w:t>
      </w:r>
      <w:proofErr w:type="spellStart"/>
      <w:r>
        <w:t>Baboli</w:t>
      </w:r>
      <w:proofErr w:type="spellEnd"/>
      <w:r>
        <w:t xml:space="preserve"> and </w:t>
      </w:r>
      <w:proofErr w:type="spellStart"/>
      <w:r>
        <w:t>Velayatzadeh</w:t>
      </w:r>
      <w:proofErr w:type="spellEnd"/>
      <w:r>
        <w:t xml:space="preserve">, 2013) and </w:t>
      </w:r>
      <w:proofErr w:type="spellStart"/>
      <w:r>
        <w:t>redtail</w:t>
      </w:r>
      <w:proofErr w:type="spellEnd"/>
      <w:r>
        <w:t xml:space="preserve"> shrimp (</w:t>
      </w:r>
      <w:proofErr w:type="spellStart"/>
      <w:r>
        <w:rPr>
          <w:rStyle w:val="Emphasis"/>
        </w:rPr>
        <w:t>Fenneropenaeus</w:t>
      </w:r>
      <w:proofErr w:type="spellEnd"/>
      <w:r>
        <w:rPr>
          <w:rStyle w:val="Emphasis"/>
        </w:rPr>
        <w:t xml:space="preserve"> </w:t>
      </w:r>
      <w:proofErr w:type="spellStart"/>
      <w:r>
        <w:rPr>
          <w:rStyle w:val="Emphasis"/>
        </w:rPr>
        <w:t>penicillatus</w:t>
      </w:r>
      <w:proofErr w:type="spellEnd"/>
      <w:r>
        <w:t>) (Kamal et al., 2015). The discharge of heavy metals into marine environments poses significant risks to biodiversity and ecosystem stability due to their toxic effects (</w:t>
      </w:r>
      <w:proofErr w:type="spellStart"/>
      <w:r>
        <w:t>Türkmen</w:t>
      </w:r>
      <w:proofErr w:type="spellEnd"/>
      <w:r>
        <w:t xml:space="preserve"> et al., 2010). Numerous studies have documented the contamination of aquatic systems by heavy metals such as lead, zinc, copper, and cadmium, highlighting their detrimental impacts on aquatic organisms (</w:t>
      </w:r>
      <w:proofErr w:type="spellStart"/>
      <w:r>
        <w:t>Rashed</w:t>
      </w:r>
      <w:proofErr w:type="spellEnd"/>
      <w:r>
        <w:t xml:space="preserve">, 2001; Osuna-Mascaro et al., 2015; </w:t>
      </w:r>
      <w:proofErr w:type="spellStart"/>
      <w:r>
        <w:t>Rajeshkumar</w:t>
      </w:r>
      <w:proofErr w:type="spellEnd"/>
      <w:r>
        <w:t xml:space="preserve"> and Li, 2018; Khan et al., 2018; </w:t>
      </w:r>
      <w:proofErr w:type="spellStart"/>
      <w:r>
        <w:t>Abougabal</w:t>
      </w:r>
      <w:proofErr w:type="spellEnd"/>
      <w:r>
        <w:t xml:space="preserve"> et al., 2020). Furthermore, higher trophic-level organisms, including fish, shrimp, and crabs, tend to accumulate elevated concentrations of these elements, reflecting their position within the food chain and their exposure to contaminated environments (Lambert and Leven, 2000; </w:t>
      </w:r>
      <w:proofErr w:type="spellStart"/>
      <w:r>
        <w:t>Tüzen</w:t>
      </w:r>
      <w:proofErr w:type="spellEnd"/>
      <w:r>
        <w:t>, 2003).</w:t>
      </w:r>
    </w:p>
    <w:p w14:paraId="5E79F405" w14:textId="77777777" w:rsidR="006B409D" w:rsidRPr="00031E88" w:rsidRDefault="006B409D" w:rsidP="0004686A">
      <w:pPr>
        <w:spacing w:line="240" w:lineRule="auto"/>
        <w:jc w:val="both"/>
        <w:rPr>
          <w:rFonts w:ascii="Arial" w:hAnsi="Arial" w:cs="Arial"/>
          <w:sz w:val="20"/>
          <w:szCs w:val="20"/>
        </w:rPr>
      </w:pPr>
      <w:r w:rsidRPr="00031E88">
        <w:rPr>
          <w:rFonts w:ascii="Arial" w:hAnsi="Arial" w:cs="Arial"/>
          <w:b/>
          <w:bCs/>
          <w:sz w:val="20"/>
          <w:szCs w:val="20"/>
        </w:rPr>
        <w:t>Table 3.</w:t>
      </w:r>
      <w:r w:rsidRPr="00031E88">
        <w:rPr>
          <w:rFonts w:ascii="Arial" w:hAnsi="Arial" w:cs="Arial"/>
          <w:sz w:val="20"/>
          <w:szCs w:val="20"/>
        </w:rPr>
        <w:t xml:space="preserve"> Comparison of the metal concentrations (μg/g) in muscle and </w:t>
      </w:r>
      <w:r w:rsidRPr="00031E88">
        <w:rPr>
          <w:rFonts w:ascii="Arial" w:hAnsi="Arial" w:cs="Arial"/>
          <w:sz w:val="20"/>
          <w:szCs w:val="20"/>
          <w:lang w:val="en-GB"/>
        </w:rPr>
        <w:t xml:space="preserve">exoskeleton </w:t>
      </w:r>
      <w:r w:rsidRPr="00031E88">
        <w:rPr>
          <w:rFonts w:ascii="Arial" w:hAnsi="Arial" w:cs="Arial"/>
          <w:sz w:val="20"/>
          <w:szCs w:val="20"/>
        </w:rPr>
        <w:t xml:space="preserve">of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1020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1276"/>
        <w:gridCol w:w="1512"/>
        <w:gridCol w:w="1428"/>
        <w:gridCol w:w="1312"/>
        <w:gridCol w:w="1554"/>
      </w:tblGrid>
      <w:tr w:rsidR="006B409D" w:rsidRPr="00031E88" w14:paraId="32DB9449" w14:textId="77777777" w:rsidTr="005F4440">
        <w:tc>
          <w:tcPr>
            <w:tcW w:w="1701" w:type="dxa"/>
            <w:tcBorders>
              <w:top w:val="single" w:sz="4" w:space="0" w:color="auto"/>
            </w:tcBorders>
          </w:tcPr>
          <w:p w14:paraId="07935227" w14:textId="77777777" w:rsidR="006B409D" w:rsidRPr="00031E88" w:rsidRDefault="006B409D" w:rsidP="0004686A">
            <w:pPr>
              <w:jc w:val="both"/>
              <w:rPr>
                <w:rFonts w:ascii="Arial" w:hAnsi="Arial" w:cs="Arial"/>
                <w:sz w:val="20"/>
                <w:szCs w:val="20"/>
              </w:rPr>
            </w:pPr>
          </w:p>
        </w:tc>
        <w:tc>
          <w:tcPr>
            <w:tcW w:w="6946" w:type="dxa"/>
            <w:gridSpan w:val="5"/>
            <w:tcBorders>
              <w:top w:val="single" w:sz="4" w:space="0" w:color="auto"/>
              <w:bottom w:val="single" w:sz="4" w:space="0" w:color="auto"/>
            </w:tcBorders>
          </w:tcPr>
          <w:p w14:paraId="39C3545F"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Metal concentration (μg/g)</w:t>
            </w:r>
          </w:p>
        </w:tc>
        <w:tc>
          <w:tcPr>
            <w:tcW w:w="1554" w:type="dxa"/>
            <w:tcBorders>
              <w:top w:val="single" w:sz="4" w:space="0" w:color="auto"/>
            </w:tcBorders>
          </w:tcPr>
          <w:p w14:paraId="15888ED1" w14:textId="77777777" w:rsidR="006B409D" w:rsidRPr="00031E88" w:rsidRDefault="006B409D" w:rsidP="0004686A">
            <w:pPr>
              <w:jc w:val="both"/>
              <w:rPr>
                <w:rFonts w:ascii="Arial" w:hAnsi="Arial" w:cs="Arial"/>
                <w:sz w:val="20"/>
                <w:szCs w:val="20"/>
              </w:rPr>
            </w:pPr>
          </w:p>
        </w:tc>
      </w:tr>
      <w:tr w:rsidR="006B409D" w:rsidRPr="00031E88" w14:paraId="313CF8C7" w14:textId="77777777" w:rsidTr="005F4440">
        <w:tc>
          <w:tcPr>
            <w:tcW w:w="1701" w:type="dxa"/>
            <w:tcBorders>
              <w:bottom w:val="single" w:sz="4" w:space="0" w:color="auto"/>
            </w:tcBorders>
          </w:tcPr>
          <w:p w14:paraId="2CD47C61" w14:textId="77777777" w:rsidR="006B409D" w:rsidRPr="00031E88" w:rsidRDefault="006B409D" w:rsidP="0004686A">
            <w:pPr>
              <w:jc w:val="both"/>
              <w:rPr>
                <w:rFonts w:ascii="Arial" w:hAnsi="Arial" w:cs="Arial"/>
                <w:sz w:val="20"/>
                <w:szCs w:val="20"/>
              </w:rPr>
            </w:pPr>
          </w:p>
        </w:tc>
        <w:tc>
          <w:tcPr>
            <w:tcW w:w="1418" w:type="dxa"/>
            <w:tcBorders>
              <w:top w:val="single" w:sz="4" w:space="0" w:color="auto"/>
              <w:bottom w:val="single" w:sz="4" w:space="0" w:color="auto"/>
            </w:tcBorders>
          </w:tcPr>
          <w:p w14:paraId="6EB4502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Al</w:t>
            </w:r>
          </w:p>
        </w:tc>
        <w:tc>
          <w:tcPr>
            <w:tcW w:w="1276" w:type="dxa"/>
            <w:tcBorders>
              <w:top w:val="single" w:sz="4" w:space="0" w:color="auto"/>
              <w:bottom w:val="single" w:sz="4" w:space="0" w:color="auto"/>
            </w:tcBorders>
          </w:tcPr>
          <w:p w14:paraId="1672F95A"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Pb</w:t>
            </w:r>
          </w:p>
        </w:tc>
        <w:tc>
          <w:tcPr>
            <w:tcW w:w="1512" w:type="dxa"/>
            <w:tcBorders>
              <w:top w:val="single" w:sz="4" w:space="0" w:color="auto"/>
              <w:bottom w:val="single" w:sz="4" w:space="0" w:color="auto"/>
            </w:tcBorders>
          </w:tcPr>
          <w:p w14:paraId="53D4B2CF"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Zn</w:t>
            </w:r>
          </w:p>
        </w:tc>
        <w:tc>
          <w:tcPr>
            <w:tcW w:w="1428" w:type="dxa"/>
            <w:tcBorders>
              <w:top w:val="single" w:sz="4" w:space="0" w:color="auto"/>
              <w:bottom w:val="single" w:sz="4" w:space="0" w:color="auto"/>
            </w:tcBorders>
          </w:tcPr>
          <w:p w14:paraId="21DC831F"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Cu</w:t>
            </w:r>
          </w:p>
        </w:tc>
        <w:tc>
          <w:tcPr>
            <w:tcW w:w="1312" w:type="dxa"/>
            <w:tcBorders>
              <w:top w:val="single" w:sz="4" w:space="0" w:color="auto"/>
              <w:bottom w:val="single" w:sz="4" w:space="0" w:color="auto"/>
            </w:tcBorders>
          </w:tcPr>
          <w:p w14:paraId="239F0086"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Cd</w:t>
            </w:r>
          </w:p>
        </w:tc>
        <w:tc>
          <w:tcPr>
            <w:tcW w:w="1554" w:type="dxa"/>
            <w:tcBorders>
              <w:bottom w:val="single" w:sz="4" w:space="0" w:color="auto"/>
            </w:tcBorders>
          </w:tcPr>
          <w:p w14:paraId="25E3DA5D"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References</w:t>
            </w:r>
          </w:p>
        </w:tc>
      </w:tr>
      <w:tr w:rsidR="006B409D" w:rsidRPr="00031E88" w14:paraId="0B0E160F" w14:textId="77777777" w:rsidTr="005F4440">
        <w:tc>
          <w:tcPr>
            <w:tcW w:w="1701" w:type="dxa"/>
          </w:tcPr>
          <w:p w14:paraId="0B20BFB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F</w:t>
            </w:r>
            <w:r w:rsidRPr="00031E88">
              <w:rPr>
                <w:rFonts w:ascii="Arial" w:hAnsi="Arial" w:cs="Arial"/>
                <w:i/>
                <w:iCs/>
                <w:sz w:val="20"/>
                <w:szCs w:val="20"/>
                <w:lang w:val="en-GB"/>
              </w:rPr>
              <w:t xml:space="preserve">. </w:t>
            </w:r>
            <w:r w:rsidRPr="00031E88">
              <w:rPr>
                <w:rFonts w:ascii="Arial" w:hAnsi="Arial" w:cs="Arial"/>
                <w:i/>
                <w:iCs/>
                <w:sz w:val="20"/>
                <w:szCs w:val="20"/>
              </w:rPr>
              <w:t>merguiensis</w:t>
            </w:r>
          </w:p>
        </w:tc>
        <w:tc>
          <w:tcPr>
            <w:tcW w:w="1418" w:type="dxa"/>
          </w:tcPr>
          <w:p w14:paraId="026785A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4.04±1.27</w:t>
            </w:r>
          </w:p>
        </w:tc>
        <w:tc>
          <w:tcPr>
            <w:tcW w:w="1276" w:type="dxa"/>
          </w:tcPr>
          <w:p w14:paraId="587F3E0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0.38± 0.20</w:t>
            </w:r>
          </w:p>
        </w:tc>
        <w:tc>
          <w:tcPr>
            <w:tcW w:w="1512" w:type="dxa"/>
          </w:tcPr>
          <w:p w14:paraId="247B244E"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23.22± 9.34</w:t>
            </w:r>
          </w:p>
        </w:tc>
        <w:tc>
          <w:tcPr>
            <w:tcW w:w="1428" w:type="dxa"/>
          </w:tcPr>
          <w:p w14:paraId="232C90B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7.40± 1.24</w:t>
            </w:r>
          </w:p>
        </w:tc>
        <w:tc>
          <w:tcPr>
            <w:tcW w:w="1312" w:type="dxa"/>
          </w:tcPr>
          <w:p w14:paraId="7FB78D4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0.18± 0.03</w:t>
            </w:r>
          </w:p>
        </w:tc>
        <w:tc>
          <w:tcPr>
            <w:tcW w:w="1554" w:type="dxa"/>
          </w:tcPr>
          <w:p w14:paraId="3FB482E3"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This study</w:t>
            </w:r>
          </w:p>
        </w:tc>
      </w:tr>
      <w:tr w:rsidR="006B409D" w:rsidRPr="00031E88" w14:paraId="50A4EF8B" w14:textId="77777777" w:rsidTr="005F4440">
        <w:tc>
          <w:tcPr>
            <w:tcW w:w="1701" w:type="dxa"/>
          </w:tcPr>
          <w:p w14:paraId="3670FDE3"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F</w:t>
            </w:r>
            <w:r w:rsidRPr="00031E88">
              <w:rPr>
                <w:rFonts w:ascii="Arial" w:hAnsi="Arial" w:cs="Arial"/>
                <w:i/>
                <w:iCs/>
                <w:sz w:val="20"/>
                <w:szCs w:val="20"/>
                <w:lang w:val="en-GB"/>
              </w:rPr>
              <w:t>.</w:t>
            </w:r>
            <w:r w:rsidRPr="00031E88">
              <w:rPr>
                <w:rFonts w:ascii="Arial" w:hAnsi="Arial" w:cs="Arial"/>
                <w:sz w:val="20"/>
                <w:szCs w:val="20"/>
              </w:rPr>
              <w:t xml:space="preserve"> </w:t>
            </w:r>
            <w:r w:rsidRPr="00031E88">
              <w:rPr>
                <w:rFonts w:ascii="Arial" w:hAnsi="Arial" w:cs="Arial"/>
                <w:i/>
                <w:iCs/>
                <w:sz w:val="20"/>
                <w:szCs w:val="20"/>
              </w:rPr>
              <w:t>penicillatus</w:t>
            </w:r>
          </w:p>
        </w:tc>
        <w:tc>
          <w:tcPr>
            <w:tcW w:w="1418" w:type="dxa"/>
          </w:tcPr>
          <w:p w14:paraId="27C8CF66"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10.38± 1.49</w:t>
            </w:r>
          </w:p>
        </w:tc>
        <w:tc>
          <w:tcPr>
            <w:tcW w:w="1276" w:type="dxa"/>
          </w:tcPr>
          <w:p w14:paraId="5DC93F0A"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1.18± 0.18</w:t>
            </w:r>
          </w:p>
        </w:tc>
        <w:tc>
          <w:tcPr>
            <w:tcW w:w="1512" w:type="dxa"/>
          </w:tcPr>
          <w:p w14:paraId="0C844B50"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60.82± 22.61</w:t>
            </w:r>
          </w:p>
        </w:tc>
        <w:tc>
          <w:tcPr>
            <w:tcW w:w="1428" w:type="dxa"/>
          </w:tcPr>
          <w:p w14:paraId="4A49E606"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16.73± 1.29</w:t>
            </w:r>
          </w:p>
        </w:tc>
        <w:tc>
          <w:tcPr>
            <w:tcW w:w="1312" w:type="dxa"/>
          </w:tcPr>
          <w:p w14:paraId="100A433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0.27± 0.08</w:t>
            </w:r>
          </w:p>
        </w:tc>
        <w:tc>
          <w:tcPr>
            <w:tcW w:w="1554" w:type="dxa"/>
          </w:tcPr>
          <w:p w14:paraId="74C1FA1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This study</w:t>
            </w:r>
          </w:p>
        </w:tc>
      </w:tr>
      <w:tr w:rsidR="006B409D" w:rsidRPr="00031E88" w14:paraId="6BE220CF" w14:textId="77777777" w:rsidTr="005F4440">
        <w:tc>
          <w:tcPr>
            <w:tcW w:w="3119" w:type="dxa"/>
            <w:gridSpan w:val="2"/>
          </w:tcPr>
          <w:p w14:paraId="62868C93" w14:textId="77777777" w:rsidR="006B409D" w:rsidRPr="00031E88" w:rsidRDefault="006B409D" w:rsidP="0004686A">
            <w:pPr>
              <w:jc w:val="both"/>
              <w:rPr>
                <w:rFonts w:ascii="Arial" w:hAnsi="Arial" w:cs="Arial"/>
                <w:b/>
                <w:bCs/>
                <w:sz w:val="20"/>
                <w:szCs w:val="20"/>
              </w:rPr>
            </w:pPr>
            <w:r w:rsidRPr="00031E88">
              <w:rPr>
                <w:rFonts w:ascii="Arial" w:hAnsi="Arial" w:cs="Arial"/>
                <w:b/>
                <w:bCs/>
                <w:sz w:val="20"/>
                <w:szCs w:val="20"/>
              </w:rPr>
              <w:t>International Limits</w:t>
            </w:r>
          </w:p>
        </w:tc>
        <w:tc>
          <w:tcPr>
            <w:tcW w:w="1276" w:type="dxa"/>
          </w:tcPr>
          <w:p w14:paraId="5ECBBE83" w14:textId="77777777" w:rsidR="006B409D" w:rsidRPr="00031E88" w:rsidRDefault="006B409D" w:rsidP="0004686A">
            <w:pPr>
              <w:jc w:val="both"/>
              <w:rPr>
                <w:rFonts w:ascii="Arial" w:hAnsi="Arial" w:cs="Arial"/>
                <w:sz w:val="20"/>
                <w:szCs w:val="20"/>
              </w:rPr>
            </w:pPr>
          </w:p>
        </w:tc>
        <w:tc>
          <w:tcPr>
            <w:tcW w:w="1512" w:type="dxa"/>
          </w:tcPr>
          <w:p w14:paraId="4958A2FF" w14:textId="77777777" w:rsidR="006B409D" w:rsidRPr="00031E88" w:rsidRDefault="006B409D" w:rsidP="0004686A">
            <w:pPr>
              <w:jc w:val="both"/>
              <w:rPr>
                <w:rFonts w:ascii="Arial" w:hAnsi="Arial" w:cs="Arial"/>
                <w:sz w:val="20"/>
                <w:szCs w:val="20"/>
              </w:rPr>
            </w:pPr>
          </w:p>
        </w:tc>
        <w:tc>
          <w:tcPr>
            <w:tcW w:w="1428" w:type="dxa"/>
          </w:tcPr>
          <w:p w14:paraId="6871F0B1" w14:textId="77777777" w:rsidR="006B409D" w:rsidRPr="00031E88" w:rsidRDefault="006B409D" w:rsidP="0004686A">
            <w:pPr>
              <w:jc w:val="both"/>
              <w:rPr>
                <w:rFonts w:ascii="Arial" w:hAnsi="Arial" w:cs="Arial"/>
                <w:sz w:val="20"/>
                <w:szCs w:val="20"/>
              </w:rPr>
            </w:pPr>
          </w:p>
        </w:tc>
        <w:tc>
          <w:tcPr>
            <w:tcW w:w="1312" w:type="dxa"/>
          </w:tcPr>
          <w:p w14:paraId="762BB141" w14:textId="77777777" w:rsidR="006B409D" w:rsidRPr="00031E88" w:rsidRDefault="006B409D" w:rsidP="0004686A">
            <w:pPr>
              <w:jc w:val="both"/>
              <w:rPr>
                <w:rFonts w:ascii="Arial" w:hAnsi="Arial" w:cs="Arial"/>
                <w:sz w:val="20"/>
                <w:szCs w:val="20"/>
              </w:rPr>
            </w:pPr>
          </w:p>
        </w:tc>
        <w:tc>
          <w:tcPr>
            <w:tcW w:w="1554" w:type="dxa"/>
          </w:tcPr>
          <w:p w14:paraId="053C0D98" w14:textId="77777777" w:rsidR="006B409D" w:rsidRPr="00031E88" w:rsidRDefault="006B409D" w:rsidP="0004686A">
            <w:pPr>
              <w:jc w:val="both"/>
              <w:rPr>
                <w:rFonts w:ascii="Arial" w:hAnsi="Arial" w:cs="Arial"/>
                <w:sz w:val="20"/>
                <w:szCs w:val="20"/>
              </w:rPr>
            </w:pPr>
          </w:p>
        </w:tc>
      </w:tr>
      <w:tr w:rsidR="006B409D" w:rsidRPr="00031E88" w14:paraId="2487A280" w14:textId="77777777" w:rsidTr="005F4440">
        <w:tc>
          <w:tcPr>
            <w:tcW w:w="1701" w:type="dxa"/>
          </w:tcPr>
          <w:p w14:paraId="5D11A5ED"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WHO</w:t>
            </w:r>
          </w:p>
        </w:tc>
        <w:tc>
          <w:tcPr>
            <w:tcW w:w="1418" w:type="dxa"/>
          </w:tcPr>
          <w:p w14:paraId="0917515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276" w:type="dxa"/>
          </w:tcPr>
          <w:p w14:paraId="5E981AB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2</w:t>
            </w:r>
          </w:p>
        </w:tc>
        <w:tc>
          <w:tcPr>
            <w:tcW w:w="1512" w:type="dxa"/>
          </w:tcPr>
          <w:p w14:paraId="0C45F3D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100</w:t>
            </w:r>
          </w:p>
        </w:tc>
        <w:tc>
          <w:tcPr>
            <w:tcW w:w="1428" w:type="dxa"/>
          </w:tcPr>
          <w:p w14:paraId="72A74CC6"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30</w:t>
            </w:r>
          </w:p>
        </w:tc>
        <w:tc>
          <w:tcPr>
            <w:tcW w:w="1312" w:type="dxa"/>
          </w:tcPr>
          <w:p w14:paraId="17393C72"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0.5</w:t>
            </w:r>
          </w:p>
        </w:tc>
        <w:tc>
          <w:tcPr>
            <w:tcW w:w="1554" w:type="dxa"/>
          </w:tcPr>
          <w:p w14:paraId="09D0A64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{"citationItems":[{"id":"ITEM-1","itemData":{"ISSN":"0250863X","abstract":"Xylene is an aromatic hydrocarbon which exists in three isomeric forms: ortho, meta and para. Technical grade xylene contains a mixture of the three isomers and also some ethylbenzene. The estimated world production in 1984 was 15.4 million tonnes. Xylene is a colourless liquid at room temperature with an aromatic odour. The vapour pressure lies between 0.66 and 0.86 kPa for the three isomers. Approximately 92% of mixed xylenes is blended into petrol. It is also used in a variety of solvent applications, particularly in the paint and printing ink industries. The majority of xylene released into the environment enters the atmosphere directly. In the atmosphere the xylene isomers are readily degraded, primarily by photooxidation. Volatilization to the atmosphere from water is rapid for all three isomers. In soil and water, the meta and para isomers are readily biodegraded under a wide range of aerobic and anaerobic conditions, but the ortho isomer is more persistent. The limited evidence available suggests that bioaccumulation of the xylene isomers by fish and invertebrates is low. Elimination of xylene from aquatic organisms is fairly rapid once exposure has ceased. Typically, mean background levels of all three xylene isomers in ambient air are around 1 μg/m3, but in suburban areas they are around 3 μg/m3. Higher levels have been measured in urban and industrialized areas, mean concentrations ranging up to 500 μg/m3. However, concentrations are generally below 100 μg/m3. Estimated daily exposure of the general population through inhalations is 70 μg in rural areas and less than 2000 μg in urban areas. The concentration in drinking-water ranges from not detectable to 12 μg/litre. The data on the level in food are too limited to estimate daily oral exposure. Mean background concentrations of xylenes in surface water are generally below 0.1 μg/litre. However, much higher values have been measured in industrial areas and areas associated with the oil industry (up to 30 μg/litre in polluted waters and up to 2000 μg/litre near to discharge pipes). Similar background levels have been reported for groundwater although high levels have been reported due to localized pollution from underground storage tanks and pipes. After inhalation exposure the retention in the lungs is about 60% of the inhaled dose. Xylene is efficiently metabolized. More than 90% is biotransformed to methylhippuric acid, which is excreted in mice. Xylene does not accumulate significantly in …","author":[{"dropping-particle":"","family":"WHO","given":"","non-dropping-particle":"","parse-names":false,"suffix":""}],"container-title":"No. 85, Geneva","id":"ITEM-1","issued":{"date-parts":[["1989"]]},"title":"Heavy metals environmental aspects. Environmental Health Criteria","type":"article-journal"},"uris":["http://www.mendeley.com/documents/?uuid=1622ddb4-cfea-4d93-9b13-894a8393c09b"]}],"mendeley":{"formattedCitation":"(WHO, 1989)","plainTextFormattedCitation":"(WHO, 1989)","previouslyFormattedCitation":"(WHO 1989)"},"properties":{"noteIndex":0},"schema":"https://github.com/citation-style-language/schema/raw/master/csl-citation.json"}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(WHO</w:t>
            </w:r>
            <w:r w:rsidR="005C4D76">
              <w:rPr>
                <w:rFonts w:ascii="Arial" w:hAnsi="Arial" w:cs="Arial"/>
                <w:noProof/>
                <w:sz w:val="20"/>
                <w:szCs w:val="20"/>
              </w:rPr>
              <w:t>,</w:t>
            </w:r>
            <w:r w:rsidRPr="00031E88">
              <w:rPr>
                <w:rFonts w:ascii="Arial" w:hAnsi="Arial" w:cs="Arial"/>
                <w:noProof/>
                <w:sz w:val="20"/>
                <w:szCs w:val="20"/>
              </w:rPr>
              <w:t xml:space="preserve"> 1989)</w:t>
            </w:r>
            <w:r w:rsidRPr="00031E88">
              <w:rPr>
                <w:rFonts w:ascii="Arial" w:hAnsi="Arial" w:cs="Arial"/>
                <w:sz w:val="20"/>
                <w:szCs w:val="20"/>
              </w:rPr>
              <w:fldChar w:fldCharType="end"/>
            </w:r>
          </w:p>
        </w:tc>
      </w:tr>
      <w:tr w:rsidR="006B409D" w:rsidRPr="00031E88" w14:paraId="1B8A4CC9" w14:textId="77777777" w:rsidTr="005F4440">
        <w:tc>
          <w:tcPr>
            <w:tcW w:w="1701" w:type="dxa"/>
          </w:tcPr>
          <w:p w14:paraId="0271BE8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FAO</w:t>
            </w:r>
          </w:p>
        </w:tc>
        <w:tc>
          <w:tcPr>
            <w:tcW w:w="1418" w:type="dxa"/>
          </w:tcPr>
          <w:p w14:paraId="60A6F31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276" w:type="dxa"/>
          </w:tcPr>
          <w:p w14:paraId="7FC8C672"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0.5-6</w:t>
            </w:r>
          </w:p>
        </w:tc>
        <w:tc>
          <w:tcPr>
            <w:tcW w:w="1512" w:type="dxa"/>
          </w:tcPr>
          <w:p w14:paraId="5471F56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30-100</w:t>
            </w:r>
          </w:p>
        </w:tc>
        <w:tc>
          <w:tcPr>
            <w:tcW w:w="1428" w:type="dxa"/>
          </w:tcPr>
          <w:p w14:paraId="32DF6EB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10-100</w:t>
            </w:r>
          </w:p>
        </w:tc>
        <w:tc>
          <w:tcPr>
            <w:tcW w:w="1312" w:type="dxa"/>
          </w:tcPr>
          <w:p w14:paraId="40A75293"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1554" w:type="dxa"/>
          </w:tcPr>
          <w:p w14:paraId="6E17A10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{"citationItems":[{"id":"ITEM-1","itemData":{"DOI":"https://trove.nla.gov.au/version/22206109","author":[{"dropping-particle":"","family":"FAO","given":"","non-dropping-particle":"","parse-names":false,"suffix":""}],"container-title":"FAO Fish Circ","id":"ITEM-1","issue":"764","issued":{"date-parts":[["1983"]]},"page":"5–100","title":"Compilation of legal limits for hazardous substances in fish and fishery products","type":"article-journal"},"uris":["http://www.mendeley.com/documents/?uuid=5526ca75-ec5c-478f-81a8-a9649b8f1ac4"]}],"mendeley":{"formattedCitation":"(FAO, 1983)","plainTextFormattedCitation":"(FAO, 1983)","previouslyFormattedCitation":"(FAO 1983)"},"properties":{"noteIndex":0},"schema":"https://github.com/citation-style-language/schema/raw/master/csl-citation.json"}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(FAO</w:t>
            </w:r>
            <w:r w:rsidR="005C4D76">
              <w:rPr>
                <w:rFonts w:ascii="Arial" w:hAnsi="Arial" w:cs="Arial"/>
                <w:noProof/>
                <w:sz w:val="20"/>
                <w:szCs w:val="20"/>
              </w:rPr>
              <w:t>,</w:t>
            </w:r>
            <w:r w:rsidRPr="00031E88">
              <w:rPr>
                <w:rFonts w:ascii="Arial" w:hAnsi="Arial" w:cs="Arial"/>
                <w:noProof/>
                <w:sz w:val="20"/>
                <w:szCs w:val="20"/>
              </w:rPr>
              <w:t xml:space="preserve"> 1983)</w:t>
            </w:r>
            <w:r w:rsidRPr="00031E88">
              <w:rPr>
                <w:rFonts w:ascii="Arial" w:hAnsi="Arial" w:cs="Arial"/>
                <w:sz w:val="20"/>
                <w:szCs w:val="20"/>
              </w:rPr>
              <w:fldChar w:fldCharType="end"/>
            </w:r>
          </w:p>
        </w:tc>
      </w:tr>
      <w:tr w:rsidR="006B409D" w:rsidRPr="00031E88" w14:paraId="1EDE7B38" w14:textId="77777777" w:rsidTr="005F4440">
        <w:tc>
          <w:tcPr>
            <w:tcW w:w="1701" w:type="dxa"/>
          </w:tcPr>
          <w:p w14:paraId="23B08593"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 xml:space="preserve">IAEA-407 </w:t>
            </w:r>
          </w:p>
        </w:tc>
        <w:tc>
          <w:tcPr>
            <w:tcW w:w="1418" w:type="dxa"/>
          </w:tcPr>
          <w:p w14:paraId="460127FA"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13.8</w:t>
            </w:r>
          </w:p>
        </w:tc>
        <w:tc>
          <w:tcPr>
            <w:tcW w:w="1276" w:type="dxa"/>
          </w:tcPr>
          <w:p w14:paraId="356777EA"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0.12</w:t>
            </w:r>
          </w:p>
        </w:tc>
        <w:tc>
          <w:tcPr>
            <w:tcW w:w="1512" w:type="dxa"/>
          </w:tcPr>
          <w:p w14:paraId="5D701A8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67.1</w:t>
            </w:r>
          </w:p>
        </w:tc>
        <w:tc>
          <w:tcPr>
            <w:tcW w:w="1428" w:type="dxa"/>
          </w:tcPr>
          <w:p w14:paraId="30B6BB09"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3.28</w:t>
            </w:r>
          </w:p>
        </w:tc>
        <w:tc>
          <w:tcPr>
            <w:tcW w:w="1312" w:type="dxa"/>
          </w:tcPr>
          <w:p w14:paraId="6D3203C3"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0.189</w:t>
            </w:r>
          </w:p>
        </w:tc>
        <w:tc>
          <w:tcPr>
            <w:tcW w:w="1554" w:type="dxa"/>
          </w:tcPr>
          <w:p w14:paraId="32C73239"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{"citationItems":[{"id":"ITEM-1","itemData":{"author":[{"dropping-particle":"","family":"IAEA-407","given":"","non-dropping-particle":"","parse-names":false,"suffix":""}],"id":"ITEM-1","issued":{"date-parts":[["2003"]]},"page":"4","title":"Trace Elements and methylmercury in fish tissue.","type":"article-journal"},"uris":["http://www.mendeley.com/documents/?uuid=d3650fd6-5ecc-4095-84d1-2129a5ac2dfa"]}],"mendeley":{"formattedCitation":"(IAEA-407, 2003)","plainTextFormattedCitation":"(IAEA-407, 2003)","previouslyFormattedCitation":"(IAEA-407 2003)"},"properties":{"noteIndex":0},"schema":"https://github.com/citation-style-language/schema/raw/master/csl-citation.json"}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(IAEA-407</w:t>
            </w:r>
            <w:r w:rsidR="005C4D76">
              <w:rPr>
                <w:rFonts w:ascii="Arial" w:hAnsi="Arial" w:cs="Arial"/>
                <w:noProof/>
                <w:sz w:val="20"/>
                <w:szCs w:val="20"/>
              </w:rPr>
              <w:t>,</w:t>
            </w:r>
            <w:r w:rsidRPr="00031E88">
              <w:rPr>
                <w:rFonts w:ascii="Arial" w:hAnsi="Arial" w:cs="Arial"/>
                <w:noProof/>
                <w:sz w:val="20"/>
                <w:szCs w:val="20"/>
              </w:rPr>
              <w:t xml:space="preserve"> 2003)</w:t>
            </w:r>
            <w:r w:rsidRPr="00031E88">
              <w:rPr>
                <w:rFonts w:ascii="Arial" w:hAnsi="Arial" w:cs="Arial"/>
                <w:sz w:val="20"/>
                <w:szCs w:val="20"/>
              </w:rPr>
              <w:fldChar w:fldCharType="end"/>
            </w:r>
          </w:p>
        </w:tc>
      </w:tr>
      <w:tr w:rsidR="006B409D" w:rsidRPr="00031E88" w14:paraId="1554F2A2" w14:textId="77777777" w:rsidTr="005F4440">
        <w:tc>
          <w:tcPr>
            <w:tcW w:w="1701" w:type="dxa"/>
          </w:tcPr>
          <w:p w14:paraId="5829C3E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European Community</w:t>
            </w:r>
          </w:p>
        </w:tc>
        <w:tc>
          <w:tcPr>
            <w:tcW w:w="1418" w:type="dxa"/>
          </w:tcPr>
          <w:p w14:paraId="554D1D0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276" w:type="dxa"/>
          </w:tcPr>
          <w:p w14:paraId="0A5E9006"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0.2</w:t>
            </w:r>
          </w:p>
        </w:tc>
        <w:tc>
          <w:tcPr>
            <w:tcW w:w="1512" w:type="dxa"/>
          </w:tcPr>
          <w:p w14:paraId="68C7F5C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428" w:type="dxa"/>
          </w:tcPr>
          <w:p w14:paraId="5A2D4EC0"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312" w:type="dxa"/>
          </w:tcPr>
          <w:p w14:paraId="17330C12"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0.05</w:t>
            </w:r>
          </w:p>
        </w:tc>
        <w:tc>
          <w:tcPr>
            <w:tcW w:w="1554" w:type="dxa"/>
          </w:tcPr>
          <w:p w14:paraId="1C62CCB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{"citationItems":[{"id":"ITEM-1","itemData":{"DOI":"http://data.europa.eu/eli/reg/2005/78/oj","author":[{"dropping-particle":"","family":"E.C European Community","given":"","non-dropping-particle":"","parse-names":false,"suffix":""}],"container-title":"Official Journal of the European Union","id":"ITEM-1","issued":{"date-parts":[["2005"]]},"title":"Commission Regulation No 78/2005 (pp. L16/43–L16/45)","type":"article-journal","volume":"(20.1.2005"},"uris":["http://www.mendeley.com/documents/?uuid=21683ca1-fc59-4aa5-a1f0-c823b2755c32"]}],"mendeley":{"formattedCitation":"(E.C European Community, 2005)","plainTextFormattedCitation":"(E.C European Community, 2005)","previouslyFormattedCitation":"(E.C European Community 2005)"},"properties":{"noteIndex":0},"schema":"https://github.com/citation-style-language/schema/raw/master/csl-citation.json"}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(EC</w:t>
            </w:r>
            <w:r w:rsidR="005C4D76">
              <w:rPr>
                <w:rFonts w:ascii="Arial" w:hAnsi="Arial" w:cs="Arial"/>
                <w:noProof/>
                <w:sz w:val="20"/>
                <w:szCs w:val="20"/>
              </w:rPr>
              <w:t>,</w:t>
            </w:r>
            <w:r w:rsidRPr="00031E88">
              <w:rPr>
                <w:rFonts w:ascii="Arial" w:hAnsi="Arial" w:cs="Arial"/>
                <w:noProof/>
                <w:sz w:val="20"/>
                <w:szCs w:val="20"/>
              </w:rPr>
              <w:t xml:space="preserve"> 2005)</w:t>
            </w:r>
            <w:r w:rsidRPr="00031E88">
              <w:rPr>
                <w:rFonts w:ascii="Arial" w:hAnsi="Arial" w:cs="Arial"/>
                <w:sz w:val="20"/>
                <w:szCs w:val="20"/>
              </w:rPr>
              <w:fldChar w:fldCharType="end"/>
            </w:r>
          </w:p>
        </w:tc>
      </w:tr>
      <w:tr w:rsidR="006B409D" w:rsidRPr="00031E88" w14:paraId="1E1096AC" w14:textId="77777777" w:rsidTr="005F4440">
        <w:tc>
          <w:tcPr>
            <w:tcW w:w="1701" w:type="dxa"/>
          </w:tcPr>
          <w:p w14:paraId="76ECFC60"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England</w:t>
            </w:r>
          </w:p>
        </w:tc>
        <w:tc>
          <w:tcPr>
            <w:tcW w:w="1418" w:type="dxa"/>
          </w:tcPr>
          <w:p w14:paraId="7C9AF2A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276" w:type="dxa"/>
          </w:tcPr>
          <w:p w14:paraId="5F5C9DCE"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2</w:t>
            </w:r>
          </w:p>
        </w:tc>
        <w:tc>
          <w:tcPr>
            <w:tcW w:w="1512" w:type="dxa"/>
          </w:tcPr>
          <w:p w14:paraId="7F1EC24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50</w:t>
            </w:r>
          </w:p>
        </w:tc>
        <w:tc>
          <w:tcPr>
            <w:tcW w:w="1428" w:type="dxa"/>
          </w:tcPr>
          <w:p w14:paraId="5A0FDA7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20</w:t>
            </w:r>
          </w:p>
        </w:tc>
        <w:tc>
          <w:tcPr>
            <w:tcW w:w="1312" w:type="dxa"/>
          </w:tcPr>
          <w:p w14:paraId="2D3DA5F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0.2</w:t>
            </w:r>
          </w:p>
        </w:tc>
        <w:tc>
          <w:tcPr>
            <w:tcW w:w="1554" w:type="dxa"/>
          </w:tcPr>
          <w:p w14:paraId="31156D5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{"citationItems":[{"id":"ITEM-1","itemData":{"author":[{"dropping-particle":"","family":"MAFF","given":"","non-dropping-particle":"","parse-names":false,"suffix":""}],"container-title":"Directorate of Fisheries Research, Lowestoft, UK.","id":"ITEM-1","issue":"47","issued":{"date-parts":[["1995"]]},"title":"Monitoring and surveillance of non-radioactive contaminants in the aquatic environment and activities regulating the disposal of waste at sea, 1993. Aquatic Environment Monitoring Report No. 44. Technical Report.","type":"article-journal","volume":"1"},"uris":["http://www.mendeley.com/documents/?uuid=fd7cf621-5fcd-44a6-8d8b-1a74d2b98ec0"]}],"mendeley":{"formattedCitation":"(MAFF, 1995)","plainTextFormattedCitation":"(MAFF, 1995)","previouslyFormattedCitation":"(MAFF 1995)"},"properties":{"noteIndex":0},"schema":"https://github.com/citation-style-language/schema/raw/master/csl-citation.json"}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(MAFF</w:t>
            </w:r>
            <w:r w:rsidR="005C4D76">
              <w:rPr>
                <w:rFonts w:ascii="Arial" w:hAnsi="Arial" w:cs="Arial"/>
                <w:noProof/>
                <w:sz w:val="20"/>
                <w:szCs w:val="20"/>
              </w:rPr>
              <w:t>,</w:t>
            </w:r>
            <w:r w:rsidRPr="00031E88">
              <w:rPr>
                <w:rFonts w:ascii="Arial" w:hAnsi="Arial" w:cs="Arial"/>
                <w:noProof/>
                <w:sz w:val="20"/>
                <w:szCs w:val="20"/>
              </w:rPr>
              <w:t xml:space="preserve"> 1995)</w:t>
            </w:r>
            <w:r w:rsidRPr="00031E88">
              <w:rPr>
                <w:rFonts w:ascii="Arial" w:hAnsi="Arial" w:cs="Arial"/>
                <w:sz w:val="20"/>
                <w:szCs w:val="20"/>
              </w:rPr>
              <w:fldChar w:fldCharType="end"/>
            </w:r>
          </w:p>
        </w:tc>
      </w:tr>
      <w:tr w:rsidR="006B409D" w:rsidRPr="00031E88" w14:paraId="6F147FA2" w14:textId="77777777" w:rsidTr="005F4440">
        <w:tc>
          <w:tcPr>
            <w:tcW w:w="1701" w:type="dxa"/>
          </w:tcPr>
          <w:p w14:paraId="7D7105D2"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USA</w:t>
            </w:r>
          </w:p>
        </w:tc>
        <w:tc>
          <w:tcPr>
            <w:tcW w:w="1418" w:type="dxa"/>
          </w:tcPr>
          <w:p w14:paraId="73F9321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276" w:type="dxa"/>
          </w:tcPr>
          <w:p w14:paraId="3A0460DF"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1512" w:type="dxa"/>
          </w:tcPr>
          <w:p w14:paraId="550518D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75</w:t>
            </w:r>
          </w:p>
        </w:tc>
        <w:tc>
          <w:tcPr>
            <w:tcW w:w="1428" w:type="dxa"/>
          </w:tcPr>
          <w:p w14:paraId="3F97A58F"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6</w:t>
            </w:r>
          </w:p>
        </w:tc>
        <w:tc>
          <w:tcPr>
            <w:tcW w:w="1312" w:type="dxa"/>
          </w:tcPr>
          <w:p w14:paraId="37B73F8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1554" w:type="dxa"/>
          </w:tcPr>
          <w:p w14:paraId="0C0D236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{"citationItems":[{"id":"ITEM-1","itemData":{"DOI":"http://dx.doi.org/10.1016/s0025-326x(00)00146-6","ISSN":"0025326X","abstract":"Metal concentrations were measured in selected fish and invertebrate species from Mugu Lagoon, Malibu Lagoon and Ballona Wetlands in southern California in order to assess the extent of metal contamination in these three wetlands. Ranges of element concentrations (in μg/g) found in biota were: Zn 12-650; Cu 1.9-440; Ni&lt;1-37; Cr&lt;1-55; Pb&lt;0.5-6.8; As&lt;1-8.5; Se&lt;1-3.8; Cd&lt;0.2-0.90; and Ag&lt;0.3-5.9. Relative to previous studies of California biota, the highest metal concentrations found were for chromium and nickel. The highest levels were in one of the two bottom-dwelling fish (juvenile Leptocottus armatus) (55 μg/g) and the two water-column fish sampled (Fundulus parvipinnis and Atherinops affinis) (30 and 24 μg/g). At Ballona Lagoon, elevated levels of copper and silver were found in the bivalve Tagelus californianus (440 and 5.9 μg/g). Chromium and nickel appeared to be most persistent in fish from Mugu (4.6-55 and 2.6-37 μg/g), the most northern site and an active military base, and Ballona (&lt;1-30 and &lt;1-16 μg/g), believed to be the most metal-contaminated site. Compared to previously measured metal concentrations in species of California coastal waters, these regions revealed higher levels of chromium, nickel, silver, arsenic, zinc, copper and, to a lesser extent, cadmium and selenium. Chromium and silver were present at high enough levels at all three sites to be considered environmental health hazards. Copyright © 2001 Elsevier Science Ltd.","author":[{"dropping-particle":"","family":"Cohen","given":"Tamira","non-dropping-particle":"","parse-names":false,"suffix":""},{"dropping-particle":"","family":"Hee","given":"Shane S.Que","non-dropping-particle":"","parse-names":false,"suffix":""},{"dropping-particle":"","family":"Ambrose","given":"Richard F.","non-dropping-particle":"","parse-names":false,"suffix":""}],"container-title":"Marine Pollution Bulletin","id":"ITEM-1","issue":"3","issued":{"date-parts":[["2001"]]},"page":"224-232","title":"Trace metals in fish and invertebrates of three California Coastal Wetlands","type":"article-journal","volume":"42"},"uris":["http://www.mendeley.com/documents/?uuid=a89b452e-f992-49af-8349-6a18323a9876"]}],"mendeley":{"formattedCitation":"(Cohen et al., 2001)","plainTextFormattedCitation":"(Cohen et al., 2001)","previouslyFormattedCitation":"(Cohen, Hee, and Ambrose 2001)"},"properties":{"noteIndex":0},"schema":"https://github.com/citation-style-language/schema/raw/master/csl-citation.json"}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(Cohen et al.</w:t>
            </w:r>
            <w:r w:rsidR="005C4D76">
              <w:rPr>
                <w:rFonts w:ascii="Arial" w:hAnsi="Arial" w:cs="Arial"/>
                <w:noProof/>
                <w:sz w:val="20"/>
                <w:szCs w:val="20"/>
              </w:rPr>
              <w:t>,</w:t>
            </w:r>
            <w:r w:rsidRPr="00031E88">
              <w:rPr>
                <w:rFonts w:ascii="Arial" w:hAnsi="Arial" w:cs="Arial"/>
                <w:noProof/>
                <w:sz w:val="20"/>
                <w:szCs w:val="20"/>
              </w:rPr>
              <w:t xml:space="preserve"> 2001)</w:t>
            </w:r>
            <w:r w:rsidRPr="00031E88">
              <w:rPr>
                <w:rFonts w:ascii="Arial" w:hAnsi="Arial" w:cs="Arial"/>
                <w:sz w:val="20"/>
                <w:szCs w:val="20"/>
              </w:rPr>
              <w:fldChar w:fldCharType="end"/>
            </w:r>
          </w:p>
        </w:tc>
      </w:tr>
      <w:tr w:rsidR="006B409D" w:rsidRPr="00031E88" w14:paraId="38EF69CB" w14:textId="77777777" w:rsidTr="005F4440">
        <w:tc>
          <w:tcPr>
            <w:tcW w:w="1701" w:type="dxa"/>
          </w:tcPr>
          <w:p w14:paraId="007159C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EU limits</w:t>
            </w:r>
          </w:p>
        </w:tc>
        <w:tc>
          <w:tcPr>
            <w:tcW w:w="1418" w:type="dxa"/>
          </w:tcPr>
          <w:p w14:paraId="178EA8F9"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276" w:type="dxa"/>
          </w:tcPr>
          <w:p w14:paraId="56F5255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0.1</w:t>
            </w:r>
          </w:p>
        </w:tc>
        <w:tc>
          <w:tcPr>
            <w:tcW w:w="1512" w:type="dxa"/>
          </w:tcPr>
          <w:p w14:paraId="15A62129"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428" w:type="dxa"/>
          </w:tcPr>
          <w:p w14:paraId="2152D3A6"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10</w:t>
            </w:r>
          </w:p>
        </w:tc>
        <w:tc>
          <w:tcPr>
            <w:tcW w:w="1312" w:type="dxa"/>
          </w:tcPr>
          <w:p w14:paraId="018E522A"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0.1</w:t>
            </w:r>
          </w:p>
        </w:tc>
        <w:tc>
          <w:tcPr>
            <w:tcW w:w="1554" w:type="dxa"/>
          </w:tcPr>
          <w:p w14:paraId="4BF2B3FA"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{"citationItems":[{"id":"ITEM-1","itemData":{"abstract":"Regulation about human food contaminants","author":[{"dropping-particle":"","family":"European Union E.U","given":"","non-dropping-particle":"","parse-names":false,"suffix":""}],"id":"ITEM-1","issue":"2001/22/EC, No: 466.","issued":{"date-parts":[["2001"]]},"title":"Commission Regulation as regards heavy metals, Directive","type":"article-journal"},"uris":["http://www.mendeley.com/documents/?uuid=d530db44-81f6-46be-9e52-5b6d02593dba"]}],"mendeley":{"formattedCitation":"(European Union E.U, 2001)","plainTextFormattedCitation":"(European Union E.U, 2001)","previouslyFormattedCitation":"(European Union E.U 2001)"},"properties":{"noteIndex":0},"schema":"https://github.com/citation-style-language/schema/raw/master/csl-citation.json"}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(EU</w:t>
            </w:r>
            <w:r w:rsidR="005C4D76">
              <w:rPr>
                <w:rFonts w:ascii="Arial" w:hAnsi="Arial" w:cs="Arial"/>
                <w:noProof/>
                <w:sz w:val="20"/>
                <w:szCs w:val="20"/>
              </w:rPr>
              <w:t>,</w:t>
            </w:r>
            <w:r w:rsidRPr="00031E88">
              <w:rPr>
                <w:rFonts w:ascii="Arial" w:hAnsi="Arial" w:cs="Arial"/>
                <w:noProof/>
                <w:sz w:val="20"/>
                <w:szCs w:val="20"/>
              </w:rPr>
              <w:t xml:space="preserve"> 2001)</w:t>
            </w:r>
            <w:r w:rsidRPr="00031E88">
              <w:rPr>
                <w:rFonts w:ascii="Arial" w:hAnsi="Arial" w:cs="Arial"/>
                <w:sz w:val="20"/>
                <w:szCs w:val="20"/>
              </w:rPr>
              <w:fldChar w:fldCharType="end"/>
            </w:r>
          </w:p>
        </w:tc>
      </w:tr>
      <w:tr w:rsidR="006B409D" w:rsidRPr="00031E88" w14:paraId="03781206" w14:textId="77777777" w:rsidTr="005F4440">
        <w:tc>
          <w:tcPr>
            <w:tcW w:w="1701" w:type="dxa"/>
            <w:tcBorders>
              <w:bottom w:val="single" w:sz="4" w:space="0" w:color="auto"/>
            </w:tcBorders>
          </w:tcPr>
          <w:p w14:paraId="53BA6C3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Korean</w:t>
            </w:r>
          </w:p>
        </w:tc>
        <w:tc>
          <w:tcPr>
            <w:tcW w:w="1418" w:type="dxa"/>
            <w:tcBorders>
              <w:bottom w:val="single" w:sz="4" w:space="0" w:color="auto"/>
            </w:tcBorders>
          </w:tcPr>
          <w:p w14:paraId="31D70B52"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w:t>
            </w:r>
          </w:p>
        </w:tc>
        <w:tc>
          <w:tcPr>
            <w:tcW w:w="1276" w:type="dxa"/>
            <w:tcBorders>
              <w:bottom w:val="single" w:sz="4" w:space="0" w:color="auto"/>
            </w:tcBorders>
          </w:tcPr>
          <w:p w14:paraId="21DA143E"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4-53</w:t>
            </w:r>
          </w:p>
        </w:tc>
        <w:tc>
          <w:tcPr>
            <w:tcW w:w="1512" w:type="dxa"/>
            <w:tcBorders>
              <w:bottom w:val="single" w:sz="4" w:space="0" w:color="auto"/>
            </w:tcBorders>
          </w:tcPr>
          <w:p w14:paraId="464764FE"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70-316</w:t>
            </w:r>
          </w:p>
        </w:tc>
        <w:tc>
          <w:tcPr>
            <w:tcW w:w="1428" w:type="dxa"/>
            <w:tcBorders>
              <w:bottom w:val="single" w:sz="4" w:space="0" w:color="auto"/>
            </w:tcBorders>
          </w:tcPr>
          <w:p w14:paraId="3BFA2F4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5-7</w:t>
            </w:r>
          </w:p>
        </w:tc>
        <w:tc>
          <w:tcPr>
            <w:tcW w:w="1312" w:type="dxa"/>
            <w:tcBorders>
              <w:bottom w:val="single" w:sz="4" w:space="0" w:color="auto"/>
            </w:tcBorders>
          </w:tcPr>
          <w:p w14:paraId="07F489D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&lt;1-2</w:t>
            </w:r>
          </w:p>
        </w:tc>
        <w:tc>
          <w:tcPr>
            <w:tcW w:w="1554" w:type="dxa"/>
            <w:tcBorders>
              <w:bottom w:val="single" w:sz="4" w:space="0" w:color="auto"/>
            </w:tcBorders>
          </w:tcPr>
          <w:p w14:paraId="4B57D44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{"citationItems":[{"id":"ITEM-1","itemData":{"DOI":"https://doi.org/10.1016/j.envpol.2003.10.012","ISSN":"02697491","abstract":"The concentrations of Cd, Co, Cu, Cr, Fe, Hg, Mn, Ni, Pb, Sn, Ti and Zn were analyzed by AAS, ICP MS and AFS in soft tissues and byssal threads of Mytilus galloprovincialis from Masan Bay and Ulsan Bay, Korea. Spatial variations in metal concentrations were found. The levels of Cd, Pb, Hg, Cu, Zn, Co and Mn were very high in the mussels from Ulsan Bay (Sts. U1, U2) and comparable with elevated concentrations of these elements in Mytilus sp. reported to date for other geographical areas. Seasonal differences in some metal concentrations were also observed. These variations may be caused by factors such as: a large difference in seawater temperature, food supply for the mussel population and/or freshwater runoff of particulate metal to the coastal water and weight changes brought about by gonadal development and the release of sexual products. Pb, Cu, Zn, Co, Ni, Fe and Mn were more enriched in byssal threads than in the soft tissues, hence the byssus seems to be more sensitive in reflecting the availabilities of trace metals in the ambient waters. Concentrations of trace metals varied with respect to the size of mussels and season, depending on many factors like sexual development, and seawater temperature, etc. The levels of some trace metals in seawater, especially in suspended matter were correlated significantly with those in soft tissues and byssal threads. There were spatial variations in metal concentrations in the soft tissue and byssus attributed to different sources of trace elements located near the sampling sites. There were significant relationships between concentrations of some metals (Cd, Cu, Pb, and Zn) in mussel soft tissues and byssal threads and suspended matter. This suggests that M. galloprovincialis can be used as a sensitive biomonitor for the availabilities of trace elements in the coastal waters off Korea. © 2004 Elsevier Ltd. All rights reserved.","author":[{"dropping-particle":"","family":"Szefer, P., Kim, B.S., Kim, C.K., Kim, E.H., Lee","given":"C.B","non-dropping-particle":"","parse-names":false,"suffix":""}],"container-title":"Environmental Pollution","id":"ITEM-1","issue":"2","issued":{"date-parts":[["2004"]]},"page":"209-228","title":"Distribution and coassociations of trace elements in soft tissue and byssus of Mytilus galloprovincialis relative to the surrounding seawater and suspended matter of the southern part of the Korean Peninsula","type":"article-journal","volume":"129"},"uris":["http://www.mendeley.com/documents/?uuid=3763d65d-4f8a-4464-a285-8e734c37c3ca"]}],"mendeley":{"formattedCitation":"(Szefer, P., Kim, B.S., Kim, C.K., Kim, E.H., Lee, 2004)","plainTextFormattedCitation":"(Szefer, P., Kim, B.S., Kim, C.K., Kim, E.H., Lee, 2004)","previouslyFormattedCitation":"(Szefer, P., Kim, B.S., Kim, C.K., Kim, E.H., Lee 2004)"},"properties":{"noteIndex":0},"schema":"https://github.com/citation-style-language/schema/raw/master/csl-citation.json"}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(Szefer et al.</w:t>
            </w:r>
            <w:r w:rsidR="005C4D76">
              <w:rPr>
                <w:rFonts w:ascii="Arial" w:hAnsi="Arial" w:cs="Arial"/>
                <w:noProof/>
                <w:sz w:val="20"/>
                <w:szCs w:val="20"/>
              </w:rPr>
              <w:t>,</w:t>
            </w:r>
            <w:r w:rsidRPr="00031E88">
              <w:rPr>
                <w:rFonts w:ascii="Arial" w:hAnsi="Arial" w:cs="Arial"/>
                <w:noProof/>
                <w:sz w:val="20"/>
                <w:szCs w:val="20"/>
              </w:rPr>
              <w:t xml:space="preserve"> 2004)</w:t>
            </w:r>
            <w:r w:rsidRPr="00031E88">
              <w:rPr>
                <w:rFonts w:ascii="Arial" w:hAnsi="Arial" w:cs="Arial"/>
                <w:sz w:val="20"/>
                <w:szCs w:val="20"/>
              </w:rPr>
              <w:fldChar w:fldCharType="end"/>
            </w:r>
          </w:p>
        </w:tc>
      </w:tr>
    </w:tbl>
    <w:p w14:paraId="30581C50" w14:textId="77777777" w:rsidR="006B409D" w:rsidRDefault="006B409D" w:rsidP="0004686A">
      <w:pPr>
        <w:spacing w:line="240" w:lineRule="auto"/>
        <w:jc w:val="both"/>
        <w:rPr>
          <w:rFonts w:ascii="Times New Roman" w:hAnsi="Times New Roman" w:cs="Times New Roman"/>
          <w:b/>
          <w:bCs/>
          <w:sz w:val="24"/>
          <w:szCs w:val="24"/>
        </w:rPr>
      </w:pPr>
    </w:p>
    <w:p w14:paraId="3F430261" w14:textId="77777777" w:rsidR="006B409D" w:rsidRPr="00031E88" w:rsidRDefault="004C31EE" w:rsidP="0004686A">
      <w:pPr>
        <w:spacing w:line="240" w:lineRule="auto"/>
        <w:jc w:val="both"/>
        <w:rPr>
          <w:rFonts w:ascii="Arial" w:hAnsi="Arial" w:cs="Arial"/>
          <w:sz w:val="20"/>
          <w:szCs w:val="20"/>
        </w:rPr>
      </w:pPr>
      <w:r w:rsidRPr="00031E88">
        <w:rPr>
          <w:rFonts w:ascii="Arial" w:hAnsi="Arial" w:cs="Arial"/>
          <w:sz w:val="20"/>
          <w:szCs w:val="20"/>
        </w:rPr>
        <w:t xml:space="preserve">In Table </w:t>
      </w:r>
      <w:r w:rsidR="00EB2E14" w:rsidRPr="00031E88">
        <w:rPr>
          <w:rFonts w:ascii="Arial" w:hAnsi="Arial" w:cs="Arial"/>
          <w:sz w:val="20"/>
          <w:szCs w:val="20"/>
        </w:rPr>
        <w:t>3</w:t>
      </w:r>
      <w:r w:rsidRPr="00031E88">
        <w:rPr>
          <w:rFonts w:ascii="Arial" w:hAnsi="Arial" w:cs="Arial"/>
          <w:sz w:val="20"/>
          <w:szCs w:val="20"/>
        </w:rPr>
        <w:t>. t</w:t>
      </w:r>
      <w:r w:rsidR="002C7B9E" w:rsidRPr="00031E88">
        <w:rPr>
          <w:rFonts w:ascii="Arial" w:hAnsi="Arial" w:cs="Arial"/>
          <w:sz w:val="20"/>
          <w:szCs w:val="20"/>
        </w:rPr>
        <w:t>he levels of the heavy metal concentrations in</w:t>
      </w:r>
      <w:r w:rsidR="004D4C42" w:rsidRPr="00031E88">
        <w:rPr>
          <w:rFonts w:ascii="Arial" w:hAnsi="Arial" w:cs="Arial"/>
          <w:sz w:val="20"/>
          <w:szCs w:val="20"/>
        </w:rPr>
        <w:t xml:space="preserve"> different organs of</w:t>
      </w:r>
      <w:r w:rsidR="000D1D65" w:rsidRPr="00031E88">
        <w:rPr>
          <w:rFonts w:ascii="Arial" w:hAnsi="Arial" w:cs="Arial"/>
          <w:sz w:val="20"/>
          <w:szCs w:val="20"/>
        </w:rPr>
        <w:t xml:space="preserve"> Banana prawn </w:t>
      </w:r>
      <w:r w:rsidR="000D1D65" w:rsidRPr="00031E88">
        <w:rPr>
          <w:rFonts w:ascii="Arial" w:hAnsi="Arial" w:cs="Arial"/>
          <w:i/>
          <w:iCs/>
          <w:sz w:val="20"/>
          <w:szCs w:val="20"/>
        </w:rPr>
        <w:t xml:space="preserve">Fenneropenaeus merguiensis </w:t>
      </w:r>
      <w:r w:rsidR="000D1D65" w:rsidRPr="00031E88">
        <w:rPr>
          <w:rFonts w:ascii="Arial" w:hAnsi="Arial" w:cs="Arial"/>
          <w:sz w:val="20"/>
          <w:szCs w:val="20"/>
        </w:rPr>
        <w:t>and R</w:t>
      </w:r>
      <w:proofErr w:type="spellStart"/>
      <w:r w:rsidR="000D1D65" w:rsidRPr="00031E88">
        <w:rPr>
          <w:rFonts w:ascii="Arial" w:hAnsi="Arial" w:cs="Arial"/>
          <w:sz w:val="20"/>
          <w:szCs w:val="20"/>
          <w:lang w:val="en-GB"/>
        </w:rPr>
        <w:t>edtail</w:t>
      </w:r>
      <w:proofErr w:type="spellEnd"/>
      <w:r w:rsidR="000D1D65" w:rsidRPr="00031E88">
        <w:rPr>
          <w:rFonts w:ascii="Arial" w:hAnsi="Arial" w:cs="Arial"/>
          <w:sz w:val="20"/>
          <w:szCs w:val="20"/>
          <w:lang w:val="en-GB"/>
        </w:rPr>
        <w:t xml:space="preserve"> shrimp </w:t>
      </w:r>
      <w:proofErr w:type="spellStart"/>
      <w:r w:rsidR="000D1D65" w:rsidRPr="00031E88">
        <w:rPr>
          <w:rFonts w:ascii="Arial" w:hAnsi="Arial" w:cs="Arial"/>
          <w:i/>
          <w:iCs/>
          <w:sz w:val="20"/>
          <w:szCs w:val="20"/>
          <w:lang w:val="en-GB"/>
        </w:rPr>
        <w:t>Fenneropenaeus</w:t>
      </w:r>
      <w:proofErr w:type="spellEnd"/>
      <w:r w:rsidR="000D1D65" w:rsidRPr="00031E88">
        <w:rPr>
          <w:rFonts w:ascii="Arial" w:hAnsi="Arial" w:cs="Arial"/>
          <w:sz w:val="20"/>
          <w:szCs w:val="20"/>
          <w:lang w:val="en-GB"/>
        </w:rPr>
        <w:t xml:space="preserve"> </w:t>
      </w:r>
      <w:proofErr w:type="spellStart"/>
      <w:r w:rsidR="000D1D65" w:rsidRPr="00031E88">
        <w:rPr>
          <w:rFonts w:ascii="Arial" w:hAnsi="Arial" w:cs="Arial"/>
          <w:i/>
          <w:iCs/>
          <w:sz w:val="20"/>
          <w:szCs w:val="20"/>
          <w:lang w:val="en-GB"/>
        </w:rPr>
        <w:t>penicillatus</w:t>
      </w:r>
      <w:proofErr w:type="spellEnd"/>
      <w:r w:rsidR="000D1D65" w:rsidRPr="00031E88">
        <w:rPr>
          <w:rFonts w:ascii="Arial" w:hAnsi="Arial" w:cs="Arial"/>
          <w:sz w:val="20"/>
          <w:szCs w:val="20"/>
        </w:rPr>
        <w:t xml:space="preserve"> </w:t>
      </w:r>
      <w:r w:rsidR="002C7B9E" w:rsidRPr="00031E88">
        <w:rPr>
          <w:rFonts w:ascii="Arial" w:hAnsi="Arial" w:cs="Arial"/>
          <w:sz w:val="20"/>
          <w:szCs w:val="20"/>
        </w:rPr>
        <w:t>are compared with the international standards for metals compiled by the</w:t>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{"citationItems":[{"id":"ITEM-1","itemData":{"ISSN":"0250863X","abstract":"Xylene is an aromatic hydrocarbon which exists in three isomeric forms: ortho, meta and para. Technical grade xylene contains a mixture of the three isomers and also some ethylbenzene. The estimated world production in 1984 was 15.4 million tonnes. Xylene is a colourless liquid at room temperature with an aromatic odour. The vapour pressure lies between 0.66 and 0.86 kPa for the three isomers. Approximately 92% of mixed xylenes is blended into petrol. It is also used in a variety of solvent applications, particularly in the paint and printing ink industries. The majority of xylene released into the environment enters the atmosphere directly. In the atmosphere the xylene isomers are readily degraded, primarily by photooxidation. Volatilization to the atmosphere from water is rapid for all three isomers. In soil and water, the meta and para isomers are readily biodegraded under a wide range of aerobic and anaerobic conditions, but the ortho isomer is more persistent. The limited evidence available suggests that bioaccumulation of the xylene isomers by fish and invertebrates is low. Elimination of xylene from aquatic organisms is fairly rapid once exposure has ceased. Typically, mean background levels of all three xylene isomers in ambient air are around 1 μg/m3, but in suburban areas they are around 3 μg/m3. Higher levels have been measured in urban and industrialized areas, mean concentrations ranging up to 500 μg/m3. However, concentrations are generally below 100 μg/m3. Estimated daily exposure of the general population through inhalations is 70 μg in rural areas and less than 2000 μg in urban areas. The concentration in drinking-water ranges from not detectable to 12 μg/litre. The data on the level in food are too limited to estimate daily oral exposure. Mean background concentrations of xylenes in surface water are generally below 0.1 μg/litre. However, much higher values have been measured in industrial areas and areas associated with the oil industry (up to 30 μg/litre in polluted waters and up to 2000 μg/litre near to discharge pipes). Similar background levels have been reported for groundwater although high levels have been reported due to localized pollution from underground storage tanks and pipes. After inhalation exposure the retention in the lungs is about 60% of the inhaled dose. Xylene is efficiently metabolized. More than 90% is biotransformed to methylhippuric acid, which is excreted in mice. Xylene does not accumulate significantly in …","author":[{"dropping-particle":"","family":"WHO","given":"","non-dropping-particle":"","parse-names":false,"suffix":""}],"container-title":"No. 85, Geneva","id":"ITEM-1","issued":{"date-parts":[["1989"]]},"title":"Heavy metals environmental aspects. Environmental Health Criteria","type":"article-journal"},"uris":["http://www.mendeley.com/documents/?uuid=1622ddb4-cfea-4d93-9b13-894a8393c09b"]}],"mendeley":{"formattedCitation":"(WHO, 1989)","plainTextFormattedCitation":"(WHO, 1989)","previouslyFormattedCitation":"(WHO 1989)"},"properties":{"noteIndex":0},"schema":"https://github.com/citation-style-language/schema/raw/master/csl-citation.json"}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(WHO</w:t>
      </w:r>
      <w:r w:rsidR="005C4D76">
        <w:rPr>
          <w:rFonts w:ascii="Arial" w:hAnsi="Arial" w:cs="Arial"/>
          <w:noProof/>
          <w:sz w:val="20"/>
          <w:szCs w:val="20"/>
        </w:rPr>
        <w:t>,</w:t>
      </w:r>
      <w:r w:rsidR="000A7347" w:rsidRPr="00031E88">
        <w:rPr>
          <w:rFonts w:ascii="Arial" w:hAnsi="Arial" w:cs="Arial"/>
          <w:noProof/>
          <w:sz w:val="20"/>
          <w:szCs w:val="20"/>
        </w:rPr>
        <w:t xml:space="preserve"> 1989</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{"citationItems":[{"id":"ITEM-1","itemData":{"DOI":"https://trove.nla.gov.au/version/22206109","author":[{"dropping-particle":"","family":"FAO","given":"","non-dropping-particle":"","parse-names":false,"suffix":""}],"container-title":"FAO Fish Circ","id":"ITEM-1","issue":"764","issued":{"date-parts":[["1983"]]},"page":"5–100","title":"Compilation of legal limits for hazardous substances in fish and fishery products","type":"article-journal"},"uris":["http://www.mendeley.com/documents/?uuid=5526ca75-ec5c-478f-81a8-a9649b8f1ac4"]}],"mendeley":{"formattedCitation":"(FAO, 1983)","plainTextFormattedCitation":"(FAO, 1983)","previouslyFormattedCitation":"(FAO 1983)"},"properties":{"noteIndex":0},"schema":"https://github.com/citation-style-language/schema/raw/master/csl-citation.json"}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FAO</w:t>
      </w:r>
      <w:r w:rsidR="005C4D76">
        <w:rPr>
          <w:rFonts w:ascii="Arial" w:hAnsi="Arial" w:cs="Arial"/>
          <w:noProof/>
          <w:sz w:val="20"/>
          <w:szCs w:val="20"/>
        </w:rPr>
        <w:t>,</w:t>
      </w:r>
      <w:r w:rsidR="009D782E" w:rsidRPr="00031E88">
        <w:rPr>
          <w:rFonts w:ascii="Arial" w:hAnsi="Arial" w:cs="Arial"/>
          <w:noProof/>
          <w:sz w:val="20"/>
          <w:szCs w:val="20"/>
        </w:rPr>
        <w:t xml:space="preserve"> </w:t>
      </w:r>
      <w:r w:rsidR="000A7347" w:rsidRPr="00031E88">
        <w:rPr>
          <w:rFonts w:ascii="Arial" w:hAnsi="Arial" w:cs="Arial"/>
          <w:noProof/>
          <w:sz w:val="20"/>
          <w:szCs w:val="20"/>
        </w:rPr>
        <w:t>1983</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{"citationItems":[{"id":"ITEM-1","itemData":{"author":[{"dropping-particle":"","family":"IAEA-407","given":"","non-dropping-particle":"","parse-names":false,"suffix":""}],"id":"ITEM-1","issued":{"date-parts":[["2003"]]},"page":"4","title":"Trace Elements and methylmercury in fish tissue.","type":"article-journal"},"uris":["http://www.mendeley.com/documents/?uuid=d3650fd6-5ecc-4095-84d1-2129a5ac2dfa"]}],"mendeley":{"formattedCitation":"(IAEA-407, 2003)","plainTextFormattedCitation":"(IAEA-407, 2003)","previouslyFormattedCitation":"(IAEA-407 2003)"},"properties":{"noteIndex":0},"schema":"https://github.com/citation-style-language/schema/raw/master/csl-citation.json"}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IAEA-407</w:t>
      </w:r>
      <w:r w:rsidR="005C4D76">
        <w:rPr>
          <w:rFonts w:ascii="Arial" w:hAnsi="Arial" w:cs="Arial"/>
          <w:noProof/>
          <w:sz w:val="20"/>
          <w:szCs w:val="20"/>
        </w:rPr>
        <w:t>,</w:t>
      </w:r>
      <w:r w:rsidR="000A7347" w:rsidRPr="00031E88">
        <w:rPr>
          <w:rFonts w:ascii="Arial" w:hAnsi="Arial" w:cs="Arial"/>
          <w:noProof/>
          <w:sz w:val="20"/>
          <w:szCs w:val="20"/>
        </w:rPr>
        <w:t xml:space="preserve"> 2003</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{"citationItems":[{"id":"ITEM-1","itemData":{"DOI":"http://data.europa.eu/eli/reg/2005/78/oj","author":[{"dropping-particle":"","family":"E.C European Community","given":"","non-dropping-particle":"","parse-names":false,"suffix":""}],"container-title":"Official Journal of the European Union","id":"ITEM-1","issued":{"date-parts":[["2005"]]},"title":"Commission Regulation No 78/2005 (pp. L16/43–L16/45)","type":"article-journal","volume":"(20.1.2005"},"uris":["http://www.mendeley.com/documents/?uuid=21683ca1-fc59-4aa5-a1f0-c823b2755c32"]}],"mendeley":{"formattedCitation":"(E.C European Community, 2005)","plainTextFormattedCitation":"(E.C European Community, 2005)","previouslyFormattedCitation":"(E.C European Community 2005)"},"properties":{"noteIndex":0},"schema":"https://github.com/citation-style-language/schema/raw/master/csl-citation.json"}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EC</w:t>
      </w:r>
      <w:r w:rsidR="005C4D76">
        <w:rPr>
          <w:rFonts w:ascii="Arial" w:hAnsi="Arial" w:cs="Arial"/>
          <w:noProof/>
          <w:sz w:val="20"/>
          <w:szCs w:val="20"/>
        </w:rPr>
        <w:t>,</w:t>
      </w:r>
      <w:r w:rsidR="000A7347" w:rsidRPr="00031E88">
        <w:rPr>
          <w:rFonts w:ascii="Arial" w:hAnsi="Arial" w:cs="Arial"/>
          <w:noProof/>
          <w:sz w:val="20"/>
          <w:szCs w:val="20"/>
        </w:rPr>
        <w:t xml:space="preserve"> 2005</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153C53"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{"citationItems":[{"id":"ITEM-1","itemData":{"author":[{"dropping-particle":"","family":"MAFF","given":"","non-dropping-particle":"","parse-names":false,"suffix":""}],"container-title":"Directorate of Fisheries Research, Lowestoft, UK.","id":"ITEM-1","issue":"47","issued":{"date-parts":[["1995"]]},"title":"Monitoring and surveillance of non-radioactive contaminants in the aquatic environment and activities regulating the disposal of waste at sea, 1993. Aquatic Environment Monitoring Report No. 44. Technical Report.","type":"article-journal","volume":"1"},"uris":["http://www.mendeley.com/documents/?uuid=fd7cf621-5fcd-44a6-8d8b-1a74d2b98ec0"]}],"mendeley":{"formattedCitation":"(MAFF, 1995)","plainTextFormattedCitation":"(MAFF, 1995)","previouslyFormattedCitation":"(MAFF 1995)"},"properties":{"noteIndex":0},"schema":"https://github.com/citation-style-language/schema/raw/master/csl-citation.json"}</w:instrText>
      </w:r>
      <w:r w:rsidR="00153C53" w:rsidRPr="00031E88">
        <w:rPr>
          <w:rFonts w:ascii="Arial" w:hAnsi="Arial" w:cs="Arial"/>
          <w:sz w:val="20"/>
          <w:szCs w:val="20"/>
        </w:rPr>
        <w:fldChar w:fldCharType="separate"/>
      </w:r>
      <w:r w:rsidR="000A7347" w:rsidRPr="00031E88">
        <w:rPr>
          <w:rFonts w:ascii="Arial" w:hAnsi="Arial" w:cs="Arial"/>
          <w:noProof/>
          <w:sz w:val="20"/>
          <w:szCs w:val="20"/>
        </w:rPr>
        <w:t>MAFF</w:t>
      </w:r>
      <w:r w:rsidR="005C4D76">
        <w:rPr>
          <w:rFonts w:ascii="Arial" w:hAnsi="Arial" w:cs="Arial"/>
          <w:noProof/>
          <w:sz w:val="20"/>
          <w:szCs w:val="20"/>
        </w:rPr>
        <w:t>,</w:t>
      </w:r>
      <w:r w:rsidR="000A7347" w:rsidRPr="00031E88">
        <w:rPr>
          <w:rFonts w:ascii="Arial" w:hAnsi="Arial" w:cs="Arial"/>
          <w:noProof/>
          <w:sz w:val="20"/>
          <w:szCs w:val="20"/>
        </w:rPr>
        <w:t xml:space="preserve"> 1995</w:t>
      </w:r>
      <w:r w:rsidR="00153C53" w:rsidRPr="00031E88">
        <w:rPr>
          <w:rFonts w:ascii="Arial" w:hAnsi="Arial" w:cs="Arial"/>
          <w:sz w:val="20"/>
          <w:szCs w:val="20"/>
        </w:rPr>
        <w:fldChar w:fldCharType="end"/>
      </w:r>
      <w:r w:rsidR="00153C53" w:rsidRPr="00031E88">
        <w:rPr>
          <w:rFonts w:ascii="Arial" w:hAnsi="Arial" w:cs="Arial"/>
          <w:sz w:val="20"/>
          <w:szCs w:val="20"/>
        </w:rPr>
        <w:t>;</w:t>
      </w:r>
      <w:r w:rsidR="002C7B9E" w:rsidRPr="00031E88">
        <w:rPr>
          <w:rFonts w:ascii="Arial" w:hAnsi="Arial" w:cs="Arial"/>
          <w:sz w:val="20"/>
          <w:szCs w:val="20"/>
        </w:rPr>
        <w:t xml:space="preserve"> </w:t>
      </w:r>
      <w:r w:rsidR="00153C53"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{"citationItems":[{"id":"ITEM-1","itemData":{"DOI":"http://dx.doi.org/10.1016/s0025-326x(00)00146-6","ISSN":"0025326X","abstract":"Metal concentrations were measured in selected fish and invertebrate species from Mugu Lagoon, Malibu Lagoon and Ballona Wetlands in southern California in order to assess the extent of metal contamination in these three wetlands. Ranges of element concentrations (in μg/g) found in biota were: Zn 12-650; Cu 1.9-440; Ni&lt;1-37; Cr&lt;1-55; Pb&lt;0.5-6.8; As&lt;1-8.5; Se&lt;1-3.8; Cd&lt;0.2-0.90; and Ag&lt;0.3-5.9. Relative to previous studies of California biota, the highest metal concentrations found were for chromium and nickel. The highest levels were in one of the two bottom-dwelling fish (juvenile Leptocottus armatus) (55 μg/g) and the two water-column fish sampled (Fundulus parvipinnis and Atherinops affinis) (30 and 24 μg/g). At Ballona Lagoon, elevated levels of copper and silver were found in the bivalve Tagelus californianus (440 and 5.9 μg/g). Chromium and nickel appeared to be most persistent in fish from Mugu (4.6-55 and 2.6-37 μg/g), the most northern site and an active military base, and Ballona (&lt;1-30 and &lt;1-16 μg/g), believed to be the most metal-contaminated site. Compared to previously measured metal concentrations in species of California coastal waters, these regions revealed higher levels of chromium, nickel, silver, arsenic, zinc, copper and, to a lesser extent, cadmium and selenium. Chromium and silver were present at high enough levels at all three sites to be considered environmental health hazards. Copyright © 2001 Elsevier Science Ltd.","author":[{"dropping-particle":"","family":"Cohen","given":"Tamira","non-dropping-particle":"","parse-names":false,"suffix":""},{"dropping-particle":"","family":"Hee","given":"Shane S.Que","non-dropping-particle":"","parse-names":false,"suffix":""},{"dropping-particle":"","family":"Ambrose","given":"Richard F.","non-dropping-particle":"","parse-names":false,"suffix":""}],"container-title":"Marine Pollution Bulletin","id":"ITEM-1","issue":"3","issued":{"date-parts":[["2001"]]},"page":"224-232","title":"Trace metals in fish and invertebrates of three California Coastal Wetlands","type":"article-journal","volume":"42"},"uris":["http://www.mendeley.com/documents/?uuid=a89b452e-f992-49af-8349-6a18323a9876"]}],"mendeley":{"formattedCitation":"(Cohen et al., 2001)","plainTextFormattedCitation":"(Cohen et al., 2001)","previouslyFormattedCitation":"(Cohen et al. 2001)"},"properties":{"noteIndex":0},"schema":"https://github.com/citation-style-language/schema/raw/master/csl-citation.json"}</w:instrText>
      </w:r>
      <w:r w:rsidR="00153C53" w:rsidRPr="00031E88">
        <w:rPr>
          <w:rFonts w:ascii="Arial" w:hAnsi="Arial" w:cs="Arial"/>
          <w:sz w:val="20"/>
          <w:szCs w:val="20"/>
        </w:rPr>
        <w:fldChar w:fldCharType="separate"/>
      </w:r>
      <w:r w:rsidR="000A7347" w:rsidRPr="00031E88">
        <w:rPr>
          <w:rFonts w:ascii="Arial" w:hAnsi="Arial" w:cs="Arial"/>
          <w:noProof/>
          <w:sz w:val="20"/>
          <w:szCs w:val="20"/>
        </w:rPr>
        <w:t>Cohen et al.</w:t>
      </w:r>
      <w:r w:rsidR="005C4D76">
        <w:rPr>
          <w:rFonts w:ascii="Arial" w:hAnsi="Arial" w:cs="Arial"/>
          <w:noProof/>
          <w:sz w:val="20"/>
          <w:szCs w:val="20"/>
        </w:rPr>
        <w:t>,</w:t>
      </w:r>
      <w:r w:rsidR="000A7347" w:rsidRPr="00031E88">
        <w:rPr>
          <w:rFonts w:ascii="Arial" w:hAnsi="Arial" w:cs="Arial"/>
          <w:noProof/>
          <w:sz w:val="20"/>
          <w:szCs w:val="20"/>
        </w:rPr>
        <w:t xml:space="preserve"> 2001</w:t>
      </w:r>
      <w:r w:rsidR="00153C53" w:rsidRPr="00031E88">
        <w:rPr>
          <w:rFonts w:ascii="Arial" w:hAnsi="Arial" w:cs="Arial"/>
          <w:sz w:val="20"/>
          <w:szCs w:val="20"/>
        </w:rPr>
        <w:fldChar w:fldCharType="end"/>
      </w:r>
      <w:r w:rsidR="00153C53" w:rsidRPr="00031E88">
        <w:rPr>
          <w:rFonts w:ascii="Arial" w:hAnsi="Arial" w:cs="Arial"/>
          <w:sz w:val="20"/>
          <w:szCs w:val="20"/>
        </w:rPr>
        <w:t>;</w:t>
      </w:r>
      <w:r w:rsidR="00833BCB" w:rsidRPr="00031E88">
        <w:rPr>
          <w:rFonts w:ascii="Arial" w:hAnsi="Arial" w:cs="Arial"/>
          <w:sz w:val="20"/>
          <w:szCs w:val="20"/>
        </w:rPr>
        <w:t xml:space="preserve"> </w:t>
      </w:r>
      <w:r w:rsidR="00833BCB"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{"citationItems":[{"id":"ITEM-1","itemData":{"abstract":"Regulation about human food contaminants","author":[{"dropping-particle":"","family":"European Union E.U","given":"","non-dropping-particle":"","parse-names":false,"suffix":""}],"id":"ITEM-1","issue":"2001/22/EC, No: 466.","issued":{"date-parts":[["2001"]]},"title":"Commission Regulation as regards heavy metals, Directive","type":"article-journal"},"uris":["http://www.mendeley.com/documents/?uuid=d530db44-81f6-46be-9e52-5b6d02593dba"]}],"mendeley":{"formattedCitation":"(European Union E.U, 2001)","plainTextFormattedCitation":"(European Union E.U, 2001)","previouslyFormattedCitation":"(European Union E.U 2001)"},"properties":{"noteIndex":0},"schema":"https://github.com/citation-style-language/schema/raw/master/csl-citation.json"}</w:instrText>
      </w:r>
      <w:r w:rsidR="00833BCB" w:rsidRPr="00031E88">
        <w:rPr>
          <w:rFonts w:ascii="Arial" w:hAnsi="Arial" w:cs="Arial"/>
          <w:sz w:val="20"/>
          <w:szCs w:val="20"/>
        </w:rPr>
        <w:fldChar w:fldCharType="separate"/>
      </w:r>
      <w:r w:rsidR="000A7347" w:rsidRPr="00031E88">
        <w:rPr>
          <w:rFonts w:ascii="Arial" w:hAnsi="Arial" w:cs="Arial"/>
          <w:noProof/>
          <w:sz w:val="20"/>
          <w:szCs w:val="20"/>
        </w:rPr>
        <w:t xml:space="preserve"> EU</w:t>
      </w:r>
      <w:r w:rsidR="005C4D76">
        <w:rPr>
          <w:rFonts w:ascii="Arial" w:hAnsi="Arial" w:cs="Arial"/>
          <w:noProof/>
          <w:sz w:val="20"/>
          <w:szCs w:val="20"/>
        </w:rPr>
        <w:t>,</w:t>
      </w:r>
      <w:r w:rsidR="009D782E" w:rsidRPr="00031E88">
        <w:rPr>
          <w:rFonts w:ascii="Arial" w:hAnsi="Arial" w:cs="Arial"/>
          <w:noProof/>
          <w:sz w:val="20"/>
          <w:szCs w:val="20"/>
        </w:rPr>
        <w:t xml:space="preserve"> </w:t>
      </w:r>
      <w:r w:rsidR="000A7347" w:rsidRPr="00031E88">
        <w:rPr>
          <w:rFonts w:ascii="Arial" w:hAnsi="Arial" w:cs="Arial"/>
          <w:noProof/>
          <w:sz w:val="20"/>
          <w:szCs w:val="20"/>
        </w:rPr>
        <w:t>2001)</w:t>
      </w:r>
      <w:r w:rsidR="00833BCB" w:rsidRPr="00031E88">
        <w:rPr>
          <w:rFonts w:ascii="Arial" w:hAnsi="Arial" w:cs="Arial"/>
          <w:sz w:val="20"/>
          <w:szCs w:val="20"/>
        </w:rPr>
        <w:fldChar w:fldCharType="end"/>
      </w:r>
      <w:r w:rsidR="00833BCB" w:rsidRPr="00031E88">
        <w:rPr>
          <w:rFonts w:ascii="Arial" w:hAnsi="Arial" w:cs="Arial"/>
          <w:sz w:val="20"/>
          <w:szCs w:val="20"/>
        </w:rPr>
        <w:t>.</w:t>
      </w:r>
      <w:r w:rsidR="002C7B9E" w:rsidRPr="00031E88">
        <w:rPr>
          <w:rFonts w:ascii="Arial" w:hAnsi="Arial" w:cs="Arial"/>
          <w:sz w:val="20"/>
          <w:szCs w:val="20"/>
        </w:rPr>
        <w:t xml:space="preserve"> The maen concentrations of the</w:t>
      </w:r>
      <w:r w:rsidR="00693B61" w:rsidRPr="00031E88">
        <w:rPr>
          <w:rFonts w:ascii="Arial" w:hAnsi="Arial" w:cs="Arial"/>
          <w:sz w:val="20"/>
          <w:szCs w:val="20"/>
        </w:rPr>
        <w:t xml:space="preserve"> metals in F</w:t>
      </w:r>
      <w:r w:rsidR="00EE382F" w:rsidRPr="00031E88">
        <w:rPr>
          <w:rFonts w:ascii="Arial" w:hAnsi="Arial" w:cs="Arial"/>
          <w:sz w:val="20"/>
          <w:szCs w:val="20"/>
        </w:rPr>
        <w:t>.</w:t>
      </w:r>
      <w:r w:rsidR="00693B61" w:rsidRPr="00031E88">
        <w:rPr>
          <w:rFonts w:ascii="Arial" w:hAnsi="Arial" w:cs="Arial"/>
          <w:sz w:val="20"/>
          <w:szCs w:val="20"/>
        </w:rPr>
        <w:t xml:space="preserve"> </w:t>
      </w:r>
      <w:r w:rsidR="00693B61" w:rsidRPr="00031E88">
        <w:rPr>
          <w:rFonts w:ascii="Arial" w:hAnsi="Arial" w:cs="Arial"/>
          <w:i/>
          <w:iCs/>
          <w:sz w:val="20"/>
          <w:szCs w:val="20"/>
        </w:rPr>
        <w:t xml:space="preserve">merguiensis </w:t>
      </w:r>
      <w:r w:rsidR="002C7B9E" w:rsidRPr="00031E88">
        <w:rPr>
          <w:rFonts w:ascii="Arial" w:hAnsi="Arial" w:cs="Arial"/>
          <w:sz w:val="20"/>
          <w:szCs w:val="20"/>
        </w:rPr>
        <w:t xml:space="preserve"> </w:t>
      </w:r>
      <w:r w:rsidR="00B21943" w:rsidRPr="00031E88">
        <w:rPr>
          <w:rFonts w:ascii="Arial" w:hAnsi="Arial" w:cs="Arial"/>
          <w:sz w:val="20"/>
          <w:szCs w:val="20"/>
        </w:rPr>
        <w:t>compared to</w:t>
      </w:r>
      <w:r w:rsidR="00693B61" w:rsidRPr="00031E88">
        <w:rPr>
          <w:rFonts w:ascii="Arial" w:hAnsi="Arial" w:cs="Arial"/>
          <w:sz w:val="20"/>
          <w:szCs w:val="20"/>
        </w:rPr>
        <w:t xml:space="preserve"> international standards were Pb was above the EC and EU, Cu was above than IAEA-407 and USA standards, Cd was abov</w:t>
      </w:r>
      <w:r w:rsidR="00EE382F" w:rsidRPr="00031E88">
        <w:rPr>
          <w:rFonts w:ascii="Arial" w:hAnsi="Arial" w:cs="Arial"/>
          <w:sz w:val="20"/>
          <w:szCs w:val="20"/>
        </w:rPr>
        <w:t xml:space="preserve">e the EC standards respectively, and the concentrations in </w:t>
      </w:r>
      <w:r w:rsidR="00EE382F" w:rsidRPr="00031E88">
        <w:rPr>
          <w:rFonts w:ascii="Arial" w:hAnsi="Arial" w:cs="Arial"/>
          <w:sz w:val="20"/>
          <w:szCs w:val="20"/>
          <w:lang w:val="en-GB"/>
        </w:rPr>
        <w:t xml:space="preserve">F </w:t>
      </w:r>
      <w:proofErr w:type="spellStart"/>
      <w:r w:rsidR="00EE382F" w:rsidRPr="00031E88">
        <w:rPr>
          <w:rFonts w:ascii="Arial" w:hAnsi="Arial" w:cs="Arial"/>
          <w:i/>
          <w:iCs/>
          <w:sz w:val="20"/>
          <w:szCs w:val="20"/>
          <w:lang w:val="en-GB"/>
        </w:rPr>
        <w:t>penicillatus</w:t>
      </w:r>
      <w:proofErr w:type="spellEnd"/>
      <w:r w:rsidR="00EE382F" w:rsidRPr="00031E88">
        <w:rPr>
          <w:rFonts w:ascii="Arial" w:hAnsi="Arial" w:cs="Arial"/>
          <w:sz w:val="20"/>
          <w:szCs w:val="20"/>
        </w:rPr>
        <w:t xml:space="preserve"> Pb was above than EC, EU and USA, Zn above than MAFF, Cu above than IAEA-407 and USA, Cd above than EC, MAFF, IAEA-407 and EU </w:t>
      </w:r>
      <w:r w:rsidR="002C7B9E" w:rsidRPr="00031E88">
        <w:rPr>
          <w:rFonts w:ascii="Arial" w:hAnsi="Arial" w:cs="Arial"/>
          <w:sz w:val="20"/>
          <w:szCs w:val="20"/>
        </w:rPr>
        <w:t>standards. Heavy metals pollution in water also leads to changes in the chemical components of the aquatic environment, usually influences the behavioural, physiological and bloodstream patterns, cell structures ionic balance</w:t>
      </w:r>
      <w:r w:rsidR="0002411C" w:rsidRPr="00031E88">
        <w:rPr>
          <w:rFonts w:ascii="Arial" w:hAnsi="Arial" w:cs="Arial"/>
          <w:sz w:val="20"/>
          <w:szCs w:val="20"/>
          <w:lang w:val="en-GB"/>
        </w:rPr>
        <w:t xml:space="preserve"> </w:t>
      </w:r>
      <w:r w:rsidR="0002411C"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031E88">
        <w:rPr>
          <w:rFonts w:ascii="Tahoma" w:hAnsi="Tahoma" w:cs="Tahoma"/>
          <w:sz w:val="20"/>
          <w:szCs w:val="20"/>
          <w:lang w:val="en-GB"/>
        </w:rPr>
        <w:instrText>�</w:instrText>
      </w:r>
      <w:r w:rsidR="000A7347" w:rsidRPr="00031E88">
        <w:rPr>
          <w:rFonts w:ascii="Arial" w:hAnsi="Arial" w:cs="Arial"/>
          <w:sz w:val="20"/>
          <w:szCs w:val="20"/>
          <w:lang w:val="en-GB"/>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02411C" w:rsidRPr="00031E88">
        <w:rPr>
          <w:rFonts w:ascii="Arial" w:hAnsi="Arial" w:cs="Arial"/>
          <w:sz w:val="20"/>
          <w:szCs w:val="20"/>
          <w:lang w:val="en-GB"/>
        </w:rPr>
        <w:fldChar w:fldCharType="separate"/>
      </w:r>
      <w:r w:rsidR="000A7347" w:rsidRPr="00031E88">
        <w:rPr>
          <w:rFonts w:ascii="Arial" w:hAnsi="Arial" w:cs="Arial"/>
          <w:noProof/>
          <w:sz w:val="20"/>
          <w:szCs w:val="20"/>
          <w:lang w:val="en-GB"/>
        </w:rPr>
        <w:t>(Oikari</w:t>
      </w:r>
      <w:r w:rsidR="009D782E" w:rsidRPr="00031E88">
        <w:rPr>
          <w:rFonts w:ascii="Arial" w:hAnsi="Arial" w:cs="Arial"/>
          <w:noProof/>
          <w:sz w:val="20"/>
          <w:szCs w:val="20"/>
        </w:rPr>
        <w:t xml:space="preserve"> and</w:t>
      </w:r>
      <w:r w:rsidR="000A7347" w:rsidRPr="00031E88">
        <w:rPr>
          <w:rFonts w:ascii="Arial" w:hAnsi="Arial" w:cs="Arial"/>
          <w:noProof/>
          <w:sz w:val="20"/>
          <w:szCs w:val="20"/>
          <w:lang w:val="en-GB"/>
        </w:rPr>
        <w:t xml:space="preserve"> Soivio 1976)</w:t>
      </w:r>
      <w:r w:rsidR="0002411C" w:rsidRPr="00031E88">
        <w:rPr>
          <w:rFonts w:ascii="Arial" w:hAnsi="Arial" w:cs="Arial"/>
          <w:sz w:val="20"/>
          <w:szCs w:val="20"/>
          <w:lang w:val="en-GB"/>
        </w:rPr>
        <w:fldChar w:fldCharType="end"/>
      </w:r>
      <w:r w:rsidR="002C7B9E" w:rsidRPr="00031E88">
        <w:rPr>
          <w:rFonts w:ascii="Arial" w:hAnsi="Arial" w:cs="Arial"/>
          <w:sz w:val="20"/>
          <w:szCs w:val="20"/>
        </w:rPr>
        <w:t>, carbohydrate metabolism and liver function</w:t>
      </w:r>
      <w:r w:rsidR="00D83FD4" w:rsidRPr="00031E88">
        <w:rPr>
          <w:rFonts w:ascii="Arial" w:hAnsi="Arial" w:cs="Arial"/>
          <w:sz w:val="20"/>
          <w:szCs w:val="20"/>
        </w:rPr>
        <w:t xml:space="preserve"> </w:t>
      </w:r>
      <w:r w:rsidR="0002411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031E88">
        <w:rPr>
          <w:rFonts w:ascii="Tahoma" w:hAnsi="Tahoma" w:cs="Tahoma"/>
          <w:sz w:val="20"/>
          <w:szCs w:val="20"/>
        </w:rPr>
        <w:instrText>�</w:instrText>
      </w:r>
      <w:r w:rsidR="000A7347" w:rsidRPr="00031E88">
        <w:rPr>
          <w:rFonts w:ascii="Arial" w:hAnsi="Arial" w:cs="Arial"/>
          <w:sz w:val="20"/>
          <w:szCs w:val="20"/>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02411C" w:rsidRPr="00031E88">
        <w:rPr>
          <w:rFonts w:ascii="Arial" w:hAnsi="Arial" w:cs="Arial"/>
          <w:sz w:val="20"/>
          <w:szCs w:val="20"/>
        </w:rPr>
        <w:fldChar w:fldCharType="separate"/>
      </w:r>
      <w:r w:rsidR="000A7347" w:rsidRPr="00031E88">
        <w:rPr>
          <w:rFonts w:ascii="Arial" w:hAnsi="Arial" w:cs="Arial"/>
          <w:noProof/>
          <w:sz w:val="20"/>
          <w:szCs w:val="20"/>
        </w:rPr>
        <w:t>(Oikari</w:t>
      </w:r>
      <w:r w:rsidR="009D782E" w:rsidRPr="00031E88">
        <w:rPr>
          <w:rFonts w:ascii="Arial" w:hAnsi="Arial" w:cs="Arial"/>
          <w:noProof/>
          <w:sz w:val="20"/>
          <w:szCs w:val="20"/>
        </w:rPr>
        <w:t xml:space="preserve"> and</w:t>
      </w:r>
      <w:r w:rsidR="000A7347" w:rsidRPr="00031E88">
        <w:rPr>
          <w:rFonts w:ascii="Arial" w:hAnsi="Arial" w:cs="Arial"/>
          <w:noProof/>
          <w:sz w:val="20"/>
          <w:szCs w:val="20"/>
        </w:rPr>
        <w:t xml:space="preserve"> Soivio, 1976</w:t>
      </w:r>
      <w:r w:rsidR="0002411C" w:rsidRPr="00031E88">
        <w:rPr>
          <w:rFonts w:ascii="Arial" w:hAnsi="Arial" w:cs="Arial"/>
          <w:sz w:val="20"/>
          <w:szCs w:val="20"/>
        </w:rPr>
        <w:fldChar w:fldCharType="end"/>
      </w:r>
      <w:r w:rsidR="0002411C" w:rsidRPr="00031E88">
        <w:rPr>
          <w:rFonts w:ascii="Arial" w:hAnsi="Arial" w:cs="Arial"/>
          <w:sz w:val="20"/>
          <w:szCs w:val="20"/>
          <w:lang w:val="en-GB"/>
        </w:rPr>
        <w:t>;</w:t>
      </w:r>
      <w:r w:rsidR="00D83FD4" w:rsidRPr="00031E88">
        <w:rPr>
          <w:rFonts w:ascii="Arial" w:hAnsi="Arial" w:cs="Arial"/>
          <w:sz w:val="20"/>
          <w:szCs w:val="20"/>
        </w:rPr>
        <w:t xml:space="preserve"> </w:t>
      </w:r>
      <w:r w:rsidR="0002411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{"citationItems":[{"id":"ITEM-1","itemData":{"DOI":"https://doi.org/10.1007/BF01608505","ISSN":"00074861","author":[{"dropping-particle":"","family":"Oikari","given":"A. O.J.","non-dropping-particle":"","parse-names":false,"suffix":""},{"dropping-particle":"","family":"Nakari","given":"Tarja","non-dropping-particle":"","parse-names":false,"suffix":""}],"container-title":"Bulletin of Environmental Contamination and Toxicology","id":"ITEM-1","issue":"3","issued":{"date-parts":[["1982"]]},"page":"266-270","title":"Kraft pulp mill effluent components cause liver dysfunction in trout","type":"article-journal","volume":"28"},"uris":["http://www.mendeley.com/documents/?uuid=861908bb-5ed8-4871-84e8-9235ebb589a4"]}],"mendeley":{"formattedCitation":"(Oikari &amp; Nakari, 1982)","plainTextFormattedCitation":"(Oikari &amp; Nakari, 1982)","previouslyFormattedCitation":"(Oikari and Nakari 1982)"},"properties":{"noteIndex":0},"schema":"https://github.com/citation-style-language/schema/raw/master/csl-citation.json"}</w:instrText>
      </w:r>
      <w:r w:rsidR="0002411C" w:rsidRPr="00031E88">
        <w:rPr>
          <w:rFonts w:ascii="Arial" w:hAnsi="Arial" w:cs="Arial"/>
          <w:sz w:val="20"/>
          <w:szCs w:val="20"/>
        </w:rPr>
        <w:fldChar w:fldCharType="separate"/>
      </w:r>
      <w:r w:rsidR="000A7347" w:rsidRPr="00031E88">
        <w:rPr>
          <w:rFonts w:ascii="Arial" w:hAnsi="Arial" w:cs="Arial"/>
          <w:noProof/>
          <w:sz w:val="20"/>
          <w:szCs w:val="20"/>
        </w:rPr>
        <w:t xml:space="preserve">Oikari </w:t>
      </w:r>
      <w:r w:rsidR="009D782E" w:rsidRPr="00031E88">
        <w:rPr>
          <w:rFonts w:ascii="Arial" w:hAnsi="Arial" w:cs="Arial"/>
          <w:noProof/>
          <w:sz w:val="20"/>
          <w:szCs w:val="20"/>
        </w:rPr>
        <w:t>and</w:t>
      </w:r>
      <w:r w:rsidR="000A7347" w:rsidRPr="00031E88">
        <w:rPr>
          <w:rFonts w:ascii="Arial" w:hAnsi="Arial" w:cs="Arial"/>
          <w:noProof/>
          <w:sz w:val="20"/>
          <w:szCs w:val="20"/>
        </w:rPr>
        <w:t xml:space="preserve"> Naka</w:t>
      </w:r>
      <w:r w:rsidR="005C4D76">
        <w:rPr>
          <w:rFonts w:ascii="Arial" w:hAnsi="Arial" w:cs="Arial"/>
          <w:noProof/>
          <w:sz w:val="20"/>
          <w:szCs w:val="20"/>
        </w:rPr>
        <w:t>z</w:t>
      </w:r>
      <w:r w:rsidR="000A7347" w:rsidRPr="00031E88">
        <w:rPr>
          <w:rFonts w:ascii="Arial" w:hAnsi="Arial" w:cs="Arial"/>
          <w:noProof/>
          <w:sz w:val="20"/>
          <w:szCs w:val="20"/>
        </w:rPr>
        <w:t>ri</w:t>
      </w:r>
      <w:r w:rsidR="005C4D76">
        <w:rPr>
          <w:rFonts w:ascii="Arial" w:hAnsi="Arial" w:cs="Arial"/>
          <w:noProof/>
          <w:sz w:val="20"/>
          <w:szCs w:val="20"/>
        </w:rPr>
        <w:t>,</w:t>
      </w:r>
      <w:r w:rsidR="000A7347" w:rsidRPr="00031E88">
        <w:rPr>
          <w:rFonts w:ascii="Arial" w:hAnsi="Arial" w:cs="Arial"/>
          <w:noProof/>
          <w:sz w:val="20"/>
          <w:szCs w:val="20"/>
        </w:rPr>
        <w:t xml:space="preserve"> 1982)</w:t>
      </w:r>
      <w:r w:rsidR="0002411C" w:rsidRPr="00031E88">
        <w:rPr>
          <w:rFonts w:ascii="Arial" w:hAnsi="Arial" w:cs="Arial"/>
          <w:sz w:val="20"/>
          <w:szCs w:val="20"/>
        </w:rPr>
        <w:fldChar w:fldCharType="end"/>
      </w:r>
      <w:r w:rsidR="0002411C" w:rsidRPr="00031E88">
        <w:rPr>
          <w:rFonts w:ascii="Arial" w:hAnsi="Arial" w:cs="Arial"/>
          <w:sz w:val="20"/>
          <w:szCs w:val="20"/>
          <w:lang w:val="en-GB"/>
        </w:rPr>
        <w:t xml:space="preserve"> </w:t>
      </w:r>
      <w:r w:rsidR="002C7B9E" w:rsidRPr="00031E88">
        <w:rPr>
          <w:rFonts w:ascii="Arial" w:hAnsi="Arial" w:cs="Arial"/>
          <w:sz w:val="20"/>
          <w:szCs w:val="20"/>
        </w:rPr>
        <w:t xml:space="preserve">of fishes. Earlier reports, also showed that industrial and domestic effluent constitute largest sources of heavy metal which contribute to the steadily increasing metallic contaminant in aquatic and terrestrials </w:t>
      </w:r>
      <w:r w:rsidR="002C7B9E" w:rsidRPr="00031E88">
        <w:rPr>
          <w:rFonts w:ascii="Arial" w:hAnsi="Arial" w:cs="Arial"/>
          <w:sz w:val="20"/>
          <w:szCs w:val="20"/>
        </w:rPr>
        <w:lastRenderedPageBreak/>
        <w:t>environment in most part of the world</w:t>
      </w:r>
      <w:r w:rsidR="00C5580F" w:rsidRPr="00031E88">
        <w:rPr>
          <w:rFonts w:ascii="Arial" w:hAnsi="Arial" w:cs="Arial"/>
          <w:sz w:val="20"/>
          <w:szCs w:val="20"/>
        </w:rPr>
        <w:t xml:space="preserve"> </w:t>
      </w:r>
      <w:r w:rsidR="00C5580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{"citationItems":[{"id":"ITEM-1","itemData":{"DOI":"https://doi.org/10.1051/radiopro:2007053","abstract":"Ecological Risk Assessment is used to evaluate the potential hazards to the environment that are attributable to emissions of pollutants from industries. There is guidance available regarding the general ecological risk assessment process including problem formulation, exposure and effect analyses, and risk characterization. In a first step, the Screening-Level Ecological Risk Assessment (SLERA) is used to evaluate whether the emissions can put the receptor ecosystems at risk or not. Concerning releases from nuclear facilities under authorization, any SLERA is a challenging task because of (1) the large number of substances, (2) the various quantities that may be emitted to the aquatic ecosystems and (3) the various environmental situations to be considered. This task must be performed for two categories of pollutants, radionuclides and chemicals, each exhibiting specificities in terms of concentration in media or dose-effect relationships. Since these relationships for radioactive substances are based on the tissue-absorbed dose in Gray, the first step is to express critical exposure values to radionuclides in a consistent way with the critical concentration used for chemicals. We describe here the screening and ranking method that was developed and an application to the electronuclear sites along the Rhône River.","author":[{"dropping-particle":"","family":"Jibiri N.N. and Adewuyi","given":"G.O.","non-dropping-particle":"","parse-names":false,"suffix":""}],"container-title":"Radioprotection","id":"ITEM-1","issued":{"date-parts":[["2008"]]},"page":"227-252","title":"Radionuclide contents and physico- chemical characterization of solid waste and effluent samples of some selected industries in the city of Lagos, Nigeria","type":"article-journal","volume":"41"},"uris":["http://www.mendeley.com/documents/?uuid=e2f08900-fc72-40c7-8fc7-e2a84cf7c3c5"]}],"mendeley":{"formattedCitation":"(Jibiri N.N. and Adewuyi, 2008)","plainTextFormattedCitation":"(Jibiri N.N. and Adewuyi, 2008)","previouslyFormattedCitation":"(Jibiri N.N. and Adewuyi 2008)"},"properties":{"noteIndex":0},"schema":"https://github.com/citation-style-language/schema/raw/master/csl-citation.json"}</w:instrText>
      </w:r>
      <w:r w:rsidR="00C5580F" w:rsidRPr="00031E88">
        <w:rPr>
          <w:rFonts w:ascii="Arial" w:hAnsi="Arial" w:cs="Arial"/>
          <w:sz w:val="20"/>
          <w:szCs w:val="20"/>
        </w:rPr>
        <w:fldChar w:fldCharType="separate"/>
      </w:r>
      <w:r w:rsidR="000A7347" w:rsidRPr="00031E88">
        <w:rPr>
          <w:rFonts w:ascii="Arial" w:hAnsi="Arial" w:cs="Arial"/>
          <w:noProof/>
          <w:sz w:val="20"/>
          <w:szCs w:val="20"/>
        </w:rPr>
        <w:t>(Jibiri and Adewuyi</w:t>
      </w:r>
      <w:r w:rsidR="005C4D76">
        <w:rPr>
          <w:rFonts w:ascii="Arial" w:hAnsi="Arial" w:cs="Arial"/>
          <w:noProof/>
          <w:sz w:val="20"/>
          <w:szCs w:val="20"/>
        </w:rPr>
        <w:t>,</w:t>
      </w:r>
      <w:r w:rsidR="000A7347" w:rsidRPr="00031E88">
        <w:rPr>
          <w:rFonts w:ascii="Arial" w:hAnsi="Arial" w:cs="Arial"/>
          <w:noProof/>
          <w:sz w:val="20"/>
          <w:szCs w:val="20"/>
        </w:rPr>
        <w:t xml:space="preserve"> 2008</w:t>
      </w:r>
      <w:r w:rsidR="00C5580F" w:rsidRPr="00031E88">
        <w:rPr>
          <w:rFonts w:ascii="Arial" w:hAnsi="Arial" w:cs="Arial"/>
          <w:sz w:val="20"/>
          <w:szCs w:val="20"/>
        </w:rPr>
        <w:fldChar w:fldCharType="end"/>
      </w:r>
      <w:r w:rsidR="00C5580F" w:rsidRPr="00031E88">
        <w:rPr>
          <w:rFonts w:ascii="Arial" w:hAnsi="Arial" w:cs="Arial"/>
          <w:sz w:val="20"/>
          <w:szCs w:val="20"/>
        </w:rPr>
        <w:t>;</w:t>
      </w:r>
      <w:r w:rsidR="002C7B9E" w:rsidRPr="00031E88">
        <w:rPr>
          <w:rFonts w:ascii="Arial" w:hAnsi="Arial" w:cs="Arial"/>
          <w:sz w:val="20"/>
          <w:szCs w:val="20"/>
        </w:rPr>
        <w:t xml:space="preserve"> </w:t>
      </w:r>
      <w:r w:rsidR="00C5580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{"citationItems":[{"id":"ITEM-1","itemData":{"DOI":"10.1016/j.scitotenv.2019.03.164","ISBN":"0048969719311","ISSN":"18791026","abstract":"Bivalves are extensively employed as biomonitors of coastal pollution, but the comparability among different species and geographic environments needs to be further scrutinized. The present study conducted a meta-analysis of trace metals (Ag, Cd, Cr, Cu, Ni, Pb, Ti, and Zn) in the soft tissues of three groups of marine bivalves (oysters, mussels, and clams) collected from China and worldwide. By conducting cumulative frequency distribution analysis of metal distribution, we modeled the 5% cumulative values as the bio-baseline metal concentrations in these bivalves. We further modeled their potential baseline concentrations using a well-developed biokinetic model. The baseline concentrations of Cd, Cu, and Zn in the tissue-specific Environmental Quality Standards (EQSs) for China were 0.99, 34.5, and 340 μg/g dw in oysters, 0.38, 4.32, and 49.6 μg/g dw in mussels, and 0.35, 3.02, 51.4 μg/g dw in clams, respectively. Of the 8 metals examined in this study, the calculated baseline concentrations of Ag, Cr, Cd, Cu and Zn in the oysters were 3.7–48, 2.7–3.6, 2.6–2.8, 8.0–11.4, 6.6–6.8 times higher than those in the mussels and clams, and only Ti showed comparable baseline concentrations among the three bivalves (8.43–9.67 μg/g dw). These data strongly suggested the inter-group as well as inter-metal difference in the baseline metal concentrations in marine bivalves. Further, the potential baseline concentrations of Cd and Cu predicted by the biokinetic model were comparable to those modeled by the probability frequency distribution. Combined statistical frequency analysis and biokinetic modeling therefore provided an innovative method to establish the baseline metal concentrations in bivalves and the tissue-specific EQSs, which are now urgently needed for coastal management, biomonitoring, and geochemical records in the world.","author":[{"dropping-particle":"","family":"Lu","given":"Guangyuan","non-dropping-particle":"","parse-names":false,"suffix":""},{"dropping-particle":"","family":"Zhu","given":"Aijia","non-dropping-particle":"","parse-names":false,"suffix":""},{"dropping-particle":"","family":"Fang","given":"Hongda","non-dropping-particle":"","parse-names":false,"suffix":""},{"dropping-particle":"","family":"Dong","given":"Yanhong","non-dropping-particle":"","parse-names":false,"suffix":""},{"dropping-particle":"","family":"Wang","given":"Wen Xiong","non-dropping-particle":"","parse-names":false,"suffix":""}],"container-title":"Science of the Total Environment","id":"ITEM-1","issue":"March","issued":{"date-parts":[["2019"]]},"page":"746-753","publisher":"Elsevier B.V.","title":"Establishing baseline trace metals in marine bivalves in China and worldwide: Meta-analysis and modeling approach","type":"article-journal","volume":"669"},"uris":["http://www.mendeley.com/documents/?uuid=6c9cbdb7-4191-4844-a60b-8fbf3db5a6f6"]}],"mendeley":{"formattedCitation":"(Lu et al., 2019)","plainTextFormattedCitation":"(Lu et al., 2019)","previouslyFormattedCitation":"(Lu et al. 2019)"},"properties":{"noteIndex":0},"schema":"https://github.com/citation-style-language/schema/raw/master/csl-citation.json"}</w:instrText>
      </w:r>
      <w:r w:rsidR="00C5580F" w:rsidRPr="00031E88">
        <w:rPr>
          <w:rFonts w:ascii="Arial" w:hAnsi="Arial" w:cs="Arial"/>
          <w:sz w:val="20"/>
          <w:szCs w:val="20"/>
        </w:rPr>
        <w:fldChar w:fldCharType="separate"/>
      </w:r>
      <w:r w:rsidR="000A7347" w:rsidRPr="00031E88">
        <w:rPr>
          <w:rFonts w:ascii="Arial" w:hAnsi="Arial" w:cs="Arial"/>
          <w:noProof/>
          <w:sz w:val="20"/>
          <w:szCs w:val="20"/>
        </w:rPr>
        <w:t>Lu et al.</w:t>
      </w:r>
      <w:r w:rsidR="005C4D76">
        <w:rPr>
          <w:rFonts w:ascii="Arial" w:hAnsi="Arial" w:cs="Arial"/>
          <w:noProof/>
          <w:sz w:val="20"/>
          <w:szCs w:val="20"/>
        </w:rPr>
        <w:t>,</w:t>
      </w:r>
      <w:r w:rsidR="000A7347" w:rsidRPr="00031E88">
        <w:rPr>
          <w:rFonts w:ascii="Arial" w:hAnsi="Arial" w:cs="Arial"/>
          <w:noProof/>
          <w:sz w:val="20"/>
          <w:szCs w:val="20"/>
        </w:rPr>
        <w:t xml:space="preserve"> 2019)</w:t>
      </w:r>
      <w:r w:rsidR="00C5580F" w:rsidRPr="00031E88">
        <w:rPr>
          <w:rFonts w:ascii="Arial" w:hAnsi="Arial" w:cs="Arial"/>
          <w:sz w:val="20"/>
          <w:szCs w:val="20"/>
        </w:rPr>
        <w:fldChar w:fldCharType="end"/>
      </w:r>
      <w:r w:rsidR="00C5580F" w:rsidRPr="00031E88">
        <w:rPr>
          <w:rFonts w:ascii="Arial" w:hAnsi="Arial" w:cs="Arial"/>
          <w:sz w:val="20"/>
          <w:szCs w:val="20"/>
        </w:rPr>
        <w:t xml:space="preserve">. </w:t>
      </w:r>
      <w:r w:rsidR="002C7B9E" w:rsidRPr="00031E88">
        <w:rPr>
          <w:rFonts w:ascii="Arial" w:hAnsi="Arial" w:cs="Arial"/>
          <w:sz w:val="20"/>
          <w:szCs w:val="20"/>
        </w:rPr>
        <w:t>The accumulat</w:t>
      </w:r>
      <w:r w:rsidR="000D3EE9" w:rsidRPr="00031E88">
        <w:rPr>
          <w:rFonts w:ascii="Arial" w:hAnsi="Arial" w:cs="Arial"/>
          <w:sz w:val="20"/>
          <w:szCs w:val="20"/>
        </w:rPr>
        <w:t xml:space="preserve">ion of Al, Pb, Zn, Cu and Cd in </w:t>
      </w:r>
      <w:r w:rsidR="00410A17" w:rsidRPr="00031E88">
        <w:rPr>
          <w:rFonts w:ascii="Arial" w:hAnsi="Arial" w:cs="Arial"/>
          <w:sz w:val="20"/>
          <w:szCs w:val="20"/>
        </w:rPr>
        <w:t xml:space="preserve">different organs of </w:t>
      </w:r>
      <w:r w:rsidR="00E54A58" w:rsidRPr="00031E88">
        <w:rPr>
          <w:rFonts w:ascii="Arial" w:hAnsi="Arial" w:cs="Arial"/>
          <w:sz w:val="20"/>
          <w:szCs w:val="20"/>
        </w:rPr>
        <w:t xml:space="preserve">Banana prawn </w:t>
      </w:r>
      <w:r w:rsidR="00E54A58" w:rsidRPr="00031E88">
        <w:rPr>
          <w:rFonts w:ascii="Arial" w:hAnsi="Arial" w:cs="Arial"/>
          <w:i/>
          <w:iCs/>
          <w:sz w:val="20"/>
          <w:szCs w:val="20"/>
        </w:rPr>
        <w:t>Fenneropenaeus merguiensis</w:t>
      </w:r>
      <w:r w:rsidR="00CB2379" w:rsidRPr="00031E88">
        <w:rPr>
          <w:rFonts w:ascii="Arial" w:hAnsi="Arial" w:cs="Arial"/>
          <w:i/>
          <w:iCs/>
          <w:sz w:val="20"/>
          <w:szCs w:val="20"/>
        </w:rPr>
        <w:t xml:space="preserve"> </w:t>
      </w:r>
      <w:r w:rsidR="00E54A58" w:rsidRPr="00031E88">
        <w:rPr>
          <w:rFonts w:ascii="Arial" w:hAnsi="Arial" w:cs="Arial"/>
          <w:sz w:val="20"/>
          <w:szCs w:val="20"/>
        </w:rPr>
        <w:t>and R</w:t>
      </w:r>
      <w:proofErr w:type="spellStart"/>
      <w:r w:rsidR="00E54A58" w:rsidRPr="00031E88">
        <w:rPr>
          <w:rFonts w:ascii="Arial" w:hAnsi="Arial" w:cs="Arial"/>
          <w:sz w:val="20"/>
          <w:szCs w:val="20"/>
          <w:lang w:val="en-GB"/>
        </w:rPr>
        <w:t>edtail</w:t>
      </w:r>
      <w:proofErr w:type="spellEnd"/>
      <w:r w:rsidR="00E54A58" w:rsidRPr="00031E88">
        <w:rPr>
          <w:rFonts w:ascii="Arial" w:hAnsi="Arial" w:cs="Arial"/>
          <w:sz w:val="20"/>
          <w:szCs w:val="20"/>
          <w:lang w:val="en-GB"/>
        </w:rPr>
        <w:t xml:space="preserve"> shrimp </w:t>
      </w:r>
      <w:proofErr w:type="spellStart"/>
      <w:r w:rsidR="00E54A58" w:rsidRPr="00031E88">
        <w:rPr>
          <w:rFonts w:ascii="Arial" w:hAnsi="Arial" w:cs="Arial"/>
          <w:i/>
          <w:iCs/>
          <w:sz w:val="20"/>
          <w:szCs w:val="20"/>
          <w:lang w:val="en-GB"/>
        </w:rPr>
        <w:t>Fenneropenaeus</w:t>
      </w:r>
      <w:proofErr w:type="spellEnd"/>
      <w:r w:rsidR="00E54A58" w:rsidRPr="00031E88">
        <w:rPr>
          <w:rFonts w:ascii="Arial" w:hAnsi="Arial" w:cs="Arial"/>
          <w:sz w:val="20"/>
          <w:szCs w:val="20"/>
          <w:lang w:val="en-GB"/>
        </w:rPr>
        <w:t xml:space="preserve"> </w:t>
      </w:r>
      <w:proofErr w:type="spellStart"/>
      <w:r w:rsidR="00E54A58" w:rsidRPr="00031E88">
        <w:rPr>
          <w:rFonts w:ascii="Arial" w:hAnsi="Arial" w:cs="Arial"/>
          <w:i/>
          <w:iCs/>
          <w:sz w:val="20"/>
          <w:szCs w:val="20"/>
          <w:lang w:val="en-GB"/>
        </w:rPr>
        <w:t>penicillatus</w:t>
      </w:r>
      <w:proofErr w:type="spellEnd"/>
      <w:r w:rsidR="00E54A58" w:rsidRPr="00031E88">
        <w:rPr>
          <w:rFonts w:ascii="Arial" w:hAnsi="Arial" w:cs="Arial"/>
          <w:sz w:val="20"/>
          <w:szCs w:val="20"/>
        </w:rPr>
        <w:t xml:space="preserve"> </w:t>
      </w:r>
      <w:r w:rsidR="005F5E68" w:rsidRPr="00031E88">
        <w:rPr>
          <w:rFonts w:ascii="Arial" w:hAnsi="Arial" w:cs="Arial"/>
          <w:sz w:val="20"/>
          <w:szCs w:val="20"/>
        </w:rPr>
        <w:t xml:space="preserve">was found to be significantly </w:t>
      </w:r>
      <w:r w:rsidR="002C7B9E" w:rsidRPr="00031E88">
        <w:rPr>
          <w:rFonts w:ascii="Arial" w:hAnsi="Arial" w:cs="Arial"/>
          <w:sz w:val="20"/>
          <w:szCs w:val="20"/>
        </w:rPr>
        <w:t xml:space="preserve">different between </w:t>
      </w:r>
      <w:r w:rsidR="00EF6E3A" w:rsidRPr="00031E88">
        <w:rPr>
          <w:rFonts w:ascii="Arial" w:hAnsi="Arial" w:cs="Arial"/>
          <w:sz w:val="20"/>
          <w:szCs w:val="20"/>
        </w:rPr>
        <w:t>the three different groups</w:t>
      </w:r>
      <w:r w:rsidR="002C7B9E" w:rsidRPr="00031E88">
        <w:rPr>
          <w:rFonts w:ascii="Arial" w:hAnsi="Arial" w:cs="Arial"/>
          <w:sz w:val="20"/>
          <w:szCs w:val="20"/>
        </w:rPr>
        <w:t xml:space="preserve"> (p &lt; 0.05). </w:t>
      </w:r>
    </w:p>
    <w:p w14:paraId="08BF0A80" w14:textId="77777777" w:rsidR="006B409D" w:rsidRPr="00031E88" w:rsidRDefault="006B409D" w:rsidP="0004686A">
      <w:pPr>
        <w:spacing w:line="240" w:lineRule="auto"/>
        <w:jc w:val="both"/>
        <w:rPr>
          <w:rFonts w:ascii="Arial" w:hAnsi="Arial" w:cs="Arial"/>
          <w:sz w:val="20"/>
          <w:szCs w:val="20"/>
        </w:rPr>
      </w:pPr>
      <w:r w:rsidRPr="00031E88">
        <w:rPr>
          <w:rFonts w:ascii="Arial" w:hAnsi="Arial" w:cs="Arial"/>
          <w:b/>
          <w:bCs/>
          <w:sz w:val="20"/>
          <w:szCs w:val="20"/>
        </w:rPr>
        <w:t>Table 4.</w:t>
      </w:r>
      <w:r w:rsidRPr="00031E88">
        <w:rPr>
          <w:rFonts w:ascii="Arial" w:hAnsi="Arial" w:cs="Arial"/>
          <w:sz w:val="20"/>
          <w:szCs w:val="20"/>
        </w:rPr>
        <w:t xml:space="preserve"> Pearson correlation coefficients for the relationships between the concentrations of different metals in muscle and </w:t>
      </w:r>
      <w:r w:rsidRPr="00031E88">
        <w:rPr>
          <w:rFonts w:ascii="Arial" w:hAnsi="Arial" w:cs="Arial"/>
          <w:sz w:val="20"/>
          <w:szCs w:val="20"/>
          <w:lang w:val="en-GB"/>
        </w:rPr>
        <w:t xml:space="preserve">exoskeleton </w:t>
      </w:r>
      <w:r w:rsidRPr="00031E88">
        <w:rPr>
          <w:rFonts w:ascii="Arial" w:hAnsi="Arial" w:cs="Arial"/>
          <w:sz w:val="20"/>
          <w:szCs w:val="20"/>
        </w:rPr>
        <w:t xml:space="preserve">of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850"/>
        <w:gridCol w:w="993"/>
        <w:gridCol w:w="992"/>
        <w:gridCol w:w="850"/>
        <w:gridCol w:w="993"/>
        <w:gridCol w:w="657"/>
      </w:tblGrid>
      <w:tr w:rsidR="006B409D" w:rsidRPr="00031E88" w14:paraId="32A1518A" w14:textId="77777777" w:rsidTr="005F4440">
        <w:tc>
          <w:tcPr>
            <w:tcW w:w="3119" w:type="dxa"/>
            <w:tcBorders>
              <w:top w:val="single" w:sz="4" w:space="0" w:color="auto"/>
              <w:bottom w:val="single" w:sz="4" w:space="0" w:color="auto"/>
            </w:tcBorders>
          </w:tcPr>
          <w:p w14:paraId="24027A03" w14:textId="77777777" w:rsidR="006B409D" w:rsidRPr="00031E88" w:rsidRDefault="006B409D" w:rsidP="0004686A">
            <w:pPr>
              <w:jc w:val="both"/>
              <w:rPr>
                <w:rFonts w:ascii="Arial" w:hAnsi="Arial" w:cs="Arial"/>
                <w:sz w:val="20"/>
                <w:szCs w:val="20"/>
              </w:rPr>
            </w:pPr>
          </w:p>
        </w:tc>
        <w:tc>
          <w:tcPr>
            <w:tcW w:w="709" w:type="dxa"/>
            <w:tcBorders>
              <w:top w:val="single" w:sz="4" w:space="0" w:color="auto"/>
              <w:bottom w:val="single" w:sz="4" w:space="0" w:color="auto"/>
            </w:tcBorders>
          </w:tcPr>
          <w:p w14:paraId="0E0F90B2" w14:textId="77777777" w:rsidR="006B409D" w:rsidRPr="00031E88" w:rsidRDefault="006B409D" w:rsidP="0004686A">
            <w:pPr>
              <w:jc w:val="both"/>
              <w:rPr>
                <w:rFonts w:ascii="Arial" w:hAnsi="Arial" w:cs="Arial"/>
                <w:sz w:val="20"/>
                <w:szCs w:val="20"/>
              </w:rPr>
            </w:pPr>
          </w:p>
        </w:tc>
        <w:tc>
          <w:tcPr>
            <w:tcW w:w="850" w:type="dxa"/>
            <w:tcBorders>
              <w:top w:val="single" w:sz="4" w:space="0" w:color="auto"/>
              <w:bottom w:val="single" w:sz="4" w:space="0" w:color="auto"/>
            </w:tcBorders>
          </w:tcPr>
          <w:p w14:paraId="062EBAB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Al</w:t>
            </w:r>
          </w:p>
        </w:tc>
        <w:tc>
          <w:tcPr>
            <w:tcW w:w="993" w:type="dxa"/>
            <w:tcBorders>
              <w:top w:val="single" w:sz="4" w:space="0" w:color="auto"/>
              <w:bottom w:val="single" w:sz="4" w:space="0" w:color="auto"/>
            </w:tcBorders>
          </w:tcPr>
          <w:p w14:paraId="49BD7484"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Pb</w:t>
            </w:r>
          </w:p>
        </w:tc>
        <w:tc>
          <w:tcPr>
            <w:tcW w:w="992" w:type="dxa"/>
            <w:tcBorders>
              <w:top w:val="single" w:sz="4" w:space="0" w:color="auto"/>
              <w:bottom w:val="single" w:sz="4" w:space="0" w:color="auto"/>
            </w:tcBorders>
          </w:tcPr>
          <w:p w14:paraId="042BBFBA"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Zn</w:t>
            </w:r>
          </w:p>
        </w:tc>
        <w:tc>
          <w:tcPr>
            <w:tcW w:w="850" w:type="dxa"/>
            <w:tcBorders>
              <w:top w:val="single" w:sz="4" w:space="0" w:color="auto"/>
              <w:bottom w:val="single" w:sz="4" w:space="0" w:color="auto"/>
            </w:tcBorders>
          </w:tcPr>
          <w:p w14:paraId="1D66F8E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Cu</w:t>
            </w:r>
          </w:p>
        </w:tc>
        <w:tc>
          <w:tcPr>
            <w:tcW w:w="993" w:type="dxa"/>
            <w:tcBorders>
              <w:top w:val="single" w:sz="4" w:space="0" w:color="auto"/>
              <w:bottom w:val="single" w:sz="4" w:space="0" w:color="auto"/>
            </w:tcBorders>
          </w:tcPr>
          <w:p w14:paraId="1267371F"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Cd</w:t>
            </w:r>
          </w:p>
        </w:tc>
        <w:tc>
          <w:tcPr>
            <w:tcW w:w="657" w:type="dxa"/>
            <w:tcBorders>
              <w:top w:val="single" w:sz="4" w:space="0" w:color="auto"/>
              <w:bottom w:val="single" w:sz="4" w:space="0" w:color="auto"/>
            </w:tcBorders>
          </w:tcPr>
          <w:p w14:paraId="1CBA502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L.R</w:t>
            </w:r>
          </w:p>
        </w:tc>
      </w:tr>
      <w:tr w:rsidR="006B409D" w:rsidRPr="00031E88" w14:paraId="6868DA6B" w14:textId="77777777" w:rsidTr="005F4440">
        <w:tc>
          <w:tcPr>
            <w:tcW w:w="3119" w:type="dxa"/>
            <w:vMerge w:val="restart"/>
            <w:tcBorders>
              <w:top w:val="single" w:sz="4" w:space="0" w:color="auto"/>
            </w:tcBorders>
          </w:tcPr>
          <w:p w14:paraId="71C1FA84" w14:textId="77777777" w:rsidR="006B409D" w:rsidRPr="00031E88" w:rsidRDefault="006B409D" w:rsidP="0004686A">
            <w:pPr>
              <w:jc w:val="both"/>
              <w:rPr>
                <w:rFonts w:ascii="Arial" w:hAnsi="Arial" w:cs="Arial"/>
                <w:sz w:val="20"/>
                <w:szCs w:val="20"/>
              </w:rPr>
            </w:pPr>
          </w:p>
          <w:p w14:paraId="39B47C8F" w14:textId="77777777" w:rsidR="006B409D" w:rsidRPr="00031E88" w:rsidRDefault="006B409D" w:rsidP="0004686A">
            <w:pPr>
              <w:jc w:val="both"/>
              <w:rPr>
                <w:rFonts w:ascii="Arial" w:hAnsi="Arial" w:cs="Arial"/>
                <w:sz w:val="20"/>
                <w:szCs w:val="20"/>
              </w:rPr>
            </w:pPr>
          </w:p>
          <w:p w14:paraId="5C1B5549" w14:textId="77777777" w:rsidR="006B409D" w:rsidRPr="00031E88" w:rsidRDefault="006B409D" w:rsidP="0004686A">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709" w:type="dxa"/>
            <w:tcBorders>
              <w:top w:val="single" w:sz="4" w:space="0" w:color="auto"/>
            </w:tcBorders>
          </w:tcPr>
          <w:p w14:paraId="1FA3BB7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Al</w:t>
            </w:r>
          </w:p>
        </w:tc>
        <w:tc>
          <w:tcPr>
            <w:tcW w:w="850" w:type="dxa"/>
            <w:tcBorders>
              <w:top w:val="single" w:sz="4" w:space="0" w:color="auto"/>
            </w:tcBorders>
          </w:tcPr>
          <w:p w14:paraId="675BBE49"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993" w:type="dxa"/>
            <w:tcBorders>
              <w:top w:val="single" w:sz="4" w:space="0" w:color="auto"/>
            </w:tcBorders>
          </w:tcPr>
          <w:p w14:paraId="459FF29A" w14:textId="77777777" w:rsidR="006B409D" w:rsidRPr="00031E88" w:rsidRDefault="006B409D" w:rsidP="0004686A">
            <w:pPr>
              <w:jc w:val="both"/>
              <w:rPr>
                <w:rFonts w:ascii="Arial" w:hAnsi="Arial" w:cs="Arial"/>
                <w:sz w:val="20"/>
                <w:szCs w:val="20"/>
              </w:rPr>
            </w:pPr>
          </w:p>
        </w:tc>
        <w:tc>
          <w:tcPr>
            <w:tcW w:w="992" w:type="dxa"/>
            <w:tcBorders>
              <w:top w:val="single" w:sz="4" w:space="0" w:color="auto"/>
            </w:tcBorders>
          </w:tcPr>
          <w:p w14:paraId="242ACFFE" w14:textId="77777777" w:rsidR="006B409D" w:rsidRPr="00031E88" w:rsidRDefault="006B409D" w:rsidP="0004686A">
            <w:pPr>
              <w:jc w:val="both"/>
              <w:rPr>
                <w:rFonts w:ascii="Arial" w:hAnsi="Arial" w:cs="Arial"/>
                <w:sz w:val="20"/>
                <w:szCs w:val="20"/>
              </w:rPr>
            </w:pPr>
          </w:p>
        </w:tc>
        <w:tc>
          <w:tcPr>
            <w:tcW w:w="850" w:type="dxa"/>
            <w:tcBorders>
              <w:top w:val="single" w:sz="4" w:space="0" w:color="auto"/>
            </w:tcBorders>
          </w:tcPr>
          <w:p w14:paraId="197A1925" w14:textId="77777777" w:rsidR="006B409D" w:rsidRPr="00031E88" w:rsidRDefault="006B409D" w:rsidP="0004686A">
            <w:pPr>
              <w:jc w:val="both"/>
              <w:rPr>
                <w:rFonts w:ascii="Arial" w:hAnsi="Arial" w:cs="Arial"/>
                <w:sz w:val="20"/>
                <w:szCs w:val="20"/>
              </w:rPr>
            </w:pPr>
          </w:p>
        </w:tc>
        <w:tc>
          <w:tcPr>
            <w:tcW w:w="993" w:type="dxa"/>
            <w:tcBorders>
              <w:top w:val="single" w:sz="4" w:space="0" w:color="auto"/>
            </w:tcBorders>
          </w:tcPr>
          <w:p w14:paraId="7C235A0F" w14:textId="77777777" w:rsidR="006B409D" w:rsidRPr="00031E88" w:rsidRDefault="006B409D" w:rsidP="0004686A">
            <w:pPr>
              <w:jc w:val="both"/>
              <w:rPr>
                <w:rFonts w:ascii="Arial" w:hAnsi="Arial" w:cs="Arial"/>
                <w:sz w:val="20"/>
                <w:szCs w:val="20"/>
              </w:rPr>
            </w:pPr>
          </w:p>
        </w:tc>
        <w:tc>
          <w:tcPr>
            <w:tcW w:w="657" w:type="dxa"/>
            <w:tcBorders>
              <w:top w:val="single" w:sz="4" w:space="0" w:color="auto"/>
            </w:tcBorders>
          </w:tcPr>
          <w:p w14:paraId="7342E56F" w14:textId="77777777" w:rsidR="006B409D" w:rsidRPr="00031E88" w:rsidRDefault="006B409D" w:rsidP="0004686A">
            <w:pPr>
              <w:jc w:val="both"/>
              <w:rPr>
                <w:rFonts w:ascii="Arial" w:hAnsi="Arial" w:cs="Arial"/>
                <w:sz w:val="20"/>
                <w:szCs w:val="20"/>
              </w:rPr>
            </w:pPr>
          </w:p>
        </w:tc>
      </w:tr>
      <w:tr w:rsidR="006B409D" w:rsidRPr="00031E88" w14:paraId="2D4D2721" w14:textId="77777777" w:rsidTr="005F4440">
        <w:tc>
          <w:tcPr>
            <w:tcW w:w="3119" w:type="dxa"/>
            <w:vMerge/>
          </w:tcPr>
          <w:p w14:paraId="199027E5" w14:textId="77777777" w:rsidR="006B409D" w:rsidRPr="00031E88" w:rsidRDefault="006B409D" w:rsidP="0004686A">
            <w:pPr>
              <w:jc w:val="both"/>
              <w:rPr>
                <w:rFonts w:ascii="Arial" w:hAnsi="Arial" w:cs="Arial"/>
                <w:sz w:val="20"/>
                <w:szCs w:val="20"/>
              </w:rPr>
            </w:pPr>
          </w:p>
        </w:tc>
        <w:tc>
          <w:tcPr>
            <w:tcW w:w="709" w:type="dxa"/>
          </w:tcPr>
          <w:p w14:paraId="4A573AAE"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Pb</w:t>
            </w:r>
          </w:p>
        </w:tc>
        <w:tc>
          <w:tcPr>
            <w:tcW w:w="850" w:type="dxa"/>
          </w:tcPr>
          <w:p w14:paraId="0F7311C9" w14:textId="77777777" w:rsidR="006B409D" w:rsidRPr="00031E88" w:rsidRDefault="006B409D" w:rsidP="0004686A">
            <w:pPr>
              <w:jc w:val="both"/>
              <w:rPr>
                <w:rFonts w:ascii="Arial" w:hAnsi="Arial" w:cs="Arial"/>
                <w:sz w:val="20"/>
                <w:szCs w:val="20"/>
                <w:vertAlign w:val="superscript"/>
              </w:rPr>
            </w:pPr>
            <w:r w:rsidRPr="00031E88">
              <w:rPr>
                <w:rFonts w:ascii="Arial" w:hAnsi="Arial" w:cs="Arial"/>
                <w:sz w:val="20"/>
                <w:szCs w:val="20"/>
              </w:rPr>
              <w:t>0.755</w:t>
            </w:r>
          </w:p>
        </w:tc>
        <w:tc>
          <w:tcPr>
            <w:tcW w:w="993" w:type="dxa"/>
          </w:tcPr>
          <w:p w14:paraId="4C7E0710"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992" w:type="dxa"/>
          </w:tcPr>
          <w:p w14:paraId="19E1CFC0" w14:textId="77777777" w:rsidR="006B409D" w:rsidRPr="00031E88" w:rsidRDefault="006B409D" w:rsidP="0004686A">
            <w:pPr>
              <w:jc w:val="both"/>
              <w:rPr>
                <w:rFonts w:ascii="Arial" w:hAnsi="Arial" w:cs="Arial"/>
                <w:sz w:val="20"/>
                <w:szCs w:val="20"/>
              </w:rPr>
            </w:pPr>
          </w:p>
        </w:tc>
        <w:tc>
          <w:tcPr>
            <w:tcW w:w="850" w:type="dxa"/>
          </w:tcPr>
          <w:p w14:paraId="06EBB18D" w14:textId="77777777" w:rsidR="006B409D" w:rsidRPr="00031E88" w:rsidRDefault="006B409D" w:rsidP="0004686A">
            <w:pPr>
              <w:jc w:val="both"/>
              <w:rPr>
                <w:rFonts w:ascii="Arial" w:hAnsi="Arial" w:cs="Arial"/>
                <w:sz w:val="20"/>
                <w:szCs w:val="20"/>
              </w:rPr>
            </w:pPr>
          </w:p>
        </w:tc>
        <w:tc>
          <w:tcPr>
            <w:tcW w:w="993" w:type="dxa"/>
          </w:tcPr>
          <w:p w14:paraId="1B071590" w14:textId="77777777" w:rsidR="006B409D" w:rsidRPr="00031E88" w:rsidRDefault="006B409D" w:rsidP="0004686A">
            <w:pPr>
              <w:jc w:val="both"/>
              <w:rPr>
                <w:rFonts w:ascii="Arial" w:hAnsi="Arial" w:cs="Arial"/>
                <w:sz w:val="20"/>
                <w:szCs w:val="20"/>
              </w:rPr>
            </w:pPr>
          </w:p>
        </w:tc>
        <w:tc>
          <w:tcPr>
            <w:tcW w:w="657" w:type="dxa"/>
          </w:tcPr>
          <w:p w14:paraId="79D2F6A6" w14:textId="77777777" w:rsidR="006B409D" w:rsidRPr="00031E88" w:rsidRDefault="006B409D" w:rsidP="0004686A">
            <w:pPr>
              <w:jc w:val="both"/>
              <w:rPr>
                <w:rFonts w:ascii="Arial" w:hAnsi="Arial" w:cs="Arial"/>
                <w:sz w:val="20"/>
                <w:szCs w:val="20"/>
              </w:rPr>
            </w:pPr>
          </w:p>
        </w:tc>
      </w:tr>
      <w:tr w:rsidR="006B409D" w:rsidRPr="00031E88" w14:paraId="1184BBA0" w14:textId="77777777" w:rsidTr="005F4440">
        <w:tc>
          <w:tcPr>
            <w:tcW w:w="3119" w:type="dxa"/>
            <w:vMerge/>
          </w:tcPr>
          <w:p w14:paraId="03E2FB54" w14:textId="77777777" w:rsidR="006B409D" w:rsidRPr="00031E88" w:rsidRDefault="006B409D" w:rsidP="0004686A">
            <w:pPr>
              <w:jc w:val="both"/>
              <w:rPr>
                <w:rFonts w:ascii="Arial" w:hAnsi="Arial" w:cs="Arial"/>
                <w:sz w:val="20"/>
                <w:szCs w:val="20"/>
              </w:rPr>
            </w:pPr>
          </w:p>
        </w:tc>
        <w:tc>
          <w:tcPr>
            <w:tcW w:w="709" w:type="dxa"/>
          </w:tcPr>
          <w:p w14:paraId="35D06CEE"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Zn</w:t>
            </w:r>
          </w:p>
        </w:tc>
        <w:tc>
          <w:tcPr>
            <w:tcW w:w="850" w:type="dxa"/>
          </w:tcPr>
          <w:p w14:paraId="17EFAEC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0.434</w:t>
            </w:r>
          </w:p>
        </w:tc>
        <w:tc>
          <w:tcPr>
            <w:tcW w:w="993" w:type="dxa"/>
          </w:tcPr>
          <w:p w14:paraId="611079E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0.873</w:t>
            </w:r>
            <w:r w:rsidRPr="00031E88">
              <w:rPr>
                <w:rFonts w:ascii="Arial" w:hAnsi="Arial" w:cs="Arial"/>
                <w:sz w:val="20"/>
                <w:szCs w:val="20"/>
                <w:vertAlign w:val="superscript"/>
              </w:rPr>
              <w:t>*</w:t>
            </w:r>
          </w:p>
        </w:tc>
        <w:tc>
          <w:tcPr>
            <w:tcW w:w="992" w:type="dxa"/>
          </w:tcPr>
          <w:p w14:paraId="502197EA"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850" w:type="dxa"/>
          </w:tcPr>
          <w:p w14:paraId="33CDD5A8" w14:textId="77777777" w:rsidR="006B409D" w:rsidRPr="00031E88" w:rsidRDefault="006B409D" w:rsidP="0004686A">
            <w:pPr>
              <w:jc w:val="both"/>
              <w:rPr>
                <w:rFonts w:ascii="Arial" w:hAnsi="Arial" w:cs="Arial"/>
                <w:sz w:val="20"/>
                <w:szCs w:val="20"/>
              </w:rPr>
            </w:pPr>
          </w:p>
        </w:tc>
        <w:tc>
          <w:tcPr>
            <w:tcW w:w="993" w:type="dxa"/>
          </w:tcPr>
          <w:p w14:paraId="7A8A6C36" w14:textId="77777777" w:rsidR="006B409D" w:rsidRPr="00031E88" w:rsidRDefault="006B409D" w:rsidP="0004686A">
            <w:pPr>
              <w:jc w:val="both"/>
              <w:rPr>
                <w:rFonts w:ascii="Arial" w:hAnsi="Arial" w:cs="Arial"/>
                <w:sz w:val="20"/>
                <w:szCs w:val="20"/>
              </w:rPr>
            </w:pPr>
          </w:p>
        </w:tc>
        <w:tc>
          <w:tcPr>
            <w:tcW w:w="657" w:type="dxa"/>
          </w:tcPr>
          <w:p w14:paraId="2B66602F" w14:textId="77777777" w:rsidR="006B409D" w:rsidRPr="00031E88" w:rsidRDefault="006B409D" w:rsidP="0004686A">
            <w:pPr>
              <w:jc w:val="both"/>
              <w:rPr>
                <w:rFonts w:ascii="Arial" w:hAnsi="Arial" w:cs="Arial"/>
                <w:sz w:val="20"/>
                <w:szCs w:val="20"/>
              </w:rPr>
            </w:pPr>
          </w:p>
        </w:tc>
      </w:tr>
      <w:tr w:rsidR="006B409D" w:rsidRPr="00031E88" w14:paraId="71F45FFB" w14:textId="77777777" w:rsidTr="005F4440">
        <w:tc>
          <w:tcPr>
            <w:tcW w:w="3119" w:type="dxa"/>
            <w:vMerge/>
          </w:tcPr>
          <w:p w14:paraId="2C1EA6B8" w14:textId="77777777" w:rsidR="006B409D" w:rsidRPr="00031E88" w:rsidRDefault="006B409D" w:rsidP="0004686A">
            <w:pPr>
              <w:jc w:val="both"/>
              <w:rPr>
                <w:rFonts w:ascii="Arial" w:hAnsi="Arial" w:cs="Arial"/>
                <w:sz w:val="20"/>
                <w:szCs w:val="20"/>
              </w:rPr>
            </w:pPr>
          </w:p>
        </w:tc>
        <w:tc>
          <w:tcPr>
            <w:tcW w:w="709" w:type="dxa"/>
          </w:tcPr>
          <w:p w14:paraId="2EEEA029"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Cu</w:t>
            </w:r>
          </w:p>
        </w:tc>
        <w:tc>
          <w:tcPr>
            <w:tcW w:w="850" w:type="dxa"/>
          </w:tcPr>
          <w:p w14:paraId="13830B0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-0.640</w:t>
            </w:r>
          </w:p>
        </w:tc>
        <w:tc>
          <w:tcPr>
            <w:tcW w:w="993" w:type="dxa"/>
          </w:tcPr>
          <w:p w14:paraId="254AE5F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-0.896</w:t>
            </w:r>
            <w:r w:rsidRPr="00031E88">
              <w:rPr>
                <w:rFonts w:ascii="Arial" w:hAnsi="Arial" w:cs="Arial"/>
                <w:sz w:val="20"/>
                <w:szCs w:val="20"/>
                <w:vertAlign w:val="superscript"/>
              </w:rPr>
              <w:t>*</w:t>
            </w:r>
          </w:p>
        </w:tc>
        <w:tc>
          <w:tcPr>
            <w:tcW w:w="992" w:type="dxa"/>
          </w:tcPr>
          <w:p w14:paraId="4565B13D"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-0.741</w:t>
            </w:r>
          </w:p>
        </w:tc>
        <w:tc>
          <w:tcPr>
            <w:tcW w:w="850" w:type="dxa"/>
          </w:tcPr>
          <w:p w14:paraId="694D4FF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993" w:type="dxa"/>
          </w:tcPr>
          <w:p w14:paraId="5600C823" w14:textId="77777777" w:rsidR="006B409D" w:rsidRPr="00031E88" w:rsidRDefault="006B409D" w:rsidP="0004686A">
            <w:pPr>
              <w:jc w:val="both"/>
              <w:rPr>
                <w:rFonts w:ascii="Arial" w:hAnsi="Arial" w:cs="Arial"/>
                <w:sz w:val="20"/>
                <w:szCs w:val="20"/>
              </w:rPr>
            </w:pPr>
          </w:p>
        </w:tc>
        <w:tc>
          <w:tcPr>
            <w:tcW w:w="657" w:type="dxa"/>
          </w:tcPr>
          <w:p w14:paraId="770ABCA8" w14:textId="77777777" w:rsidR="006B409D" w:rsidRPr="00031E88" w:rsidRDefault="006B409D" w:rsidP="0004686A">
            <w:pPr>
              <w:jc w:val="both"/>
              <w:rPr>
                <w:rFonts w:ascii="Arial" w:hAnsi="Arial" w:cs="Arial"/>
                <w:sz w:val="20"/>
                <w:szCs w:val="20"/>
              </w:rPr>
            </w:pPr>
          </w:p>
        </w:tc>
      </w:tr>
      <w:tr w:rsidR="006B409D" w:rsidRPr="00031E88" w14:paraId="407E7347" w14:textId="77777777" w:rsidTr="005F4440">
        <w:tc>
          <w:tcPr>
            <w:tcW w:w="3119" w:type="dxa"/>
            <w:vMerge/>
          </w:tcPr>
          <w:p w14:paraId="47131034" w14:textId="77777777" w:rsidR="006B409D" w:rsidRPr="00031E88" w:rsidRDefault="006B409D" w:rsidP="0004686A">
            <w:pPr>
              <w:jc w:val="both"/>
              <w:rPr>
                <w:rFonts w:ascii="Arial" w:hAnsi="Arial" w:cs="Arial"/>
                <w:sz w:val="20"/>
                <w:szCs w:val="20"/>
              </w:rPr>
            </w:pPr>
          </w:p>
        </w:tc>
        <w:tc>
          <w:tcPr>
            <w:tcW w:w="709" w:type="dxa"/>
          </w:tcPr>
          <w:p w14:paraId="416163A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Cd</w:t>
            </w:r>
          </w:p>
        </w:tc>
        <w:tc>
          <w:tcPr>
            <w:tcW w:w="850" w:type="dxa"/>
          </w:tcPr>
          <w:p w14:paraId="5038991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0.204</w:t>
            </w:r>
          </w:p>
        </w:tc>
        <w:tc>
          <w:tcPr>
            <w:tcW w:w="993" w:type="dxa"/>
          </w:tcPr>
          <w:p w14:paraId="2655F3A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0.604</w:t>
            </w:r>
          </w:p>
        </w:tc>
        <w:tc>
          <w:tcPr>
            <w:tcW w:w="992" w:type="dxa"/>
          </w:tcPr>
          <w:p w14:paraId="4A702D0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0.852</w:t>
            </w:r>
            <w:r w:rsidRPr="00031E88">
              <w:rPr>
                <w:rFonts w:ascii="Arial" w:hAnsi="Arial" w:cs="Arial"/>
                <w:sz w:val="20"/>
                <w:szCs w:val="20"/>
                <w:vertAlign w:val="superscript"/>
              </w:rPr>
              <w:t>*</w:t>
            </w:r>
          </w:p>
        </w:tc>
        <w:tc>
          <w:tcPr>
            <w:tcW w:w="850" w:type="dxa"/>
          </w:tcPr>
          <w:p w14:paraId="4C7C083C"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-0.363</w:t>
            </w:r>
          </w:p>
        </w:tc>
        <w:tc>
          <w:tcPr>
            <w:tcW w:w="993" w:type="dxa"/>
          </w:tcPr>
          <w:p w14:paraId="4D54C375"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657" w:type="dxa"/>
          </w:tcPr>
          <w:p w14:paraId="47DB3B4A" w14:textId="77777777" w:rsidR="006B409D" w:rsidRPr="00031E88" w:rsidRDefault="006B409D" w:rsidP="0004686A">
            <w:pPr>
              <w:jc w:val="both"/>
              <w:rPr>
                <w:rFonts w:ascii="Arial" w:hAnsi="Arial" w:cs="Arial"/>
                <w:sz w:val="20"/>
                <w:szCs w:val="20"/>
              </w:rPr>
            </w:pPr>
          </w:p>
        </w:tc>
      </w:tr>
      <w:tr w:rsidR="006B409D" w:rsidRPr="00031E88" w14:paraId="5C736217" w14:textId="77777777" w:rsidTr="005F4440">
        <w:tc>
          <w:tcPr>
            <w:tcW w:w="3119" w:type="dxa"/>
            <w:vMerge/>
            <w:tcBorders>
              <w:bottom w:val="single" w:sz="4" w:space="0" w:color="auto"/>
            </w:tcBorders>
          </w:tcPr>
          <w:p w14:paraId="4E194C20" w14:textId="77777777" w:rsidR="006B409D" w:rsidRPr="00031E88" w:rsidRDefault="006B409D" w:rsidP="0004686A">
            <w:pPr>
              <w:jc w:val="both"/>
              <w:rPr>
                <w:rFonts w:ascii="Arial" w:hAnsi="Arial" w:cs="Arial"/>
                <w:sz w:val="20"/>
                <w:szCs w:val="20"/>
              </w:rPr>
            </w:pPr>
          </w:p>
        </w:tc>
        <w:tc>
          <w:tcPr>
            <w:tcW w:w="709" w:type="dxa"/>
            <w:tcBorders>
              <w:bottom w:val="single" w:sz="4" w:space="0" w:color="auto"/>
            </w:tcBorders>
          </w:tcPr>
          <w:p w14:paraId="3B8A3F9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L.R</w:t>
            </w:r>
          </w:p>
        </w:tc>
        <w:tc>
          <w:tcPr>
            <w:tcW w:w="850" w:type="dxa"/>
            <w:tcBorders>
              <w:bottom w:val="single" w:sz="4" w:space="0" w:color="auto"/>
            </w:tcBorders>
          </w:tcPr>
          <w:p w14:paraId="41B66723"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0.390</w:t>
            </w:r>
          </w:p>
        </w:tc>
        <w:tc>
          <w:tcPr>
            <w:tcW w:w="993" w:type="dxa"/>
            <w:tcBorders>
              <w:bottom w:val="single" w:sz="4" w:space="0" w:color="auto"/>
            </w:tcBorders>
          </w:tcPr>
          <w:p w14:paraId="0D9F770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0.823</w:t>
            </w:r>
            <w:r w:rsidRPr="00031E88">
              <w:rPr>
                <w:rFonts w:ascii="Arial" w:hAnsi="Arial" w:cs="Arial"/>
                <w:sz w:val="20"/>
                <w:szCs w:val="20"/>
                <w:vertAlign w:val="superscript"/>
              </w:rPr>
              <w:t>*</w:t>
            </w:r>
          </w:p>
        </w:tc>
        <w:tc>
          <w:tcPr>
            <w:tcW w:w="992" w:type="dxa"/>
            <w:tcBorders>
              <w:bottom w:val="single" w:sz="4" w:space="0" w:color="auto"/>
            </w:tcBorders>
          </w:tcPr>
          <w:p w14:paraId="39A6A5D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0.979</w:t>
            </w:r>
            <w:r w:rsidRPr="00031E88">
              <w:rPr>
                <w:rFonts w:ascii="Arial" w:hAnsi="Arial" w:cs="Arial"/>
                <w:sz w:val="20"/>
                <w:szCs w:val="20"/>
                <w:vertAlign w:val="superscript"/>
              </w:rPr>
              <w:t>**</w:t>
            </w:r>
          </w:p>
        </w:tc>
        <w:tc>
          <w:tcPr>
            <w:tcW w:w="850" w:type="dxa"/>
            <w:tcBorders>
              <w:bottom w:val="single" w:sz="4" w:space="0" w:color="auto"/>
            </w:tcBorders>
          </w:tcPr>
          <w:p w14:paraId="493599A0"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-0.632</w:t>
            </w:r>
          </w:p>
        </w:tc>
        <w:tc>
          <w:tcPr>
            <w:tcW w:w="993" w:type="dxa"/>
            <w:tcBorders>
              <w:bottom w:val="single" w:sz="4" w:space="0" w:color="auto"/>
            </w:tcBorders>
          </w:tcPr>
          <w:p w14:paraId="28536B83"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0.935</w:t>
            </w:r>
            <w:r w:rsidRPr="00031E88">
              <w:rPr>
                <w:rFonts w:ascii="Arial" w:hAnsi="Arial" w:cs="Arial"/>
                <w:sz w:val="20"/>
                <w:szCs w:val="20"/>
                <w:vertAlign w:val="superscript"/>
              </w:rPr>
              <w:t>**</w:t>
            </w:r>
          </w:p>
        </w:tc>
        <w:tc>
          <w:tcPr>
            <w:tcW w:w="657" w:type="dxa"/>
            <w:tcBorders>
              <w:bottom w:val="single" w:sz="4" w:space="0" w:color="auto"/>
            </w:tcBorders>
          </w:tcPr>
          <w:p w14:paraId="23505902"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r>
      <w:tr w:rsidR="006B409D" w:rsidRPr="00031E88" w14:paraId="5B316638" w14:textId="77777777" w:rsidTr="005F4440">
        <w:tc>
          <w:tcPr>
            <w:tcW w:w="3119" w:type="dxa"/>
            <w:vMerge w:val="restart"/>
            <w:tcBorders>
              <w:top w:val="single" w:sz="4" w:space="0" w:color="auto"/>
            </w:tcBorders>
          </w:tcPr>
          <w:p w14:paraId="5186E751" w14:textId="77777777" w:rsidR="006B409D" w:rsidRPr="00031E88" w:rsidRDefault="006B409D" w:rsidP="0004686A">
            <w:pPr>
              <w:jc w:val="both"/>
              <w:rPr>
                <w:rFonts w:ascii="Arial" w:hAnsi="Arial" w:cs="Arial"/>
                <w:sz w:val="20"/>
                <w:szCs w:val="20"/>
              </w:rPr>
            </w:pPr>
          </w:p>
          <w:p w14:paraId="3F64FBE5" w14:textId="77777777" w:rsidR="006B409D" w:rsidRPr="00031E88" w:rsidRDefault="006B409D" w:rsidP="0004686A">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709" w:type="dxa"/>
            <w:tcBorders>
              <w:top w:val="single" w:sz="4" w:space="0" w:color="auto"/>
            </w:tcBorders>
          </w:tcPr>
          <w:p w14:paraId="2020687E"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Al</w:t>
            </w:r>
          </w:p>
        </w:tc>
        <w:tc>
          <w:tcPr>
            <w:tcW w:w="850" w:type="dxa"/>
            <w:tcBorders>
              <w:top w:val="single" w:sz="4" w:space="0" w:color="auto"/>
            </w:tcBorders>
          </w:tcPr>
          <w:p w14:paraId="16557D9F"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993" w:type="dxa"/>
            <w:tcBorders>
              <w:top w:val="single" w:sz="4" w:space="0" w:color="auto"/>
            </w:tcBorders>
          </w:tcPr>
          <w:p w14:paraId="68C0FA0D" w14:textId="77777777" w:rsidR="006B409D" w:rsidRPr="00031E88" w:rsidRDefault="006B409D" w:rsidP="0004686A">
            <w:pPr>
              <w:jc w:val="both"/>
              <w:rPr>
                <w:rFonts w:ascii="Arial" w:hAnsi="Arial" w:cs="Arial"/>
                <w:sz w:val="20"/>
                <w:szCs w:val="20"/>
              </w:rPr>
            </w:pPr>
          </w:p>
        </w:tc>
        <w:tc>
          <w:tcPr>
            <w:tcW w:w="992" w:type="dxa"/>
            <w:tcBorders>
              <w:top w:val="single" w:sz="4" w:space="0" w:color="auto"/>
            </w:tcBorders>
          </w:tcPr>
          <w:p w14:paraId="4E45B4E4" w14:textId="77777777" w:rsidR="006B409D" w:rsidRPr="00031E88" w:rsidRDefault="006B409D" w:rsidP="0004686A">
            <w:pPr>
              <w:jc w:val="both"/>
              <w:rPr>
                <w:rFonts w:ascii="Arial" w:hAnsi="Arial" w:cs="Arial"/>
                <w:sz w:val="20"/>
                <w:szCs w:val="20"/>
              </w:rPr>
            </w:pPr>
          </w:p>
        </w:tc>
        <w:tc>
          <w:tcPr>
            <w:tcW w:w="850" w:type="dxa"/>
            <w:tcBorders>
              <w:top w:val="single" w:sz="4" w:space="0" w:color="auto"/>
            </w:tcBorders>
          </w:tcPr>
          <w:p w14:paraId="63396572" w14:textId="77777777" w:rsidR="006B409D" w:rsidRPr="00031E88" w:rsidRDefault="006B409D" w:rsidP="0004686A">
            <w:pPr>
              <w:jc w:val="both"/>
              <w:rPr>
                <w:rFonts w:ascii="Arial" w:hAnsi="Arial" w:cs="Arial"/>
                <w:sz w:val="20"/>
                <w:szCs w:val="20"/>
              </w:rPr>
            </w:pPr>
          </w:p>
        </w:tc>
        <w:tc>
          <w:tcPr>
            <w:tcW w:w="993" w:type="dxa"/>
            <w:tcBorders>
              <w:top w:val="single" w:sz="4" w:space="0" w:color="auto"/>
            </w:tcBorders>
          </w:tcPr>
          <w:p w14:paraId="2BF59F5B" w14:textId="77777777" w:rsidR="006B409D" w:rsidRPr="00031E88" w:rsidRDefault="006B409D" w:rsidP="0004686A">
            <w:pPr>
              <w:jc w:val="both"/>
              <w:rPr>
                <w:rFonts w:ascii="Arial" w:hAnsi="Arial" w:cs="Arial"/>
                <w:sz w:val="20"/>
                <w:szCs w:val="20"/>
              </w:rPr>
            </w:pPr>
          </w:p>
        </w:tc>
        <w:tc>
          <w:tcPr>
            <w:tcW w:w="657" w:type="dxa"/>
            <w:tcBorders>
              <w:top w:val="single" w:sz="4" w:space="0" w:color="auto"/>
            </w:tcBorders>
          </w:tcPr>
          <w:p w14:paraId="08EF30D7" w14:textId="77777777" w:rsidR="006B409D" w:rsidRPr="00031E88" w:rsidRDefault="006B409D" w:rsidP="0004686A">
            <w:pPr>
              <w:jc w:val="both"/>
              <w:rPr>
                <w:rFonts w:ascii="Arial" w:hAnsi="Arial" w:cs="Arial"/>
                <w:sz w:val="20"/>
                <w:szCs w:val="20"/>
              </w:rPr>
            </w:pPr>
          </w:p>
        </w:tc>
      </w:tr>
      <w:tr w:rsidR="006B409D" w:rsidRPr="00031E88" w14:paraId="3A4BC74F" w14:textId="77777777" w:rsidTr="005F4440">
        <w:tc>
          <w:tcPr>
            <w:tcW w:w="3119" w:type="dxa"/>
            <w:vMerge/>
          </w:tcPr>
          <w:p w14:paraId="112B6271" w14:textId="77777777" w:rsidR="006B409D" w:rsidRPr="00031E88" w:rsidRDefault="006B409D" w:rsidP="0004686A">
            <w:pPr>
              <w:jc w:val="both"/>
              <w:rPr>
                <w:rFonts w:ascii="Arial" w:hAnsi="Arial" w:cs="Arial"/>
                <w:sz w:val="20"/>
                <w:szCs w:val="20"/>
              </w:rPr>
            </w:pPr>
          </w:p>
        </w:tc>
        <w:tc>
          <w:tcPr>
            <w:tcW w:w="709" w:type="dxa"/>
          </w:tcPr>
          <w:p w14:paraId="486C3256"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Pb</w:t>
            </w:r>
          </w:p>
        </w:tc>
        <w:tc>
          <w:tcPr>
            <w:tcW w:w="850" w:type="dxa"/>
          </w:tcPr>
          <w:p w14:paraId="79D3EA4D" w14:textId="77777777" w:rsidR="006B409D" w:rsidRPr="00031E88" w:rsidRDefault="006B409D" w:rsidP="0004686A">
            <w:pPr>
              <w:jc w:val="both"/>
              <w:rPr>
                <w:rFonts w:ascii="Arial" w:hAnsi="Arial" w:cs="Arial"/>
                <w:sz w:val="20"/>
                <w:szCs w:val="20"/>
                <w:vertAlign w:val="superscript"/>
              </w:rPr>
            </w:pPr>
            <w:r w:rsidRPr="00031E88">
              <w:rPr>
                <w:rFonts w:ascii="Arial" w:hAnsi="Arial" w:cs="Arial"/>
                <w:sz w:val="20"/>
                <w:szCs w:val="20"/>
              </w:rPr>
              <w:t>0.467</w:t>
            </w:r>
          </w:p>
        </w:tc>
        <w:tc>
          <w:tcPr>
            <w:tcW w:w="993" w:type="dxa"/>
          </w:tcPr>
          <w:p w14:paraId="51D07CBD"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992" w:type="dxa"/>
          </w:tcPr>
          <w:p w14:paraId="464E46BC" w14:textId="77777777" w:rsidR="006B409D" w:rsidRPr="00031E88" w:rsidRDefault="006B409D" w:rsidP="0004686A">
            <w:pPr>
              <w:jc w:val="both"/>
              <w:rPr>
                <w:rFonts w:ascii="Arial" w:hAnsi="Arial" w:cs="Arial"/>
                <w:sz w:val="20"/>
                <w:szCs w:val="20"/>
              </w:rPr>
            </w:pPr>
          </w:p>
        </w:tc>
        <w:tc>
          <w:tcPr>
            <w:tcW w:w="850" w:type="dxa"/>
          </w:tcPr>
          <w:p w14:paraId="43FC7F9A" w14:textId="77777777" w:rsidR="006B409D" w:rsidRPr="00031E88" w:rsidRDefault="006B409D" w:rsidP="0004686A">
            <w:pPr>
              <w:jc w:val="both"/>
              <w:rPr>
                <w:rFonts w:ascii="Arial" w:hAnsi="Arial" w:cs="Arial"/>
                <w:sz w:val="20"/>
                <w:szCs w:val="20"/>
              </w:rPr>
            </w:pPr>
          </w:p>
        </w:tc>
        <w:tc>
          <w:tcPr>
            <w:tcW w:w="993" w:type="dxa"/>
          </w:tcPr>
          <w:p w14:paraId="48B8009A" w14:textId="77777777" w:rsidR="006B409D" w:rsidRPr="00031E88" w:rsidRDefault="006B409D" w:rsidP="0004686A">
            <w:pPr>
              <w:jc w:val="both"/>
              <w:rPr>
                <w:rFonts w:ascii="Arial" w:hAnsi="Arial" w:cs="Arial"/>
                <w:sz w:val="20"/>
                <w:szCs w:val="20"/>
              </w:rPr>
            </w:pPr>
          </w:p>
        </w:tc>
        <w:tc>
          <w:tcPr>
            <w:tcW w:w="657" w:type="dxa"/>
          </w:tcPr>
          <w:p w14:paraId="55FBDCA0" w14:textId="77777777" w:rsidR="006B409D" w:rsidRPr="00031E88" w:rsidRDefault="006B409D" w:rsidP="0004686A">
            <w:pPr>
              <w:jc w:val="both"/>
              <w:rPr>
                <w:rFonts w:ascii="Arial" w:hAnsi="Arial" w:cs="Arial"/>
                <w:sz w:val="20"/>
                <w:szCs w:val="20"/>
              </w:rPr>
            </w:pPr>
          </w:p>
        </w:tc>
      </w:tr>
      <w:tr w:rsidR="006B409D" w:rsidRPr="00031E88" w14:paraId="1116FEE0" w14:textId="77777777" w:rsidTr="005F4440">
        <w:tc>
          <w:tcPr>
            <w:tcW w:w="3119" w:type="dxa"/>
            <w:vMerge/>
          </w:tcPr>
          <w:p w14:paraId="0829EBBB" w14:textId="77777777" w:rsidR="006B409D" w:rsidRPr="00031E88" w:rsidRDefault="006B409D" w:rsidP="0004686A">
            <w:pPr>
              <w:jc w:val="both"/>
              <w:rPr>
                <w:rFonts w:ascii="Arial" w:hAnsi="Arial" w:cs="Arial"/>
                <w:sz w:val="20"/>
                <w:szCs w:val="20"/>
              </w:rPr>
            </w:pPr>
          </w:p>
        </w:tc>
        <w:tc>
          <w:tcPr>
            <w:tcW w:w="709" w:type="dxa"/>
          </w:tcPr>
          <w:p w14:paraId="4B452A1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Zn</w:t>
            </w:r>
          </w:p>
        </w:tc>
        <w:tc>
          <w:tcPr>
            <w:tcW w:w="850" w:type="dxa"/>
          </w:tcPr>
          <w:p w14:paraId="376CA74C" w14:textId="77777777" w:rsidR="006B409D" w:rsidRPr="00031E88" w:rsidRDefault="006B409D" w:rsidP="0004686A">
            <w:pPr>
              <w:jc w:val="both"/>
              <w:rPr>
                <w:rFonts w:ascii="Arial" w:hAnsi="Arial" w:cs="Arial"/>
                <w:sz w:val="20"/>
                <w:szCs w:val="20"/>
                <w:vertAlign w:val="superscript"/>
              </w:rPr>
            </w:pPr>
            <w:r w:rsidRPr="00031E88">
              <w:rPr>
                <w:rFonts w:ascii="Arial" w:hAnsi="Arial" w:cs="Arial"/>
                <w:sz w:val="20"/>
                <w:szCs w:val="20"/>
              </w:rPr>
              <w:t>0.847</w:t>
            </w:r>
            <w:r w:rsidRPr="00031E88">
              <w:rPr>
                <w:rFonts w:ascii="Arial" w:hAnsi="Arial" w:cs="Arial"/>
                <w:sz w:val="20"/>
                <w:szCs w:val="20"/>
                <w:vertAlign w:val="superscript"/>
              </w:rPr>
              <w:t>*</w:t>
            </w:r>
          </w:p>
        </w:tc>
        <w:tc>
          <w:tcPr>
            <w:tcW w:w="993" w:type="dxa"/>
          </w:tcPr>
          <w:p w14:paraId="5E5ADA83"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-0.294</w:t>
            </w:r>
          </w:p>
        </w:tc>
        <w:tc>
          <w:tcPr>
            <w:tcW w:w="992" w:type="dxa"/>
          </w:tcPr>
          <w:p w14:paraId="5E7DAD8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850" w:type="dxa"/>
          </w:tcPr>
          <w:p w14:paraId="16760682" w14:textId="77777777" w:rsidR="006B409D" w:rsidRPr="00031E88" w:rsidRDefault="006B409D" w:rsidP="0004686A">
            <w:pPr>
              <w:jc w:val="both"/>
              <w:rPr>
                <w:rFonts w:ascii="Arial" w:hAnsi="Arial" w:cs="Arial"/>
                <w:sz w:val="20"/>
                <w:szCs w:val="20"/>
              </w:rPr>
            </w:pPr>
          </w:p>
        </w:tc>
        <w:tc>
          <w:tcPr>
            <w:tcW w:w="993" w:type="dxa"/>
          </w:tcPr>
          <w:p w14:paraId="48E45822" w14:textId="77777777" w:rsidR="006B409D" w:rsidRPr="00031E88" w:rsidRDefault="006B409D" w:rsidP="0004686A">
            <w:pPr>
              <w:jc w:val="both"/>
              <w:rPr>
                <w:rFonts w:ascii="Arial" w:hAnsi="Arial" w:cs="Arial"/>
                <w:sz w:val="20"/>
                <w:szCs w:val="20"/>
              </w:rPr>
            </w:pPr>
          </w:p>
        </w:tc>
        <w:tc>
          <w:tcPr>
            <w:tcW w:w="657" w:type="dxa"/>
          </w:tcPr>
          <w:p w14:paraId="7B15DEF3" w14:textId="77777777" w:rsidR="006B409D" w:rsidRPr="00031E88" w:rsidRDefault="006B409D" w:rsidP="0004686A">
            <w:pPr>
              <w:jc w:val="both"/>
              <w:rPr>
                <w:rFonts w:ascii="Arial" w:hAnsi="Arial" w:cs="Arial"/>
                <w:sz w:val="20"/>
                <w:szCs w:val="20"/>
              </w:rPr>
            </w:pPr>
          </w:p>
        </w:tc>
      </w:tr>
      <w:tr w:rsidR="006B409D" w:rsidRPr="00031E88" w14:paraId="3672E357" w14:textId="77777777" w:rsidTr="005F4440">
        <w:tc>
          <w:tcPr>
            <w:tcW w:w="3119" w:type="dxa"/>
            <w:vMerge/>
          </w:tcPr>
          <w:p w14:paraId="3A3C8EBF" w14:textId="77777777" w:rsidR="006B409D" w:rsidRPr="00031E88" w:rsidRDefault="006B409D" w:rsidP="0004686A">
            <w:pPr>
              <w:jc w:val="both"/>
              <w:rPr>
                <w:rFonts w:ascii="Arial" w:hAnsi="Arial" w:cs="Arial"/>
                <w:sz w:val="20"/>
                <w:szCs w:val="20"/>
              </w:rPr>
            </w:pPr>
          </w:p>
        </w:tc>
        <w:tc>
          <w:tcPr>
            <w:tcW w:w="709" w:type="dxa"/>
          </w:tcPr>
          <w:p w14:paraId="403D1824"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Cu</w:t>
            </w:r>
          </w:p>
        </w:tc>
        <w:tc>
          <w:tcPr>
            <w:tcW w:w="850" w:type="dxa"/>
          </w:tcPr>
          <w:p w14:paraId="02D4065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-0.183</w:t>
            </w:r>
          </w:p>
        </w:tc>
        <w:tc>
          <w:tcPr>
            <w:tcW w:w="993" w:type="dxa"/>
          </w:tcPr>
          <w:p w14:paraId="1B048C6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0.055</w:t>
            </w:r>
          </w:p>
        </w:tc>
        <w:tc>
          <w:tcPr>
            <w:tcW w:w="992" w:type="dxa"/>
          </w:tcPr>
          <w:p w14:paraId="188B1FDE" w14:textId="77777777" w:rsidR="006B409D" w:rsidRPr="00031E88" w:rsidRDefault="006B409D" w:rsidP="0004686A">
            <w:pPr>
              <w:jc w:val="both"/>
              <w:rPr>
                <w:rFonts w:ascii="Arial" w:hAnsi="Arial" w:cs="Arial"/>
                <w:sz w:val="20"/>
                <w:szCs w:val="20"/>
                <w:vertAlign w:val="superscript"/>
              </w:rPr>
            </w:pPr>
            <w:r w:rsidRPr="00031E88">
              <w:rPr>
                <w:rFonts w:ascii="Arial" w:hAnsi="Arial" w:cs="Arial"/>
                <w:sz w:val="20"/>
                <w:szCs w:val="20"/>
              </w:rPr>
              <w:t>-0.015</w:t>
            </w:r>
          </w:p>
        </w:tc>
        <w:tc>
          <w:tcPr>
            <w:tcW w:w="850" w:type="dxa"/>
          </w:tcPr>
          <w:p w14:paraId="2C5246F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993" w:type="dxa"/>
          </w:tcPr>
          <w:p w14:paraId="6B7937DC" w14:textId="77777777" w:rsidR="006B409D" w:rsidRPr="00031E88" w:rsidRDefault="006B409D" w:rsidP="0004686A">
            <w:pPr>
              <w:jc w:val="both"/>
              <w:rPr>
                <w:rFonts w:ascii="Arial" w:hAnsi="Arial" w:cs="Arial"/>
                <w:sz w:val="20"/>
                <w:szCs w:val="20"/>
              </w:rPr>
            </w:pPr>
          </w:p>
        </w:tc>
        <w:tc>
          <w:tcPr>
            <w:tcW w:w="657" w:type="dxa"/>
          </w:tcPr>
          <w:p w14:paraId="2460F3BA" w14:textId="77777777" w:rsidR="006B409D" w:rsidRPr="00031E88" w:rsidRDefault="006B409D" w:rsidP="0004686A">
            <w:pPr>
              <w:jc w:val="both"/>
              <w:rPr>
                <w:rFonts w:ascii="Arial" w:hAnsi="Arial" w:cs="Arial"/>
                <w:sz w:val="20"/>
                <w:szCs w:val="20"/>
              </w:rPr>
            </w:pPr>
          </w:p>
        </w:tc>
      </w:tr>
      <w:tr w:rsidR="006B409D" w:rsidRPr="00031E88" w14:paraId="5B55A6AA" w14:textId="77777777" w:rsidTr="005F4440">
        <w:tc>
          <w:tcPr>
            <w:tcW w:w="3119" w:type="dxa"/>
            <w:vMerge/>
          </w:tcPr>
          <w:p w14:paraId="70883FFE" w14:textId="77777777" w:rsidR="006B409D" w:rsidRPr="00031E88" w:rsidRDefault="006B409D" w:rsidP="0004686A">
            <w:pPr>
              <w:jc w:val="both"/>
              <w:rPr>
                <w:rFonts w:ascii="Arial" w:hAnsi="Arial" w:cs="Arial"/>
                <w:sz w:val="20"/>
                <w:szCs w:val="20"/>
              </w:rPr>
            </w:pPr>
          </w:p>
        </w:tc>
        <w:tc>
          <w:tcPr>
            <w:tcW w:w="709" w:type="dxa"/>
          </w:tcPr>
          <w:p w14:paraId="360BE6BD"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Cd</w:t>
            </w:r>
          </w:p>
        </w:tc>
        <w:tc>
          <w:tcPr>
            <w:tcW w:w="850" w:type="dxa"/>
          </w:tcPr>
          <w:p w14:paraId="019FB70E"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-0.721</w:t>
            </w:r>
          </w:p>
        </w:tc>
        <w:tc>
          <w:tcPr>
            <w:tcW w:w="993" w:type="dxa"/>
          </w:tcPr>
          <w:p w14:paraId="673E581E" w14:textId="77777777" w:rsidR="006B409D" w:rsidRPr="00031E88" w:rsidRDefault="006B409D" w:rsidP="0004686A">
            <w:pPr>
              <w:jc w:val="both"/>
              <w:rPr>
                <w:rFonts w:ascii="Arial" w:hAnsi="Arial" w:cs="Arial"/>
                <w:sz w:val="20"/>
                <w:szCs w:val="20"/>
                <w:vertAlign w:val="superscript"/>
              </w:rPr>
            </w:pPr>
            <w:r w:rsidRPr="00031E88">
              <w:rPr>
                <w:rFonts w:ascii="Arial" w:hAnsi="Arial" w:cs="Arial"/>
                <w:sz w:val="20"/>
                <w:szCs w:val="20"/>
              </w:rPr>
              <w:t>-0.358</w:t>
            </w:r>
          </w:p>
        </w:tc>
        <w:tc>
          <w:tcPr>
            <w:tcW w:w="992" w:type="dxa"/>
          </w:tcPr>
          <w:p w14:paraId="5DC7746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0.931</w:t>
            </w:r>
            <w:r w:rsidRPr="00031E88">
              <w:rPr>
                <w:rFonts w:ascii="Arial" w:hAnsi="Arial" w:cs="Arial"/>
                <w:sz w:val="20"/>
                <w:szCs w:val="20"/>
                <w:vertAlign w:val="superscript"/>
              </w:rPr>
              <w:t>**</w:t>
            </w:r>
          </w:p>
        </w:tc>
        <w:tc>
          <w:tcPr>
            <w:tcW w:w="850" w:type="dxa"/>
          </w:tcPr>
          <w:p w14:paraId="47C9823D"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-0.030</w:t>
            </w:r>
          </w:p>
        </w:tc>
        <w:tc>
          <w:tcPr>
            <w:tcW w:w="993" w:type="dxa"/>
          </w:tcPr>
          <w:p w14:paraId="18962A71"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c>
          <w:tcPr>
            <w:tcW w:w="657" w:type="dxa"/>
          </w:tcPr>
          <w:p w14:paraId="53E6E114" w14:textId="77777777" w:rsidR="006B409D" w:rsidRPr="00031E88" w:rsidRDefault="006B409D" w:rsidP="0004686A">
            <w:pPr>
              <w:jc w:val="both"/>
              <w:rPr>
                <w:rFonts w:ascii="Arial" w:hAnsi="Arial" w:cs="Arial"/>
                <w:sz w:val="20"/>
                <w:szCs w:val="20"/>
              </w:rPr>
            </w:pPr>
          </w:p>
        </w:tc>
      </w:tr>
      <w:tr w:rsidR="006B409D" w:rsidRPr="00031E88" w14:paraId="55C0F037" w14:textId="77777777" w:rsidTr="005F4440">
        <w:tc>
          <w:tcPr>
            <w:tcW w:w="3119" w:type="dxa"/>
            <w:vMerge/>
            <w:tcBorders>
              <w:bottom w:val="single" w:sz="4" w:space="0" w:color="auto"/>
            </w:tcBorders>
          </w:tcPr>
          <w:p w14:paraId="7FE79EE5" w14:textId="77777777" w:rsidR="006B409D" w:rsidRPr="00031E88" w:rsidRDefault="006B409D" w:rsidP="0004686A">
            <w:pPr>
              <w:jc w:val="both"/>
              <w:rPr>
                <w:rFonts w:ascii="Arial" w:hAnsi="Arial" w:cs="Arial"/>
                <w:sz w:val="20"/>
                <w:szCs w:val="20"/>
              </w:rPr>
            </w:pPr>
          </w:p>
        </w:tc>
        <w:tc>
          <w:tcPr>
            <w:tcW w:w="709" w:type="dxa"/>
            <w:tcBorders>
              <w:bottom w:val="single" w:sz="4" w:space="0" w:color="auto"/>
            </w:tcBorders>
          </w:tcPr>
          <w:p w14:paraId="73C7C0E8"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L.R</w:t>
            </w:r>
          </w:p>
        </w:tc>
        <w:tc>
          <w:tcPr>
            <w:tcW w:w="850" w:type="dxa"/>
            <w:tcBorders>
              <w:bottom w:val="single" w:sz="4" w:space="0" w:color="auto"/>
            </w:tcBorders>
          </w:tcPr>
          <w:p w14:paraId="51407F17"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-0.794</w:t>
            </w:r>
          </w:p>
        </w:tc>
        <w:tc>
          <w:tcPr>
            <w:tcW w:w="993" w:type="dxa"/>
            <w:tcBorders>
              <w:bottom w:val="single" w:sz="4" w:space="0" w:color="auto"/>
            </w:tcBorders>
          </w:tcPr>
          <w:p w14:paraId="3258641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-0.290</w:t>
            </w:r>
          </w:p>
        </w:tc>
        <w:tc>
          <w:tcPr>
            <w:tcW w:w="992" w:type="dxa"/>
            <w:tcBorders>
              <w:bottom w:val="single" w:sz="4" w:space="0" w:color="auto"/>
            </w:tcBorders>
          </w:tcPr>
          <w:p w14:paraId="040535FB"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0.971</w:t>
            </w:r>
            <w:r w:rsidRPr="00031E88">
              <w:rPr>
                <w:rFonts w:ascii="Arial" w:hAnsi="Arial" w:cs="Arial"/>
                <w:sz w:val="20"/>
                <w:szCs w:val="20"/>
                <w:vertAlign w:val="superscript"/>
              </w:rPr>
              <w:t>**</w:t>
            </w:r>
          </w:p>
        </w:tc>
        <w:tc>
          <w:tcPr>
            <w:tcW w:w="850" w:type="dxa"/>
            <w:tcBorders>
              <w:bottom w:val="single" w:sz="4" w:space="0" w:color="auto"/>
            </w:tcBorders>
          </w:tcPr>
          <w:p w14:paraId="56F48D50"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0.036</w:t>
            </w:r>
          </w:p>
        </w:tc>
        <w:tc>
          <w:tcPr>
            <w:tcW w:w="993" w:type="dxa"/>
            <w:tcBorders>
              <w:bottom w:val="single" w:sz="4" w:space="0" w:color="auto"/>
            </w:tcBorders>
          </w:tcPr>
          <w:p w14:paraId="7EDE1990"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0.861*</w:t>
            </w:r>
          </w:p>
        </w:tc>
        <w:tc>
          <w:tcPr>
            <w:tcW w:w="657" w:type="dxa"/>
            <w:tcBorders>
              <w:bottom w:val="single" w:sz="4" w:space="0" w:color="auto"/>
            </w:tcBorders>
          </w:tcPr>
          <w:p w14:paraId="2987B1E9" w14:textId="77777777" w:rsidR="006B409D" w:rsidRPr="00031E88" w:rsidRDefault="006B409D" w:rsidP="0004686A">
            <w:pPr>
              <w:jc w:val="both"/>
              <w:rPr>
                <w:rFonts w:ascii="Arial" w:hAnsi="Arial" w:cs="Arial"/>
                <w:sz w:val="20"/>
                <w:szCs w:val="20"/>
              </w:rPr>
            </w:pPr>
            <w:r w:rsidRPr="00031E88">
              <w:rPr>
                <w:rFonts w:ascii="Arial" w:hAnsi="Arial" w:cs="Arial"/>
                <w:sz w:val="20"/>
                <w:szCs w:val="20"/>
              </w:rPr>
              <w:t>1</w:t>
            </w:r>
          </w:p>
        </w:tc>
      </w:tr>
    </w:tbl>
    <w:p w14:paraId="65CC4D23" w14:textId="77777777" w:rsidR="006B409D" w:rsidRPr="00031E88" w:rsidRDefault="006B409D" w:rsidP="0004686A">
      <w:pPr>
        <w:spacing w:line="240" w:lineRule="auto"/>
        <w:jc w:val="both"/>
        <w:rPr>
          <w:rFonts w:ascii="Arial" w:hAnsi="Arial" w:cs="Arial"/>
          <w:sz w:val="20"/>
          <w:szCs w:val="20"/>
        </w:rPr>
      </w:pPr>
      <w:r w:rsidRPr="00031E88">
        <w:rPr>
          <w:rFonts w:ascii="Arial" w:hAnsi="Arial" w:cs="Arial"/>
          <w:sz w:val="20"/>
          <w:szCs w:val="20"/>
        </w:rPr>
        <w:t>*Correlation is significant at the 0.05 level; **correlation is significant at the 0.01 level (L.R= length range)</w:t>
      </w:r>
    </w:p>
    <w:p w14:paraId="69B82BC7" w14:textId="77777777" w:rsidR="006B409D" w:rsidRDefault="006B409D" w:rsidP="0004686A">
      <w:pPr>
        <w:spacing w:line="240" w:lineRule="auto"/>
        <w:jc w:val="both"/>
        <w:rPr>
          <w:rFonts w:ascii="Times New Roman" w:hAnsi="Times New Roman" w:cs="Times New Roman"/>
          <w:sz w:val="24"/>
          <w:szCs w:val="24"/>
        </w:rPr>
      </w:pPr>
    </w:p>
    <w:p w14:paraId="597458FE" w14:textId="77777777" w:rsidR="008927CD" w:rsidRPr="00031E88" w:rsidRDefault="002C7B9E" w:rsidP="0004686A">
      <w:pPr>
        <w:spacing w:line="240" w:lineRule="auto"/>
        <w:jc w:val="both"/>
        <w:rPr>
          <w:rFonts w:ascii="Arial" w:hAnsi="Arial" w:cs="Arial"/>
          <w:sz w:val="20"/>
          <w:szCs w:val="20"/>
        </w:rPr>
      </w:pPr>
      <w:r w:rsidRPr="00031E88">
        <w:rPr>
          <w:rFonts w:ascii="Arial" w:hAnsi="Arial" w:cs="Arial"/>
          <w:sz w:val="20"/>
          <w:szCs w:val="20"/>
        </w:rPr>
        <w:t xml:space="preserve">Table </w:t>
      </w:r>
      <w:r w:rsidR="00EB2E14" w:rsidRPr="00031E88">
        <w:rPr>
          <w:rFonts w:ascii="Arial" w:hAnsi="Arial" w:cs="Arial"/>
          <w:sz w:val="20"/>
          <w:szCs w:val="20"/>
        </w:rPr>
        <w:t>4</w:t>
      </w:r>
      <w:r w:rsidRPr="00031E88">
        <w:rPr>
          <w:rFonts w:ascii="Arial" w:hAnsi="Arial" w:cs="Arial"/>
          <w:sz w:val="20"/>
          <w:szCs w:val="20"/>
        </w:rPr>
        <w:t xml:space="preserve">. sumarizes the correlation coefficients among the metal levels </w:t>
      </w:r>
      <w:r w:rsidR="00BF17D1" w:rsidRPr="00031E88">
        <w:rPr>
          <w:rFonts w:ascii="Arial" w:hAnsi="Arial" w:cs="Arial"/>
          <w:sz w:val="20"/>
          <w:szCs w:val="20"/>
        </w:rPr>
        <w:t xml:space="preserve">in different organs in </w:t>
      </w:r>
      <w:r w:rsidR="00DD26F7" w:rsidRPr="00031E88">
        <w:rPr>
          <w:rFonts w:ascii="Arial" w:hAnsi="Arial" w:cs="Arial"/>
          <w:sz w:val="20"/>
          <w:szCs w:val="20"/>
        </w:rPr>
        <w:t xml:space="preserve">Banana prawn </w:t>
      </w:r>
      <w:r w:rsidR="00DD26F7" w:rsidRPr="00031E88">
        <w:rPr>
          <w:rFonts w:ascii="Arial" w:hAnsi="Arial" w:cs="Arial"/>
          <w:i/>
          <w:iCs/>
          <w:sz w:val="20"/>
          <w:szCs w:val="20"/>
        </w:rPr>
        <w:t>Fenneropenaeus merguiensis</w:t>
      </w:r>
      <w:r w:rsidR="00DD26F7" w:rsidRPr="00031E88">
        <w:rPr>
          <w:rFonts w:ascii="Arial" w:hAnsi="Arial" w:cs="Arial"/>
          <w:sz w:val="20"/>
          <w:szCs w:val="20"/>
        </w:rPr>
        <w:t xml:space="preserve">, </w:t>
      </w:r>
      <w:r w:rsidRPr="00031E88">
        <w:rPr>
          <w:rFonts w:ascii="Arial" w:hAnsi="Arial" w:cs="Arial"/>
          <w:sz w:val="20"/>
          <w:szCs w:val="20"/>
        </w:rPr>
        <w:t xml:space="preserve">significant correlations (p &lt; 0.05) and (p &lt; 0.01) are in asterisks (*) and (**) respectively. Clearly seen from the table, the most noticeble correlations were found between the pairs </w:t>
      </w:r>
      <w:r w:rsidR="00C12457" w:rsidRPr="00031E88">
        <w:rPr>
          <w:rFonts w:ascii="Arial" w:hAnsi="Arial" w:cs="Arial"/>
          <w:sz w:val="20"/>
          <w:szCs w:val="20"/>
        </w:rPr>
        <w:t>(Zn</w:t>
      </w:r>
      <w:r w:rsidR="008175C2" w:rsidRPr="00031E88">
        <w:rPr>
          <w:rFonts w:ascii="Arial" w:hAnsi="Arial" w:cs="Arial"/>
          <w:sz w:val="20"/>
          <w:szCs w:val="20"/>
        </w:rPr>
        <w:t xml:space="preserve">-Pb </w:t>
      </w:r>
      <w:r w:rsidR="00C12457" w:rsidRPr="00031E88">
        <w:rPr>
          <w:rFonts w:ascii="Arial" w:hAnsi="Arial" w:cs="Arial"/>
          <w:sz w:val="20"/>
          <w:szCs w:val="20"/>
        </w:rPr>
        <w:t>0.873</w:t>
      </w:r>
      <w:r w:rsidR="00C12457" w:rsidRPr="00031E88">
        <w:rPr>
          <w:rFonts w:ascii="Arial" w:hAnsi="Arial" w:cs="Arial"/>
          <w:sz w:val="20"/>
          <w:szCs w:val="20"/>
          <w:vertAlign w:val="superscript"/>
        </w:rPr>
        <w:t>*</w:t>
      </w:r>
      <w:r w:rsidR="00C12457" w:rsidRPr="00031E88">
        <w:rPr>
          <w:rFonts w:ascii="Arial" w:hAnsi="Arial" w:cs="Arial"/>
          <w:sz w:val="20"/>
          <w:szCs w:val="20"/>
        </w:rPr>
        <w:t>), (Cu</w:t>
      </w:r>
      <w:r w:rsidR="008175C2" w:rsidRPr="00031E88">
        <w:rPr>
          <w:rFonts w:ascii="Arial" w:hAnsi="Arial" w:cs="Arial"/>
          <w:sz w:val="20"/>
          <w:szCs w:val="20"/>
        </w:rPr>
        <w:t>-</w:t>
      </w:r>
      <w:r w:rsidR="00C12457" w:rsidRPr="00031E88">
        <w:rPr>
          <w:rFonts w:ascii="Arial" w:hAnsi="Arial" w:cs="Arial"/>
          <w:sz w:val="20"/>
          <w:szCs w:val="20"/>
        </w:rPr>
        <w:t>Pb -0.896</w:t>
      </w:r>
      <w:r w:rsidR="008175C2" w:rsidRPr="00031E88">
        <w:rPr>
          <w:rFonts w:ascii="Arial" w:hAnsi="Arial" w:cs="Arial"/>
          <w:sz w:val="20"/>
          <w:szCs w:val="20"/>
          <w:vertAlign w:val="superscript"/>
        </w:rPr>
        <w:t>*</w:t>
      </w:r>
      <w:r w:rsidR="008175C2" w:rsidRPr="00031E88">
        <w:rPr>
          <w:rFonts w:ascii="Arial" w:hAnsi="Arial" w:cs="Arial"/>
          <w:sz w:val="20"/>
          <w:szCs w:val="20"/>
        </w:rPr>
        <w:t xml:space="preserve">), </w:t>
      </w:r>
      <w:r w:rsidR="00C12457" w:rsidRPr="00031E88">
        <w:rPr>
          <w:rFonts w:ascii="Arial" w:hAnsi="Arial" w:cs="Arial"/>
          <w:sz w:val="20"/>
          <w:szCs w:val="20"/>
        </w:rPr>
        <w:t>(Cd</w:t>
      </w:r>
      <w:r w:rsidR="002923B4" w:rsidRPr="00031E88">
        <w:rPr>
          <w:rFonts w:ascii="Arial" w:hAnsi="Arial" w:cs="Arial"/>
          <w:sz w:val="20"/>
          <w:szCs w:val="20"/>
        </w:rPr>
        <w:t>-Zn 0.</w:t>
      </w:r>
      <w:r w:rsidR="00C12457" w:rsidRPr="00031E88">
        <w:rPr>
          <w:rFonts w:ascii="Arial" w:hAnsi="Arial" w:cs="Arial"/>
          <w:sz w:val="20"/>
          <w:szCs w:val="20"/>
        </w:rPr>
        <w:t>852</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L.R-Pb  0.823</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 xml:space="preserve">L.R-Zn </w:t>
      </w:r>
      <w:r w:rsidR="002923B4" w:rsidRPr="00031E88">
        <w:rPr>
          <w:rFonts w:ascii="Arial" w:hAnsi="Arial" w:cs="Arial"/>
          <w:sz w:val="20"/>
          <w:szCs w:val="20"/>
        </w:rPr>
        <w:t>0.9</w:t>
      </w:r>
      <w:r w:rsidR="00C12457" w:rsidRPr="00031E88">
        <w:rPr>
          <w:rFonts w:ascii="Arial" w:hAnsi="Arial" w:cs="Arial"/>
          <w:sz w:val="20"/>
          <w:szCs w:val="20"/>
        </w:rPr>
        <w:t>7</w:t>
      </w:r>
      <w:r w:rsidR="002923B4" w:rsidRPr="00031E88">
        <w:rPr>
          <w:rFonts w:ascii="Arial" w:hAnsi="Arial" w:cs="Arial"/>
          <w:sz w:val="20"/>
          <w:szCs w:val="20"/>
        </w:rPr>
        <w:t>9</w:t>
      </w:r>
      <w:r w:rsidR="00C12457" w:rsidRPr="00031E88">
        <w:rPr>
          <w:rFonts w:ascii="Arial" w:hAnsi="Arial" w:cs="Arial"/>
          <w:sz w:val="20"/>
          <w:szCs w:val="20"/>
          <w:vertAlign w:val="superscript"/>
        </w:rPr>
        <w:t>*</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L.R-Cd 0.935</w:t>
      </w:r>
      <w:r w:rsidR="00C12457" w:rsidRPr="00031E88">
        <w:rPr>
          <w:rFonts w:ascii="Arial" w:hAnsi="Arial" w:cs="Arial"/>
          <w:sz w:val="20"/>
          <w:szCs w:val="20"/>
          <w:vertAlign w:val="superscript"/>
        </w:rPr>
        <w:t>*</w:t>
      </w:r>
      <w:r w:rsidR="00C12457" w:rsidRPr="00031E88">
        <w:rPr>
          <w:rFonts w:ascii="Arial" w:hAnsi="Arial" w:cs="Arial"/>
          <w:sz w:val="20"/>
          <w:szCs w:val="20"/>
        </w:rPr>
        <w:t xml:space="preserve">), and </w:t>
      </w:r>
      <w:r w:rsidR="00630DCD" w:rsidRPr="00031E88">
        <w:rPr>
          <w:rFonts w:ascii="Arial" w:hAnsi="Arial" w:cs="Arial"/>
          <w:sz w:val="20"/>
          <w:szCs w:val="20"/>
        </w:rPr>
        <w:t>the pearson correlation coefficients for the relationships between the concentrations of different metals</w:t>
      </w:r>
      <w:r w:rsidR="00EA718F" w:rsidRPr="00031E88">
        <w:rPr>
          <w:rFonts w:ascii="Arial" w:hAnsi="Arial" w:cs="Arial"/>
          <w:sz w:val="20"/>
          <w:szCs w:val="20"/>
        </w:rPr>
        <w:t xml:space="preserve"> correlations  </w:t>
      </w:r>
      <w:r w:rsidR="00630DCD" w:rsidRPr="00031E88">
        <w:rPr>
          <w:rFonts w:ascii="Arial" w:hAnsi="Arial" w:cs="Arial"/>
          <w:sz w:val="20"/>
          <w:szCs w:val="20"/>
        </w:rPr>
        <w:t xml:space="preserve">in </w:t>
      </w:r>
      <w:r w:rsidR="00C12457" w:rsidRPr="00031E88">
        <w:rPr>
          <w:rFonts w:ascii="Arial" w:hAnsi="Arial" w:cs="Arial"/>
          <w:sz w:val="20"/>
          <w:szCs w:val="20"/>
        </w:rPr>
        <w:t>R</w:t>
      </w:r>
      <w:proofErr w:type="spellStart"/>
      <w:r w:rsidR="00C12457" w:rsidRPr="00031E88">
        <w:rPr>
          <w:rFonts w:ascii="Arial" w:hAnsi="Arial" w:cs="Arial"/>
          <w:sz w:val="20"/>
          <w:szCs w:val="20"/>
          <w:lang w:val="en-GB"/>
        </w:rPr>
        <w:t>edtail</w:t>
      </w:r>
      <w:proofErr w:type="spellEnd"/>
      <w:r w:rsidR="00C12457" w:rsidRPr="00031E88">
        <w:rPr>
          <w:rFonts w:ascii="Arial" w:hAnsi="Arial" w:cs="Arial"/>
          <w:sz w:val="20"/>
          <w:szCs w:val="20"/>
          <w:lang w:val="en-GB"/>
        </w:rPr>
        <w:t xml:space="preserve"> shrimp </w:t>
      </w:r>
      <w:proofErr w:type="spellStart"/>
      <w:r w:rsidR="00C12457" w:rsidRPr="00031E88">
        <w:rPr>
          <w:rFonts w:ascii="Arial" w:hAnsi="Arial" w:cs="Arial"/>
          <w:i/>
          <w:iCs/>
          <w:sz w:val="20"/>
          <w:szCs w:val="20"/>
          <w:lang w:val="en-GB"/>
        </w:rPr>
        <w:t>Fenneropenaeus</w:t>
      </w:r>
      <w:proofErr w:type="spellEnd"/>
      <w:r w:rsidR="00C12457" w:rsidRPr="00031E88">
        <w:rPr>
          <w:rFonts w:ascii="Arial" w:hAnsi="Arial" w:cs="Arial"/>
          <w:sz w:val="20"/>
          <w:szCs w:val="20"/>
          <w:lang w:val="en-GB"/>
        </w:rPr>
        <w:t xml:space="preserve"> </w:t>
      </w:r>
      <w:proofErr w:type="spellStart"/>
      <w:r w:rsidR="00C12457" w:rsidRPr="00031E88">
        <w:rPr>
          <w:rFonts w:ascii="Arial" w:hAnsi="Arial" w:cs="Arial"/>
          <w:i/>
          <w:iCs/>
          <w:sz w:val="20"/>
          <w:szCs w:val="20"/>
          <w:lang w:val="en-GB"/>
        </w:rPr>
        <w:t>penicillatus</w:t>
      </w:r>
      <w:proofErr w:type="spellEnd"/>
      <w:r w:rsidR="002923B4" w:rsidRPr="00031E88">
        <w:rPr>
          <w:rFonts w:ascii="Arial" w:hAnsi="Arial" w:cs="Arial"/>
          <w:sz w:val="20"/>
          <w:szCs w:val="20"/>
        </w:rPr>
        <w:t xml:space="preserve"> </w:t>
      </w:r>
      <w:r w:rsidR="00EA718F" w:rsidRPr="00031E88">
        <w:rPr>
          <w:rFonts w:ascii="Arial" w:hAnsi="Arial" w:cs="Arial"/>
          <w:sz w:val="20"/>
          <w:szCs w:val="20"/>
        </w:rPr>
        <w:t xml:space="preserve">were found between the pairs </w:t>
      </w:r>
      <w:r w:rsidR="002923B4" w:rsidRPr="00031E88">
        <w:rPr>
          <w:rFonts w:ascii="Arial" w:hAnsi="Arial" w:cs="Arial"/>
          <w:sz w:val="20"/>
          <w:szCs w:val="20"/>
        </w:rPr>
        <w:t>(</w:t>
      </w:r>
      <w:r w:rsidR="00B65ECE" w:rsidRPr="00031E88">
        <w:rPr>
          <w:rFonts w:ascii="Arial" w:hAnsi="Arial" w:cs="Arial"/>
          <w:sz w:val="20"/>
          <w:szCs w:val="20"/>
        </w:rPr>
        <w:t>Zn</w:t>
      </w:r>
      <w:r w:rsidR="002923B4" w:rsidRPr="00031E88">
        <w:rPr>
          <w:rFonts w:ascii="Arial" w:hAnsi="Arial" w:cs="Arial"/>
          <w:sz w:val="20"/>
          <w:szCs w:val="20"/>
        </w:rPr>
        <w:t>-Al 0.</w:t>
      </w:r>
      <w:r w:rsidR="00B65ECE" w:rsidRPr="00031E88">
        <w:rPr>
          <w:rFonts w:ascii="Arial" w:hAnsi="Arial" w:cs="Arial"/>
          <w:sz w:val="20"/>
          <w:szCs w:val="20"/>
        </w:rPr>
        <w:t>847</w:t>
      </w:r>
      <w:r w:rsidR="002923B4" w:rsidRPr="00031E88">
        <w:rPr>
          <w:rFonts w:ascii="Arial" w:hAnsi="Arial" w:cs="Arial"/>
          <w:sz w:val="20"/>
          <w:szCs w:val="20"/>
          <w:vertAlign w:val="superscript"/>
        </w:rPr>
        <w:t>*</w:t>
      </w:r>
      <w:r w:rsidR="002923B4" w:rsidRPr="00031E88">
        <w:rPr>
          <w:rFonts w:ascii="Arial" w:hAnsi="Arial" w:cs="Arial"/>
          <w:sz w:val="20"/>
          <w:szCs w:val="20"/>
        </w:rPr>
        <w:t>), (Cd-</w:t>
      </w:r>
      <w:r w:rsidR="00B65ECE" w:rsidRPr="00031E88">
        <w:rPr>
          <w:rFonts w:ascii="Arial" w:hAnsi="Arial" w:cs="Arial"/>
          <w:sz w:val="20"/>
          <w:szCs w:val="20"/>
        </w:rPr>
        <w:t>Zn</w:t>
      </w:r>
      <w:r w:rsidR="002923B4" w:rsidRPr="00031E88">
        <w:rPr>
          <w:rFonts w:ascii="Arial" w:hAnsi="Arial" w:cs="Arial"/>
          <w:sz w:val="20"/>
          <w:szCs w:val="20"/>
        </w:rPr>
        <w:t xml:space="preserve"> </w:t>
      </w:r>
      <w:r w:rsidR="00B65ECE" w:rsidRPr="00031E88">
        <w:rPr>
          <w:rFonts w:ascii="Arial" w:hAnsi="Arial" w:cs="Arial"/>
          <w:sz w:val="20"/>
          <w:szCs w:val="20"/>
        </w:rPr>
        <w:t>0.931</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B65ECE" w:rsidRPr="00031E88">
        <w:rPr>
          <w:rFonts w:ascii="Arial" w:hAnsi="Arial" w:cs="Arial"/>
          <w:sz w:val="20"/>
          <w:szCs w:val="20"/>
        </w:rPr>
        <w:t>L.R</w:t>
      </w:r>
      <w:r w:rsidR="002923B4" w:rsidRPr="00031E88">
        <w:rPr>
          <w:rFonts w:ascii="Arial" w:hAnsi="Arial" w:cs="Arial"/>
          <w:sz w:val="20"/>
          <w:szCs w:val="20"/>
        </w:rPr>
        <w:t>-</w:t>
      </w:r>
      <w:r w:rsidR="00B65ECE" w:rsidRPr="00031E88">
        <w:rPr>
          <w:rFonts w:ascii="Arial" w:hAnsi="Arial" w:cs="Arial"/>
          <w:sz w:val="20"/>
          <w:szCs w:val="20"/>
        </w:rPr>
        <w:t>Zn</w:t>
      </w:r>
      <w:r w:rsidR="002923B4" w:rsidRPr="00031E88">
        <w:rPr>
          <w:rFonts w:ascii="Arial" w:hAnsi="Arial" w:cs="Arial"/>
          <w:sz w:val="20"/>
          <w:szCs w:val="20"/>
        </w:rPr>
        <w:t xml:space="preserve"> 0.9</w:t>
      </w:r>
      <w:r w:rsidR="00B65ECE" w:rsidRPr="00031E88">
        <w:rPr>
          <w:rFonts w:ascii="Arial" w:hAnsi="Arial" w:cs="Arial"/>
          <w:sz w:val="20"/>
          <w:szCs w:val="20"/>
        </w:rPr>
        <w:t>71</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B65ECE" w:rsidRPr="00031E88">
        <w:rPr>
          <w:rFonts w:ascii="Arial" w:hAnsi="Arial" w:cs="Arial"/>
          <w:sz w:val="20"/>
          <w:szCs w:val="20"/>
        </w:rPr>
        <w:t>L.R-Cd 0.861</w:t>
      </w:r>
      <w:r w:rsidR="00B65ECE" w:rsidRPr="00031E88">
        <w:rPr>
          <w:rFonts w:ascii="Arial" w:hAnsi="Arial" w:cs="Arial"/>
          <w:sz w:val="20"/>
          <w:szCs w:val="20"/>
          <w:vertAlign w:val="superscript"/>
        </w:rPr>
        <w:t>*</w:t>
      </w:r>
      <w:r w:rsidR="00B65ECE" w:rsidRPr="00031E88">
        <w:rPr>
          <w:rFonts w:ascii="Arial" w:hAnsi="Arial" w:cs="Arial"/>
          <w:sz w:val="20"/>
          <w:szCs w:val="20"/>
        </w:rPr>
        <w:t xml:space="preserve">). </w:t>
      </w:r>
    </w:p>
    <w:p w14:paraId="5F86F119" w14:textId="77777777" w:rsidR="00E9335D" w:rsidRPr="00031E88" w:rsidRDefault="00E9335D" w:rsidP="0004686A">
      <w:pPr>
        <w:spacing w:line="240" w:lineRule="auto"/>
        <w:jc w:val="both"/>
        <w:rPr>
          <w:rFonts w:ascii="Arial" w:hAnsi="Arial" w:cs="Arial"/>
          <w:sz w:val="20"/>
          <w:szCs w:val="20"/>
        </w:rPr>
      </w:pPr>
      <w:r w:rsidRPr="00031E88">
        <w:rPr>
          <w:rFonts w:ascii="Arial" w:hAnsi="Arial" w:cs="Arial"/>
          <w:b/>
          <w:bCs/>
          <w:sz w:val="20"/>
          <w:szCs w:val="20"/>
        </w:rPr>
        <w:t>Table 5.</w:t>
      </w:r>
      <w:r w:rsidRPr="00031E88">
        <w:rPr>
          <w:rFonts w:ascii="Arial" w:hAnsi="Arial" w:cs="Arial"/>
          <w:sz w:val="20"/>
          <w:szCs w:val="20"/>
        </w:rPr>
        <w:t xml:space="preserve"> Metal pollution index (MPI) of different tissues in F. </w:t>
      </w:r>
      <w:r w:rsidRPr="00031E88">
        <w:rPr>
          <w:rFonts w:ascii="Arial" w:hAnsi="Arial" w:cs="Arial"/>
          <w:i/>
          <w:iCs/>
          <w:sz w:val="20"/>
          <w:szCs w:val="20"/>
        </w:rPr>
        <w:t xml:space="preserve">Merguiensis </w:t>
      </w:r>
      <w:r w:rsidRPr="00031E88">
        <w:rPr>
          <w:rFonts w:ascii="Arial" w:hAnsi="Arial" w:cs="Arial"/>
          <w:sz w:val="20"/>
          <w:szCs w:val="20"/>
        </w:rPr>
        <w:t>and F.</w:t>
      </w:r>
      <w:r w:rsidRPr="00031E88">
        <w:rPr>
          <w:rFonts w:ascii="Arial" w:hAnsi="Arial" w:cs="Arial"/>
          <w:i/>
          <w:iCs/>
          <w:sz w:val="20"/>
          <w:szCs w:val="20"/>
        </w:rPr>
        <w:t xml:space="preserve"> penicillatus </w:t>
      </w:r>
      <w:r w:rsidRPr="00031E88">
        <w:rPr>
          <w:rFonts w:ascii="Arial" w:hAnsi="Arial" w:cs="Arial"/>
          <w:sz w:val="20"/>
          <w:szCs w:val="20"/>
        </w:rPr>
        <w:t xml:space="preserve"> </w:t>
      </w:r>
    </w:p>
    <w:tbl>
      <w:tblPr>
        <w:tblStyle w:val="TableGrid"/>
        <w:tblW w:w="80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717"/>
        <w:gridCol w:w="1832"/>
        <w:gridCol w:w="1281"/>
        <w:gridCol w:w="2405"/>
      </w:tblGrid>
      <w:tr w:rsidR="00E9335D" w:rsidRPr="00031E88" w14:paraId="1A34D52D" w14:textId="77777777" w:rsidTr="004F225E">
        <w:trPr>
          <w:jc w:val="center"/>
        </w:trPr>
        <w:tc>
          <w:tcPr>
            <w:tcW w:w="846" w:type="dxa"/>
            <w:tcBorders>
              <w:top w:val="single" w:sz="4" w:space="0" w:color="auto"/>
            </w:tcBorders>
          </w:tcPr>
          <w:p w14:paraId="56DC2A57" w14:textId="77777777" w:rsidR="00E9335D" w:rsidRPr="00031E88" w:rsidRDefault="00E9335D" w:rsidP="0004686A">
            <w:pPr>
              <w:jc w:val="both"/>
              <w:rPr>
                <w:rFonts w:ascii="Arial" w:hAnsi="Arial" w:cs="Arial"/>
                <w:sz w:val="20"/>
                <w:szCs w:val="20"/>
              </w:rPr>
            </w:pPr>
          </w:p>
        </w:tc>
        <w:tc>
          <w:tcPr>
            <w:tcW w:w="3549" w:type="dxa"/>
            <w:gridSpan w:val="2"/>
            <w:tcBorders>
              <w:top w:val="single" w:sz="4" w:space="0" w:color="auto"/>
              <w:bottom w:val="single" w:sz="4" w:space="0" w:color="auto"/>
            </w:tcBorders>
          </w:tcPr>
          <w:p w14:paraId="575138C6" w14:textId="77777777" w:rsidR="00E9335D" w:rsidRPr="00031E88" w:rsidRDefault="00E9335D" w:rsidP="0004686A">
            <w:pPr>
              <w:jc w:val="both"/>
              <w:rPr>
                <w:rFonts w:ascii="Arial" w:hAnsi="Arial" w:cs="Arial"/>
                <w:b/>
                <w:bCs/>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3686" w:type="dxa"/>
            <w:gridSpan w:val="2"/>
            <w:tcBorders>
              <w:top w:val="single" w:sz="4" w:space="0" w:color="auto"/>
              <w:bottom w:val="single" w:sz="4" w:space="0" w:color="auto"/>
            </w:tcBorders>
          </w:tcPr>
          <w:p w14:paraId="61FBF6B8" w14:textId="77777777" w:rsidR="00E9335D" w:rsidRPr="00031E88" w:rsidRDefault="00E9335D" w:rsidP="0004686A">
            <w:pPr>
              <w:jc w:val="both"/>
              <w:rPr>
                <w:rFonts w:ascii="Arial" w:hAnsi="Arial" w:cs="Arial"/>
                <w:b/>
                <w:bCs/>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r>
      <w:tr w:rsidR="00E9335D" w:rsidRPr="00031E88" w14:paraId="3339693D" w14:textId="77777777" w:rsidTr="004F225E">
        <w:trPr>
          <w:jc w:val="center"/>
        </w:trPr>
        <w:tc>
          <w:tcPr>
            <w:tcW w:w="846" w:type="dxa"/>
            <w:tcBorders>
              <w:bottom w:val="single" w:sz="4" w:space="0" w:color="auto"/>
            </w:tcBorders>
          </w:tcPr>
          <w:p w14:paraId="77E2DB23" w14:textId="77777777" w:rsidR="00E9335D" w:rsidRPr="00031E88" w:rsidRDefault="00E9335D" w:rsidP="0004686A">
            <w:pPr>
              <w:jc w:val="both"/>
              <w:rPr>
                <w:rFonts w:ascii="Arial" w:hAnsi="Arial" w:cs="Arial"/>
                <w:sz w:val="20"/>
                <w:szCs w:val="20"/>
              </w:rPr>
            </w:pPr>
            <w:r w:rsidRPr="00031E88">
              <w:rPr>
                <w:rFonts w:ascii="Arial" w:hAnsi="Arial" w:cs="Arial"/>
                <w:sz w:val="20"/>
                <w:szCs w:val="20"/>
              </w:rPr>
              <w:t>Tissue</w:t>
            </w:r>
          </w:p>
        </w:tc>
        <w:tc>
          <w:tcPr>
            <w:tcW w:w="1717" w:type="dxa"/>
            <w:tcBorders>
              <w:top w:val="single" w:sz="4" w:space="0" w:color="auto"/>
              <w:bottom w:val="single" w:sz="4" w:space="0" w:color="auto"/>
            </w:tcBorders>
          </w:tcPr>
          <w:p w14:paraId="54FDCBF8" w14:textId="77777777" w:rsidR="00E9335D" w:rsidRPr="00031E88" w:rsidRDefault="00E9335D" w:rsidP="0004686A">
            <w:pPr>
              <w:jc w:val="both"/>
              <w:rPr>
                <w:rFonts w:ascii="Arial" w:hAnsi="Arial" w:cs="Arial"/>
                <w:sz w:val="20"/>
                <w:szCs w:val="20"/>
              </w:rPr>
            </w:pPr>
            <w:r w:rsidRPr="00031E88">
              <w:rPr>
                <w:rFonts w:ascii="Arial" w:hAnsi="Arial" w:cs="Arial"/>
                <w:sz w:val="20"/>
                <w:szCs w:val="20"/>
              </w:rPr>
              <w:t>Muscle</w:t>
            </w:r>
          </w:p>
        </w:tc>
        <w:tc>
          <w:tcPr>
            <w:tcW w:w="1832" w:type="dxa"/>
            <w:tcBorders>
              <w:top w:val="single" w:sz="4" w:space="0" w:color="auto"/>
              <w:bottom w:val="single" w:sz="4" w:space="0" w:color="auto"/>
            </w:tcBorders>
          </w:tcPr>
          <w:p w14:paraId="2786C57B" w14:textId="77777777" w:rsidR="00E9335D" w:rsidRPr="00031E88" w:rsidRDefault="00E9335D" w:rsidP="0004686A">
            <w:pPr>
              <w:jc w:val="both"/>
              <w:rPr>
                <w:rFonts w:ascii="Arial" w:hAnsi="Arial" w:cs="Arial"/>
                <w:sz w:val="20"/>
                <w:szCs w:val="20"/>
              </w:rPr>
            </w:pPr>
            <w:r w:rsidRPr="00031E88">
              <w:rPr>
                <w:rFonts w:ascii="Arial" w:hAnsi="Arial" w:cs="Arial"/>
                <w:sz w:val="20"/>
                <w:szCs w:val="20"/>
              </w:rPr>
              <w:t>Exoskeleton</w:t>
            </w:r>
          </w:p>
        </w:tc>
        <w:tc>
          <w:tcPr>
            <w:tcW w:w="1281" w:type="dxa"/>
            <w:tcBorders>
              <w:top w:val="single" w:sz="4" w:space="0" w:color="auto"/>
              <w:bottom w:val="single" w:sz="4" w:space="0" w:color="auto"/>
            </w:tcBorders>
          </w:tcPr>
          <w:p w14:paraId="7852D819" w14:textId="77777777" w:rsidR="00E9335D" w:rsidRPr="00031E88" w:rsidRDefault="00E9335D" w:rsidP="0004686A">
            <w:pPr>
              <w:jc w:val="both"/>
              <w:rPr>
                <w:rFonts w:ascii="Arial" w:hAnsi="Arial" w:cs="Arial"/>
                <w:sz w:val="20"/>
                <w:szCs w:val="20"/>
              </w:rPr>
            </w:pPr>
            <w:r w:rsidRPr="00031E88">
              <w:rPr>
                <w:rFonts w:ascii="Arial" w:hAnsi="Arial" w:cs="Arial"/>
                <w:sz w:val="20"/>
                <w:szCs w:val="20"/>
              </w:rPr>
              <w:t>Muscle</w:t>
            </w:r>
          </w:p>
        </w:tc>
        <w:tc>
          <w:tcPr>
            <w:tcW w:w="2405" w:type="dxa"/>
            <w:tcBorders>
              <w:top w:val="single" w:sz="4" w:space="0" w:color="auto"/>
              <w:bottom w:val="single" w:sz="4" w:space="0" w:color="auto"/>
            </w:tcBorders>
          </w:tcPr>
          <w:p w14:paraId="1D391DD0" w14:textId="77777777" w:rsidR="00E9335D" w:rsidRPr="00031E88" w:rsidRDefault="00E9335D" w:rsidP="0004686A">
            <w:pPr>
              <w:jc w:val="both"/>
              <w:rPr>
                <w:rFonts w:ascii="Arial" w:hAnsi="Arial" w:cs="Arial"/>
                <w:sz w:val="20"/>
                <w:szCs w:val="20"/>
              </w:rPr>
            </w:pPr>
            <w:r w:rsidRPr="00031E88">
              <w:rPr>
                <w:rFonts w:ascii="Arial" w:hAnsi="Arial" w:cs="Arial"/>
                <w:sz w:val="20"/>
                <w:szCs w:val="20"/>
              </w:rPr>
              <w:t>Exoskeleton</w:t>
            </w:r>
          </w:p>
        </w:tc>
      </w:tr>
      <w:tr w:rsidR="00E9335D" w:rsidRPr="00031E88" w14:paraId="077453D9" w14:textId="77777777" w:rsidTr="004F225E">
        <w:trPr>
          <w:jc w:val="center"/>
        </w:trPr>
        <w:tc>
          <w:tcPr>
            <w:tcW w:w="846" w:type="dxa"/>
            <w:tcBorders>
              <w:top w:val="single" w:sz="4" w:space="0" w:color="auto"/>
              <w:bottom w:val="single" w:sz="4" w:space="0" w:color="auto"/>
            </w:tcBorders>
          </w:tcPr>
          <w:p w14:paraId="3C87173C" w14:textId="77777777" w:rsidR="00E9335D" w:rsidRPr="00031E88" w:rsidRDefault="00E9335D" w:rsidP="0004686A">
            <w:pPr>
              <w:jc w:val="both"/>
              <w:rPr>
                <w:rFonts w:ascii="Arial" w:hAnsi="Arial" w:cs="Arial"/>
                <w:sz w:val="20"/>
                <w:szCs w:val="20"/>
              </w:rPr>
            </w:pPr>
            <w:r w:rsidRPr="00031E88">
              <w:rPr>
                <w:rFonts w:ascii="Arial" w:hAnsi="Arial" w:cs="Arial"/>
                <w:sz w:val="20"/>
                <w:szCs w:val="20"/>
              </w:rPr>
              <w:t>MPI</w:t>
            </w:r>
          </w:p>
        </w:tc>
        <w:tc>
          <w:tcPr>
            <w:tcW w:w="1717" w:type="dxa"/>
            <w:tcBorders>
              <w:top w:val="single" w:sz="4" w:space="0" w:color="auto"/>
              <w:bottom w:val="single" w:sz="4" w:space="0" w:color="auto"/>
            </w:tcBorders>
          </w:tcPr>
          <w:p w14:paraId="25933CFA" w14:textId="77777777" w:rsidR="00E9335D" w:rsidRPr="00031E88" w:rsidRDefault="00E9335D" w:rsidP="0004686A">
            <w:pPr>
              <w:jc w:val="both"/>
              <w:rPr>
                <w:rFonts w:ascii="Arial" w:hAnsi="Arial" w:cs="Arial"/>
                <w:sz w:val="20"/>
                <w:szCs w:val="20"/>
                <w:vertAlign w:val="superscript"/>
              </w:rPr>
            </w:pPr>
            <w:r w:rsidRPr="00031E88">
              <w:rPr>
                <w:rFonts w:ascii="Arial" w:hAnsi="Arial" w:cs="Arial"/>
                <w:sz w:val="20"/>
                <w:szCs w:val="20"/>
              </w:rPr>
              <w:t>2.14±0.27</w:t>
            </w:r>
            <w:r w:rsidRPr="00031E88">
              <w:rPr>
                <w:rFonts w:ascii="Arial" w:hAnsi="Arial" w:cs="Arial"/>
                <w:sz w:val="20"/>
                <w:szCs w:val="20"/>
                <w:vertAlign w:val="superscript"/>
              </w:rPr>
              <w:t>c</w:t>
            </w:r>
          </w:p>
        </w:tc>
        <w:tc>
          <w:tcPr>
            <w:tcW w:w="1832" w:type="dxa"/>
            <w:tcBorders>
              <w:top w:val="single" w:sz="4" w:space="0" w:color="auto"/>
              <w:bottom w:val="single" w:sz="4" w:space="0" w:color="auto"/>
            </w:tcBorders>
          </w:tcPr>
          <w:p w14:paraId="1C97170B" w14:textId="77777777" w:rsidR="00E9335D" w:rsidRPr="00031E88" w:rsidRDefault="00E9335D" w:rsidP="0004686A">
            <w:pPr>
              <w:jc w:val="both"/>
              <w:rPr>
                <w:rFonts w:ascii="Arial" w:hAnsi="Arial" w:cs="Arial"/>
                <w:sz w:val="20"/>
                <w:szCs w:val="20"/>
                <w:vertAlign w:val="superscript"/>
              </w:rPr>
            </w:pPr>
            <w:r w:rsidRPr="00031E88">
              <w:rPr>
                <w:rFonts w:ascii="Arial" w:hAnsi="Arial" w:cs="Arial"/>
                <w:sz w:val="20"/>
                <w:szCs w:val="20"/>
              </w:rPr>
              <w:t>2.17±0.36</w:t>
            </w:r>
            <w:r w:rsidRPr="00031E88">
              <w:rPr>
                <w:rFonts w:ascii="Arial" w:hAnsi="Arial" w:cs="Arial"/>
                <w:sz w:val="20"/>
                <w:szCs w:val="20"/>
                <w:vertAlign w:val="superscript"/>
              </w:rPr>
              <w:t>c</w:t>
            </w:r>
          </w:p>
        </w:tc>
        <w:tc>
          <w:tcPr>
            <w:tcW w:w="1281" w:type="dxa"/>
            <w:tcBorders>
              <w:top w:val="single" w:sz="4" w:space="0" w:color="auto"/>
              <w:bottom w:val="single" w:sz="4" w:space="0" w:color="auto"/>
            </w:tcBorders>
          </w:tcPr>
          <w:p w14:paraId="6B5BBAC3" w14:textId="77777777" w:rsidR="00E9335D" w:rsidRPr="00031E88" w:rsidRDefault="00E9335D" w:rsidP="0004686A">
            <w:pPr>
              <w:jc w:val="both"/>
              <w:rPr>
                <w:rFonts w:ascii="Arial" w:hAnsi="Arial" w:cs="Arial"/>
                <w:sz w:val="20"/>
                <w:szCs w:val="20"/>
                <w:vertAlign w:val="superscript"/>
              </w:rPr>
            </w:pPr>
            <w:r w:rsidRPr="00031E88">
              <w:rPr>
                <w:rFonts w:ascii="Arial" w:hAnsi="Arial" w:cs="Arial"/>
                <w:sz w:val="20"/>
                <w:szCs w:val="20"/>
              </w:rPr>
              <w:t>5.00±0.19</w:t>
            </w:r>
            <w:r w:rsidRPr="00031E88">
              <w:rPr>
                <w:rFonts w:ascii="Arial" w:hAnsi="Arial" w:cs="Arial"/>
                <w:sz w:val="20"/>
                <w:szCs w:val="20"/>
                <w:vertAlign w:val="superscript"/>
              </w:rPr>
              <w:t>b</w:t>
            </w:r>
          </w:p>
        </w:tc>
        <w:tc>
          <w:tcPr>
            <w:tcW w:w="2405" w:type="dxa"/>
            <w:tcBorders>
              <w:top w:val="single" w:sz="4" w:space="0" w:color="auto"/>
              <w:bottom w:val="single" w:sz="4" w:space="0" w:color="auto"/>
            </w:tcBorders>
          </w:tcPr>
          <w:p w14:paraId="3918CCC4" w14:textId="77777777" w:rsidR="00E9335D" w:rsidRPr="00031E88" w:rsidRDefault="00E9335D" w:rsidP="0004686A">
            <w:pPr>
              <w:jc w:val="both"/>
              <w:rPr>
                <w:rFonts w:ascii="Arial" w:hAnsi="Arial" w:cs="Arial"/>
                <w:sz w:val="20"/>
                <w:szCs w:val="20"/>
                <w:vertAlign w:val="superscript"/>
              </w:rPr>
            </w:pPr>
            <w:r w:rsidRPr="00031E88">
              <w:rPr>
                <w:rFonts w:ascii="Arial" w:hAnsi="Arial" w:cs="Arial"/>
                <w:sz w:val="20"/>
                <w:szCs w:val="20"/>
              </w:rPr>
              <w:t>5.15±0.87</w:t>
            </w:r>
            <w:r w:rsidRPr="00031E88">
              <w:rPr>
                <w:rFonts w:ascii="Arial" w:hAnsi="Arial" w:cs="Arial"/>
                <w:sz w:val="20"/>
                <w:szCs w:val="20"/>
                <w:vertAlign w:val="superscript"/>
              </w:rPr>
              <w:t>a</w:t>
            </w:r>
          </w:p>
        </w:tc>
      </w:tr>
    </w:tbl>
    <w:p w14:paraId="14C15ABD" w14:textId="77777777" w:rsidR="00E9335D" w:rsidRPr="00AF5F7F" w:rsidRDefault="00E9335D" w:rsidP="0004686A">
      <w:pPr>
        <w:spacing w:line="480" w:lineRule="auto"/>
        <w:jc w:val="both"/>
        <w:rPr>
          <w:rFonts w:ascii="Arial" w:hAnsi="Arial" w:cs="Arial"/>
          <w:sz w:val="20"/>
          <w:szCs w:val="20"/>
        </w:rPr>
      </w:pPr>
      <w:r>
        <w:rPr>
          <w:rFonts w:ascii="Times New Roman" w:hAnsi="Times New Roman" w:cs="Times New Roman"/>
          <w:sz w:val="24"/>
          <w:szCs w:val="24"/>
        </w:rPr>
        <w:t xml:space="preserve">                    </w:t>
      </w:r>
      <w:r w:rsidRPr="00AF5F7F">
        <w:rPr>
          <w:rFonts w:ascii="Arial" w:hAnsi="Arial" w:cs="Arial"/>
          <w:sz w:val="20"/>
          <w:szCs w:val="20"/>
        </w:rPr>
        <w:t>Different letters denote significant differences (</w:t>
      </w:r>
      <w:r w:rsidRPr="00AF5F7F">
        <w:rPr>
          <w:rFonts w:ascii="Arial" w:hAnsi="Arial" w:cs="Arial"/>
          <w:i/>
          <w:iCs/>
          <w:sz w:val="20"/>
          <w:szCs w:val="20"/>
        </w:rPr>
        <w:t>p&lt;0.05</w:t>
      </w:r>
      <w:r w:rsidRPr="00AF5F7F">
        <w:rPr>
          <w:rFonts w:ascii="Arial" w:hAnsi="Arial" w:cs="Arial"/>
          <w:sz w:val="20"/>
          <w:szCs w:val="20"/>
        </w:rPr>
        <w:t>)</w:t>
      </w:r>
    </w:p>
    <w:p w14:paraId="627EA7A0" w14:textId="5B2CB83B" w:rsidR="003058A1" w:rsidRDefault="003058A1" w:rsidP="003058A1">
      <w:pPr>
        <w:pStyle w:val="NormalWeb"/>
        <w:jc w:val="both"/>
      </w:pPr>
      <w:r>
        <w:t xml:space="preserve">The Metal Pollution Index (MPI) values presented in Table 5 were calculated to facilitate comparison of total metal accumulation across different tissues of the studied species. The observed order of MPI values was: exoskeleton of </w:t>
      </w:r>
      <w:proofErr w:type="spellStart"/>
      <w:r>
        <w:rPr>
          <w:rStyle w:val="Emphasis"/>
        </w:rPr>
        <w:t>Fenneropenaeus</w:t>
      </w:r>
      <w:proofErr w:type="spellEnd"/>
      <w:r>
        <w:rPr>
          <w:rStyle w:val="Emphasis"/>
        </w:rPr>
        <w:t xml:space="preserve"> </w:t>
      </w:r>
      <w:proofErr w:type="spellStart"/>
      <w:r>
        <w:rPr>
          <w:rStyle w:val="Emphasis"/>
        </w:rPr>
        <w:t>penicillatus</w:t>
      </w:r>
      <w:proofErr w:type="spellEnd"/>
      <w:r>
        <w:t xml:space="preserve"> &gt; muscle of </w:t>
      </w:r>
      <w:proofErr w:type="spellStart"/>
      <w:r>
        <w:rPr>
          <w:rStyle w:val="Emphasis"/>
        </w:rPr>
        <w:t>Fenneropenaeus</w:t>
      </w:r>
      <w:proofErr w:type="spellEnd"/>
      <w:r>
        <w:rPr>
          <w:rStyle w:val="Emphasis"/>
        </w:rPr>
        <w:t xml:space="preserve"> </w:t>
      </w:r>
      <w:proofErr w:type="spellStart"/>
      <w:r>
        <w:rPr>
          <w:rStyle w:val="Emphasis"/>
        </w:rPr>
        <w:t>penicillatus</w:t>
      </w:r>
      <w:proofErr w:type="spellEnd"/>
      <w:r>
        <w:t xml:space="preserve"> &gt; exoskeleton of </w:t>
      </w:r>
      <w:proofErr w:type="spellStart"/>
      <w:r>
        <w:rPr>
          <w:rStyle w:val="Emphasis"/>
        </w:rPr>
        <w:t>Fenneropenaeus</w:t>
      </w:r>
      <w:proofErr w:type="spellEnd"/>
      <w:r>
        <w:rPr>
          <w:rStyle w:val="Emphasis"/>
        </w:rPr>
        <w:t xml:space="preserve"> </w:t>
      </w:r>
      <w:proofErr w:type="spellStart"/>
      <w:r>
        <w:rPr>
          <w:rStyle w:val="Emphasis"/>
        </w:rPr>
        <w:t>merguiensis</w:t>
      </w:r>
      <w:proofErr w:type="spellEnd"/>
      <w:r>
        <w:t xml:space="preserve"> &gt; muscle of </w:t>
      </w:r>
      <w:proofErr w:type="spellStart"/>
      <w:r>
        <w:rPr>
          <w:rStyle w:val="Emphasis"/>
        </w:rPr>
        <w:t>Fenneropenaeus</w:t>
      </w:r>
      <w:proofErr w:type="spellEnd"/>
      <w:r>
        <w:rPr>
          <w:rStyle w:val="Emphasis"/>
        </w:rPr>
        <w:t xml:space="preserve"> </w:t>
      </w:r>
      <w:proofErr w:type="spellStart"/>
      <w:r>
        <w:rPr>
          <w:rStyle w:val="Emphasis"/>
        </w:rPr>
        <w:t>merguiensis</w:t>
      </w:r>
      <w:proofErr w:type="spellEnd"/>
      <w:r>
        <w:t>.</w:t>
      </w:r>
      <w:r>
        <w:t xml:space="preserve"> </w:t>
      </w:r>
      <w:r>
        <w:t>The concentrations of heavy metals in muscle tissue were consistently lower than those detected in the exoskeleton. This difference may be attributed to the comparatively limited blood circulation in muscle tissue, as well as its lower metabolic activity relative</w:t>
      </w:r>
      <w:bookmarkStart w:id="0" w:name="_GoBack"/>
      <w:bookmarkEnd w:id="0"/>
      <w:r>
        <w:t xml:space="preserve"> to the exoskeleton (Adhikari et al., 2009; Wagner and </w:t>
      </w:r>
      <w:proofErr w:type="spellStart"/>
      <w:r>
        <w:t>Boman</w:t>
      </w:r>
      <w:proofErr w:type="spellEnd"/>
      <w:r>
        <w:t xml:space="preserve">, 2003; Radhakrishnan, 2010; </w:t>
      </w:r>
      <w:proofErr w:type="spellStart"/>
      <w:r>
        <w:t>Vaseem</w:t>
      </w:r>
      <w:proofErr w:type="spellEnd"/>
      <w:r>
        <w:t xml:space="preserve"> and Banerjee, 2013).</w:t>
      </w:r>
      <w:r>
        <w:t xml:space="preserve"> </w:t>
      </w:r>
      <w:r>
        <w:t>From a public health perspective, these findings are significant, as previous studies have recommended limiting the consumption of fish and shellfish with elevated heavy metal concentrations, particularly among vulnerable groups such as children and pregnant women (Olmedo et al., 2013). Furthermore, the bioaccumulation of heavy metals in shellfish has been identified as a potential risk to consumer health (Gong et al., 2020).</w:t>
      </w:r>
    </w:p>
    <w:p w14:paraId="452F7992" w14:textId="77777777" w:rsidR="00876D74" w:rsidRPr="00AF5F7F" w:rsidRDefault="007909D5" w:rsidP="0004686A">
      <w:pPr>
        <w:tabs>
          <w:tab w:val="left" w:pos="2880"/>
        </w:tabs>
        <w:spacing w:line="480" w:lineRule="auto"/>
        <w:jc w:val="both"/>
        <w:rPr>
          <w:rFonts w:ascii="Arial" w:hAnsi="Arial" w:cs="Arial"/>
          <w:b/>
          <w:bCs/>
        </w:rPr>
      </w:pPr>
      <w:r>
        <w:rPr>
          <w:rFonts w:ascii="Arial" w:hAnsi="Arial" w:cs="Arial"/>
          <w:b/>
          <w:bCs/>
        </w:rPr>
        <w:t xml:space="preserve">4. </w:t>
      </w:r>
      <w:r w:rsidR="00AF5F7F" w:rsidRPr="00AF5F7F">
        <w:rPr>
          <w:rFonts w:ascii="Arial" w:hAnsi="Arial" w:cs="Arial"/>
          <w:b/>
          <w:bCs/>
        </w:rPr>
        <w:t>CONCLUSION</w:t>
      </w:r>
    </w:p>
    <w:p w14:paraId="6584F61F" w14:textId="1498ABA9" w:rsidR="00D9714C" w:rsidRPr="00AF5F7F" w:rsidRDefault="00D9714C" w:rsidP="0004686A">
      <w:pPr>
        <w:tabs>
          <w:tab w:val="left" w:pos="2880"/>
        </w:tabs>
        <w:spacing w:line="240" w:lineRule="auto"/>
        <w:jc w:val="both"/>
        <w:rPr>
          <w:rFonts w:asciiTheme="minorBidi" w:hAnsiTheme="minorBidi"/>
          <w:sz w:val="20"/>
          <w:szCs w:val="20"/>
        </w:rPr>
      </w:pPr>
      <w:r w:rsidRPr="00D9714C">
        <w:rPr>
          <w:rFonts w:asciiTheme="minorBidi" w:hAnsiTheme="minorBidi"/>
          <w:sz w:val="20"/>
          <w:szCs w:val="20"/>
        </w:rPr>
        <w:lastRenderedPageBreak/>
        <w:t xml:space="preserve">This study confirms the accumulation of Al, Pb, Zn, Cu, and Cd in </w:t>
      </w:r>
      <w:r w:rsidRPr="00D9714C">
        <w:rPr>
          <w:rFonts w:asciiTheme="minorBidi" w:hAnsiTheme="minorBidi"/>
          <w:i/>
          <w:iCs/>
          <w:sz w:val="20"/>
          <w:szCs w:val="20"/>
        </w:rPr>
        <w:t>Fenneropenaeus</w:t>
      </w:r>
      <w:r w:rsidRPr="00D9714C">
        <w:rPr>
          <w:rFonts w:asciiTheme="minorBidi" w:hAnsiTheme="minorBidi"/>
          <w:sz w:val="20"/>
          <w:szCs w:val="20"/>
        </w:rPr>
        <w:t xml:space="preserve"> </w:t>
      </w:r>
      <w:r w:rsidRPr="00D9714C">
        <w:rPr>
          <w:rFonts w:asciiTheme="minorBidi" w:hAnsiTheme="minorBidi"/>
          <w:i/>
          <w:iCs/>
          <w:sz w:val="20"/>
          <w:szCs w:val="20"/>
        </w:rPr>
        <w:t>merguiensis</w:t>
      </w:r>
      <w:r w:rsidRPr="00D9714C">
        <w:rPr>
          <w:rFonts w:asciiTheme="minorBidi" w:hAnsiTheme="minorBidi"/>
          <w:sz w:val="20"/>
          <w:szCs w:val="20"/>
        </w:rPr>
        <w:t xml:space="preserve"> and </w:t>
      </w:r>
      <w:r w:rsidRPr="00D9714C">
        <w:rPr>
          <w:rFonts w:asciiTheme="minorBidi" w:hAnsiTheme="minorBidi"/>
          <w:i/>
          <w:iCs/>
          <w:sz w:val="20"/>
          <w:szCs w:val="20"/>
        </w:rPr>
        <w:t>Fenneropenaeus</w:t>
      </w:r>
      <w:r w:rsidRPr="00D9714C">
        <w:rPr>
          <w:rFonts w:asciiTheme="minorBidi" w:hAnsiTheme="minorBidi"/>
          <w:sz w:val="20"/>
          <w:szCs w:val="20"/>
        </w:rPr>
        <w:t xml:space="preserve"> </w:t>
      </w:r>
      <w:r w:rsidRPr="00D9714C">
        <w:rPr>
          <w:rFonts w:asciiTheme="minorBidi" w:hAnsiTheme="minorBidi"/>
          <w:i/>
          <w:iCs/>
          <w:sz w:val="20"/>
          <w:szCs w:val="20"/>
        </w:rPr>
        <w:t>penicillatus</w:t>
      </w:r>
      <w:r w:rsidRPr="00D9714C">
        <w:rPr>
          <w:rFonts w:asciiTheme="minorBidi" w:hAnsiTheme="minorBidi"/>
          <w:sz w:val="20"/>
          <w:szCs w:val="20"/>
        </w:rPr>
        <w:t xml:space="preserve"> from Karachi Fish Harbour, with higher levels consistently observed in </w:t>
      </w:r>
      <w:r w:rsidRPr="00D9714C">
        <w:rPr>
          <w:rFonts w:asciiTheme="minorBidi" w:hAnsiTheme="minorBidi"/>
          <w:i/>
          <w:iCs/>
          <w:sz w:val="20"/>
          <w:szCs w:val="20"/>
        </w:rPr>
        <w:t>Fenneropenaeus</w:t>
      </w:r>
      <w:r w:rsidRPr="00D9714C">
        <w:rPr>
          <w:rFonts w:asciiTheme="minorBidi" w:hAnsiTheme="minorBidi"/>
          <w:sz w:val="20"/>
          <w:szCs w:val="20"/>
        </w:rPr>
        <w:t xml:space="preserve"> </w:t>
      </w:r>
      <w:r w:rsidRPr="00D9714C">
        <w:rPr>
          <w:rFonts w:asciiTheme="minorBidi" w:hAnsiTheme="minorBidi"/>
          <w:i/>
          <w:iCs/>
          <w:sz w:val="20"/>
          <w:szCs w:val="20"/>
        </w:rPr>
        <w:t>penicillatus</w:t>
      </w:r>
      <w:r w:rsidRPr="00D9714C">
        <w:rPr>
          <w:rFonts w:asciiTheme="minorBidi" w:hAnsiTheme="minorBidi"/>
          <w:sz w:val="20"/>
          <w:szCs w:val="20"/>
        </w:rPr>
        <w:t xml:space="preserve">. Most metal concentrations (Zn, Cu, and Cd) were within WHO and FAO permissible limits. However, Pb levels in </w:t>
      </w:r>
      <w:r>
        <w:rPr>
          <w:rFonts w:asciiTheme="minorBidi" w:hAnsiTheme="minorBidi"/>
          <w:sz w:val="20"/>
          <w:szCs w:val="20"/>
        </w:rPr>
        <w:t xml:space="preserve">both species, particularly in </w:t>
      </w:r>
      <w:r w:rsidRPr="00D9714C">
        <w:rPr>
          <w:rFonts w:asciiTheme="minorBidi" w:hAnsiTheme="minorBidi"/>
          <w:i/>
          <w:iCs/>
          <w:sz w:val="20"/>
          <w:szCs w:val="20"/>
        </w:rPr>
        <w:t>Fenneropenaeus</w:t>
      </w:r>
      <w:r w:rsidRPr="00D9714C">
        <w:rPr>
          <w:rFonts w:asciiTheme="minorBidi" w:hAnsiTheme="minorBidi"/>
          <w:sz w:val="20"/>
          <w:szCs w:val="20"/>
        </w:rPr>
        <w:t xml:space="preserve"> </w:t>
      </w:r>
      <w:r w:rsidRPr="00D9714C">
        <w:rPr>
          <w:rFonts w:asciiTheme="minorBidi" w:hAnsiTheme="minorBidi"/>
          <w:i/>
          <w:iCs/>
          <w:sz w:val="20"/>
          <w:szCs w:val="20"/>
        </w:rPr>
        <w:t>penicillatus</w:t>
      </w:r>
      <w:r w:rsidRPr="00D9714C">
        <w:rPr>
          <w:rFonts w:asciiTheme="minorBidi" w:hAnsiTheme="minorBidi"/>
          <w:sz w:val="20"/>
          <w:szCs w:val="20"/>
        </w:rPr>
        <w:t>, exceeded or approached stricter regulatory thresholds (e.g., EU and IAEA), while Cd values were near or marginally above some guideline limits.</w:t>
      </w:r>
      <w:r w:rsidR="00983C9A">
        <w:rPr>
          <w:rFonts w:asciiTheme="minorBidi" w:hAnsiTheme="minorBidi"/>
          <w:sz w:val="20"/>
          <w:szCs w:val="20"/>
        </w:rPr>
        <w:t xml:space="preserve"> </w:t>
      </w:r>
      <w:r w:rsidRPr="00D9714C">
        <w:rPr>
          <w:rFonts w:asciiTheme="minorBidi" w:hAnsiTheme="minorBidi"/>
          <w:sz w:val="20"/>
          <w:szCs w:val="20"/>
        </w:rPr>
        <w:t>These results indicate potential risks associated with long-term consumption, especially for F. penicillatus. Regular monitoring of heavy metals in shrimp and their environment is recommended to ensure food safety and support sustainable fisheries management.</w:t>
      </w:r>
    </w:p>
    <w:p w14:paraId="4068ED1F" w14:textId="77777777" w:rsidR="009A055F" w:rsidRPr="00AF5F7F" w:rsidRDefault="009A055F" w:rsidP="0004686A">
      <w:pPr>
        <w:tabs>
          <w:tab w:val="left" w:pos="2880"/>
        </w:tabs>
        <w:spacing w:line="480" w:lineRule="auto"/>
        <w:jc w:val="both"/>
        <w:rPr>
          <w:rFonts w:ascii="Arial" w:hAnsi="Arial" w:cs="Arial"/>
          <w:b/>
          <w:bCs/>
        </w:rPr>
      </w:pPr>
      <w:r w:rsidRPr="00AF5F7F">
        <w:rPr>
          <w:rFonts w:ascii="Arial" w:hAnsi="Arial" w:cs="Arial"/>
          <w:b/>
          <w:bCs/>
        </w:rPr>
        <w:t>Competing Interests</w:t>
      </w:r>
    </w:p>
    <w:p w14:paraId="145D93C2" w14:textId="77777777" w:rsidR="009A055F" w:rsidRPr="00AF5F7F" w:rsidRDefault="009A055F" w:rsidP="0004686A">
      <w:pPr>
        <w:tabs>
          <w:tab w:val="left" w:pos="2880"/>
        </w:tabs>
        <w:spacing w:line="480" w:lineRule="auto"/>
        <w:jc w:val="both"/>
        <w:rPr>
          <w:rFonts w:ascii="Arial" w:hAnsi="Arial" w:cs="Arial"/>
          <w:sz w:val="20"/>
          <w:szCs w:val="20"/>
        </w:rPr>
      </w:pPr>
      <w:r w:rsidRPr="00AF5F7F">
        <w:rPr>
          <w:rFonts w:ascii="Arial" w:hAnsi="Arial" w:cs="Arial"/>
          <w:sz w:val="20"/>
          <w:szCs w:val="20"/>
        </w:rPr>
        <w:t>The authors declare that they have no competing interests</w:t>
      </w:r>
      <w:r w:rsidR="00796664">
        <w:rPr>
          <w:rFonts w:ascii="Arial" w:hAnsi="Arial" w:cs="Arial"/>
          <w:sz w:val="20"/>
          <w:szCs w:val="20"/>
        </w:rPr>
        <w:t xml:space="preserve"> exist</w:t>
      </w:r>
      <w:r w:rsidR="00223A61">
        <w:rPr>
          <w:rFonts w:ascii="Arial" w:hAnsi="Arial" w:cs="Arial"/>
          <w:sz w:val="20"/>
          <w:szCs w:val="20"/>
        </w:rPr>
        <w:t>.</w:t>
      </w:r>
    </w:p>
    <w:p w14:paraId="083B743F" w14:textId="77777777" w:rsidR="002219CD" w:rsidRPr="002219CD" w:rsidRDefault="002219CD" w:rsidP="0004686A">
      <w:pPr>
        <w:tabs>
          <w:tab w:val="left" w:pos="2880"/>
        </w:tabs>
        <w:spacing w:line="240" w:lineRule="auto"/>
        <w:jc w:val="both"/>
        <w:rPr>
          <w:rFonts w:ascii="Arial" w:hAnsi="Arial" w:cs="Arial"/>
          <w:b/>
          <w:bCs/>
        </w:rPr>
      </w:pPr>
      <w:r w:rsidRPr="002219CD">
        <w:rPr>
          <w:rFonts w:ascii="Arial" w:hAnsi="Arial" w:cs="Arial"/>
          <w:b/>
          <w:bCs/>
        </w:rPr>
        <w:t>Disclaimer (Artificial Intelligence)</w:t>
      </w:r>
    </w:p>
    <w:p w14:paraId="6BE74D9B" w14:textId="77777777" w:rsidR="002219CD" w:rsidRPr="002F2A83" w:rsidRDefault="002219CD" w:rsidP="0004686A">
      <w:pPr>
        <w:tabs>
          <w:tab w:val="left" w:pos="2880"/>
        </w:tabs>
        <w:spacing w:line="240" w:lineRule="auto"/>
        <w:jc w:val="both"/>
        <w:rPr>
          <w:rFonts w:ascii="Arial" w:hAnsi="Arial" w:cs="Arial"/>
          <w:sz w:val="20"/>
          <w:szCs w:val="20"/>
        </w:rPr>
      </w:pPr>
      <w:r w:rsidRPr="002219CD">
        <w:rPr>
          <w:rFonts w:ascii="Arial" w:hAnsi="Arial" w:cs="Arial"/>
          <w:sz w:val="20"/>
          <w:szCs w:val="20"/>
        </w:rPr>
        <w:t>Author(s) hereby declare that NO generative AI technologies such as Large Language Models (ChatGPT,</w:t>
      </w:r>
      <w:r>
        <w:rPr>
          <w:rFonts w:ascii="Arial" w:hAnsi="Arial" w:cs="Arial"/>
          <w:sz w:val="20"/>
          <w:szCs w:val="20"/>
        </w:rPr>
        <w:t xml:space="preserve"> </w:t>
      </w:r>
      <w:r w:rsidRPr="002219CD">
        <w:rPr>
          <w:rFonts w:ascii="Arial" w:hAnsi="Arial" w:cs="Arial"/>
          <w:sz w:val="20"/>
          <w:szCs w:val="20"/>
        </w:rPr>
        <w:t>COPILOT, etc) and text to image generators have been used during writing or editing of this manuscript.</w:t>
      </w:r>
    </w:p>
    <w:p w14:paraId="23992068" w14:textId="77777777" w:rsidR="00153A47" w:rsidRPr="007E476F" w:rsidRDefault="007E476F" w:rsidP="0004686A">
      <w:pPr>
        <w:jc w:val="both"/>
        <w:rPr>
          <w:rFonts w:ascii="Arial" w:hAnsi="Arial" w:cs="Arial"/>
          <w:b/>
          <w:bCs/>
        </w:rPr>
      </w:pPr>
      <w:r w:rsidRPr="007E476F">
        <w:rPr>
          <w:rFonts w:ascii="Arial" w:hAnsi="Arial" w:cs="Arial"/>
          <w:b/>
          <w:bCs/>
        </w:rPr>
        <w:t>REFERENCES</w:t>
      </w:r>
    </w:p>
    <w:p w14:paraId="447CFB3D" w14:textId="77777777" w:rsidR="000A7347" w:rsidRPr="00406E49" w:rsidRDefault="004F3DB3"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sz w:val="20"/>
          <w:szCs w:val="20"/>
        </w:rPr>
        <w:fldChar w:fldCharType="begin" w:fldLock="1"/>
      </w:r>
      <w:r w:rsidRPr="00406E49">
        <w:rPr>
          <w:rFonts w:ascii="Arial" w:hAnsi="Arial" w:cs="Arial"/>
          <w:sz w:val="20"/>
          <w:szCs w:val="20"/>
        </w:rPr>
        <w:instrText xml:space="preserve">ADDIN Mendeley Bibliography CSL_BIBLIOGRAPHY </w:instrText>
      </w:r>
      <w:r w:rsidRPr="00406E49">
        <w:rPr>
          <w:rFonts w:ascii="Arial" w:hAnsi="Arial" w:cs="Arial"/>
          <w:sz w:val="20"/>
          <w:szCs w:val="20"/>
        </w:rPr>
        <w:fldChar w:fldCharType="separate"/>
      </w:r>
      <w:r w:rsidR="000A7347" w:rsidRPr="00406E49">
        <w:rPr>
          <w:rFonts w:ascii="Arial" w:hAnsi="Arial" w:cs="Arial"/>
          <w:noProof/>
          <w:sz w:val="20"/>
          <w:szCs w:val="20"/>
        </w:rPr>
        <w:t xml:space="preserve">Abdel Gawad, S. S. (2018). Concentrations of heavy metals in water, sediment and mollusk gastropod, Lanistes carinatus from Lake Manzala, Egypt. </w:t>
      </w:r>
      <w:r w:rsidR="000A7347" w:rsidRPr="00406E49">
        <w:rPr>
          <w:rFonts w:ascii="Arial" w:hAnsi="Arial" w:cs="Arial"/>
          <w:i/>
          <w:iCs/>
          <w:noProof/>
          <w:sz w:val="20"/>
          <w:szCs w:val="20"/>
        </w:rPr>
        <w:t>Egyptian Journal of Aquatic Research</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44</w:t>
      </w:r>
      <w:r w:rsidR="000A7347" w:rsidRPr="00406E49">
        <w:rPr>
          <w:rFonts w:ascii="Arial" w:hAnsi="Arial" w:cs="Arial"/>
          <w:noProof/>
          <w:sz w:val="20"/>
          <w:szCs w:val="20"/>
        </w:rPr>
        <w:t>(2), 77–82. https://doi.org/10.1016/j.ejar.2018.05.001</w:t>
      </w:r>
      <w:r w:rsidR="00857463" w:rsidRPr="00406E49">
        <w:rPr>
          <w:rFonts w:ascii="Arial" w:hAnsi="Arial" w:cs="Arial"/>
          <w:noProof/>
          <w:sz w:val="20"/>
          <w:szCs w:val="20"/>
        </w:rPr>
        <w:t xml:space="preserve"> </w:t>
      </w:r>
    </w:p>
    <w:p w14:paraId="09BF3B9D"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Abougabal K, M. W. &amp; K. F. (2020). The effect of cadmium toxicity on </w:t>
      </w:r>
      <w:r w:rsidRPr="00406E49">
        <w:rPr>
          <w:rFonts w:ascii="Arial" w:hAnsi="Arial" w:cs="Arial"/>
          <w:i/>
          <w:iCs/>
          <w:noProof/>
          <w:sz w:val="20"/>
          <w:szCs w:val="20"/>
        </w:rPr>
        <w:t>Oreochromis</w:t>
      </w:r>
      <w:r w:rsidRPr="00406E49">
        <w:rPr>
          <w:rFonts w:ascii="Arial" w:hAnsi="Arial" w:cs="Arial"/>
          <w:noProof/>
          <w:sz w:val="20"/>
          <w:szCs w:val="20"/>
        </w:rPr>
        <w:t xml:space="preserve"> </w:t>
      </w:r>
      <w:r w:rsidRPr="00406E49">
        <w:rPr>
          <w:rFonts w:ascii="Arial" w:hAnsi="Arial" w:cs="Arial"/>
          <w:i/>
          <w:iCs/>
          <w:noProof/>
          <w:sz w:val="20"/>
          <w:szCs w:val="20"/>
        </w:rPr>
        <w:t>niloticus</w:t>
      </w:r>
      <w:r w:rsidRPr="00406E49">
        <w:rPr>
          <w:rFonts w:ascii="Arial" w:hAnsi="Arial" w:cs="Arial"/>
          <w:noProof/>
          <w:sz w:val="20"/>
          <w:szCs w:val="20"/>
        </w:rPr>
        <w:t xml:space="preserve"> and human health. </w:t>
      </w:r>
      <w:r w:rsidRPr="00406E49">
        <w:rPr>
          <w:rFonts w:ascii="Arial" w:hAnsi="Arial" w:cs="Arial"/>
          <w:i/>
          <w:iCs/>
          <w:noProof/>
          <w:sz w:val="20"/>
          <w:szCs w:val="20"/>
        </w:rPr>
        <w:t>African Journal of Aquatic Science</w:t>
      </w:r>
      <w:r w:rsidRPr="00406E49">
        <w:rPr>
          <w:rFonts w:ascii="Arial" w:hAnsi="Arial" w:cs="Arial"/>
          <w:noProof/>
          <w:sz w:val="20"/>
          <w:szCs w:val="20"/>
        </w:rPr>
        <w:t>. https://doi.org/10.2989/16085914.2019.1707429</w:t>
      </w:r>
    </w:p>
    <w:p w14:paraId="085EB175"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Adhikari, S., Ghosh, L., Giri, B. S., &amp; Ayyappan, S. (2009). Distributions of metals in the food web of fishponds of Kolleru Lake, India. </w:t>
      </w:r>
      <w:r w:rsidRPr="00406E49">
        <w:rPr>
          <w:rFonts w:ascii="Arial" w:hAnsi="Arial" w:cs="Arial"/>
          <w:i/>
          <w:iCs/>
          <w:noProof/>
          <w:sz w:val="20"/>
          <w:szCs w:val="20"/>
        </w:rPr>
        <w:t>Ecotoxicology and Environmental Safety</w:t>
      </w:r>
      <w:r w:rsidRPr="00406E49">
        <w:rPr>
          <w:rFonts w:ascii="Arial" w:hAnsi="Arial" w:cs="Arial"/>
          <w:noProof/>
          <w:sz w:val="20"/>
          <w:szCs w:val="20"/>
        </w:rPr>
        <w:t xml:space="preserve">, </w:t>
      </w:r>
      <w:r w:rsidRPr="00406E49">
        <w:rPr>
          <w:rFonts w:ascii="Arial" w:hAnsi="Arial" w:cs="Arial"/>
          <w:i/>
          <w:iCs/>
          <w:noProof/>
          <w:sz w:val="20"/>
          <w:szCs w:val="20"/>
        </w:rPr>
        <w:t>72</w:t>
      </w:r>
      <w:r w:rsidRPr="00406E49">
        <w:rPr>
          <w:rFonts w:ascii="Arial" w:hAnsi="Arial" w:cs="Arial"/>
          <w:noProof/>
          <w:sz w:val="20"/>
          <w:szCs w:val="20"/>
        </w:rPr>
        <w:t>(4), 1242–1248. https://doi.org/10.1016/j.ecoenv.2008.10.011</w:t>
      </w:r>
    </w:p>
    <w:p w14:paraId="33CA8A8E"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Ahmed, M. K., Baki, M. A., Islam, M. S., Kundu, G. K., Habibullah-Al-Mamun, M., Sarkar, S. K., &amp; Hossain, M. M. (2015). Human health risk assessment of heavy metals in tropical fish and shellfish collected from the river Buriganga, Bangladesh.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22</w:t>
      </w:r>
      <w:r w:rsidRPr="00406E49">
        <w:rPr>
          <w:rFonts w:ascii="Arial" w:hAnsi="Arial" w:cs="Arial"/>
          <w:noProof/>
          <w:sz w:val="20"/>
          <w:szCs w:val="20"/>
        </w:rPr>
        <w:t>(20), 15880–15890. https://doi.org/https://doi.org/10.1007/s11356-015-4813-z</w:t>
      </w:r>
    </w:p>
    <w:p w14:paraId="7C323423"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Alhashemi, A. H., Karbassi, A., Kiabi, B. H., Monavari, S. M., &amp; Sekhavatjou, M. S. (2012). Bioaccumulation of trace elements in different tissues of three commonly available fish species regarding their gender, gonadosomatic index, and condition factor in a wetland ecosystem.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184</w:t>
      </w:r>
      <w:r w:rsidRPr="00406E49">
        <w:rPr>
          <w:rFonts w:ascii="Arial" w:hAnsi="Arial" w:cs="Arial"/>
          <w:noProof/>
          <w:sz w:val="20"/>
          <w:szCs w:val="20"/>
        </w:rPr>
        <w:t>(4), 1865–1878. https://doi.org/http://dx.doi.org/10.1007/s10661-011-2085-8</w:t>
      </w:r>
    </w:p>
    <w:p w14:paraId="2D0718A7"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Alinnor, I., Obiji, I. (2010). Assessment of trace metal composition in fish samples from Nworie River. Pakistan (pp. 81–85). </w:t>
      </w:r>
      <w:r w:rsidRPr="00406E49">
        <w:rPr>
          <w:rFonts w:ascii="Arial" w:hAnsi="Arial" w:cs="Arial"/>
          <w:i/>
          <w:iCs/>
          <w:noProof/>
          <w:sz w:val="20"/>
          <w:szCs w:val="20"/>
        </w:rPr>
        <w:t>Pakistan Journal of Nutrition</w:t>
      </w:r>
      <w:r w:rsidRPr="00406E49">
        <w:rPr>
          <w:rFonts w:ascii="Arial" w:hAnsi="Arial" w:cs="Arial"/>
          <w:noProof/>
          <w:sz w:val="20"/>
          <w:szCs w:val="20"/>
        </w:rPr>
        <w:t>. https://doi.org/https://doi.org/10.3923/pjn.2010.81.85</w:t>
      </w:r>
    </w:p>
    <w:p w14:paraId="044994EA" w14:textId="77777777" w:rsidR="000A7347"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Aytekin, T., Kargın, D., Çoğun, H. Y., Temiz, Ö., Varkal, H. S., &amp; Kargın, F. (2019). Accumulation and health risk assessment of heavy metals in tissues of the shrimp and fish species from the Yumurtalik coast of Iskenderun Gulf, Turkey. </w:t>
      </w:r>
      <w:r w:rsidRPr="00406E49">
        <w:rPr>
          <w:rFonts w:ascii="Arial" w:hAnsi="Arial" w:cs="Arial"/>
          <w:i/>
          <w:iCs/>
          <w:noProof/>
          <w:sz w:val="20"/>
          <w:szCs w:val="20"/>
        </w:rPr>
        <w:t>Heliyon</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(8). https://doi.org/10.1016/j.heliyon.2019.e02131</w:t>
      </w:r>
    </w:p>
    <w:p w14:paraId="76076CD4" w14:textId="77777777" w:rsidR="001327C7" w:rsidRPr="00406E49" w:rsidRDefault="001327C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Baboli, M., &amp; Velayatzadeh, M. (2013). Determination of heavy metals and trace elements in the muscles of marine shrimp, </w:t>
      </w:r>
      <w:r w:rsidRPr="00406E49">
        <w:rPr>
          <w:rFonts w:ascii="Arial" w:hAnsi="Arial" w:cs="Arial"/>
          <w:i/>
          <w:iCs/>
          <w:noProof/>
          <w:sz w:val="20"/>
          <w:szCs w:val="20"/>
        </w:rPr>
        <w:t>Fenneropenaeus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from Persian Gulf, Iran. </w:t>
      </w:r>
      <w:r w:rsidRPr="00406E49">
        <w:rPr>
          <w:rFonts w:ascii="Arial" w:hAnsi="Arial" w:cs="Arial"/>
          <w:i/>
          <w:iCs/>
          <w:noProof/>
          <w:sz w:val="20"/>
          <w:szCs w:val="20"/>
        </w:rPr>
        <w:t>Journal of Animal and Plant Sciences</w:t>
      </w:r>
      <w:r w:rsidRPr="00406E49">
        <w:rPr>
          <w:rFonts w:ascii="Arial" w:hAnsi="Arial" w:cs="Arial"/>
          <w:noProof/>
          <w:sz w:val="20"/>
          <w:szCs w:val="20"/>
        </w:rPr>
        <w:t xml:space="preserve">, </w:t>
      </w:r>
      <w:r w:rsidRPr="00406E49">
        <w:rPr>
          <w:rFonts w:ascii="Arial" w:hAnsi="Arial" w:cs="Arial"/>
          <w:i/>
          <w:iCs/>
          <w:noProof/>
          <w:sz w:val="20"/>
          <w:szCs w:val="20"/>
        </w:rPr>
        <w:t>23</w:t>
      </w:r>
      <w:r w:rsidRPr="00406E49">
        <w:rPr>
          <w:rFonts w:ascii="Arial" w:hAnsi="Arial" w:cs="Arial"/>
          <w:noProof/>
          <w:sz w:val="20"/>
          <w:szCs w:val="20"/>
        </w:rPr>
        <w:t>(3), 786–791.</w:t>
      </w:r>
    </w:p>
    <w:p w14:paraId="15E28B1C"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Bogdanovic T, Ujevic I, Sedak M, Listeš E, Šimat V, Petricevic S, P., &amp; V. (2014). As, cd, hg and Pb in four edible shellfish species from breeding and harvesting areas along the eastern Adriatic coast, Croatia. </w:t>
      </w:r>
      <w:r w:rsidRPr="00406E49">
        <w:rPr>
          <w:rFonts w:ascii="Arial" w:hAnsi="Arial" w:cs="Arial"/>
          <w:i/>
          <w:iCs/>
          <w:noProof/>
          <w:sz w:val="20"/>
          <w:szCs w:val="20"/>
        </w:rPr>
        <w:t>Food Chem</w:t>
      </w:r>
      <w:r w:rsidRPr="00406E49">
        <w:rPr>
          <w:rFonts w:ascii="Arial" w:hAnsi="Arial" w:cs="Arial"/>
          <w:noProof/>
          <w:sz w:val="20"/>
          <w:szCs w:val="20"/>
        </w:rPr>
        <w:t xml:space="preserve">, </w:t>
      </w:r>
      <w:r w:rsidRPr="00406E49">
        <w:rPr>
          <w:rFonts w:ascii="Arial" w:hAnsi="Arial" w:cs="Arial"/>
          <w:i/>
          <w:iCs/>
          <w:noProof/>
          <w:sz w:val="20"/>
          <w:szCs w:val="20"/>
        </w:rPr>
        <w:t>146</w:t>
      </w:r>
      <w:r w:rsidRPr="00406E49">
        <w:rPr>
          <w:rFonts w:ascii="Arial" w:hAnsi="Arial" w:cs="Arial"/>
          <w:noProof/>
          <w:sz w:val="20"/>
          <w:szCs w:val="20"/>
        </w:rPr>
        <w:t>, 197–203.</w:t>
      </w:r>
    </w:p>
    <w:p w14:paraId="2EFF6A32" w14:textId="77777777" w:rsidR="000A7347"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Bryan, G. W., &amp; Langston, W. J. (1992). Bioavailability, accumulation and effects of heavy metals in sediments with special reference to United Kingdom estuaries: a review. </w:t>
      </w:r>
      <w:r w:rsidRPr="00406E49">
        <w:rPr>
          <w:rFonts w:ascii="Arial" w:hAnsi="Arial" w:cs="Arial"/>
          <w:i/>
          <w:iCs/>
          <w:noProof/>
          <w:sz w:val="20"/>
          <w:szCs w:val="20"/>
        </w:rPr>
        <w:t>Environmental Pollution</w:t>
      </w:r>
      <w:r w:rsidRPr="00406E49">
        <w:rPr>
          <w:rFonts w:ascii="Arial" w:hAnsi="Arial" w:cs="Arial"/>
          <w:noProof/>
          <w:sz w:val="20"/>
          <w:szCs w:val="20"/>
        </w:rPr>
        <w:t xml:space="preserve">, </w:t>
      </w:r>
      <w:r w:rsidRPr="00406E49">
        <w:rPr>
          <w:rFonts w:ascii="Arial" w:hAnsi="Arial" w:cs="Arial"/>
          <w:i/>
          <w:iCs/>
          <w:noProof/>
          <w:sz w:val="20"/>
          <w:szCs w:val="20"/>
        </w:rPr>
        <w:lastRenderedPageBreak/>
        <w:t>76</w:t>
      </w:r>
      <w:r w:rsidRPr="00406E49">
        <w:rPr>
          <w:rFonts w:ascii="Arial" w:hAnsi="Arial" w:cs="Arial"/>
          <w:noProof/>
          <w:sz w:val="20"/>
          <w:szCs w:val="20"/>
        </w:rPr>
        <w:t>(2), 89–131. https://doi.org/https://doi.org/10.1016/0269-7491(92)90099-v</w:t>
      </w:r>
    </w:p>
    <w:p w14:paraId="30BB1DEF" w14:textId="77777777" w:rsidR="001327C7" w:rsidRPr="00406E49" w:rsidRDefault="001327C7" w:rsidP="0004686A">
      <w:pPr>
        <w:widowControl w:val="0"/>
        <w:autoSpaceDE w:val="0"/>
        <w:autoSpaceDN w:val="0"/>
        <w:adjustRightInd w:val="0"/>
        <w:spacing w:line="240" w:lineRule="auto"/>
        <w:ind w:left="480" w:hanging="480"/>
        <w:jc w:val="both"/>
        <w:rPr>
          <w:rFonts w:ascii="Arial" w:hAnsi="Arial" w:cs="Arial"/>
          <w:noProof/>
          <w:sz w:val="20"/>
          <w:szCs w:val="20"/>
        </w:rPr>
      </w:pPr>
    </w:p>
    <w:p w14:paraId="1799BC69"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Chelladurai, G., &amp; Uma, V. (2020). </w:t>
      </w:r>
      <w:r w:rsidRPr="00406E49">
        <w:rPr>
          <w:rFonts w:ascii="Arial" w:hAnsi="Arial" w:cs="Arial"/>
          <w:i/>
          <w:iCs/>
          <w:noProof/>
          <w:sz w:val="20"/>
          <w:szCs w:val="20"/>
        </w:rPr>
        <w:t>Babylonia</w:t>
      </w:r>
      <w:r w:rsidRPr="00406E49">
        <w:rPr>
          <w:rFonts w:ascii="Arial" w:hAnsi="Arial" w:cs="Arial"/>
          <w:noProof/>
          <w:sz w:val="20"/>
          <w:szCs w:val="20"/>
        </w:rPr>
        <w:t xml:space="preserve"> </w:t>
      </w:r>
      <w:r w:rsidRPr="00406E49">
        <w:rPr>
          <w:rFonts w:ascii="Arial" w:hAnsi="Arial" w:cs="Arial"/>
          <w:i/>
          <w:iCs/>
          <w:noProof/>
          <w:sz w:val="20"/>
          <w:szCs w:val="20"/>
        </w:rPr>
        <w:t>spirata</w:t>
      </w:r>
      <w:r w:rsidRPr="00406E49">
        <w:rPr>
          <w:rFonts w:ascii="Arial" w:hAnsi="Arial" w:cs="Arial"/>
          <w:noProof/>
          <w:sz w:val="20"/>
          <w:szCs w:val="20"/>
        </w:rPr>
        <w:t xml:space="preserve"> (Linnaeus, 1758) on biochemical and nutritional composition levels are altered by </w:t>
      </w:r>
      <w:r w:rsidRPr="00406E49">
        <w:rPr>
          <w:rFonts w:ascii="Arial" w:hAnsi="Arial" w:cs="Arial"/>
          <w:i/>
          <w:iCs/>
          <w:noProof/>
          <w:sz w:val="20"/>
          <w:szCs w:val="20"/>
        </w:rPr>
        <w:t>Aeromonas</w:t>
      </w:r>
      <w:r w:rsidRPr="00406E49">
        <w:rPr>
          <w:rFonts w:ascii="Arial" w:hAnsi="Arial" w:cs="Arial"/>
          <w:noProof/>
          <w:sz w:val="20"/>
          <w:szCs w:val="20"/>
        </w:rPr>
        <w:t xml:space="preserve"> </w:t>
      </w:r>
      <w:r w:rsidRPr="00406E49">
        <w:rPr>
          <w:rFonts w:ascii="Arial" w:hAnsi="Arial" w:cs="Arial"/>
          <w:i/>
          <w:iCs/>
          <w:noProof/>
          <w:sz w:val="20"/>
          <w:szCs w:val="20"/>
        </w:rPr>
        <w:t>hydrophila</w:t>
      </w:r>
      <w:r w:rsidRPr="00406E49">
        <w:rPr>
          <w:rFonts w:ascii="Arial" w:hAnsi="Arial" w:cs="Arial"/>
          <w:noProof/>
          <w:sz w:val="20"/>
          <w:szCs w:val="20"/>
        </w:rPr>
        <w:t xml:space="preserve"> infection. </w:t>
      </w:r>
      <w:r w:rsidRPr="00406E49">
        <w:rPr>
          <w:rFonts w:ascii="Arial" w:hAnsi="Arial" w:cs="Arial"/>
          <w:i/>
          <w:iCs/>
          <w:noProof/>
          <w:sz w:val="20"/>
          <w:szCs w:val="20"/>
        </w:rPr>
        <w:t>Biochemistry and Biophysics Reports</w:t>
      </w:r>
      <w:r w:rsidRPr="00406E49">
        <w:rPr>
          <w:rFonts w:ascii="Arial" w:hAnsi="Arial" w:cs="Arial"/>
          <w:noProof/>
          <w:sz w:val="20"/>
          <w:szCs w:val="20"/>
        </w:rPr>
        <w:t xml:space="preserve">, </w:t>
      </w:r>
      <w:r w:rsidRPr="00406E49">
        <w:rPr>
          <w:rFonts w:ascii="Arial" w:hAnsi="Arial" w:cs="Arial"/>
          <w:i/>
          <w:iCs/>
          <w:noProof/>
          <w:sz w:val="20"/>
          <w:szCs w:val="20"/>
        </w:rPr>
        <w:t>22</w:t>
      </w:r>
      <w:r w:rsidRPr="00406E49">
        <w:rPr>
          <w:rFonts w:ascii="Arial" w:hAnsi="Arial" w:cs="Arial"/>
          <w:noProof/>
          <w:sz w:val="20"/>
          <w:szCs w:val="20"/>
        </w:rPr>
        <w:t>(November 2019), 100746. https://doi.org/10.1016/j.bbrep.2020.100746</w:t>
      </w:r>
    </w:p>
    <w:p w14:paraId="7FDDBD1E"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Cohen, T., Hee, S. S. Q., &amp; Ambrose, R. F. (2001). Trace metals in fish and invertebrates of three California Coastal Wetlands. </w:t>
      </w:r>
      <w:r w:rsidRPr="00406E49">
        <w:rPr>
          <w:rFonts w:ascii="Arial" w:hAnsi="Arial" w:cs="Arial"/>
          <w:i/>
          <w:iCs/>
          <w:noProof/>
          <w:sz w:val="20"/>
          <w:szCs w:val="20"/>
        </w:rPr>
        <w:t>Marine Pollution Bulletin</w:t>
      </w:r>
      <w:r w:rsidRPr="00406E49">
        <w:rPr>
          <w:rFonts w:ascii="Arial" w:hAnsi="Arial" w:cs="Arial"/>
          <w:noProof/>
          <w:sz w:val="20"/>
          <w:szCs w:val="20"/>
        </w:rPr>
        <w:t xml:space="preserve">, </w:t>
      </w:r>
      <w:r w:rsidRPr="00406E49">
        <w:rPr>
          <w:rFonts w:ascii="Arial" w:hAnsi="Arial" w:cs="Arial"/>
          <w:i/>
          <w:iCs/>
          <w:noProof/>
          <w:sz w:val="20"/>
          <w:szCs w:val="20"/>
        </w:rPr>
        <w:t>42</w:t>
      </w:r>
      <w:r w:rsidRPr="00406E49">
        <w:rPr>
          <w:rFonts w:ascii="Arial" w:hAnsi="Arial" w:cs="Arial"/>
          <w:noProof/>
          <w:sz w:val="20"/>
          <w:szCs w:val="20"/>
        </w:rPr>
        <w:t>(3), 224–232. https://doi.org/http://dx.doi.org/10.1016/s0025-326x(00)00146-6</w:t>
      </w:r>
    </w:p>
    <w:p w14:paraId="78AD11D8" w14:textId="77777777" w:rsidR="000A7347"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Darmono, D., &amp; Denton, G. R. W. (1990). Heavy metal concentrations in the banana prawn,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and leader prawn, P. monodon, in the townsv region of Australia.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44</w:t>
      </w:r>
      <w:r w:rsidRPr="00406E49">
        <w:rPr>
          <w:rFonts w:ascii="Arial" w:hAnsi="Arial" w:cs="Arial"/>
          <w:noProof/>
          <w:sz w:val="20"/>
          <w:szCs w:val="20"/>
        </w:rPr>
        <w:t>(3), 479–486. https://doi.org/10.1007/BF01701233</w:t>
      </w:r>
    </w:p>
    <w:p w14:paraId="0AE76FF1" w14:textId="65D37EFA" w:rsidR="00422E9A" w:rsidRDefault="00422E9A" w:rsidP="0004686A">
      <w:pPr>
        <w:widowControl w:val="0"/>
        <w:autoSpaceDE w:val="0"/>
        <w:autoSpaceDN w:val="0"/>
        <w:adjustRightInd w:val="0"/>
        <w:spacing w:line="240" w:lineRule="auto"/>
        <w:ind w:left="480" w:hanging="480"/>
        <w:jc w:val="both"/>
        <w:rPr>
          <w:rFonts w:ascii="Arial" w:hAnsi="Arial" w:cs="Arial"/>
          <w:noProof/>
          <w:sz w:val="20"/>
          <w:szCs w:val="20"/>
        </w:rPr>
      </w:pPr>
      <w:r w:rsidRPr="00422E9A">
        <w:rPr>
          <w:rFonts w:ascii="Arial" w:hAnsi="Arial" w:cs="Arial"/>
          <w:noProof/>
          <w:sz w:val="20"/>
          <w:szCs w:val="20"/>
        </w:rPr>
        <w:t xml:space="preserve">Draz, A., Qazi, M. A., Hussain, T., Ahmad, O., Nazir, M. M., Bhatti, M. B., Hussain, N., &amp; Sherzada, S. (2025). Heavy metals concentration and human health risk assessment in selected shrimp species of Pakistan. </w:t>
      </w:r>
      <w:r w:rsidRPr="00422E9A">
        <w:rPr>
          <w:rFonts w:ascii="Arial" w:hAnsi="Arial" w:cs="Arial"/>
          <w:i/>
          <w:iCs/>
          <w:noProof/>
          <w:sz w:val="20"/>
          <w:szCs w:val="20"/>
        </w:rPr>
        <w:t>Food Additives &amp; Contaminants:</w:t>
      </w:r>
      <w:r w:rsidRPr="00422E9A">
        <w:rPr>
          <w:rFonts w:ascii="Arial" w:hAnsi="Arial" w:cs="Arial"/>
          <w:noProof/>
          <w:sz w:val="20"/>
          <w:szCs w:val="20"/>
        </w:rPr>
        <w:t xml:space="preserve"> Part B, 18(1), 78–85. https://doi.org/10.1080/19393210.2024.2434678</w:t>
      </w:r>
    </w:p>
    <w:p w14:paraId="16EC7FD7" w14:textId="3ED7C655" w:rsidR="00B52ECF" w:rsidRPr="00406E49" w:rsidRDefault="00B52ECF" w:rsidP="0004686A">
      <w:pPr>
        <w:widowControl w:val="0"/>
        <w:autoSpaceDE w:val="0"/>
        <w:autoSpaceDN w:val="0"/>
        <w:adjustRightInd w:val="0"/>
        <w:spacing w:line="240" w:lineRule="auto"/>
        <w:ind w:left="480" w:hanging="480"/>
        <w:jc w:val="both"/>
        <w:rPr>
          <w:rFonts w:ascii="Arial" w:hAnsi="Arial" w:cs="Arial"/>
          <w:noProof/>
          <w:sz w:val="20"/>
          <w:szCs w:val="20"/>
        </w:rPr>
      </w:pPr>
      <w:r>
        <w:rPr>
          <w:rFonts w:ascii="Arial" w:hAnsi="Arial" w:cs="Arial"/>
          <w:noProof/>
          <w:sz w:val="20"/>
          <w:szCs w:val="20"/>
        </w:rPr>
        <w:t>Derrick</w:t>
      </w:r>
      <w:r w:rsidRPr="00B52ECF">
        <w:rPr>
          <w:rFonts w:ascii="Arial" w:hAnsi="Arial" w:cs="Arial"/>
          <w:noProof/>
          <w:sz w:val="20"/>
          <w:szCs w:val="20"/>
        </w:rPr>
        <w:t xml:space="preserve"> A. (2025). Understanding the detrimental effects of heavy metals on shrimp physiology and aquaculture sustainability. </w:t>
      </w:r>
      <w:r w:rsidRPr="00B52ECF">
        <w:rPr>
          <w:rFonts w:ascii="Arial" w:hAnsi="Arial" w:cs="Arial"/>
          <w:i/>
          <w:iCs/>
          <w:noProof/>
          <w:sz w:val="20"/>
          <w:szCs w:val="20"/>
        </w:rPr>
        <w:t>Annals of Animal Science</w:t>
      </w:r>
      <w:r w:rsidRPr="00B52ECF">
        <w:rPr>
          <w:rFonts w:ascii="Arial" w:hAnsi="Arial" w:cs="Arial"/>
          <w:noProof/>
          <w:sz w:val="20"/>
          <w:szCs w:val="20"/>
        </w:rPr>
        <w:t>. https://doi.org/10.2478/aoas-2024-0041</w:t>
      </w:r>
    </w:p>
    <w:p w14:paraId="229285AE"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E.C European Community. (2005). Commission Regulation No 78/2005 (pp. L16/43–L16/45). </w:t>
      </w:r>
      <w:r w:rsidRPr="00406E49">
        <w:rPr>
          <w:rFonts w:ascii="Arial" w:hAnsi="Arial" w:cs="Arial"/>
          <w:i/>
          <w:iCs/>
          <w:noProof/>
          <w:sz w:val="20"/>
          <w:szCs w:val="20"/>
        </w:rPr>
        <w:t>Official Journal of the European Union</w:t>
      </w:r>
      <w:r w:rsidRPr="00406E49">
        <w:rPr>
          <w:rFonts w:ascii="Arial" w:hAnsi="Arial" w:cs="Arial"/>
          <w:noProof/>
          <w:sz w:val="20"/>
          <w:szCs w:val="20"/>
        </w:rPr>
        <w:t xml:space="preserve">, </w:t>
      </w:r>
      <w:r w:rsidRPr="00406E49">
        <w:rPr>
          <w:rFonts w:ascii="Arial" w:hAnsi="Arial" w:cs="Arial"/>
          <w:i/>
          <w:iCs/>
          <w:noProof/>
          <w:sz w:val="20"/>
          <w:szCs w:val="20"/>
        </w:rPr>
        <w:t>(20.1.2005</w:t>
      </w:r>
      <w:r w:rsidRPr="00406E49">
        <w:rPr>
          <w:rFonts w:ascii="Arial" w:hAnsi="Arial" w:cs="Arial"/>
          <w:noProof/>
          <w:sz w:val="20"/>
          <w:szCs w:val="20"/>
        </w:rPr>
        <w:t>. https://doi.org/http://data.europa.eu/eli/reg/2005/78/oj</w:t>
      </w:r>
    </w:p>
    <w:p w14:paraId="6A1F2193"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European Union E.U. (2001). Commission Regulation as regards heavy metals, Directive. 2001/22/EC, No: 466.</w:t>
      </w:r>
    </w:p>
    <w:p w14:paraId="4757FB8A"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Fakhri, Y., Saha, N., Ghanbari, S., Rasouli, M., Miri, A., Avazpour, M., Rahimizadeh, A., Riahi, S. M., Ghaderpoori, M., Keramati, H., Moradi, B., Amanidaz, N., &amp; Mousavi Khaneghah, A. (2018). Carcinogenic and non-carcinogenic health risks of metal</w:t>
      </w:r>
      <w:r w:rsidR="00857463" w:rsidRPr="00406E49">
        <w:rPr>
          <w:rFonts w:ascii="Arial" w:hAnsi="Arial" w:cs="Arial"/>
          <w:noProof/>
          <w:sz w:val="20"/>
          <w:szCs w:val="20"/>
        </w:rPr>
        <w:t xml:space="preserve"> </w:t>
      </w:r>
      <w:r w:rsidRPr="00406E49">
        <w:rPr>
          <w:rFonts w:ascii="Arial" w:hAnsi="Arial" w:cs="Arial"/>
          <w:noProof/>
          <w:sz w:val="20"/>
          <w:szCs w:val="20"/>
        </w:rPr>
        <w:t xml:space="preserve">(oid)s in tap water from Ilam city, Iran. </w:t>
      </w:r>
      <w:r w:rsidRPr="00406E49">
        <w:rPr>
          <w:rFonts w:ascii="Arial" w:hAnsi="Arial" w:cs="Arial"/>
          <w:i/>
          <w:iCs/>
          <w:noProof/>
          <w:sz w:val="20"/>
          <w:szCs w:val="20"/>
        </w:rPr>
        <w:t>Food and Chemical Toxicology</w:t>
      </w:r>
      <w:r w:rsidRPr="00406E49">
        <w:rPr>
          <w:rFonts w:ascii="Arial" w:hAnsi="Arial" w:cs="Arial"/>
          <w:noProof/>
          <w:sz w:val="20"/>
          <w:szCs w:val="20"/>
        </w:rPr>
        <w:t xml:space="preserve">, </w:t>
      </w:r>
      <w:r w:rsidRPr="00406E49">
        <w:rPr>
          <w:rFonts w:ascii="Arial" w:hAnsi="Arial" w:cs="Arial"/>
          <w:i/>
          <w:iCs/>
          <w:noProof/>
          <w:sz w:val="20"/>
          <w:szCs w:val="20"/>
        </w:rPr>
        <w:t>118</w:t>
      </w:r>
      <w:r w:rsidRPr="00406E49">
        <w:rPr>
          <w:rFonts w:ascii="Arial" w:hAnsi="Arial" w:cs="Arial"/>
          <w:noProof/>
          <w:sz w:val="20"/>
          <w:szCs w:val="20"/>
        </w:rPr>
        <w:t>, 204–211. https://doi.org/10.1016/j.fct.2018.04.039</w:t>
      </w:r>
    </w:p>
    <w:p w14:paraId="1559AFA2"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FAO. (1983). Compilation of legal limits for hazardous substances in fish and fishery products. </w:t>
      </w:r>
      <w:r w:rsidRPr="00406E49">
        <w:rPr>
          <w:rFonts w:ascii="Arial" w:hAnsi="Arial" w:cs="Arial"/>
          <w:i/>
          <w:iCs/>
          <w:noProof/>
          <w:sz w:val="20"/>
          <w:szCs w:val="20"/>
        </w:rPr>
        <w:t>FAO Fish Circ</w:t>
      </w:r>
      <w:r w:rsidRPr="00406E49">
        <w:rPr>
          <w:rFonts w:ascii="Arial" w:hAnsi="Arial" w:cs="Arial"/>
          <w:noProof/>
          <w:sz w:val="20"/>
          <w:szCs w:val="20"/>
        </w:rPr>
        <w:t xml:space="preserve">, </w:t>
      </w:r>
      <w:r w:rsidRPr="00406E49">
        <w:rPr>
          <w:rFonts w:ascii="Arial" w:hAnsi="Arial" w:cs="Arial"/>
          <w:i/>
          <w:iCs/>
          <w:noProof/>
          <w:sz w:val="20"/>
          <w:szCs w:val="20"/>
        </w:rPr>
        <w:t>764</w:t>
      </w:r>
      <w:r w:rsidRPr="00406E49">
        <w:rPr>
          <w:rFonts w:ascii="Arial" w:hAnsi="Arial" w:cs="Arial"/>
          <w:noProof/>
          <w:sz w:val="20"/>
          <w:szCs w:val="20"/>
        </w:rPr>
        <w:t>, 5–100. https://doi.org/https://trove.nla.gov.au/version/22206109</w:t>
      </w:r>
    </w:p>
    <w:p w14:paraId="2CB38CCE"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Genç and Yilmaz. (2017). Metal ccumulations in water, sediment, crab (</w:t>
      </w:r>
      <w:r w:rsidRPr="00406E49">
        <w:rPr>
          <w:rFonts w:ascii="Arial" w:hAnsi="Arial" w:cs="Arial"/>
          <w:i/>
          <w:iCs/>
          <w:noProof/>
          <w:sz w:val="20"/>
          <w:szCs w:val="20"/>
        </w:rPr>
        <w:t>Callinectes</w:t>
      </w:r>
      <w:r w:rsidRPr="00406E49">
        <w:rPr>
          <w:rFonts w:ascii="Arial" w:hAnsi="Arial" w:cs="Arial"/>
          <w:noProof/>
          <w:sz w:val="20"/>
          <w:szCs w:val="20"/>
        </w:rPr>
        <w:t xml:space="preserve"> </w:t>
      </w:r>
      <w:r w:rsidRPr="00406E49">
        <w:rPr>
          <w:rFonts w:ascii="Arial" w:hAnsi="Arial" w:cs="Arial"/>
          <w:i/>
          <w:iCs/>
          <w:noProof/>
          <w:sz w:val="20"/>
          <w:szCs w:val="20"/>
        </w:rPr>
        <w:t>sapidus</w:t>
      </w:r>
      <w:r w:rsidRPr="00406E49">
        <w:rPr>
          <w:rFonts w:ascii="Arial" w:hAnsi="Arial" w:cs="Arial"/>
          <w:noProof/>
          <w:sz w:val="20"/>
          <w:szCs w:val="20"/>
        </w:rPr>
        <w:t>) and two fish species (</w:t>
      </w:r>
      <w:r w:rsidRPr="00406E49">
        <w:rPr>
          <w:rFonts w:ascii="Arial" w:hAnsi="Arial" w:cs="Arial"/>
          <w:i/>
          <w:iCs/>
          <w:noProof/>
          <w:sz w:val="20"/>
          <w:szCs w:val="20"/>
        </w:rPr>
        <w:t>Mugil</w:t>
      </w:r>
      <w:r w:rsidRPr="00406E49">
        <w:rPr>
          <w:rFonts w:ascii="Arial" w:hAnsi="Arial" w:cs="Arial"/>
          <w:noProof/>
          <w:sz w:val="20"/>
          <w:szCs w:val="20"/>
        </w:rPr>
        <w:t xml:space="preserve"> </w:t>
      </w:r>
      <w:r w:rsidRPr="00406E49">
        <w:rPr>
          <w:rFonts w:ascii="Arial" w:hAnsi="Arial" w:cs="Arial"/>
          <w:i/>
          <w:iCs/>
          <w:noProof/>
          <w:sz w:val="20"/>
          <w:szCs w:val="20"/>
        </w:rPr>
        <w:t>cephalus</w:t>
      </w:r>
      <w:r w:rsidRPr="00406E49">
        <w:rPr>
          <w:rFonts w:ascii="Arial" w:hAnsi="Arial" w:cs="Arial"/>
          <w:noProof/>
          <w:sz w:val="20"/>
          <w:szCs w:val="20"/>
        </w:rPr>
        <w:t xml:space="preserve"> and </w:t>
      </w:r>
      <w:r w:rsidRPr="00406E49">
        <w:rPr>
          <w:rFonts w:ascii="Arial" w:hAnsi="Arial" w:cs="Arial"/>
          <w:i/>
          <w:iCs/>
          <w:noProof/>
          <w:sz w:val="20"/>
          <w:szCs w:val="20"/>
        </w:rPr>
        <w:t>Anguilla</w:t>
      </w:r>
      <w:r w:rsidRPr="00406E49">
        <w:rPr>
          <w:rFonts w:ascii="Arial" w:hAnsi="Arial" w:cs="Arial"/>
          <w:noProof/>
          <w:sz w:val="20"/>
          <w:szCs w:val="20"/>
        </w:rPr>
        <w:t xml:space="preserve"> </w:t>
      </w:r>
      <w:r w:rsidRPr="00406E49">
        <w:rPr>
          <w:rFonts w:ascii="Arial" w:hAnsi="Arial" w:cs="Arial"/>
          <w:i/>
          <w:iCs/>
          <w:noProof/>
          <w:sz w:val="20"/>
          <w:szCs w:val="20"/>
        </w:rPr>
        <w:t>anguilla</w:t>
      </w:r>
      <w:r w:rsidRPr="00406E49">
        <w:rPr>
          <w:rFonts w:ascii="Arial" w:hAnsi="Arial" w:cs="Arial"/>
          <w:noProof/>
          <w:sz w:val="20"/>
          <w:szCs w:val="20"/>
        </w:rPr>
        <w:t xml:space="preserve">) from the K€oyce_giz Lagoon System–Turkey: an index analysis approach. </w:t>
      </w:r>
      <w:r w:rsidRPr="00406E49">
        <w:rPr>
          <w:rFonts w:ascii="Arial" w:hAnsi="Arial" w:cs="Arial"/>
          <w:i/>
          <w:iCs/>
          <w:noProof/>
          <w:sz w:val="20"/>
          <w:szCs w:val="20"/>
        </w:rPr>
        <w:t>Bull. Environ. Contam. Toxicol.</w:t>
      </w:r>
      <w:r w:rsidRPr="00406E49">
        <w:rPr>
          <w:rFonts w:ascii="Arial" w:hAnsi="Arial" w:cs="Arial"/>
          <w:noProof/>
          <w:sz w:val="20"/>
          <w:szCs w:val="20"/>
        </w:rPr>
        <w:t xml:space="preserve">, </w:t>
      </w:r>
      <w:r w:rsidRPr="00406E49">
        <w:rPr>
          <w:rFonts w:ascii="Arial" w:hAnsi="Arial" w:cs="Arial"/>
          <w:i/>
          <w:iCs/>
          <w:noProof/>
          <w:sz w:val="20"/>
          <w:szCs w:val="20"/>
        </w:rPr>
        <w:t>99</w:t>
      </w:r>
      <w:r w:rsidRPr="00406E49">
        <w:rPr>
          <w:rFonts w:ascii="Arial" w:hAnsi="Arial" w:cs="Arial"/>
          <w:noProof/>
          <w:sz w:val="20"/>
          <w:szCs w:val="20"/>
        </w:rPr>
        <w:t>, 173–181.</w:t>
      </w:r>
    </w:p>
    <w:p w14:paraId="7F2D8217"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Ginsberg, G. L., &amp; Toal, B. F. (2009). Quantitative approach for incorporating methylmercury risks and omega-3 fatty acid benefits in developing species-specific fish consumption advice. </w:t>
      </w:r>
      <w:r w:rsidRPr="00406E49">
        <w:rPr>
          <w:rFonts w:ascii="Arial" w:hAnsi="Arial" w:cs="Arial"/>
          <w:i/>
          <w:iCs/>
          <w:noProof/>
          <w:sz w:val="20"/>
          <w:szCs w:val="20"/>
        </w:rPr>
        <w:t>Environmental Health Perspectives</w:t>
      </w:r>
      <w:r w:rsidRPr="00406E49">
        <w:rPr>
          <w:rFonts w:ascii="Arial" w:hAnsi="Arial" w:cs="Arial"/>
          <w:noProof/>
          <w:sz w:val="20"/>
          <w:szCs w:val="20"/>
        </w:rPr>
        <w:t xml:space="preserve">, </w:t>
      </w:r>
      <w:r w:rsidRPr="00406E49">
        <w:rPr>
          <w:rFonts w:ascii="Arial" w:hAnsi="Arial" w:cs="Arial"/>
          <w:i/>
          <w:iCs/>
          <w:noProof/>
          <w:sz w:val="20"/>
          <w:szCs w:val="20"/>
        </w:rPr>
        <w:t>117</w:t>
      </w:r>
      <w:r w:rsidRPr="00406E49">
        <w:rPr>
          <w:rFonts w:ascii="Arial" w:hAnsi="Arial" w:cs="Arial"/>
          <w:noProof/>
          <w:sz w:val="20"/>
          <w:szCs w:val="20"/>
        </w:rPr>
        <w:t>(2), 267–275. https://doi.org/10.1289/ehp.11368</w:t>
      </w:r>
    </w:p>
    <w:p w14:paraId="0FE4A298"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Glamuzina, I. (2009). Integralni planovi razvoja školjkarstva. Podrucˇja Malostonskog zaljeva, ušc’a rijeke Krke i akvatorija sjeverozapadnog dijela Zadarske zˇupanije.</w:t>
      </w:r>
    </w:p>
    <w:p w14:paraId="513E6CF8"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Gong, Y., Chai, M., Ding, H., Shi, C., Wang, Y., &amp; Li, R. (2020). Bioaccumulation and human health risk of shellfish contamination to heavy metals and As in most rapid urbanized Shenzhen, China.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27</w:t>
      </w:r>
      <w:r w:rsidRPr="00406E49">
        <w:rPr>
          <w:rFonts w:ascii="Arial" w:hAnsi="Arial" w:cs="Arial"/>
          <w:noProof/>
          <w:sz w:val="20"/>
          <w:szCs w:val="20"/>
        </w:rPr>
        <w:t>(2), 2096–2106. https://doi.org/10.1007/s11356-019-06580-2</w:t>
      </w:r>
    </w:p>
    <w:p w14:paraId="62E7586F"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Guérin, T., Chekri, R., Vastel, C., Sirot, V., Volatier, J. L., Leblanc, J. C., &amp; Noël, L. (2011). Determination of 20 trace elements in fish and other seafood from the French market. </w:t>
      </w:r>
      <w:r w:rsidRPr="00406E49">
        <w:rPr>
          <w:rFonts w:ascii="Arial" w:hAnsi="Arial" w:cs="Arial"/>
          <w:i/>
          <w:iCs/>
          <w:noProof/>
          <w:sz w:val="20"/>
          <w:szCs w:val="20"/>
        </w:rPr>
        <w:t>Food Chemistry</w:t>
      </w:r>
      <w:r w:rsidRPr="00406E49">
        <w:rPr>
          <w:rFonts w:ascii="Arial" w:hAnsi="Arial" w:cs="Arial"/>
          <w:noProof/>
          <w:sz w:val="20"/>
          <w:szCs w:val="20"/>
        </w:rPr>
        <w:t xml:space="preserve">, </w:t>
      </w:r>
      <w:r w:rsidRPr="00406E49">
        <w:rPr>
          <w:rFonts w:ascii="Arial" w:hAnsi="Arial" w:cs="Arial"/>
          <w:i/>
          <w:iCs/>
          <w:noProof/>
          <w:sz w:val="20"/>
          <w:szCs w:val="20"/>
        </w:rPr>
        <w:t>127</w:t>
      </w:r>
      <w:r w:rsidRPr="00406E49">
        <w:rPr>
          <w:rFonts w:ascii="Arial" w:hAnsi="Arial" w:cs="Arial"/>
          <w:noProof/>
          <w:sz w:val="20"/>
          <w:szCs w:val="20"/>
        </w:rPr>
        <w:t>(3), 934–942. https://doi.org/10.1016/j.foodchem.2011.01.061</w:t>
      </w:r>
    </w:p>
    <w:p w14:paraId="60387B34"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Hoenig, M. (2001). Preparation steps in environmental trace element analysis - Facts and traps. </w:t>
      </w:r>
      <w:r w:rsidRPr="00406E49">
        <w:rPr>
          <w:rFonts w:ascii="Arial" w:hAnsi="Arial" w:cs="Arial"/>
          <w:i/>
          <w:iCs/>
          <w:noProof/>
          <w:sz w:val="20"/>
          <w:szCs w:val="20"/>
        </w:rPr>
        <w:t>Talanta</w:t>
      </w:r>
      <w:r w:rsidRPr="00406E49">
        <w:rPr>
          <w:rFonts w:ascii="Arial" w:hAnsi="Arial" w:cs="Arial"/>
          <w:noProof/>
          <w:sz w:val="20"/>
          <w:szCs w:val="20"/>
        </w:rPr>
        <w:t xml:space="preserve">, </w:t>
      </w:r>
      <w:r w:rsidRPr="00406E49">
        <w:rPr>
          <w:rFonts w:ascii="Arial" w:hAnsi="Arial" w:cs="Arial"/>
          <w:i/>
          <w:iCs/>
          <w:noProof/>
          <w:sz w:val="20"/>
          <w:szCs w:val="20"/>
        </w:rPr>
        <w:t>54</w:t>
      </w:r>
      <w:r w:rsidRPr="00406E49">
        <w:rPr>
          <w:rFonts w:ascii="Arial" w:hAnsi="Arial" w:cs="Arial"/>
          <w:noProof/>
          <w:sz w:val="20"/>
          <w:szCs w:val="20"/>
        </w:rPr>
        <w:t>(6), 1021–1038. https://doi.org/http://dx.doi.org/10.1016/s0039-9140(01)00329-0</w:t>
      </w:r>
    </w:p>
    <w:p w14:paraId="71DB74C5"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IAEA-407. (2003). Trace Elements and methylmercury in fish tissue. 4. https://nucleus.iaea.org/rpst/Documents/rs_iaea-407.pdf</w:t>
      </w:r>
    </w:p>
    <w:p w14:paraId="0B1BA594" w14:textId="77777777" w:rsidR="003356DB" w:rsidRPr="00406E49" w:rsidRDefault="003356DB"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Idam, O. A., Elhashmi, Y. H., Musa, R. S.,  Babiker, M. S.,  Yousif, R. A., Sulieman, H. M. A. and </w:t>
      </w:r>
      <w:r w:rsidRPr="00406E49">
        <w:rPr>
          <w:rFonts w:ascii="Arial" w:hAnsi="Arial" w:cs="Arial"/>
          <w:noProof/>
          <w:sz w:val="20"/>
          <w:szCs w:val="20"/>
        </w:rPr>
        <w:lastRenderedPageBreak/>
        <w:t xml:space="preserve">Dowelmadina, I. M. M. (2020). Assessment of Some Heavy Metals in </w:t>
      </w:r>
      <w:r w:rsidRPr="00406E49">
        <w:rPr>
          <w:rFonts w:ascii="Arial" w:hAnsi="Arial" w:cs="Arial"/>
          <w:i/>
          <w:iCs/>
          <w:noProof/>
          <w:sz w:val="20"/>
          <w:szCs w:val="20"/>
        </w:rPr>
        <w:t>Oreochromis</w:t>
      </w:r>
      <w:r w:rsidRPr="00406E49">
        <w:rPr>
          <w:rFonts w:ascii="Arial" w:hAnsi="Arial" w:cs="Arial"/>
          <w:noProof/>
          <w:sz w:val="20"/>
          <w:szCs w:val="20"/>
        </w:rPr>
        <w:t xml:space="preserve"> </w:t>
      </w:r>
      <w:r w:rsidRPr="00406E49">
        <w:rPr>
          <w:rFonts w:ascii="Arial" w:hAnsi="Arial" w:cs="Arial"/>
          <w:i/>
          <w:iCs/>
          <w:noProof/>
          <w:sz w:val="20"/>
          <w:szCs w:val="20"/>
        </w:rPr>
        <w:t>niloticus</w:t>
      </w:r>
      <w:r w:rsidRPr="00406E49">
        <w:rPr>
          <w:rFonts w:ascii="Arial" w:hAnsi="Arial" w:cs="Arial"/>
          <w:noProof/>
          <w:sz w:val="20"/>
          <w:szCs w:val="20"/>
        </w:rPr>
        <w:t xml:space="preserve"> and </w:t>
      </w:r>
      <w:r w:rsidRPr="00406E49">
        <w:rPr>
          <w:rFonts w:ascii="Arial" w:hAnsi="Arial" w:cs="Arial"/>
          <w:i/>
          <w:iCs/>
          <w:noProof/>
          <w:sz w:val="20"/>
          <w:szCs w:val="20"/>
        </w:rPr>
        <w:t>Bagrus</w:t>
      </w:r>
      <w:r w:rsidRPr="00406E49">
        <w:rPr>
          <w:rFonts w:ascii="Arial" w:hAnsi="Arial" w:cs="Arial"/>
          <w:noProof/>
          <w:sz w:val="20"/>
          <w:szCs w:val="20"/>
        </w:rPr>
        <w:t xml:space="preserve"> </w:t>
      </w:r>
      <w:r w:rsidRPr="00406E49">
        <w:rPr>
          <w:rFonts w:ascii="Arial" w:hAnsi="Arial" w:cs="Arial"/>
          <w:i/>
          <w:iCs/>
          <w:noProof/>
          <w:sz w:val="20"/>
          <w:szCs w:val="20"/>
        </w:rPr>
        <w:t>bayad</w:t>
      </w:r>
      <w:r w:rsidRPr="00406E49">
        <w:rPr>
          <w:rFonts w:ascii="Arial" w:hAnsi="Arial" w:cs="Arial"/>
          <w:noProof/>
          <w:sz w:val="20"/>
          <w:szCs w:val="20"/>
        </w:rPr>
        <w:t xml:space="preserve">, from River Nile and Swamp Water, Sudan. </w:t>
      </w:r>
      <w:r w:rsidRPr="00406E49">
        <w:rPr>
          <w:rFonts w:ascii="Arial" w:hAnsi="Arial" w:cs="Arial"/>
          <w:i/>
          <w:iCs/>
          <w:noProof/>
          <w:sz w:val="20"/>
          <w:szCs w:val="20"/>
        </w:rPr>
        <w:t>Journal of Aquatic Science and Marine Biology</w:t>
      </w:r>
      <w:r w:rsidRPr="00406E49">
        <w:rPr>
          <w:rFonts w:ascii="Arial" w:hAnsi="Arial" w:cs="Arial"/>
          <w:noProof/>
          <w:sz w:val="20"/>
          <w:szCs w:val="20"/>
        </w:rPr>
        <w:t>, 3, (2), Pp. 18-25, ISSN 2638-5481</w:t>
      </w:r>
    </w:p>
    <w:p w14:paraId="5E79FF8B"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Jibiri N.N. and Adewuyi, G. O. (2008). Rad</w:t>
      </w:r>
      <w:r w:rsidR="00857463" w:rsidRPr="00406E49">
        <w:rPr>
          <w:rFonts w:ascii="Arial" w:hAnsi="Arial" w:cs="Arial"/>
          <w:noProof/>
          <w:sz w:val="20"/>
          <w:szCs w:val="20"/>
        </w:rPr>
        <w:t>ionuclide contents and physico-</w:t>
      </w:r>
      <w:r w:rsidRPr="00406E49">
        <w:rPr>
          <w:rFonts w:ascii="Arial" w:hAnsi="Arial" w:cs="Arial"/>
          <w:noProof/>
          <w:sz w:val="20"/>
          <w:szCs w:val="20"/>
        </w:rPr>
        <w:t xml:space="preserve">chemical characterization of solid waste and effluent samples of some selected industries in the city of Lagos, Nigeria. </w:t>
      </w:r>
      <w:r w:rsidRPr="00406E49">
        <w:rPr>
          <w:rFonts w:ascii="Arial" w:hAnsi="Arial" w:cs="Arial"/>
          <w:i/>
          <w:iCs/>
          <w:noProof/>
          <w:sz w:val="20"/>
          <w:szCs w:val="20"/>
        </w:rPr>
        <w:t>Radioprotection</w:t>
      </w:r>
      <w:r w:rsidRPr="00406E49">
        <w:rPr>
          <w:rFonts w:ascii="Arial" w:hAnsi="Arial" w:cs="Arial"/>
          <w:noProof/>
          <w:sz w:val="20"/>
          <w:szCs w:val="20"/>
        </w:rPr>
        <w:t xml:space="preserve">, </w:t>
      </w:r>
      <w:r w:rsidRPr="00406E49">
        <w:rPr>
          <w:rFonts w:ascii="Arial" w:hAnsi="Arial" w:cs="Arial"/>
          <w:i/>
          <w:iCs/>
          <w:noProof/>
          <w:sz w:val="20"/>
          <w:szCs w:val="20"/>
        </w:rPr>
        <w:t>41</w:t>
      </w:r>
      <w:r w:rsidRPr="00406E49">
        <w:rPr>
          <w:rFonts w:ascii="Arial" w:hAnsi="Arial" w:cs="Arial"/>
          <w:noProof/>
          <w:sz w:val="20"/>
          <w:szCs w:val="20"/>
        </w:rPr>
        <w:t>, 227–252. https://doi.org/https://doi.org/10.1051/radiopro:2007053</w:t>
      </w:r>
    </w:p>
    <w:p w14:paraId="094D52FD"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Kamal, T., Tanoli, M., M, M., Ali, N., &amp; Ayub, S. (2015). Bioconcentration Potential Studies of Heavy Metals in </w:t>
      </w:r>
      <w:r w:rsidRPr="00406E49">
        <w:rPr>
          <w:rFonts w:ascii="Arial" w:hAnsi="Arial" w:cs="Arial"/>
          <w:i/>
          <w:iCs/>
          <w:noProof/>
          <w:sz w:val="20"/>
          <w:szCs w:val="20"/>
        </w:rPr>
        <w:t>Fenneropenaeus</w:t>
      </w:r>
      <w:r w:rsidRPr="00406E49">
        <w:rPr>
          <w:rFonts w:ascii="Arial" w:hAnsi="Arial" w:cs="Arial"/>
          <w:noProof/>
          <w:sz w:val="20"/>
          <w:szCs w:val="20"/>
        </w:rPr>
        <w:t xml:space="preserve"> </w:t>
      </w:r>
      <w:r w:rsidRPr="00406E49">
        <w:rPr>
          <w:rFonts w:ascii="Arial" w:hAnsi="Arial" w:cs="Arial"/>
          <w:i/>
          <w:iCs/>
          <w:noProof/>
          <w:sz w:val="20"/>
          <w:szCs w:val="20"/>
        </w:rPr>
        <w:t>penicillatus</w:t>
      </w:r>
      <w:r w:rsidRPr="00406E49">
        <w:rPr>
          <w:rFonts w:ascii="Arial" w:hAnsi="Arial" w:cs="Arial"/>
          <w:noProof/>
          <w:sz w:val="20"/>
          <w:szCs w:val="20"/>
        </w:rPr>
        <w:t xml:space="preserve"> (Jaira or Red Tail Shrimp) along the Littoral States of Karachi City. </w:t>
      </w:r>
      <w:r w:rsidRPr="00406E49">
        <w:rPr>
          <w:rFonts w:ascii="Arial" w:hAnsi="Arial" w:cs="Arial"/>
          <w:i/>
          <w:iCs/>
          <w:noProof/>
          <w:sz w:val="20"/>
          <w:szCs w:val="20"/>
        </w:rPr>
        <w:t>Journal of Basic &amp; Applied Sciences</w:t>
      </w:r>
      <w:r w:rsidRPr="00406E49">
        <w:rPr>
          <w:rFonts w:ascii="Arial" w:hAnsi="Arial" w:cs="Arial"/>
          <w:noProof/>
          <w:sz w:val="20"/>
          <w:szCs w:val="20"/>
        </w:rPr>
        <w:t xml:space="preserve">, </w:t>
      </w:r>
      <w:r w:rsidRPr="00406E49">
        <w:rPr>
          <w:rFonts w:ascii="Arial" w:hAnsi="Arial" w:cs="Arial"/>
          <w:i/>
          <w:iCs/>
          <w:noProof/>
          <w:sz w:val="20"/>
          <w:szCs w:val="20"/>
        </w:rPr>
        <w:t>11</w:t>
      </w:r>
      <w:r w:rsidRPr="00406E49">
        <w:rPr>
          <w:rFonts w:ascii="Arial" w:hAnsi="Arial" w:cs="Arial"/>
          <w:noProof/>
          <w:sz w:val="20"/>
          <w:szCs w:val="20"/>
        </w:rPr>
        <w:t>(November), 611–618. https://doi.org/10.6000/1927-5129.2015.11.82</w:t>
      </w:r>
    </w:p>
    <w:p w14:paraId="76755F11"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Kennedy, C. . (2011). The toxicology of metals in fishes, in Encyclopedia of Fish Physiology: From Genome to Environment. </w:t>
      </w:r>
      <w:r w:rsidRPr="00406E49">
        <w:rPr>
          <w:rFonts w:ascii="Arial" w:hAnsi="Arial" w:cs="Arial"/>
          <w:i/>
          <w:iCs/>
          <w:noProof/>
          <w:sz w:val="20"/>
          <w:szCs w:val="20"/>
        </w:rPr>
        <w:t>Academic Press, San Diego, Calif, USA</w:t>
      </w:r>
      <w:r w:rsidRPr="00406E49">
        <w:rPr>
          <w:rFonts w:ascii="Arial" w:hAnsi="Arial" w:cs="Arial"/>
          <w:noProof/>
          <w:sz w:val="20"/>
          <w:szCs w:val="20"/>
        </w:rPr>
        <w:t>, 2061–2068.</w:t>
      </w:r>
    </w:p>
    <w:p w14:paraId="0FCD00FF"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Khan, M. I., Khisroon, M., Khan, A., Gulfam, N., Siraj, M., Zaidi, F., Ahmadullah, Abidullah, Fatima, S. H., Noreen, S., Hamidullah, Shah, Z. A., &amp; Qadir, F. (2018). Bioaccumulation of heavy metals in water, sediments, and tissues and their histopathological effects on </w:t>
      </w:r>
      <w:r w:rsidR="00857463" w:rsidRPr="00406E49">
        <w:rPr>
          <w:rFonts w:ascii="Arial" w:hAnsi="Arial" w:cs="Arial"/>
          <w:i/>
          <w:iCs/>
          <w:noProof/>
          <w:sz w:val="20"/>
          <w:szCs w:val="20"/>
        </w:rPr>
        <w:t>A</w:t>
      </w:r>
      <w:r w:rsidRPr="00406E49">
        <w:rPr>
          <w:rFonts w:ascii="Arial" w:hAnsi="Arial" w:cs="Arial"/>
          <w:i/>
          <w:iCs/>
          <w:noProof/>
          <w:sz w:val="20"/>
          <w:szCs w:val="20"/>
        </w:rPr>
        <w:t>nodonta</w:t>
      </w:r>
      <w:r w:rsidRPr="00406E49">
        <w:rPr>
          <w:rFonts w:ascii="Arial" w:hAnsi="Arial" w:cs="Arial"/>
          <w:noProof/>
          <w:sz w:val="20"/>
          <w:szCs w:val="20"/>
        </w:rPr>
        <w:t xml:space="preserve"> </w:t>
      </w:r>
      <w:r w:rsidRPr="00406E49">
        <w:rPr>
          <w:rFonts w:ascii="Arial" w:hAnsi="Arial" w:cs="Arial"/>
          <w:i/>
          <w:iCs/>
          <w:noProof/>
          <w:sz w:val="20"/>
          <w:szCs w:val="20"/>
        </w:rPr>
        <w:t>cygnea</w:t>
      </w:r>
      <w:r w:rsidRPr="00406E49">
        <w:rPr>
          <w:rFonts w:ascii="Arial" w:hAnsi="Arial" w:cs="Arial"/>
          <w:noProof/>
          <w:sz w:val="20"/>
          <w:szCs w:val="20"/>
        </w:rPr>
        <w:t xml:space="preserve"> (Linea, 1876) in Kabul River, Khyber Pakhtunkhwa, Pakistan. </w:t>
      </w:r>
      <w:r w:rsidRPr="00406E49">
        <w:rPr>
          <w:rFonts w:ascii="Arial" w:hAnsi="Arial" w:cs="Arial"/>
          <w:i/>
          <w:iCs/>
          <w:noProof/>
          <w:sz w:val="20"/>
          <w:szCs w:val="20"/>
        </w:rPr>
        <w:t>BioMed Research International</w:t>
      </w:r>
      <w:r w:rsidRPr="00406E49">
        <w:rPr>
          <w:rFonts w:ascii="Arial" w:hAnsi="Arial" w:cs="Arial"/>
          <w:noProof/>
          <w:sz w:val="20"/>
          <w:szCs w:val="20"/>
        </w:rPr>
        <w:t xml:space="preserve">, </w:t>
      </w:r>
      <w:r w:rsidRPr="00406E49">
        <w:rPr>
          <w:rFonts w:ascii="Arial" w:hAnsi="Arial" w:cs="Arial"/>
          <w:i/>
          <w:iCs/>
          <w:noProof/>
          <w:sz w:val="20"/>
          <w:szCs w:val="20"/>
        </w:rPr>
        <w:t>2018</w:t>
      </w:r>
      <w:r w:rsidRPr="00406E49">
        <w:rPr>
          <w:rFonts w:ascii="Arial" w:hAnsi="Arial" w:cs="Arial"/>
          <w:noProof/>
          <w:sz w:val="20"/>
          <w:szCs w:val="20"/>
        </w:rPr>
        <w:t>. https://doi.org/10.1155/2018/1910274</w:t>
      </w:r>
    </w:p>
    <w:p w14:paraId="46ABE6D1"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Kibria, G., Hossain, M. M., Mallick, D., Lau, T. C., &amp; Wu, R. (2016). Monitoring of metal pollution in waterways across Bangladesh and ecological and public health implications of pollution. </w:t>
      </w:r>
      <w:r w:rsidRPr="00406E49">
        <w:rPr>
          <w:rFonts w:ascii="Arial" w:hAnsi="Arial" w:cs="Arial"/>
          <w:i/>
          <w:iCs/>
          <w:noProof/>
          <w:sz w:val="20"/>
          <w:szCs w:val="20"/>
        </w:rPr>
        <w:t>Chemosphere</w:t>
      </w:r>
      <w:r w:rsidRPr="00406E49">
        <w:rPr>
          <w:rFonts w:ascii="Arial" w:hAnsi="Arial" w:cs="Arial"/>
          <w:noProof/>
          <w:sz w:val="20"/>
          <w:szCs w:val="20"/>
        </w:rPr>
        <w:t xml:space="preserve">, </w:t>
      </w:r>
      <w:r w:rsidRPr="00406E49">
        <w:rPr>
          <w:rFonts w:ascii="Arial" w:hAnsi="Arial" w:cs="Arial"/>
          <w:i/>
          <w:iCs/>
          <w:noProof/>
          <w:sz w:val="20"/>
          <w:szCs w:val="20"/>
        </w:rPr>
        <w:t>165</w:t>
      </w:r>
      <w:r w:rsidRPr="00406E49">
        <w:rPr>
          <w:rFonts w:ascii="Arial" w:hAnsi="Arial" w:cs="Arial"/>
          <w:noProof/>
          <w:sz w:val="20"/>
          <w:szCs w:val="20"/>
        </w:rPr>
        <w:t>, 1–9. https://doi.org/https://doi.org/10.1016/j.chemosphere.2016.08.121</w:t>
      </w:r>
    </w:p>
    <w:p w14:paraId="4BC2B1E6"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Kong Yap, C., Hee Cheng, W., Hafetz Ali, M., Nulit, R., Hao Tony Peng, S., Saupi Ismail, M., &amp; Seng Leow, C. (2019). Health Risk Assessment of Heavy Metals in Prawn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Collected in 2007 from Sri Serdang Market, Peninsular Malaysia. </w:t>
      </w:r>
      <w:r w:rsidRPr="00406E49">
        <w:rPr>
          <w:rFonts w:ascii="Arial" w:hAnsi="Arial" w:cs="Arial"/>
          <w:i/>
          <w:iCs/>
          <w:noProof/>
          <w:sz w:val="20"/>
          <w:szCs w:val="20"/>
        </w:rPr>
        <w:t>Acta Scientifci Nutritional Health</w:t>
      </w:r>
      <w:r w:rsidRPr="00406E49">
        <w:rPr>
          <w:rFonts w:ascii="Arial" w:hAnsi="Arial" w:cs="Arial"/>
          <w:noProof/>
          <w:sz w:val="20"/>
          <w:szCs w:val="20"/>
        </w:rPr>
        <w:t xml:space="preserve">, </w:t>
      </w:r>
      <w:r w:rsidRPr="00406E49">
        <w:rPr>
          <w:rFonts w:ascii="Arial" w:hAnsi="Arial" w:cs="Arial"/>
          <w:i/>
          <w:iCs/>
          <w:noProof/>
          <w:sz w:val="20"/>
          <w:szCs w:val="20"/>
        </w:rPr>
        <w:t>3</w:t>
      </w:r>
      <w:r w:rsidRPr="00406E49">
        <w:rPr>
          <w:rFonts w:ascii="Arial" w:hAnsi="Arial" w:cs="Arial"/>
          <w:noProof/>
          <w:sz w:val="20"/>
          <w:szCs w:val="20"/>
        </w:rPr>
        <w:t>(8), 109–113. https://doi.org/10.31080/asnh.2019.03.0376</w:t>
      </w:r>
    </w:p>
    <w:p w14:paraId="072F9375"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Kress, N., Hornung, H., &amp; Herut, B. (1998). Concentrations of Hg, Cd, Cu, Zn, Fe and Mn in deep sea benthic fauna from the southeastern Mediterranean sea: A comparison study between fauna collected at a pristine area and at two waste disposal sites. </w:t>
      </w:r>
      <w:r w:rsidRPr="00406E49">
        <w:rPr>
          <w:rFonts w:ascii="Arial" w:hAnsi="Arial" w:cs="Arial"/>
          <w:i/>
          <w:iCs/>
          <w:noProof/>
          <w:sz w:val="20"/>
          <w:szCs w:val="20"/>
        </w:rPr>
        <w:t>Marine Pollution Bulletin</w:t>
      </w:r>
      <w:r w:rsidRPr="00406E49">
        <w:rPr>
          <w:rFonts w:ascii="Arial" w:hAnsi="Arial" w:cs="Arial"/>
          <w:noProof/>
          <w:sz w:val="20"/>
          <w:szCs w:val="20"/>
        </w:rPr>
        <w:t xml:space="preserve">, </w:t>
      </w:r>
      <w:r w:rsidRPr="00406E49">
        <w:rPr>
          <w:rFonts w:ascii="Arial" w:hAnsi="Arial" w:cs="Arial"/>
          <w:i/>
          <w:iCs/>
          <w:noProof/>
          <w:sz w:val="20"/>
          <w:szCs w:val="20"/>
        </w:rPr>
        <w:t>36</w:t>
      </w:r>
      <w:r w:rsidRPr="00406E49">
        <w:rPr>
          <w:rFonts w:ascii="Arial" w:hAnsi="Arial" w:cs="Arial"/>
          <w:noProof/>
          <w:sz w:val="20"/>
          <w:szCs w:val="20"/>
        </w:rPr>
        <w:t>(11), 911–921. https://doi.org/10.1016/S0025-326X(98)00069-1</w:t>
      </w:r>
    </w:p>
    <w:p w14:paraId="4738AD3F"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Langston, W. (1990). Toxic effects of metals and incidence of marine ecosystems. In: Furness RW, Rainbow PS, editors. Heavy metals in the marine environment. </w:t>
      </w:r>
      <w:r w:rsidRPr="00406E49">
        <w:rPr>
          <w:rFonts w:ascii="Arial" w:hAnsi="Arial" w:cs="Arial"/>
          <w:i/>
          <w:iCs/>
          <w:noProof/>
          <w:sz w:val="20"/>
          <w:szCs w:val="20"/>
        </w:rPr>
        <w:t>New York: CRC Press;</w:t>
      </w:r>
      <w:r w:rsidRPr="00406E49">
        <w:rPr>
          <w:rFonts w:ascii="Arial" w:hAnsi="Arial" w:cs="Arial"/>
          <w:noProof/>
          <w:sz w:val="20"/>
          <w:szCs w:val="20"/>
        </w:rPr>
        <w:t>, P 256. https://doi.org/10.4172/2155-9546.1000401</w:t>
      </w:r>
    </w:p>
    <w:p w14:paraId="645B1723"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Lu, G., Zhu, A., Fang, H., Dong, Y., &amp; Wang, W. X. (2019). Establishing baseline trace metals in marine bivalves in China and worldwide: Meta-analysis and modeling approach. </w:t>
      </w:r>
      <w:r w:rsidRPr="00406E49">
        <w:rPr>
          <w:rFonts w:ascii="Arial" w:hAnsi="Arial" w:cs="Arial"/>
          <w:i/>
          <w:iCs/>
          <w:noProof/>
          <w:sz w:val="20"/>
          <w:szCs w:val="20"/>
        </w:rPr>
        <w:t>Science of the Total Environment</w:t>
      </w:r>
      <w:r w:rsidRPr="00406E49">
        <w:rPr>
          <w:rFonts w:ascii="Arial" w:hAnsi="Arial" w:cs="Arial"/>
          <w:noProof/>
          <w:sz w:val="20"/>
          <w:szCs w:val="20"/>
        </w:rPr>
        <w:t xml:space="preserve">, </w:t>
      </w:r>
      <w:r w:rsidRPr="00406E49">
        <w:rPr>
          <w:rFonts w:ascii="Arial" w:hAnsi="Arial" w:cs="Arial"/>
          <w:i/>
          <w:iCs/>
          <w:noProof/>
          <w:sz w:val="20"/>
          <w:szCs w:val="20"/>
        </w:rPr>
        <w:t>669</w:t>
      </w:r>
      <w:r w:rsidRPr="00406E49">
        <w:rPr>
          <w:rFonts w:ascii="Arial" w:hAnsi="Arial" w:cs="Arial"/>
          <w:noProof/>
          <w:sz w:val="20"/>
          <w:szCs w:val="20"/>
        </w:rPr>
        <w:t>(March), 746–753. https://doi.org/10.1016/j.scitotenv.2019.03.164</w:t>
      </w:r>
    </w:p>
    <w:p w14:paraId="15937DF9"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 Lambert, B.A. Leven,  and R. M. G. (2000). New Methods of Cleaning Up Heavy Metal in Soils and Water Innovative Solutions to an Environmental Problem. </w:t>
      </w:r>
      <w:r w:rsidRPr="00406E49">
        <w:rPr>
          <w:rFonts w:ascii="Arial" w:hAnsi="Arial" w:cs="Arial"/>
          <w:i/>
          <w:iCs/>
          <w:noProof/>
          <w:sz w:val="20"/>
          <w:szCs w:val="20"/>
        </w:rPr>
        <w:t>Environmental Science and Technology Briefs for Citizens</w:t>
      </w:r>
      <w:r w:rsidRPr="00406E49">
        <w:rPr>
          <w:rFonts w:ascii="Arial" w:hAnsi="Arial" w:cs="Arial"/>
          <w:noProof/>
          <w:sz w:val="20"/>
          <w:szCs w:val="20"/>
        </w:rPr>
        <w:t>, 1–3. http://www.engg.ksu.edu/HSRC/Tosc/metals.pdf</w:t>
      </w:r>
    </w:p>
    <w:p w14:paraId="56546E48"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MAFF. (1995). Monitoring and surveillance of non-radioactive contaminants in the aquatic environment and activities regulating the disposal of waste at sea, 1993. Aquatic Environment Monitoring Report No. 44. Technical Report. </w:t>
      </w:r>
      <w:r w:rsidRPr="00406E49">
        <w:rPr>
          <w:rFonts w:ascii="Arial" w:hAnsi="Arial" w:cs="Arial"/>
          <w:i/>
          <w:iCs/>
          <w:noProof/>
          <w:sz w:val="20"/>
          <w:szCs w:val="20"/>
        </w:rPr>
        <w:t>Directorate of Fisheries Research, Lowestoft, UK.</w:t>
      </w:r>
      <w:r w:rsidRPr="00406E49">
        <w:rPr>
          <w:rFonts w:ascii="Arial" w:hAnsi="Arial" w:cs="Arial"/>
          <w:noProof/>
          <w:sz w:val="20"/>
          <w:szCs w:val="20"/>
        </w:rPr>
        <w:t xml:space="preserve">, </w:t>
      </w:r>
      <w:r w:rsidRPr="00406E49">
        <w:rPr>
          <w:rFonts w:ascii="Arial" w:hAnsi="Arial" w:cs="Arial"/>
          <w:i/>
          <w:iCs/>
          <w:noProof/>
          <w:sz w:val="20"/>
          <w:szCs w:val="20"/>
        </w:rPr>
        <w:t>1</w:t>
      </w:r>
      <w:r w:rsidRPr="00406E49">
        <w:rPr>
          <w:rFonts w:ascii="Arial" w:hAnsi="Arial" w:cs="Arial"/>
          <w:noProof/>
          <w:sz w:val="20"/>
          <w:szCs w:val="20"/>
        </w:rPr>
        <w:t>(47).</w:t>
      </w:r>
    </w:p>
    <w:p w14:paraId="00179C2C"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Mantelatto, F.L.M., W.E.P. Avelar, D.M.L. Silwa, A. C., &amp; Tomazelli, J. L. C. L. and T. S. (1999). Heavy metals in the shrimp </w:t>
      </w:r>
      <w:r w:rsidRPr="00406E49">
        <w:rPr>
          <w:rFonts w:ascii="Arial" w:hAnsi="Arial" w:cs="Arial"/>
          <w:i/>
          <w:iCs/>
          <w:noProof/>
          <w:sz w:val="20"/>
          <w:szCs w:val="20"/>
        </w:rPr>
        <w:t>Xiphopenaeus</w:t>
      </w:r>
      <w:r w:rsidRPr="00406E49">
        <w:rPr>
          <w:rFonts w:ascii="Arial" w:hAnsi="Arial" w:cs="Arial"/>
          <w:noProof/>
          <w:sz w:val="20"/>
          <w:szCs w:val="20"/>
        </w:rPr>
        <w:t xml:space="preserve"> </w:t>
      </w:r>
      <w:r w:rsidRPr="00406E49">
        <w:rPr>
          <w:rFonts w:ascii="Arial" w:hAnsi="Arial" w:cs="Arial"/>
          <w:i/>
          <w:iCs/>
          <w:noProof/>
          <w:sz w:val="20"/>
          <w:szCs w:val="20"/>
        </w:rPr>
        <w:t>kroyeri</w:t>
      </w:r>
      <w:r w:rsidRPr="00406E49">
        <w:rPr>
          <w:rFonts w:ascii="Arial" w:hAnsi="Arial" w:cs="Arial"/>
          <w:noProof/>
          <w:sz w:val="20"/>
          <w:szCs w:val="20"/>
        </w:rPr>
        <w:t xml:space="preserve"> (crustacea, penaeidae) from Ubatuba Bay, Sao Paulo, Brazil.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62</w:t>
      </w:r>
      <w:r w:rsidRPr="00406E49">
        <w:rPr>
          <w:rFonts w:ascii="Arial" w:hAnsi="Arial" w:cs="Arial"/>
          <w:noProof/>
          <w:sz w:val="20"/>
          <w:szCs w:val="20"/>
        </w:rPr>
        <w:t>, 152–159.</w:t>
      </w:r>
    </w:p>
    <w:p w14:paraId="24CEF98F"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Mehana, E. S. E., Khafaga, A. F., Elblehi, S. S., Abd El-Hack, M. E., Naiel, M. A. E., Bin-Jumah, M., Othman, S. I., &amp; Allam, A. A. (2020). Biomonitoring of heavy metal pollution using acanthocephalans parasite in ecosystem: An updated overview. </w:t>
      </w:r>
      <w:r w:rsidRPr="00406E49">
        <w:rPr>
          <w:rFonts w:ascii="Arial" w:hAnsi="Arial" w:cs="Arial"/>
          <w:i/>
          <w:iCs/>
          <w:noProof/>
          <w:sz w:val="20"/>
          <w:szCs w:val="20"/>
        </w:rPr>
        <w:t>Animals</w:t>
      </w:r>
      <w:r w:rsidRPr="00406E49">
        <w:rPr>
          <w:rFonts w:ascii="Arial" w:hAnsi="Arial" w:cs="Arial"/>
          <w:noProof/>
          <w:sz w:val="20"/>
          <w:szCs w:val="20"/>
        </w:rPr>
        <w:t xml:space="preserve">, </w:t>
      </w:r>
      <w:r w:rsidRPr="00406E49">
        <w:rPr>
          <w:rFonts w:ascii="Arial" w:hAnsi="Arial" w:cs="Arial"/>
          <w:i/>
          <w:iCs/>
          <w:noProof/>
          <w:sz w:val="20"/>
          <w:szCs w:val="20"/>
        </w:rPr>
        <w:t>10</w:t>
      </w:r>
      <w:r w:rsidRPr="00406E49">
        <w:rPr>
          <w:rFonts w:ascii="Arial" w:hAnsi="Arial" w:cs="Arial"/>
          <w:noProof/>
          <w:sz w:val="20"/>
          <w:szCs w:val="20"/>
        </w:rPr>
        <w:t>(5). https://doi.org/10.3390/ani10050811</w:t>
      </w:r>
    </w:p>
    <w:p w14:paraId="3348B7EC" w14:textId="77777777" w:rsidR="000A7347"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Miri, A., Warriner, C. L., Seely, J. S., Elsayed, G. F., Cunningham, J. P., Churchland, M. M., &amp; Jessell, T. M. (2017). Behaviorally Selective Engagement of Short-Latency Effector Pathways by Motor Cortex. </w:t>
      </w:r>
      <w:r w:rsidRPr="00406E49">
        <w:rPr>
          <w:rFonts w:ascii="Arial" w:hAnsi="Arial" w:cs="Arial"/>
          <w:i/>
          <w:iCs/>
          <w:noProof/>
          <w:sz w:val="20"/>
          <w:szCs w:val="20"/>
        </w:rPr>
        <w:t>Neuron</w:t>
      </w:r>
      <w:r w:rsidRPr="00406E49">
        <w:rPr>
          <w:rFonts w:ascii="Arial" w:hAnsi="Arial" w:cs="Arial"/>
          <w:noProof/>
          <w:sz w:val="20"/>
          <w:szCs w:val="20"/>
        </w:rPr>
        <w:t xml:space="preserve">, </w:t>
      </w:r>
      <w:r w:rsidRPr="00406E49">
        <w:rPr>
          <w:rFonts w:ascii="Arial" w:hAnsi="Arial" w:cs="Arial"/>
          <w:i/>
          <w:iCs/>
          <w:noProof/>
          <w:sz w:val="20"/>
          <w:szCs w:val="20"/>
        </w:rPr>
        <w:t>95</w:t>
      </w:r>
      <w:r w:rsidRPr="00406E49">
        <w:rPr>
          <w:rFonts w:ascii="Arial" w:hAnsi="Arial" w:cs="Arial"/>
          <w:noProof/>
          <w:sz w:val="20"/>
          <w:szCs w:val="20"/>
        </w:rPr>
        <w:t>(3), 683-696.e11. https://doi.org/10.1016/j.neuron.2017.06.042</w:t>
      </w:r>
    </w:p>
    <w:p w14:paraId="0BF96BCD" w14:textId="633240C3" w:rsidR="00BB3A9B" w:rsidRPr="00406E49" w:rsidRDefault="00BB3A9B" w:rsidP="0004686A">
      <w:pPr>
        <w:widowControl w:val="0"/>
        <w:autoSpaceDE w:val="0"/>
        <w:autoSpaceDN w:val="0"/>
        <w:adjustRightInd w:val="0"/>
        <w:spacing w:line="240" w:lineRule="auto"/>
        <w:ind w:left="480" w:hanging="480"/>
        <w:jc w:val="both"/>
        <w:rPr>
          <w:rFonts w:ascii="Arial" w:hAnsi="Arial" w:cs="Arial"/>
          <w:noProof/>
          <w:sz w:val="20"/>
          <w:szCs w:val="20"/>
        </w:rPr>
      </w:pPr>
      <w:r w:rsidRPr="00BB3A9B">
        <w:rPr>
          <w:rFonts w:ascii="Arial" w:hAnsi="Arial" w:cs="Arial"/>
          <w:noProof/>
          <w:sz w:val="20"/>
          <w:szCs w:val="20"/>
        </w:rPr>
        <w:lastRenderedPageBreak/>
        <w:t>Nkansah, M.A., Adrewie, D., Quarm, I.S. et al.</w:t>
      </w:r>
      <w:r>
        <w:rPr>
          <w:rFonts w:ascii="Arial" w:hAnsi="Arial" w:cs="Arial"/>
          <w:noProof/>
          <w:sz w:val="20"/>
          <w:szCs w:val="20"/>
        </w:rPr>
        <w:t xml:space="preserve"> (2026).</w:t>
      </w:r>
      <w:r w:rsidRPr="00BB3A9B">
        <w:rPr>
          <w:rFonts w:ascii="Arial" w:hAnsi="Arial" w:cs="Arial"/>
          <w:noProof/>
          <w:sz w:val="20"/>
          <w:szCs w:val="20"/>
        </w:rPr>
        <w:t xml:space="preserve"> Metals profile of milled shrimps and the potential risk associated with their consumption. </w:t>
      </w:r>
      <w:r w:rsidRPr="00BB3A9B">
        <w:rPr>
          <w:rFonts w:ascii="Arial" w:hAnsi="Arial" w:cs="Arial"/>
          <w:i/>
          <w:iCs/>
          <w:noProof/>
          <w:sz w:val="20"/>
          <w:szCs w:val="20"/>
        </w:rPr>
        <w:t>Environ Syst Res</w:t>
      </w:r>
      <w:r w:rsidRPr="00BB3A9B">
        <w:rPr>
          <w:rFonts w:ascii="Arial" w:hAnsi="Arial" w:cs="Arial"/>
          <w:noProof/>
          <w:sz w:val="20"/>
          <w:szCs w:val="20"/>
        </w:rPr>
        <w:t xml:space="preserve"> 13, 20 (2024). https://doi.org/10.1186/s40068-024-00339-6</w:t>
      </w:r>
    </w:p>
    <w:p w14:paraId="07C4991A"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Nour, H. E. S., &amp; Nouh, E. S. (2020). Using coral skeletons for monitoring of heavy metals pollution in the Red Sea Coast, Egypt. </w:t>
      </w:r>
      <w:r w:rsidRPr="00406E49">
        <w:rPr>
          <w:rFonts w:ascii="Arial" w:hAnsi="Arial" w:cs="Arial"/>
          <w:i/>
          <w:iCs/>
          <w:noProof/>
          <w:sz w:val="20"/>
          <w:szCs w:val="20"/>
        </w:rPr>
        <w:t>Arabian Journal of Geosciences</w:t>
      </w:r>
      <w:r w:rsidRPr="00406E49">
        <w:rPr>
          <w:rFonts w:ascii="Arial" w:hAnsi="Arial" w:cs="Arial"/>
          <w:noProof/>
          <w:sz w:val="20"/>
          <w:szCs w:val="20"/>
        </w:rPr>
        <w:t xml:space="preserve">, </w:t>
      </w:r>
      <w:r w:rsidRPr="00406E49">
        <w:rPr>
          <w:rFonts w:ascii="Arial" w:hAnsi="Arial" w:cs="Arial"/>
          <w:i/>
          <w:iCs/>
          <w:noProof/>
          <w:sz w:val="20"/>
          <w:szCs w:val="20"/>
        </w:rPr>
        <w:t>13</w:t>
      </w:r>
      <w:r w:rsidRPr="00406E49">
        <w:rPr>
          <w:rFonts w:ascii="Arial" w:hAnsi="Arial" w:cs="Arial"/>
          <w:noProof/>
          <w:sz w:val="20"/>
          <w:szCs w:val="20"/>
        </w:rPr>
        <w:t>(10). https://doi.org/10.1007/s12517-020-05308-8</w:t>
      </w:r>
    </w:p>
    <w:p w14:paraId="1C322F0C"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Nyika, J., Onyari, E., Dinka, M. O., &amp; Mishra, S. B. (2019). A comparison of reproducibility of inductively coupled spectrometric techniques in soil metal analyses. </w:t>
      </w:r>
      <w:r w:rsidRPr="00406E49">
        <w:rPr>
          <w:rFonts w:ascii="Arial" w:hAnsi="Arial" w:cs="Arial"/>
          <w:i/>
          <w:iCs/>
          <w:noProof/>
          <w:sz w:val="20"/>
          <w:szCs w:val="20"/>
        </w:rPr>
        <w:t>Air, Soil and Water Research</w:t>
      </w:r>
      <w:r w:rsidRPr="00406E49">
        <w:rPr>
          <w:rFonts w:ascii="Arial" w:hAnsi="Arial" w:cs="Arial"/>
          <w:noProof/>
          <w:sz w:val="20"/>
          <w:szCs w:val="20"/>
        </w:rPr>
        <w:t xml:space="preserve">, </w:t>
      </w:r>
      <w:r w:rsidRPr="00406E49">
        <w:rPr>
          <w:rFonts w:ascii="Arial" w:hAnsi="Arial" w:cs="Arial"/>
          <w:i/>
          <w:iCs/>
          <w:noProof/>
          <w:sz w:val="20"/>
          <w:szCs w:val="20"/>
        </w:rPr>
        <w:t>12</w:t>
      </w:r>
      <w:r w:rsidRPr="00406E49">
        <w:rPr>
          <w:rFonts w:ascii="Arial" w:hAnsi="Arial" w:cs="Arial"/>
          <w:noProof/>
          <w:sz w:val="20"/>
          <w:szCs w:val="20"/>
        </w:rPr>
        <w:t>. https://doi.org/https://doi.org/10.1177/1178622119869002</w:t>
      </w:r>
    </w:p>
    <w:p w14:paraId="4C43A677"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Oikari, A., Soivio, A. (1976). Physiological condition of fish exposed to water containing pulp and paper industry wastes and sewage. </w:t>
      </w:r>
      <w:r w:rsidRPr="00406E49">
        <w:rPr>
          <w:rFonts w:ascii="Arial" w:hAnsi="Arial" w:cs="Arial"/>
          <w:i/>
          <w:iCs/>
          <w:noProof/>
          <w:sz w:val="20"/>
          <w:szCs w:val="20"/>
        </w:rPr>
        <w:t>[Europe]. FAO, Rome (Italy). Fisheries Dept. European Inland Fisheries Advisory Commission. Symposium on Biological Monitoring, Helsinki (Finland), 7 June 1976.</w:t>
      </w:r>
      <w:r w:rsidRPr="00406E49">
        <w:rPr>
          <w:rFonts w:ascii="Arial" w:hAnsi="Arial" w:cs="Arial"/>
          <w:noProof/>
          <w:sz w:val="20"/>
          <w:szCs w:val="20"/>
        </w:rPr>
        <w:t xml:space="preserve">, </w:t>
      </w:r>
      <w:r w:rsidRPr="00406E49">
        <w:rPr>
          <w:rFonts w:ascii="Arial" w:hAnsi="Arial" w:cs="Arial"/>
          <w:i/>
          <w:iCs/>
          <w:noProof/>
          <w:sz w:val="20"/>
          <w:szCs w:val="20"/>
        </w:rPr>
        <w:t>7 June</w:t>
      </w:r>
      <w:r w:rsidRPr="00406E49">
        <w:rPr>
          <w:rFonts w:ascii="Arial" w:hAnsi="Arial" w:cs="Arial"/>
          <w:noProof/>
          <w:sz w:val="20"/>
          <w:szCs w:val="20"/>
        </w:rPr>
        <w:t>.</w:t>
      </w:r>
    </w:p>
    <w:p w14:paraId="5A560B88"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Oikari, A. O. J., &amp; Nakari, T. (1982). Kraft pulp mill effluent components cause liver dysfunction in trout.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28</w:t>
      </w:r>
      <w:r w:rsidRPr="00406E49">
        <w:rPr>
          <w:rFonts w:ascii="Arial" w:hAnsi="Arial" w:cs="Arial"/>
          <w:noProof/>
          <w:sz w:val="20"/>
          <w:szCs w:val="20"/>
        </w:rPr>
        <w:t>(3), 266–270. https://doi.org/https://doi.org/10.1007/BF01608505</w:t>
      </w:r>
    </w:p>
    <w:p w14:paraId="32053441"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Olmedo, P., Pla, A., Hernández, A. F., Barbier, F., Ayouni, L., &amp; Gil, F. (2013). Determination of toxic elements (mercury, cadmium, lead, tin and arsenic) in fish and shellfish samples. Risk assessment for the consumers.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59</w:t>
      </w:r>
      <w:r w:rsidRPr="00406E49">
        <w:rPr>
          <w:rFonts w:ascii="Arial" w:hAnsi="Arial" w:cs="Arial"/>
          <w:noProof/>
          <w:sz w:val="20"/>
          <w:szCs w:val="20"/>
        </w:rPr>
        <w:t>, 63–72. https://doi.org/10.1016/j.envint.2013.05.005</w:t>
      </w:r>
    </w:p>
    <w:p w14:paraId="0CB25EE8"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Osuna-Mascaro, A., Cruz-Bustos, T., Marie, B., Checa, A. G., &amp; Marin, F. (2015). Heavy metals in mollusc shells: A quick method for their detection. </w:t>
      </w:r>
      <w:r w:rsidRPr="00406E49">
        <w:rPr>
          <w:rFonts w:ascii="Arial" w:hAnsi="Arial" w:cs="Arial"/>
          <w:i/>
          <w:iCs/>
          <w:noProof/>
          <w:sz w:val="20"/>
          <w:szCs w:val="20"/>
        </w:rPr>
        <w:t>Key Engineering Materials</w:t>
      </w:r>
      <w:r w:rsidRPr="00406E49">
        <w:rPr>
          <w:rFonts w:ascii="Arial" w:hAnsi="Arial" w:cs="Arial"/>
          <w:noProof/>
          <w:sz w:val="20"/>
          <w:szCs w:val="20"/>
        </w:rPr>
        <w:t xml:space="preserve">, </w:t>
      </w:r>
      <w:r w:rsidRPr="00406E49">
        <w:rPr>
          <w:rFonts w:ascii="Arial" w:hAnsi="Arial" w:cs="Arial"/>
          <w:i/>
          <w:iCs/>
          <w:noProof/>
          <w:sz w:val="20"/>
          <w:szCs w:val="20"/>
        </w:rPr>
        <w:t>672</w:t>
      </w:r>
      <w:r w:rsidRPr="00406E49">
        <w:rPr>
          <w:rFonts w:ascii="Arial" w:hAnsi="Arial" w:cs="Arial"/>
          <w:noProof/>
          <w:sz w:val="20"/>
          <w:szCs w:val="20"/>
        </w:rPr>
        <w:t>, 340–345. https://doi.org/10.4028/www.scientific.net/KEM.672.340</w:t>
      </w:r>
    </w:p>
    <w:p w14:paraId="31EFB416"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Pärt, P., Svanberg, O., &amp; Kiessling, A. (1985). The availability of cadmium to perfused rainbow trout gills in different water qualities. </w:t>
      </w:r>
      <w:r w:rsidRPr="00406E49">
        <w:rPr>
          <w:rFonts w:ascii="Arial" w:hAnsi="Arial" w:cs="Arial"/>
          <w:i/>
          <w:iCs/>
          <w:noProof/>
          <w:sz w:val="20"/>
          <w:szCs w:val="20"/>
        </w:rPr>
        <w:t>Water Research</w:t>
      </w:r>
      <w:r w:rsidRPr="00406E49">
        <w:rPr>
          <w:rFonts w:ascii="Arial" w:hAnsi="Arial" w:cs="Arial"/>
          <w:noProof/>
          <w:sz w:val="20"/>
          <w:szCs w:val="20"/>
        </w:rPr>
        <w:t xml:space="preserve">, </w:t>
      </w:r>
      <w:r w:rsidRPr="00406E49">
        <w:rPr>
          <w:rFonts w:ascii="Arial" w:hAnsi="Arial" w:cs="Arial"/>
          <w:i/>
          <w:iCs/>
          <w:noProof/>
          <w:sz w:val="20"/>
          <w:szCs w:val="20"/>
        </w:rPr>
        <w:t>19</w:t>
      </w:r>
      <w:r w:rsidRPr="00406E49">
        <w:rPr>
          <w:rFonts w:ascii="Arial" w:hAnsi="Arial" w:cs="Arial"/>
          <w:noProof/>
          <w:sz w:val="20"/>
          <w:szCs w:val="20"/>
        </w:rPr>
        <w:t>(4), 427–434. https://doi.org/10.1016/0043-1354(85)90033-8</w:t>
      </w:r>
    </w:p>
    <w:p w14:paraId="53DC869C" w14:textId="77777777" w:rsidR="000A7347" w:rsidRPr="00406E49" w:rsidRDefault="00691B0E"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Pourang, N., &amp; Amini, G.</w:t>
      </w:r>
      <w:r w:rsidR="000A7347" w:rsidRPr="00406E49">
        <w:rPr>
          <w:rFonts w:ascii="Arial" w:hAnsi="Arial" w:cs="Arial"/>
          <w:noProof/>
          <w:sz w:val="20"/>
          <w:szCs w:val="20"/>
        </w:rPr>
        <w:t xml:space="preserve"> (2001). Costs of secondary parasitism in the facultative hyperparasitoid </w:t>
      </w:r>
      <w:r w:rsidR="000A7347" w:rsidRPr="00406E49">
        <w:rPr>
          <w:rFonts w:ascii="Arial" w:hAnsi="Arial" w:cs="Arial"/>
          <w:i/>
          <w:iCs/>
          <w:noProof/>
          <w:sz w:val="20"/>
          <w:szCs w:val="20"/>
        </w:rPr>
        <w:t>Pachycrepoideus</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dubius</w:t>
      </w:r>
      <w:r w:rsidR="000A7347" w:rsidRPr="00406E49">
        <w:rPr>
          <w:rFonts w:ascii="Arial" w:hAnsi="Arial" w:cs="Arial"/>
          <w:noProof/>
          <w:sz w:val="20"/>
          <w:szCs w:val="20"/>
        </w:rPr>
        <w:t xml:space="preserve">: Does host size matter? </w:t>
      </w:r>
      <w:r w:rsidR="000A7347" w:rsidRPr="00406E49">
        <w:rPr>
          <w:rFonts w:ascii="Arial" w:hAnsi="Arial" w:cs="Arial"/>
          <w:i/>
          <w:iCs/>
          <w:noProof/>
          <w:sz w:val="20"/>
          <w:szCs w:val="20"/>
        </w:rPr>
        <w:t>Water, Air, and Soil Pollution</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129</w:t>
      </w:r>
      <w:r w:rsidR="000A7347" w:rsidRPr="00406E49">
        <w:rPr>
          <w:rFonts w:ascii="Arial" w:hAnsi="Arial" w:cs="Arial"/>
          <w:noProof/>
          <w:sz w:val="20"/>
          <w:szCs w:val="20"/>
        </w:rPr>
        <w:t>(3), 229–243.</w:t>
      </w:r>
    </w:p>
    <w:p w14:paraId="4E24E79C"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Prato, E., Biandolino, F., Parlapiano, I., Giandomenico, S., Denti, G., Calò, M., Spada, L., &amp; Di Leo, A. (2019). Proximate, fatty acids and metals in edible marine bivalves from Italian market: Beneficial and risk for consumers health. </w:t>
      </w:r>
      <w:r w:rsidRPr="00406E49">
        <w:rPr>
          <w:rFonts w:ascii="Arial" w:hAnsi="Arial" w:cs="Arial"/>
          <w:i/>
          <w:iCs/>
          <w:noProof/>
          <w:sz w:val="20"/>
          <w:szCs w:val="20"/>
        </w:rPr>
        <w:t>Science of the Total Environment</w:t>
      </w:r>
      <w:r w:rsidRPr="00406E49">
        <w:rPr>
          <w:rFonts w:ascii="Arial" w:hAnsi="Arial" w:cs="Arial"/>
          <w:noProof/>
          <w:sz w:val="20"/>
          <w:szCs w:val="20"/>
        </w:rPr>
        <w:t xml:space="preserve">, </w:t>
      </w:r>
      <w:r w:rsidRPr="00406E49">
        <w:rPr>
          <w:rFonts w:ascii="Arial" w:hAnsi="Arial" w:cs="Arial"/>
          <w:i/>
          <w:iCs/>
          <w:noProof/>
          <w:sz w:val="20"/>
          <w:szCs w:val="20"/>
        </w:rPr>
        <w:t>648</w:t>
      </w:r>
      <w:r w:rsidRPr="00406E49">
        <w:rPr>
          <w:rFonts w:ascii="Arial" w:hAnsi="Arial" w:cs="Arial"/>
          <w:noProof/>
          <w:sz w:val="20"/>
          <w:szCs w:val="20"/>
        </w:rPr>
        <w:t>, 153–163. https://doi.org/10.1016/j.scitotenv.2018.07.382</w:t>
      </w:r>
    </w:p>
    <w:p w14:paraId="78D63CCF"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Radhakrishnan. (2010). Accumulation of trace metals in tissues of </w:t>
      </w:r>
      <w:r w:rsidRPr="00406E49">
        <w:rPr>
          <w:rFonts w:ascii="Arial" w:hAnsi="Arial" w:cs="Arial"/>
          <w:i/>
          <w:iCs/>
          <w:noProof/>
          <w:sz w:val="20"/>
          <w:szCs w:val="20"/>
        </w:rPr>
        <w:t>Heteropneustes</w:t>
      </w:r>
      <w:r w:rsidRPr="00406E49">
        <w:rPr>
          <w:rFonts w:ascii="Arial" w:hAnsi="Arial" w:cs="Arial"/>
          <w:noProof/>
          <w:sz w:val="20"/>
          <w:szCs w:val="20"/>
        </w:rPr>
        <w:t xml:space="preserve"> </w:t>
      </w:r>
      <w:r w:rsidRPr="00406E49">
        <w:rPr>
          <w:rFonts w:ascii="Arial" w:hAnsi="Arial" w:cs="Arial"/>
          <w:i/>
          <w:iCs/>
          <w:noProof/>
          <w:sz w:val="20"/>
          <w:szCs w:val="20"/>
        </w:rPr>
        <w:t>fossilis</w:t>
      </w:r>
      <w:r w:rsidRPr="00406E49">
        <w:rPr>
          <w:rFonts w:ascii="Arial" w:hAnsi="Arial" w:cs="Arial"/>
          <w:noProof/>
          <w:sz w:val="20"/>
          <w:szCs w:val="20"/>
        </w:rPr>
        <w:t xml:space="preserve"> collected from Chaliyar River, Kerala, India. </w:t>
      </w:r>
      <w:r w:rsidRPr="00406E49">
        <w:rPr>
          <w:rFonts w:ascii="Arial" w:hAnsi="Arial" w:cs="Arial"/>
          <w:i/>
          <w:iCs/>
          <w:noProof/>
          <w:sz w:val="20"/>
          <w:szCs w:val="20"/>
        </w:rPr>
        <w:t>World J Fish Mar Sci</w:t>
      </w:r>
      <w:r w:rsidRPr="00406E49">
        <w:rPr>
          <w:rFonts w:ascii="Arial" w:hAnsi="Arial" w:cs="Arial"/>
          <w:noProof/>
          <w:sz w:val="20"/>
          <w:szCs w:val="20"/>
        </w:rPr>
        <w:t xml:space="preserve">, </w:t>
      </w:r>
      <w:r w:rsidRPr="00406E49">
        <w:rPr>
          <w:rFonts w:ascii="Arial" w:hAnsi="Arial" w:cs="Arial"/>
          <w:i/>
          <w:iCs/>
          <w:noProof/>
          <w:sz w:val="20"/>
          <w:szCs w:val="20"/>
        </w:rPr>
        <w:t>2</w:t>
      </w:r>
      <w:r w:rsidRPr="00406E49">
        <w:rPr>
          <w:rFonts w:ascii="Arial" w:hAnsi="Arial" w:cs="Arial"/>
          <w:noProof/>
          <w:sz w:val="20"/>
          <w:szCs w:val="20"/>
        </w:rPr>
        <w:t>, 303–306.</w:t>
      </w:r>
    </w:p>
    <w:p w14:paraId="4DE7DC0A"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Raja, P., Veerasingam, S., Suresh, G., Marichamy, G., Venkatachalapathy, R. (2009). Heavy Metals Concentration in Four Commercially Valuable Marine Edible Fish Species from Parangipettai Coast, South East Coast of India. </w:t>
      </w:r>
      <w:r w:rsidRPr="00406E49">
        <w:rPr>
          <w:rFonts w:ascii="Arial" w:hAnsi="Arial" w:cs="Arial"/>
          <w:i/>
          <w:iCs/>
          <w:noProof/>
          <w:sz w:val="20"/>
          <w:szCs w:val="20"/>
        </w:rPr>
        <w:t>International Journal of Animal and Veterinary Advances</w:t>
      </w:r>
      <w:r w:rsidRPr="00406E49">
        <w:rPr>
          <w:rFonts w:ascii="Arial" w:hAnsi="Arial" w:cs="Arial"/>
          <w:noProof/>
          <w:sz w:val="20"/>
          <w:szCs w:val="20"/>
        </w:rPr>
        <w:t xml:space="preserve">, </w:t>
      </w:r>
      <w:r w:rsidRPr="00406E49">
        <w:rPr>
          <w:rFonts w:ascii="Arial" w:hAnsi="Arial" w:cs="Arial"/>
          <w:i/>
          <w:iCs/>
          <w:noProof/>
          <w:sz w:val="20"/>
          <w:szCs w:val="20"/>
        </w:rPr>
        <w:t>1</w:t>
      </w:r>
      <w:r w:rsidRPr="00406E49">
        <w:rPr>
          <w:rFonts w:ascii="Arial" w:hAnsi="Arial" w:cs="Arial"/>
          <w:noProof/>
          <w:sz w:val="20"/>
          <w:szCs w:val="20"/>
        </w:rPr>
        <w:t>(1), 10–14.</w:t>
      </w:r>
    </w:p>
    <w:p w14:paraId="52F15BCD"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Rajeshkumar, S., &amp; Li, X. (2018). Bioaccumulation of heavy metals in fish species from the Meiliang Bay, Taihu Lake, China. </w:t>
      </w:r>
      <w:r w:rsidRPr="00406E49">
        <w:rPr>
          <w:rFonts w:ascii="Arial" w:hAnsi="Arial" w:cs="Arial"/>
          <w:i/>
          <w:iCs/>
          <w:noProof/>
          <w:sz w:val="20"/>
          <w:szCs w:val="20"/>
        </w:rPr>
        <w:t>Toxicology Reports</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(January), 288–295. https://doi.org/10.1016/j.toxrep.2018.01.007</w:t>
      </w:r>
    </w:p>
    <w:p w14:paraId="105B9E18" w14:textId="77777777" w:rsidR="000A7347"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Rashed, M. N. (2001). Monitoring of environmental heavy metals in fish from nasser lake.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27</w:t>
      </w:r>
      <w:r w:rsidRPr="00406E49">
        <w:rPr>
          <w:rFonts w:ascii="Arial" w:hAnsi="Arial" w:cs="Arial"/>
          <w:noProof/>
          <w:sz w:val="20"/>
          <w:szCs w:val="20"/>
        </w:rPr>
        <w:t>(1), 27–33. https://doi.org/https://doi.org/10.1016/s0160-4120(01)00050-2</w:t>
      </w:r>
    </w:p>
    <w:p w14:paraId="6648DD1A" w14:textId="5F77EDD9" w:rsidR="00B52ECF" w:rsidRPr="00406E49" w:rsidRDefault="00B52ECF" w:rsidP="0004686A">
      <w:pPr>
        <w:widowControl w:val="0"/>
        <w:autoSpaceDE w:val="0"/>
        <w:autoSpaceDN w:val="0"/>
        <w:adjustRightInd w:val="0"/>
        <w:spacing w:line="240" w:lineRule="auto"/>
        <w:ind w:left="480" w:hanging="480"/>
        <w:jc w:val="both"/>
        <w:rPr>
          <w:rFonts w:ascii="Arial" w:hAnsi="Arial" w:cs="Arial"/>
          <w:noProof/>
          <w:sz w:val="20"/>
          <w:szCs w:val="20"/>
        </w:rPr>
      </w:pPr>
      <w:r w:rsidRPr="00B52ECF">
        <w:rPr>
          <w:rFonts w:ascii="Arial" w:hAnsi="Arial" w:cs="Arial"/>
          <w:noProof/>
          <w:sz w:val="20"/>
          <w:szCs w:val="20"/>
        </w:rPr>
        <w:t xml:space="preserve">Ray S </w:t>
      </w:r>
      <w:r>
        <w:rPr>
          <w:rFonts w:ascii="Arial" w:hAnsi="Arial" w:cs="Arial"/>
          <w:noProof/>
          <w:sz w:val="20"/>
          <w:szCs w:val="20"/>
        </w:rPr>
        <w:t xml:space="preserve">&amp;  Vashishth R (2026). </w:t>
      </w:r>
      <w:r w:rsidRPr="00B52ECF">
        <w:rPr>
          <w:rFonts w:ascii="Arial" w:hAnsi="Arial" w:cs="Arial"/>
          <w:noProof/>
          <w:sz w:val="20"/>
          <w:szCs w:val="20"/>
        </w:rPr>
        <w:t xml:space="preserve">Organ-specific bioaccumulation and deterministic health risk assessment of selected heavy metal(loid)s in commercial fish from a southern harbor region (Nagapattinam). </w:t>
      </w:r>
      <w:r w:rsidRPr="001327C7">
        <w:rPr>
          <w:rFonts w:ascii="Arial" w:hAnsi="Arial" w:cs="Arial"/>
          <w:i/>
          <w:iCs/>
          <w:noProof/>
          <w:sz w:val="20"/>
          <w:szCs w:val="20"/>
        </w:rPr>
        <w:t>Front. Toxico</w:t>
      </w:r>
      <w:r w:rsidRPr="00B52ECF">
        <w:rPr>
          <w:rFonts w:ascii="Arial" w:hAnsi="Arial" w:cs="Arial"/>
          <w:noProof/>
          <w:sz w:val="20"/>
          <w:szCs w:val="20"/>
        </w:rPr>
        <w:t>l. 8:1773891. doi: 10.3389/ftox.2026.1773891</w:t>
      </w:r>
    </w:p>
    <w:p w14:paraId="25CCB14C"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Rumisha, C., Leermakers, M., Mdegela, R. H., Kochzius, M., &amp; Elskens, M. (2017). Bioaccumulation and public health implications of trace metals in edible tissues of the crustaceans </w:t>
      </w:r>
      <w:r w:rsidRPr="00406E49">
        <w:rPr>
          <w:rFonts w:ascii="Arial" w:hAnsi="Arial" w:cs="Arial"/>
          <w:i/>
          <w:iCs/>
          <w:noProof/>
          <w:sz w:val="20"/>
          <w:szCs w:val="20"/>
        </w:rPr>
        <w:t>Scylla</w:t>
      </w:r>
      <w:r w:rsidRPr="00406E49">
        <w:rPr>
          <w:rFonts w:ascii="Arial" w:hAnsi="Arial" w:cs="Arial"/>
          <w:noProof/>
          <w:sz w:val="20"/>
          <w:szCs w:val="20"/>
        </w:rPr>
        <w:t xml:space="preserve"> </w:t>
      </w:r>
      <w:r w:rsidRPr="00406E49">
        <w:rPr>
          <w:rFonts w:ascii="Arial" w:hAnsi="Arial" w:cs="Arial"/>
          <w:i/>
          <w:iCs/>
          <w:noProof/>
          <w:sz w:val="20"/>
          <w:szCs w:val="20"/>
        </w:rPr>
        <w:t>serrata</w:t>
      </w:r>
      <w:r w:rsidRPr="00406E49">
        <w:rPr>
          <w:rFonts w:ascii="Arial" w:hAnsi="Arial" w:cs="Arial"/>
          <w:noProof/>
          <w:sz w:val="20"/>
          <w:szCs w:val="20"/>
        </w:rPr>
        <w:t xml:space="preserve"> and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monodon</w:t>
      </w:r>
      <w:r w:rsidRPr="00406E49">
        <w:rPr>
          <w:rFonts w:ascii="Arial" w:hAnsi="Arial" w:cs="Arial"/>
          <w:noProof/>
          <w:sz w:val="20"/>
          <w:szCs w:val="20"/>
        </w:rPr>
        <w:t xml:space="preserve"> from the Tanzanian coast.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189</w:t>
      </w:r>
      <w:r w:rsidRPr="00406E49">
        <w:rPr>
          <w:rFonts w:ascii="Arial" w:hAnsi="Arial" w:cs="Arial"/>
          <w:noProof/>
          <w:sz w:val="20"/>
          <w:szCs w:val="20"/>
        </w:rPr>
        <w:t>(10). https://doi.org/10.1007/s10661-017-6248-0</w:t>
      </w:r>
    </w:p>
    <w:p w14:paraId="38BA7B63"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lastRenderedPageBreak/>
        <w:t xml:space="preserve">Saher, N. U., &amp; Kanwal, N. (2019). Assessment of some heavy metal accumulation and nutritional quality of shellfish with reference to human health and cancer risk assessment: a seafood safety approach.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26</w:t>
      </w:r>
      <w:r w:rsidRPr="00406E49">
        <w:rPr>
          <w:rFonts w:ascii="Arial" w:hAnsi="Arial" w:cs="Arial"/>
          <w:noProof/>
          <w:sz w:val="20"/>
          <w:szCs w:val="20"/>
        </w:rPr>
        <w:t>(5), 5189–5201. https://doi.org/10.1007/s11356-018-3764-6</w:t>
      </w:r>
    </w:p>
    <w:p w14:paraId="651C6971"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Salam, M. A., Paul, S. C., Noor, S. N. B. M., Siddiqua, S. A., Aka, T. D., Wahab, R., &amp; Aweng, E. R. (2019). Contamination profile of heavy metals in marine fish and shellfish. </w:t>
      </w:r>
      <w:r w:rsidRPr="00406E49">
        <w:rPr>
          <w:rFonts w:ascii="Arial" w:hAnsi="Arial" w:cs="Arial"/>
          <w:i/>
          <w:iCs/>
          <w:noProof/>
          <w:sz w:val="20"/>
          <w:szCs w:val="20"/>
        </w:rPr>
        <w:t>Global Journal of Environmental Science and Management</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(2), 225–236. https://doi.org/http://dx.doi.org/10.22034/gjesm.2019.02.08</w:t>
      </w:r>
    </w:p>
    <w:p w14:paraId="0E060426"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Sfakianakis, D. G., Renieri, E., Kentouri, M., &amp; Tsatsakis, A. M. (2015). Effect of heavy metals on fish larvae deformities: A review. </w:t>
      </w:r>
      <w:r w:rsidRPr="00406E49">
        <w:rPr>
          <w:rFonts w:ascii="Arial" w:hAnsi="Arial" w:cs="Arial"/>
          <w:i/>
          <w:iCs/>
          <w:noProof/>
          <w:sz w:val="20"/>
          <w:szCs w:val="20"/>
        </w:rPr>
        <w:t>Environmental Research</w:t>
      </w:r>
      <w:r w:rsidRPr="00406E49">
        <w:rPr>
          <w:rFonts w:ascii="Arial" w:hAnsi="Arial" w:cs="Arial"/>
          <w:noProof/>
          <w:sz w:val="20"/>
          <w:szCs w:val="20"/>
        </w:rPr>
        <w:t xml:space="preserve">, </w:t>
      </w:r>
      <w:r w:rsidRPr="00406E49">
        <w:rPr>
          <w:rFonts w:ascii="Arial" w:hAnsi="Arial" w:cs="Arial"/>
          <w:i/>
          <w:iCs/>
          <w:noProof/>
          <w:sz w:val="20"/>
          <w:szCs w:val="20"/>
        </w:rPr>
        <w:t>137</w:t>
      </w:r>
      <w:r w:rsidRPr="00406E49">
        <w:rPr>
          <w:rFonts w:ascii="Arial" w:hAnsi="Arial" w:cs="Arial"/>
          <w:noProof/>
          <w:sz w:val="20"/>
          <w:szCs w:val="20"/>
        </w:rPr>
        <w:t>, 246–255. https://doi.org/http://dx.doi.org/10.1016/j.envres.2014.12.014</w:t>
      </w:r>
    </w:p>
    <w:p w14:paraId="17D9CF18"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Sneddon, J., &amp; Vincent, M. D. (2008). ICP-OES and ICP-MS for the determination of metals: Application to oysters. </w:t>
      </w:r>
      <w:r w:rsidRPr="00406E49">
        <w:rPr>
          <w:rFonts w:ascii="Arial" w:hAnsi="Arial" w:cs="Arial"/>
          <w:i/>
          <w:iCs/>
          <w:noProof/>
          <w:sz w:val="20"/>
          <w:szCs w:val="20"/>
        </w:rPr>
        <w:t>Analytical Letters</w:t>
      </w:r>
      <w:r w:rsidRPr="00406E49">
        <w:rPr>
          <w:rFonts w:ascii="Arial" w:hAnsi="Arial" w:cs="Arial"/>
          <w:noProof/>
          <w:sz w:val="20"/>
          <w:szCs w:val="20"/>
        </w:rPr>
        <w:t xml:space="preserve">, </w:t>
      </w:r>
      <w:r w:rsidRPr="00406E49">
        <w:rPr>
          <w:rFonts w:ascii="Arial" w:hAnsi="Arial" w:cs="Arial"/>
          <w:i/>
          <w:iCs/>
          <w:noProof/>
          <w:sz w:val="20"/>
          <w:szCs w:val="20"/>
        </w:rPr>
        <w:t>41</w:t>
      </w:r>
      <w:r w:rsidRPr="00406E49">
        <w:rPr>
          <w:rFonts w:ascii="Arial" w:hAnsi="Arial" w:cs="Arial"/>
          <w:noProof/>
          <w:sz w:val="20"/>
          <w:szCs w:val="20"/>
        </w:rPr>
        <w:t>(8), 1291–1303. https://doi.org/https://doi.org/10.1080/00032710802013991</w:t>
      </w:r>
    </w:p>
    <w:p w14:paraId="19EA826B"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Sulieman, H. M. A., &amp; Suliman, E. A. M. (2019). Appraisal of heavy metal levels in some marine organisms gathered from the Vellar and Uppanar estuaries Southeast Coast of Indian Ocean. </w:t>
      </w:r>
      <w:r w:rsidRPr="00406E49">
        <w:rPr>
          <w:rFonts w:ascii="Arial" w:hAnsi="Arial" w:cs="Arial"/>
          <w:i/>
          <w:iCs/>
          <w:noProof/>
          <w:sz w:val="20"/>
          <w:szCs w:val="20"/>
        </w:rPr>
        <w:t>Journal of Taibah University for Science</w:t>
      </w:r>
      <w:r w:rsidRPr="00406E49">
        <w:rPr>
          <w:rFonts w:ascii="Arial" w:hAnsi="Arial" w:cs="Arial"/>
          <w:noProof/>
          <w:sz w:val="20"/>
          <w:szCs w:val="20"/>
        </w:rPr>
        <w:t xml:space="preserve">, </w:t>
      </w:r>
      <w:r w:rsidRPr="00406E49">
        <w:rPr>
          <w:rFonts w:ascii="Arial" w:hAnsi="Arial" w:cs="Arial"/>
          <w:i/>
          <w:iCs/>
          <w:noProof/>
          <w:sz w:val="20"/>
          <w:szCs w:val="20"/>
        </w:rPr>
        <w:t>13</w:t>
      </w:r>
      <w:r w:rsidRPr="00406E49">
        <w:rPr>
          <w:rFonts w:ascii="Arial" w:hAnsi="Arial" w:cs="Arial"/>
          <w:noProof/>
          <w:sz w:val="20"/>
          <w:szCs w:val="20"/>
        </w:rPr>
        <w:t>(1), 338–343. https://doi.org/10.1080/16583655.2019.1576276</w:t>
      </w:r>
    </w:p>
    <w:p w14:paraId="549A0D46"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Szefer, P., Kim, B.S., Kim, C.K., Kim, E.H., Lee, C. . (2004). Distribution and coassociations of trace elements in soft tissue and byssus of </w:t>
      </w:r>
      <w:r w:rsidRPr="00406E49">
        <w:rPr>
          <w:rFonts w:ascii="Arial" w:hAnsi="Arial" w:cs="Arial"/>
          <w:i/>
          <w:iCs/>
          <w:noProof/>
          <w:sz w:val="20"/>
          <w:szCs w:val="20"/>
        </w:rPr>
        <w:t>Mytilus</w:t>
      </w:r>
      <w:r w:rsidRPr="00406E49">
        <w:rPr>
          <w:rFonts w:ascii="Arial" w:hAnsi="Arial" w:cs="Arial"/>
          <w:noProof/>
          <w:sz w:val="20"/>
          <w:szCs w:val="20"/>
        </w:rPr>
        <w:t xml:space="preserve"> </w:t>
      </w:r>
      <w:r w:rsidRPr="00406E49">
        <w:rPr>
          <w:rFonts w:ascii="Arial" w:hAnsi="Arial" w:cs="Arial"/>
          <w:i/>
          <w:iCs/>
          <w:noProof/>
          <w:sz w:val="20"/>
          <w:szCs w:val="20"/>
        </w:rPr>
        <w:t>galloprovincialis</w:t>
      </w:r>
      <w:r w:rsidRPr="00406E49">
        <w:rPr>
          <w:rFonts w:ascii="Arial" w:hAnsi="Arial" w:cs="Arial"/>
          <w:noProof/>
          <w:sz w:val="20"/>
          <w:szCs w:val="20"/>
        </w:rPr>
        <w:t xml:space="preserve"> relative to the surrounding seawater and suspended matter of the southern part of the Korean Peninsula. </w:t>
      </w:r>
      <w:r w:rsidRPr="00406E49">
        <w:rPr>
          <w:rFonts w:ascii="Arial" w:hAnsi="Arial" w:cs="Arial"/>
          <w:i/>
          <w:iCs/>
          <w:noProof/>
          <w:sz w:val="20"/>
          <w:szCs w:val="20"/>
        </w:rPr>
        <w:t>Environmental Pollution</w:t>
      </w:r>
      <w:r w:rsidRPr="00406E49">
        <w:rPr>
          <w:rFonts w:ascii="Arial" w:hAnsi="Arial" w:cs="Arial"/>
          <w:noProof/>
          <w:sz w:val="20"/>
          <w:szCs w:val="20"/>
        </w:rPr>
        <w:t xml:space="preserve">, </w:t>
      </w:r>
      <w:r w:rsidRPr="00406E49">
        <w:rPr>
          <w:rFonts w:ascii="Arial" w:hAnsi="Arial" w:cs="Arial"/>
          <w:i/>
          <w:iCs/>
          <w:noProof/>
          <w:sz w:val="20"/>
          <w:szCs w:val="20"/>
        </w:rPr>
        <w:t>129</w:t>
      </w:r>
      <w:r w:rsidRPr="00406E49">
        <w:rPr>
          <w:rFonts w:ascii="Arial" w:hAnsi="Arial" w:cs="Arial"/>
          <w:noProof/>
          <w:sz w:val="20"/>
          <w:szCs w:val="20"/>
        </w:rPr>
        <w:t>(2), 209–228. https://doi.org/https://doi.org/10.1016/j.envpol.2003.10.012</w:t>
      </w:r>
    </w:p>
    <w:p w14:paraId="34FC1E6E"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Taylor, H. E. (2001). Inductively coupled plasma-mass spectrometry: Practices and techniques. New York, NY: Academic Press.</w:t>
      </w:r>
      <w:r w:rsidRPr="00406E49">
        <w:rPr>
          <w:rFonts w:ascii="Arial" w:hAnsi="Arial" w:cs="Arial"/>
          <w:i/>
          <w:iCs/>
          <w:noProof/>
          <w:sz w:val="20"/>
          <w:szCs w:val="20"/>
        </w:rPr>
        <w:t xml:space="preserve"> Journal of Chemical Education Today</w:t>
      </w:r>
      <w:r w:rsidRPr="00406E49">
        <w:rPr>
          <w:rFonts w:ascii="Arial" w:hAnsi="Arial" w:cs="Arial"/>
          <w:noProof/>
          <w:sz w:val="20"/>
          <w:szCs w:val="20"/>
        </w:rPr>
        <w:t xml:space="preserve">, </w:t>
      </w:r>
      <w:r w:rsidRPr="00406E49">
        <w:rPr>
          <w:rFonts w:ascii="Arial" w:hAnsi="Arial" w:cs="Arial"/>
          <w:i/>
          <w:iCs/>
          <w:noProof/>
          <w:sz w:val="20"/>
          <w:szCs w:val="20"/>
        </w:rPr>
        <w:t>78</w:t>
      </w:r>
      <w:r w:rsidRPr="00406E49">
        <w:rPr>
          <w:rFonts w:ascii="Arial" w:hAnsi="Arial" w:cs="Arial"/>
          <w:noProof/>
          <w:sz w:val="20"/>
          <w:szCs w:val="20"/>
        </w:rPr>
        <w:t>(11), 1465. https://doi.org/10.1021/ed078p1465</w:t>
      </w:r>
    </w:p>
    <w:p w14:paraId="4728404C"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Türkmen, A., Türkmen, M., Tepe, Y., &amp; Çekiç, M. (2010). Metals in tissues of fish from Yelkoma Lagoon, northeastern Mediterranean.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168</w:t>
      </w:r>
      <w:r w:rsidRPr="00406E49">
        <w:rPr>
          <w:rFonts w:ascii="Arial" w:hAnsi="Arial" w:cs="Arial"/>
          <w:noProof/>
          <w:sz w:val="20"/>
          <w:szCs w:val="20"/>
        </w:rPr>
        <w:t>(1–4), 223–230. https://doi.org/10.1007/s10661-009-1106-3</w:t>
      </w:r>
    </w:p>
    <w:p w14:paraId="6E377162"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Tüzen, M. (2003). Determination of heavy metals in fish samples of the middle Black Sea (Turkey) by graphite furnace atomic absorption spectrometry. </w:t>
      </w:r>
      <w:r w:rsidRPr="00406E49">
        <w:rPr>
          <w:rFonts w:ascii="Arial" w:hAnsi="Arial" w:cs="Arial"/>
          <w:i/>
          <w:iCs/>
          <w:noProof/>
          <w:sz w:val="20"/>
          <w:szCs w:val="20"/>
        </w:rPr>
        <w:t>Food Chemistry</w:t>
      </w:r>
      <w:r w:rsidRPr="00406E49">
        <w:rPr>
          <w:rFonts w:ascii="Arial" w:hAnsi="Arial" w:cs="Arial"/>
          <w:noProof/>
          <w:sz w:val="20"/>
          <w:szCs w:val="20"/>
        </w:rPr>
        <w:t xml:space="preserve">, </w:t>
      </w:r>
      <w:r w:rsidRPr="00406E49">
        <w:rPr>
          <w:rFonts w:ascii="Arial" w:hAnsi="Arial" w:cs="Arial"/>
          <w:i/>
          <w:iCs/>
          <w:noProof/>
          <w:sz w:val="20"/>
          <w:szCs w:val="20"/>
        </w:rPr>
        <w:t>80</w:t>
      </w:r>
      <w:r w:rsidRPr="00406E49">
        <w:rPr>
          <w:rFonts w:ascii="Arial" w:hAnsi="Arial" w:cs="Arial"/>
          <w:noProof/>
          <w:sz w:val="20"/>
          <w:szCs w:val="20"/>
        </w:rPr>
        <w:t>(1), 119–123. https://doi.org/https://doi.org/10.1016/S0308-8146(02)00264-9</w:t>
      </w:r>
    </w:p>
    <w:p w14:paraId="6005AB45"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Usero, J., González-Regalado, E., &amp; Gracia, I. (1997). Trace metals in the bivalve molluscs </w:t>
      </w:r>
      <w:r w:rsidRPr="00406E49">
        <w:rPr>
          <w:rFonts w:ascii="Arial" w:hAnsi="Arial" w:cs="Arial"/>
          <w:i/>
          <w:iCs/>
          <w:noProof/>
          <w:sz w:val="20"/>
          <w:szCs w:val="20"/>
        </w:rPr>
        <w:t>Ruditapes</w:t>
      </w:r>
      <w:r w:rsidRPr="00406E49">
        <w:rPr>
          <w:rFonts w:ascii="Arial" w:hAnsi="Arial" w:cs="Arial"/>
          <w:noProof/>
          <w:sz w:val="20"/>
          <w:szCs w:val="20"/>
        </w:rPr>
        <w:t xml:space="preserve"> </w:t>
      </w:r>
      <w:r w:rsidRPr="00406E49">
        <w:rPr>
          <w:rFonts w:ascii="Arial" w:hAnsi="Arial" w:cs="Arial"/>
          <w:i/>
          <w:iCs/>
          <w:noProof/>
          <w:sz w:val="20"/>
          <w:szCs w:val="20"/>
        </w:rPr>
        <w:t>decussatus</w:t>
      </w:r>
      <w:r w:rsidRPr="00406E49">
        <w:rPr>
          <w:rFonts w:ascii="Arial" w:hAnsi="Arial" w:cs="Arial"/>
          <w:noProof/>
          <w:sz w:val="20"/>
          <w:szCs w:val="20"/>
        </w:rPr>
        <w:t xml:space="preserve"> and </w:t>
      </w:r>
      <w:r w:rsidRPr="00406E49">
        <w:rPr>
          <w:rFonts w:ascii="Arial" w:hAnsi="Arial" w:cs="Arial"/>
          <w:i/>
          <w:iCs/>
          <w:noProof/>
          <w:sz w:val="20"/>
          <w:szCs w:val="20"/>
        </w:rPr>
        <w:t>Ruditapes</w:t>
      </w:r>
      <w:r w:rsidRPr="00406E49">
        <w:rPr>
          <w:rFonts w:ascii="Arial" w:hAnsi="Arial" w:cs="Arial"/>
          <w:noProof/>
          <w:sz w:val="20"/>
          <w:szCs w:val="20"/>
        </w:rPr>
        <w:t xml:space="preserve"> </w:t>
      </w:r>
      <w:r w:rsidRPr="00406E49">
        <w:rPr>
          <w:rFonts w:ascii="Arial" w:hAnsi="Arial" w:cs="Arial"/>
          <w:i/>
          <w:iCs/>
          <w:noProof/>
          <w:sz w:val="20"/>
          <w:szCs w:val="20"/>
        </w:rPr>
        <w:t>philippinarum</w:t>
      </w:r>
      <w:r w:rsidRPr="00406E49">
        <w:rPr>
          <w:rFonts w:ascii="Arial" w:hAnsi="Arial" w:cs="Arial"/>
          <w:noProof/>
          <w:sz w:val="20"/>
          <w:szCs w:val="20"/>
        </w:rPr>
        <w:t xml:space="preserve"> from the Atlantic Coast of Southern Spain.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23</w:t>
      </w:r>
      <w:r w:rsidRPr="00406E49">
        <w:rPr>
          <w:rFonts w:ascii="Arial" w:hAnsi="Arial" w:cs="Arial"/>
          <w:noProof/>
          <w:sz w:val="20"/>
          <w:szCs w:val="20"/>
        </w:rPr>
        <w:t>(3), 291–298. https://doi.org/10.1016/S0160-4120(97)00030-5</w:t>
      </w:r>
    </w:p>
    <w:p w14:paraId="54885AD8"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Vaseem, H., &amp; Banerjee, T. K. (2013). Contamination of metals in different tissues of rohu (</w:t>
      </w:r>
      <w:r w:rsidR="00CC580B" w:rsidRPr="00406E49">
        <w:rPr>
          <w:rFonts w:ascii="Arial" w:hAnsi="Arial" w:cs="Arial"/>
          <w:i/>
          <w:iCs/>
          <w:noProof/>
          <w:sz w:val="20"/>
          <w:szCs w:val="20"/>
        </w:rPr>
        <w:t>L</w:t>
      </w:r>
      <w:r w:rsidRPr="00406E49">
        <w:rPr>
          <w:rFonts w:ascii="Arial" w:hAnsi="Arial" w:cs="Arial"/>
          <w:i/>
          <w:iCs/>
          <w:noProof/>
          <w:sz w:val="20"/>
          <w:szCs w:val="20"/>
        </w:rPr>
        <w:t>abeo</w:t>
      </w:r>
      <w:r w:rsidRPr="00406E49">
        <w:rPr>
          <w:rFonts w:ascii="Arial" w:hAnsi="Arial" w:cs="Arial"/>
          <w:noProof/>
          <w:sz w:val="20"/>
          <w:szCs w:val="20"/>
        </w:rPr>
        <w:t xml:space="preserve"> </w:t>
      </w:r>
      <w:r w:rsidRPr="00406E49">
        <w:rPr>
          <w:rFonts w:ascii="Arial" w:hAnsi="Arial" w:cs="Arial"/>
          <w:i/>
          <w:iCs/>
          <w:noProof/>
          <w:sz w:val="20"/>
          <w:szCs w:val="20"/>
        </w:rPr>
        <w:t>rohita</w:t>
      </w:r>
      <w:r w:rsidRPr="00406E49">
        <w:rPr>
          <w:rFonts w:ascii="Arial" w:hAnsi="Arial" w:cs="Arial"/>
          <w:noProof/>
          <w:sz w:val="20"/>
          <w:szCs w:val="20"/>
        </w:rPr>
        <w:t xml:space="preserve">, cyprinidae) collected from the Indian River Ganga.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91</w:t>
      </w:r>
      <w:r w:rsidRPr="00406E49">
        <w:rPr>
          <w:rFonts w:ascii="Arial" w:hAnsi="Arial" w:cs="Arial"/>
          <w:noProof/>
          <w:sz w:val="20"/>
          <w:szCs w:val="20"/>
        </w:rPr>
        <w:t>(1), 36–41. https://doi.org/10.1007/s00128-013-1003-x</w:t>
      </w:r>
    </w:p>
    <w:p w14:paraId="0E11F613"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Wagner, A., &amp; Boman, J. (2003). Biomonitoring of trace elements in muscle and liver tissue of freshwater fish. </w:t>
      </w:r>
      <w:r w:rsidRPr="00406E49">
        <w:rPr>
          <w:rFonts w:ascii="Arial" w:hAnsi="Arial" w:cs="Arial"/>
          <w:i/>
          <w:iCs/>
          <w:noProof/>
          <w:sz w:val="20"/>
          <w:szCs w:val="20"/>
        </w:rPr>
        <w:t>Spectrochimica Acta - Part B Atomic Spectroscopy</w:t>
      </w:r>
      <w:r w:rsidRPr="00406E49">
        <w:rPr>
          <w:rFonts w:ascii="Arial" w:hAnsi="Arial" w:cs="Arial"/>
          <w:noProof/>
          <w:sz w:val="20"/>
          <w:szCs w:val="20"/>
        </w:rPr>
        <w:t xml:space="preserve">, </w:t>
      </w:r>
      <w:r w:rsidRPr="00406E49">
        <w:rPr>
          <w:rFonts w:ascii="Arial" w:hAnsi="Arial" w:cs="Arial"/>
          <w:i/>
          <w:iCs/>
          <w:noProof/>
          <w:sz w:val="20"/>
          <w:szCs w:val="20"/>
        </w:rPr>
        <w:t>58</w:t>
      </w:r>
      <w:r w:rsidRPr="00406E49">
        <w:rPr>
          <w:rFonts w:ascii="Arial" w:hAnsi="Arial" w:cs="Arial"/>
          <w:noProof/>
          <w:sz w:val="20"/>
          <w:szCs w:val="20"/>
        </w:rPr>
        <w:t>(12), 2215–2226. https://doi.org/10.1016/j.sab.2003.05.003</w:t>
      </w:r>
    </w:p>
    <w:p w14:paraId="6219F611"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Waykar, B., &amp; Petare, R. (2016). Studies on monitoring the heavy metal contents in water, sediment and snail species in Latipada reservoir. </w:t>
      </w:r>
      <w:r w:rsidRPr="00406E49">
        <w:rPr>
          <w:rFonts w:ascii="Arial" w:hAnsi="Arial" w:cs="Arial"/>
          <w:i/>
          <w:iCs/>
          <w:noProof/>
          <w:sz w:val="20"/>
          <w:szCs w:val="20"/>
        </w:rPr>
        <w:t>Journal of Environmental Biology</w:t>
      </w:r>
      <w:r w:rsidRPr="00406E49">
        <w:rPr>
          <w:rFonts w:ascii="Arial" w:hAnsi="Arial" w:cs="Arial"/>
          <w:noProof/>
          <w:sz w:val="20"/>
          <w:szCs w:val="20"/>
        </w:rPr>
        <w:t xml:space="preserve">, </w:t>
      </w:r>
      <w:r w:rsidRPr="00406E49">
        <w:rPr>
          <w:rFonts w:ascii="Arial" w:hAnsi="Arial" w:cs="Arial"/>
          <w:i/>
          <w:iCs/>
          <w:noProof/>
          <w:sz w:val="20"/>
          <w:szCs w:val="20"/>
        </w:rPr>
        <w:t>37</w:t>
      </w:r>
      <w:r w:rsidRPr="00406E49">
        <w:rPr>
          <w:rFonts w:ascii="Arial" w:hAnsi="Arial" w:cs="Arial"/>
          <w:noProof/>
          <w:sz w:val="20"/>
          <w:szCs w:val="20"/>
        </w:rPr>
        <w:t>(4), 585–589.</w:t>
      </w:r>
    </w:p>
    <w:p w14:paraId="1901C8BD"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WHO. (1989). Heavy metals environmental aspects. Environmental Health Criteria. </w:t>
      </w:r>
      <w:r w:rsidRPr="00406E49">
        <w:rPr>
          <w:rFonts w:ascii="Arial" w:hAnsi="Arial" w:cs="Arial"/>
          <w:i/>
          <w:iCs/>
          <w:noProof/>
          <w:sz w:val="20"/>
          <w:szCs w:val="20"/>
        </w:rPr>
        <w:t>No. 85, Geneva</w:t>
      </w:r>
      <w:r w:rsidRPr="00406E49">
        <w:rPr>
          <w:rFonts w:ascii="Arial" w:hAnsi="Arial" w:cs="Arial"/>
          <w:noProof/>
          <w:sz w:val="20"/>
          <w:szCs w:val="20"/>
        </w:rPr>
        <w:t>.</w:t>
      </w:r>
    </w:p>
    <w:p w14:paraId="747EB6F9" w14:textId="77777777" w:rsidR="00CE0751" w:rsidRPr="00406E49" w:rsidRDefault="00CE0751"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Yousif, R.A., Zehra, S., Ahmed, SH., Choudhary, M.I., Siddiq, F., Ayub, S. &amp;  Zafar, S. (2022). Bioaccumulation of Heavy Metals in Spotted Babylon Snail (</w:t>
      </w:r>
      <w:r w:rsidRPr="00406E49">
        <w:rPr>
          <w:rFonts w:ascii="Arial" w:hAnsi="Arial" w:cs="Arial"/>
          <w:i/>
          <w:iCs/>
          <w:noProof/>
          <w:sz w:val="20"/>
          <w:szCs w:val="20"/>
        </w:rPr>
        <w:t>Babylonia</w:t>
      </w:r>
      <w:r w:rsidRPr="00406E49">
        <w:rPr>
          <w:rFonts w:ascii="Arial" w:hAnsi="Arial" w:cs="Arial"/>
          <w:noProof/>
          <w:sz w:val="20"/>
          <w:szCs w:val="20"/>
        </w:rPr>
        <w:t xml:space="preserve"> </w:t>
      </w:r>
      <w:r w:rsidRPr="00406E49">
        <w:rPr>
          <w:rFonts w:ascii="Arial" w:hAnsi="Arial" w:cs="Arial"/>
          <w:i/>
          <w:iCs/>
          <w:noProof/>
          <w:sz w:val="20"/>
          <w:szCs w:val="20"/>
        </w:rPr>
        <w:t>areolate</w:t>
      </w:r>
      <w:r w:rsidRPr="00406E49">
        <w:rPr>
          <w:rFonts w:ascii="Arial" w:hAnsi="Arial" w:cs="Arial"/>
          <w:noProof/>
          <w:sz w:val="20"/>
          <w:szCs w:val="20"/>
        </w:rPr>
        <w:t xml:space="preserve"> Link, 1807), Karachi Coast, Pakistan. </w:t>
      </w:r>
      <w:r w:rsidRPr="00406E49">
        <w:rPr>
          <w:rFonts w:ascii="Arial" w:hAnsi="Arial" w:cs="Arial"/>
          <w:i/>
          <w:iCs/>
          <w:noProof/>
          <w:sz w:val="20"/>
          <w:szCs w:val="20"/>
        </w:rPr>
        <w:t>Journal of Applied Science</w:t>
      </w:r>
      <w:r w:rsidRPr="00406E49">
        <w:rPr>
          <w:rFonts w:ascii="Arial" w:hAnsi="Arial" w:cs="Arial"/>
          <w:noProof/>
          <w:sz w:val="20"/>
          <w:szCs w:val="20"/>
        </w:rPr>
        <w:t>s,  22:295-303  https://doi.org/10.3923/jas.2022.295.303</w:t>
      </w:r>
    </w:p>
    <w:p w14:paraId="3C3E7720" w14:textId="77777777" w:rsidR="00F91622" w:rsidRPr="00406E49" w:rsidRDefault="00F91622"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Yousif, R. A., Choudhary, M. I., Ahmed, S. and Ahmed, Q. (2021). Bioaccumulation of heavy metals in fish and other aquatic organisms from Karachi Coast, Pakistan. </w:t>
      </w:r>
      <w:r w:rsidRPr="00406E49">
        <w:rPr>
          <w:rFonts w:ascii="Arial" w:hAnsi="Arial" w:cs="Arial"/>
          <w:i/>
          <w:iCs/>
          <w:noProof/>
          <w:sz w:val="20"/>
          <w:szCs w:val="20"/>
        </w:rPr>
        <w:t>Nusantara Bioscience,</w:t>
      </w:r>
      <w:r w:rsidRPr="00406E49">
        <w:rPr>
          <w:rFonts w:ascii="Arial" w:hAnsi="Arial" w:cs="Arial"/>
          <w:noProof/>
          <w:sz w:val="20"/>
          <w:szCs w:val="20"/>
        </w:rPr>
        <w:t xml:space="preserve"> 13 (1), pp. 73-84. https://doi.org/10.13057/nusbiosci/n130111</w:t>
      </w:r>
    </w:p>
    <w:p w14:paraId="436CEC74" w14:textId="77777777" w:rsidR="000C7DA7" w:rsidRPr="00406E49" w:rsidRDefault="000C7DA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lastRenderedPageBreak/>
        <w:t xml:space="preserve">Yousif, R. A., Masyamsir, Dhahiyat, Y., Sunarto, A. and Zahidah, H. (2016). Assessment the Levels of Heavy Metals and Water Quality in Cikuda River, Indonesia. </w:t>
      </w:r>
      <w:r w:rsidRPr="00406E49">
        <w:rPr>
          <w:rFonts w:ascii="Arial" w:hAnsi="Arial" w:cs="Arial"/>
          <w:i/>
          <w:iCs/>
          <w:noProof/>
          <w:sz w:val="20"/>
          <w:szCs w:val="20"/>
        </w:rPr>
        <w:t>Global Journal of Bio-Science and Biotechnology</w:t>
      </w:r>
      <w:r w:rsidRPr="00406E49">
        <w:rPr>
          <w:rFonts w:ascii="Arial" w:hAnsi="Arial" w:cs="Arial"/>
          <w:noProof/>
          <w:sz w:val="20"/>
          <w:szCs w:val="20"/>
        </w:rPr>
        <w:t>, 5 (2), pp. 240-244. ISSN: 2278 – 9103.</w:t>
      </w:r>
    </w:p>
    <w:p w14:paraId="44B7F236" w14:textId="77777777" w:rsidR="000A7347" w:rsidRPr="00406E49" w:rsidRDefault="000A7347" w:rsidP="0004686A">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Zhang, H., Cui, B., Xiao, R., &amp; Zhao, H. (2010). Heavy metals in water, soils and plants in riparian wetlands in the Pearl River Estuary, South China. </w:t>
      </w:r>
      <w:r w:rsidRPr="00406E49">
        <w:rPr>
          <w:rFonts w:ascii="Arial" w:hAnsi="Arial" w:cs="Arial"/>
          <w:i/>
          <w:iCs/>
          <w:noProof/>
          <w:sz w:val="20"/>
          <w:szCs w:val="20"/>
        </w:rPr>
        <w:t>Procedia Environmental Sciences</w:t>
      </w:r>
      <w:r w:rsidRPr="00406E49">
        <w:rPr>
          <w:rFonts w:ascii="Arial" w:hAnsi="Arial" w:cs="Arial"/>
          <w:noProof/>
          <w:sz w:val="20"/>
          <w:szCs w:val="20"/>
        </w:rPr>
        <w:t xml:space="preserve">, </w:t>
      </w:r>
      <w:r w:rsidRPr="00406E49">
        <w:rPr>
          <w:rFonts w:ascii="Arial" w:hAnsi="Arial" w:cs="Arial"/>
          <w:i/>
          <w:iCs/>
          <w:noProof/>
          <w:sz w:val="20"/>
          <w:szCs w:val="20"/>
        </w:rPr>
        <w:t>2</w:t>
      </w:r>
      <w:r w:rsidRPr="00406E49">
        <w:rPr>
          <w:rFonts w:ascii="Arial" w:hAnsi="Arial" w:cs="Arial"/>
          <w:noProof/>
          <w:sz w:val="20"/>
          <w:szCs w:val="20"/>
        </w:rPr>
        <w:t>, 1344–1354. https://doi.org/https://doi.org/10.1016/j.proenv.2010.10.145</w:t>
      </w:r>
    </w:p>
    <w:p w14:paraId="5FD3D3D0" w14:textId="77777777" w:rsidR="00DC0163" w:rsidRPr="00406E49" w:rsidRDefault="004F3DB3" w:rsidP="0004686A">
      <w:pPr>
        <w:widowControl w:val="0"/>
        <w:autoSpaceDE w:val="0"/>
        <w:autoSpaceDN w:val="0"/>
        <w:adjustRightInd w:val="0"/>
        <w:spacing w:line="240" w:lineRule="auto"/>
        <w:jc w:val="both"/>
        <w:rPr>
          <w:rFonts w:ascii="Arial" w:hAnsi="Arial" w:cs="Arial"/>
          <w:sz w:val="20"/>
          <w:szCs w:val="20"/>
        </w:rPr>
      </w:pPr>
      <w:r w:rsidRPr="00406E49">
        <w:rPr>
          <w:rFonts w:ascii="Arial" w:hAnsi="Arial" w:cs="Arial"/>
          <w:sz w:val="20"/>
          <w:szCs w:val="20"/>
        </w:rPr>
        <w:fldChar w:fldCharType="end"/>
      </w:r>
      <w:r w:rsidRPr="00406E49">
        <w:rPr>
          <w:rFonts w:ascii="Arial" w:hAnsi="Arial" w:cs="Arial"/>
          <w:sz w:val="20"/>
          <w:szCs w:val="20"/>
        </w:rPr>
        <w:t xml:space="preserve"> </w:t>
      </w:r>
    </w:p>
    <w:p w14:paraId="5C71B65E" w14:textId="77777777" w:rsidR="00DC0163" w:rsidRPr="00406E49" w:rsidRDefault="00DC0163" w:rsidP="0004686A">
      <w:pPr>
        <w:spacing w:line="240" w:lineRule="auto"/>
        <w:jc w:val="both"/>
        <w:rPr>
          <w:rFonts w:ascii="Arial" w:hAnsi="Arial" w:cs="Arial"/>
          <w:sz w:val="20"/>
          <w:szCs w:val="20"/>
        </w:rPr>
      </w:pPr>
    </w:p>
    <w:sectPr w:rsidR="00DC0163" w:rsidRPr="00406E49" w:rsidSect="00C57E2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62736" w14:textId="77777777" w:rsidR="008472AF" w:rsidRDefault="008472AF" w:rsidP="00AE4D52">
      <w:pPr>
        <w:spacing w:after="0" w:line="240" w:lineRule="auto"/>
      </w:pPr>
      <w:r>
        <w:separator/>
      </w:r>
    </w:p>
  </w:endnote>
  <w:endnote w:type="continuationSeparator" w:id="0">
    <w:p w14:paraId="255D8A42" w14:textId="77777777" w:rsidR="008472AF" w:rsidRDefault="008472AF" w:rsidP="00AE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7438" w14:textId="77777777" w:rsidR="00C57E26" w:rsidRDefault="00C57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3047" w14:textId="77777777" w:rsidR="00C57E26" w:rsidRDefault="00C57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6FD7" w14:textId="77777777" w:rsidR="00C57E26" w:rsidRDefault="00C57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B573B" w14:textId="77777777" w:rsidR="008472AF" w:rsidRDefault="008472AF" w:rsidP="00AE4D52">
      <w:pPr>
        <w:spacing w:after="0" w:line="240" w:lineRule="auto"/>
      </w:pPr>
      <w:r>
        <w:separator/>
      </w:r>
    </w:p>
  </w:footnote>
  <w:footnote w:type="continuationSeparator" w:id="0">
    <w:p w14:paraId="269CB561" w14:textId="77777777" w:rsidR="008472AF" w:rsidRDefault="008472AF" w:rsidP="00AE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493A" w14:textId="2ABC65A1" w:rsidR="00C57E26" w:rsidRDefault="003058A1">
    <w:pPr>
      <w:pStyle w:val="Header"/>
    </w:pPr>
    <w:r>
      <w:rPr>
        <w:noProof/>
      </w:rPr>
      <w:pict w14:anchorId="2E310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C046" w14:textId="40E324B0" w:rsidR="00C57E26" w:rsidRDefault="003058A1">
    <w:pPr>
      <w:pStyle w:val="Header"/>
    </w:pPr>
    <w:r>
      <w:rPr>
        <w:noProof/>
      </w:rPr>
      <w:pict w14:anchorId="0C94B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88A8" w14:textId="4E1C7205" w:rsidR="00C57E26" w:rsidRDefault="003058A1">
    <w:pPr>
      <w:pStyle w:val="Header"/>
    </w:pPr>
    <w:r>
      <w:rPr>
        <w:noProof/>
      </w:rPr>
      <w:pict w14:anchorId="3AD66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4B15"/>
    <w:multiLevelType w:val="hybridMultilevel"/>
    <w:tmpl w:val="A00C89C4"/>
    <w:lvl w:ilvl="0" w:tplc="9FDEAA4C">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wMbQwsjQxMLMwMjFS0lEKTi0uzszPAykwrAUA01fZMywAAAA="/>
  </w:docVars>
  <w:rsids>
    <w:rsidRoot w:val="001137D5"/>
    <w:rsid w:val="000052DC"/>
    <w:rsid w:val="00005D89"/>
    <w:rsid w:val="000149DB"/>
    <w:rsid w:val="00015E6D"/>
    <w:rsid w:val="0001614B"/>
    <w:rsid w:val="0002060C"/>
    <w:rsid w:val="0002411C"/>
    <w:rsid w:val="00026A72"/>
    <w:rsid w:val="0002749A"/>
    <w:rsid w:val="000313D9"/>
    <w:rsid w:val="00031E88"/>
    <w:rsid w:val="000329A9"/>
    <w:rsid w:val="00033266"/>
    <w:rsid w:val="00035935"/>
    <w:rsid w:val="00035DF5"/>
    <w:rsid w:val="00036A42"/>
    <w:rsid w:val="00043200"/>
    <w:rsid w:val="0004557B"/>
    <w:rsid w:val="0004686A"/>
    <w:rsid w:val="00047989"/>
    <w:rsid w:val="00050983"/>
    <w:rsid w:val="00056F0D"/>
    <w:rsid w:val="00066120"/>
    <w:rsid w:val="00066989"/>
    <w:rsid w:val="00074222"/>
    <w:rsid w:val="000751E9"/>
    <w:rsid w:val="00075A16"/>
    <w:rsid w:val="00076E26"/>
    <w:rsid w:val="00077749"/>
    <w:rsid w:val="00085026"/>
    <w:rsid w:val="00094307"/>
    <w:rsid w:val="000951E1"/>
    <w:rsid w:val="000A7347"/>
    <w:rsid w:val="000B1B23"/>
    <w:rsid w:val="000B215D"/>
    <w:rsid w:val="000B4061"/>
    <w:rsid w:val="000C4B5E"/>
    <w:rsid w:val="000C4DB9"/>
    <w:rsid w:val="000C6BD0"/>
    <w:rsid w:val="000C7DA7"/>
    <w:rsid w:val="000D087F"/>
    <w:rsid w:val="000D1C92"/>
    <w:rsid w:val="000D1D65"/>
    <w:rsid w:val="000D3EE9"/>
    <w:rsid w:val="000D4629"/>
    <w:rsid w:val="000D6FA8"/>
    <w:rsid w:val="000E256A"/>
    <w:rsid w:val="000E5B32"/>
    <w:rsid w:val="000E6015"/>
    <w:rsid w:val="000F034F"/>
    <w:rsid w:val="000F20AE"/>
    <w:rsid w:val="000F3C36"/>
    <w:rsid w:val="000F675F"/>
    <w:rsid w:val="000F6D0F"/>
    <w:rsid w:val="00103351"/>
    <w:rsid w:val="00105E35"/>
    <w:rsid w:val="00111EC0"/>
    <w:rsid w:val="001137D5"/>
    <w:rsid w:val="00113BAA"/>
    <w:rsid w:val="00126BB0"/>
    <w:rsid w:val="001302B1"/>
    <w:rsid w:val="00130EEF"/>
    <w:rsid w:val="00131D71"/>
    <w:rsid w:val="00131FA3"/>
    <w:rsid w:val="001327C7"/>
    <w:rsid w:val="00137B5C"/>
    <w:rsid w:val="00140921"/>
    <w:rsid w:val="001419FC"/>
    <w:rsid w:val="0014366B"/>
    <w:rsid w:val="00143D4C"/>
    <w:rsid w:val="00145FA5"/>
    <w:rsid w:val="00147917"/>
    <w:rsid w:val="001501E1"/>
    <w:rsid w:val="0015053C"/>
    <w:rsid w:val="00152AEE"/>
    <w:rsid w:val="00153A47"/>
    <w:rsid w:val="00153C53"/>
    <w:rsid w:val="0015410A"/>
    <w:rsid w:val="00157C48"/>
    <w:rsid w:val="00160502"/>
    <w:rsid w:val="0016092A"/>
    <w:rsid w:val="00175772"/>
    <w:rsid w:val="001773FD"/>
    <w:rsid w:val="00184028"/>
    <w:rsid w:val="00193FD3"/>
    <w:rsid w:val="001940F0"/>
    <w:rsid w:val="00195162"/>
    <w:rsid w:val="0019747A"/>
    <w:rsid w:val="001A4F5A"/>
    <w:rsid w:val="001A5F86"/>
    <w:rsid w:val="001B0626"/>
    <w:rsid w:val="001B2B0D"/>
    <w:rsid w:val="001B4E59"/>
    <w:rsid w:val="001D34F6"/>
    <w:rsid w:val="001D4BAE"/>
    <w:rsid w:val="001E290E"/>
    <w:rsid w:val="001E332E"/>
    <w:rsid w:val="001E49BC"/>
    <w:rsid w:val="001E6166"/>
    <w:rsid w:val="001F26A6"/>
    <w:rsid w:val="001F4B33"/>
    <w:rsid w:val="00200C95"/>
    <w:rsid w:val="002043A3"/>
    <w:rsid w:val="00204B23"/>
    <w:rsid w:val="0020663E"/>
    <w:rsid w:val="002079D9"/>
    <w:rsid w:val="002111B0"/>
    <w:rsid w:val="00211983"/>
    <w:rsid w:val="00212CB2"/>
    <w:rsid w:val="002158AC"/>
    <w:rsid w:val="002219CD"/>
    <w:rsid w:val="00223A61"/>
    <w:rsid w:val="00223E0F"/>
    <w:rsid w:val="0022420C"/>
    <w:rsid w:val="00224F58"/>
    <w:rsid w:val="00227AFD"/>
    <w:rsid w:val="00230C5E"/>
    <w:rsid w:val="00232439"/>
    <w:rsid w:val="00233512"/>
    <w:rsid w:val="0023467C"/>
    <w:rsid w:val="00240445"/>
    <w:rsid w:val="0024117D"/>
    <w:rsid w:val="0024281B"/>
    <w:rsid w:val="00243A28"/>
    <w:rsid w:val="00247129"/>
    <w:rsid w:val="002478E7"/>
    <w:rsid w:val="00252D98"/>
    <w:rsid w:val="00252F22"/>
    <w:rsid w:val="00256E5B"/>
    <w:rsid w:val="00257831"/>
    <w:rsid w:val="002625A8"/>
    <w:rsid w:val="00264FB8"/>
    <w:rsid w:val="00272AEB"/>
    <w:rsid w:val="0027730E"/>
    <w:rsid w:val="00280511"/>
    <w:rsid w:val="0028106E"/>
    <w:rsid w:val="00284360"/>
    <w:rsid w:val="0028488A"/>
    <w:rsid w:val="00285845"/>
    <w:rsid w:val="002917E1"/>
    <w:rsid w:val="002923B4"/>
    <w:rsid w:val="0029278F"/>
    <w:rsid w:val="0029419B"/>
    <w:rsid w:val="002941F9"/>
    <w:rsid w:val="002964B2"/>
    <w:rsid w:val="002A16B5"/>
    <w:rsid w:val="002A1EB3"/>
    <w:rsid w:val="002A4264"/>
    <w:rsid w:val="002A5910"/>
    <w:rsid w:val="002B0784"/>
    <w:rsid w:val="002B21F6"/>
    <w:rsid w:val="002B433F"/>
    <w:rsid w:val="002B59FD"/>
    <w:rsid w:val="002B7187"/>
    <w:rsid w:val="002B7D52"/>
    <w:rsid w:val="002C362C"/>
    <w:rsid w:val="002C7572"/>
    <w:rsid w:val="002C7B9E"/>
    <w:rsid w:val="002D0810"/>
    <w:rsid w:val="002D301D"/>
    <w:rsid w:val="002D4A67"/>
    <w:rsid w:val="002E09E8"/>
    <w:rsid w:val="002E2813"/>
    <w:rsid w:val="002E28EF"/>
    <w:rsid w:val="002E45A5"/>
    <w:rsid w:val="002E4968"/>
    <w:rsid w:val="002E500B"/>
    <w:rsid w:val="002E5E00"/>
    <w:rsid w:val="002E796E"/>
    <w:rsid w:val="002F17B3"/>
    <w:rsid w:val="002F2824"/>
    <w:rsid w:val="002F2A83"/>
    <w:rsid w:val="002F739F"/>
    <w:rsid w:val="002F7F72"/>
    <w:rsid w:val="00303A74"/>
    <w:rsid w:val="00304CC2"/>
    <w:rsid w:val="003058A1"/>
    <w:rsid w:val="0031013B"/>
    <w:rsid w:val="003122ED"/>
    <w:rsid w:val="00324AFE"/>
    <w:rsid w:val="00325854"/>
    <w:rsid w:val="00326B75"/>
    <w:rsid w:val="00327249"/>
    <w:rsid w:val="00330402"/>
    <w:rsid w:val="00330AC9"/>
    <w:rsid w:val="00334AC7"/>
    <w:rsid w:val="003356DB"/>
    <w:rsid w:val="00336239"/>
    <w:rsid w:val="00336752"/>
    <w:rsid w:val="003445AD"/>
    <w:rsid w:val="00344D6F"/>
    <w:rsid w:val="003501D2"/>
    <w:rsid w:val="0035352A"/>
    <w:rsid w:val="0035457F"/>
    <w:rsid w:val="003552D4"/>
    <w:rsid w:val="00363CBF"/>
    <w:rsid w:val="003654A0"/>
    <w:rsid w:val="00365A0A"/>
    <w:rsid w:val="00374DE5"/>
    <w:rsid w:val="00386553"/>
    <w:rsid w:val="00397DBC"/>
    <w:rsid w:val="003A58FE"/>
    <w:rsid w:val="003B1753"/>
    <w:rsid w:val="003B1905"/>
    <w:rsid w:val="003B45A5"/>
    <w:rsid w:val="003B5154"/>
    <w:rsid w:val="003C4746"/>
    <w:rsid w:val="003D1B9D"/>
    <w:rsid w:val="003D5BC7"/>
    <w:rsid w:val="003E0E7B"/>
    <w:rsid w:val="003E0FDD"/>
    <w:rsid w:val="003E5731"/>
    <w:rsid w:val="003E6EC6"/>
    <w:rsid w:val="003F1C38"/>
    <w:rsid w:val="003F1E42"/>
    <w:rsid w:val="003F4AC8"/>
    <w:rsid w:val="003F56D0"/>
    <w:rsid w:val="003F5FDD"/>
    <w:rsid w:val="00401B93"/>
    <w:rsid w:val="00405EAE"/>
    <w:rsid w:val="00406E49"/>
    <w:rsid w:val="004079A3"/>
    <w:rsid w:val="00410855"/>
    <w:rsid w:val="00410A17"/>
    <w:rsid w:val="004173AD"/>
    <w:rsid w:val="00422E9A"/>
    <w:rsid w:val="004257F1"/>
    <w:rsid w:val="0042723A"/>
    <w:rsid w:val="0044047E"/>
    <w:rsid w:val="00440D32"/>
    <w:rsid w:val="00442703"/>
    <w:rsid w:val="004433D5"/>
    <w:rsid w:val="00444153"/>
    <w:rsid w:val="00447B25"/>
    <w:rsid w:val="00452D7A"/>
    <w:rsid w:val="0045347A"/>
    <w:rsid w:val="0045374C"/>
    <w:rsid w:val="00455489"/>
    <w:rsid w:val="00461732"/>
    <w:rsid w:val="00462165"/>
    <w:rsid w:val="00463814"/>
    <w:rsid w:val="00466270"/>
    <w:rsid w:val="00467EDE"/>
    <w:rsid w:val="00471688"/>
    <w:rsid w:val="00490940"/>
    <w:rsid w:val="00490C6C"/>
    <w:rsid w:val="0049339F"/>
    <w:rsid w:val="00496E24"/>
    <w:rsid w:val="004971A4"/>
    <w:rsid w:val="004A0416"/>
    <w:rsid w:val="004A1502"/>
    <w:rsid w:val="004A20DB"/>
    <w:rsid w:val="004A2174"/>
    <w:rsid w:val="004A279A"/>
    <w:rsid w:val="004A6A7F"/>
    <w:rsid w:val="004B1DCF"/>
    <w:rsid w:val="004B34B2"/>
    <w:rsid w:val="004B4AF5"/>
    <w:rsid w:val="004C1F6A"/>
    <w:rsid w:val="004C31EE"/>
    <w:rsid w:val="004C3F5F"/>
    <w:rsid w:val="004C49FC"/>
    <w:rsid w:val="004C6B45"/>
    <w:rsid w:val="004D4C42"/>
    <w:rsid w:val="004E0A61"/>
    <w:rsid w:val="004E16B6"/>
    <w:rsid w:val="004E22ED"/>
    <w:rsid w:val="004E4C3F"/>
    <w:rsid w:val="004E4E53"/>
    <w:rsid w:val="004F0E89"/>
    <w:rsid w:val="004F1832"/>
    <w:rsid w:val="004F225E"/>
    <w:rsid w:val="004F2559"/>
    <w:rsid w:val="004F3DB3"/>
    <w:rsid w:val="004F72BF"/>
    <w:rsid w:val="00503FCC"/>
    <w:rsid w:val="00511E08"/>
    <w:rsid w:val="00511E0C"/>
    <w:rsid w:val="00511E30"/>
    <w:rsid w:val="00520CF8"/>
    <w:rsid w:val="005270CE"/>
    <w:rsid w:val="00527515"/>
    <w:rsid w:val="00531485"/>
    <w:rsid w:val="00532C3D"/>
    <w:rsid w:val="00532FF3"/>
    <w:rsid w:val="005365E5"/>
    <w:rsid w:val="00540DA6"/>
    <w:rsid w:val="005459FC"/>
    <w:rsid w:val="005538AE"/>
    <w:rsid w:val="00553C2A"/>
    <w:rsid w:val="00555BBD"/>
    <w:rsid w:val="00557686"/>
    <w:rsid w:val="0056307B"/>
    <w:rsid w:val="00564666"/>
    <w:rsid w:val="00567254"/>
    <w:rsid w:val="00573171"/>
    <w:rsid w:val="00573511"/>
    <w:rsid w:val="00573546"/>
    <w:rsid w:val="0057449F"/>
    <w:rsid w:val="00576DEB"/>
    <w:rsid w:val="00587717"/>
    <w:rsid w:val="005903CE"/>
    <w:rsid w:val="0059060F"/>
    <w:rsid w:val="0059140E"/>
    <w:rsid w:val="0059154E"/>
    <w:rsid w:val="00597BB7"/>
    <w:rsid w:val="005A3660"/>
    <w:rsid w:val="005A4009"/>
    <w:rsid w:val="005A43A3"/>
    <w:rsid w:val="005A69A0"/>
    <w:rsid w:val="005B062F"/>
    <w:rsid w:val="005B43B0"/>
    <w:rsid w:val="005B5CA4"/>
    <w:rsid w:val="005C4D76"/>
    <w:rsid w:val="005D01A7"/>
    <w:rsid w:val="005D51AB"/>
    <w:rsid w:val="005D5F56"/>
    <w:rsid w:val="005D7928"/>
    <w:rsid w:val="005E352E"/>
    <w:rsid w:val="005E3F42"/>
    <w:rsid w:val="005F1683"/>
    <w:rsid w:val="005F173A"/>
    <w:rsid w:val="005F206F"/>
    <w:rsid w:val="005F4440"/>
    <w:rsid w:val="005F45B4"/>
    <w:rsid w:val="005F5E68"/>
    <w:rsid w:val="006011D0"/>
    <w:rsid w:val="006024D2"/>
    <w:rsid w:val="00604E4A"/>
    <w:rsid w:val="0061389E"/>
    <w:rsid w:val="00614CDD"/>
    <w:rsid w:val="00615B6B"/>
    <w:rsid w:val="006177D3"/>
    <w:rsid w:val="00622864"/>
    <w:rsid w:val="0062441E"/>
    <w:rsid w:val="00624F26"/>
    <w:rsid w:val="006258E1"/>
    <w:rsid w:val="00630DCD"/>
    <w:rsid w:val="00632C35"/>
    <w:rsid w:val="00642714"/>
    <w:rsid w:val="0064448F"/>
    <w:rsid w:val="00644957"/>
    <w:rsid w:val="00651AAE"/>
    <w:rsid w:val="00655727"/>
    <w:rsid w:val="00656166"/>
    <w:rsid w:val="00656F9D"/>
    <w:rsid w:val="006578CE"/>
    <w:rsid w:val="00676824"/>
    <w:rsid w:val="00677041"/>
    <w:rsid w:val="006835B2"/>
    <w:rsid w:val="0068647C"/>
    <w:rsid w:val="00687528"/>
    <w:rsid w:val="00691B0E"/>
    <w:rsid w:val="00693B61"/>
    <w:rsid w:val="00693ED0"/>
    <w:rsid w:val="00695E27"/>
    <w:rsid w:val="006A0A2B"/>
    <w:rsid w:val="006A1328"/>
    <w:rsid w:val="006B036C"/>
    <w:rsid w:val="006B03FF"/>
    <w:rsid w:val="006B1220"/>
    <w:rsid w:val="006B2A60"/>
    <w:rsid w:val="006B409D"/>
    <w:rsid w:val="006B4145"/>
    <w:rsid w:val="006B5780"/>
    <w:rsid w:val="006B63E9"/>
    <w:rsid w:val="006B7544"/>
    <w:rsid w:val="006B78A6"/>
    <w:rsid w:val="006C0FFD"/>
    <w:rsid w:val="006C4C69"/>
    <w:rsid w:val="006C501F"/>
    <w:rsid w:val="006C62A9"/>
    <w:rsid w:val="006D1720"/>
    <w:rsid w:val="006D1C6D"/>
    <w:rsid w:val="006D232A"/>
    <w:rsid w:val="006D4846"/>
    <w:rsid w:val="006D6464"/>
    <w:rsid w:val="006D792E"/>
    <w:rsid w:val="006E10B3"/>
    <w:rsid w:val="006E64A9"/>
    <w:rsid w:val="006F1CBB"/>
    <w:rsid w:val="006F206E"/>
    <w:rsid w:val="006F3906"/>
    <w:rsid w:val="006F50D7"/>
    <w:rsid w:val="006F53B7"/>
    <w:rsid w:val="006F5DDA"/>
    <w:rsid w:val="006F5E5C"/>
    <w:rsid w:val="007003E9"/>
    <w:rsid w:val="00700695"/>
    <w:rsid w:val="0070426D"/>
    <w:rsid w:val="00711393"/>
    <w:rsid w:val="00712771"/>
    <w:rsid w:val="00722D6E"/>
    <w:rsid w:val="00732040"/>
    <w:rsid w:val="00732A31"/>
    <w:rsid w:val="007353E6"/>
    <w:rsid w:val="00736CE4"/>
    <w:rsid w:val="00737A95"/>
    <w:rsid w:val="00752CC4"/>
    <w:rsid w:val="00756FCD"/>
    <w:rsid w:val="007635D7"/>
    <w:rsid w:val="00763E5A"/>
    <w:rsid w:val="00766052"/>
    <w:rsid w:val="007909D5"/>
    <w:rsid w:val="00792C00"/>
    <w:rsid w:val="00794B54"/>
    <w:rsid w:val="0079575A"/>
    <w:rsid w:val="00796664"/>
    <w:rsid w:val="00796C23"/>
    <w:rsid w:val="007971C1"/>
    <w:rsid w:val="007A07B5"/>
    <w:rsid w:val="007A156D"/>
    <w:rsid w:val="007A582A"/>
    <w:rsid w:val="007B548F"/>
    <w:rsid w:val="007B74F5"/>
    <w:rsid w:val="007C16DA"/>
    <w:rsid w:val="007C5E5E"/>
    <w:rsid w:val="007D1B16"/>
    <w:rsid w:val="007D38E4"/>
    <w:rsid w:val="007D4ABF"/>
    <w:rsid w:val="007D545B"/>
    <w:rsid w:val="007D5E66"/>
    <w:rsid w:val="007D6C3B"/>
    <w:rsid w:val="007D6CE9"/>
    <w:rsid w:val="007E476F"/>
    <w:rsid w:val="007E51D2"/>
    <w:rsid w:val="007E6304"/>
    <w:rsid w:val="007E6729"/>
    <w:rsid w:val="007E7DD4"/>
    <w:rsid w:val="007F2E9A"/>
    <w:rsid w:val="008016C5"/>
    <w:rsid w:val="00805663"/>
    <w:rsid w:val="00805CDC"/>
    <w:rsid w:val="00810271"/>
    <w:rsid w:val="00817000"/>
    <w:rsid w:val="008175C2"/>
    <w:rsid w:val="0082014F"/>
    <w:rsid w:val="00821603"/>
    <w:rsid w:val="00822060"/>
    <w:rsid w:val="00826BB3"/>
    <w:rsid w:val="00830DE6"/>
    <w:rsid w:val="00833BCB"/>
    <w:rsid w:val="0084025C"/>
    <w:rsid w:val="008415C2"/>
    <w:rsid w:val="0084381D"/>
    <w:rsid w:val="00843DE7"/>
    <w:rsid w:val="008472AF"/>
    <w:rsid w:val="0085316D"/>
    <w:rsid w:val="00857463"/>
    <w:rsid w:val="008649CD"/>
    <w:rsid w:val="00873E5A"/>
    <w:rsid w:val="00876D74"/>
    <w:rsid w:val="00881875"/>
    <w:rsid w:val="00886CBF"/>
    <w:rsid w:val="008927CD"/>
    <w:rsid w:val="008955D2"/>
    <w:rsid w:val="008A0EE6"/>
    <w:rsid w:val="008A2155"/>
    <w:rsid w:val="008A21FC"/>
    <w:rsid w:val="008A43EB"/>
    <w:rsid w:val="008B15C1"/>
    <w:rsid w:val="008B70A7"/>
    <w:rsid w:val="008C0D1A"/>
    <w:rsid w:val="008D22F2"/>
    <w:rsid w:val="008D6C70"/>
    <w:rsid w:val="008E0649"/>
    <w:rsid w:val="008E1C63"/>
    <w:rsid w:val="008F0E48"/>
    <w:rsid w:val="008F1F87"/>
    <w:rsid w:val="008F294D"/>
    <w:rsid w:val="009032B5"/>
    <w:rsid w:val="00907D6C"/>
    <w:rsid w:val="00914DBC"/>
    <w:rsid w:val="00926651"/>
    <w:rsid w:val="00931A04"/>
    <w:rsid w:val="009365E1"/>
    <w:rsid w:val="009372BA"/>
    <w:rsid w:val="009377B5"/>
    <w:rsid w:val="00942CE9"/>
    <w:rsid w:val="00943AA7"/>
    <w:rsid w:val="00946EDA"/>
    <w:rsid w:val="00951299"/>
    <w:rsid w:val="009643C7"/>
    <w:rsid w:val="00965C02"/>
    <w:rsid w:val="0096642C"/>
    <w:rsid w:val="009729A5"/>
    <w:rsid w:val="009740F0"/>
    <w:rsid w:val="00974654"/>
    <w:rsid w:val="00976B26"/>
    <w:rsid w:val="00981E78"/>
    <w:rsid w:val="00983C9A"/>
    <w:rsid w:val="00986597"/>
    <w:rsid w:val="00990734"/>
    <w:rsid w:val="00997F5F"/>
    <w:rsid w:val="00997FEA"/>
    <w:rsid w:val="009A055F"/>
    <w:rsid w:val="009A4439"/>
    <w:rsid w:val="009A711F"/>
    <w:rsid w:val="009B104C"/>
    <w:rsid w:val="009B43E9"/>
    <w:rsid w:val="009B7C06"/>
    <w:rsid w:val="009B7E74"/>
    <w:rsid w:val="009C4494"/>
    <w:rsid w:val="009C661C"/>
    <w:rsid w:val="009C6C35"/>
    <w:rsid w:val="009D0A2D"/>
    <w:rsid w:val="009D782E"/>
    <w:rsid w:val="009E0064"/>
    <w:rsid w:val="009E1595"/>
    <w:rsid w:val="009E280C"/>
    <w:rsid w:val="009E72B0"/>
    <w:rsid w:val="009E74A3"/>
    <w:rsid w:val="009F0F7D"/>
    <w:rsid w:val="009F253B"/>
    <w:rsid w:val="009F3CBD"/>
    <w:rsid w:val="009F4E08"/>
    <w:rsid w:val="009F5568"/>
    <w:rsid w:val="009F7E95"/>
    <w:rsid w:val="00A02773"/>
    <w:rsid w:val="00A02EA4"/>
    <w:rsid w:val="00A107CE"/>
    <w:rsid w:val="00A11496"/>
    <w:rsid w:val="00A11AA8"/>
    <w:rsid w:val="00A13382"/>
    <w:rsid w:val="00A14B39"/>
    <w:rsid w:val="00A16615"/>
    <w:rsid w:val="00A25651"/>
    <w:rsid w:val="00A26001"/>
    <w:rsid w:val="00A27C9B"/>
    <w:rsid w:val="00A3334B"/>
    <w:rsid w:val="00A33744"/>
    <w:rsid w:val="00A37229"/>
    <w:rsid w:val="00A50D5E"/>
    <w:rsid w:val="00A56487"/>
    <w:rsid w:val="00A57FA9"/>
    <w:rsid w:val="00A63DBC"/>
    <w:rsid w:val="00A6499D"/>
    <w:rsid w:val="00A67C88"/>
    <w:rsid w:val="00A72138"/>
    <w:rsid w:val="00A740E6"/>
    <w:rsid w:val="00A75621"/>
    <w:rsid w:val="00A77C60"/>
    <w:rsid w:val="00A80733"/>
    <w:rsid w:val="00A82D11"/>
    <w:rsid w:val="00A867A0"/>
    <w:rsid w:val="00A86AB3"/>
    <w:rsid w:val="00A874A3"/>
    <w:rsid w:val="00A9276D"/>
    <w:rsid w:val="00A92B15"/>
    <w:rsid w:val="00A93C7A"/>
    <w:rsid w:val="00AA0C69"/>
    <w:rsid w:val="00AA1539"/>
    <w:rsid w:val="00AA40F8"/>
    <w:rsid w:val="00AA5016"/>
    <w:rsid w:val="00AB0B2E"/>
    <w:rsid w:val="00AB5009"/>
    <w:rsid w:val="00AC26BD"/>
    <w:rsid w:val="00AC48FB"/>
    <w:rsid w:val="00AC5A21"/>
    <w:rsid w:val="00AC5C08"/>
    <w:rsid w:val="00AC7590"/>
    <w:rsid w:val="00AD3BA5"/>
    <w:rsid w:val="00AD491B"/>
    <w:rsid w:val="00AD64CF"/>
    <w:rsid w:val="00AD78DB"/>
    <w:rsid w:val="00AE171D"/>
    <w:rsid w:val="00AE3598"/>
    <w:rsid w:val="00AE4D52"/>
    <w:rsid w:val="00AE5B6A"/>
    <w:rsid w:val="00AE66BF"/>
    <w:rsid w:val="00AF2768"/>
    <w:rsid w:val="00AF3052"/>
    <w:rsid w:val="00AF4F15"/>
    <w:rsid w:val="00AF5F7F"/>
    <w:rsid w:val="00AF6D45"/>
    <w:rsid w:val="00AF7F57"/>
    <w:rsid w:val="00B0002B"/>
    <w:rsid w:val="00B071DE"/>
    <w:rsid w:val="00B21943"/>
    <w:rsid w:val="00B24A10"/>
    <w:rsid w:val="00B276E7"/>
    <w:rsid w:val="00B27F2E"/>
    <w:rsid w:val="00B348AC"/>
    <w:rsid w:val="00B35020"/>
    <w:rsid w:val="00B3631C"/>
    <w:rsid w:val="00B44B28"/>
    <w:rsid w:val="00B45894"/>
    <w:rsid w:val="00B45A80"/>
    <w:rsid w:val="00B51638"/>
    <w:rsid w:val="00B51FA0"/>
    <w:rsid w:val="00B522D1"/>
    <w:rsid w:val="00B52ECF"/>
    <w:rsid w:val="00B61694"/>
    <w:rsid w:val="00B6235C"/>
    <w:rsid w:val="00B63CFC"/>
    <w:rsid w:val="00B64462"/>
    <w:rsid w:val="00B64493"/>
    <w:rsid w:val="00B64662"/>
    <w:rsid w:val="00B6559E"/>
    <w:rsid w:val="00B65ECE"/>
    <w:rsid w:val="00B70978"/>
    <w:rsid w:val="00B70A34"/>
    <w:rsid w:val="00B73622"/>
    <w:rsid w:val="00B73C13"/>
    <w:rsid w:val="00B81F63"/>
    <w:rsid w:val="00B842A2"/>
    <w:rsid w:val="00B87FD5"/>
    <w:rsid w:val="00BA0220"/>
    <w:rsid w:val="00BA1B90"/>
    <w:rsid w:val="00BA4401"/>
    <w:rsid w:val="00BA4518"/>
    <w:rsid w:val="00BB31D6"/>
    <w:rsid w:val="00BB321E"/>
    <w:rsid w:val="00BB3A9B"/>
    <w:rsid w:val="00BC7D80"/>
    <w:rsid w:val="00BD5192"/>
    <w:rsid w:val="00BD5242"/>
    <w:rsid w:val="00BE3A50"/>
    <w:rsid w:val="00BE5E3A"/>
    <w:rsid w:val="00BE6A4E"/>
    <w:rsid w:val="00BE7791"/>
    <w:rsid w:val="00BF17D1"/>
    <w:rsid w:val="00BF2F06"/>
    <w:rsid w:val="00BF48D6"/>
    <w:rsid w:val="00C0156D"/>
    <w:rsid w:val="00C039C7"/>
    <w:rsid w:val="00C10AAE"/>
    <w:rsid w:val="00C12457"/>
    <w:rsid w:val="00C1523E"/>
    <w:rsid w:val="00C16C89"/>
    <w:rsid w:val="00C179CA"/>
    <w:rsid w:val="00C202DF"/>
    <w:rsid w:val="00C20BA3"/>
    <w:rsid w:val="00C21AC7"/>
    <w:rsid w:val="00C324DF"/>
    <w:rsid w:val="00C33B14"/>
    <w:rsid w:val="00C41230"/>
    <w:rsid w:val="00C4291C"/>
    <w:rsid w:val="00C46368"/>
    <w:rsid w:val="00C51176"/>
    <w:rsid w:val="00C51F9D"/>
    <w:rsid w:val="00C52876"/>
    <w:rsid w:val="00C5363F"/>
    <w:rsid w:val="00C54B27"/>
    <w:rsid w:val="00C55261"/>
    <w:rsid w:val="00C5580F"/>
    <w:rsid w:val="00C56BE2"/>
    <w:rsid w:val="00C57E26"/>
    <w:rsid w:val="00C57E3D"/>
    <w:rsid w:val="00C63BDD"/>
    <w:rsid w:val="00C71CF2"/>
    <w:rsid w:val="00C7314B"/>
    <w:rsid w:val="00C80A73"/>
    <w:rsid w:val="00C8515A"/>
    <w:rsid w:val="00C851B5"/>
    <w:rsid w:val="00C92A7F"/>
    <w:rsid w:val="00C93CAF"/>
    <w:rsid w:val="00CA1A39"/>
    <w:rsid w:val="00CA1D45"/>
    <w:rsid w:val="00CB1481"/>
    <w:rsid w:val="00CB2379"/>
    <w:rsid w:val="00CB56D7"/>
    <w:rsid w:val="00CC1780"/>
    <w:rsid w:val="00CC580B"/>
    <w:rsid w:val="00CD0666"/>
    <w:rsid w:val="00CD1B83"/>
    <w:rsid w:val="00CD465C"/>
    <w:rsid w:val="00CD79AF"/>
    <w:rsid w:val="00CE0751"/>
    <w:rsid w:val="00CE0E66"/>
    <w:rsid w:val="00CE1604"/>
    <w:rsid w:val="00CE1DD7"/>
    <w:rsid w:val="00CE2136"/>
    <w:rsid w:val="00CF29F4"/>
    <w:rsid w:val="00CF506B"/>
    <w:rsid w:val="00CF526B"/>
    <w:rsid w:val="00CF53D6"/>
    <w:rsid w:val="00D03241"/>
    <w:rsid w:val="00D0602B"/>
    <w:rsid w:val="00D10781"/>
    <w:rsid w:val="00D11822"/>
    <w:rsid w:val="00D14277"/>
    <w:rsid w:val="00D17287"/>
    <w:rsid w:val="00D17361"/>
    <w:rsid w:val="00D21D02"/>
    <w:rsid w:val="00D22E89"/>
    <w:rsid w:val="00D24976"/>
    <w:rsid w:val="00D315B0"/>
    <w:rsid w:val="00D41A9D"/>
    <w:rsid w:val="00D42174"/>
    <w:rsid w:val="00D4428B"/>
    <w:rsid w:val="00D452A7"/>
    <w:rsid w:val="00D47668"/>
    <w:rsid w:val="00D5061B"/>
    <w:rsid w:val="00D5462C"/>
    <w:rsid w:val="00D54BB3"/>
    <w:rsid w:val="00D578B8"/>
    <w:rsid w:val="00D60AAB"/>
    <w:rsid w:val="00D61FBB"/>
    <w:rsid w:val="00D6525B"/>
    <w:rsid w:val="00D6622F"/>
    <w:rsid w:val="00D66E2F"/>
    <w:rsid w:val="00D67958"/>
    <w:rsid w:val="00D71F68"/>
    <w:rsid w:val="00D734F0"/>
    <w:rsid w:val="00D80408"/>
    <w:rsid w:val="00D83FD4"/>
    <w:rsid w:val="00D85A5D"/>
    <w:rsid w:val="00D86384"/>
    <w:rsid w:val="00D870D5"/>
    <w:rsid w:val="00D91143"/>
    <w:rsid w:val="00D92B15"/>
    <w:rsid w:val="00D93C7C"/>
    <w:rsid w:val="00D95CF9"/>
    <w:rsid w:val="00D962D2"/>
    <w:rsid w:val="00D9714C"/>
    <w:rsid w:val="00D97812"/>
    <w:rsid w:val="00DA3BE7"/>
    <w:rsid w:val="00DB1A5E"/>
    <w:rsid w:val="00DB4544"/>
    <w:rsid w:val="00DB6DDF"/>
    <w:rsid w:val="00DC0163"/>
    <w:rsid w:val="00DC118C"/>
    <w:rsid w:val="00DC1AA7"/>
    <w:rsid w:val="00DC2748"/>
    <w:rsid w:val="00DC5CA5"/>
    <w:rsid w:val="00DC7E69"/>
    <w:rsid w:val="00DD172D"/>
    <w:rsid w:val="00DD2021"/>
    <w:rsid w:val="00DD21B9"/>
    <w:rsid w:val="00DD26F7"/>
    <w:rsid w:val="00DD29B0"/>
    <w:rsid w:val="00DE44C2"/>
    <w:rsid w:val="00DE4B1C"/>
    <w:rsid w:val="00DE536E"/>
    <w:rsid w:val="00DE616E"/>
    <w:rsid w:val="00DF1754"/>
    <w:rsid w:val="00DF2AAD"/>
    <w:rsid w:val="00DF74C0"/>
    <w:rsid w:val="00E05D8A"/>
    <w:rsid w:val="00E10002"/>
    <w:rsid w:val="00E101F2"/>
    <w:rsid w:val="00E1206D"/>
    <w:rsid w:val="00E12EF2"/>
    <w:rsid w:val="00E14D16"/>
    <w:rsid w:val="00E173F5"/>
    <w:rsid w:val="00E17677"/>
    <w:rsid w:val="00E20097"/>
    <w:rsid w:val="00E274DA"/>
    <w:rsid w:val="00E30A08"/>
    <w:rsid w:val="00E323F5"/>
    <w:rsid w:val="00E369DC"/>
    <w:rsid w:val="00E37601"/>
    <w:rsid w:val="00E4378E"/>
    <w:rsid w:val="00E511B7"/>
    <w:rsid w:val="00E5362C"/>
    <w:rsid w:val="00E54A58"/>
    <w:rsid w:val="00E55C6F"/>
    <w:rsid w:val="00E635E5"/>
    <w:rsid w:val="00E643A3"/>
    <w:rsid w:val="00E65E41"/>
    <w:rsid w:val="00E706DF"/>
    <w:rsid w:val="00E768FD"/>
    <w:rsid w:val="00E81724"/>
    <w:rsid w:val="00E834F5"/>
    <w:rsid w:val="00E83841"/>
    <w:rsid w:val="00E87326"/>
    <w:rsid w:val="00E9335D"/>
    <w:rsid w:val="00E961A3"/>
    <w:rsid w:val="00EA0291"/>
    <w:rsid w:val="00EA1375"/>
    <w:rsid w:val="00EA23D1"/>
    <w:rsid w:val="00EA5B53"/>
    <w:rsid w:val="00EA718F"/>
    <w:rsid w:val="00EB2E14"/>
    <w:rsid w:val="00EB65D5"/>
    <w:rsid w:val="00EB72D2"/>
    <w:rsid w:val="00EC1822"/>
    <w:rsid w:val="00EC4DC1"/>
    <w:rsid w:val="00ED2989"/>
    <w:rsid w:val="00ED52B0"/>
    <w:rsid w:val="00ED63C9"/>
    <w:rsid w:val="00ED72ED"/>
    <w:rsid w:val="00ED7CC9"/>
    <w:rsid w:val="00EE1D74"/>
    <w:rsid w:val="00EE1F0A"/>
    <w:rsid w:val="00EE382F"/>
    <w:rsid w:val="00EE51C1"/>
    <w:rsid w:val="00EE6507"/>
    <w:rsid w:val="00EF60F5"/>
    <w:rsid w:val="00EF6E3A"/>
    <w:rsid w:val="00F03BDA"/>
    <w:rsid w:val="00F05A01"/>
    <w:rsid w:val="00F06B65"/>
    <w:rsid w:val="00F10C8D"/>
    <w:rsid w:val="00F14C06"/>
    <w:rsid w:val="00F16490"/>
    <w:rsid w:val="00F228CC"/>
    <w:rsid w:val="00F24AA7"/>
    <w:rsid w:val="00F33C54"/>
    <w:rsid w:val="00F353E3"/>
    <w:rsid w:val="00F37B0B"/>
    <w:rsid w:val="00F4594F"/>
    <w:rsid w:val="00F5239C"/>
    <w:rsid w:val="00F54EF2"/>
    <w:rsid w:val="00F570FE"/>
    <w:rsid w:val="00F571DA"/>
    <w:rsid w:val="00F6425A"/>
    <w:rsid w:val="00F64FD7"/>
    <w:rsid w:val="00F6642D"/>
    <w:rsid w:val="00F706C3"/>
    <w:rsid w:val="00F71795"/>
    <w:rsid w:val="00F765EF"/>
    <w:rsid w:val="00F775D5"/>
    <w:rsid w:val="00F8558D"/>
    <w:rsid w:val="00F874ED"/>
    <w:rsid w:val="00F9041D"/>
    <w:rsid w:val="00F91622"/>
    <w:rsid w:val="00F93D74"/>
    <w:rsid w:val="00F93F72"/>
    <w:rsid w:val="00F9552B"/>
    <w:rsid w:val="00FA0411"/>
    <w:rsid w:val="00FA1EBD"/>
    <w:rsid w:val="00FA3FA1"/>
    <w:rsid w:val="00FA4099"/>
    <w:rsid w:val="00FB0BA3"/>
    <w:rsid w:val="00FB282C"/>
    <w:rsid w:val="00FB2F31"/>
    <w:rsid w:val="00FB4973"/>
    <w:rsid w:val="00FB5187"/>
    <w:rsid w:val="00FB59FF"/>
    <w:rsid w:val="00FC276E"/>
    <w:rsid w:val="00FC29BF"/>
    <w:rsid w:val="00FC3C51"/>
    <w:rsid w:val="00FC677C"/>
    <w:rsid w:val="00FC6B65"/>
    <w:rsid w:val="00FC72A3"/>
    <w:rsid w:val="00FE0695"/>
    <w:rsid w:val="00FE1897"/>
    <w:rsid w:val="00FE3B7D"/>
    <w:rsid w:val="00FE700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41028"/>
  <w15:chartTrackingRefBased/>
  <w15:docId w15:val="{39FA26A9-A7B5-4D44-B1EE-614A7530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000"/>
    <w:rPr>
      <w:color w:val="0563C1" w:themeColor="hyperlink"/>
      <w:u w:val="single"/>
    </w:rPr>
  </w:style>
  <w:style w:type="character" w:styleId="LineNumber">
    <w:name w:val="line number"/>
    <w:basedOn w:val="DefaultParagraphFont"/>
    <w:uiPriority w:val="99"/>
    <w:semiHidden/>
    <w:unhideWhenUsed/>
    <w:rsid w:val="007D4ABF"/>
  </w:style>
  <w:style w:type="table" w:styleId="TableGrid">
    <w:name w:val="Table Grid"/>
    <w:basedOn w:val="TableNormal"/>
    <w:uiPriority w:val="39"/>
    <w:rsid w:val="0089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1F68"/>
    <w:rPr>
      <w:color w:val="808080"/>
    </w:rPr>
  </w:style>
  <w:style w:type="table" w:customStyle="1" w:styleId="TableGrid1">
    <w:name w:val="Table Grid1"/>
    <w:basedOn w:val="TableNormal"/>
    <w:next w:val="TableGrid"/>
    <w:uiPriority w:val="39"/>
    <w:rsid w:val="0007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D52"/>
  </w:style>
  <w:style w:type="paragraph" w:styleId="Footer">
    <w:name w:val="footer"/>
    <w:basedOn w:val="Normal"/>
    <w:link w:val="FooterChar"/>
    <w:uiPriority w:val="99"/>
    <w:unhideWhenUsed/>
    <w:rsid w:val="00AE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D52"/>
  </w:style>
  <w:style w:type="paragraph" w:styleId="ListParagraph">
    <w:name w:val="List Paragraph"/>
    <w:basedOn w:val="Normal"/>
    <w:uiPriority w:val="34"/>
    <w:qFormat/>
    <w:rsid w:val="009A711F"/>
    <w:pPr>
      <w:ind w:left="720"/>
      <w:contextualSpacing/>
    </w:pPr>
  </w:style>
  <w:style w:type="paragraph" w:customStyle="1" w:styleId="Body">
    <w:name w:val="Body"/>
    <w:basedOn w:val="Normal"/>
    <w:rsid w:val="005F4440"/>
    <w:pPr>
      <w:spacing w:after="240" w:line="240" w:lineRule="auto"/>
      <w:jc w:val="both"/>
    </w:pPr>
    <w:rPr>
      <w:rFonts w:ascii="Helvetica" w:eastAsia="Times New Roman" w:hAnsi="Helvetica" w:cs="Times New Roman"/>
      <w:sz w:val="20"/>
      <w:szCs w:val="20"/>
      <w:lang w:val="en-US"/>
    </w:rPr>
  </w:style>
  <w:style w:type="paragraph" w:styleId="NormalWeb">
    <w:name w:val="Normal (Web)"/>
    <w:basedOn w:val="Normal"/>
    <w:uiPriority w:val="99"/>
    <w:unhideWhenUsed/>
    <w:rsid w:val="000468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468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1500">
      <w:bodyDiv w:val="1"/>
      <w:marLeft w:val="0"/>
      <w:marRight w:val="0"/>
      <w:marTop w:val="0"/>
      <w:marBottom w:val="0"/>
      <w:divBdr>
        <w:top w:val="none" w:sz="0" w:space="0" w:color="auto"/>
        <w:left w:val="none" w:sz="0" w:space="0" w:color="auto"/>
        <w:bottom w:val="none" w:sz="0" w:space="0" w:color="auto"/>
        <w:right w:val="none" w:sz="0" w:space="0" w:color="auto"/>
      </w:divBdr>
      <w:divsChild>
        <w:div w:id="1276793355">
          <w:marLeft w:val="0"/>
          <w:marRight w:val="0"/>
          <w:marTop w:val="0"/>
          <w:marBottom w:val="0"/>
          <w:divBdr>
            <w:top w:val="none" w:sz="0" w:space="0" w:color="auto"/>
            <w:left w:val="none" w:sz="0" w:space="0" w:color="auto"/>
            <w:bottom w:val="none" w:sz="0" w:space="0" w:color="auto"/>
            <w:right w:val="none" w:sz="0" w:space="0" w:color="auto"/>
          </w:divBdr>
          <w:divsChild>
            <w:div w:id="132017512">
              <w:marLeft w:val="0"/>
              <w:marRight w:val="0"/>
              <w:marTop w:val="0"/>
              <w:marBottom w:val="0"/>
              <w:divBdr>
                <w:top w:val="none" w:sz="0" w:space="0" w:color="auto"/>
                <w:left w:val="none" w:sz="0" w:space="0" w:color="auto"/>
                <w:bottom w:val="none" w:sz="0" w:space="0" w:color="auto"/>
                <w:right w:val="none" w:sz="0" w:space="0" w:color="auto"/>
              </w:divBdr>
              <w:divsChild>
                <w:div w:id="1491825816">
                  <w:marLeft w:val="0"/>
                  <w:marRight w:val="0"/>
                  <w:marTop w:val="0"/>
                  <w:marBottom w:val="0"/>
                  <w:divBdr>
                    <w:top w:val="none" w:sz="0" w:space="0" w:color="auto"/>
                    <w:left w:val="none" w:sz="0" w:space="0" w:color="auto"/>
                    <w:bottom w:val="none" w:sz="0" w:space="0" w:color="auto"/>
                    <w:right w:val="none" w:sz="0" w:space="0" w:color="auto"/>
                  </w:divBdr>
                  <w:divsChild>
                    <w:div w:id="1568147182">
                      <w:marLeft w:val="0"/>
                      <w:marRight w:val="0"/>
                      <w:marTop w:val="0"/>
                      <w:marBottom w:val="0"/>
                      <w:divBdr>
                        <w:top w:val="none" w:sz="0" w:space="0" w:color="auto"/>
                        <w:left w:val="none" w:sz="0" w:space="0" w:color="auto"/>
                        <w:bottom w:val="none" w:sz="0" w:space="0" w:color="auto"/>
                        <w:right w:val="none" w:sz="0" w:space="0" w:color="auto"/>
                      </w:divBdr>
                      <w:divsChild>
                        <w:div w:id="1963799027">
                          <w:marLeft w:val="0"/>
                          <w:marRight w:val="0"/>
                          <w:marTop w:val="0"/>
                          <w:marBottom w:val="0"/>
                          <w:divBdr>
                            <w:top w:val="none" w:sz="0" w:space="0" w:color="auto"/>
                            <w:left w:val="none" w:sz="0" w:space="0" w:color="auto"/>
                            <w:bottom w:val="none" w:sz="0" w:space="0" w:color="auto"/>
                            <w:right w:val="none" w:sz="0" w:space="0" w:color="auto"/>
                          </w:divBdr>
                          <w:divsChild>
                            <w:div w:id="7553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040867">
      <w:bodyDiv w:val="1"/>
      <w:marLeft w:val="0"/>
      <w:marRight w:val="0"/>
      <w:marTop w:val="0"/>
      <w:marBottom w:val="0"/>
      <w:divBdr>
        <w:top w:val="none" w:sz="0" w:space="0" w:color="auto"/>
        <w:left w:val="none" w:sz="0" w:space="0" w:color="auto"/>
        <w:bottom w:val="none" w:sz="0" w:space="0" w:color="auto"/>
        <w:right w:val="none" w:sz="0" w:space="0" w:color="auto"/>
      </w:divBdr>
    </w:div>
    <w:div w:id="618026030">
      <w:bodyDiv w:val="1"/>
      <w:marLeft w:val="0"/>
      <w:marRight w:val="0"/>
      <w:marTop w:val="0"/>
      <w:marBottom w:val="0"/>
      <w:divBdr>
        <w:top w:val="none" w:sz="0" w:space="0" w:color="auto"/>
        <w:left w:val="none" w:sz="0" w:space="0" w:color="auto"/>
        <w:bottom w:val="none" w:sz="0" w:space="0" w:color="auto"/>
        <w:right w:val="none" w:sz="0" w:space="0" w:color="auto"/>
      </w:divBdr>
    </w:div>
    <w:div w:id="727188963">
      <w:bodyDiv w:val="1"/>
      <w:marLeft w:val="0"/>
      <w:marRight w:val="0"/>
      <w:marTop w:val="0"/>
      <w:marBottom w:val="0"/>
      <w:divBdr>
        <w:top w:val="none" w:sz="0" w:space="0" w:color="auto"/>
        <w:left w:val="none" w:sz="0" w:space="0" w:color="auto"/>
        <w:bottom w:val="none" w:sz="0" w:space="0" w:color="auto"/>
        <w:right w:val="none" w:sz="0" w:space="0" w:color="auto"/>
      </w:divBdr>
    </w:div>
    <w:div w:id="804007433">
      <w:bodyDiv w:val="1"/>
      <w:marLeft w:val="0"/>
      <w:marRight w:val="0"/>
      <w:marTop w:val="0"/>
      <w:marBottom w:val="0"/>
      <w:divBdr>
        <w:top w:val="none" w:sz="0" w:space="0" w:color="auto"/>
        <w:left w:val="none" w:sz="0" w:space="0" w:color="auto"/>
        <w:bottom w:val="none" w:sz="0" w:space="0" w:color="auto"/>
        <w:right w:val="none" w:sz="0" w:space="0" w:color="auto"/>
      </w:divBdr>
    </w:div>
    <w:div w:id="904293789">
      <w:bodyDiv w:val="1"/>
      <w:marLeft w:val="0"/>
      <w:marRight w:val="0"/>
      <w:marTop w:val="0"/>
      <w:marBottom w:val="0"/>
      <w:divBdr>
        <w:top w:val="none" w:sz="0" w:space="0" w:color="auto"/>
        <w:left w:val="none" w:sz="0" w:space="0" w:color="auto"/>
        <w:bottom w:val="none" w:sz="0" w:space="0" w:color="auto"/>
        <w:right w:val="none" w:sz="0" w:space="0" w:color="auto"/>
      </w:divBdr>
    </w:div>
    <w:div w:id="1022165437">
      <w:bodyDiv w:val="1"/>
      <w:marLeft w:val="0"/>
      <w:marRight w:val="0"/>
      <w:marTop w:val="0"/>
      <w:marBottom w:val="0"/>
      <w:divBdr>
        <w:top w:val="none" w:sz="0" w:space="0" w:color="auto"/>
        <w:left w:val="none" w:sz="0" w:space="0" w:color="auto"/>
        <w:bottom w:val="none" w:sz="0" w:space="0" w:color="auto"/>
        <w:right w:val="none" w:sz="0" w:space="0" w:color="auto"/>
      </w:divBdr>
    </w:div>
    <w:div w:id="1116755099">
      <w:bodyDiv w:val="1"/>
      <w:marLeft w:val="0"/>
      <w:marRight w:val="0"/>
      <w:marTop w:val="0"/>
      <w:marBottom w:val="0"/>
      <w:divBdr>
        <w:top w:val="none" w:sz="0" w:space="0" w:color="auto"/>
        <w:left w:val="none" w:sz="0" w:space="0" w:color="auto"/>
        <w:bottom w:val="none" w:sz="0" w:space="0" w:color="auto"/>
        <w:right w:val="none" w:sz="0" w:space="0" w:color="auto"/>
      </w:divBdr>
    </w:div>
    <w:div w:id="1522011465">
      <w:bodyDiv w:val="1"/>
      <w:marLeft w:val="0"/>
      <w:marRight w:val="0"/>
      <w:marTop w:val="0"/>
      <w:marBottom w:val="0"/>
      <w:divBdr>
        <w:top w:val="none" w:sz="0" w:space="0" w:color="auto"/>
        <w:left w:val="none" w:sz="0" w:space="0" w:color="auto"/>
        <w:bottom w:val="none" w:sz="0" w:space="0" w:color="auto"/>
        <w:right w:val="none" w:sz="0" w:space="0" w:color="auto"/>
      </w:divBdr>
      <w:divsChild>
        <w:div w:id="772483878">
          <w:marLeft w:val="0"/>
          <w:marRight w:val="0"/>
          <w:marTop w:val="0"/>
          <w:marBottom w:val="0"/>
          <w:divBdr>
            <w:top w:val="none" w:sz="0" w:space="0" w:color="auto"/>
            <w:left w:val="none" w:sz="0" w:space="0" w:color="auto"/>
            <w:bottom w:val="none" w:sz="0" w:space="0" w:color="auto"/>
            <w:right w:val="none" w:sz="0" w:space="0" w:color="auto"/>
          </w:divBdr>
          <w:divsChild>
            <w:div w:id="1897085213">
              <w:marLeft w:val="0"/>
              <w:marRight w:val="0"/>
              <w:marTop w:val="0"/>
              <w:marBottom w:val="0"/>
              <w:divBdr>
                <w:top w:val="none" w:sz="0" w:space="0" w:color="auto"/>
                <w:left w:val="none" w:sz="0" w:space="0" w:color="auto"/>
                <w:bottom w:val="none" w:sz="0" w:space="0" w:color="auto"/>
                <w:right w:val="none" w:sz="0" w:space="0" w:color="auto"/>
              </w:divBdr>
              <w:divsChild>
                <w:div w:id="2025011774">
                  <w:marLeft w:val="0"/>
                  <w:marRight w:val="0"/>
                  <w:marTop w:val="0"/>
                  <w:marBottom w:val="0"/>
                  <w:divBdr>
                    <w:top w:val="none" w:sz="0" w:space="0" w:color="auto"/>
                    <w:left w:val="none" w:sz="0" w:space="0" w:color="auto"/>
                    <w:bottom w:val="none" w:sz="0" w:space="0" w:color="auto"/>
                    <w:right w:val="none" w:sz="0" w:space="0" w:color="auto"/>
                  </w:divBdr>
                  <w:divsChild>
                    <w:div w:id="326246942">
                      <w:marLeft w:val="0"/>
                      <w:marRight w:val="0"/>
                      <w:marTop w:val="0"/>
                      <w:marBottom w:val="0"/>
                      <w:divBdr>
                        <w:top w:val="none" w:sz="0" w:space="0" w:color="auto"/>
                        <w:left w:val="none" w:sz="0" w:space="0" w:color="auto"/>
                        <w:bottom w:val="none" w:sz="0" w:space="0" w:color="auto"/>
                        <w:right w:val="none" w:sz="0" w:space="0" w:color="auto"/>
                      </w:divBdr>
                      <w:divsChild>
                        <w:div w:id="1382559531">
                          <w:marLeft w:val="0"/>
                          <w:marRight w:val="0"/>
                          <w:marTop w:val="0"/>
                          <w:marBottom w:val="0"/>
                          <w:divBdr>
                            <w:top w:val="none" w:sz="0" w:space="0" w:color="auto"/>
                            <w:left w:val="none" w:sz="0" w:space="0" w:color="auto"/>
                            <w:bottom w:val="none" w:sz="0" w:space="0" w:color="auto"/>
                            <w:right w:val="none" w:sz="0" w:space="0" w:color="auto"/>
                          </w:divBdr>
                          <w:divsChild>
                            <w:div w:id="1944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83159">
      <w:bodyDiv w:val="1"/>
      <w:marLeft w:val="0"/>
      <w:marRight w:val="0"/>
      <w:marTop w:val="0"/>
      <w:marBottom w:val="0"/>
      <w:divBdr>
        <w:top w:val="none" w:sz="0" w:space="0" w:color="auto"/>
        <w:left w:val="none" w:sz="0" w:space="0" w:color="auto"/>
        <w:bottom w:val="none" w:sz="0" w:space="0" w:color="auto"/>
        <w:right w:val="none" w:sz="0" w:space="0" w:color="auto"/>
      </w:divBdr>
    </w:div>
    <w:div w:id="1921524628">
      <w:bodyDiv w:val="1"/>
      <w:marLeft w:val="0"/>
      <w:marRight w:val="0"/>
      <w:marTop w:val="0"/>
      <w:marBottom w:val="0"/>
      <w:divBdr>
        <w:top w:val="none" w:sz="0" w:space="0" w:color="auto"/>
        <w:left w:val="none" w:sz="0" w:space="0" w:color="auto"/>
        <w:bottom w:val="none" w:sz="0" w:space="0" w:color="auto"/>
        <w:right w:val="none" w:sz="0" w:space="0" w:color="auto"/>
      </w:divBdr>
    </w:div>
    <w:div w:id="19429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i="0">
                <a:latin typeface="Times New Roman" panose="02020603050405020304" pitchFamily="18" charset="0"/>
                <a:cs typeface="Times New Roman" panose="02020603050405020304" pitchFamily="18" charset="0"/>
              </a:rPr>
              <a:t>Al</a:t>
            </a:r>
            <a:endParaRPr lang="id-ID" sz="1200"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formatCode="General">
                  <c:v>4.59</c:v>
                </c:pt>
                <c:pt idx="1">
                  <c:v>11.183333333333335</c:v>
                </c:pt>
              </c:numCache>
            </c:numRef>
          </c:val>
          <c:extLst>
            <c:ext xmlns:c16="http://schemas.microsoft.com/office/drawing/2014/chart" uri="{C3380CC4-5D6E-409C-BE32-E72D297353CC}">
              <c16:uniqueId val="{00000000-902C-40E4-93FD-8D9CD27C5E86}"/>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3.5</c:v>
                </c:pt>
                <c:pt idx="1">
                  <c:v>9.5766666666666662</c:v>
                </c:pt>
              </c:numCache>
            </c:numRef>
          </c:val>
          <c:extLst>
            <c:ext xmlns:c16="http://schemas.microsoft.com/office/drawing/2014/chart" uri="{C3380CC4-5D6E-409C-BE32-E72D297353CC}">
              <c16:uniqueId val="{00000001-902C-40E4-93FD-8D9CD27C5E86}"/>
            </c:ext>
          </c:extLst>
        </c:ser>
        <c:dLbls>
          <c:showLegendKey val="0"/>
          <c:showVal val="0"/>
          <c:showCatName val="0"/>
          <c:showSerName val="0"/>
          <c:showPercent val="0"/>
          <c:showBubbleSize val="0"/>
        </c:dLbls>
        <c:gapWidth val="219"/>
        <c:overlap val="-27"/>
        <c:axId val="422113256"/>
        <c:axId val="422172536"/>
      </c:barChart>
      <c:catAx>
        <c:axId val="422113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172536"/>
        <c:crosses val="autoZero"/>
        <c:auto val="0"/>
        <c:lblAlgn val="ctr"/>
        <c:lblOffset val="100"/>
        <c:noMultiLvlLbl val="0"/>
      </c:catAx>
      <c:valAx>
        <c:axId val="422172536"/>
        <c:scaling>
          <c:orientation val="minMax"/>
        </c:scaling>
        <c:delete val="0"/>
        <c:axPos val="l"/>
        <c:title>
          <c:tx>
            <c:rich>
              <a:bodyPr rot="-54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0" i="0" baseline="0">
                    <a:effectLst/>
                    <a:latin typeface="Times New Roman" panose="02020603050405020304" pitchFamily="18" charset="0"/>
                    <a:cs typeface="Times New Roman" panose="02020603050405020304" pitchFamily="18" charset="0"/>
                  </a:rPr>
                  <a:t>Al (μg/g)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113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i="1"/>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Pb</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0.36999999999999994</c:v>
                </c:pt>
                <c:pt idx="1">
                  <c:v>1.1233333333333333</c:v>
                </c:pt>
              </c:numCache>
            </c:numRef>
          </c:val>
          <c:extLst>
            <c:ext xmlns:c16="http://schemas.microsoft.com/office/drawing/2014/chart" uri="{C3380CC4-5D6E-409C-BE32-E72D297353CC}">
              <c16:uniqueId val="{00000000-132E-47EE-BF94-724D03A04F1F}"/>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General</c:formatCode>
                <c:ptCount val="2"/>
                <c:pt idx="0" formatCode="0.00">
                  <c:v>0.39333333333333337</c:v>
                </c:pt>
                <c:pt idx="1">
                  <c:v>1.23</c:v>
                </c:pt>
              </c:numCache>
            </c:numRef>
          </c:val>
          <c:extLst>
            <c:ext xmlns:c16="http://schemas.microsoft.com/office/drawing/2014/chart" uri="{C3380CC4-5D6E-409C-BE32-E72D297353CC}">
              <c16:uniqueId val="{00000001-132E-47EE-BF94-724D03A04F1F}"/>
            </c:ext>
          </c:extLst>
        </c:ser>
        <c:dLbls>
          <c:showLegendKey val="0"/>
          <c:showVal val="0"/>
          <c:showCatName val="0"/>
          <c:showSerName val="0"/>
          <c:showPercent val="0"/>
          <c:showBubbleSize val="0"/>
        </c:dLbls>
        <c:gapWidth val="219"/>
        <c:overlap val="-27"/>
        <c:axId val="384084064"/>
        <c:axId val="384087200"/>
      </c:barChart>
      <c:catAx>
        <c:axId val="38408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087200"/>
        <c:crosses val="autoZero"/>
        <c:auto val="1"/>
        <c:lblAlgn val="ctr"/>
        <c:lblOffset val="100"/>
        <c:tickLblSkip val="1"/>
        <c:noMultiLvlLbl val="0"/>
      </c:catAx>
      <c:valAx>
        <c:axId val="384087200"/>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Pb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08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Zn</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21.41333333333333</c:v>
                </c:pt>
                <c:pt idx="1">
                  <c:v>60.043333333333329</c:v>
                </c:pt>
              </c:numCache>
            </c:numRef>
          </c:val>
          <c:extLst>
            <c:ext xmlns:c16="http://schemas.microsoft.com/office/drawing/2014/chart" uri="{C3380CC4-5D6E-409C-BE32-E72D297353CC}">
              <c16:uniqueId val="{00000000-64C3-4ED1-A3B1-83D3EA5B30E5}"/>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25.03</c:v>
                </c:pt>
                <c:pt idx="1">
                  <c:v>61.593333333333334</c:v>
                </c:pt>
              </c:numCache>
            </c:numRef>
          </c:val>
          <c:extLst>
            <c:ext xmlns:c16="http://schemas.microsoft.com/office/drawing/2014/chart" uri="{C3380CC4-5D6E-409C-BE32-E72D297353CC}">
              <c16:uniqueId val="{00000001-64C3-4ED1-A3B1-83D3EA5B30E5}"/>
            </c:ext>
          </c:extLst>
        </c:ser>
        <c:dLbls>
          <c:showLegendKey val="0"/>
          <c:showVal val="0"/>
          <c:showCatName val="0"/>
          <c:showSerName val="0"/>
          <c:showPercent val="0"/>
          <c:showBubbleSize val="0"/>
        </c:dLbls>
        <c:gapWidth val="219"/>
        <c:overlap val="-27"/>
        <c:axId val="426797240"/>
        <c:axId val="426798024"/>
      </c:barChart>
      <c:catAx>
        <c:axId val="42679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798024"/>
        <c:crosses val="autoZero"/>
        <c:auto val="1"/>
        <c:lblAlgn val="ctr"/>
        <c:lblOffset val="100"/>
        <c:noMultiLvlLbl val="0"/>
      </c:catAx>
      <c:valAx>
        <c:axId val="426798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Zn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797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Cu</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7.4666666666666659</c:v>
                </c:pt>
                <c:pt idx="1">
                  <c:v>15.676666666666668</c:v>
                </c:pt>
              </c:numCache>
            </c:numRef>
          </c:val>
          <c:extLst>
            <c:ext xmlns:c16="http://schemas.microsoft.com/office/drawing/2014/chart" uri="{C3380CC4-5D6E-409C-BE32-E72D297353CC}">
              <c16:uniqueId val="{00000000-4C60-4E72-95B3-DD8FAFBDFF09}"/>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7.3366666666666669</c:v>
                </c:pt>
                <c:pt idx="1">
                  <c:v>17.78</c:v>
                </c:pt>
              </c:numCache>
            </c:numRef>
          </c:val>
          <c:extLst>
            <c:ext xmlns:c16="http://schemas.microsoft.com/office/drawing/2014/chart" uri="{C3380CC4-5D6E-409C-BE32-E72D297353CC}">
              <c16:uniqueId val="{00000001-4C60-4E72-95B3-DD8FAFBDFF09}"/>
            </c:ext>
          </c:extLst>
        </c:ser>
        <c:dLbls>
          <c:showLegendKey val="0"/>
          <c:showVal val="0"/>
          <c:showCatName val="0"/>
          <c:showSerName val="0"/>
          <c:showPercent val="0"/>
          <c:showBubbleSize val="0"/>
        </c:dLbls>
        <c:gapWidth val="219"/>
        <c:overlap val="-27"/>
        <c:axId val="422114432"/>
        <c:axId val="422945992"/>
      </c:barChart>
      <c:catAx>
        <c:axId val="4221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945992"/>
        <c:crosses val="autoZero"/>
        <c:auto val="1"/>
        <c:lblAlgn val="ctr"/>
        <c:lblOffset val="100"/>
        <c:noMultiLvlLbl val="0"/>
      </c:catAx>
      <c:valAx>
        <c:axId val="422945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Cu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11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Cd</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0.16666666666666666</c:v>
                </c:pt>
                <c:pt idx="1">
                  <c:v>0.26333333333333336</c:v>
                </c:pt>
              </c:numCache>
            </c:numRef>
          </c:val>
          <c:extLst>
            <c:ext xmlns:c16="http://schemas.microsoft.com/office/drawing/2014/chart" uri="{C3380CC4-5D6E-409C-BE32-E72D297353CC}">
              <c16:uniqueId val="{00000000-CB93-458F-93FB-7D603420CAAE}"/>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0.18999999999999997</c:v>
                </c:pt>
                <c:pt idx="1">
                  <c:v>0.27999999999999997</c:v>
                </c:pt>
              </c:numCache>
            </c:numRef>
          </c:val>
          <c:extLst>
            <c:ext xmlns:c16="http://schemas.microsoft.com/office/drawing/2014/chart" uri="{C3380CC4-5D6E-409C-BE32-E72D297353CC}">
              <c16:uniqueId val="{00000001-CB93-458F-93FB-7D603420CAAE}"/>
            </c:ext>
          </c:extLst>
        </c:ser>
        <c:dLbls>
          <c:showLegendKey val="0"/>
          <c:showVal val="0"/>
          <c:showCatName val="0"/>
          <c:showSerName val="0"/>
          <c:showPercent val="0"/>
          <c:showBubbleSize val="0"/>
        </c:dLbls>
        <c:gapWidth val="219"/>
        <c:overlap val="-27"/>
        <c:axId val="416405136"/>
        <c:axId val="416407096"/>
      </c:barChart>
      <c:catAx>
        <c:axId val="41640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407096"/>
        <c:crosses val="autoZero"/>
        <c:auto val="1"/>
        <c:lblAlgn val="ctr"/>
        <c:lblOffset val="100"/>
        <c:noMultiLvlLbl val="0"/>
      </c:catAx>
      <c:valAx>
        <c:axId val="416407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latin typeface="Times New Roman" panose="02020603050405020304" pitchFamily="18" charset="0"/>
                    <a:cs typeface="Times New Roman" panose="02020603050405020304" pitchFamily="18" charset="0"/>
                  </a:rPr>
                  <a:t>Cd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40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FB891B6-A352-45EE-B717-C5291E3E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5604</TotalTime>
  <Pages>14</Pages>
  <Words>13539</Words>
  <Characters>77173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Ramzy</dc:creator>
  <cp:keywords/>
  <dc:description/>
  <cp:lastModifiedBy>SDI PC New 16</cp:lastModifiedBy>
  <cp:revision>882</cp:revision>
  <dcterms:created xsi:type="dcterms:W3CDTF">2020-04-25T19:47:00Z</dcterms:created>
  <dcterms:modified xsi:type="dcterms:W3CDTF">2026-04-28T09:31:00Z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289d01d1-6cd1-32c7-b8ee-8161c6449d3c</vt:lpwstr>
  </property>
  <property fmtid="{D5CDD505-2E9C-101B-9397-08002B2CF9AE}" pid="24" name="Mendeley Citation Style_1">
    <vt:lpwstr>http://www.zotero.org/styles/apa</vt:lpwstr>
  </property>
</Properties>
</file>