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60F29" w14:textId="40481D88" w:rsidR="00AC01C4" w:rsidRPr="00876E4D" w:rsidRDefault="00280B46" w:rsidP="00BE67C5">
      <w:pPr>
        <w:pStyle w:val="NoSpacing"/>
        <w:jc w:val="both"/>
        <w:rPr>
          <w:rFonts w:ascii="Times New Roman" w:hAnsi="Times New Roman" w:cs="Times New Roman"/>
          <w:b/>
          <w:bCs/>
        </w:rPr>
      </w:pPr>
      <w:r w:rsidRPr="00876E4D">
        <w:rPr>
          <w:rFonts w:ascii="Times New Roman" w:hAnsi="Times New Roman" w:cs="Times New Roman"/>
          <w:b/>
          <w:bCs/>
        </w:rPr>
        <w:t>Original Research Article</w:t>
      </w:r>
    </w:p>
    <w:p w14:paraId="3C012CEF" w14:textId="77777777" w:rsidR="00280B46" w:rsidRPr="00876E4D" w:rsidRDefault="00280B46" w:rsidP="00BE67C5">
      <w:pPr>
        <w:pStyle w:val="NoSpacing"/>
        <w:jc w:val="both"/>
        <w:rPr>
          <w:rFonts w:ascii="Times New Roman" w:hAnsi="Times New Roman" w:cs="Times New Roman"/>
          <w:b/>
          <w:bCs/>
        </w:rPr>
      </w:pPr>
    </w:p>
    <w:p w14:paraId="7A300375" w14:textId="0FA2BA53" w:rsidR="00917303" w:rsidRPr="00876E4D" w:rsidRDefault="00917303" w:rsidP="00917303">
      <w:pPr>
        <w:pStyle w:val="NoSpacing"/>
        <w:jc w:val="both"/>
        <w:rPr>
          <w:rFonts w:ascii="Arial" w:hAnsi="Arial" w:cs="Arial"/>
          <w:b/>
          <w:bCs/>
          <w:sz w:val="36"/>
          <w:szCs w:val="36"/>
        </w:rPr>
      </w:pPr>
      <w:r w:rsidRPr="00876E4D">
        <w:rPr>
          <w:rFonts w:ascii="Arial" w:hAnsi="Arial" w:cs="Arial"/>
          <w:b/>
          <w:bCs/>
          <w:sz w:val="36"/>
          <w:szCs w:val="36"/>
        </w:rPr>
        <w:t xml:space="preserve">Socioeconomic </w:t>
      </w:r>
      <w:r w:rsidR="00045E08" w:rsidRPr="00876E4D">
        <w:rPr>
          <w:rFonts w:ascii="Arial" w:hAnsi="Arial" w:cs="Arial"/>
          <w:b/>
          <w:bCs/>
          <w:sz w:val="36"/>
          <w:szCs w:val="36"/>
        </w:rPr>
        <w:t xml:space="preserve">Characteristics </w:t>
      </w:r>
      <w:r w:rsidRPr="00876E4D">
        <w:rPr>
          <w:rFonts w:ascii="Arial" w:hAnsi="Arial" w:cs="Arial"/>
          <w:b/>
          <w:bCs/>
          <w:sz w:val="36"/>
          <w:szCs w:val="36"/>
        </w:rPr>
        <w:t>and Diversification of Livelihoods within Agricultural and Fish Farming Families in Mymensingh Sadar, Bangladesh</w:t>
      </w:r>
    </w:p>
    <w:p w14:paraId="5C916DF2" w14:textId="77777777" w:rsidR="00220117" w:rsidRPr="00876E4D" w:rsidRDefault="00220117" w:rsidP="00220117">
      <w:pPr>
        <w:pStyle w:val="NoSpacing"/>
        <w:rPr>
          <w:rFonts w:ascii="Times New Roman" w:hAnsi="Times New Roman" w:cs="Times New Roman"/>
        </w:rPr>
      </w:pPr>
    </w:p>
    <w:p w14:paraId="2CAF1D15" w14:textId="63136606" w:rsidR="00BE67C5" w:rsidRPr="00876E4D" w:rsidRDefault="00BE67C5" w:rsidP="00BE67C5">
      <w:pPr>
        <w:pStyle w:val="NoSpacing"/>
        <w:rPr>
          <w:rFonts w:ascii="Times New Roman" w:hAnsi="Times New Roman" w:cs="Times New Roman"/>
          <w:b/>
          <w:bCs/>
        </w:rPr>
      </w:pPr>
    </w:p>
    <w:p w14:paraId="7A3DF07C" w14:textId="77777777" w:rsidR="00C83000" w:rsidRPr="00876E4D" w:rsidRDefault="00C83000" w:rsidP="00BE67C5">
      <w:pPr>
        <w:pStyle w:val="NoSpacing"/>
        <w:rPr>
          <w:rFonts w:ascii="Times New Roman" w:hAnsi="Times New Roman" w:cs="Times New Roman"/>
          <w:b/>
          <w:bCs/>
        </w:rPr>
      </w:pPr>
    </w:p>
    <w:p w14:paraId="7DAD4086" w14:textId="3A03E7A5" w:rsidR="00BE67C5" w:rsidRPr="00876E4D" w:rsidRDefault="00BE67C5" w:rsidP="00BE67C5">
      <w:pPr>
        <w:pStyle w:val="NoSpacing"/>
        <w:jc w:val="center"/>
        <w:rPr>
          <w:rFonts w:ascii="Times New Roman" w:hAnsi="Times New Roman" w:cs="Times New Roman"/>
          <w:b/>
          <w:bCs/>
        </w:rPr>
      </w:pPr>
      <w:r w:rsidRPr="00876E4D">
        <w:rPr>
          <w:rFonts w:ascii="Times New Roman" w:hAnsi="Times New Roman" w:cs="Times New Roman"/>
          <w:b/>
          <w:bCs/>
        </w:rPr>
        <w:t xml:space="preserve">Abstract </w:t>
      </w:r>
    </w:p>
    <w:p w14:paraId="344CD59B" w14:textId="77777777" w:rsidR="00BE67C5" w:rsidRPr="00876E4D" w:rsidRDefault="00BE67C5" w:rsidP="00BE67C5">
      <w:pPr>
        <w:pStyle w:val="NoSpacing"/>
        <w:jc w:val="both"/>
        <w:rPr>
          <w:rFonts w:ascii="Times New Roman" w:hAnsi="Times New Roman" w:cs="Times New Roman"/>
        </w:rPr>
      </w:pPr>
    </w:p>
    <w:p w14:paraId="3AE86127" w14:textId="0C202761" w:rsidR="00BE67C5" w:rsidRPr="00876E4D" w:rsidRDefault="006F74F3" w:rsidP="004C542B">
      <w:pPr>
        <w:pStyle w:val="NoSpacing"/>
        <w:jc w:val="both"/>
        <w:rPr>
          <w:rFonts w:ascii="Times New Roman" w:hAnsi="Times New Roman" w:cs="Times New Roman"/>
        </w:rPr>
      </w:pPr>
      <w:r w:rsidRPr="00876E4D">
        <w:rPr>
          <w:rFonts w:ascii="Times New Roman" w:hAnsi="Times New Roman" w:cs="Times New Roman"/>
        </w:rPr>
        <w:t xml:space="preserve">The present study was carried out in Mymensingh Sadar, a rural production zone of Bangladesh where cropping and aquaculture are integrated. The primary data was collected from 200 householders through structured surveys and Participatory Rural Appraisal (PRA) exercises were complemented by secondary data available in the Department of Fisheries and agricultural extension. Demographics, income patterns, land tenure, training exposure, technology adoption, and production strategies are analyzed. The results indicated a strong male dominance (95%) in the farming population; most of the respondents were between the ages of 31 and 50 years old and grew up in an average-sized household of members between 4 and 10, who could provide sufficient family labor for diverse activities. Aquaculture relies more on leased resources (36.51%) than owned (24.67%), whereas agriculture is relatively more based on owned land (23.36%) than leased land (15.46%). The training exposure is low, as 82% of respondents reported they never had sector-specific instruction that limits the ability to adopt newer prominent practices. This study shows that farmers involved in both agriculture and aquaculture have higher incomes than those who rely on a single source of income. Diversification of livelihoods usually stabilizes income, optimizes resource allocation and reduces production risk. The study also points out the various difficulties encountered by farmers which include climate variability, market instability, shortage of modern technology and poor infrastructure. Such limitations impact on efficiency of production and limit options for steady income production. </w:t>
      </w:r>
    </w:p>
    <w:p w14:paraId="22B01D37" w14:textId="77777777" w:rsidR="006F74F3" w:rsidRPr="00876E4D" w:rsidRDefault="006F74F3" w:rsidP="004C542B">
      <w:pPr>
        <w:pStyle w:val="NoSpacing"/>
        <w:jc w:val="both"/>
        <w:rPr>
          <w:rFonts w:ascii="Times New Roman" w:hAnsi="Times New Roman" w:cs="Times New Roman"/>
          <w:b/>
          <w:bCs/>
        </w:rPr>
      </w:pPr>
    </w:p>
    <w:p w14:paraId="24BCBB35" w14:textId="55D7E2B0" w:rsidR="00BE67C5" w:rsidRPr="00876E4D" w:rsidRDefault="00BE67C5" w:rsidP="00BE67C5">
      <w:pPr>
        <w:pStyle w:val="NoSpacing"/>
        <w:pBdr>
          <w:bottom w:val="single" w:sz="4" w:space="1" w:color="auto"/>
        </w:pBdr>
        <w:jc w:val="both"/>
        <w:rPr>
          <w:rFonts w:ascii="Times New Roman" w:hAnsi="Times New Roman" w:cs="Times New Roman"/>
          <w:b/>
          <w:bCs/>
          <w:i/>
          <w:iCs/>
        </w:rPr>
      </w:pPr>
      <w:r w:rsidRPr="00876E4D">
        <w:rPr>
          <w:rFonts w:ascii="Times New Roman" w:hAnsi="Times New Roman" w:cs="Times New Roman"/>
          <w:b/>
          <w:bCs/>
          <w:i/>
          <w:iCs/>
        </w:rPr>
        <w:t xml:space="preserve">Keywords: </w:t>
      </w:r>
      <w:r w:rsidRPr="00876E4D">
        <w:rPr>
          <w:rFonts w:ascii="Times New Roman" w:hAnsi="Times New Roman" w:cs="Times New Roman"/>
          <w:i/>
          <w:iCs/>
        </w:rPr>
        <w:t>Livelihood diversification, socio-economic characteristics, Mymensingh</w:t>
      </w:r>
    </w:p>
    <w:p w14:paraId="4D713472" w14:textId="77777777" w:rsidR="000E1BA6" w:rsidRPr="00876E4D" w:rsidRDefault="000E1BA6" w:rsidP="004C542B">
      <w:pPr>
        <w:pStyle w:val="NoSpacing"/>
        <w:jc w:val="both"/>
        <w:rPr>
          <w:rFonts w:ascii="Times New Roman" w:hAnsi="Times New Roman" w:cs="Times New Roman"/>
        </w:rPr>
      </w:pPr>
    </w:p>
    <w:p w14:paraId="56E4B58C" w14:textId="77777777" w:rsidR="00BE67C5" w:rsidRPr="00876E4D" w:rsidRDefault="00BE67C5" w:rsidP="004C542B">
      <w:pPr>
        <w:pStyle w:val="NoSpacing"/>
        <w:jc w:val="both"/>
        <w:rPr>
          <w:rFonts w:ascii="Times New Roman" w:hAnsi="Times New Roman" w:cs="Times New Roman"/>
          <w:b/>
          <w:bCs/>
        </w:rPr>
      </w:pPr>
    </w:p>
    <w:p w14:paraId="153063E8" w14:textId="40E972C5" w:rsidR="00F1467B" w:rsidRPr="00876E4D" w:rsidRDefault="00F1467B" w:rsidP="004C542B">
      <w:pPr>
        <w:pStyle w:val="NoSpacing"/>
        <w:jc w:val="both"/>
        <w:rPr>
          <w:rFonts w:ascii="Times New Roman" w:hAnsi="Times New Roman" w:cs="Times New Roman"/>
          <w:b/>
          <w:bCs/>
        </w:rPr>
      </w:pPr>
      <w:r w:rsidRPr="00876E4D">
        <w:rPr>
          <w:rFonts w:ascii="Times New Roman" w:hAnsi="Times New Roman" w:cs="Times New Roman"/>
          <w:b/>
          <w:bCs/>
        </w:rPr>
        <w:t>1. Introduction</w:t>
      </w:r>
    </w:p>
    <w:p w14:paraId="0F74CC05" w14:textId="7DB78B6C" w:rsidR="000F37AA" w:rsidRPr="00876E4D" w:rsidRDefault="000F37AA" w:rsidP="000F37AA">
      <w:pPr>
        <w:pStyle w:val="NormalWeb"/>
        <w:jc w:val="both"/>
      </w:pPr>
      <w:r w:rsidRPr="00876E4D">
        <w:t xml:space="preserve">Agriculture and aquaculture are both significant sectors for socio-economic development in many developing countries, especially in South Asian countries (Rehman </w:t>
      </w:r>
      <w:r w:rsidRPr="00876E4D">
        <w:rPr>
          <w:i/>
          <w:iCs/>
        </w:rPr>
        <w:t>et al</w:t>
      </w:r>
      <w:r w:rsidRPr="00876E4D">
        <w:t>., 2024; Sinha &amp; Banerjee, 2025; FAO, 2022). Such sectors generate employment, assure food security and support livelihoods of a large portion of rural households in countries like Bangladesh (FAO, 2022; World Bank, 2023). Fish farming has become one of the most active sectors of rural economies because of its substantial contributions to food supply, revenue generation, and diversifying livelihoods (FAO, 20</w:t>
      </w:r>
      <w:r w:rsidR="00E76996" w:rsidRPr="00876E4D">
        <w:t>22;</w:t>
      </w:r>
      <w:r w:rsidR="00E76996" w:rsidRPr="00876E4D">
        <w:rPr>
          <w:rFonts w:asciiTheme="minorHAnsi" w:eastAsiaTheme="minorHAnsi" w:hAnsiTheme="minorHAnsi" w:cstheme="minorBidi"/>
          <w:kern w:val="2"/>
          <w:lang w:bidi="ar-SA"/>
          <w14:ligatures w14:val="standardContextual"/>
        </w:rPr>
        <w:t xml:space="preserve"> </w:t>
      </w:r>
      <w:r w:rsidR="00E76996" w:rsidRPr="00876E4D">
        <w:t xml:space="preserve">Bjørndal </w:t>
      </w:r>
      <w:r w:rsidR="00E76996" w:rsidRPr="00876E4D">
        <w:rPr>
          <w:i/>
          <w:iCs/>
        </w:rPr>
        <w:t>et al</w:t>
      </w:r>
      <w:r w:rsidR="00E76996" w:rsidRPr="00876E4D">
        <w:t xml:space="preserve">., 2024 </w:t>
      </w:r>
      <w:r w:rsidRPr="00876E4D">
        <w:t xml:space="preserve">). The transformation has changed the allocation of land, labor, water and investment among the farming activities of rural households. But as it grows more profitable, crop agriculture is now competing with aquaculture for land and water resources. Therefore, it is important to understand the relative importance of crop production over </w:t>
      </w:r>
      <w:r w:rsidRPr="00876E4D">
        <w:lastRenderedPageBreak/>
        <w:t xml:space="preserve">aquaculture to improve the efficiency of resource use and support sustainable rural development in Bangladesh (Belton &amp; Azad, 2012; Mitra </w:t>
      </w:r>
      <w:r w:rsidRPr="00876E4D">
        <w:rPr>
          <w:i/>
          <w:iCs/>
        </w:rPr>
        <w:t>et al</w:t>
      </w:r>
      <w:r w:rsidRPr="00876E4D">
        <w:t xml:space="preserve">., 2024; Shamsuzzaman </w:t>
      </w:r>
      <w:r w:rsidRPr="00876E4D">
        <w:rPr>
          <w:i/>
          <w:iCs/>
        </w:rPr>
        <w:t>et al</w:t>
      </w:r>
      <w:r w:rsidRPr="00876E4D">
        <w:t>., 2017).</w:t>
      </w:r>
    </w:p>
    <w:p w14:paraId="1BCA461F" w14:textId="087A52F5" w:rsidR="000F37AA" w:rsidRPr="00876E4D" w:rsidRDefault="000F37AA" w:rsidP="000F37AA">
      <w:pPr>
        <w:pStyle w:val="NormalWeb"/>
        <w:jc w:val="both"/>
      </w:pPr>
      <w:r w:rsidRPr="00876E4D">
        <w:t xml:space="preserve">In the national context, Mymensingh is an important center for agriculture and aquaculture due to the region's favorable agro-ecological conditions, availability of water and traditions of farming. The people of the busy rural community of Mymensingh Sadar are now involved in crop and fish farming to diversify their sources of income. The upazila has a population of 809,394. The total area is 38,845 hectares of which 26,571 hectares are arable land. The land types that support different types of agriculture and aquaculture are high land (16,947 ha), medium high land (7,472 ha), medium low land (7,105 ha) and low land (785 ha). The area belongs to Agro-Ecological Zones (AEZ) 7, 8 and 9 which are suitable for crop and fish culture (Upazila Agriculture Extension Office Report, Sadar, Mymensingh, 2025). Mymensingh Sadar is divided into 40 agricultural blocks and 11 unions for administrative purposes. It is a typical place for studying relationships between farming systems. The area is also a major producer of fish with total fish production (37,494 metric tons) exceeding local demand (17,724.20 metric tons). </w:t>
      </w:r>
      <w:r w:rsidR="00D55070" w:rsidRPr="00876E4D">
        <w:t>Moreover, there are two private hatcheries, 26 fish seed production units and 61 fish markets denoting a strong aquaculture base as well as an expanding rural economy (Sarkar, 2023; BBS, 2024; District Fisheries Office, Mymensingh, 2022)</w:t>
      </w:r>
      <w:r w:rsidRPr="00876E4D">
        <w:t xml:space="preserve">. These attributes make the vicinity a key setting to explore how ordinary people view both aquaculture and agriculture as opposing, overlapping, or alternative livelihood options in the setting of asset depletion (Heal </w:t>
      </w:r>
      <w:r w:rsidRPr="00876E4D">
        <w:rPr>
          <w:i/>
          <w:iCs/>
        </w:rPr>
        <w:t>et al</w:t>
      </w:r>
      <w:r w:rsidRPr="00876E4D">
        <w:t xml:space="preserve">., 2022). </w:t>
      </w:r>
    </w:p>
    <w:p w14:paraId="73DD0E6F" w14:textId="30A9D7AE" w:rsidR="003A0FCD" w:rsidRPr="00876E4D" w:rsidRDefault="003A0FCD" w:rsidP="003A0FCD">
      <w:pPr>
        <w:pStyle w:val="NoSpacing"/>
        <w:jc w:val="both"/>
        <w:rPr>
          <w:rFonts w:ascii="Times New Roman" w:eastAsia="Times New Roman" w:hAnsi="Times New Roman" w:cs="Times New Roman"/>
          <w:kern w:val="0"/>
          <w:lang w:bidi="bn-BD"/>
          <w14:ligatures w14:val="none"/>
        </w:rPr>
      </w:pPr>
      <w:r w:rsidRPr="00876E4D">
        <w:rPr>
          <w:rFonts w:ascii="Times New Roman" w:eastAsia="Times New Roman" w:hAnsi="Times New Roman" w:cs="Times New Roman"/>
          <w:kern w:val="0"/>
          <w:lang w:bidi="bn-BD"/>
          <w14:ligatures w14:val="none"/>
        </w:rPr>
        <w:t>Socio-economic profiling of farming households provides important information on the living conditions, resource endowment, sources of income and access to services of the farming households</w:t>
      </w:r>
      <w:r w:rsidR="007F17A1" w:rsidRPr="00876E4D">
        <w:rPr>
          <w:rFonts w:ascii="Times New Roman" w:eastAsia="Times New Roman" w:hAnsi="Times New Roman" w:cs="Times New Roman"/>
          <w:kern w:val="0"/>
          <w:lang w:bidi="bn-BD"/>
          <w14:ligatures w14:val="none"/>
        </w:rPr>
        <w:t xml:space="preserve"> (Amitha </w:t>
      </w:r>
      <w:r w:rsidR="007F17A1" w:rsidRPr="00876E4D">
        <w:rPr>
          <w:rFonts w:ascii="Times New Roman" w:eastAsia="Times New Roman" w:hAnsi="Times New Roman" w:cs="Times New Roman"/>
          <w:i/>
          <w:iCs/>
          <w:kern w:val="0"/>
          <w:lang w:bidi="bn-BD"/>
          <w14:ligatures w14:val="none"/>
        </w:rPr>
        <w:t>et al</w:t>
      </w:r>
      <w:r w:rsidR="007F17A1" w:rsidRPr="00876E4D">
        <w:rPr>
          <w:rFonts w:ascii="Times New Roman" w:eastAsia="Times New Roman" w:hAnsi="Times New Roman" w:cs="Times New Roman"/>
          <w:kern w:val="0"/>
          <w:lang w:bidi="bn-BD"/>
          <w14:ligatures w14:val="none"/>
        </w:rPr>
        <w:t xml:space="preserve">., 2023; Mandal </w:t>
      </w:r>
      <w:r w:rsidR="007F17A1" w:rsidRPr="00876E4D">
        <w:rPr>
          <w:rFonts w:ascii="Times New Roman" w:eastAsia="Times New Roman" w:hAnsi="Times New Roman" w:cs="Times New Roman"/>
          <w:i/>
          <w:iCs/>
          <w:kern w:val="0"/>
          <w:lang w:bidi="bn-BD"/>
          <w14:ligatures w14:val="none"/>
        </w:rPr>
        <w:t>et al</w:t>
      </w:r>
      <w:r w:rsidR="007F17A1" w:rsidRPr="00876E4D">
        <w:rPr>
          <w:rFonts w:ascii="Times New Roman" w:eastAsia="Times New Roman" w:hAnsi="Times New Roman" w:cs="Times New Roman"/>
          <w:kern w:val="0"/>
          <w:lang w:bidi="bn-BD"/>
          <w14:ligatures w14:val="none"/>
        </w:rPr>
        <w:t xml:space="preserve">., 2023; Al Mahadi </w:t>
      </w:r>
      <w:r w:rsidR="007F17A1" w:rsidRPr="00876E4D">
        <w:rPr>
          <w:rFonts w:ascii="Times New Roman" w:eastAsia="Times New Roman" w:hAnsi="Times New Roman" w:cs="Times New Roman"/>
          <w:i/>
          <w:iCs/>
          <w:kern w:val="0"/>
          <w:lang w:bidi="bn-BD"/>
          <w14:ligatures w14:val="none"/>
        </w:rPr>
        <w:t>et al</w:t>
      </w:r>
      <w:r w:rsidR="007F17A1" w:rsidRPr="00876E4D">
        <w:rPr>
          <w:rFonts w:ascii="Times New Roman" w:eastAsia="Times New Roman" w:hAnsi="Times New Roman" w:cs="Times New Roman"/>
          <w:kern w:val="0"/>
          <w:lang w:bidi="bn-BD"/>
          <w14:ligatures w14:val="none"/>
        </w:rPr>
        <w:t>., 2022)</w:t>
      </w:r>
      <w:r w:rsidRPr="00876E4D">
        <w:rPr>
          <w:rFonts w:ascii="Times New Roman" w:eastAsia="Times New Roman" w:hAnsi="Times New Roman" w:cs="Times New Roman"/>
          <w:kern w:val="0"/>
          <w:lang w:bidi="bn-BD"/>
          <w14:ligatures w14:val="none"/>
        </w:rPr>
        <w:t>. Profiling is important to understand the difference between agricultural and fish farming communities and to identify the factors influencing livelihood diversification. Livelihood diversification, the process by which households build a diverse portfolio of activities and social support assets for survival and the advancement of their standards of living, has emerged as an important adaptation strategy in rural Bangladesh</w:t>
      </w:r>
      <w:r w:rsidR="007F17A1" w:rsidRPr="00876E4D">
        <w:rPr>
          <w:rFonts w:ascii="Times New Roman" w:eastAsia="Times New Roman" w:hAnsi="Times New Roman" w:cs="Times New Roman"/>
          <w:kern w:val="0"/>
          <w:lang w:bidi="bn-BD"/>
          <w14:ligatures w14:val="none"/>
        </w:rPr>
        <w:t xml:space="preserve"> (Ellis, 2000; Scoones, 1998; Rahman &amp; Akter, 2022)</w:t>
      </w:r>
      <w:r w:rsidRPr="00876E4D">
        <w:rPr>
          <w:rFonts w:ascii="Times New Roman" w:eastAsia="Times New Roman" w:hAnsi="Times New Roman" w:cs="Times New Roman"/>
          <w:kern w:val="0"/>
          <w:lang w:bidi="bn-BD"/>
          <w14:ligatures w14:val="none"/>
        </w:rPr>
        <w:t>. In recent years there has been an increasing recognition of the complementary nature of agriculture and aquaculture as livelihood options. But the empirical evidence on the interactions of these sectors at household level in the context of Mymensingh Sadar especially in connection with socio-economic status and diversification patterns is limited. Understanding these dynamics is crucial for the design of effective policies and development interventions for poverty reduction and sustainable rural development.</w:t>
      </w:r>
    </w:p>
    <w:p w14:paraId="478AD2E3" w14:textId="77777777" w:rsidR="003A0FCD" w:rsidRPr="00876E4D" w:rsidRDefault="003A0FCD" w:rsidP="003A0FCD">
      <w:pPr>
        <w:pStyle w:val="NoSpacing"/>
        <w:jc w:val="both"/>
        <w:rPr>
          <w:rFonts w:ascii="Times New Roman" w:eastAsia="Times New Roman" w:hAnsi="Times New Roman" w:cs="Times New Roman"/>
          <w:kern w:val="0"/>
          <w:lang w:bidi="bn-BD"/>
          <w14:ligatures w14:val="none"/>
        </w:rPr>
      </w:pPr>
    </w:p>
    <w:p w14:paraId="271483C1" w14:textId="027FB934" w:rsidR="00725B9C" w:rsidRPr="00876E4D" w:rsidRDefault="003A0FCD" w:rsidP="003A0FCD">
      <w:pPr>
        <w:pStyle w:val="NoSpacing"/>
        <w:jc w:val="both"/>
        <w:rPr>
          <w:rFonts w:ascii="Times New Roman" w:eastAsia="Times New Roman" w:hAnsi="Times New Roman" w:cs="Times New Roman"/>
          <w:kern w:val="0"/>
          <w:lang w:bidi="bn-BD"/>
          <w14:ligatures w14:val="none"/>
        </w:rPr>
      </w:pPr>
      <w:r w:rsidRPr="00876E4D">
        <w:rPr>
          <w:rFonts w:ascii="Times New Roman" w:eastAsia="Times New Roman" w:hAnsi="Times New Roman" w:cs="Times New Roman"/>
          <w:kern w:val="0"/>
          <w:lang w:bidi="bn-BD"/>
          <w14:ligatures w14:val="none"/>
        </w:rPr>
        <w:t>Therefore, this study tries to evaluate the socio-economic characteristics of agricultural and fish farming households of Mymensingh Sadar and evaluate their livelihood diversification strategies. The study is expected to contribute for the understanding of the rural livelihoods in Mymensingh Sadar, Bangladesh by identifying the major factors influencing diversification and comparing the different farming groups.</w:t>
      </w:r>
    </w:p>
    <w:p w14:paraId="6DE7FD45" w14:textId="77777777" w:rsidR="003A0FCD" w:rsidRPr="00876E4D" w:rsidRDefault="003A0FCD" w:rsidP="003A0FCD">
      <w:pPr>
        <w:pStyle w:val="NoSpacing"/>
        <w:jc w:val="both"/>
        <w:rPr>
          <w:rFonts w:ascii="Times New Roman" w:eastAsia="Times New Roman" w:hAnsi="Times New Roman" w:cs="Times New Roman"/>
          <w:kern w:val="0"/>
          <w:lang w:bidi="bn-BD"/>
          <w14:ligatures w14:val="none"/>
        </w:rPr>
      </w:pPr>
    </w:p>
    <w:p w14:paraId="2A3499FD" w14:textId="77777777" w:rsidR="003A0FCD" w:rsidRPr="00876E4D" w:rsidRDefault="003A0FCD" w:rsidP="004C542B">
      <w:pPr>
        <w:pStyle w:val="NoSpacing"/>
        <w:jc w:val="both"/>
        <w:rPr>
          <w:rFonts w:ascii="Times New Roman" w:hAnsi="Times New Roman" w:cs="Times New Roman"/>
        </w:rPr>
      </w:pPr>
    </w:p>
    <w:p w14:paraId="4D30D815" w14:textId="77777777" w:rsidR="00155E05" w:rsidRPr="00876E4D" w:rsidRDefault="00155E05" w:rsidP="004C542B">
      <w:pPr>
        <w:pStyle w:val="NoSpacing"/>
        <w:jc w:val="both"/>
        <w:rPr>
          <w:rFonts w:ascii="Times New Roman" w:hAnsi="Times New Roman" w:cs="Times New Roman"/>
          <w:b/>
          <w:bCs/>
        </w:rPr>
      </w:pPr>
    </w:p>
    <w:p w14:paraId="1FEB27AE" w14:textId="77777777" w:rsidR="003A0FCD" w:rsidRPr="00876E4D" w:rsidRDefault="003A0FCD" w:rsidP="004C542B">
      <w:pPr>
        <w:pStyle w:val="NoSpacing"/>
        <w:jc w:val="both"/>
        <w:rPr>
          <w:rFonts w:ascii="Times New Roman" w:hAnsi="Times New Roman" w:cs="Times New Roman"/>
          <w:b/>
          <w:bCs/>
        </w:rPr>
      </w:pPr>
    </w:p>
    <w:p w14:paraId="022CAF27" w14:textId="77777777" w:rsidR="003A0FCD" w:rsidRPr="00876E4D" w:rsidRDefault="003A0FCD" w:rsidP="004C542B">
      <w:pPr>
        <w:pStyle w:val="NoSpacing"/>
        <w:jc w:val="both"/>
        <w:rPr>
          <w:rFonts w:ascii="Times New Roman" w:hAnsi="Times New Roman" w:cs="Times New Roman"/>
          <w:b/>
          <w:bCs/>
        </w:rPr>
      </w:pPr>
    </w:p>
    <w:p w14:paraId="312B168A" w14:textId="1B5E0D30" w:rsidR="005E5260" w:rsidRPr="00876E4D" w:rsidRDefault="005E5260" w:rsidP="004C542B">
      <w:pPr>
        <w:pStyle w:val="NoSpacing"/>
        <w:jc w:val="both"/>
        <w:rPr>
          <w:rFonts w:ascii="Times New Roman" w:hAnsi="Times New Roman" w:cs="Times New Roman"/>
          <w:b/>
          <w:bCs/>
        </w:rPr>
      </w:pPr>
      <w:r w:rsidRPr="00876E4D">
        <w:rPr>
          <w:rFonts w:ascii="Times New Roman" w:hAnsi="Times New Roman" w:cs="Times New Roman"/>
          <w:b/>
          <w:bCs/>
        </w:rPr>
        <w:lastRenderedPageBreak/>
        <w:t>Materials and Methods</w:t>
      </w:r>
    </w:p>
    <w:p w14:paraId="74A85F68" w14:textId="77777777" w:rsidR="005E5260" w:rsidRPr="00876E4D" w:rsidRDefault="005E5260" w:rsidP="004C542B">
      <w:pPr>
        <w:pStyle w:val="NoSpacing"/>
        <w:jc w:val="both"/>
        <w:rPr>
          <w:rFonts w:ascii="Times New Roman" w:hAnsi="Times New Roman" w:cs="Times New Roman"/>
          <w:b/>
          <w:bCs/>
        </w:rPr>
      </w:pPr>
    </w:p>
    <w:p w14:paraId="5D0C70EA" w14:textId="62E7E0CF" w:rsidR="005E5260" w:rsidRPr="00876E4D" w:rsidRDefault="005E5260" w:rsidP="004C542B">
      <w:pPr>
        <w:pStyle w:val="NoSpacing"/>
        <w:jc w:val="both"/>
        <w:rPr>
          <w:rFonts w:ascii="Times New Roman" w:hAnsi="Times New Roman" w:cs="Times New Roman"/>
          <w:b/>
          <w:bCs/>
        </w:rPr>
      </w:pPr>
      <w:r w:rsidRPr="00876E4D">
        <w:rPr>
          <w:rFonts w:ascii="Times New Roman" w:hAnsi="Times New Roman" w:cs="Times New Roman"/>
          <w:b/>
          <w:bCs/>
        </w:rPr>
        <w:t>2.1. Study Area</w:t>
      </w:r>
    </w:p>
    <w:p w14:paraId="75C11EA4" w14:textId="77777777" w:rsidR="005E5260" w:rsidRPr="00876E4D" w:rsidRDefault="005E5260" w:rsidP="004C542B">
      <w:pPr>
        <w:pStyle w:val="NoSpacing"/>
        <w:jc w:val="both"/>
        <w:rPr>
          <w:rFonts w:ascii="Times New Roman" w:hAnsi="Times New Roman" w:cs="Times New Roman"/>
        </w:rPr>
      </w:pPr>
    </w:p>
    <w:p w14:paraId="68BEA126" w14:textId="74392A95" w:rsidR="003A0FCD" w:rsidRPr="00876E4D" w:rsidRDefault="005E5260" w:rsidP="004C542B">
      <w:pPr>
        <w:pStyle w:val="NoSpacing"/>
        <w:jc w:val="both"/>
        <w:rPr>
          <w:rFonts w:ascii="Times New Roman" w:hAnsi="Times New Roman" w:cs="Times New Roman"/>
        </w:rPr>
      </w:pPr>
      <w:r w:rsidRPr="00876E4D">
        <w:rPr>
          <w:rFonts w:ascii="Times New Roman" w:hAnsi="Times New Roman" w:cs="Times New Roman"/>
        </w:rPr>
        <w:t>The study was executed in Mymensingh Sadar Upazila of the Mymensingh District, Bangladesh. The region is known for the presence of both agricultural and aquaculture systems as key forms of production, in rural settings. The study area location is shown in figure 1.</w:t>
      </w:r>
    </w:p>
    <w:p w14:paraId="2301839D" w14:textId="77777777" w:rsidR="00155E05" w:rsidRPr="00876E4D" w:rsidRDefault="00155E05" w:rsidP="004C542B">
      <w:pPr>
        <w:pStyle w:val="NoSpacing"/>
        <w:jc w:val="both"/>
        <w:rPr>
          <w:rFonts w:ascii="Times New Roman" w:hAnsi="Times New Roman" w:cs="Times New Roman"/>
        </w:rPr>
      </w:pPr>
    </w:p>
    <w:p w14:paraId="718F6A8D" w14:textId="69F4594F" w:rsidR="00DD3203" w:rsidRPr="00876E4D" w:rsidRDefault="00DD3203" w:rsidP="00DD3203">
      <w:pPr>
        <w:pStyle w:val="NoSpacing"/>
        <w:jc w:val="center"/>
        <w:rPr>
          <w:rFonts w:ascii="Times New Roman" w:hAnsi="Times New Roman" w:cs="Times New Roman"/>
        </w:rPr>
      </w:pPr>
      <w:r w:rsidRPr="00876E4D">
        <w:rPr>
          <w:rFonts w:ascii="Times New Roman" w:hAnsi="Times New Roman" w:cs="Times New Roman"/>
          <w:noProof/>
          <w:lang w:bidi="bn-BD"/>
        </w:rPr>
        <w:drawing>
          <wp:inline distT="0" distB="0" distL="0" distR="0" wp14:anchorId="5E1319FE" wp14:editId="09401D68">
            <wp:extent cx="3489518" cy="3154680"/>
            <wp:effectExtent l="0" t="0" r="0" b="7620"/>
            <wp:docPr id="4100" name="Content Placeholder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100" name="Content Placeholder 2"/>
                    <pic:cNvPicPr>
                      <a:picLocks noGrp="1" noChangeAspect="1"/>
                    </pic:cNvPicPr>
                  </pic:nvPicPr>
                  <pic:blipFill>
                    <a:blip r:embed="rId7"/>
                    <a:srcRect/>
                    <a:stretch>
                      <a:fillRect/>
                    </a:stretch>
                  </pic:blipFill>
                  <pic:spPr>
                    <a:xfrm>
                      <a:off x="0" y="0"/>
                      <a:ext cx="3499079" cy="3163323"/>
                    </a:xfrm>
                    <a:prstGeom prst="rect">
                      <a:avLst/>
                    </a:prstGeom>
                    <a:noFill/>
                    <a:ln w="9525">
                      <a:noFill/>
                    </a:ln>
                  </pic:spPr>
                </pic:pic>
              </a:graphicData>
            </a:graphic>
          </wp:inline>
        </w:drawing>
      </w:r>
    </w:p>
    <w:p w14:paraId="0CDC061A" w14:textId="6FE2C738" w:rsidR="00DD3203" w:rsidRPr="00876E4D" w:rsidRDefault="00DD3203" w:rsidP="00DD3203">
      <w:pPr>
        <w:pStyle w:val="NoSpacing"/>
        <w:jc w:val="center"/>
        <w:rPr>
          <w:rFonts w:ascii="Times New Roman" w:hAnsi="Times New Roman" w:cs="Times New Roman"/>
        </w:rPr>
      </w:pPr>
      <w:r w:rsidRPr="00876E4D">
        <w:rPr>
          <w:rFonts w:ascii="Times New Roman" w:hAnsi="Times New Roman" w:cs="Times New Roman"/>
        </w:rPr>
        <w:t>Figure 1. Mymensingh Sadar Upazila</w:t>
      </w:r>
    </w:p>
    <w:p w14:paraId="2D83FBEE" w14:textId="77777777" w:rsidR="005E5260" w:rsidRPr="00876E4D" w:rsidRDefault="005E5260" w:rsidP="004C542B">
      <w:pPr>
        <w:pStyle w:val="NoSpacing"/>
        <w:jc w:val="both"/>
        <w:rPr>
          <w:rFonts w:ascii="Times New Roman" w:hAnsi="Times New Roman" w:cs="Times New Roman"/>
        </w:rPr>
      </w:pPr>
    </w:p>
    <w:p w14:paraId="6A0F5719" w14:textId="6FA87B02" w:rsidR="005E5260" w:rsidRPr="00876E4D" w:rsidRDefault="005E5260" w:rsidP="004C542B">
      <w:pPr>
        <w:pStyle w:val="NoSpacing"/>
        <w:jc w:val="both"/>
        <w:rPr>
          <w:rFonts w:ascii="Times New Roman" w:hAnsi="Times New Roman" w:cs="Times New Roman"/>
          <w:b/>
          <w:bCs/>
        </w:rPr>
      </w:pPr>
      <w:r w:rsidRPr="00876E4D">
        <w:rPr>
          <w:rFonts w:ascii="Times New Roman" w:hAnsi="Times New Roman" w:cs="Times New Roman"/>
          <w:b/>
          <w:bCs/>
        </w:rPr>
        <w:t>2.2. Data collection methods</w:t>
      </w:r>
    </w:p>
    <w:p w14:paraId="7147EEFE" w14:textId="77777777" w:rsidR="005E5260" w:rsidRPr="00876E4D" w:rsidRDefault="005E5260" w:rsidP="004C542B">
      <w:pPr>
        <w:pStyle w:val="NoSpacing"/>
        <w:jc w:val="both"/>
        <w:rPr>
          <w:rFonts w:ascii="Times New Roman" w:hAnsi="Times New Roman" w:cs="Times New Roman"/>
        </w:rPr>
      </w:pPr>
    </w:p>
    <w:p w14:paraId="6E88774B" w14:textId="02C5BE5E" w:rsidR="005E5260" w:rsidRPr="00876E4D" w:rsidRDefault="005E5260" w:rsidP="004C542B">
      <w:pPr>
        <w:pStyle w:val="NoSpacing"/>
        <w:jc w:val="both"/>
        <w:rPr>
          <w:rFonts w:ascii="Times New Roman" w:hAnsi="Times New Roman" w:cs="Times New Roman"/>
        </w:rPr>
      </w:pPr>
      <w:r w:rsidRPr="00876E4D">
        <w:rPr>
          <w:rFonts w:ascii="Times New Roman" w:hAnsi="Times New Roman" w:cs="Times New Roman"/>
        </w:rPr>
        <w:t xml:space="preserve">Data were collected primarily through a study based on primary data from farmers involved in agriculture, aquaculture, or both in Mymensingh Sadar Upazila of Bangladesh. Qualitative and quantitative data were gathered to capture an overview of farmers' land-use practices, socioeconomic characteristics and technology adoption methods. Primary data were collected through structured questionnaires, face-to-face interviews as well as Participatory Rural Appraisal (PRA) tools. </w:t>
      </w:r>
      <w:r w:rsidR="00932C63" w:rsidRPr="00876E4D">
        <w:rPr>
          <w:rFonts w:ascii="Times New Roman" w:hAnsi="Times New Roman" w:cs="Times New Roman"/>
        </w:rPr>
        <w:t xml:space="preserve">Simple random sampling method was used to select </w:t>
      </w:r>
      <w:r w:rsidR="00CC4179" w:rsidRPr="00876E4D">
        <w:rPr>
          <w:rFonts w:ascii="Times New Roman" w:hAnsi="Times New Roman" w:cs="Times New Roman"/>
        </w:rPr>
        <w:t>304</w:t>
      </w:r>
      <w:r w:rsidR="00932C63" w:rsidRPr="00876E4D">
        <w:rPr>
          <w:rFonts w:ascii="Times New Roman" w:hAnsi="Times New Roman" w:cs="Times New Roman"/>
        </w:rPr>
        <w:t xml:space="preserve"> </w:t>
      </w:r>
      <w:r w:rsidR="00CC4179" w:rsidRPr="00876E4D">
        <w:rPr>
          <w:rFonts w:ascii="Times New Roman" w:hAnsi="Times New Roman" w:cs="Times New Roman"/>
        </w:rPr>
        <w:t>farmers</w:t>
      </w:r>
      <w:r w:rsidR="00932C63" w:rsidRPr="00876E4D">
        <w:rPr>
          <w:rFonts w:ascii="Times New Roman" w:hAnsi="Times New Roman" w:cs="Times New Roman"/>
        </w:rPr>
        <w:t xml:space="preserve"> engaged in agriculture, aquaculture or both fields in an unbiased way so as to make the target population a representative sample. The primary data was collected from such selected households through face-to-face interview using pre-tested structured questionnaire. </w:t>
      </w:r>
    </w:p>
    <w:p w14:paraId="7042E8B5" w14:textId="77777777" w:rsidR="000D711D" w:rsidRPr="00876E4D" w:rsidRDefault="000D711D" w:rsidP="004C542B">
      <w:pPr>
        <w:pStyle w:val="NoSpacing"/>
        <w:jc w:val="both"/>
        <w:rPr>
          <w:rFonts w:ascii="Times New Roman" w:hAnsi="Times New Roman" w:cs="Times New Roman"/>
        </w:rPr>
      </w:pPr>
    </w:p>
    <w:p w14:paraId="3B9BE9FC" w14:textId="3CFF0DC2" w:rsidR="001A2243" w:rsidRPr="00876E4D" w:rsidRDefault="001A2243" w:rsidP="001A2243">
      <w:pPr>
        <w:pStyle w:val="NoSpacing"/>
        <w:jc w:val="both"/>
        <w:rPr>
          <w:rFonts w:ascii="Times New Roman" w:hAnsi="Times New Roman" w:cs="Times New Roman"/>
        </w:rPr>
      </w:pPr>
      <w:r w:rsidRPr="00876E4D">
        <w:rPr>
          <w:rFonts w:ascii="Times New Roman" w:hAnsi="Times New Roman" w:cs="Times New Roman"/>
        </w:rPr>
        <w:t>The questionnaire aimed to collect detailed information concerning the demographic and socioeconomic characteristics of respondents, such as gender, age, marital status and education level, family size, farming experience (in years), landholding size (in hectares), income level (source)</w:t>
      </w:r>
      <w:r w:rsidR="00B85FE1" w:rsidRPr="00876E4D">
        <w:rPr>
          <w:rFonts w:ascii="Times New Roman" w:hAnsi="Times New Roman" w:cs="Times New Roman"/>
        </w:rPr>
        <w:t>,</w:t>
      </w:r>
      <w:r w:rsidRPr="00876E4D">
        <w:rPr>
          <w:rFonts w:ascii="Times New Roman" w:hAnsi="Times New Roman" w:cs="Times New Roman"/>
        </w:rPr>
        <w:t xml:space="preserve"> potential for debt </w:t>
      </w:r>
      <w:r w:rsidR="00655224" w:rsidRPr="00876E4D">
        <w:rPr>
          <w:rFonts w:ascii="Times New Roman" w:hAnsi="Times New Roman" w:cs="Times New Roman"/>
        </w:rPr>
        <w:t>status,</w:t>
      </w:r>
      <w:r w:rsidRPr="00876E4D">
        <w:rPr>
          <w:rFonts w:ascii="Times New Roman" w:hAnsi="Times New Roman" w:cs="Times New Roman"/>
        </w:rPr>
        <w:t xml:space="preserve"> whether</w:t>
      </w:r>
      <w:r w:rsidR="00B85FE1" w:rsidRPr="00876E4D">
        <w:rPr>
          <w:rFonts w:ascii="Times New Roman" w:hAnsi="Times New Roman" w:cs="Times New Roman"/>
        </w:rPr>
        <w:t xml:space="preserve"> </w:t>
      </w:r>
      <w:r w:rsidRPr="00876E4D">
        <w:rPr>
          <w:rFonts w:ascii="Times New Roman" w:hAnsi="Times New Roman" w:cs="Times New Roman"/>
        </w:rPr>
        <w:t>training</w:t>
      </w:r>
      <w:r w:rsidR="00B85FE1" w:rsidRPr="00876E4D">
        <w:rPr>
          <w:rFonts w:ascii="Times New Roman" w:hAnsi="Times New Roman" w:cs="Times New Roman"/>
        </w:rPr>
        <w:t xml:space="preserve"> received or not</w:t>
      </w:r>
      <w:r w:rsidRPr="00876E4D">
        <w:rPr>
          <w:rFonts w:ascii="Times New Roman" w:hAnsi="Times New Roman" w:cs="Times New Roman"/>
        </w:rPr>
        <w:t>. It also contained data concerning livelihood diversification, land-use allocation and production activities.</w:t>
      </w:r>
      <w:r w:rsidR="003A0FCD" w:rsidRPr="00876E4D">
        <w:rPr>
          <w:rFonts w:ascii="Times New Roman" w:hAnsi="Times New Roman" w:cs="Times New Roman"/>
        </w:rPr>
        <w:t xml:space="preserve"> </w:t>
      </w:r>
      <w:r w:rsidRPr="00876E4D">
        <w:rPr>
          <w:rFonts w:ascii="Times New Roman" w:hAnsi="Times New Roman" w:cs="Times New Roman"/>
        </w:rPr>
        <w:t xml:space="preserve">Along with the household survey, community-level information as well as cross validation of the survey results </w:t>
      </w:r>
      <w:r w:rsidRPr="00876E4D">
        <w:rPr>
          <w:rFonts w:ascii="Times New Roman" w:hAnsi="Times New Roman" w:cs="Times New Roman"/>
        </w:rPr>
        <w:lastRenderedPageBreak/>
        <w:t>was achieved through the implementation of PRA (Participatory Rural Appraisal) methods. The various PRA exercises conducted gave information about farmers’ perceptions about the changes in land use, relative importance of agriculture</w:t>
      </w:r>
      <w:r w:rsidR="00B85FE1" w:rsidRPr="00876E4D">
        <w:rPr>
          <w:rFonts w:ascii="Times New Roman" w:hAnsi="Times New Roman" w:cs="Times New Roman"/>
        </w:rPr>
        <w:t xml:space="preserve"> and</w:t>
      </w:r>
      <w:r w:rsidRPr="00876E4D">
        <w:rPr>
          <w:rFonts w:ascii="Times New Roman" w:hAnsi="Times New Roman" w:cs="Times New Roman"/>
        </w:rPr>
        <w:t xml:space="preserve"> aquaculture, training availability and barriers for adoption of technology as well as major constraints related to production and marketing.</w:t>
      </w:r>
    </w:p>
    <w:p w14:paraId="676C48FA" w14:textId="77777777" w:rsidR="001A2243" w:rsidRPr="00876E4D" w:rsidRDefault="001A2243" w:rsidP="001A2243">
      <w:pPr>
        <w:pStyle w:val="NoSpacing"/>
        <w:jc w:val="both"/>
        <w:rPr>
          <w:rFonts w:ascii="Times New Roman" w:hAnsi="Times New Roman" w:cs="Times New Roman"/>
        </w:rPr>
      </w:pPr>
    </w:p>
    <w:p w14:paraId="40389642" w14:textId="724B6E74" w:rsidR="001A2243" w:rsidRPr="00876E4D" w:rsidRDefault="001A2243" w:rsidP="001A2243">
      <w:pPr>
        <w:pStyle w:val="NoSpacing"/>
        <w:jc w:val="both"/>
        <w:rPr>
          <w:rFonts w:ascii="Times New Roman" w:hAnsi="Times New Roman" w:cs="Times New Roman"/>
        </w:rPr>
      </w:pPr>
      <w:r w:rsidRPr="00876E4D">
        <w:rPr>
          <w:rFonts w:ascii="Times New Roman" w:hAnsi="Times New Roman" w:cs="Times New Roman"/>
        </w:rPr>
        <w:t>The primary data was verified with the secondary information gathered from the Department of Fisheries (DoF)</w:t>
      </w:r>
      <w:r w:rsidR="00B85FE1" w:rsidRPr="00876E4D">
        <w:rPr>
          <w:rFonts w:ascii="Times New Roman" w:hAnsi="Times New Roman" w:cs="Times New Roman"/>
        </w:rPr>
        <w:t xml:space="preserve"> office,</w:t>
      </w:r>
      <w:r w:rsidRPr="00876E4D">
        <w:rPr>
          <w:rFonts w:ascii="Times New Roman" w:hAnsi="Times New Roman" w:cs="Times New Roman"/>
        </w:rPr>
        <w:t xml:space="preserve"> and the Department of Agricultural Extension (DAE)</w:t>
      </w:r>
      <w:r w:rsidR="00B85FE1" w:rsidRPr="00876E4D">
        <w:rPr>
          <w:rFonts w:ascii="Times New Roman" w:hAnsi="Times New Roman" w:cs="Times New Roman"/>
        </w:rPr>
        <w:t xml:space="preserve"> office of Mymensingh </w:t>
      </w:r>
      <w:r w:rsidR="003A0FCD" w:rsidRPr="00876E4D">
        <w:rPr>
          <w:rFonts w:ascii="Times New Roman" w:hAnsi="Times New Roman" w:cs="Times New Roman"/>
        </w:rPr>
        <w:t>Sadar</w:t>
      </w:r>
      <w:r w:rsidRPr="00876E4D">
        <w:rPr>
          <w:rFonts w:ascii="Times New Roman" w:hAnsi="Times New Roman" w:cs="Times New Roman"/>
        </w:rPr>
        <w:t xml:space="preserve"> for strengthening reliability of study. The secondary sources provided supporting information on study area, socio-economic conditions, land-use pattern, farming activities and technology adoption.</w:t>
      </w:r>
    </w:p>
    <w:p w14:paraId="15E109AA" w14:textId="77777777" w:rsidR="004C542B" w:rsidRPr="00876E4D" w:rsidRDefault="004C542B" w:rsidP="004C542B">
      <w:pPr>
        <w:pStyle w:val="NoSpacing"/>
        <w:jc w:val="both"/>
        <w:rPr>
          <w:rFonts w:ascii="Times New Roman" w:hAnsi="Times New Roman" w:cs="Times New Roman"/>
          <w:b/>
          <w:bCs/>
        </w:rPr>
      </w:pPr>
    </w:p>
    <w:p w14:paraId="0FFDF271" w14:textId="0A73C1DE" w:rsidR="004C542B" w:rsidRPr="00876E4D" w:rsidRDefault="004C542B" w:rsidP="004C542B">
      <w:pPr>
        <w:pStyle w:val="NoSpacing"/>
        <w:jc w:val="both"/>
        <w:rPr>
          <w:rFonts w:ascii="Times New Roman" w:hAnsi="Times New Roman" w:cs="Times New Roman"/>
          <w:b/>
          <w:bCs/>
        </w:rPr>
      </w:pPr>
      <w:r w:rsidRPr="00876E4D">
        <w:rPr>
          <w:rFonts w:ascii="Times New Roman" w:hAnsi="Times New Roman" w:cs="Times New Roman"/>
          <w:b/>
          <w:bCs/>
        </w:rPr>
        <w:t>2.3 Data Processing and Analysis</w:t>
      </w:r>
    </w:p>
    <w:p w14:paraId="3DD64E9B" w14:textId="77777777" w:rsidR="004C542B" w:rsidRPr="00876E4D" w:rsidRDefault="004C542B" w:rsidP="004C542B">
      <w:pPr>
        <w:pStyle w:val="NoSpacing"/>
        <w:jc w:val="both"/>
        <w:rPr>
          <w:rFonts w:ascii="Times New Roman" w:hAnsi="Times New Roman" w:cs="Times New Roman"/>
          <w:b/>
          <w:bCs/>
        </w:rPr>
      </w:pPr>
    </w:p>
    <w:p w14:paraId="1C4A875C" w14:textId="7158DD2C" w:rsidR="004C542B" w:rsidRPr="00876E4D" w:rsidRDefault="004C542B" w:rsidP="004C542B">
      <w:pPr>
        <w:pStyle w:val="NoSpacing"/>
        <w:jc w:val="both"/>
        <w:rPr>
          <w:rFonts w:ascii="Times New Roman" w:hAnsi="Times New Roman" w:cs="Times New Roman"/>
        </w:rPr>
      </w:pPr>
      <w:r w:rsidRPr="00876E4D">
        <w:rPr>
          <w:rFonts w:ascii="Times New Roman" w:hAnsi="Times New Roman" w:cs="Times New Roman"/>
        </w:rPr>
        <w:t>The surveys were edited, cleaned and coded before entering the data into Microsoft Excel for processing and analysis. The final dataset was cross-checked with the relevant secondary data to ensure consistency and accuracy. Descriptive statistics were largely used to summarize socioeconomic characteristics of respondents, land use patterns, livelihood diversification, training exposure and agronomic and aquaculture technology adoption.</w:t>
      </w:r>
    </w:p>
    <w:p w14:paraId="0D33DEFE" w14:textId="77777777" w:rsidR="00127465" w:rsidRPr="00876E4D" w:rsidRDefault="00127465" w:rsidP="004C542B">
      <w:pPr>
        <w:pStyle w:val="NoSpacing"/>
        <w:jc w:val="both"/>
        <w:rPr>
          <w:rFonts w:ascii="Times New Roman" w:hAnsi="Times New Roman" w:cs="Times New Roman"/>
        </w:rPr>
      </w:pPr>
    </w:p>
    <w:p w14:paraId="247595CB" w14:textId="77777777" w:rsidR="00251008" w:rsidRPr="00876E4D" w:rsidRDefault="00251008" w:rsidP="004C542B">
      <w:pPr>
        <w:pStyle w:val="NoSpacing"/>
        <w:jc w:val="both"/>
        <w:rPr>
          <w:rFonts w:ascii="Times New Roman" w:hAnsi="Times New Roman" w:cs="Times New Roman"/>
        </w:rPr>
      </w:pPr>
    </w:p>
    <w:p w14:paraId="731A16D6" w14:textId="66E087A4" w:rsidR="00E56F69" w:rsidRPr="00876E4D" w:rsidRDefault="00180752" w:rsidP="004C542B">
      <w:pPr>
        <w:pStyle w:val="NoSpacing"/>
        <w:jc w:val="both"/>
        <w:rPr>
          <w:rFonts w:ascii="Times New Roman" w:hAnsi="Times New Roman" w:cs="Times New Roman"/>
          <w:b/>
          <w:bCs/>
        </w:rPr>
      </w:pPr>
      <w:r w:rsidRPr="00876E4D">
        <w:rPr>
          <w:rFonts w:ascii="Times New Roman" w:hAnsi="Times New Roman" w:cs="Times New Roman"/>
          <w:b/>
          <w:bCs/>
        </w:rPr>
        <w:t>3.</w:t>
      </w:r>
      <w:r w:rsidR="00127465" w:rsidRPr="00876E4D">
        <w:rPr>
          <w:rFonts w:ascii="Times New Roman" w:hAnsi="Times New Roman" w:cs="Times New Roman"/>
          <w:b/>
          <w:bCs/>
        </w:rPr>
        <w:t xml:space="preserve"> </w:t>
      </w:r>
      <w:r w:rsidRPr="00876E4D">
        <w:rPr>
          <w:rFonts w:ascii="Times New Roman" w:hAnsi="Times New Roman" w:cs="Times New Roman"/>
          <w:b/>
          <w:bCs/>
        </w:rPr>
        <w:t>Result</w:t>
      </w:r>
    </w:p>
    <w:p w14:paraId="2AF179BB" w14:textId="77777777" w:rsidR="004C542B" w:rsidRPr="00876E4D" w:rsidRDefault="004C542B" w:rsidP="004C542B">
      <w:pPr>
        <w:pStyle w:val="NoSpacing"/>
        <w:jc w:val="both"/>
        <w:rPr>
          <w:rFonts w:ascii="Times New Roman" w:hAnsi="Times New Roman" w:cs="Times New Roman"/>
        </w:rPr>
      </w:pPr>
    </w:p>
    <w:p w14:paraId="491A8F91" w14:textId="101E1B02" w:rsidR="004C542B" w:rsidRPr="00876E4D" w:rsidRDefault="004C542B" w:rsidP="004C542B">
      <w:pPr>
        <w:pStyle w:val="NoSpacing"/>
        <w:jc w:val="both"/>
        <w:rPr>
          <w:rFonts w:ascii="Times New Roman" w:hAnsi="Times New Roman" w:cs="Times New Roman"/>
          <w:b/>
          <w:bCs/>
        </w:rPr>
      </w:pPr>
      <w:r w:rsidRPr="00876E4D">
        <w:rPr>
          <w:rFonts w:ascii="Times New Roman" w:hAnsi="Times New Roman" w:cs="Times New Roman"/>
          <w:b/>
          <w:bCs/>
        </w:rPr>
        <w:t>3.1. Demographic Characteristics</w:t>
      </w:r>
      <w:r w:rsidR="00461470" w:rsidRPr="00876E4D">
        <w:rPr>
          <w:rFonts w:ascii="Times New Roman" w:hAnsi="Times New Roman" w:cs="Times New Roman"/>
          <w:b/>
          <w:bCs/>
        </w:rPr>
        <w:t xml:space="preserve"> of Respondents </w:t>
      </w:r>
    </w:p>
    <w:p w14:paraId="19B2DFD1" w14:textId="22ACFF79" w:rsidR="00461470" w:rsidRPr="00876E4D" w:rsidRDefault="00461470" w:rsidP="004C542B">
      <w:pPr>
        <w:pStyle w:val="NoSpacing"/>
        <w:jc w:val="both"/>
        <w:rPr>
          <w:rFonts w:ascii="Times New Roman" w:hAnsi="Times New Roman" w:cs="Times New Roman"/>
          <w:b/>
          <w:bCs/>
        </w:rPr>
      </w:pPr>
    </w:p>
    <w:p w14:paraId="75A282C3" w14:textId="5240E559" w:rsidR="001A2243" w:rsidRPr="00876E4D" w:rsidRDefault="001A2243" w:rsidP="00436B47">
      <w:pPr>
        <w:pStyle w:val="NoSpacing"/>
        <w:jc w:val="both"/>
        <w:rPr>
          <w:rFonts w:ascii="Times New Roman" w:hAnsi="Times New Roman" w:cs="Times New Roman"/>
          <w:b/>
          <w:bCs/>
        </w:rPr>
      </w:pPr>
      <w:r w:rsidRPr="00876E4D">
        <w:rPr>
          <w:rFonts w:ascii="Times New Roman" w:hAnsi="Times New Roman" w:cs="Times New Roman"/>
          <w:b/>
          <w:bCs/>
        </w:rPr>
        <w:t>3.1.</w:t>
      </w:r>
      <w:r w:rsidR="00251008" w:rsidRPr="00876E4D">
        <w:rPr>
          <w:rFonts w:ascii="Times New Roman" w:hAnsi="Times New Roman" w:cs="Times New Roman"/>
          <w:b/>
          <w:bCs/>
        </w:rPr>
        <w:t xml:space="preserve">1. </w:t>
      </w:r>
      <w:r w:rsidR="00B85FE1" w:rsidRPr="00876E4D">
        <w:rPr>
          <w:rFonts w:ascii="Times New Roman" w:hAnsi="Times New Roman" w:cs="Times New Roman"/>
          <w:b/>
          <w:bCs/>
        </w:rPr>
        <w:t>Gender</w:t>
      </w:r>
      <w:r w:rsidRPr="00876E4D">
        <w:rPr>
          <w:rFonts w:ascii="Times New Roman" w:hAnsi="Times New Roman" w:cs="Times New Roman"/>
          <w:b/>
          <w:bCs/>
        </w:rPr>
        <w:t xml:space="preserve"> Distribution </w:t>
      </w:r>
    </w:p>
    <w:p w14:paraId="3AE5CB83" w14:textId="77777777" w:rsidR="00251008" w:rsidRPr="00876E4D" w:rsidRDefault="00251008" w:rsidP="00436B47">
      <w:pPr>
        <w:pStyle w:val="NoSpacing"/>
        <w:jc w:val="both"/>
        <w:rPr>
          <w:rFonts w:ascii="Times New Roman" w:hAnsi="Times New Roman" w:cs="Times New Roman"/>
        </w:rPr>
      </w:pPr>
    </w:p>
    <w:p w14:paraId="5082053F" w14:textId="77777777" w:rsidR="00D55070" w:rsidRPr="00876E4D" w:rsidRDefault="00D55070" w:rsidP="00D55070">
      <w:pPr>
        <w:pStyle w:val="NoSpacing"/>
        <w:jc w:val="both"/>
        <w:rPr>
          <w:rFonts w:ascii="Times New Roman" w:hAnsi="Times New Roman" w:cs="Times New Roman"/>
        </w:rPr>
      </w:pPr>
      <w:r w:rsidRPr="00876E4D">
        <w:rPr>
          <w:rFonts w:ascii="Times New Roman" w:hAnsi="Times New Roman" w:cs="Times New Roman"/>
        </w:rPr>
        <w:t>The distribution of gender showed the farming sector in study area was vastly dominated by male participations represented with 95% as shown (Fig. 2). This indicates a very low level of participation of women in farming work; this may be due to the prevailing socio-cultural norms and gender roles within rural societies.</w:t>
      </w:r>
    </w:p>
    <w:p w14:paraId="0E7E6C48" w14:textId="77777777" w:rsidR="00B85FE1" w:rsidRPr="00876E4D" w:rsidRDefault="00B85FE1" w:rsidP="00436B47">
      <w:pPr>
        <w:pStyle w:val="NoSpacing"/>
        <w:jc w:val="both"/>
        <w:rPr>
          <w:rFonts w:ascii="Times New Roman" w:hAnsi="Times New Roman" w:cs="Times New Roman"/>
        </w:rPr>
      </w:pPr>
    </w:p>
    <w:p w14:paraId="5C496732" w14:textId="66473FA1" w:rsidR="00251008" w:rsidRPr="00876E4D" w:rsidRDefault="00251008" w:rsidP="00251008">
      <w:pPr>
        <w:pStyle w:val="NoSpacing"/>
        <w:jc w:val="center"/>
        <w:rPr>
          <w:rFonts w:ascii="Times New Roman" w:hAnsi="Times New Roman" w:cs="Times New Roman"/>
        </w:rPr>
      </w:pPr>
      <w:r w:rsidRPr="00876E4D">
        <w:rPr>
          <w:rFonts w:ascii="Times New Roman" w:hAnsi="Times New Roman" w:cs="Times New Roman"/>
          <w:noProof/>
          <w:lang w:bidi="bn-BD"/>
        </w:rPr>
        <w:drawing>
          <wp:inline distT="0" distB="0" distL="0" distR="0" wp14:anchorId="5660EF89" wp14:editId="3B54258A">
            <wp:extent cx="2827020" cy="2545080"/>
            <wp:effectExtent l="0" t="0" r="11430" b="7620"/>
            <wp:docPr id="1412680189" name="Chart 1">
              <a:extLst xmlns:a="http://schemas.openxmlformats.org/drawingml/2006/main">
                <a:ext uri="{FF2B5EF4-FFF2-40B4-BE49-F238E27FC236}">
                  <a16:creationId xmlns:a16="http://schemas.microsoft.com/office/drawing/2014/main" id="{4431D105-26DC-E3C6-3564-85740ABF86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9DA946" w14:textId="7DF83457" w:rsidR="00251008" w:rsidRPr="00876E4D" w:rsidRDefault="00251008" w:rsidP="003A0FCD">
      <w:pPr>
        <w:pStyle w:val="NoSpacing"/>
        <w:jc w:val="center"/>
        <w:rPr>
          <w:rFonts w:ascii="Times New Roman" w:hAnsi="Times New Roman" w:cs="Times New Roman"/>
        </w:rPr>
      </w:pPr>
      <w:r w:rsidRPr="00876E4D">
        <w:rPr>
          <w:rFonts w:ascii="Times New Roman" w:hAnsi="Times New Roman" w:cs="Times New Roman"/>
        </w:rPr>
        <w:t xml:space="preserve">Figure 2: </w:t>
      </w:r>
      <w:r w:rsidR="00B85FE1" w:rsidRPr="00876E4D">
        <w:rPr>
          <w:rFonts w:ascii="Times New Roman" w:hAnsi="Times New Roman" w:cs="Times New Roman"/>
        </w:rPr>
        <w:t>Gender</w:t>
      </w:r>
      <w:r w:rsidRPr="00876E4D">
        <w:rPr>
          <w:rFonts w:ascii="Times New Roman" w:hAnsi="Times New Roman" w:cs="Times New Roman"/>
        </w:rPr>
        <w:t xml:space="preserve"> distribution among the respondents</w:t>
      </w:r>
    </w:p>
    <w:p w14:paraId="637C1857" w14:textId="594C73A6" w:rsidR="00251008" w:rsidRPr="00876E4D" w:rsidRDefault="00251008" w:rsidP="00436B47">
      <w:pPr>
        <w:pStyle w:val="NoSpacing"/>
        <w:jc w:val="both"/>
        <w:rPr>
          <w:rFonts w:ascii="Times New Roman" w:hAnsi="Times New Roman" w:cs="Times New Roman"/>
          <w:b/>
          <w:bCs/>
        </w:rPr>
      </w:pPr>
      <w:r w:rsidRPr="00876E4D">
        <w:rPr>
          <w:rFonts w:ascii="Times New Roman" w:hAnsi="Times New Roman" w:cs="Times New Roman"/>
          <w:b/>
          <w:bCs/>
        </w:rPr>
        <w:lastRenderedPageBreak/>
        <w:t xml:space="preserve">3.1.2. Marital Status </w:t>
      </w:r>
    </w:p>
    <w:p w14:paraId="6E8C4060" w14:textId="77777777" w:rsidR="00251008" w:rsidRPr="00876E4D" w:rsidRDefault="00251008" w:rsidP="00436B47">
      <w:pPr>
        <w:pStyle w:val="NoSpacing"/>
        <w:jc w:val="both"/>
        <w:rPr>
          <w:rFonts w:ascii="Times New Roman" w:hAnsi="Times New Roman" w:cs="Times New Roman"/>
        </w:rPr>
      </w:pPr>
    </w:p>
    <w:p w14:paraId="0319A836" w14:textId="4DE8A895" w:rsidR="00436B47" w:rsidRPr="00876E4D" w:rsidRDefault="00251008" w:rsidP="00436B47">
      <w:pPr>
        <w:pStyle w:val="NoSpacing"/>
        <w:jc w:val="both"/>
        <w:rPr>
          <w:rFonts w:ascii="Times New Roman" w:hAnsi="Times New Roman" w:cs="Times New Roman"/>
        </w:rPr>
      </w:pPr>
      <w:r w:rsidRPr="00876E4D">
        <w:rPr>
          <w:rFonts w:ascii="Times New Roman" w:hAnsi="Times New Roman" w:cs="Times New Roman"/>
        </w:rPr>
        <w:t xml:space="preserve">As regards marital status, most of respondents were married (87%), only 13% were unmarried (Fig. </w:t>
      </w:r>
      <w:r w:rsidR="00E66320" w:rsidRPr="00876E4D">
        <w:rPr>
          <w:rFonts w:ascii="Times New Roman" w:hAnsi="Times New Roman" w:cs="Times New Roman"/>
        </w:rPr>
        <w:t>3</w:t>
      </w:r>
      <w:r w:rsidRPr="00876E4D">
        <w:rPr>
          <w:rFonts w:ascii="Times New Roman" w:hAnsi="Times New Roman" w:cs="Times New Roman"/>
        </w:rPr>
        <w:t xml:space="preserve">). </w:t>
      </w:r>
      <w:r w:rsidR="00436B47" w:rsidRPr="00876E4D">
        <w:rPr>
          <w:rFonts w:ascii="Times New Roman" w:hAnsi="Times New Roman" w:cs="Times New Roman"/>
        </w:rPr>
        <w:t>This showed that farming activities are largely undertaken by early adults with a family of their own, which may lead to household labor availability (or excess) and predictability in livelihood practices.</w:t>
      </w:r>
      <w:r w:rsidRPr="00876E4D">
        <w:rPr>
          <w:rFonts w:ascii="Times New Roman" w:hAnsi="Times New Roman" w:cs="Times New Roman"/>
        </w:rPr>
        <w:t xml:space="preserve"> </w:t>
      </w:r>
    </w:p>
    <w:p w14:paraId="387F1E13" w14:textId="77777777" w:rsidR="00251008" w:rsidRPr="00876E4D" w:rsidRDefault="00251008" w:rsidP="00436B47">
      <w:pPr>
        <w:pStyle w:val="NoSpacing"/>
        <w:jc w:val="both"/>
        <w:rPr>
          <w:rFonts w:ascii="Times New Roman" w:hAnsi="Times New Roman" w:cs="Times New Roman"/>
        </w:rPr>
      </w:pPr>
    </w:p>
    <w:p w14:paraId="68680B55" w14:textId="74ADAB1A" w:rsidR="00251008" w:rsidRPr="00876E4D" w:rsidRDefault="00251008" w:rsidP="00251008">
      <w:pPr>
        <w:pStyle w:val="NoSpacing"/>
        <w:jc w:val="center"/>
        <w:rPr>
          <w:rFonts w:ascii="Times New Roman" w:hAnsi="Times New Roman" w:cs="Times New Roman"/>
        </w:rPr>
      </w:pPr>
      <w:r w:rsidRPr="00876E4D">
        <w:rPr>
          <w:rFonts w:ascii="Times New Roman" w:hAnsi="Times New Roman" w:cs="Times New Roman"/>
          <w:noProof/>
          <w:lang w:bidi="bn-BD"/>
        </w:rPr>
        <w:drawing>
          <wp:inline distT="0" distB="0" distL="0" distR="0" wp14:anchorId="4589FF07" wp14:editId="5A7D58E3">
            <wp:extent cx="2575560" cy="2270760"/>
            <wp:effectExtent l="0" t="0" r="15240" b="15240"/>
            <wp:docPr id="1505090215" name="Chart 1">
              <a:extLst xmlns:a="http://schemas.openxmlformats.org/drawingml/2006/main">
                <a:ext uri="{FF2B5EF4-FFF2-40B4-BE49-F238E27FC236}">
                  <a16:creationId xmlns:a16="http://schemas.microsoft.com/office/drawing/2014/main" id="{5A5F4BA9-7A4B-A4F1-2EDD-7C148EA063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87D4261" w14:textId="17EDD256" w:rsidR="00251008" w:rsidRPr="00876E4D" w:rsidRDefault="00251008" w:rsidP="00E66320">
      <w:pPr>
        <w:pStyle w:val="NoSpacing"/>
        <w:jc w:val="center"/>
        <w:rPr>
          <w:rFonts w:ascii="Times New Roman" w:hAnsi="Times New Roman" w:cs="Times New Roman"/>
        </w:rPr>
      </w:pPr>
      <w:r w:rsidRPr="00876E4D">
        <w:rPr>
          <w:rFonts w:ascii="Times New Roman" w:hAnsi="Times New Roman" w:cs="Times New Roman"/>
        </w:rPr>
        <w:t xml:space="preserve">Figure 3: </w:t>
      </w:r>
      <w:r w:rsidR="00E66320" w:rsidRPr="00876E4D">
        <w:rPr>
          <w:rFonts w:ascii="Times New Roman" w:hAnsi="Times New Roman" w:cs="Times New Roman"/>
        </w:rPr>
        <w:t>M</w:t>
      </w:r>
      <w:r w:rsidRPr="00876E4D">
        <w:rPr>
          <w:rFonts w:ascii="Times New Roman" w:hAnsi="Times New Roman" w:cs="Times New Roman"/>
        </w:rPr>
        <w:t>arital status of respondents</w:t>
      </w:r>
    </w:p>
    <w:p w14:paraId="697E6EBE" w14:textId="77777777" w:rsidR="00251008" w:rsidRPr="00876E4D" w:rsidRDefault="00251008" w:rsidP="00251008">
      <w:pPr>
        <w:pStyle w:val="NoSpacing"/>
        <w:rPr>
          <w:rFonts w:ascii="Times New Roman" w:hAnsi="Times New Roman" w:cs="Times New Roman"/>
        </w:rPr>
      </w:pPr>
    </w:p>
    <w:p w14:paraId="5C9A0CA2" w14:textId="283BF4F5" w:rsidR="00251008" w:rsidRPr="00876E4D" w:rsidRDefault="00251008" w:rsidP="00251008">
      <w:pPr>
        <w:pStyle w:val="NoSpacing"/>
        <w:rPr>
          <w:rFonts w:ascii="Times New Roman" w:hAnsi="Times New Roman" w:cs="Times New Roman"/>
          <w:b/>
          <w:bCs/>
        </w:rPr>
      </w:pPr>
      <w:r w:rsidRPr="00876E4D">
        <w:rPr>
          <w:rFonts w:ascii="Times New Roman" w:hAnsi="Times New Roman" w:cs="Times New Roman"/>
          <w:b/>
          <w:bCs/>
        </w:rPr>
        <w:t xml:space="preserve">3.1.3. Age Distribution </w:t>
      </w:r>
    </w:p>
    <w:p w14:paraId="56ABA241" w14:textId="77777777" w:rsidR="00251008" w:rsidRPr="00876E4D" w:rsidRDefault="00251008" w:rsidP="00436B47">
      <w:pPr>
        <w:pStyle w:val="NoSpacing"/>
        <w:jc w:val="both"/>
        <w:rPr>
          <w:rFonts w:ascii="Times New Roman" w:hAnsi="Times New Roman" w:cs="Times New Roman"/>
        </w:rPr>
      </w:pPr>
    </w:p>
    <w:p w14:paraId="0A56C755" w14:textId="73AC9C19" w:rsidR="00436B47" w:rsidRPr="00876E4D" w:rsidRDefault="00436B47" w:rsidP="00436B47">
      <w:pPr>
        <w:pStyle w:val="NoSpacing"/>
        <w:jc w:val="both"/>
        <w:rPr>
          <w:rFonts w:ascii="Times New Roman" w:hAnsi="Times New Roman" w:cs="Times New Roman"/>
        </w:rPr>
      </w:pPr>
      <w:r w:rsidRPr="00876E4D">
        <w:rPr>
          <w:rFonts w:ascii="Times New Roman" w:hAnsi="Times New Roman" w:cs="Times New Roman"/>
        </w:rPr>
        <w:t>As per the age distribution</w:t>
      </w:r>
      <w:r w:rsidR="00C117F2" w:rsidRPr="00876E4D">
        <w:rPr>
          <w:rFonts w:ascii="Times New Roman" w:hAnsi="Times New Roman" w:cs="Times New Roman"/>
        </w:rPr>
        <w:t xml:space="preserve"> (fig.</w:t>
      </w:r>
      <w:r w:rsidR="00251008" w:rsidRPr="00876E4D">
        <w:rPr>
          <w:rFonts w:ascii="Times New Roman" w:hAnsi="Times New Roman" w:cs="Times New Roman"/>
        </w:rPr>
        <w:t xml:space="preserve"> 4</w:t>
      </w:r>
      <w:r w:rsidR="00C117F2" w:rsidRPr="00876E4D">
        <w:rPr>
          <w:rFonts w:ascii="Times New Roman" w:hAnsi="Times New Roman" w:cs="Times New Roman"/>
        </w:rPr>
        <w:t>)</w:t>
      </w:r>
      <w:r w:rsidRPr="00876E4D">
        <w:rPr>
          <w:rFonts w:ascii="Times New Roman" w:hAnsi="Times New Roman" w:cs="Times New Roman"/>
        </w:rPr>
        <w:t xml:space="preserve">, majority of respondents (38.81%) were in between 31 </w:t>
      </w:r>
      <w:r w:rsidR="00C117F2" w:rsidRPr="00876E4D">
        <w:rPr>
          <w:rFonts w:ascii="Times New Roman" w:hAnsi="Times New Roman" w:cs="Times New Roman"/>
        </w:rPr>
        <w:t xml:space="preserve">to </w:t>
      </w:r>
      <w:r w:rsidRPr="00876E4D">
        <w:rPr>
          <w:rFonts w:ascii="Times New Roman" w:hAnsi="Times New Roman" w:cs="Times New Roman"/>
        </w:rPr>
        <w:t>40 years</w:t>
      </w:r>
      <w:r w:rsidR="00C117F2" w:rsidRPr="00876E4D">
        <w:rPr>
          <w:rFonts w:ascii="Times New Roman" w:hAnsi="Times New Roman" w:cs="Times New Roman"/>
        </w:rPr>
        <w:t xml:space="preserve">. </w:t>
      </w:r>
      <w:r w:rsidRPr="00876E4D">
        <w:rPr>
          <w:rFonts w:ascii="Times New Roman" w:hAnsi="Times New Roman" w:cs="Times New Roman"/>
        </w:rPr>
        <w:t>29.66% in the 41</w:t>
      </w:r>
      <w:r w:rsidR="00C117F2" w:rsidRPr="00876E4D">
        <w:rPr>
          <w:rFonts w:ascii="Times New Roman" w:hAnsi="Times New Roman" w:cs="Times New Roman"/>
        </w:rPr>
        <w:t xml:space="preserve"> to </w:t>
      </w:r>
      <w:r w:rsidRPr="00876E4D">
        <w:rPr>
          <w:rFonts w:ascii="Times New Roman" w:hAnsi="Times New Roman" w:cs="Times New Roman"/>
        </w:rPr>
        <w:t xml:space="preserve">50 years group </w:t>
      </w:r>
      <w:r w:rsidR="00C117F2" w:rsidRPr="00876E4D">
        <w:rPr>
          <w:rFonts w:ascii="Times New Roman" w:hAnsi="Times New Roman" w:cs="Times New Roman"/>
        </w:rPr>
        <w:t>and o</w:t>
      </w:r>
      <w:r w:rsidRPr="00876E4D">
        <w:rPr>
          <w:rFonts w:ascii="Times New Roman" w:hAnsi="Times New Roman" w:cs="Times New Roman"/>
        </w:rPr>
        <w:t xml:space="preserve">nly 14.14% were </w:t>
      </w:r>
      <w:r w:rsidR="00C117F2" w:rsidRPr="00876E4D">
        <w:rPr>
          <w:rFonts w:ascii="Times New Roman" w:hAnsi="Times New Roman" w:cs="Times New Roman"/>
        </w:rPr>
        <w:t xml:space="preserve">more than </w:t>
      </w:r>
      <w:r w:rsidRPr="00876E4D">
        <w:rPr>
          <w:rFonts w:ascii="Times New Roman" w:hAnsi="Times New Roman" w:cs="Times New Roman"/>
        </w:rPr>
        <w:t>50 years of age whereas younger farmers aged 20</w:t>
      </w:r>
      <w:r w:rsidR="00C117F2" w:rsidRPr="00876E4D">
        <w:rPr>
          <w:rFonts w:ascii="Times New Roman" w:hAnsi="Times New Roman" w:cs="Times New Roman"/>
        </w:rPr>
        <w:t xml:space="preserve"> to </w:t>
      </w:r>
      <w:r w:rsidRPr="00876E4D">
        <w:rPr>
          <w:rFonts w:ascii="Times New Roman" w:hAnsi="Times New Roman" w:cs="Times New Roman"/>
        </w:rPr>
        <w:t>30 years comprised &gt;17.43 %. This showed that middle aged farmers dominated the farming sector, accounting for the most active and productive work force while youth participation was relatively lower.</w:t>
      </w:r>
    </w:p>
    <w:p w14:paraId="243D0934" w14:textId="77777777" w:rsidR="00436B47" w:rsidRPr="00876E4D" w:rsidRDefault="00436B47" w:rsidP="00436B47">
      <w:pPr>
        <w:pStyle w:val="NoSpacing"/>
        <w:jc w:val="both"/>
        <w:rPr>
          <w:rFonts w:ascii="Times New Roman" w:hAnsi="Times New Roman" w:cs="Times New Roman"/>
        </w:rPr>
      </w:pPr>
    </w:p>
    <w:p w14:paraId="10ACF31E" w14:textId="60D2CA46" w:rsidR="00251008" w:rsidRPr="00876E4D" w:rsidRDefault="00251008" w:rsidP="00251008">
      <w:pPr>
        <w:pStyle w:val="NoSpacing"/>
        <w:jc w:val="center"/>
        <w:rPr>
          <w:rFonts w:ascii="Times New Roman" w:hAnsi="Times New Roman" w:cs="Times New Roman"/>
        </w:rPr>
      </w:pPr>
      <w:r w:rsidRPr="00876E4D">
        <w:rPr>
          <w:rFonts w:ascii="Times New Roman" w:hAnsi="Times New Roman" w:cs="Times New Roman"/>
          <w:noProof/>
          <w:lang w:bidi="bn-BD"/>
        </w:rPr>
        <w:drawing>
          <wp:inline distT="0" distB="0" distL="0" distR="0" wp14:anchorId="11A6BD8B" wp14:editId="07021498">
            <wp:extent cx="5204460" cy="2735580"/>
            <wp:effectExtent l="0" t="0" r="15240" b="7620"/>
            <wp:docPr id="773201255" name="Chart 1">
              <a:extLst xmlns:a="http://schemas.openxmlformats.org/drawingml/2006/main">
                <a:ext uri="{FF2B5EF4-FFF2-40B4-BE49-F238E27FC236}">
                  <a16:creationId xmlns:a16="http://schemas.microsoft.com/office/drawing/2014/main" id="{D0FBB49D-AE41-BE32-185E-D1508AEE53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1EC1623" w14:textId="75DCBAF3" w:rsidR="00251008" w:rsidRPr="00876E4D" w:rsidRDefault="00251008" w:rsidP="003A0FCD">
      <w:pPr>
        <w:pStyle w:val="NoSpacing"/>
        <w:jc w:val="center"/>
        <w:rPr>
          <w:rFonts w:ascii="Times New Roman" w:hAnsi="Times New Roman" w:cs="Times New Roman"/>
        </w:rPr>
      </w:pPr>
      <w:r w:rsidRPr="00876E4D">
        <w:rPr>
          <w:rFonts w:ascii="Times New Roman" w:hAnsi="Times New Roman" w:cs="Times New Roman"/>
        </w:rPr>
        <w:t xml:space="preserve">Figure 4: </w:t>
      </w:r>
      <w:r w:rsidR="00E66320" w:rsidRPr="00876E4D">
        <w:rPr>
          <w:rFonts w:ascii="Times New Roman" w:hAnsi="Times New Roman" w:cs="Times New Roman"/>
        </w:rPr>
        <w:t>A</w:t>
      </w:r>
      <w:r w:rsidRPr="00876E4D">
        <w:rPr>
          <w:rFonts w:ascii="Times New Roman" w:hAnsi="Times New Roman" w:cs="Times New Roman"/>
        </w:rPr>
        <w:t>ge distribution</w:t>
      </w:r>
    </w:p>
    <w:p w14:paraId="646B3D65" w14:textId="264DAA09" w:rsidR="00866057" w:rsidRPr="00876E4D" w:rsidRDefault="00866057" w:rsidP="00436B47">
      <w:pPr>
        <w:pStyle w:val="NoSpacing"/>
        <w:jc w:val="both"/>
        <w:rPr>
          <w:rFonts w:ascii="Times New Roman" w:hAnsi="Times New Roman" w:cs="Times New Roman"/>
          <w:b/>
          <w:bCs/>
        </w:rPr>
      </w:pPr>
      <w:r w:rsidRPr="00876E4D">
        <w:rPr>
          <w:rFonts w:ascii="Times New Roman" w:hAnsi="Times New Roman" w:cs="Times New Roman"/>
          <w:b/>
          <w:bCs/>
        </w:rPr>
        <w:lastRenderedPageBreak/>
        <w:t xml:space="preserve">3.1.4: Family Size </w:t>
      </w:r>
    </w:p>
    <w:p w14:paraId="23FDD7EC" w14:textId="77777777" w:rsidR="00866057" w:rsidRPr="00876E4D" w:rsidRDefault="00866057" w:rsidP="00436B47">
      <w:pPr>
        <w:pStyle w:val="NoSpacing"/>
        <w:jc w:val="both"/>
        <w:rPr>
          <w:rFonts w:ascii="Times New Roman" w:hAnsi="Times New Roman" w:cs="Times New Roman"/>
        </w:rPr>
      </w:pPr>
    </w:p>
    <w:p w14:paraId="3E29C5B3" w14:textId="1D838816" w:rsidR="00436B47" w:rsidRPr="00876E4D" w:rsidRDefault="00436B47" w:rsidP="00436B47">
      <w:pPr>
        <w:pStyle w:val="NoSpacing"/>
        <w:jc w:val="both"/>
        <w:rPr>
          <w:rFonts w:ascii="Times New Roman" w:hAnsi="Times New Roman" w:cs="Times New Roman"/>
        </w:rPr>
      </w:pPr>
      <w:r w:rsidRPr="00876E4D">
        <w:rPr>
          <w:rFonts w:ascii="Times New Roman" w:hAnsi="Times New Roman" w:cs="Times New Roman"/>
        </w:rPr>
        <w:t xml:space="preserve">Distribution of family size </w:t>
      </w:r>
      <w:r w:rsidR="00E66320" w:rsidRPr="00876E4D">
        <w:rPr>
          <w:rFonts w:ascii="Times New Roman" w:hAnsi="Times New Roman" w:cs="Times New Roman"/>
        </w:rPr>
        <w:t xml:space="preserve">indicated that the majority of households were of intermediate or large size, ensuring adequate family labor for agricultural and aquaculture operations. It </w:t>
      </w:r>
      <w:r w:rsidRPr="00876E4D">
        <w:rPr>
          <w:rFonts w:ascii="Times New Roman" w:hAnsi="Times New Roman" w:cs="Times New Roman"/>
        </w:rPr>
        <w:t>showed that 4</w:t>
      </w:r>
      <w:r w:rsidR="00C117F2" w:rsidRPr="00876E4D">
        <w:rPr>
          <w:rFonts w:ascii="Times New Roman" w:hAnsi="Times New Roman" w:cs="Times New Roman"/>
        </w:rPr>
        <w:t xml:space="preserve"> to </w:t>
      </w:r>
      <w:r w:rsidRPr="00876E4D">
        <w:rPr>
          <w:rFonts w:ascii="Times New Roman" w:hAnsi="Times New Roman" w:cs="Times New Roman"/>
        </w:rPr>
        <w:t>6 members in majority of households (37.17%), followed by 31.25% with 7–10 members (Fig.</w:t>
      </w:r>
      <w:r w:rsidR="00866057" w:rsidRPr="00876E4D">
        <w:rPr>
          <w:rFonts w:ascii="Times New Roman" w:hAnsi="Times New Roman" w:cs="Times New Roman"/>
        </w:rPr>
        <w:t xml:space="preserve"> 5</w:t>
      </w:r>
      <w:r w:rsidRPr="00876E4D">
        <w:rPr>
          <w:rFonts w:ascii="Times New Roman" w:hAnsi="Times New Roman" w:cs="Times New Roman"/>
        </w:rPr>
        <w:t>). Families with 1</w:t>
      </w:r>
      <w:r w:rsidR="00C117F2" w:rsidRPr="00876E4D">
        <w:rPr>
          <w:rFonts w:ascii="Times New Roman" w:hAnsi="Times New Roman" w:cs="Times New Roman"/>
        </w:rPr>
        <w:t xml:space="preserve"> to </w:t>
      </w:r>
      <w:r w:rsidRPr="00876E4D">
        <w:rPr>
          <w:rFonts w:ascii="Times New Roman" w:hAnsi="Times New Roman" w:cs="Times New Roman"/>
        </w:rPr>
        <w:t xml:space="preserve">3 members formed 18.75% and families with more than 10 members accounted for only 12.83%. </w:t>
      </w:r>
    </w:p>
    <w:p w14:paraId="58A3776B" w14:textId="77777777" w:rsidR="00866057" w:rsidRPr="00876E4D" w:rsidRDefault="00866057" w:rsidP="00436B47">
      <w:pPr>
        <w:pStyle w:val="NoSpacing"/>
        <w:jc w:val="both"/>
        <w:rPr>
          <w:rFonts w:ascii="Times New Roman" w:hAnsi="Times New Roman" w:cs="Times New Roman"/>
        </w:rPr>
      </w:pPr>
    </w:p>
    <w:p w14:paraId="30D38002" w14:textId="4F181987" w:rsidR="00C117F2" w:rsidRPr="00876E4D" w:rsidRDefault="00866057" w:rsidP="00866057">
      <w:pPr>
        <w:pStyle w:val="NoSpacing"/>
        <w:jc w:val="center"/>
        <w:rPr>
          <w:rFonts w:ascii="Times New Roman" w:hAnsi="Times New Roman" w:cs="Times New Roman"/>
        </w:rPr>
      </w:pPr>
      <w:r w:rsidRPr="00876E4D">
        <w:rPr>
          <w:rFonts w:ascii="Times New Roman" w:hAnsi="Times New Roman" w:cs="Times New Roman"/>
          <w:noProof/>
          <w:lang w:bidi="bn-BD"/>
        </w:rPr>
        <w:drawing>
          <wp:inline distT="0" distB="0" distL="0" distR="0" wp14:anchorId="6A982F20" wp14:editId="6CD4EA88">
            <wp:extent cx="5303520" cy="2545080"/>
            <wp:effectExtent l="0" t="0" r="11430" b="7620"/>
            <wp:docPr id="1418957764" name="Chart 1">
              <a:extLst xmlns:a="http://schemas.openxmlformats.org/drawingml/2006/main">
                <a:ext uri="{FF2B5EF4-FFF2-40B4-BE49-F238E27FC236}">
                  <a16:creationId xmlns:a16="http://schemas.microsoft.com/office/drawing/2014/main" id="{3E7534D7-817A-CBED-1113-2677195D05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228193B" w14:textId="22FCADE8" w:rsidR="00E66320" w:rsidRPr="00876E4D" w:rsidRDefault="00866057" w:rsidP="00FC3F22">
      <w:pPr>
        <w:pStyle w:val="NoSpacing"/>
        <w:jc w:val="center"/>
        <w:rPr>
          <w:rFonts w:ascii="Times New Roman" w:hAnsi="Times New Roman" w:cs="Times New Roman"/>
        </w:rPr>
      </w:pPr>
      <w:r w:rsidRPr="00876E4D">
        <w:rPr>
          <w:rFonts w:ascii="Times New Roman" w:hAnsi="Times New Roman" w:cs="Times New Roman"/>
        </w:rPr>
        <w:t>Figure 5: Demographic characteristics of respondents: family size</w:t>
      </w:r>
    </w:p>
    <w:p w14:paraId="136F1E76" w14:textId="77777777" w:rsidR="003A0FCD" w:rsidRPr="00876E4D" w:rsidRDefault="003A0FCD" w:rsidP="00436B47">
      <w:pPr>
        <w:pStyle w:val="NoSpacing"/>
        <w:jc w:val="both"/>
        <w:rPr>
          <w:rFonts w:ascii="Times New Roman" w:hAnsi="Times New Roman" w:cs="Times New Roman"/>
          <w:b/>
          <w:bCs/>
        </w:rPr>
      </w:pPr>
    </w:p>
    <w:p w14:paraId="49BB2B2E" w14:textId="2FFCE1CC" w:rsidR="00866057" w:rsidRPr="00876E4D" w:rsidRDefault="00866057" w:rsidP="00436B47">
      <w:pPr>
        <w:pStyle w:val="NoSpacing"/>
        <w:jc w:val="both"/>
        <w:rPr>
          <w:rFonts w:ascii="Times New Roman" w:hAnsi="Times New Roman" w:cs="Times New Roman"/>
          <w:b/>
          <w:bCs/>
        </w:rPr>
      </w:pPr>
      <w:r w:rsidRPr="00876E4D">
        <w:rPr>
          <w:rFonts w:ascii="Times New Roman" w:hAnsi="Times New Roman" w:cs="Times New Roman"/>
          <w:b/>
          <w:bCs/>
        </w:rPr>
        <w:t>3.1.5: Occupation Distribution</w:t>
      </w:r>
    </w:p>
    <w:p w14:paraId="64E5EAA6" w14:textId="77777777" w:rsidR="00866057" w:rsidRPr="00876E4D" w:rsidRDefault="00866057" w:rsidP="00436B47">
      <w:pPr>
        <w:pStyle w:val="NoSpacing"/>
        <w:jc w:val="both"/>
        <w:rPr>
          <w:rFonts w:ascii="Times New Roman" w:hAnsi="Times New Roman" w:cs="Times New Roman"/>
        </w:rPr>
      </w:pPr>
    </w:p>
    <w:p w14:paraId="354088C7" w14:textId="29EF6A26" w:rsidR="00866057" w:rsidRPr="00876E4D" w:rsidRDefault="00436B47" w:rsidP="00436B47">
      <w:pPr>
        <w:pStyle w:val="NoSpacing"/>
        <w:jc w:val="both"/>
        <w:rPr>
          <w:rFonts w:ascii="Times New Roman" w:hAnsi="Times New Roman" w:cs="Times New Roman"/>
        </w:rPr>
      </w:pPr>
      <w:r w:rsidRPr="00876E4D">
        <w:rPr>
          <w:rFonts w:ascii="Times New Roman" w:hAnsi="Times New Roman" w:cs="Times New Roman"/>
        </w:rPr>
        <w:t xml:space="preserve">On occupation, the data showed that 52% of respondents were </w:t>
      </w:r>
      <w:r w:rsidR="00E66320" w:rsidRPr="00876E4D">
        <w:rPr>
          <w:rFonts w:ascii="Times New Roman" w:hAnsi="Times New Roman" w:cs="Times New Roman"/>
        </w:rPr>
        <w:t>involved</w:t>
      </w:r>
      <w:r w:rsidRPr="00876E4D">
        <w:rPr>
          <w:rFonts w:ascii="Times New Roman" w:hAnsi="Times New Roman" w:cs="Times New Roman"/>
        </w:rPr>
        <w:t xml:space="preserve"> in agriculture, followed by fisheries for 34% and both agriculture and fisheries for 14% (Fig. </w:t>
      </w:r>
      <w:r w:rsidR="00866057" w:rsidRPr="00876E4D">
        <w:rPr>
          <w:rFonts w:ascii="Times New Roman" w:hAnsi="Times New Roman" w:cs="Times New Roman"/>
        </w:rPr>
        <w:t>6</w:t>
      </w:r>
      <w:r w:rsidRPr="00876E4D">
        <w:rPr>
          <w:rFonts w:ascii="Times New Roman" w:hAnsi="Times New Roman" w:cs="Times New Roman"/>
        </w:rPr>
        <w:t xml:space="preserve">). This showed that though agriculture continued to be the primary source of livelihood, a large proportion of farmers were engaged in aquaculture or </w:t>
      </w:r>
      <w:r w:rsidR="00E66320" w:rsidRPr="00876E4D">
        <w:rPr>
          <w:rFonts w:ascii="Times New Roman" w:hAnsi="Times New Roman" w:cs="Times New Roman"/>
        </w:rPr>
        <w:t xml:space="preserve">both </w:t>
      </w:r>
      <w:r w:rsidR="00655224" w:rsidRPr="00876E4D">
        <w:rPr>
          <w:rFonts w:ascii="Times New Roman" w:hAnsi="Times New Roman" w:cs="Times New Roman"/>
        </w:rPr>
        <w:t>sectors</w:t>
      </w:r>
      <w:r w:rsidRPr="00876E4D">
        <w:rPr>
          <w:rFonts w:ascii="Times New Roman" w:hAnsi="Times New Roman" w:cs="Times New Roman"/>
        </w:rPr>
        <w:t>, indicating diversification in their income-generating activities.</w:t>
      </w:r>
    </w:p>
    <w:p w14:paraId="1B87B670" w14:textId="24DC5F4B" w:rsidR="00C117F2" w:rsidRPr="00876E4D" w:rsidRDefault="00436B47" w:rsidP="00436B47">
      <w:pPr>
        <w:pStyle w:val="NoSpacing"/>
        <w:jc w:val="both"/>
        <w:rPr>
          <w:rFonts w:ascii="Times New Roman" w:hAnsi="Times New Roman" w:cs="Times New Roman"/>
        </w:rPr>
      </w:pPr>
      <w:r w:rsidRPr="00876E4D">
        <w:rPr>
          <w:rFonts w:ascii="Times New Roman" w:hAnsi="Times New Roman" w:cs="Times New Roman"/>
        </w:rPr>
        <w:t xml:space="preserve"> </w:t>
      </w:r>
    </w:p>
    <w:p w14:paraId="705ED4EF" w14:textId="77EF5DCD" w:rsidR="00C117F2" w:rsidRPr="00876E4D" w:rsidRDefault="00866057" w:rsidP="00866057">
      <w:pPr>
        <w:pStyle w:val="NoSpacing"/>
        <w:jc w:val="center"/>
        <w:rPr>
          <w:rFonts w:ascii="Times New Roman" w:hAnsi="Times New Roman" w:cs="Times New Roman"/>
        </w:rPr>
      </w:pPr>
      <w:r w:rsidRPr="00876E4D">
        <w:rPr>
          <w:rFonts w:ascii="Times New Roman" w:hAnsi="Times New Roman" w:cs="Times New Roman"/>
          <w:noProof/>
          <w:lang w:bidi="bn-BD"/>
        </w:rPr>
        <w:drawing>
          <wp:inline distT="0" distB="0" distL="0" distR="0" wp14:anchorId="34EE81AD" wp14:editId="54CDC225">
            <wp:extent cx="2781300" cy="2255520"/>
            <wp:effectExtent l="0" t="0" r="0" b="11430"/>
            <wp:docPr id="1586033384" name="Chart 1">
              <a:extLst xmlns:a="http://schemas.openxmlformats.org/drawingml/2006/main">
                <a:ext uri="{FF2B5EF4-FFF2-40B4-BE49-F238E27FC236}">
                  <a16:creationId xmlns:a16="http://schemas.microsoft.com/office/drawing/2014/main" id="{2EAB80A9-5E7F-2CDD-CEF6-669939A27F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128EC4C" w14:textId="3F364E41" w:rsidR="00866057" w:rsidRPr="00876E4D" w:rsidRDefault="00866057" w:rsidP="003A0FCD">
      <w:pPr>
        <w:pStyle w:val="NoSpacing"/>
        <w:jc w:val="center"/>
        <w:rPr>
          <w:rFonts w:ascii="Times New Roman" w:hAnsi="Times New Roman" w:cs="Times New Roman"/>
        </w:rPr>
      </w:pPr>
      <w:r w:rsidRPr="00876E4D">
        <w:rPr>
          <w:rFonts w:ascii="Times New Roman" w:hAnsi="Times New Roman" w:cs="Times New Roman"/>
        </w:rPr>
        <w:t xml:space="preserve">Figure 6: </w:t>
      </w:r>
      <w:r w:rsidR="00E66320" w:rsidRPr="00876E4D">
        <w:rPr>
          <w:rFonts w:ascii="Times New Roman" w:hAnsi="Times New Roman" w:cs="Times New Roman"/>
        </w:rPr>
        <w:t>D</w:t>
      </w:r>
      <w:r w:rsidRPr="00876E4D">
        <w:rPr>
          <w:rFonts w:ascii="Times New Roman" w:hAnsi="Times New Roman" w:cs="Times New Roman"/>
        </w:rPr>
        <w:t>istribution of occupation among the respondents</w:t>
      </w:r>
    </w:p>
    <w:p w14:paraId="4D6918B1" w14:textId="40DFA9E2" w:rsidR="00866057" w:rsidRPr="00876E4D" w:rsidRDefault="00866057" w:rsidP="00866057">
      <w:pPr>
        <w:pStyle w:val="NoSpacing"/>
        <w:jc w:val="both"/>
        <w:rPr>
          <w:rFonts w:ascii="Times New Roman" w:hAnsi="Times New Roman" w:cs="Times New Roman"/>
          <w:b/>
          <w:bCs/>
        </w:rPr>
      </w:pPr>
      <w:r w:rsidRPr="00876E4D">
        <w:rPr>
          <w:rFonts w:ascii="Times New Roman" w:hAnsi="Times New Roman" w:cs="Times New Roman"/>
          <w:b/>
          <w:bCs/>
        </w:rPr>
        <w:lastRenderedPageBreak/>
        <w:t>3.1.6</w:t>
      </w:r>
      <w:r w:rsidR="002563A7" w:rsidRPr="00876E4D">
        <w:rPr>
          <w:rFonts w:ascii="Times New Roman" w:hAnsi="Times New Roman" w:cs="Times New Roman"/>
          <w:b/>
          <w:bCs/>
        </w:rPr>
        <w:t xml:space="preserve">. </w:t>
      </w:r>
      <w:r w:rsidRPr="00876E4D">
        <w:rPr>
          <w:rFonts w:ascii="Times New Roman" w:hAnsi="Times New Roman" w:cs="Times New Roman"/>
          <w:b/>
          <w:bCs/>
        </w:rPr>
        <w:t xml:space="preserve">Literacy Level </w:t>
      </w:r>
    </w:p>
    <w:p w14:paraId="2EDE5042" w14:textId="77777777" w:rsidR="00866057" w:rsidRPr="00876E4D" w:rsidRDefault="00866057" w:rsidP="00866057">
      <w:pPr>
        <w:pStyle w:val="NoSpacing"/>
        <w:jc w:val="both"/>
        <w:rPr>
          <w:rFonts w:ascii="Times New Roman" w:hAnsi="Times New Roman" w:cs="Times New Roman"/>
        </w:rPr>
      </w:pPr>
    </w:p>
    <w:p w14:paraId="639228E0" w14:textId="0ADC3C34" w:rsidR="00436B47" w:rsidRPr="00876E4D" w:rsidRDefault="00436B47" w:rsidP="00436B47">
      <w:pPr>
        <w:pStyle w:val="NoSpacing"/>
        <w:jc w:val="both"/>
        <w:rPr>
          <w:rFonts w:ascii="Times New Roman" w:hAnsi="Times New Roman" w:cs="Times New Roman"/>
        </w:rPr>
      </w:pPr>
      <w:r w:rsidRPr="00876E4D">
        <w:rPr>
          <w:rFonts w:ascii="Times New Roman" w:hAnsi="Times New Roman" w:cs="Times New Roman"/>
        </w:rPr>
        <w:t>In terms of educational qualification, 35% (141) completed primary, 29% (112) secondary education, and 22</w:t>
      </w:r>
      <w:r w:rsidR="00E66320" w:rsidRPr="00876E4D">
        <w:rPr>
          <w:rFonts w:ascii="Times New Roman" w:hAnsi="Times New Roman" w:cs="Times New Roman"/>
        </w:rPr>
        <w:t xml:space="preserve">% </w:t>
      </w:r>
      <w:r w:rsidRPr="00876E4D">
        <w:rPr>
          <w:rFonts w:ascii="Times New Roman" w:hAnsi="Times New Roman" w:cs="Times New Roman"/>
        </w:rPr>
        <w:t xml:space="preserve">(86) had higher secondary education (Fig. </w:t>
      </w:r>
      <w:r w:rsidR="00866057" w:rsidRPr="00876E4D">
        <w:rPr>
          <w:rFonts w:ascii="Times New Roman" w:hAnsi="Times New Roman" w:cs="Times New Roman"/>
        </w:rPr>
        <w:t>7</w:t>
      </w:r>
      <w:r w:rsidRPr="00876E4D">
        <w:rPr>
          <w:rFonts w:ascii="Times New Roman" w:hAnsi="Times New Roman" w:cs="Times New Roman"/>
        </w:rPr>
        <w:t>). But 14 percent of respondents were uneducated. This suggests that while most farmers had basic literacy and education, a relatively small number were still illiterate (less than a quarter), which may impact their capacity to adopt improved management practices and modern forms of agricultural technology.</w:t>
      </w:r>
    </w:p>
    <w:p w14:paraId="00A1D79C" w14:textId="77777777" w:rsidR="002563A7" w:rsidRPr="00876E4D" w:rsidRDefault="002563A7" w:rsidP="00436B47">
      <w:pPr>
        <w:pStyle w:val="NoSpacing"/>
        <w:jc w:val="both"/>
        <w:rPr>
          <w:rFonts w:ascii="Times New Roman" w:hAnsi="Times New Roman" w:cs="Times New Roman"/>
        </w:rPr>
      </w:pPr>
    </w:p>
    <w:p w14:paraId="14BD4A39" w14:textId="61B7346A" w:rsidR="007233DC" w:rsidRPr="00876E4D" w:rsidRDefault="002563A7" w:rsidP="002563A7">
      <w:pPr>
        <w:pStyle w:val="NoSpacing"/>
        <w:jc w:val="center"/>
        <w:rPr>
          <w:rFonts w:ascii="Times New Roman" w:hAnsi="Times New Roman" w:cs="Times New Roman"/>
        </w:rPr>
      </w:pPr>
      <w:r w:rsidRPr="00876E4D">
        <w:rPr>
          <w:rFonts w:ascii="Times New Roman" w:hAnsi="Times New Roman" w:cs="Times New Roman"/>
          <w:noProof/>
          <w:lang w:bidi="bn-BD"/>
        </w:rPr>
        <w:drawing>
          <wp:inline distT="0" distB="0" distL="0" distR="0" wp14:anchorId="3DBB1BFF" wp14:editId="0F39A26B">
            <wp:extent cx="3649980" cy="2849880"/>
            <wp:effectExtent l="0" t="0" r="7620" b="7620"/>
            <wp:docPr id="313134766" name="Chart 1">
              <a:extLst xmlns:a="http://schemas.openxmlformats.org/drawingml/2006/main">
                <a:ext uri="{FF2B5EF4-FFF2-40B4-BE49-F238E27FC236}">
                  <a16:creationId xmlns:a16="http://schemas.microsoft.com/office/drawing/2014/main" id="{F9400687-65F0-F548-6664-34A2CF1B8A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028DD64" w14:textId="5F9E2074" w:rsidR="00FC3F22" w:rsidRPr="00876E4D" w:rsidRDefault="002563A7" w:rsidP="00655224">
      <w:pPr>
        <w:pStyle w:val="NoSpacing"/>
        <w:jc w:val="both"/>
        <w:rPr>
          <w:rFonts w:ascii="Times New Roman" w:hAnsi="Times New Roman" w:cs="Times New Roman"/>
        </w:rPr>
      </w:pPr>
      <w:r w:rsidRPr="00876E4D">
        <w:rPr>
          <w:rFonts w:ascii="Times New Roman" w:hAnsi="Times New Roman" w:cs="Times New Roman"/>
        </w:rPr>
        <w:t xml:space="preserve">Figure 7: </w:t>
      </w:r>
      <w:r w:rsidR="00FF7BC4" w:rsidRPr="00876E4D">
        <w:rPr>
          <w:rFonts w:ascii="Times New Roman" w:hAnsi="Times New Roman" w:cs="Times New Roman"/>
        </w:rPr>
        <w:t>E</w:t>
      </w:r>
      <w:r w:rsidR="005140A9" w:rsidRPr="00876E4D">
        <w:rPr>
          <w:rFonts w:ascii="Times New Roman" w:hAnsi="Times New Roman" w:cs="Times New Roman"/>
        </w:rPr>
        <w:t>ducational qualifications of the respondents in surveyed farmer community</w:t>
      </w:r>
    </w:p>
    <w:p w14:paraId="3818CB43" w14:textId="77777777" w:rsidR="003A0FCD" w:rsidRPr="00876E4D" w:rsidRDefault="003A0FCD" w:rsidP="00655224">
      <w:pPr>
        <w:pStyle w:val="NoSpacing"/>
        <w:jc w:val="both"/>
        <w:rPr>
          <w:rFonts w:ascii="Times New Roman" w:hAnsi="Times New Roman" w:cs="Times New Roman"/>
          <w:b/>
          <w:bCs/>
        </w:rPr>
      </w:pPr>
    </w:p>
    <w:p w14:paraId="651BC483" w14:textId="2164EE5B" w:rsidR="00655224" w:rsidRPr="00876E4D" w:rsidRDefault="00655224" w:rsidP="00655224">
      <w:pPr>
        <w:pStyle w:val="NoSpacing"/>
        <w:jc w:val="both"/>
        <w:rPr>
          <w:rFonts w:ascii="Times New Roman" w:hAnsi="Times New Roman" w:cs="Times New Roman"/>
          <w:b/>
          <w:bCs/>
        </w:rPr>
      </w:pPr>
      <w:r w:rsidRPr="00876E4D">
        <w:rPr>
          <w:rFonts w:ascii="Times New Roman" w:hAnsi="Times New Roman" w:cs="Times New Roman"/>
          <w:b/>
          <w:bCs/>
        </w:rPr>
        <w:t xml:space="preserve">3.2. Socio-economic characteristics of Respondents </w:t>
      </w:r>
    </w:p>
    <w:p w14:paraId="754ED44A" w14:textId="77777777" w:rsidR="00655224" w:rsidRPr="00876E4D" w:rsidRDefault="00655224" w:rsidP="00655224">
      <w:pPr>
        <w:pStyle w:val="NoSpacing"/>
        <w:jc w:val="both"/>
        <w:rPr>
          <w:rFonts w:ascii="Times New Roman" w:hAnsi="Times New Roman" w:cs="Times New Roman"/>
        </w:rPr>
      </w:pPr>
    </w:p>
    <w:p w14:paraId="6C332101" w14:textId="77777777" w:rsidR="00655224" w:rsidRPr="00876E4D" w:rsidRDefault="00655224" w:rsidP="00655224">
      <w:pPr>
        <w:pStyle w:val="NoSpacing"/>
        <w:jc w:val="both"/>
        <w:rPr>
          <w:rFonts w:ascii="Times New Roman" w:hAnsi="Times New Roman" w:cs="Times New Roman"/>
          <w:b/>
          <w:bCs/>
        </w:rPr>
      </w:pPr>
      <w:r w:rsidRPr="00876E4D">
        <w:rPr>
          <w:rFonts w:ascii="Times New Roman" w:hAnsi="Times New Roman" w:cs="Times New Roman"/>
          <w:b/>
          <w:bCs/>
        </w:rPr>
        <w:t>3.2.1. Variations in Monthly income of respondents</w:t>
      </w:r>
    </w:p>
    <w:p w14:paraId="0086029A" w14:textId="77777777" w:rsidR="00655224" w:rsidRPr="00876E4D" w:rsidRDefault="00655224" w:rsidP="00655224">
      <w:pPr>
        <w:pStyle w:val="NoSpacing"/>
        <w:jc w:val="both"/>
        <w:rPr>
          <w:rFonts w:ascii="Times New Roman" w:hAnsi="Times New Roman" w:cs="Times New Roman"/>
        </w:rPr>
      </w:pPr>
    </w:p>
    <w:p w14:paraId="301E7C54" w14:textId="061A90A0" w:rsidR="00655224" w:rsidRPr="00876E4D" w:rsidRDefault="00655224" w:rsidP="00655224">
      <w:pPr>
        <w:pStyle w:val="NoSpacing"/>
        <w:jc w:val="both"/>
        <w:rPr>
          <w:rFonts w:ascii="Times New Roman" w:hAnsi="Times New Roman" w:cs="Times New Roman"/>
        </w:rPr>
      </w:pPr>
      <w:r w:rsidRPr="00876E4D">
        <w:rPr>
          <w:rFonts w:ascii="Times New Roman" w:hAnsi="Times New Roman" w:cs="Times New Roman"/>
        </w:rPr>
        <w:t>Monthly Income of the farmers (Fig. 8) varied by livelihood type (agri</w:t>
      </w:r>
      <w:r w:rsidR="00FE7852" w:rsidRPr="00876E4D">
        <w:rPr>
          <w:rFonts w:ascii="Times New Roman" w:hAnsi="Times New Roman" w:cs="Times New Roman"/>
        </w:rPr>
        <w:t>culture, fisheries and both). Among</w:t>
      </w:r>
      <w:r w:rsidRPr="00876E4D">
        <w:rPr>
          <w:rFonts w:ascii="Times New Roman" w:hAnsi="Times New Roman" w:cs="Times New Roman"/>
        </w:rPr>
        <w:t xml:space="preserve"> the agriculture respondents, 11.00% had &gt;30k BDT, while 10.53%, 9.54%, and 9.21% had an income of 20 to 30k BDT; 10 to 20k BDT; 5 to 10k BDT respectively. In the fishery, it was reported that some fisheries sector respondents earned &gt;30k BDT 11.51%, next were those in the range of 20 to 30k BDT (7.24%); 10 to 20k BDT were 9.87%; 5 to 10k BDT were 4.28%. Respondents that worked in both agriculture and fisheries, the above 30k BDT category had the highest proportion (12.17%), second was in 20-30k BDT at 10.86%, then followed by 10–20 BDT group at 7.89% and lowest income group 5-10k BDT were found 3.29%. These results suggest that the farmers participating in both sectors seem to obtain higher income than those who rely on a single source of income.</w:t>
      </w:r>
    </w:p>
    <w:p w14:paraId="44A6BB08" w14:textId="77777777" w:rsidR="002563A7" w:rsidRPr="00876E4D" w:rsidRDefault="002563A7" w:rsidP="004C542B">
      <w:pPr>
        <w:pStyle w:val="NoSpacing"/>
        <w:jc w:val="both"/>
        <w:rPr>
          <w:rFonts w:ascii="Times New Roman" w:hAnsi="Times New Roman" w:cs="Times New Roman"/>
        </w:rPr>
      </w:pPr>
    </w:p>
    <w:p w14:paraId="537FB3A6" w14:textId="77777777" w:rsidR="00655224" w:rsidRPr="00876E4D" w:rsidRDefault="00655224" w:rsidP="004C542B">
      <w:pPr>
        <w:pStyle w:val="NoSpacing"/>
        <w:jc w:val="both"/>
        <w:rPr>
          <w:rFonts w:ascii="Times New Roman" w:hAnsi="Times New Roman" w:cs="Times New Roman"/>
        </w:rPr>
      </w:pPr>
    </w:p>
    <w:p w14:paraId="2D44DF50" w14:textId="373F606B" w:rsidR="002563A7" w:rsidRPr="00876E4D" w:rsidRDefault="002563A7" w:rsidP="004C542B">
      <w:pPr>
        <w:pStyle w:val="NoSpacing"/>
        <w:jc w:val="both"/>
        <w:rPr>
          <w:rFonts w:ascii="Times New Roman" w:hAnsi="Times New Roman" w:cs="Times New Roman"/>
        </w:rPr>
      </w:pPr>
      <w:r w:rsidRPr="00876E4D">
        <w:rPr>
          <w:rFonts w:ascii="Times New Roman" w:hAnsi="Times New Roman" w:cs="Times New Roman"/>
          <w:noProof/>
          <w:lang w:bidi="bn-BD"/>
        </w:rPr>
        <w:lastRenderedPageBreak/>
        <w:drawing>
          <wp:inline distT="0" distB="0" distL="0" distR="0" wp14:anchorId="1562AA10" wp14:editId="70EAC7E8">
            <wp:extent cx="6187440" cy="3649980"/>
            <wp:effectExtent l="0" t="0" r="3810" b="7620"/>
            <wp:docPr id="1545949917" name="Chart 14701674">
              <a:extLst xmlns:a="http://schemas.openxmlformats.org/drawingml/2006/main">
                <a:ext uri="{FF2B5EF4-FFF2-40B4-BE49-F238E27FC236}">
                  <a16:creationId xmlns:a16="http://schemas.microsoft.com/office/drawing/2014/main" id="{F871DE1E-D566-A5B3-EE0F-2426CFBE6B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E30659E" w14:textId="58F2169C" w:rsidR="005140A9" w:rsidRPr="00876E4D" w:rsidRDefault="002563A7" w:rsidP="00C117F2">
      <w:pPr>
        <w:pStyle w:val="NoSpacing"/>
        <w:jc w:val="both"/>
        <w:rPr>
          <w:rFonts w:ascii="Times New Roman" w:hAnsi="Times New Roman" w:cs="Times New Roman"/>
        </w:rPr>
      </w:pPr>
      <w:r w:rsidRPr="00876E4D">
        <w:rPr>
          <w:rFonts w:ascii="Times New Roman" w:hAnsi="Times New Roman" w:cs="Times New Roman"/>
        </w:rPr>
        <w:t xml:space="preserve">Figure 8: </w:t>
      </w:r>
      <w:r w:rsidR="00FF7BC4" w:rsidRPr="00876E4D">
        <w:rPr>
          <w:rFonts w:ascii="Times New Roman" w:hAnsi="Times New Roman" w:cs="Times New Roman"/>
        </w:rPr>
        <w:t>M</w:t>
      </w:r>
      <w:r w:rsidR="005140A9" w:rsidRPr="00876E4D">
        <w:rPr>
          <w:rFonts w:ascii="Times New Roman" w:hAnsi="Times New Roman" w:cs="Times New Roman"/>
        </w:rPr>
        <w:t>onthly income (± standard errors) among the respondents</w:t>
      </w:r>
    </w:p>
    <w:p w14:paraId="53A99A94" w14:textId="77777777" w:rsidR="00FF7BC4" w:rsidRPr="00876E4D" w:rsidRDefault="00FF7BC4" w:rsidP="00C117F2">
      <w:pPr>
        <w:pStyle w:val="NoSpacing"/>
        <w:jc w:val="both"/>
        <w:rPr>
          <w:rFonts w:ascii="Times New Roman" w:hAnsi="Times New Roman" w:cs="Times New Roman"/>
          <w:b/>
          <w:bCs/>
        </w:rPr>
      </w:pPr>
    </w:p>
    <w:p w14:paraId="518AEB9E" w14:textId="7AB7B0E2" w:rsidR="002563A7" w:rsidRPr="00876E4D" w:rsidRDefault="002563A7" w:rsidP="00C117F2">
      <w:pPr>
        <w:pStyle w:val="NoSpacing"/>
        <w:jc w:val="both"/>
        <w:rPr>
          <w:rFonts w:ascii="Times New Roman" w:hAnsi="Times New Roman" w:cs="Times New Roman"/>
          <w:b/>
          <w:bCs/>
        </w:rPr>
      </w:pPr>
      <w:r w:rsidRPr="00876E4D">
        <w:rPr>
          <w:rFonts w:ascii="Times New Roman" w:hAnsi="Times New Roman" w:cs="Times New Roman"/>
          <w:b/>
          <w:bCs/>
        </w:rPr>
        <w:t xml:space="preserve">3.2.2. </w:t>
      </w:r>
      <w:r w:rsidR="00FF7BC4" w:rsidRPr="00876E4D">
        <w:rPr>
          <w:rFonts w:ascii="Times New Roman" w:hAnsi="Times New Roman" w:cs="Times New Roman"/>
          <w:b/>
          <w:bCs/>
        </w:rPr>
        <w:t>E</w:t>
      </w:r>
      <w:r w:rsidRPr="00876E4D">
        <w:rPr>
          <w:rFonts w:ascii="Times New Roman" w:hAnsi="Times New Roman" w:cs="Times New Roman"/>
          <w:b/>
          <w:bCs/>
        </w:rPr>
        <w:t xml:space="preserve">arning </w:t>
      </w:r>
      <w:r w:rsidR="00FF7BC4" w:rsidRPr="00876E4D">
        <w:rPr>
          <w:rFonts w:ascii="Times New Roman" w:hAnsi="Times New Roman" w:cs="Times New Roman"/>
          <w:b/>
          <w:bCs/>
        </w:rPr>
        <w:t>Member</w:t>
      </w:r>
      <w:r w:rsidRPr="00876E4D">
        <w:rPr>
          <w:rFonts w:ascii="Times New Roman" w:hAnsi="Times New Roman" w:cs="Times New Roman"/>
          <w:b/>
          <w:bCs/>
        </w:rPr>
        <w:t xml:space="preserve"> </w:t>
      </w:r>
      <w:r w:rsidR="00655224" w:rsidRPr="00876E4D">
        <w:rPr>
          <w:rFonts w:ascii="Times New Roman" w:hAnsi="Times New Roman" w:cs="Times New Roman"/>
          <w:b/>
          <w:bCs/>
        </w:rPr>
        <w:t>of</w:t>
      </w:r>
      <w:r w:rsidRPr="00876E4D">
        <w:rPr>
          <w:rFonts w:ascii="Times New Roman" w:hAnsi="Times New Roman" w:cs="Times New Roman"/>
          <w:b/>
          <w:bCs/>
        </w:rPr>
        <w:t xml:space="preserve"> </w:t>
      </w:r>
      <w:r w:rsidR="00FF7BC4" w:rsidRPr="00876E4D">
        <w:rPr>
          <w:rFonts w:ascii="Times New Roman" w:hAnsi="Times New Roman" w:cs="Times New Roman"/>
          <w:b/>
          <w:bCs/>
        </w:rPr>
        <w:t>F</w:t>
      </w:r>
      <w:r w:rsidRPr="00876E4D">
        <w:rPr>
          <w:rFonts w:ascii="Times New Roman" w:hAnsi="Times New Roman" w:cs="Times New Roman"/>
          <w:b/>
          <w:bCs/>
        </w:rPr>
        <w:t xml:space="preserve">amily </w:t>
      </w:r>
    </w:p>
    <w:p w14:paraId="790A6724" w14:textId="77777777" w:rsidR="002563A7" w:rsidRPr="00876E4D" w:rsidRDefault="002563A7" w:rsidP="00C117F2">
      <w:pPr>
        <w:pStyle w:val="NoSpacing"/>
        <w:jc w:val="both"/>
        <w:rPr>
          <w:rFonts w:ascii="Times New Roman" w:hAnsi="Times New Roman" w:cs="Times New Roman"/>
        </w:rPr>
      </w:pPr>
    </w:p>
    <w:p w14:paraId="48E8BF3A" w14:textId="71442047" w:rsidR="00C117F2" w:rsidRPr="00876E4D" w:rsidRDefault="00C117F2" w:rsidP="00C117F2">
      <w:pPr>
        <w:pStyle w:val="NoSpacing"/>
        <w:jc w:val="both"/>
        <w:rPr>
          <w:rFonts w:ascii="Times New Roman" w:hAnsi="Times New Roman" w:cs="Times New Roman"/>
        </w:rPr>
      </w:pPr>
      <w:r w:rsidRPr="00876E4D">
        <w:rPr>
          <w:rFonts w:ascii="Times New Roman" w:hAnsi="Times New Roman" w:cs="Times New Roman"/>
        </w:rPr>
        <w:t>The distribution of family income sources</w:t>
      </w:r>
      <w:r w:rsidR="00BE64C9" w:rsidRPr="00876E4D">
        <w:rPr>
          <w:rFonts w:ascii="Times New Roman" w:hAnsi="Times New Roman" w:cs="Times New Roman"/>
        </w:rPr>
        <w:t xml:space="preserve"> (fig.</w:t>
      </w:r>
      <w:r w:rsidR="005140A9" w:rsidRPr="00876E4D">
        <w:rPr>
          <w:rFonts w:ascii="Times New Roman" w:hAnsi="Times New Roman" w:cs="Times New Roman"/>
        </w:rPr>
        <w:t xml:space="preserve"> 9</w:t>
      </w:r>
      <w:r w:rsidR="00BE64C9" w:rsidRPr="00876E4D">
        <w:rPr>
          <w:rFonts w:ascii="Times New Roman" w:hAnsi="Times New Roman" w:cs="Times New Roman"/>
        </w:rPr>
        <w:t xml:space="preserve">) </w:t>
      </w:r>
      <w:r w:rsidRPr="00876E4D">
        <w:rPr>
          <w:rFonts w:ascii="Times New Roman" w:hAnsi="Times New Roman" w:cs="Times New Roman"/>
        </w:rPr>
        <w:t>showed that the highest proportion of households (48.35%) relied on one source of income. Conversely, 36.85% of those surveyed had two sources of income while only 15.80% had three or more sources of income-earning activities. This indicated that while there was diversification of livelihoods, a large number of households were still reliant on too few income sources, which increased their economic vulnerability.</w:t>
      </w:r>
    </w:p>
    <w:p w14:paraId="35BDD4AD" w14:textId="77777777" w:rsidR="00107896" w:rsidRPr="00876E4D" w:rsidRDefault="00107896" w:rsidP="00C117F2">
      <w:pPr>
        <w:pStyle w:val="NoSpacing"/>
        <w:jc w:val="both"/>
        <w:rPr>
          <w:rFonts w:ascii="Times New Roman" w:hAnsi="Times New Roman" w:cs="Times New Roman"/>
        </w:rPr>
      </w:pPr>
    </w:p>
    <w:p w14:paraId="3CC91844" w14:textId="00C92ECD" w:rsidR="00107896" w:rsidRPr="00876E4D" w:rsidRDefault="00107896" w:rsidP="00107896">
      <w:pPr>
        <w:pStyle w:val="NoSpacing"/>
        <w:jc w:val="center"/>
        <w:rPr>
          <w:rFonts w:ascii="Times New Roman" w:hAnsi="Times New Roman" w:cs="Times New Roman"/>
        </w:rPr>
      </w:pPr>
      <w:r w:rsidRPr="00876E4D">
        <w:rPr>
          <w:rFonts w:ascii="Times New Roman" w:hAnsi="Times New Roman" w:cs="Times New Roman"/>
          <w:noProof/>
          <w:lang w:bidi="bn-BD"/>
        </w:rPr>
        <w:drawing>
          <wp:inline distT="0" distB="0" distL="0" distR="0" wp14:anchorId="41151596" wp14:editId="7BBEF777">
            <wp:extent cx="5433060" cy="2560320"/>
            <wp:effectExtent l="0" t="0" r="15240" b="11430"/>
            <wp:docPr id="650979655" name="Chart 1">
              <a:extLst xmlns:a="http://schemas.openxmlformats.org/drawingml/2006/main">
                <a:ext uri="{FF2B5EF4-FFF2-40B4-BE49-F238E27FC236}">
                  <a16:creationId xmlns:a16="http://schemas.microsoft.com/office/drawing/2014/main" id="{57A8ACAF-604E-8BD0-326A-7CBC0E55EF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1E8BF64" w14:textId="68288B43" w:rsidR="008D798D" w:rsidRPr="00876E4D" w:rsidRDefault="00107896" w:rsidP="008D798D">
      <w:pPr>
        <w:pStyle w:val="NoSpacing"/>
        <w:jc w:val="both"/>
        <w:rPr>
          <w:rFonts w:ascii="Times New Roman" w:hAnsi="Times New Roman" w:cs="Times New Roman"/>
        </w:rPr>
      </w:pPr>
      <w:r w:rsidRPr="00876E4D">
        <w:rPr>
          <w:rFonts w:ascii="Times New Roman" w:hAnsi="Times New Roman" w:cs="Times New Roman"/>
        </w:rPr>
        <w:t xml:space="preserve">Figure 9: </w:t>
      </w:r>
      <w:r w:rsidR="008D798D" w:rsidRPr="00876E4D">
        <w:rPr>
          <w:rFonts w:ascii="Times New Roman" w:hAnsi="Times New Roman" w:cs="Times New Roman"/>
        </w:rPr>
        <w:t xml:space="preserve">Socio-economic characteristics: Distribution of the number of earning sources in family </w:t>
      </w:r>
    </w:p>
    <w:p w14:paraId="6D79831B" w14:textId="249139F9" w:rsidR="005140A9" w:rsidRPr="00876E4D" w:rsidRDefault="00880F75" w:rsidP="00C117F2">
      <w:pPr>
        <w:pStyle w:val="NoSpacing"/>
        <w:jc w:val="both"/>
        <w:rPr>
          <w:rFonts w:ascii="Times New Roman" w:hAnsi="Times New Roman" w:cs="Times New Roman"/>
          <w:b/>
          <w:bCs/>
        </w:rPr>
      </w:pPr>
      <w:r w:rsidRPr="00876E4D">
        <w:rPr>
          <w:rFonts w:ascii="Times New Roman" w:hAnsi="Times New Roman" w:cs="Times New Roman"/>
          <w:b/>
          <w:bCs/>
        </w:rPr>
        <w:lastRenderedPageBreak/>
        <w:t>3.2.3.</w:t>
      </w:r>
      <w:r w:rsidR="001F5EE8" w:rsidRPr="00876E4D">
        <w:rPr>
          <w:rFonts w:ascii="Times New Roman" w:hAnsi="Times New Roman" w:cs="Times New Roman"/>
          <w:b/>
          <w:bCs/>
        </w:rPr>
        <w:t xml:space="preserve"> Land distribution </w:t>
      </w:r>
    </w:p>
    <w:p w14:paraId="05A84803" w14:textId="77777777" w:rsidR="005140A9" w:rsidRPr="00876E4D" w:rsidRDefault="005140A9" w:rsidP="00C117F2">
      <w:pPr>
        <w:pStyle w:val="NoSpacing"/>
        <w:jc w:val="both"/>
        <w:rPr>
          <w:rFonts w:ascii="Times New Roman" w:hAnsi="Times New Roman" w:cs="Times New Roman"/>
        </w:rPr>
      </w:pPr>
    </w:p>
    <w:p w14:paraId="23FCFCBF" w14:textId="0084CC1C" w:rsidR="00C117F2" w:rsidRPr="00876E4D" w:rsidRDefault="00C117F2" w:rsidP="00C117F2">
      <w:pPr>
        <w:pStyle w:val="NoSpacing"/>
        <w:jc w:val="both"/>
        <w:rPr>
          <w:rFonts w:ascii="Times New Roman" w:hAnsi="Times New Roman" w:cs="Times New Roman"/>
        </w:rPr>
      </w:pPr>
      <w:r w:rsidRPr="00876E4D">
        <w:rPr>
          <w:rFonts w:ascii="Times New Roman" w:hAnsi="Times New Roman" w:cs="Times New Roman"/>
        </w:rPr>
        <w:t>Land distribution (</w:t>
      </w:r>
      <w:r w:rsidR="005140A9" w:rsidRPr="00876E4D">
        <w:rPr>
          <w:rFonts w:ascii="Times New Roman" w:hAnsi="Times New Roman" w:cs="Times New Roman"/>
        </w:rPr>
        <w:t>f</w:t>
      </w:r>
      <w:r w:rsidRPr="00876E4D">
        <w:rPr>
          <w:rFonts w:ascii="Times New Roman" w:hAnsi="Times New Roman" w:cs="Times New Roman"/>
        </w:rPr>
        <w:t xml:space="preserve">ig. </w:t>
      </w:r>
      <w:r w:rsidR="005140A9" w:rsidRPr="00876E4D">
        <w:rPr>
          <w:rFonts w:ascii="Times New Roman" w:hAnsi="Times New Roman" w:cs="Times New Roman"/>
        </w:rPr>
        <w:t>10</w:t>
      </w:r>
      <w:r w:rsidRPr="00876E4D">
        <w:rPr>
          <w:rFonts w:ascii="Times New Roman" w:hAnsi="Times New Roman" w:cs="Times New Roman"/>
        </w:rPr>
        <w:t xml:space="preserve">) showed different patterns for agriculture and fisheries. </w:t>
      </w:r>
      <w:r w:rsidR="00D55070" w:rsidRPr="00876E4D">
        <w:rPr>
          <w:rFonts w:ascii="Times New Roman" w:hAnsi="Times New Roman" w:cs="Times New Roman"/>
        </w:rPr>
        <w:t xml:space="preserve">Agriculture: 23.36 percent of respondents owned, while 15.46 leased land. Conversely, fisheries were more dependent on rented resources with 36.51% of respondents utilizing leased ponds as opposed to 24.67% who owned their aquaculture land. </w:t>
      </w:r>
      <w:r w:rsidRPr="00876E4D">
        <w:rPr>
          <w:rFonts w:ascii="Times New Roman" w:hAnsi="Times New Roman" w:cs="Times New Roman"/>
        </w:rPr>
        <w:t>It showed that aquaculture activities were more reliant on leased resources, potentially because of higher initial investment requirement or limited land holdings.</w:t>
      </w:r>
    </w:p>
    <w:p w14:paraId="452C1C50" w14:textId="77777777" w:rsidR="006C71F5" w:rsidRPr="00876E4D" w:rsidRDefault="006C71F5" w:rsidP="00C117F2">
      <w:pPr>
        <w:pStyle w:val="NoSpacing"/>
        <w:jc w:val="both"/>
        <w:rPr>
          <w:rFonts w:ascii="Times New Roman" w:hAnsi="Times New Roman" w:cs="Times New Roman"/>
        </w:rPr>
      </w:pPr>
    </w:p>
    <w:p w14:paraId="3CC6AAD9" w14:textId="38245853" w:rsidR="005140A9" w:rsidRPr="00876E4D" w:rsidRDefault="00107896" w:rsidP="00107896">
      <w:pPr>
        <w:pStyle w:val="NoSpacing"/>
        <w:jc w:val="center"/>
        <w:rPr>
          <w:rFonts w:ascii="Times New Roman" w:hAnsi="Times New Roman" w:cs="Times New Roman"/>
        </w:rPr>
      </w:pPr>
      <w:r w:rsidRPr="00876E4D">
        <w:rPr>
          <w:rFonts w:ascii="Times New Roman" w:hAnsi="Times New Roman" w:cs="Times New Roman"/>
          <w:noProof/>
          <w:lang w:bidi="bn-BD"/>
        </w:rPr>
        <w:drawing>
          <wp:inline distT="0" distB="0" distL="0" distR="0" wp14:anchorId="655D3421" wp14:editId="63A613F2">
            <wp:extent cx="4389120" cy="2255520"/>
            <wp:effectExtent l="0" t="0" r="11430" b="11430"/>
            <wp:docPr id="1429963421" name="Chart 1">
              <a:extLst xmlns:a="http://schemas.openxmlformats.org/drawingml/2006/main">
                <a:ext uri="{FF2B5EF4-FFF2-40B4-BE49-F238E27FC236}">
                  <a16:creationId xmlns:a16="http://schemas.microsoft.com/office/drawing/2014/main" id="{8450DE8E-91E2-1E2E-CDD9-9699573313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9D1114E" w14:textId="01741615" w:rsidR="00107896" w:rsidRPr="00876E4D" w:rsidRDefault="00107896" w:rsidP="00F229F3">
      <w:pPr>
        <w:pStyle w:val="NoSpacing"/>
        <w:jc w:val="center"/>
        <w:rPr>
          <w:rFonts w:ascii="Times New Roman" w:hAnsi="Times New Roman" w:cs="Times New Roman"/>
        </w:rPr>
      </w:pPr>
      <w:r w:rsidRPr="00876E4D">
        <w:rPr>
          <w:rFonts w:ascii="Times New Roman" w:hAnsi="Times New Roman" w:cs="Times New Roman"/>
        </w:rPr>
        <w:t xml:space="preserve">Figure 10. </w:t>
      </w:r>
      <w:r w:rsidR="005224D6" w:rsidRPr="00876E4D">
        <w:rPr>
          <w:rFonts w:ascii="Times New Roman" w:hAnsi="Times New Roman" w:cs="Times New Roman"/>
        </w:rPr>
        <w:t>Land distribution</w:t>
      </w:r>
      <w:r w:rsidR="00FC3F22" w:rsidRPr="00876E4D">
        <w:rPr>
          <w:rFonts w:ascii="Times New Roman" w:hAnsi="Times New Roman" w:cs="Times New Roman"/>
        </w:rPr>
        <w:t xml:space="preserve"> among the respondents</w:t>
      </w:r>
    </w:p>
    <w:p w14:paraId="1E3498B4" w14:textId="77777777" w:rsidR="00FF7BC4" w:rsidRPr="00876E4D" w:rsidRDefault="00FF7BC4" w:rsidP="00BE64C9">
      <w:pPr>
        <w:pStyle w:val="NoSpacing"/>
        <w:jc w:val="both"/>
        <w:rPr>
          <w:rFonts w:ascii="Times New Roman" w:hAnsi="Times New Roman" w:cs="Times New Roman"/>
          <w:b/>
          <w:bCs/>
        </w:rPr>
      </w:pPr>
    </w:p>
    <w:p w14:paraId="499F194B" w14:textId="1BE9C5D6" w:rsidR="005140A9" w:rsidRPr="00876E4D" w:rsidRDefault="00180823" w:rsidP="00BE64C9">
      <w:pPr>
        <w:pStyle w:val="NoSpacing"/>
        <w:jc w:val="both"/>
        <w:rPr>
          <w:rFonts w:ascii="Times New Roman" w:hAnsi="Times New Roman" w:cs="Times New Roman"/>
          <w:b/>
          <w:bCs/>
        </w:rPr>
      </w:pPr>
      <w:r w:rsidRPr="00876E4D">
        <w:rPr>
          <w:rFonts w:ascii="Times New Roman" w:hAnsi="Times New Roman" w:cs="Times New Roman"/>
          <w:b/>
          <w:bCs/>
        </w:rPr>
        <w:t>3.2.4.</w:t>
      </w:r>
      <w:r w:rsidR="001F5EE8" w:rsidRPr="00876E4D">
        <w:rPr>
          <w:rFonts w:ascii="Times New Roman" w:hAnsi="Times New Roman" w:cs="Times New Roman"/>
          <w:b/>
          <w:bCs/>
        </w:rPr>
        <w:t xml:space="preserve"> Housing conditions</w:t>
      </w:r>
    </w:p>
    <w:p w14:paraId="6E0DCF6F" w14:textId="77777777" w:rsidR="005140A9" w:rsidRPr="00876E4D" w:rsidRDefault="005140A9" w:rsidP="00BE64C9">
      <w:pPr>
        <w:pStyle w:val="NoSpacing"/>
        <w:jc w:val="both"/>
        <w:rPr>
          <w:rFonts w:ascii="Times New Roman" w:hAnsi="Times New Roman" w:cs="Times New Roman"/>
        </w:rPr>
      </w:pPr>
    </w:p>
    <w:p w14:paraId="6DCBE220" w14:textId="778E7BD6" w:rsidR="00DF571E" w:rsidRPr="00876E4D" w:rsidRDefault="00C117F2" w:rsidP="00BE64C9">
      <w:pPr>
        <w:pStyle w:val="NoSpacing"/>
        <w:jc w:val="both"/>
        <w:rPr>
          <w:rFonts w:ascii="Times New Roman" w:hAnsi="Times New Roman" w:cs="Times New Roman"/>
        </w:rPr>
      </w:pPr>
      <w:r w:rsidRPr="00876E4D">
        <w:rPr>
          <w:rFonts w:ascii="Times New Roman" w:hAnsi="Times New Roman" w:cs="Times New Roman"/>
        </w:rPr>
        <w:t>Respondents' housing condition (</w:t>
      </w:r>
      <w:r w:rsidR="005140A9" w:rsidRPr="00876E4D">
        <w:rPr>
          <w:rFonts w:ascii="Times New Roman" w:hAnsi="Times New Roman" w:cs="Times New Roman"/>
        </w:rPr>
        <w:t>fi</w:t>
      </w:r>
      <w:r w:rsidRPr="00876E4D">
        <w:rPr>
          <w:rFonts w:ascii="Times New Roman" w:hAnsi="Times New Roman" w:cs="Times New Roman"/>
        </w:rPr>
        <w:t>g</w:t>
      </w:r>
      <w:r w:rsidR="005140A9" w:rsidRPr="00876E4D">
        <w:rPr>
          <w:rFonts w:ascii="Times New Roman" w:hAnsi="Times New Roman" w:cs="Times New Roman"/>
        </w:rPr>
        <w:t>. 11</w:t>
      </w:r>
      <w:r w:rsidRPr="00876E4D">
        <w:rPr>
          <w:rFonts w:ascii="Times New Roman" w:hAnsi="Times New Roman" w:cs="Times New Roman"/>
        </w:rPr>
        <w:t>) reflected their socio-economic status. About 47</w:t>
      </w:r>
      <w:r w:rsidR="00BE64C9" w:rsidRPr="00876E4D">
        <w:rPr>
          <w:rFonts w:ascii="Times New Roman" w:hAnsi="Times New Roman" w:cs="Times New Roman"/>
        </w:rPr>
        <w:t xml:space="preserve">% </w:t>
      </w:r>
      <w:r w:rsidRPr="00876E4D">
        <w:rPr>
          <w:rFonts w:ascii="Times New Roman" w:hAnsi="Times New Roman" w:cs="Times New Roman"/>
        </w:rPr>
        <w:t>of the households lived in semi-p</w:t>
      </w:r>
      <w:r w:rsidR="00BE64C9" w:rsidRPr="00876E4D">
        <w:rPr>
          <w:rFonts w:ascii="Times New Roman" w:hAnsi="Times New Roman" w:cs="Times New Roman"/>
        </w:rPr>
        <w:t>a</w:t>
      </w:r>
      <w:r w:rsidRPr="00876E4D">
        <w:rPr>
          <w:rFonts w:ascii="Times New Roman" w:hAnsi="Times New Roman" w:cs="Times New Roman"/>
        </w:rPr>
        <w:t>cca houses, while 30</w:t>
      </w:r>
      <w:r w:rsidR="00BE64C9" w:rsidRPr="00876E4D">
        <w:rPr>
          <w:rFonts w:ascii="Times New Roman" w:hAnsi="Times New Roman" w:cs="Times New Roman"/>
        </w:rPr>
        <w:t xml:space="preserve">% </w:t>
      </w:r>
      <w:r w:rsidRPr="00876E4D">
        <w:rPr>
          <w:rFonts w:ascii="Times New Roman" w:hAnsi="Times New Roman" w:cs="Times New Roman"/>
        </w:rPr>
        <w:t xml:space="preserve">were in kacha houses and the rest </w:t>
      </w:r>
      <w:r w:rsidR="00BE64C9" w:rsidRPr="00876E4D">
        <w:rPr>
          <w:rFonts w:ascii="Times New Roman" w:hAnsi="Times New Roman" w:cs="Times New Roman"/>
        </w:rPr>
        <w:t xml:space="preserve">23 % </w:t>
      </w:r>
      <w:r w:rsidRPr="00876E4D">
        <w:rPr>
          <w:rFonts w:ascii="Times New Roman" w:hAnsi="Times New Roman" w:cs="Times New Roman"/>
        </w:rPr>
        <w:t>in p</w:t>
      </w:r>
      <w:r w:rsidR="00BE64C9" w:rsidRPr="00876E4D">
        <w:rPr>
          <w:rFonts w:ascii="Times New Roman" w:hAnsi="Times New Roman" w:cs="Times New Roman"/>
        </w:rPr>
        <w:t>a</w:t>
      </w:r>
      <w:r w:rsidRPr="00876E4D">
        <w:rPr>
          <w:rFonts w:ascii="Times New Roman" w:hAnsi="Times New Roman" w:cs="Times New Roman"/>
        </w:rPr>
        <w:t>cca houses. This implied that, although a sizeable segment of the population had reached moderate living standard levels, a large fraction still lived in less than sound housing conditions</w:t>
      </w:r>
      <w:r w:rsidR="00BE64C9" w:rsidRPr="00876E4D">
        <w:rPr>
          <w:rFonts w:ascii="Times New Roman" w:hAnsi="Times New Roman" w:cs="Times New Roman"/>
        </w:rPr>
        <w:t>.</w:t>
      </w:r>
    </w:p>
    <w:p w14:paraId="64BC4F19" w14:textId="77777777" w:rsidR="00107896" w:rsidRPr="00876E4D" w:rsidRDefault="00107896" w:rsidP="00BE64C9">
      <w:pPr>
        <w:pStyle w:val="NoSpacing"/>
        <w:jc w:val="both"/>
        <w:rPr>
          <w:rFonts w:ascii="Times New Roman" w:hAnsi="Times New Roman" w:cs="Times New Roman"/>
        </w:rPr>
      </w:pPr>
    </w:p>
    <w:p w14:paraId="7B91ADBD" w14:textId="4537F6A1" w:rsidR="00107896" w:rsidRPr="00876E4D" w:rsidRDefault="00107896" w:rsidP="00107896">
      <w:pPr>
        <w:pStyle w:val="NoSpacing"/>
        <w:jc w:val="center"/>
        <w:rPr>
          <w:rFonts w:ascii="Times New Roman" w:hAnsi="Times New Roman" w:cs="Times New Roman"/>
        </w:rPr>
      </w:pPr>
      <w:r w:rsidRPr="00876E4D">
        <w:rPr>
          <w:rFonts w:ascii="Times New Roman" w:hAnsi="Times New Roman" w:cs="Times New Roman"/>
          <w:noProof/>
          <w:lang w:bidi="bn-BD"/>
        </w:rPr>
        <w:drawing>
          <wp:inline distT="0" distB="0" distL="0" distR="0" wp14:anchorId="0EFD48E5" wp14:editId="2769A5D2">
            <wp:extent cx="3444240" cy="2621280"/>
            <wp:effectExtent l="0" t="0" r="3810" b="7620"/>
            <wp:docPr id="1557354653" name="Chart 1">
              <a:extLst xmlns:a="http://schemas.openxmlformats.org/drawingml/2006/main">
                <a:ext uri="{FF2B5EF4-FFF2-40B4-BE49-F238E27FC236}">
                  <a16:creationId xmlns:a16="http://schemas.microsoft.com/office/drawing/2014/main" id="{D879074D-12AD-F2DC-0319-17CB95B82F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4ACEB54" w14:textId="1B0B2682" w:rsidR="00BE64C9" w:rsidRPr="00876E4D" w:rsidRDefault="00107896" w:rsidP="006C71F5">
      <w:pPr>
        <w:pStyle w:val="NoSpacing"/>
        <w:jc w:val="center"/>
        <w:rPr>
          <w:rFonts w:ascii="Times New Roman" w:hAnsi="Times New Roman" w:cs="Times New Roman"/>
        </w:rPr>
      </w:pPr>
      <w:r w:rsidRPr="00876E4D">
        <w:rPr>
          <w:rFonts w:ascii="Times New Roman" w:hAnsi="Times New Roman" w:cs="Times New Roman"/>
        </w:rPr>
        <w:t>Figure 11</w:t>
      </w:r>
      <w:r w:rsidR="005224D6" w:rsidRPr="00876E4D">
        <w:rPr>
          <w:rFonts w:ascii="Times New Roman" w:hAnsi="Times New Roman" w:cs="Times New Roman"/>
        </w:rPr>
        <w:t>. Housing conditions</w:t>
      </w:r>
      <w:r w:rsidR="00FC3F22" w:rsidRPr="00876E4D">
        <w:rPr>
          <w:rFonts w:ascii="Times New Roman" w:hAnsi="Times New Roman" w:cs="Times New Roman"/>
        </w:rPr>
        <w:t xml:space="preserve"> among respondents</w:t>
      </w:r>
    </w:p>
    <w:p w14:paraId="1157A90D" w14:textId="4D6AF294" w:rsidR="00175C11" w:rsidRPr="00876E4D" w:rsidRDefault="00655224" w:rsidP="00175C11">
      <w:pPr>
        <w:pStyle w:val="NoSpacing"/>
        <w:rPr>
          <w:rFonts w:ascii="Times New Roman" w:hAnsi="Times New Roman" w:cs="Times New Roman"/>
          <w:b/>
          <w:bCs/>
        </w:rPr>
      </w:pPr>
      <w:r w:rsidRPr="00876E4D">
        <w:rPr>
          <w:rFonts w:ascii="Times New Roman" w:hAnsi="Times New Roman" w:cs="Times New Roman"/>
          <w:b/>
          <w:bCs/>
        </w:rPr>
        <w:lastRenderedPageBreak/>
        <w:t xml:space="preserve">3.5. Sanitary Facilities </w:t>
      </w:r>
    </w:p>
    <w:p w14:paraId="52AF8265" w14:textId="77777777" w:rsidR="00220117" w:rsidRPr="00876E4D" w:rsidRDefault="00220117" w:rsidP="00175C11">
      <w:pPr>
        <w:pStyle w:val="NoSpacing"/>
        <w:rPr>
          <w:rFonts w:ascii="Times New Roman" w:hAnsi="Times New Roman" w:cs="Times New Roman"/>
          <w:b/>
          <w:bCs/>
        </w:rPr>
      </w:pPr>
    </w:p>
    <w:p w14:paraId="18A02F66" w14:textId="38CE43FB" w:rsidR="00220117" w:rsidRPr="00876E4D" w:rsidRDefault="00220117" w:rsidP="002A606D">
      <w:pPr>
        <w:pStyle w:val="NoSpacing"/>
        <w:jc w:val="both"/>
        <w:rPr>
          <w:rFonts w:ascii="Times New Roman" w:hAnsi="Times New Roman" w:cs="Times New Roman"/>
        </w:rPr>
      </w:pPr>
      <w:r w:rsidRPr="00876E4D">
        <w:rPr>
          <w:rFonts w:ascii="Times New Roman" w:hAnsi="Times New Roman" w:cs="Times New Roman"/>
        </w:rPr>
        <w:t>Figure 12 illustrates the sanitary facilities among farmers of study area where</w:t>
      </w:r>
      <w:r w:rsidR="002A606D" w:rsidRPr="00876E4D">
        <w:rPr>
          <w:rFonts w:ascii="Times New Roman" w:hAnsi="Times New Roman" w:cs="Times New Roman"/>
        </w:rPr>
        <w:t xml:space="preserve"> 56% of respondents had the proper sanitary facilities adjacent to their housing. On the other hand, 36% of respondents had semi-proper hygiene with ring slab latrine and only 8% of respondents had unhygienic facilities. Maximum of the farmers had sanitary facilities. </w:t>
      </w:r>
    </w:p>
    <w:p w14:paraId="5482BB60" w14:textId="77777777" w:rsidR="002A606D" w:rsidRPr="00876E4D" w:rsidRDefault="002A606D" w:rsidP="002A606D">
      <w:pPr>
        <w:pStyle w:val="NoSpacing"/>
        <w:jc w:val="both"/>
        <w:rPr>
          <w:rFonts w:ascii="Times New Roman" w:hAnsi="Times New Roman" w:cs="Times New Roman"/>
        </w:rPr>
      </w:pPr>
    </w:p>
    <w:p w14:paraId="0228C85C" w14:textId="4DD355DB" w:rsidR="00655224" w:rsidRPr="00876E4D" w:rsidRDefault="00220117" w:rsidP="00220117">
      <w:pPr>
        <w:pStyle w:val="NoSpacing"/>
        <w:jc w:val="center"/>
        <w:rPr>
          <w:rFonts w:ascii="Times New Roman" w:hAnsi="Times New Roman" w:cs="Times New Roman"/>
        </w:rPr>
      </w:pPr>
      <w:r w:rsidRPr="00876E4D">
        <w:rPr>
          <w:noProof/>
          <w:lang w:bidi="bn-BD"/>
        </w:rPr>
        <w:drawing>
          <wp:inline distT="0" distB="0" distL="0" distR="0" wp14:anchorId="3F918431" wp14:editId="554AC2EF">
            <wp:extent cx="2628900" cy="2964180"/>
            <wp:effectExtent l="0" t="0" r="0" b="7620"/>
            <wp:docPr id="1263925285" name="Chart 1">
              <a:extLst xmlns:a="http://schemas.openxmlformats.org/drawingml/2006/main">
                <a:ext uri="{FF2B5EF4-FFF2-40B4-BE49-F238E27FC236}">
                  <a16:creationId xmlns:a16="http://schemas.microsoft.com/office/drawing/2014/main" id="{C4BEF1FE-7D11-4653-8B05-43DE70BA7C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BB6FBA6" w14:textId="0BB6E0A2" w:rsidR="00220117" w:rsidRPr="00876E4D" w:rsidRDefault="00220117" w:rsidP="00F229F3">
      <w:pPr>
        <w:pStyle w:val="NoSpacing"/>
        <w:jc w:val="center"/>
        <w:rPr>
          <w:rFonts w:ascii="Times New Roman" w:hAnsi="Times New Roman" w:cs="Times New Roman"/>
        </w:rPr>
      </w:pPr>
      <w:r w:rsidRPr="00876E4D">
        <w:rPr>
          <w:rFonts w:ascii="Times New Roman" w:hAnsi="Times New Roman" w:cs="Times New Roman"/>
        </w:rPr>
        <w:t>Figure 12. Sanitary facilities among the respondents</w:t>
      </w:r>
    </w:p>
    <w:p w14:paraId="6B89197D" w14:textId="77777777" w:rsidR="002A606D" w:rsidRPr="00876E4D" w:rsidRDefault="002A606D" w:rsidP="00175C11">
      <w:pPr>
        <w:pStyle w:val="NoSpacing"/>
        <w:rPr>
          <w:rFonts w:ascii="Times New Roman" w:hAnsi="Times New Roman" w:cs="Times New Roman"/>
          <w:b/>
          <w:bCs/>
        </w:rPr>
      </w:pPr>
    </w:p>
    <w:p w14:paraId="08C5F3A7" w14:textId="38741347" w:rsidR="00175C11" w:rsidRPr="00876E4D" w:rsidRDefault="00175C11" w:rsidP="00175C11">
      <w:pPr>
        <w:pStyle w:val="NoSpacing"/>
        <w:rPr>
          <w:rFonts w:ascii="Times New Roman" w:hAnsi="Times New Roman" w:cs="Times New Roman"/>
          <w:b/>
          <w:bCs/>
        </w:rPr>
      </w:pPr>
      <w:r w:rsidRPr="00876E4D">
        <w:rPr>
          <w:rFonts w:ascii="Times New Roman" w:hAnsi="Times New Roman" w:cs="Times New Roman"/>
          <w:b/>
          <w:bCs/>
        </w:rPr>
        <w:t xml:space="preserve">3.3. Farming &amp; Aquaculture profile </w:t>
      </w:r>
      <w:r w:rsidR="002A606D" w:rsidRPr="00876E4D">
        <w:rPr>
          <w:rFonts w:ascii="Times New Roman" w:hAnsi="Times New Roman" w:cs="Times New Roman"/>
          <w:b/>
          <w:bCs/>
        </w:rPr>
        <w:t xml:space="preserve">of respondents </w:t>
      </w:r>
    </w:p>
    <w:p w14:paraId="0DC4AA40" w14:textId="77777777" w:rsidR="00F32745" w:rsidRPr="00876E4D" w:rsidRDefault="00F32745" w:rsidP="00DE78F9">
      <w:pPr>
        <w:pStyle w:val="NoSpacing"/>
        <w:rPr>
          <w:rFonts w:ascii="Times New Roman" w:hAnsi="Times New Roman" w:cs="Times New Roman"/>
        </w:rPr>
      </w:pPr>
    </w:p>
    <w:p w14:paraId="5FB67490" w14:textId="23720292" w:rsidR="002A606D" w:rsidRPr="00876E4D" w:rsidRDefault="002A606D" w:rsidP="00BE64C9">
      <w:pPr>
        <w:pStyle w:val="NoSpacing"/>
        <w:jc w:val="both"/>
        <w:rPr>
          <w:rFonts w:ascii="Times New Roman" w:hAnsi="Times New Roman" w:cs="Times New Roman"/>
          <w:b/>
          <w:bCs/>
        </w:rPr>
      </w:pPr>
      <w:r w:rsidRPr="00876E4D">
        <w:rPr>
          <w:rFonts w:ascii="Times New Roman" w:hAnsi="Times New Roman" w:cs="Times New Roman"/>
          <w:b/>
          <w:bCs/>
        </w:rPr>
        <w:t xml:space="preserve">3.3.1: Technical knowledge of respondents </w:t>
      </w:r>
    </w:p>
    <w:p w14:paraId="67D96BF6" w14:textId="77777777" w:rsidR="00180823" w:rsidRPr="00876E4D" w:rsidRDefault="00180823" w:rsidP="00BE64C9">
      <w:pPr>
        <w:pStyle w:val="NoSpacing"/>
        <w:jc w:val="both"/>
        <w:rPr>
          <w:rFonts w:ascii="Times New Roman" w:hAnsi="Times New Roman" w:cs="Times New Roman"/>
          <w:b/>
          <w:bCs/>
        </w:rPr>
      </w:pPr>
    </w:p>
    <w:p w14:paraId="1B2D1778" w14:textId="0AF0E418" w:rsidR="00BE64C9" w:rsidRPr="00876E4D" w:rsidRDefault="008C343E" w:rsidP="00BE64C9">
      <w:pPr>
        <w:pStyle w:val="NoSpacing"/>
        <w:jc w:val="both"/>
        <w:rPr>
          <w:rFonts w:ascii="Times New Roman" w:hAnsi="Times New Roman" w:cs="Times New Roman"/>
        </w:rPr>
      </w:pPr>
      <w:r w:rsidRPr="00876E4D">
        <w:rPr>
          <w:rFonts w:ascii="Times New Roman" w:hAnsi="Times New Roman" w:cs="Times New Roman"/>
        </w:rPr>
        <w:t xml:space="preserve">Figure 13 highlights the technical knowledge of respondents about farming. </w:t>
      </w:r>
      <w:r w:rsidR="00BE64C9" w:rsidRPr="00876E4D">
        <w:rPr>
          <w:rFonts w:ascii="Times New Roman" w:hAnsi="Times New Roman" w:cs="Times New Roman"/>
        </w:rPr>
        <w:t xml:space="preserve">In terms of training, the majority of farmers (44%) </w:t>
      </w:r>
      <w:r w:rsidRPr="00876E4D">
        <w:rPr>
          <w:rFonts w:ascii="Times New Roman" w:hAnsi="Times New Roman" w:cs="Times New Roman"/>
        </w:rPr>
        <w:t>got</w:t>
      </w:r>
      <w:r w:rsidR="00BE64C9" w:rsidRPr="00876E4D">
        <w:rPr>
          <w:rFonts w:ascii="Times New Roman" w:hAnsi="Times New Roman" w:cs="Times New Roman"/>
        </w:rPr>
        <w:t xml:space="preserve"> agriculture-based training, 28% received no training at all and only 18% received fisheries specific training out of</w:t>
      </w:r>
      <w:r w:rsidRPr="00876E4D">
        <w:rPr>
          <w:rFonts w:ascii="Times New Roman" w:hAnsi="Times New Roman" w:cs="Times New Roman"/>
        </w:rPr>
        <w:t xml:space="preserve">. 10% of respondents were adaptive learner and they got both technical knowledge of fisheries and agriculture. </w:t>
      </w:r>
    </w:p>
    <w:p w14:paraId="4DBC6243" w14:textId="77777777" w:rsidR="008C343E" w:rsidRPr="00876E4D" w:rsidRDefault="008C343E" w:rsidP="00BE64C9">
      <w:pPr>
        <w:pStyle w:val="NoSpacing"/>
        <w:jc w:val="both"/>
        <w:rPr>
          <w:rFonts w:ascii="Times New Roman" w:hAnsi="Times New Roman" w:cs="Times New Roman"/>
        </w:rPr>
      </w:pPr>
    </w:p>
    <w:p w14:paraId="04757F9A" w14:textId="25C5B927" w:rsidR="002A606D" w:rsidRPr="00876E4D" w:rsidRDefault="002A606D" w:rsidP="002A606D">
      <w:pPr>
        <w:pStyle w:val="NoSpacing"/>
        <w:jc w:val="center"/>
        <w:rPr>
          <w:rFonts w:ascii="Times New Roman" w:hAnsi="Times New Roman" w:cs="Times New Roman"/>
        </w:rPr>
      </w:pPr>
      <w:r w:rsidRPr="00876E4D">
        <w:rPr>
          <w:rFonts w:ascii="Times New Roman" w:hAnsi="Times New Roman" w:cs="Times New Roman"/>
          <w:b/>
          <w:bCs/>
          <w:noProof/>
          <w:lang w:bidi="bn-BD"/>
        </w:rPr>
        <w:lastRenderedPageBreak/>
        <w:drawing>
          <wp:inline distT="0" distB="0" distL="0" distR="0" wp14:anchorId="2D5CC61D" wp14:editId="68C8DD69">
            <wp:extent cx="3459480" cy="2468880"/>
            <wp:effectExtent l="0" t="0" r="7620" b="7620"/>
            <wp:docPr id="876776140" name="Chart 1845137170">
              <a:extLst xmlns:a="http://schemas.openxmlformats.org/drawingml/2006/main">
                <a:ext uri="{FF2B5EF4-FFF2-40B4-BE49-F238E27FC236}">
                  <a16:creationId xmlns:a16="http://schemas.microsoft.com/office/drawing/2014/main" id="{DF524A14-6CC4-C3E6-D990-53DC0E0C88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A120DDA" w14:textId="7CE303FF" w:rsidR="008C343E" w:rsidRPr="00876E4D" w:rsidRDefault="002A606D" w:rsidP="006C71F5">
      <w:pPr>
        <w:pStyle w:val="NoSpacing"/>
        <w:jc w:val="center"/>
        <w:rPr>
          <w:rFonts w:ascii="Times New Roman" w:hAnsi="Times New Roman" w:cs="Times New Roman"/>
        </w:rPr>
      </w:pPr>
      <w:r w:rsidRPr="00876E4D">
        <w:rPr>
          <w:rFonts w:ascii="Times New Roman" w:hAnsi="Times New Roman" w:cs="Times New Roman"/>
        </w:rPr>
        <w:t>Figu</w:t>
      </w:r>
      <w:r w:rsidR="008C343E" w:rsidRPr="00876E4D">
        <w:rPr>
          <w:rFonts w:ascii="Times New Roman" w:hAnsi="Times New Roman" w:cs="Times New Roman"/>
        </w:rPr>
        <w:t>re 13: Technical knowledge of respondents</w:t>
      </w:r>
    </w:p>
    <w:p w14:paraId="1F69F2EA" w14:textId="62DDDF1D" w:rsidR="008C343E" w:rsidRPr="00876E4D" w:rsidRDefault="008C343E" w:rsidP="008C343E">
      <w:pPr>
        <w:pStyle w:val="NoSpacing"/>
        <w:jc w:val="both"/>
        <w:rPr>
          <w:rFonts w:ascii="Times New Roman" w:hAnsi="Times New Roman" w:cs="Times New Roman"/>
          <w:b/>
          <w:bCs/>
        </w:rPr>
      </w:pPr>
      <w:r w:rsidRPr="00876E4D">
        <w:rPr>
          <w:rFonts w:ascii="Times New Roman" w:hAnsi="Times New Roman" w:cs="Times New Roman"/>
          <w:b/>
          <w:bCs/>
        </w:rPr>
        <w:t xml:space="preserve">3.3.2. Purpose of Aquaculture </w:t>
      </w:r>
    </w:p>
    <w:p w14:paraId="031714F7" w14:textId="77777777" w:rsidR="008C343E" w:rsidRPr="00876E4D" w:rsidRDefault="008C343E" w:rsidP="008C343E">
      <w:pPr>
        <w:pStyle w:val="NoSpacing"/>
        <w:jc w:val="both"/>
        <w:rPr>
          <w:rFonts w:ascii="Times New Roman" w:hAnsi="Times New Roman" w:cs="Times New Roman"/>
        </w:rPr>
      </w:pPr>
    </w:p>
    <w:p w14:paraId="7B649C8C" w14:textId="2C16343D" w:rsidR="008C343E" w:rsidRPr="00876E4D" w:rsidRDefault="008C343E" w:rsidP="008C343E">
      <w:pPr>
        <w:pStyle w:val="NoSpacing"/>
        <w:jc w:val="both"/>
        <w:rPr>
          <w:rFonts w:ascii="Times New Roman" w:hAnsi="Times New Roman" w:cs="Times New Roman"/>
        </w:rPr>
      </w:pPr>
      <w:r w:rsidRPr="00876E4D">
        <w:rPr>
          <w:rFonts w:ascii="Times New Roman" w:hAnsi="Times New Roman" w:cs="Times New Roman"/>
        </w:rPr>
        <w:t xml:space="preserve">Among the fish farmer, they produced aquacultural goods for mainly two reasons and figure 14 elaborates the responses of fish farmers. 44% of fish farmers households used their harvest for both commercial and consumption while 34% were engaged in strict commercial production. </w:t>
      </w:r>
    </w:p>
    <w:p w14:paraId="573DDD6E" w14:textId="77777777" w:rsidR="008C343E" w:rsidRPr="00876E4D" w:rsidRDefault="008C343E" w:rsidP="008C343E">
      <w:pPr>
        <w:pStyle w:val="NoSpacing"/>
        <w:jc w:val="both"/>
        <w:rPr>
          <w:rFonts w:ascii="Times New Roman" w:hAnsi="Times New Roman" w:cs="Times New Roman"/>
        </w:rPr>
      </w:pPr>
    </w:p>
    <w:p w14:paraId="6D4BE298" w14:textId="5B61D917" w:rsidR="00F32745" w:rsidRPr="00876E4D" w:rsidRDefault="002A606D" w:rsidP="00FC3F22">
      <w:pPr>
        <w:pStyle w:val="NoSpacing"/>
        <w:jc w:val="center"/>
        <w:rPr>
          <w:rFonts w:ascii="Times New Roman" w:hAnsi="Times New Roman" w:cs="Times New Roman"/>
        </w:rPr>
      </w:pPr>
      <w:r w:rsidRPr="00876E4D">
        <w:rPr>
          <w:rFonts w:ascii="Times New Roman" w:hAnsi="Times New Roman" w:cs="Times New Roman"/>
          <w:b/>
          <w:bCs/>
          <w:noProof/>
          <w:lang w:bidi="bn-BD"/>
        </w:rPr>
        <w:drawing>
          <wp:inline distT="0" distB="0" distL="0" distR="0" wp14:anchorId="398362EC" wp14:editId="2D7257CD">
            <wp:extent cx="3451860" cy="2103120"/>
            <wp:effectExtent l="0" t="0" r="15240" b="11430"/>
            <wp:docPr id="1497349994" name="Chart 701982871">
              <a:extLst xmlns:a="http://schemas.openxmlformats.org/drawingml/2006/main">
                <a:ext uri="{FF2B5EF4-FFF2-40B4-BE49-F238E27FC236}">
                  <a16:creationId xmlns:a16="http://schemas.microsoft.com/office/drawing/2014/main" id="{9B116B95-08F8-6C07-E523-F1A8721072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6F56A34" w14:textId="7EC41513" w:rsidR="007F004C" w:rsidRPr="00876E4D" w:rsidRDefault="00F32745" w:rsidP="00FC3F22">
      <w:pPr>
        <w:pStyle w:val="NoSpacing"/>
        <w:jc w:val="center"/>
        <w:rPr>
          <w:rFonts w:ascii="Times New Roman" w:hAnsi="Times New Roman" w:cs="Times New Roman"/>
        </w:rPr>
      </w:pPr>
      <w:r w:rsidRPr="00876E4D">
        <w:rPr>
          <w:rFonts w:ascii="Times New Roman" w:hAnsi="Times New Roman" w:cs="Times New Roman"/>
        </w:rPr>
        <w:t xml:space="preserve">Figure </w:t>
      </w:r>
      <w:r w:rsidR="00FC3F22" w:rsidRPr="00876E4D">
        <w:rPr>
          <w:rFonts w:ascii="Times New Roman" w:hAnsi="Times New Roman" w:cs="Times New Roman"/>
        </w:rPr>
        <w:t>1</w:t>
      </w:r>
      <w:r w:rsidRPr="00876E4D">
        <w:rPr>
          <w:rFonts w:ascii="Times New Roman" w:hAnsi="Times New Roman" w:cs="Times New Roman"/>
        </w:rPr>
        <w:t xml:space="preserve">4: </w:t>
      </w:r>
      <w:r w:rsidR="00FC3F22" w:rsidRPr="00876E4D">
        <w:rPr>
          <w:rFonts w:ascii="Times New Roman" w:hAnsi="Times New Roman" w:cs="Times New Roman"/>
        </w:rPr>
        <w:t xml:space="preserve">Purpose of Aquaculture </w:t>
      </w:r>
    </w:p>
    <w:p w14:paraId="4EB7913A" w14:textId="77777777" w:rsidR="00FC3F22" w:rsidRPr="00876E4D" w:rsidRDefault="00FC3F22" w:rsidP="00FC3F22">
      <w:pPr>
        <w:pStyle w:val="NoSpacing"/>
        <w:jc w:val="center"/>
        <w:rPr>
          <w:rFonts w:ascii="Times New Roman" w:hAnsi="Times New Roman" w:cs="Times New Roman"/>
          <w:b/>
          <w:bCs/>
        </w:rPr>
      </w:pPr>
    </w:p>
    <w:p w14:paraId="283990FB" w14:textId="4DB383FE" w:rsidR="00FC3F22" w:rsidRPr="00876E4D" w:rsidRDefault="00FC3F22" w:rsidP="00FC3F22">
      <w:pPr>
        <w:pStyle w:val="NoSpacing"/>
        <w:jc w:val="both"/>
        <w:rPr>
          <w:rFonts w:ascii="Times New Roman" w:hAnsi="Times New Roman" w:cs="Times New Roman"/>
          <w:b/>
          <w:bCs/>
        </w:rPr>
      </w:pPr>
      <w:r w:rsidRPr="00876E4D">
        <w:rPr>
          <w:rFonts w:ascii="Times New Roman" w:hAnsi="Times New Roman" w:cs="Times New Roman"/>
          <w:b/>
          <w:bCs/>
        </w:rPr>
        <w:t>3.3.3: Farming experience</w:t>
      </w:r>
    </w:p>
    <w:p w14:paraId="54D4E619" w14:textId="77777777" w:rsidR="00FC3F22" w:rsidRPr="00876E4D" w:rsidRDefault="00FC3F22" w:rsidP="00FC3F22">
      <w:pPr>
        <w:pStyle w:val="NoSpacing"/>
        <w:jc w:val="both"/>
        <w:rPr>
          <w:rFonts w:ascii="Times New Roman" w:hAnsi="Times New Roman" w:cs="Times New Roman"/>
        </w:rPr>
      </w:pPr>
    </w:p>
    <w:p w14:paraId="7CFC94F4" w14:textId="09174BF4" w:rsidR="00FC3F22" w:rsidRPr="00876E4D" w:rsidRDefault="00B54D6F" w:rsidP="004C542B">
      <w:pPr>
        <w:pStyle w:val="NoSpacing"/>
        <w:jc w:val="both"/>
        <w:rPr>
          <w:rFonts w:ascii="Times New Roman" w:hAnsi="Times New Roman" w:cs="Times New Roman"/>
        </w:rPr>
      </w:pPr>
      <w:r w:rsidRPr="00876E4D">
        <w:rPr>
          <w:rFonts w:ascii="Times New Roman" w:hAnsi="Times New Roman" w:cs="Times New Roman"/>
        </w:rPr>
        <w:t>Sectoral patterns also emerged with respect to farming experience. In fisheries practitioners it was mostly new practitioners, of which more were less than 10 years experienced (16.78%). On the other hand, land-use practitioners</w:t>
      </w:r>
      <w:r w:rsidR="00340C1F" w:rsidRPr="00876E4D">
        <w:rPr>
          <w:rFonts w:ascii="Times New Roman" w:hAnsi="Times New Roman" w:cs="Times New Roman"/>
        </w:rPr>
        <w:t xml:space="preserve"> (</w:t>
      </w:r>
      <w:r w:rsidR="0021363B" w:rsidRPr="00876E4D">
        <w:rPr>
          <w:rFonts w:ascii="Times New Roman" w:hAnsi="Times New Roman" w:cs="Times New Roman"/>
        </w:rPr>
        <w:t>agricultural farmers)</w:t>
      </w:r>
      <w:r w:rsidRPr="00876E4D">
        <w:rPr>
          <w:rFonts w:ascii="Times New Roman" w:hAnsi="Times New Roman" w:cs="Times New Roman"/>
        </w:rPr>
        <w:t xml:space="preserve"> peaked in the 10-to-20-year range (12.83%) and simultaneous working in both sectors gradually decreased among older, more experienced demographics (Figure 15).</w:t>
      </w:r>
      <w:r w:rsidR="00DE2DE8" w:rsidRPr="00876E4D">
        <w:rPr>
          <w:rFonts w:ascii="Times New Roman" w:hAnsi="Times New Roman" w:cs="Times New Roman"/>
        </w:rPr>
        <w:t xml:space="preserve"> Adaptive learners were relatively young </w:t>
      </w:r>
      <w:r w:rsidR="00DC4320" w:rsidRPr="00876E4D">
        <w:rPr>
          <w:rFonts w:ascii="Times New Roman" w:hAnsi="Times New Roman" w:cs="Times New Roman"/>
        </w:rPr>
        <w:t>blood,</w:t>
      </w:r>
      <w:r w:rsidR="00DE2DE8" w:rsidRPr="00876E4D">
        <w:rPr>
          <w:rFonts w:ascii="Times New Roman" w:hAnsi="Times New Roman" w:cs="Times New Roman"/>
        </w:rPr>
        <w:t xml:space="preserve"> and they had less than 10 years of farming experience</w:t>
      </w:r>
      <w:r w:rsidR="00AF701C" w:rsidRPr="00876E4D">
        <w:rPr>
          <w:rFonts w:ascii="Times New Roman" w:hAnsi="Times New Roman" w:cs="Times New Roman"/>
        </w:rPr>
        <w:t xml:space="preserve">. </w:t>
      </w:r>
    </w:p>
    <w:p w14:paraId="5F4AF267" w14:textId="77777777" w:rsidR="00FC3F22" w:rsidRPr="00876E4D" w:rsidRDefault="00FC3F22" w:rsidP="004C542B">
      <w:pPr>
        <w:pStyle w:val="NoSpacing"/>
        <w:jc w:val="both"/>
        <w:rPr>
          <w:rFonts w:ascii="Times New Roman" w:hAnsi="Times New Roman" w:cs="Times New Roman"/>
          <w:b/>
          <w:bCs/>
        </w:rPr>
      </w:pPr>
    </w:p>
    <w:p w14:paraId="5F897C03" w14:textId="5D83D4F3" w:rsidR="00FC3F22" w:rsidRPr="00876E4D" w:rsidRDefault="009A3A86" w:rsidP="009A3A86">
      <w:pPr>
        <w:pStyle w:val="NoSpacing"/>
        <w:jc w:val="center"/>
        <w:rPr>
          <w:rFonts w:ascii="Times New Roman" w:hAnsi="Times New Roman" w:cs="Times New Roman"/>
          <w:b/>
          <w:bCs/>
        </w:rPr>
      </w:pPr>
      <w:r w:rsidRPr="00876E4D">
        <w:rPr>
          <w:rFonts w:ascii="Times New Roman" w:hAnsi="Times New Roman" w:cs="Times New Roman"/>
          <w:b/>
          <w:bCs/>
          <w:noProof/>
          <w:lang w:bidi="bn-BD"/>
        </w:rPr>
        <w:lastRenderedPageBreak/>
        <w:drawing>
          <wp:inline distT="0" distB="0" distL="0" distR="0" wp14:anchorId="258D4605" wp14:editId="1E5FCBAC">
            <wp:extent cx="5882640" cy="2948940"/>
            <wp:effectExtent l="0" t="0" r="3810" b="3810"/>
            <wp:docPr id="657162978" name="Chart 1">
              <a:extLst xmlns:a="http://schemas.openxmlformats.org/drawingml/2006/main">
                <a:ext uri="{FF2B5EF4-FFF2-40B4-BE49-F238E27FC236}">
                  <a16:creationId xmlns:a16="http://schemas.microsoft.com/office/drawing/2014/main" id="{1552B0E8-4C82-DE3C-C4C3-E8F4ABDA8A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13F2B20" w14:textId="5C1553C8" w:rsidR="00CB4217" w:rsidRPr="00876E4D" w:rsidRDefault="00CB4217" w:rsidP="006C71F5">
      <w:pPr>
        <w:pStyle w:val="NoSpacing"/>
        <w:jc w:val="center"/>
        <w:rPr>
          <w:rFonts w:ascii="Times New Roman" w:hAnsi="Times New Roman" w:cs="Times New Roman"/>
        </w:rPr>
      </w:pPr>
      <w:r w:rsidRPr="00876E4D">
        <w:rPr>
          <w:rFonts w:ascii="Times New Roman" w:hAnsi="Times New Roman" w:cs="Times New Roman"/>
        </w:rPr>
        <w:t>Figure</w:t>
      </w:r>
      <w:r w:rsidR="005F49D6" w:rsidRPr="00876E4D">
        <w:rPr>
          <w:rFonts w:ascii="Times New Roman" w:hAnsi="Times New Roman" w:cs="Times New Roman"/>
        </w:rPr>
        <w:t>15</w:t>
      </w:r>
      <w:r w:rsidRPr="00876E4D">
        <w:rPr>
          <w:rFonts w:ascii="Times New Roman" w:hAnsi="Times New Roman" w:cs="Times New Roman"/>
        </w:rPr>
        <w:t>:</w:t>
      </w:r>
      <w:r w:rsidR="005F49D6" w:rsidRPr="00876E4D">
        <w:rPr>
          <w:rFonts w:ascii="Times New Roman" w:hAnsi="Times New Roman" w:cs="Times New Roman"/>
        </w:rPr>
        <w:t xml:space="preserve"> Farming </w:t>
      </w:r>
      <w:r w:rsidR="008A5513" w:rsidRPr="00876E4D">
        <w:rPr>
          <w:rFonts w:ascii="Times New Roman" w:hAnsi="Times New Roman" w:cs="Times New Roman"/>
        </w:rPr>
        <w:t>experience among the respondents</w:t>
      </w:r>
    </w:p>
    <w:p w14:paraId="0EC33A63" w14:textId="77777777" w:rsidR="00876E4D" w:rsidRPr="00876E4D" w:rsidRDefault="00876E4D" w:rsidP="004C542B">
      <w:pPr>
        <w:pStyle w:val="NoSpacing"/>
        <w:jc w:val="both"/>
        <w:rPr>
          <w:rFonts w:ascii="Times New Roman" w:hAnsi="Times New Roman" w:cs="Times New Roman"/>
          <w:b/>
          <w:bCs/>
        </w:rPr>
      </w:pPr>
    </w:p>
    <w:p w14:paraId="24FB03B2" w14:textId="410242A3" w:rsidR="00DF593E" w:rsidRPr="00876E4D" w:rsidRDefault="00DF593E" w:rsidP="004C542B">
      <w:pPr>
        <w:pStyle w:val="NoSpacing"/>
        <w:jc w:val="both"/>
        <w:rPr>
          <w:rFonts w:ascii="Times New Roman" w:hAnsi="Times New Roman" w:cs="Times New Roman"/>
          <w:b/>
          <w:bCs/>
        </w:rPr>
      </w:pPr>
      <w:r w:rsidRPr="00876E4D">
        <w:rPr>
          <w:rFonts w:ascii="Times New Roman" w:hAnsi="Times New Roman" w:cs="Times New Roman"/>
          <w:b/>
          <w:bCs/>
        </w:rPr>
        <w:t xml:space="preserve">3.4. Challenges faced by farmers </w:t>
      </w:r>
    </w:p>
    <w:p w14:paraId="6A1E1FAB" w14:textId="77777777" w:rsidR="00DF593E" w:rsidRPr="00876E4D" w:rsidRDefault="00DF593E" w:rsidP="004C542B">
      <w:pPr>
        <w:pStyle w:val="NoSpacing"/>
        <w:jc w:val="both"/>
        <w:rPr>
          <w:rFonts w:ascii="Times New Roman" w:hAnsi="Times New Roman" w:cs="Times New Roman"/>
          <w:b/>
          <w:bCs/>
        </w:rPr>
      </w:pPr>
    </w:p>
    <w:p w14:paraId="1579C27F" w14:textId="77777777" w:rsidR="00D55070" w:rsidRPr="00876E4D" w:rsidRDefault="00F74AC8" w:rsidP="00D55070">
      <w:pPr>
        <w:pStyle w:val="NoSpacing"/>
        <w:jc w:val="both"/>
        <w:rPr>
          <w:rFonts w:ascii="Times New Roman" w:hAnsi="Times New Roman" w:cs="Times New Roman"/>
        </w:rPr>
      </w:pPr>
      <w:r w:rsidRPr="00876E4D">
        <w:rPr>
          <w:rFonts w:ascii="Times New Roman" w:hAnsi="Times New Roman" w:cs="Times New Roman"/>
        </w:rPr>
        <w:t xml:space="preserve">Farmers from both sectors (agriculture and aquaculture) in </w:t>
      </w:r>
      <w:r w:rsidR="00C74B61" w:rsidRPr="00876E4D">
        <w:rPr>
          <w:rFonts w:ascii="Times New Roman" w:hAnsi="Times New Roman" w:cs="Times New Roman"/>
        </w:rPr>
        <w:t xml:space="preserve">our survey area </w:t>
      </w:r>
      <w:r w:rsidRPr="00876E4D">
        <w:rPr>
          <w:rFonts w:ascii="Times New Roman" w:hAnsi="Times New Roman" w:cs="Times New Roman"/>
        </w:rPr>
        <w:t xml:space="preserve">faced a complex set of challenges which include climate change, market price instability, lack of modern technology and insufficient infrastructure. These restrictions were compounded because of </w:t>
      </w:r>
      <w:r w:rsidR="00C74B61" w:rsidRPr="00876E4D">
        <w:rPr>
          <w:rFonts w:ascii="Times New Roman" w:hAnsi="Times New Roman" w:cs="Times New Roman"/>
        </w:rPr>
        <w:t xml:space="preserve">the </w:t>
      </w:r>
      <w:r w:rsidRPr="00876E4D">
        <w:rPr>
          <w:rFonts w:ascii="Times New Roman" w:hAnsi="Times New Roman" w:cs="Times New Roman"/>
        </w:rPr>
        <w:t>significant gap in technical knowledge. As our study 28% of respondents didn’t receiving any training program which limited the adoption of newer practices</w:t>
      </w:r>
      <w:r w:rsidR="00C74B61" w:rsidRPr="00876E4D">
        <w:rPr>
          <w:rFonts w:ascii="Times New Roman" w:hAnsi="Times New Roman" w:cs="Times New Roman"/>
        </w:rPr>
        <w:t xml:space="preserve">. </w:t>
      </w:r>
      <w:r w:rsidR="00D55070" w:rsidRPr="00876E4D">
        <w:rPr>
          <w:rFonts w:ascii="Times New Roman" w:hAnsi="Times New Roman" w:cs="Times New Roman"/>
        </w:rPr>
        <w:t>A key issue is the high price of inputs due to the use of fertilizers, seeds, pesticides and irrigation that are too expensive with a lower profit margin. Extreme crop production uncertainty comes in the form of seasonal climate variability including erratic rainfall, drought as well as Flooding which also adds to overall uncertainty. Further, the fish farmers face problems related to market like fluctuations in prices, non-availability of adequate storage and transport facilities and exploitation by middlemen which leads to narrowing down their profit margin. Sustainable fish farming in the region is also very much challenged by environmental issues such as water pollution and unintended aquaculture practices leading to waterlogging.</w:t>
      </w:r>
    </w:p>
    <w:p w14:paraId="4E68E7FA" w14:textId="77777777" w:rsidR="00D55070" w:rsidRPr="00876E4D" w:rsidRDefault="00D55070" w:rsidP="004C542B">
      <w:pPr>
        <w:pStyle w:val="NoSpacing"/>
        <w:jc w:val="both"/>
        <w:rPr>
          <w:rFonts w:ascii="Times New Roman" w:hAnsi="Times New Roman" w:cs="Times New Roman"/>
          <w:b/>
          <w:bCs/>
        </w:rPr>
      </w:pPr>
    </w:p>
    <w:p w14:paraId="083208FE" w14:textId="638708C9" w:rsidR="00866735" w:rsidRPr="00876E4D" w:rsidRDefault="00866735" w:rsidP="004C542B">
      <w:pPr>
        <w:pStyle w:val="NoSpacing"/>
        <w:jc w:val="both"/>
        <w:rPr>
          <w:rFonts w:ascii="Times New Roman" w:hAnsi="Times New Roman" w:cs="Times New Roman"/>
        </w:rPr>
      </w:pPr>
      <w:r w:rsidRPr="00876E4D">
        <w:rPr>
          <w:rFonts w:ascii="Times New Roman" w:hAnsi="Times New Roman" w:cs="Times New Roman"/>
          <w:b/>
          <w:bCs/>
        </w:rPr>
        <w:t>4. Discussion</w:t>
      </w:r>
      <w:r w:rsidRPr="00876E4D">
        <w:rPr>
          <w:rFonts w:ascii="Times New Roman" w:hAnsi="Times New Roman" w:cs="Times New Roman"/>
        </w:rPr>
        <w:t xml:space="preserve"> </w:t>
      </w:r>
    </w:p>
    <w:p w14:paraId="7F6574EB" w14:textId="77777777" w:rsidR="007F004C" w:rsidRPr="00876E4D" w:rsidRDefault="007F004C" w:rsidP="004C542B">
      <w:pPr>
        <w:pStyle w:val="NoSpacing"/>
        <w:jc w:val="both"/>
        <w:rPr>
          <w:rFonts w:ascii="Times New Roman" w:hAnsi="Times New Roman" w:cs="Times New Roman"/>
        </w:rPr>
      </w:pPr>
    </w:p>
    <w:p w14:paraId="36C51C8B" w14:textId="77777777" w:rsidR="00D55070" w:rsidRPr="00876E4D" w:rsidRDefault="00D55070" w:rsidP="00D55070">
      <w:pPr>
        <w:pStyle w:val="NoSpacing"/>
        <w:jc w:val="both"/>
        <w:rPr>
          <w:rFonts w:ascii="Times New Roman" w:hAnsi="Times New Roman" w:cs="Times New Roman"/>
        </w:rPr>
      </w:pPr>
      <w:r w:rsidRPr="00876E4D">
        <w:rPr>
          <w:rFonts w:ascii="Times New Roman" w:hAnsi="Times New Roman" w:cs="Times New Roman"/>
        </w:rPr>
        <w:t xml:space="preserve">The results represent a summary of socio-economic characteristics and livelihood diversification for agricultural and aquaculture households in Mymensingh Sadar, Bangladesh. </w:t>
      </w:r>
      <w:r w:rsidR="00BE64C9" w:rsidRPr="00876E4D">
        <w:rPr>
          <w:rFonts w:ascii="Times New Roman" w:hAnsi="Times New Roman" w:cs="Times New Roman"/>
        </w:rPr>
        <w:t xml:space="preserve">The majority of respondents were males (95%) involved in farming which highlights palpable inequality between men and women in rural livelihoods as it appears to be strongly rooted biased socio-cultural values that continues to suppress the voice of women and active participation in productive work. </w:t>
      </w:r>
      <w:r w:rsidRPr="00876E4D">
        <w:rPr>
          <w:rFonts w:ascii="Times New Roman" w:hAnsi="Times New Roman" w:cs="Times New Roman"/>
        </w:rPr>
        <w:t xml:space="preserve">This finding agrees with previous studies which also found men to be more dominant in agriculture and aquaculture sectors of Bangladesh (Al Mahadi </w:t>
      </w:r>
      <w:r w:rsidRPr="00876E4D">
        <w:rPr>
          <w:rFonts w:ascii="Times New Roman" w:hAnsi="Times New Roman" w:cs="Times New Roman"/>
          <w:i/>
          <w:iCs/>
        </w:rPr>
        <w:t>et al</w:t>
      </w:r>
      <w:r w:rsidRPr="00876E4D">
        <w:rPr>
          <w:rFonts w:ascii="Times New Roman" w:hAnsi="Times New Roman" w:cs="Times New Roman"/>
        </w:rPr>
        <w:t xml:space="preserve">., 2022; Zohra </w:t>
      </w:r>
      <w:r w:rsidRPr="00876E4D">
        <w:rPr>
          <w:rFonts w:ascii="Times New Roman" w:hAnsi="Times New Roman" w:cs="Times New Roman"/>
          <w:i/>
          <w:iCs/>
        </w:rPr>
        <w:t>et al</w:t>
      </w:r>
      <w:r w:rsidRPr="00876E4D">
        <w:rPr>
          <w:rFonts w:ascii="Times New Roman" w:hAnsi="Times New Roman" w:cs="Times New Roman"/>
        </w:rPr>
        <w:t>., 2022).</w:t>
      </w:r>
    </w:p>
    <w:p w14:paraId="42D68495" w14:textId="42E4C98D" w:rsidR="0062256B" w:rsidRPr="00876E4D" w:rsidRDefault="0062256B" w:rsidP="00BE64C9">
      <w:pPr>
        <w:pStyle w:val="NoSpacing"/>
        <w:jc w:val="both"/>
        <w:rPr>
          <w:rFonts w:ascii="Times New Roman" w:hAnsi="Times New Roman" w:cs="Times New Roman"/>
        </w:rPr>
      </w:pPr>
    </w:p>
    <w:p w14:paraId="0D3DC214" w14:textId="38EDA4C9" w:rsidR="00D55070" w:rsidRPr="00876E4D" w:rsidRDefault="00D55070" w:rsidP="00D55070">
      <w:pPr>
        <w:pStyle w:val="NoSpacing"/>
        <w:jc w:val="both"/>
        <w:rPr>
          <w:rFonts w:ascii="Times New Roman" w:hAnsi="Times New Roman" w:cs="Times New Roman"/>
        </w:rPr>
      </w:pPr>
      <w:r w:rsidRPr="00876E4D">
        <w:rPr>
          <w:rFonts w:ascii="Times New Roman" w:hAnsi="Times New Roman" w:cs="Times New Roman"/>
        </w:rPr>
        <w:t xml:space="preserve">Smooth the age distribution of major farming manpower switches out millennial farmers (31–50 years old) and experienced adults to future workers; youth is a small percentage of the latter. Older </w:t>
      </w:r>
      <w:r w:rsidRPr="00876E4D">
        <w:rPr>
          <w:rFonts w:ascii="Times New Roman" w:hAnsi="Times New Roman" w:cs="Times New Roman"/>
        </w:rPr>
        <w:lastRenderedPageBreak/>
        <w:t>age structures are less likely to adopt new agricultural technologies, as younger farmers often take the lead in adopting innovation compared with mid-age to older farmers for whom a focus on risk-minimizing measures and income stabilization may be simultaneously prioritized</w:t>
      </w:r>
      <w:r w:rsidR="00155E05" w:rsidRPr="00876E4D">
        <w:rPr>
          <w:rFonts w:ascii="Times New Roman" w:hAnsi="Times New Roman" w:cs="Times New Roman"/>
        </w:rPr>
        <w:t xml:space="preserve"> (Rogers 2003)</w:t>
      </w:r>
      <w:r w:rsidRPr="00876E4D">
        <w:rPr>
          <w:rFonts w:ascii="Times New Roman" w:hAnsi="Times New Roman" w:cs="Times New Roman"/>
        </w:rPr>
        <w:t>.</w:t>
      </w:r>
      <w:r w:rsidR="00155E05" w:rsidRPr="00876E4D">
        <w:rPr>
          <w:rFonts w:ascii="Times New Roman" w:hAnsi="Times New Roman" w:cs="Times New Roman"/>
        </w:rPr>
        <w:t xml:space="preserve"> </w:t>
      </w:r>
      <w:r w:rsidRPr="00876E4D">
        <w:rPr>
          <w:rFonts w:ascii="Times New Roman" w:hAnsi="Times New Roman" w:cs="Times New Roman"/>
        </w:rPr>
        <w:t xml:space="preserve">This finding is </w:t>
      </w:r>
      <w:r w:rsidR="00155E05" w:rsidRPr="00876E4D">
        <w:rPr>
          <w:rFonts w:ascii="Times New Roman" w:hAnsi="Times New Roman" w:cs="Times New Roman"/>
        </w:rPr>
        <w:t xml:space="preserve">also </w:t>
      </w:r>
      <w:r w:rsidRPr="00876E4D">
        <w:rPr>
          <w:rFonts w:ascii="Times New Roman" w:hAnsi="Times New Roman" w:cs="Times New Roman"/>
        </w:rPr>
        <w:t xml:space="preserve">consistent with earlier research conducted by Jahan </w:t>
      </w:r>
      <w:r w:rsidRPr="00876E4D">
        <w:rPr>
          <w:rFonts w:ascii="Times New Roman" w:hAnsi="Times New Roman" w:cs="Times New Roman"/>
          <w:i/>
          <w:iCs/>
        </w:rPr>
        <w:t>et al</w:t>
      </w:r>
      <w:r w:rsidRPr="00876E4D">
        <w:rPr>
          <w:rFonts w:ascii="Times New Roman" w:hAnsi="Times New Roman" w:cs="Times New Roman"/>
        </w:rPr>
        <w:t>. (2015).</w:t>
      </w:r>
    </w:p>
    <w:p w14:paraId="0DAD90A4" w14:textId="77777777" w:rsidR="00866735" w:rsidRPr="00876E4D" w:rsidRDefault="00866735" w:rsidP="00866735">
      <w:pPr>
        <w:pStyle w:val="NoSpacing"/>
        <w:jc w:val="both"/>
        <w:rPr>
          <w:rFonts w:ascii="Times New Roman" w:hAnsi="Times New Roman" w:cs="Times New Roman"/>
        </w:rPr>
      </w:pPr>
    </w:p>
    <w:p w14:paraId="1C532195" w14:textId="0E507DDB" w:rsidR="00BE64C9" w:rsidRPr="00876E4D" w:rsidRDefault="00BE64C9" w:rsidP="00BE64C9">
      <w:pPr>
        <w:pStyle w:val="NoSpacing"/>
        <w:jc w:val="both"/>
        <w:rPr>
          <w:rFonts w:ascii="Times New Roman" w:hAnsi="Times New Roman" w:cs="Times New Roman"/>
        </w:rPr>
      </w:pPr>
      <w:r w:rsidRPr="00876E4D">
        <w:rPr>
          <w:rFonts w:ascii="Times New Roman" w:hAnsi="Times New Roman" w:cs="Times New Roman"/>
        </w:rPr>
        <w:t xml:space="preserve">Household size and composition were found to impact labor availability for agricultural and aquaculture operations. A family size of 4 to 10 members was primarily recorded, indicating family labor is adequate for diversified production systems. The small share of households with more than one source of income (52%) suggests limited diversification of livelihood sources, which can put households at higher risk to income shocks. On the other side, farmers involved in both agriculture and aquaculture attained relatively higher income levels, highlighting the potential economic advantages of pursuing multiple livelihood strategies. This further corroborates that diversification brings forth increased resilience of households and income security by rural families (Belton &amp; Azad, 2012; Jahan </w:t>
      </w:r>
      <w:r w:rsidRPr="00876E4D">
        <w:rPr>
          <w:rFonts w:ascii="Times New Roman" w:hAnsi="Times New Roman" w:cs="Times New Roman"/>
          <w:i/>
          <w:iCs/>
        </w:rPr>
        <w:t>et al</w:t>
      </w:r>
      <w:r w:rsidRPr="00876E4D">
        <w:rPr>
          <w:rFonts w:ascii="Times New Roman" w:hAnsi="Times New Roman" w:cs="Times New Roman"/>
        </w:rPr>
        <w:t>., 2015).</w:t>
      </w:r>
    </w:p>
    <w:p w14:paraId="6365DC83" w14:textId="77777777" w:rsidR="00866735" w:rsidRPr="00876E4D" w:rsidRDefault="00866735" w:rsidP="00866735">
      <w:pPr>
        <w:pStyle w:val="NoSpacing"/>
        <w:jc w:val="both"/>
        <w:rPr>
          <w:rFonts w:ascii="Times New Roman" w:hAnsi="Times New Roman" w:cs="Times New Roman"/>
        </w:rPr>
      </w:pPr>
    </w:p>
    <w:p w14:paraId="73D498D8" w14:textId="278A10F6" w:rsidR="009B7565" w:rsidRPr="00876E4D" w:rsidRDefault="00265575" w:rsidP="009B7565">
      <w:pPr>
        <w:pStyle w:val="NoSpacing"/>
        <w:jc w:val="both"/>
        <w:rPr>
          <w:rFonts w:ascii="Times New Roman" w:hAnsi="Times New Roman" w:cs="Times New Roman"/>
        </w:rPr>
      </w:pPr>
      <w:r w:rsidRPr="00876E4D">
        <w:rPr>
          <w:rFonts w:ascii="Times New Roman" w:hAnsi="Times New Roman" w:cs="Times New Roman"/>
        </w:rPr>
        <w:t xml:space="preserve">The ownership and levels of tenure over land demonstrated marked variation between sectors. Farming was done predominantly on owned land, whereas aquaculture largely relied on leased ponds. That gap may reflect higher up start costing for growing on land home. </w:t>
      </w:r>
      <w:r w:rsidR="009B7565" w:rsidRPr="00876E4D">
        <w:rPr>
          <w:rFonts w:ascii="Times New Roman" w:hAnsi="Times New Roman" w:cs="Times New Roman"/>
        </w:rPr>
        <w:t xml:space="preserve">Dependence on leased plots of aquaculture open water could also subject households to insecure tenure and collusive changes in production costs which is similar to the studies of northern Bangladesh (Palash &amp; Bauer, 2016; Ali &amp; Haque, 2011). The prevalence of people living in semi-pucca (49%) and pucca (5%) houses and only a limited number of very standard homes further strengthens the socioeconomic stratification which indicates that moderate standards are maintained across the population. </w:t>
      </w:r>
      <w:r w:rsidR="00155E05" w:rsidRPr="00876E4D">
        <w:rPr>
          <w:rFonts w:ascii="Times New Roman" w:hAnsi="Times New Roman" w:cs="Times New Roman"/>
        </w:rPr>
        <w:t xml:space="preserve">This result is aligned with the previous studies (Islam </w:t>
      </w:r>
      <w:r w:rsidR="00155E05" w:rsidRPr="00876E4D">
        <w:rPr>
          <w:rFonts w:ascii="Times New Roman" w:hAnsi="Times New Roman" w:cs="Times New Roman"/>
          <w:i/>
          <w:iCs/>
        </w:rPr>
        <w:t>et al</w:t>
      </w:r>
      <w:r w:rsidR="00155E05" w:rsidRPr="00876E4D">
        <w:rPr>
          <w:rFonts w:ascii="Times New Roman" w:hAnsi="Times New Roman" w:cs="Times New Roman"/>
        </w:rPr>
        <w:t xml:space="preserve">., 1981; Mahmood </w:t>
      </w:r>
      <w:r w:rsidR="00155E05" w:rsidRPr="00876E4D">
        <w:rPr>
          <w:rFonts w:ascii="Times New Roman" w:hAnsi="Times New Roman" w:cs="Times New Roman"/>
          <w:i/>
          <w:iCs/>
        </w:rPr>
        <w:t>et al</w:t>
      </w:r>
      <w:r w:rsidR="00155E05" w:rsidRPr="00876E4D">
        <w:rPr>
          <w:rFonts w:ascii="Times New Roman" w:hAnsi="Times New Roman" w:cs="Times New Roman"/>
        </w:rPr>
        <w:t xml:space="preserve">., 2019; Rahman &amp; Manprasert, 2006). </w:t>
      </w:r>
    </w:p>
    <w:p w14:paraId="7405C106" w14:textId="77777777" w:rsidR="009B7565" w:rsidRPr="00876E4D" w:rsidRDefault="009B7565" w:rsidP="009B7565">
      <w:pPr>
        <w:pStyle w:val="NoSpacing"/>
        <w:jc w:val="both"/>
        <w:rPr>
          <w:rFonts w:ascii="Times New Roman" w:hAnsi="Times New Roman" w:cs="Times New Roman"/>
        </w:rPr>
      </w:pPr>
    </w:p>
    <w:p w14:paraId="257A0A16" w14:textId="371AA4C3" w:rsidR="00FA0EA4" w:rsidRPr="00876E4D" w:rsidRDefault="009B7565" w:rsidP="00FA0EA4">
      <w:pPr>
        <w:pStyle w:val="NoSpacing"/>
        <w:jc w:val="both"/>
        <w:rPr>
          <w:rFonts w:ascii="Times New Roman" w:hAnsi="Times New Roman" w:cs="Times New Roman"/>
        </w:rPr>
      </w:pPr>
      <w:r w:rsidRPr="00876E4D">
        <w:rPr>
          <w:rFonts w:ascii="Times New Roman" w:hAnsi="Times New Roman" w:cs="Times New Roman"/>
        </w:rPr>
        <w:t xml:space="preserve">The major determinants seen with farming productivity and diversification included training exposure and technology adoption. While 44% of respondents received agricultural-related training, only 18% received fisheries-related training and 28% did not have formal trainings. This indicates that targeted capacity-building interventions are highly required for knowledge transfer and adoption of modern practices in both sectors </w:t>
      </w:r>
      <w:r w:rsidR="006C60BB" w:rsidRPr="00876E4D">
        <w:rPr>
          <w:rFonts w:ascii="Times New Roman" w:hAnsi="Times New Roman" w:cs="Times New Roman"/>
        </w:rPr>
        <w:t xml:space="preserve">that aligns with previous studies </w:t>
      </w:r>
      <w:r w:rsidRPr="00876E4D">
        <w:rPr>
          <w:rFonts w:ascii="Times New Roman" w:hAnsi="Times New Roman" w:cs="Times New Roman"/>
        </w:rPr>
        <w:t xml:space="preserve">(Islam </w:t>
      </w:r>
      <w:r w:rsidRPr="00876E4D">
        <w:rPr>
          <w:rFonts w:ascii="Times New Roman" w:hAnsi="Times New Roman" w:cs="Times New Roman"/>
          <w:i/>
          <w:iCs/>
        </w:rPr>
        <w:t>et al</w:t>
      </w:r>
      <w:r w:rsidRPr="00876E4D">
        <w:rPr>
          <w:rFonts w:ascii="Times New Roman" w:hAnsi="Times New Roman" w:cs="Times New Roman"/>
        </w:rPr>
        <w:t xml:space="preserve">., 2024; Al Mahadi </w:t>
      </w:r>
      <w:r w:rsidRPr="00876E4D">
        <w:rPr>
          <w:rFonts w:ascii="Times New Roman" w:hAnsi="Times New Roman" w:cs="Times New Roman"/>
          <w:i/>
          <w:iCs/>
        </w:rPr>
        <w:t>et al</w:t>
      </w:r>
      <w:r w:rsidRPr="00876E4D">
        <w:rPr>
          <w:rFonts w:ascii="Times New Roman" w:hAnsi="Times New Roman" w:cs="Times New Roman"/>
        </w:rPr>
        <w:t>., 2022).</w:t>
      </w:r>
      <w:r w:rsidR="00FA0EA4" w:rsidRPr="00876E4D">
        <w:rPr>
          <w:rFonts w:ascii="Times New Roman" w:hAnsi="Times New Roman" w:cs="Times New Roman"/>
        </w:rPr>
        <w:t xml:space="preserve"> Training and enabling socio-economic conditions enhance household income and increase farmers’ livelihood assets potential. And thus, the relationship between agriculture and aquaculture adds on the socioeconomic and supportive conditions that determine farmers’ technology adoption and livelihoods diversification (Al Mahadi </w:t>
      </w:r>
      <w:r w:rsidR="00FA0EA4" w:rsidRPr="00876E4D">
        <w:rPr>
          <w:rFonts w:ascii="Times New Roman" w:hAnsi="Times New Roman" w:cs="Times New Roman"/>
          <w:i/>
          <w:iCs/>
        </w:rPr>
        <w:t>et al</w:t>
      </w:r>
      <w:r w:rsidR="00FA0EA4" w:rsidRPr="00876E4D">
        <w:rPr>
          <w:rFonts w:ascii="Times New Roman" w:hAnsi="Times New Roman" w:cs="Times New Roman"/>
        </w:rPr>
        <w:t xml:space="preserve">., 2022; Islam </w:t>
      </w:r>
      <w:r w:rsidR="00FA0EA4" w:rsidRPr="00876E4D">
        <w:rPr>
          <w:rFonts w:ascii="Times New Roman" w:hAnsi="Times New Roman" w:cs="Times New Roman"/>
          <w:i/>
          <w:iCs/>
        </w:rPr>
        <w:t>et al</w:t>
      </w:r>
      <w:r w:rsidR="00FA0EA4" w:rsidRPr="00876E4D">
        <w:rPr>
          <w:rFonts w:ascii="Times New Roman" w:hAnsi="Times New Roman" w:cs="Times New Roman"/>
        </w:rPr>
        <w:t xml:space="preserve">., 2024; Zohra </w:t>
      </w:r>
      <w:r w:rsidR="00FA0EA4" w:rsidRPr="00876E4D">
        <w:rPr>
          <w:rFonts w:ascii="Times New Roman" w:hAnsi="Times New Roman" w:cs="Times New Roman"/>
          <w:i/>
          <w:iCs/>
        </w:rPr>
        <w:t>et al</w:t>
      </w:r>
      <w:r w:rsidR="00FA0EA4" w:rsidRPr="00876E4D">
        <w:rPr>
          <w:rFonts w:ascii="Times New Roman" w:hAnsi="Times New Roman" w:cs="Times New Roman"/>
        </w:rPr>
        <w:t>., 2022).</w:t>
      </w:r>
    </w:p>
    <w:p w14:paraId="3167A45D" w14:textId="77777777" w:rsidR="0062256B" w:rsidRPr="00876E4D" w:rsidRDefault="0062256B" w:rsidP="00FA0EA4">
      <w:pPr>
        <w:pStyle w:val="NoSpacing"/>
        <w:jc w:val="both"/>
        <w:rPr>
          <w:rFonts w:ascii="Times New Roman" w:hAnsi="Times New Roman" w:cs="Times New Roman"/>
        </w:rPr>
      </w:pPr>
    </w:p>
    <w:p w14:paraId="5A290C1D" w14:textId="5BD47D39" w:rsidR="009B7565" w:rsidRPr="00876E4D" w:rsidRDefault="009B7565" w:rsidP="009B7565">
      <w:pPr>
        <w:pStyle w:val="NoSpacing"/>
        <w:jc w:val="both"/>
        <w:rPr>
          <w:rFonts w:ascii="Times New Roman" w:hAnsi="Times New Roman" w:cs="Times New Roman"/>
        </w:rPr>
      </w:pPr>
      <w:r w:rsidRPr="00876E4D">
        <w:rPr>
          <w:rFonts w:ascii="Times New Roman" w:hAnsi="Times New Roman" w:cs="Times New Roman"/>
        </w:rPr>
        <w:t>Most fisheries practitioners were younger in experience (&lt;10 years), whilst agriculture practitioners had longer farmed experience, indicating differences in expertise and risk perceptions across sectors</w:t>
      </w:r>
      <w:r w:rsidR="006C60BB" w:rsidRPr="00876E4D">
        <w:rPr>
          <w:rFonts w:ascii="Times New Roman" w:hAnsi="Times New Roman" w:cs="Times New Roman"/>
        </w:rPr>
        <w:t xml:space="preserve"> which also similar with previous studies (Rogers, 2003; Marra </w:t>
      </w:r>
      <w:r w:rsidR="006C60BB" w:rsidRPr="00876E4D">
        <w:rPr>
          <w:rFonts w:ascii="Times New Roman" w:hAnsi="Times New Roman" w:cs="Times New Roman"/>
          <w:i/>
          <w:iCs/>
        </w:rPr>
        <w:t>et al</w:t>
      </w:r>
      <w:r w:rsidR="006C60BB" w:rsidRPr="00876E4D">
        <w:rPr>
          <w:rFonts w:ascii="Times New Roman" w:hAnsi="Times New Roman" w:cs="Times New Roman"/>
        </w:rPr>
        <w:t>., 2003)</w:t>
      </w:r>
      <w:r w:rsidRPr="00876E4D">
        <w:rPr>
          <w:rFonts w:ascii="Times New Roman" w:hAnsi="Times New Roman" w:cs="Times New Roman"/>
        </w:rPr>
        <w:t>. This disconnect could affect decisions about resource allocation, species choice and methods of production.</w:t>
      </w:r>
      <w:r w:rsidR="00932C63" w:rsidRPr="00876E4D">
        <w:rPr>
          <w:rFonts w:ascii="Times New Roman" w:hAnsi="Times New Roman" w:cs="Times New Roman"/>
        </w:rPr>
        <w:t xml:space="preserve"> </w:t>
      </w:r>
      <w:r w:rsidRPr="00876E4D">
        <w:rPr>
          <w:rFonts w:ascii="Times New Roman" w:hAnsi="Times New Roman" w:cs="Times New Roman"/>
        </w:rPr>
        <w:t xml:space="preserve">The study also shows that households involved with both agriculture and aquaculture used these complementary activities to achieve higher incomes while reducing production risks. Livelihood diversification is thus a strategic adaptation to environmental, economic, and labor constraints that enable households to optimize transfers of resources among production sector activities to sustain economic stability. More generally, however, the results indicate that policies </w:t>
      </w:r>
      <w:r w:rsidRPr="00876E4D">
        <w:rPr>
          <w:rFonts w:ascii="Times New Roman" w:hAnsi="Times New Roman" w:cs="Times New Roman"/>
        </w:rPr>
        <w:lastRenderedPageBreak/>
        <w:t xml:space="preserve">and programs that promote foresight integrated farming technologies about how to increase access to equal training and secure resources might improve productivity, income, and resilience of people living in rural households within Mymensingh Sadar (Heal </w:t>
      </w:r>
      <w:r w:rsidRPr="00876E4D">
        <w:rPr>
          <w:rFonts w:ascii="Times New Roman" w:hAnsi="Times New Roman" w:cs="Times New Roman"/>
          <w:i/>
          <w:iCs/>
        </w:rPr>
        <w:t>et al</w:t>
      </w:r>
      <w:r w:rsidRPr="00876E4D">
        <w:rPr>
          <w:rFonts w:ascii="Times New Roman" w:hAnsi="Times New Roman" w:cs="Times New Roman"/>
        </w:rPr>
        <w:t xml:space="preserve">., 2022; Faruk </w:t>
      </w:r>
      <w:r w:rsidRPr="00876E4D">
        <w:rPr>
          <w:rFonts w:ascii="Times New Roman" w:hAnsi="Times New Roman" w:cs="Times New Roman"/>
          <w:i/>
          <w:iCs/>
        </w:rPr>
        <w:t>et al</w:t>
      </w:r>
      <w:r w:rsidRPr="00876E4D">
        <w:rPr>
          <w:rFonts w:ascii="Times New Roman" w:hAnsi="Times New Roman" w:cs="Times New Roman"/>
        </w:rPr>
        <w:t>., 2020).</w:t>
      </w:r>
    </w:p>
    <w:p w14:paraId="59CB0DCF" w14:textId="77777777" w:rsidR="00932C63" w:rsidRPr="00876E4D" w:rsidRDefault="00932C63" w:rsidP="004C542B">
      <w:pPr>
        <w:pStyle w:val="NoSpacing"/>
        <w:jc w:val="both"/>
        <w:rPr>
          <w:rFonts w:ascii="Times New Roman" w:hAnsi="Times New Roman" w:cs="Times New Roman"/>
        </w:rPr>
      </w:pPr>
    </w:p>
    <w:p w14:paraId="48BA8EB5" w14:textId="40CB2D1C" w:rsidR="007F004C" w:rsidRPr="00876E4D" w:rsidRDefault="00866735" w:rsidP="004C542B">
      <w:pPr>
        <w:pStyle w:val="NoSpacing"/>
        <w:jc w:val="both"/>
        <w:rPr>
          <w:rFonts w:ascii="Times New Roman" w:hAnsi="Times New Roman" w:cs="Times New Roman"/>
          <w:b/>
          <w:bCs/>
        </w:rPr>
      </w:pPr>
      <w:r w:rsidRPr="00876E4D">
        <w:rPr>
          <w:rFonts w:ascii="Times New Roman" w:hAnsi="Times New Roman" w:cs="Times New Roman"/>
          <w:b/>
          <w:bCs/>
        </w:rPr>
        <w:t xml:space="preserve">5. Conclusion </w:t>
      </w:r>
    </w:p>
    <w:p w14:paraId="313331C5" w14:textId="77777777" w:rsidR="007F004C" w:rsidRPr="00876E4D" w:rsidRDefault="007F004C" w:rsidP="004C542B">
      <w:pPr>
        <w:pStyle w:val="NoSpacing"/>
        <w:jc w:val="both"/>
        <w:rPr>
          <w:rFonts w:ascii="Times New Roman" w:hAnsi="Times New Roman" w:cs="Times New Roman"/>
        </w:rPr>
      </w:pPr>
    </w:p>
    <w:p w14:paraId="2885C19B" w14:textId="739DDD0E" w:rsidR="004603F5" w:rsidRPr="00876E4D" w:rsidRDefault="004603F5" w:rsidP="004603F5">
      <w:pPr>
        <w:pStyle w:val="NoSpacing"/>
        <w:jc w:val="both"/>
        <w:rPr>
          <w:rFonts w:ascii="Times New Roman" w:hAnsi="Times New Roman" w:cs="Times New Roman"/>
        </w:rPr>
      </w:pPr>
      <w:r w:rsidRPr="00876E4D">
        <w:rPr>
          <w:rFonts w:ascii="Times New Roman" w:hAnsi="Times New Roman" w:cs="Times New Roman"/>
        </w:rPr>
        <w:t>Livelihood diversification through agriculture and aquaculture integration can improve the household income and reduce economic vulnerability significantly in Mymensingh Sadar, Bangladesh. It is farmers who operate within both sectors who have relatively better positions, an indication of the economic benefits of diversified production systems. On the other hand, restricted access to training and using leased resources along with infrastructural limitations hampers productivity and adopting modern practices. These results indicate the necessity for specific capacity building programs, access to amenities and policies that support sustainable rural livelihoods. In general, the results are based on solid empirical evidence and are really useful to policy makers and development practitioners.</w:t>
      </w:r>
    </w:p>
    <w:p w14:paraId="4594614D" w14:textId="6865A4C8" w:rsidR="00EB278F" w:rsidRPr="00876E4D" w:rsidRDefault="00EB278F" w:rsidP="004C542B">
      <w:pPr>
        <w:pStyle w:val="NoSpacing"/>
        <w:jc w:val="both"/>
        <w:rPr>
          <w:rFonts w:ascii="Times New Roman" w:hAnsi="Times New Roman" w:cs="Times New Roman"/>
          <w:b/>
          <w:bCs/>
        </w:rPr>
      </w:pPr>
    </w:p>
    <w:p w14:paraId="05DC344C" w14:textId="7D757673" w:rsidR="00876E4D" w:rsidRPr="00876E4D" w:rsidRDefault="00876E4D" w:rsidP="00876E4D">
      <w:pPr>
        <w:pStyle w:val="NoSpacing"/>
        <w:jc w:val="both"/>
        <w:rPr>
          <w:rFonts w:ascii="Times New Roman" w:hAnsi="Times New Roman" w:cs="Times New Roman"/>
          <w:b/>
          <w:bCs/>
        </w:rPr>
      </w:pPr>
      <w:r w:rsidRPr="00876E4D">
        <w:rPr>
          <w:rFonts w:ascii="Times New Roman" w:hAnsi="Times New Roman" w:cs="Times New Roman"/>
          <w:b/>
          <w:bCs/>
        </w:rPr>
        <w:t>6.</w:t>
      </w:r>
      <w:r w:rsidR="000C7FF8">
        <w:rPr>
          <w:rFonts w:ascii="Times New Roman" w:hAnsi="Times New Roman" w:cs="Times New Roman"/>
          <w:b/>
          <w:bCs/>
        </w:rPr>
        <w:t xml:space="preserve"> </w:t>
      </w:r>
      <w:r w:rsidRPr="00876E4D">
        <w:rPr>
          <w:rFonts w:ascii="Times New Roman" w:hAnsi="Times New Roman" w:cs="Times New Roman"/>
          <w:b/>
          <w:bCs/>
        </w:rPr>
        <w:t>Limitaion</w:t>
      </w:r>
      <w:r w:rsidR="000C7FF8">
        <w:rPr>
          <w:rFonts w:ascii="Times New Roman" w:hAnsi="Times New Roman" w:cs="Times New Roman"/>
          <w:b/>
          <w:bCs/>
        </w:rPr>
        <w:t>s</w:t>
      </w:r>
    </w:p>
    <w:p w14:paraId="31389BCB" w14:textId="77777777" w:rsidR="00876E4D" w:rsidRPr="00876E4D" w:rsidRDefault="00876E4D" w:rsidP="00876E4D">
      <w:pPr>
        <w:pStyle w:val="NoSpacing"/>
        <w:jc w:val="both"/>
        <w:rPr>
          <w:rFonts w:ascii="Times New Roman" w:hAnsi="Times New Roman" w:cs="Times New Roman"/>
          <w:b/>
          <w:bCs/>
        </w:rPr>
      </w:pPr>
    </w:p>
    <w:p w14:paraId="6BCEF4DD" w14:textId="1E4E1064" w:rsidR="00876E4D" w:rsidRPr="00876E4D" w:rsidRDefault="00876E4D" w:rsidP="00876E4D">
      <w:pPr>
        <w:pStyle w:val="NoSpacing"/>
        <w:jc w:val="both"/>
      </w:pPr>
      <w:r w:rsidRPr="00876E4D">
        <w:rPr>
          <w:rFonts w:ascii="Times New Roman" w:hAnsi="Times New Roman" w:cs="Times New Roman"/>
        </w:rPr>
        <w:t>This relatively small sample size may limit the generalizability of the findings to a wider farming or aquaculture system population. The analysis was descriptive in nature, which was useful in identifying trends, but it may not fully capture complex relationships or support strong causal inferences. Furthermore, the use of self-reported data may be subject to recall bias and subjective interpretation. Also, the cross-sectional design limits the capability to explore temporal changes or long-term outcomes of disease epidemics. Future research, using larger sample sizes, more advanced analytical methods and longitudinal designs are needed to provide more detailed evidence.</w:t>
      </w:r>
    </w:p>
    <w:p w14:paraId="3703A648" w14:textId="77777777" w:rsidR="00265575" w:rsidRPr="00876E4D" w:rsidRDefault="00265575" w:rsidP="004C542B">
      <w:pPr>
        <w:pStyle w:val="NoSpacing"/>
        <w:jc w:val="both"/>
        <w:rPr>
          <w:rFonts w:ascii="Times New Roman" w:hAnsi="Times New Roman" w:cs="Times New Roman"/>
          <w:b/>
          <w:bCs/>
        </w:rPr>
      </w:pPr>
    </w:p>
    <w:p w14:paraId="351D4C64" w14:textId="77777777" w:rsidR="00EB278F" w:rsidRPr="00876E4D" w:rsidRDefault="00EB278F" w:rsidP="00EB278F">
      <w:pPr>
        <w:pStyle w:val="NoSpacing"/>
        <w:rPr>
          <w:rFonts w:ascii="Times New Roman" w:hAnsi="Times New Roman" w:cs="Times New Roman"/>
          <w:b/>
          <w:bCs/>
          <w:highlight w:val="yellow"/>
        </w:rPr>
      </w:pPr>
      <w:bookmarkStart w:id="0" w:name="_Hlk198031404"/>
      <w:r w:rsidRPr="00876E4D">
        <w:rPr>
          <w:rFonts w:ascii="Times New Roman" w:hAnsi="Times New Roman" w:cs="Times New Roman"/>
          <w:b/>
          <w:bCs/>
          <w:highlight w:val="yellow"/>
        </w:rPr>
        <w:t>Disclaimer (Artificial intelligence)</w:t>
      </w:r>
    </w:p>
    <w:p w14:paraId="40087A69" w14:textId="77777777" w:rsidR="00EB278F" w:rsidRPr="00876E4D" w:rsidRDefault="00EB278F" w:rsidP="00EB278F">
      <w:pPr>
        <w:pStyle w:val="NoSpacing"/>
        <w:rPr>
          <w:rFonts w:ascii="Times New Roman" w:hAnsi="Times New Roman" w:cs="Times New Roman"/>
          <w:highlight w:val="yellow"/>
        </w:rPr>
      </w:pPr>
    </w:p>
    <w:bookmarkEnd w:id="0"/>
    <w:p w14:paraId="29A975DD" w14:textId="76441315" w:rsidR="00265575" w:rsidRPr="00876E4D" w:rsidRDefault="00265575" w:rsidP="00265575">
      <w:pPr>
        <w:pStyle w:val="NoSpacing"/>
        <w:jc w:val="both"/>
        <w:rPr>
          <w:rFonts w:ascii="Times New Roman" w:hAnsi="Times New Roman" w:cs="Times New Roman"/>
          <w:highlight w:val="yellow"/>
        </w:rPr>
      </w:pPr>
      <w:r w:rsidRPr="00876E4D">
        <w:rPr>
          <w:rFonts w:ascii="Times New Roman" w:hAnsi="Times New Roman" w:cs="Times New Roman"/>
          <w:highlight w:val="yellow"/>
        </w:rPr>
        <w:t>Author(s) states</w:t>
      </w:r>
      <w:r w:rsidR="000C7FF8">
        <w:rPr>
          <w:rFonts w:ascii="Times New Roman" w:hAnsi="Times New Roman" w:cs="Times New Roman"/>
          <w:highlight w:val="yellow"/>
        </w:rPr>
        <w:t xml:space="preserve"> that</w:t>
      </w:r>
      <w:r w:rsidRPr="00876E4D">
        <w:rPr>
          <w:rFonts w:ascii="Times New Roman" w:hAnsi="Times New Roman" w:cs="Times New Roman"/>
          <w:highlight w:val="yellow"/>
        </w:rPr>
        <w:t xml:space="preserve"> there has been NO usage of generative AI technologies such as Large Language Models (ChatGPT, COPILOT etc.) and text-to-image generators while preparing this manuscript.</w:t>
      </w:r>
    </w:p>
    <w:p w14:paraId="3B836CC0" w14:textId="77777777" w:rsidR="0000086C" w:rsidRPr="00876E4D" w:rsidRDefault="0000086C" w:rsidP="0000086C">
      <w:pPr>
        <w:pStyle w:val="NoSpacing"/>
        <w:jc w:val="both"/>
        <w:rPr>
          <w:rFonts w:ascii="Times New Roman" w:hAnsi="Times New Roman" w:cs="Times New Roman"/>
          <w:b/>
          <w:bCs/>
        </w:rPr>
      </w:pPr>
    </w:p>
    <w:p w14:paraId="7518BC8A" w14:textId="5461804A" w:rsidR="00DF571E" w:rsidRPr="00876E4D" w:rsidRDefault="00DF571E" w:rsidP="0000086C">
      <w:pPr>
        <w:pStyle w:val="NoSpacing"/>
        <w:jc w:val="both"/>
        <w:rPr>
          <w:rFonts w:ascii="Times New Roman" w:hAnsi="Times New Roman" w:cs="Times New Roman"/>
          <w:b/>
          <w:bCs/>
        </w:rPr>
      </w:pPr>
      <w:r w:rsidRPr="00876E4D">
        <w:rPr>
          <w:rFonts w:ascii="Times New Roman" w:hAnsi="Times New Roman" w:cs="Times New Roman"/>
          <w:b/>
          <w:bCs/>
        </w:rPr>
        <w:t xml:space="preserve">References </w:t>
      </w:r>
    </w:p>
    <w:p w14:paraId="36E649F1" w14:textId="77777777" w:rsidR="00E76996" w:rsidRPr="00876E4D" w:rsidRDefault="00E76996" w:rsidP="006C60BB">
      <w:pPr>
        <w:pStyle w:val="NoSpacing"/>
        <w:jc w:val="both"/>
        <w:rPr>
          <w:rFonts w:ascii="Times New Roman" w:hAnsi="Times New Roman" w:cs="Times New Roman"/>
        </w:rPr>
      </w:pPr>
    </w:p>
    <w:p w14:paraId="41A69A26" w14:textId="32E9B009" w:rsidR="007749AB" w:rsidRPr="00876E4D" w:rsidRDefault="007749AB" w:rsidP="007749AB">
      <w:pPr>
        <w:pStyle w:val="NoSpacing"/>
        <w:ind w:left="720" w:hanging="720"/>
        <w:jc w:val="both"/>
        <w:rPr>
          <w:rFonts w:ascii="Times New Roman" w:hAnsi="Times New Roman" w:cs="Times New Roman"/>
        </w:rPr>
      </w:pPr>
      <w:r w:rsidRPr="00876E4D">
        <w:rPr>
          <w:rFonts w:ascii="Times New Roman" w:hAnsi="Times New Roman" w:cs="Times New Roman"/>
        </w:rPr>
        <w:t xml:space="preserve">Al Mahadi, M. S., Rahman, M. S., Islam, M. S., Rahman, K. M. M., &amp; Khanum, R. (2022). Fish farming and its effect on household income: Micro-level study in Bangladesh. </w:t>
      </w:r>
      <w:r w:rsidRPr="00876E4D">
        <w:rPr>
          <w:rFonts w:ascii="Times New Roman" w:hAnsi="Times New Roman" w:cs="Times New Roman"/>
          <w:i/>
          <w:iCs/>
        </w:rPr>
        <w:t>Letters in Spatial and Resource Sciences, 15</w:t>
      </w:r>
      <w:r w:rsidRPr="00876E4D">
        <w:rPr>
          <w:rFonts w:ascii="Times New Roman" w:hAnsi="Times New Roman" w:cs="Times New Roman"/>
        </w:rPr>
        <w:t>(2), 255–277.</w:t>
      </w:r>
    </w:p>
    <w:p w14:paraId="198FADCD" w14:textId="77777777" w:rsidR="007749AB" w:rsidRPr="00876E4D" w:rsidRDefault="007749AB" w:rsidP="007749AB">
      <w:pPr>
        <w:pStyle w:val="NoSpacing"/>
        <w:ind w:left="720" w:hanging="720"/>
        <w:jc w:val="both"/>
        <w:rPr>
          <w:rFonts w:ascii="Times New Roman" w:hAnsi="Times New Roman" w:cs="Times New Roman"/>
        </w:rPr>
      </w:pPr>
    </w:p>
    <w:p w14:paraId="2F7488BC" w14:textId="77777777" w:rsidR="007749AB" w:rsidRPr="00876E4D" w:rsidRDefault="007749AB" w:rsidP="007749AB">
      <w:pPr>
        <w:pStyle w:val="NoSpacing"/>
        <w:ind w:left="720" w:hanging="720"/>
        <w:jc w:val="both"/>
        <w:rPr>
          <w:rFonts w:ascii="Times New Roman" w:hAnsi="Times New Roman" w:cs="Times New Roman"/>
        </w:rPr>
      </w:pPr>
      <w:r w:rsidRPr="00876E4D">
        <w:rPr>
          <w:rFonts w:ascii="Times New Roman" w:hAnsi="Times New Roman" w:cs="Times New Roman"/>
        </w:rPr>
        <w:t xml:space="preserve">Alam, M. M., Haque, M., &amp; Santi, M. (2024). Barriers to the export of farmed pangasius and tilapia from Bangladesh to the international market: Evidence from primary and secondary data. </w:t>
      </w:r>
      <w:r w:rsidRPr="00876E4D">
        <w:rPr>
          <w:rFonts w:ascii="Times New Roman" w:hAnsi="Times New Roman" w:cs="Times New Roman"/>
          <w:i/>
          <w:iCs/>
        </w:rPr>
        <w:t>Aquaculture Journal, 4</w:t>
      </w:r>
      <w:r w:rsidRPr="00876E4D">
        <w:rPr>
          <w:rFonts w:ascii="Times New Roman" w:hAnsi="Times New Roman" w:cs="Times New Roman"/>
        </w:rPr>
        <w:t xml:space="preserve">(4), 293–315. </w:t>
      </w:r>
      <w:hyperlink r:id="rId22" w:tgtFrame="_new" w:history="1">
        <w:r w:rsidRPr="00876E4D">
          <w:rPr>
            <w:rStyle w:val="Hyperlink"/>
            <w:rFonts w:ascii="Times New Roman" w:hAnsi="Times New Roman" w:cs="Times New Roman"/>
            <w:color w:val="auto"/>
          </w:rPr>
          <w:t>https://doi.org/10.3390/aquacj4040022</w:t>
        </w:r>
      </w:hyperlink>
    </w:p>
    <w:p w14:paraId="27A25EF0" w14:textId="77777777" w:rsidR="007749AB" w:rsidRPr="00876E4D" w:rsidRDefault="007749AB" w:rsidP="007749AB">
      <w:pPr>
        <w:pStyle w:val="NoSpacing"/>
        <w:ind w:left="720" w:hanging="720"/>
        <w:jc w:val="both"/>
        <w:rPr>
          <w:rFonts w:ascii="Times New Roman" w:hAnsi="Times New Roman" w:cs="Times New Roman"/>
        </w:rPr>
      </w:pPr>
    </w:p>
    <w:p w14:paraId="24AE617A" w14:textId="77777777" w:rsidR="007749AB" w:rsidRPr="00876E4D" w:rsidRDefault="007749AB" w:rsidP="007749AB">
      <w:pPr>
        <w:pStyle w:val="NoSpacing"/>
        <w:ind w:left="720" w:hanging="720"/>
        <w:jc w:val="both"/>
      </w:pPr>
      <w:r w:rsidRPr="00876E4D">
        <w:rPr>
          <w:rFonts w:ascii="Times New Roman" w:hAnsi="Times New Roman" w:cs="Times New Roman"/>
        </w:rPr>
        <w:t xml:space="preserve">Ali, H., &amp; Haque, M. M. (2011). Impacts of Pangasius aquaculture on land use patterns in Mymensingh district of Bangladesh. </w:t>
      </w:r>
      <w:r w:rsidRPr="00876E4D">
        <w:rPr>
          <w:rFonts w:ascii="Times New Roman" w:hAnsi="Times New Roman" w:cs="Times New Roman"/>
          <w:i/>
          <w:iCs/>
        </w:rPr>
        <w:t>Journal of the Bangladesh Agricultural University, 9</w:t>
      </w:r>
      <w:r w:rsidRPr="00876E4D">
        <w:rPr>
          <w:rFonts w:ascii="Times New Roman" w:hAnsi="Times New Roman" w:cs="Times New Roman"/>
        </w:rPr>
        <w:t xml:space="preserve">(1), 169–178. </w:t>
      </w:r>
      <w:hyperlink r:id="rId23" w:tgtFrame="_new" w:history="1">
        <w:r w:rsidRPr="00876E4D">
          <w:rPr>
            <w:rStyle w:val="Hyperlink"/>
            <w:rFonts w:ascii="Times New Roman" w:hAnsi="Times New Roman" w:cs="Times New Roman"/>
            <w:color w:val="auto"/>
          </w:rPr>
          <w:t>https://doi.org/10.3329/jbau.v9i1.8759</w:t>
        </w:r>
      </w:hyperlink>
    </w:p>
    <w:p w14:paraId="201212D8" w14:textId="77777777" w:rsidR="007F17A1" w:rsidRPr="00876E4D" w:rsidRDefault="007F17A1" w:rsidP="007749AB">
      <w:pPr>
        <w:pStyle w:val="NoSpacing"/>
        <w:ind w:left="720" w:hanging="720"/>
        <w:jc w:val="both"/>
      </w:pPr>
    </w:p>
    <w:p w14:paraId="74E4396E" w14:textId="02B2EED6" w:rsidR="007F17A1" w:rsidRPr="00876E4D" w:rsidRDefault="007F17A1" w:rsidP="007F17A1">
      <w:pPr>
        <w:pStyle w:val="NoSpacing"/>
        <w:ind w:left="720" w:hanging="720"/>
        <w:jc w:val="both"/>
        <w:rPr>
          <w:rFonts w:ascii="Times New Roman" w:hAnsi="Times New Roman" w:cs="Times New Roman"/>
        </w:rPr>
      </w:pPr>
      <w:r w:rsidRPr="00876E4D">
        <w:rPr>
          <w:rFonts w:ascii="Times New Roman" w:hAnsi="Times New Roman" w:cs="Times New Roman"/>
        </w:rPr>
        <w:t>Amitha, C. D., Chandrasekaran, K., &amp; Jeyabalasingh, P. M. (2023).</w:t>
      </w:r>
      <w:r w:rsidRPr="00876E4D">
        <w:rPr>
          <w:rFonts w:ascii="Times New Roman" w:hAnsi="Times New Roman" w:cs="Times New Roman"/>
        </w:rPr>
        <w:br/>
      </w:r>
      <w:r w:rsidRPr="00876E4D">
        <w:rPr>
          <w:rFonts w:ascii="Times New Roman" w:hAnsi="Times New Roman" w:cs="Times New Roman"/>
          <w:i/>
          <w:iCs/>
        </w:rPr>
        <w:t>Measures of socio-economic status of farmers: A systematic literature review</w:t>
      </w:r>
      <w:r w:rsidRPr="00876E4D">
        <w:rPr>
          <w:rFonts w:ascii="Times New Roman" w:hAnsi="Times New Roman" w:cs="Times New Roman"/>
        </w:rPr>
        <w:t>.</w:t>
      </w:r>
      <w:r w:rsidRPr="00876E4D">
        <w:rPr>
          <w:rFonts w:ascii="Times New Roman" w:hAnsi="Times New Roman" w:cs="Times New Roman"/>
        </w:rPr>
        <w:br/>
        <w:t>Review of Applied Socio-Economic Research, 25(1), 138–150.</w:t>
      </w:r>
    </w:p>
    <w:p w14:paraId="56872932" w14:textId="77777777" w:rsidR="007749AB" w:rsidRPr="00876E4D" w:rsidRDefault="007749AB" w:rsidP="007749AB">
      <w:pPr>
        <w:pStyle w:val="NoSpacing"/>
        <w:ind w:left="720" w:hanging="720"/>
        <w:jc w:val="both"/>
        <w:rPr>
          <w:rFonts w:ascii="Times New Roman" w:hAnsi="Times New Roman" w:cs="Times New Roman"/>
        </w:rPr>
      </w:pPr>
    </w:p>
    <w:p w14:paraId="50DE3C3E" w14:textId="77777777" w:rsidR="007749AB" w:rsidRPr="00876E4D" w:rsidRDefault="007749AB" w:rsidP="007749AB">
      <w:pPr>
        <w:pStyle w:val="NoSpacing"/>
        <w:ind w:left="720" w:hanging="720"/>
        <w:jc w:val="both"/>
        <w:rPr>
          <w:rFonts w:ascii="Times New Roman" w:hAnsi="Times New Roman" w:cs="Times New Roman"/>
        </w:rPr>
      </w:pPr>
      <w:r w:rsidRPr="00876E4D">
        <w:rPr>
          <w:rFonts w:ascii="Times New Roman" w:hAnsi="Times New Roman" w:cs="Times New Roman"/>
        </w:rPr>
        <w:t xml:space="preserve">Bangladesh Bureau of Statistics. (2024). </w:t>
      </w:r>
      <w:r w:rsidRPr="00876E4D">
        <w:rPr>
          <w:rFonts w:ascii="Times New Roman" w:hAnsi="Times New Roman" w:cs="Times New Roman"/>
          <w:i/>
          <w:iCs/>
        </w:rPr>
        <w:t>Statistical yearbook of Bangladesh 2024</w:t>
      </w:r>
      <w:r w:rsidRPr="00876E4D">
        <w:rPr>
          <w:rFonts w:ascii="Times New Roman" w:hAnsi="Times New Roman" w:cs="Times New Roman"/>
        </w:rPr>
        <w:t>.</w:t>
      </w:r>
    </w:p>
    <w:p w14:paraId="5BAEFEFF" w14:textId="77777777" w:rsidR="00E76996" w:rsidRPr="00876E4D" w:rsidRDefault="00E76996" w:rsidP="00E76996">
      <w:pPr>
        <w:pStyle w:val="NoSpacing"/>
        <w:jc w:val="both"/>
        <w:rPr>
          <w:rFonts w:ascii="Times New Roman" w:hAnsi="Times New Roman" w:cs="Times New Roman"/>
        </w:rPr>
      </w:pPr>
    </w:p>
    <w:p w14:paraId="78B9F5D4" w14:textId="111BB534" w:rsidR="007749AB" w:rsidRPr="00876E4D" w:rsidRDefault="007749AB" w:rsidP="007749AB">
      <w:pPr>
        <w:pStyle w:val="NoSpacing"/>
        <w:ind w:left="720" w:hanging="720"/>
        <w:jc w:val="both"/>
        <w:rPr>
          <w:rFonts w:ascii="Times New Roman" w:hAnsi="Times New Roman" w:cs="Times New Roman"/>
        </w:rPr>
      </w:pPr>
      <w:r w:rsidRPr="00876E4D">
        <w:rPr>
          <w:rFonts w:ascii="Times New Roman" w:hAnsi="Times New Roman" w:cs="Times New Roman"/>
        </w:rPr>
        <w:t xml:space="preserve">Belton, B., &amp; Azad, A. (2012). The characteristics and status of pond aquaculture in Bangladesh. </w:t>
      </w:r>
      <w:r w:rsidRPr="00876E4D">
        <w:rPr>
          <w:rFonts w:ascii="Times New Roman" w:hAnsi="Times New Roman" w:cs="Times New Roman"/>
          <w:i/>
          <w:iCs/>
        </w:rPr>
        <w:t>Aquaculture, 358–359</w:t>
      </w:r>
      <w:r w:rsidRPr="00876E4D">
        <w:rPr>
          <w:rFonts w:ascii="Times New Roman" w:hAnsi="Times New Roman" w:cs="Times New Roman"/>
        </w:rPr>
        <w:t xml:space="preserve">, 196–204. </w:t>
      </w:r>
      <w:hyperlink r:id="rId24" w:tgtFrame="_new" w:history="1">
        <w:r w:rsidRPr="00876E4D">
          <w:rPr>
            <w:rStyle w:val="Hyperlink"/>
            <w:rFonts w:ascii="Times New Roman" w:hAnsi="Times New Roman" w:cs="Times New Roman"/>
            <w:color w:val="auto"/>
          </w:rPr>
          <w:t>https://doi.org/10.1016/j.aquaculture.2012.07.002</w:t>
        </w:r>
      </w:hyperlink>
    </w:p>
    <w:p w14:paraId="71D8D431" w14:textId="77777777" w:rsidR="007749AB" w:rsidRPr="00876E4D" w:rsidRDefault="007749AB" w:rsidP="007749AB">
      <w:pPr>
        <w:pStyle w:val="NoSpacing"/>
        <w:ind w:left="720" w:hanging="720"/>
        <w:jc w:val="both"/>
        <w:rPr>
          <w:rFonts w:ascii="Times New Roman" w:hAnsi="Times New Roman" w:cs="Times New Roman"/>
        </w:rPr>
      </w:pPr>
    </w:p>
    <w:p w14:paraId="16E0792F" w14:textId="77777777" w:rsidR="00E76996" w:rsidRPr="00876E4D" w:rsidRDefault="00E76996" w:rsidP="00E76996">
      <w:pPr>
        <w:pStyle w:val="NoSpacing"/>
        <w:ind w:left="720" w:hanging="720"/>
        <w:jc w:val="both"/>
        <w:rPr>
          <w:rFonts w:ascii="Times New Roman" w:hAnsi="Times New Roman" w:cs="Times New Roman"/>
        </w:rPr>
      </w:pPr>
      <w:r w:rsidRPr="00876E4D">
        <w:rPr>
          <w:rFonts w:ascii="Times New Roman" w:hAnsi="Times New Roman" w:cs="Times New Roman"/>
        </w:rPr>
        <w:t xml:space="preserve">Bjørndal, T., Dey, M. M., &amp; Tusvik, A. (2024). </w:t>
      </w:r>
      <w:r w:rsidRPr="00876E4D">
        <w:rPr>
          <w:rFonts w:ascii="Times New Roman" w:hAnsi="Times New Roman" w:cs="Times New Roman"/>
          <w:i/>
          <w:iCs/>
        </w:rPr>
        <w:t>Economic analysis of the contributions of aquaculture to future food security</w:t>
      </w:r>
      <w:r w:rsidRPr="00876E4D">
        <w:rPr>
          <w:rFonts w:ascii="Times New Roman" w:hAnsi="Times New Roman" w:cs="Times New Roman"/>
        </w:rPr>
        <w:t xml:space="preserve">. Aquaculture, 578, 740071. </w:t>
      </w:r>
    </w:p>
    <w:p w14:paraId="46E33E79" w14:textId="77777777" w:rsidR="00E76996" w:rsidRPr="00876E4D" w:rsidRDefault="00E76996" w:rsidP="007749AB">
      <w:pPr>
        <w:pStyle w:val="NoSpacing"/>
        <w:ind w:left="720" w:hanging="720"/>
        <w:jc w:val="both"/>
        <w:rPr>
          <w:rFonts w:ascii="Times New Roman" w:hAnsi="Times New Roman" w:cs="Times New Roman"/>
        </w:rPr>
      </w:pPr>
    </w:p>
    <w:p w14:paraId="1118C805" w14:textId="2E748370" w:rsidR="007749AB" w:rsidRPr="00876E4D" w:rsidRDefault="007749AB" w:rsidP="007749AB">
      <w:pPr>
        <w:pStyle w:val="NoSpacing"/>
        <w:ind w:left="720" w:hanging="720"/>
        <w:jc w:val="both"/>
        <w:rPr>
          <w:rFonts w:ascii="Times New Roman" w:hAnsi="Times New Roman" w:cs="Times New Roman"/>
        </w:rPr>
      </w:pPr>
      <w:r w:rsidRPr="00876E4D">
        <w:rPr>
          <w:rFonts w:ascii="Times New Roman" w:hAnsi="Times New Roman" w:cs="Times New Roman"/>
        </w:rPr>
        <w:t xml:space="preserve">District Fisheries Office, Mymensingh. (2022). </w:t>
      </w:r>
      <w:r w:rsidRPr="00876E4D">
        <w:rPr>
          <w:rFonts w:ascii="Times New Roman" w:hAnsi="Times New Roman" w:cs="Times New Roman"/>
          <w:i/>
          <w:iCs/>
        </w:rPr>
        <w:t>Mymensingh jeler sadharan o matsya bishoyok tathya-2022</w:t>
      </w:r>
      <w:r w:rsidRPr="00876E4D">
        <w:rPr>
          <w:rFonts w:ascii="Times New Roman" w:hAnsi="Times New Roman" w:cs="Times New Roman"/>
        </w:rPr>
        <w:t>.</w:t>
      </w:r>
    </w:p>
    <w:p w14:paraId="5F836C30" w14:textId="77777777" w:rsidR="00E76996" w:rsidRPr="00876E4D" w:rsidRDefault="00E76996" w:rsidP="007749AB">
      <w:pPr>
        <w:pStyle w:val="NoSpacing"/>
        <w:ind w:left="720" w:hanging="720"/>
        <w:jc w:val="both"/>
        <w:rPr>
          <w:rFonts w:ascii="Times New Roman" w:hAnsi="Times New Roman" w:cs="Times New Roman"/>
        </w:rPr>
      </w:pPr>
    </w:p>
    <w:p w14:paraId="3F8742A4" w14:textId="3403DAD6" w:rsidR="00155E05" w:rsidRPr="00876E4D" w:rsidRDefault="00155E05" w:rsidP="007749AB">
      <w:pPr>
        <w:pStyle w:val="NoSpacing"/>
        <w:ind w:left="720" w:hanging="720"/>
        <w:jc w:val="both"/>
        <w:rPr>
          <w:rFonts w:ascii="Times New Roman" w:hAnsi="Times New Roman" w:cs="Times New Roman"/>
        </w:rPr>
      </w:pPr>
      <w:r w:rsidRPr="00876E4D">
        <w:rPr>
          <w:rFonts w:ascii="Times New Roman" w:hAnsi="Times New Roman" w:cs="Times New Roman"/>
        </w:rPr>
        <w:t xml:space="preserve">Ellis, F. (2000). </w:t>
      </w:r>
      <w:r w:rsidRPr="00876E4D">
        <w:rPr>
          <w:rFonts w:ascii="Times New Roman" w:hAnsi="Times New Roman" w:cs="Times New Roman"/>
          <w:i/>
          <w:iCs/>
        </w:rPr>
        <w:t>Rural livelihoods and diversity in developing countries</w:t>
      </w:r>
      <w:r w:rsidRPr="00876E4D">
        <w:rPr>
          <w:rFonts w:ascii="Times New Roman" w:hAnsi="Times New Roman" w:cs="Times New Roman"/>
        </w:rPr>
        <w:t>. Oxford University Press.</w:t>
      </w:r>
    </w:p>
    <w:p w14:paraId="7B04847C" w14:textId="77777777" w:rsidR="00155E05" w:rsidRPr="00876E4D" w:rsidRDefault="00155E05" w:rsidP="007749AB">
      <w:pPr>
        <w:pStyle w:val="NoSpacing"/>
        <w:ind w:left="720" w:hanging="720"/>
        <w:jc w:val="both"/>
        <w:rPr>
          <w:rFonts w:ascii="Times New Roman" w:hAnsi="Times New Roman" w:cs="Times New Roman"/>
        </w:rPr>
      </w:pPr>
    </w:p>
    <w:p w14:paraId="07684F10" w14:textId="7EC3FB29" w:rsidR="00E76996" w:rsidRPr="00876E4D" w:rsidRDefault="00E76996" w:rsidP="007749AB">
      <w:pPr>
        <w:pStyle w:val="NoSpacing"/>
        <w:ind w:left="720" w:hanging="720"/>
        <w:jc w:val="both"/>
        <w:rPr>
          <w:rFonts w:ascii="Times New Roman" w:hAnsi="Times New Roman" w:cs="Times New Roman"/>
        </w:rPr>
      </w:pPr>
      <w:r w:rsidRPr="00876E4D">
        <w:rPr>
          <w:rFonts w:ascii="Times New Roman" w:hAnsi="Times New Roman" w:cs="Times New Roman"/>
        </w:rPr>
        <w:t xml:space="preserve">FAO. (2022). </w:t>
      </w:r>
      <w:r w:rsidRPr="00876E4D">
        <w:rPr>
          <w:rFonts w:ascii="Times New Roman" w:hAnsi="Times New Roman" w:cs="Times New Roman"/>
          <w:i/>
          <w:iCs/>
        </w:rPr>
        <w:t>The state of world fisheries and aquaculture 2022: Towards blue transformation</w:t>
      </w:r>
      <w:r w:rsidRPr="00876E4D">
        <w:rPr>
          <w:rFonts w:ascii="Times New Roman" w:hAnsi="Times New Roman" w:cs="Times New Roman"/>
        </w:rPr>
        <w:t>. Rome: Food and Agriculture Organization.</w:t>
      </w:r>
    </w:p>
    <w:p w14:paraId="1AAADF75" w14:textId="77777777" w:rsidR="007749AB" w:rsidRPr="00876E4D" w:rsidRDefault="007749AB" w:rsidP="007749AB">
      <w:pPr>
        <w:pStyle w:val="NoSpacing"/>
        <w:ind w:left="720" w:hanging="720"/>
        <w:jc w:val="both"/>
        <w:rPr>
          <w:rFonts w:ascii="Times New Roman" w:hAnsi="Times New Roman" w:cs="Times New Roman"/>
        </w:rPr>
      </w:pPr>
    </w:p>
    <w:p w14:paraId="7EBE20FC" w14:textId="77777777" w:rsidR="007749AB" w:rsidRPr="00876E4D" w:rsidRDefault="007749AB" w:rsidP="007749AB">
      <w:pPr>
        <w:pStyle w:val="NoSpacing"/>
        <w:ind w:left="720" w:hanging="720"/>
        <w:jc w:val="both"/>
        <w:rPr>
          <w:rFonts w:ascii="Times New Roman" w:hAnsi="Times New Roman" w:cs="Times New Roman"/>
        </w:rPr>
      </w:pPr>
      <w:r w:rsidRPr="00876E4D">
        <w:rPr>
          <w:rFonts w:ascii="Times New Roman" w:hAnsi="Times New Roman" w:cs="Times New Roman"/>
        </w:rPr>
        <w:t xml:space="preserve">Faruk, M. A. R., Arjun, K., Ali, M. N. A., &amp; Rana, K. S. (2020). Status of biosecurity in commercial aqua farms in Mymensingh and Jashore districts. </w:t>
      </w:r>
      <w:r w:rsidRPr="00876E4D">
        <w:rPr>
          <w:rFonts w:ascii="Times New Roman" w:hAnsi="Times New Roman" w:cs="Times New Roman"/>
          <w:i/>
          <w:iCs/>
        </w:rPr>
        <w:t>Bangladesh Journal of Fisheries, 31</w:t>
      </w:r>
      <w:r w:rsidRPr="00876E4D">
        <w:rPr>
          <w:rFonts w:ascii="Times New Roman" w:hAnsi="Times New Roman" w:cs="Times New Roman"/>
        </w:rPr>
        <w:t xml:space="preserve">(2), 271–278. </w:t>
      </w:r>
      <w:hyperlink r:id="rId25" w:tgtFrame="_new" w:history="1">
        <w:r w:rsidRPr="00876E4D">
          <w:rPr>
            <w:rStyle w:val="Hyperlink"/>
            <w:rFonts w:ascii="Times New Roman" w:hAnsi="Times New Roman" w:cs="Times New Roman"/>
            <w:color w:val="auto"/>
          </w:rPr>
          <w:t>https://fsb.bau.edu.bd/bjf/index.php/home/article/view/73</w:t>
        </w:r>
      </w:hyperlink>
    </w:p>
    <w:p w14:paraId="6B7980CF" w14:textId="77777777" w:rsidR="007749AB" w:rsidRPr="00876E4D" w:rsidRDefault="007749AB" w:rsidP="007749AB">
      <w:pPr>
        <w:pStyle w:val="NoSpacing"/>
        <w:ind w:left="720" w:hanging="720"/>
        <w:jc w:val="both"/>
        <w:rPr>
          <w:rFonts w:ascii="Times New Roman" w:hAnsi="Times New Roman" w:cs="Times New Roman"/>
        </w:rPr>
      </w:pPr>
    </w:p>
    <w:p w14:paraId="5F045416" w14:textId="77777777" w:rsidR="007749AB" w:rsidRPr="00876E4D" w:rsidRDefault="007749AB" w:rsidP="007749AB">
      <w:pPr>
        <w:pStyle w:val="NoSpacing"/>
        <w:ind w:left="720" w:hanging="720"/>
        <w:jc w:val="both"/>
        <w:rPr>
          <w:rFonts w:ascii="Times New Roman" w:hAnsi="Times New Roman" w:cs="Times New Roman"/>
        </w:rPr>
      </w:pPr>
      <w:r w:rsidRPr="00876E4D">
        <w:rPr>
          <w:rFonts w:ascii="Times New Roman" w:hAnsi="Times New Roman" w:cs="Times New Roman"/>
        </w:rPr>
        <w:t xml:space="preserve">Government of Bangladesh, &amp; Food and Agriculture Organization of the United Nations. (2014). </w:t>
      </w:r>
      <w:r w:rsidRPr="00876E4D">
        <w:rPr>
          <w:rFonts w:ascii="Times New Roman" w:hAnsi="Times New Roman" w:cs="Times New Roman"/>
          <w:i/>
          <w:iCs/>
        </w:rPr>
        <w:t>National aquaculture development strategy and action plan of Bangladesh 2013–2020</w:t>
      </w:r>
      <w:r w:rsidRPr="00876E4D">
        <w:rPr>
          <w:rFonts w:ascii="Times New Roman" w:hAnsi="Times New Roman" w:cs="Times New Roman"/>
        </w:rPr>
        <w:t xml:space="preserve">. FAO. </w:t>
      </w:r>
      <w:hyperlink r:id="rId26" w:tgtFrame="_new" w:history="1">
        <w:r w:rsidRPr="00876E4D">
          <w:rPr>
            <w:rStyle w:val="Hyperlink"/>
            <w:rFonts w:ascii="Times New Roman" w:hAnsi="Times New Roman" w:cs="Times New Roman"/>
            <w:color w:val="auto"/>
          </w:rPr>
          <w:t>https://faolex.fao.org/docs/pdf/bgd169471.pdf</w:t>
        </w:r>
      </w:hyperlink>
    </w:p>
    <w:p w14:paraId="14EF1DEF" w14:textId="77777777" w:rsidR="007749AB" w:rsidRPr="00876E4D" w:rsidRDefault="007749AB" w:rsidP="007749AB">
      <w:pPr>
        <w:pStyle w:val="NoSpacing"/>
        <w:ind w:left="720" w:hanging="720"/>
        <w:jc w:val="both"/>
        <w:rPr>
          <w:rFonts w:ascii="Times New Roman" w:hAnsi="Times New Roman" w:cs="Times New Roman"/>
        </w:rPr>
      </w:pPr>
    </w:p>
    <w:p w14:paraId="441AC99A" w14:textId="77777777" w:rsidR="007749AB" w:rsidRPr="00876E4D" w:rsidRDefault="007749AB" w:rsidP="007749AB">
      <w:pPr>
        <w:pStyle w:val="NoSpacing"/>
        <w:ind w:left="720" w:hanging="720"/>
        <w:jc w:val="both"/>
        <w:rPr>
          <w:rFonts w:ascii="Times New Roman" w:hAnsi="Times New Roman" w:cs="Times New Roman"/>
        </w:rPr>
      </w:pPr>
      <w:r w:rsidRPr="00876E4D">
        <w:rPr>
          <w:rFonts w:ascii="Times New Roman" w:hAnsi="Times New Roman" w:cs="Times New Roman"/>
        </w:rPr>
        <w:t xml:space="preserve">Heal, R., Haque, M. M., Hasan, N. A., Nagoli, J., Arifuzzaman, S., Tyler, C., &amp; Bass, D. (2022). Understanding the economic and farming practices driving species selection in aquaculture within the Mymensingh division of Bangladesh. </w:t>
      </w:r>
      <w:r w:rsidRPr="00876E4D">
        <w:rPr>
          <w:rFonts w:ascii="Times New Roman" w:hAnsi="Times New Roman" w:cs="Times New Roman"/>
          <w:i/>
          <w:iCs/>
        </w:rPr>
        <w:t>Aquaculture International, 30</w:t>
      </w:r>
      <w:r w:rsidRPr="00876E4D">
        <w:rPr>
          <w:rFonts w:ascii="Times New Roman" w:hAnsi="Times New Roman" w:cs="Times New Roman"/>
        </w:rPr>
        <w:t xml:space="preserve">, 773–789. </w:t>
      </w:r>
      <w:hyperlink r:id="rId27" w:tgtFrame="_new" w:history="1">
        <w:r w:rsidRPr="00876E4D">
          <w:rPr>
            <w:rStyle w:val="Hyperlink"/>
            <w:rFonts w:ascii="Times New Roman" w:hAnsi="Times New Roman" w:cs="Times New Roman"/>
            <w:color w:val="auto"/>
          </w:rPr>
          <w:t>https://doi.org/10.1007/s10499-021-00818</w:t>
        </w:r>
      </w:hyperlink>
    </w:p>
    <w:p w14:paraId="4CCA19E0" w14:textId="77777777" w:rsidR="007749AB" w:rsidRPr="00876E4D" w:rsidRDefault="007749AB" w:rsidP="007749AB">
      <w:pPr>
        <w:pStyle w:val="NoSpacing"/>
        <w:ind w:left="720" w:hanging="720"/>
        <w:jc w:val="both"/>
        <w:rPr>
          <w:rFonts w:ascii="Times New Roman" w:hAnsi="Times New Roman" w:cs="Times New Roman"/>
        </w:rPr>
      </w:pPr>
    </w:p>
    <w:p w14:paraId="4290FB73" w14:textId="7D99C716" w:rsidR="00155E05" w:rsidRPr="00876E4D" w:rsidRDefault="00155E05" w:rsidP="007749AB">
      <w:pPr>
        <w:pStyle w:val="NoSpacing"/>
        <w:ind w:left="720" w:hanging="720"/>
        <w:jc w:val="both"/>
        <w:rPr>
          <w:rFonts w:ascii="Times New Roman" w:hAnsi="Times New Roman" w:cs="Times New Roman"/>
        </w:rPr>
      </w:pPr>
      <w:r w:rsidRPr="00876E4D">
        <w:rPr>
          <w:rFonts w:ascii="Times New Roman" w:hAnsi="Times New Roman" w:cs="Times New Roman"/>
        </w:rPr>
        <w:t xml:space="preserve">Islam, N., Rahman, M. M., &amp; Hossain, M. A. (1981). </w:t>
      </w:r>
      <w:r w:rsidRPr="00876E4D">
        <w:rPr>
          <w:rFonts w:ascii="Times New Roman" w:hAnsi="Times New Roman" w:cs="Times New Roman"/>
          <w:i/>
          <w:iCs/>
        </w:rPr>
        <w:t>Rural housing in Bangladesh: Socio-economic determinants and patterns</w:t>
      </w:r>
      <w:r w:rsidRPr="00876E4D">
        <w:rPr>
          <w:rFonts w:ascii="Times New Roman" w:hAnsi="Times New Roman" w:cs="Times New Roman"/>
        </w:rPr>
        <w:t>. Dhaka: Bangladesh Institute of Development Studies.</w:t>
      </w:r>
    </w:p>
    <w:p w14:paraId="7D34C000" w14:textId="77777777" w:rsidR="00155E05" w:rsidRPr="00876E4D" w:rsidRDefault="00155E05" w:rsidP="007749AB">
      <w:pPr>
        <w:pStyle w:val="NoSpacing"/>
        <w:ind w:left="720" w:hanging="720"/>
        <w:jc w:val="both"/>
        <w:rPr>
          <w:rFonts w:ascii="Times New Roman" w:hAnsi="Times New Roman" w:cs="Times New Roman"/>
        </w:rPr>
      </w:pPr>
    </w:p>
    <w:p w14:paraId="52B4EB37" w14:textId="76B96CD4" w:rsidR="007749AB" w:rsidRPr="00876E4D" w:rsidRDefault="007749AB" w:rsidP="007749AB">
      <w:pPr>
        <w:pStyle w:val="NoSpacing"/>
        <w:ind w:left="720" w:hanging="720"/>
        <w:jc w:val="both"/>
        <w:rPr>
          <w:rFonts w:ascii="Times New Roman" w:hAnsi="Times New Roman" w:cs="Times New Roman"/>
        </w:rPr>
      </w:pPr>
      <w:r w:rsidRPr="00876E4D">
        <w:rPr>
          <w:rFonts w:ascii="Times New Roman" w:hAnsi="Times New Roman" w:cs="Times New Roman"/>
        </w:rPr>
        <w:t xml:space="preserve">Islam, S., Haider, S., Sayadat, N., &amp; Rahman, S. (2024). Adoption of modern aquaculture technologies in fish farming: The case of rural Bangladesh. </w:t>
      </w:r>
      <w:r w:rsidRPr="00876E4D">
        <w:rPr>
          <w:rFonts w:ascii="Times New Roman" w:hAnsi="Times New Roman" w:cs="Times New Roman"/>
          <w:i/>
          <w:iCs/>
        </w:rPr>
        <w:t>World Development Sustainability, 5</w:t>
      </w:r>
      <w:r w:rsidRPr="00876E4D">
        <w:rPr>
          <w:rFonts w:ascii="Times New Roman" w:hAnsi="Times New Roman" w:cs="Times New Roman"/>
        </w:rPr>
        <w:t xml:space="preserve">, 100192. </w:t>
      </w:r>
      <w:hyperlink r:id="rId28" w:tgtFrame="_new" w:history="1">
        <w:r w:rsidRPr="00876E4D">
          <w:rPr>
            <w:rStyle w:val="Hyperlink"/>
            <w:rFonts w:ascii="Times New Roman" w:hAnsi="Times New Roman" w:cs="Times New Roman"/>
            <w:color w:val="auto"/>
          </w:rPr>
          <w:t>https://doi.org/10.1016/j.wds.2024.100192</w:t>
        </w:r>
      </w:hyperlink>
    </w:p>
    <w:p w14:paraId="03898015" w14:textId="77777777" w:rsidR="007749AB" w:rsidRPr="00876E4D" w:rsidRDefault="007749AB" w:rsidP="007749AB">
      <w:pPr>
        <w:pStyle w:val="NoSpacing"/>
        <w:ind w:left="720" w:hanging="720"/>
        <w:jc w:val="both"/>
        <w:rPr>
          <w:rFonts w:ascii="Times New Roman" w:hAnsi="Times New Roman" w:cs="Times New Roman"/>
        </w:rPr>
      </w:pPr>
    </w:p>
    <w:p w14:paraId="01B087C2" w14:textId="77777777" w:rsidR="007749AB" w:rsidRPr="00876E4D" w:rsidRDefault="007749AB" w:rsidP="007749AB">
      <w:pPr>
        <w:pStyle w:val="NoSpacing"/>
        <w:ind w:left="720" w:hanging="720"/>
        <w:jc w:val="both"/>
        <w:rPr>
          <w:rFonts w:ascii="Times New Roman" w:hAnsi="Times New Roman" w:cs="Times New Roman"/>
        </w:rPr>
      </w:pPr>
      <w:r w:rsidRPr="00876E4D">
        <w:rPr>
          <w:rFonts w:ascii="Times New Roman" w:hAnsi="Times New Roman" w:cs="Times New Roman"/>
        </w:rPr>
        <w:t>Jahan, K. M., Belton, B., Ali, H., Dhar, G. C., &amp; Ara, I. (2015). Aquaculture technologies in Bangladesh: An assessment of technical and economic performance and producer behavior (Program Report 2015-52). WorldFish.</w:t>
      </w:r>
    </w:p>
    <w:p w14:paraId="6363F547" w14:textId="77777777" w:rsidR="00155E05" w:rsidRPr="00876E4D" w:rsidRDefault="00155E05" w:rsidP="007749AB">
      <w:pPr>
        <w:pStyle w:val="NoSpacing"/>
        <w:ind w:left="720" w:hanging="720"/>
        <w:jc w:val="both"/>
        <w:rPr>
          <w:rFonts w:ascii="Times New Roman" w:hAnsi="Times New Roman" w:cs="Times New Roman"/>
        </w:rPr>
      </w:pPr>
    </w:p>
    <w:p w14:paraId="1191D33B" w14:textId="7EA50CF1" w:rsidR="00155E05" w:rsidRPr="00876E4D" w:rsidRDefault="00155E05" w:rsidP="007749AB">
      <w:pPr>
        <w:pStyle w:val="NoSpacing"/>
        <w:ind w:left="720" w:hanging="720"/>
        <w:jc w:val="both"/>
        <w:rPr>
          <w:rFonts w:ascii="Times New Roman" w:hAnsi="Times New Roman" w:cs="Times New Roman"/>
        </w:rPr>
      </w:pPr>
      <w:r w:rsidRPr="00876E4D">
        <w:rPr>
          <w:rFonts w:ascii="Times New Roman" w:hAnsi="Times New Roman" w:cs="Times New Roman"/>
        </w:rPr>
        <w:lastRenderedPageBreak/>
        <w:t xml:space="preserve">Mahmood, S. S., Rahman, M. M., &amp; Akter, S. (2019). Rural housing condition and socio-economic status in Bangladesh. </w:t>
      </w:r>
      <w:r w:rsidRPr="00876E4D">
        <w:rPr>
          <w:rFonts w:ascii="Times New Roman" w:hAnsi="Times New Roman" w:cs="Times New Roman"/>
          <w:i/>
          <w:iCs/>
        </w:rPr>
        <w:t>Journal of Rural Development, 48</w:t>
      </w:r>
      <w:r w:rsidRPr="00876E4D">
        <w:rPr>
          <w:rFonts w:ascii="Times New Roman" w:hAnsi="Times New Roman" w:cs="Times New Roman"/>
        </w:rPr>
        <w:t>(2), 67–82.</w:t>
      </w:r>
    </w:p>
    <w:p w14:paraId="125EF94C" w14:textId="77777777" w:rsidR="007749AB" w:rsidRPr="00876E4D" w:rsidRDefault="007749AB" w:rsidP="007749AB">
      <w:pPr>
        <w:pStyle w:val="NoSpacing"/>
        <w:ind w:left="720" w:hanging="720"/>
        <w:jc w:val="both"/>
        <w:rPr>
          <w:rFonts w:ascii="Times New Roman" w:hAnsi="Times New Roman" w:cs="Times New Roman"/>
        </w:rPr>
      </w:pPr>
    </w:p>
    <w:p w14:paraId="2182039D" w14:textId="29A2EB75" w:rsidR="007F17A1" w:rsidRPr="00876E4D" w:rsidRDefault="007F17A1" w:rsidP="007749AB">
      <w:pPr>
        <w:pStyle w:val="NoSpacing"/>
        <w:ind w:left="720" w:hanging="720"/>
        <w:jc w:val="both"/>
        <w:rPr>
          <w:rFonts w:ascii="Times New Roman" w:hAnsi="Times New Roman" w:cs="Times New Roman"/>
        </w:rPr>
      </w:pPr>
      <w:r w:rsidRPr="00876E4D">
        <w:rPr>
          <w:rFonts w:ascii="Times New Roman" w:hAnsi="Times New Roman" w:cs="Times New Roman"/>
        </w:rPr>
        <w:t>Mandal, S., Sendhil, R., &amp; Goswami, R. (2023).</w:t>
      </w:r>
      <w:r w:rsidRPr="00876E4D">
        <w:rPr>
          <w:rFonts w:ascii="Times New Roman" w:hAnsi="Times New Roman" w:cs="Times New Roman"/>
        </w:rPr>
        <w:br/>
      </w:r>
      <w:r w:rsidRPr="00876E4D">
        <w:rPr>
          <w:rFonts w:ascii="Times New Roman" w:hAnsi="Times New Roman" w:cs="Times New Roman"/>
          <w:i/>
          <w:iCs/>
        </w:rPr>
        <w:t>Socio-economic evaluation of cropping systems for smallholder farmers: Challenges and options</w:t>
      </w:r>
      <w:r w:rsidRPr="00876E4D">
        <w:rPr>
          <w:rFonts w:ascii="Times New Roman" w:hAnsi="Times New Roman" w:cs="Times New Roman"/>
        </w:rPr>
        <w:t>. Frontiers in Sustainable Food Systems, 7, 1310448.</w:t>
      </w:r>
    </w:p>
    <w:p w14:paraId="49D43155" w14:textId="77777777" w:rsidR="007F17A1" w:rsidRPr="00876E4D" w:rsidRDefault="007F17A1" w:rsidP="007749AB">
      <w:pPr>
        <w:pStyle w:val="NoSpacing"/>
        <w:ind w:left="720" w:hanging="720"/>
        <w:jc w:val="both"/>
        <w:rPr>
          <w:rFonts w:ascii="Times New Roman" w:hAnsi="Times New Roman" w:cs="Times New Roman"/>
        </w:rPr>
      </w:pPr>
    </w:p>
    <w:p w14:paraId="5EA44596" w14:textId="5E99F0B2" w:rsidR="006C60BB" w:rsidRPr="00876E4D" w:rsidRDefault="006C60BB" w:rsidP="007749AB">
      <w:pPr>
        <w:pStyle w:val="NoSpacing"/>
        <w:ind w:left="720" w:hanging="720"/>
        <w:jc w:val="both"/>
        <w:rPr>
          <w:rFonts w:ascii="Times New Roman" w:hAnsi="Times New Roman" w:cs="Times New Roman"/>
        </w:rPr>
      </w:pPr>
      <w:r w:rsidRPr="00876E4D">
        <w:rPr>
          <w:rFonts w:ascii="Times New Roman" w:hAnsi="Times New Roman" w:cs="Times New Roman"/>
        </w:rPr>
        <w:t xml:space="preserve">Marra, M., Pannell, D. J., &amp; Ghadim, A. A. (2003). The economics of risk, uncertainty and learning in the adoption of new agricultural technologies: Where are we on the learning curve? </w:t>
      </w:r>
      <w:r w:rsidRPr="00876E4D">
        <w:rPr>
          <w:rFonts w:ascii="Times New Roman" w:hAnsi="Times New Roman" w:cs="Times New Roman"/>
          <w:i/>
          <w:iCs/>
        </w:rPr>
        <w:t>Agricultural Systems, 75</w:t>
      </w:r>
      <w:r w:rsidRPr="00876E4D">
        <w:rPr>
          <w:rFonts w:ascii="Times New Roman" w:hAnsi="Times New Roman" w:cs="Times New Roman"/>
        </w:rPr>
        <w:t>(2–3), 215–234</w:t>
      </w:r>
    </w:p>
    <w:p w14:paraId="532B2782" w14:textId="77777777" w:rsidR="006C60BB" w:rsidRPr="00876E4D" w:rsidRDefault="006C60BB" w:rsidP="007749AB">
      <w:pPr>
        <w:pStyle w:val="NoSpacing"/>
        <w:ind w:left="720" w:hanging="720"/>
        <w:jc w:val="both"/>
        <w:rPr>
          <w:rFonts w:ascii="Times New Roman" w:hAnsi="Times New Roman" w:cs="Times New Roman"/>
        </w:rPr>
      </w:pPr>
    </w:p>
    <w:p w14:paraId="6C54CABB" w14:textId="01D4E00F" w:rsidR="007749AB" w:rsidRPr="00876E4D" w:rsidRDefault="007749AB" w:rsidP="007749AB">
      <w:pPr>
        <w:pStyle w:val="NoSpacing"/>
        <w:ind w:left="720" w:hanging="720"/>
        <w:jc w:val="both"/>
        <w:rPr>
          <w:rFonts w:ascii="Times New Roman" w:hAnsi="Times New Roman" w:cs="Times New Roman"/>
        </w:rPr>
      </w:pPr>
      <w:r w:rsidRPr="00876E4D">
        <w:rPr>
          <w:rFonts w:ascii="Times New Roman" w:hAnsi="Times New Roman" w:cs="Times New Roman"/>
        </w:rPr>
        <w:t xml:space="preserve">Mitra, S., Khan, M. A., Nielsen, R., Kumar, G., &amp; Rahman, M. T. (2024). Review of environmental challenges in the Bangladesh aquaculture industry. </w:t>
      </w:r>
      <w:r w:rsidRPr="00876E4D">
        <w:rPr>
          <w:rFonts w:ascii="Times New Roman" w:hAnsi="Times New Roman" w:cs="Times New Roman"/>
          <w:i/>
          <w:iCs/>
        </w:rPr>
        <w:t>Environmental Science and Pollution Research, 31</w:t>
      </w:r>
      <w:r w:rsidRPr="00876E4D">
        <w:rPr>
          <w:rFonts w:ascii="Times New Roman" w:hAnsi="Times New Roman" w:cs="Times New Roman"/>
        </w:rPr>
        <w:t xml:space="preserve">, 8330–8340. </w:t>
      </w:r>
      <w:hyperlink r:id="rId29" w:tgtFrame="_new" w:history="1">
        <w:r w:rsidRPr="00876E4D">
          <w:rPr>
            <w:rStyle w:val="Hyperlink"/>
            <w:rFonts w:ascii="Times New Roman" w:hAnsi="Times New Roman" w:cs="Times New Roman"/>
            <w:color w:val="auto"/>
          </w:rPr>
          <w:t>https://doi.org/10.1007/s11356-023-31630-1</w:t>
        </w:r>
      </w:hyperlink>
    </w:p>
    <w:p w14:paraId="5AE853E6" w14:textId="77777777" w:rsidR="007749AB" w:rsidRPr="00876E4D" w:rsidRDefault="007749AB" w:rsidP="007749AB">
      <w:pPr>
        <w:pStyle w:val="NoSpacing"/>
        <w:ind w:left="720" w:hanging="720"/>
        <w:jc w:val="both"/>
        <w:rPr>
          <w:rFonts w:ascii="Times New Roman" w:hAnsi="Times New Roman" w:cs="Times New Roman"/>
        </w:rPr>
      </w:pPr>
    </w:p>
    <w:p w14:paraId="0BF25D0D" w14:textId="77777777" w:rsidR="007749AB" w:rsidRPr="00876E4D" w:rsidRDefault="007749AB" w:rsidP="007749AB">
      <w:pPr>
        <w:pStyle w:val="NoSpacing"/>
        <w:ind w:left="720" w:hanging="720"/>
        <w:jc w:val="both"/>
        <w:rPr>
          <w:rFonts w:ascii="Times New Roman" w:hAnsi="Times New Roman" w:cs="Times New Roman"/>
        </w:rPr>
      </w:pPr>
      <w:r w:rsidRPr="00876E4D">
        <w:rPr>
          <w:rFonts w:ascii="Times New Roman" w:hAnsi="Times New Roman" w:cs="Times New Roman"/>
        </w:rPr>
        <w:t xml:space="preserve">Palash, M. S., &amp; Bauer, S. (2016). Land-use decisions of rice/fish farming in northern Bangladesh: Use of PROMETHEE analysis. </w:t>
      </w:r>
      <w:r w:rsidRPr="00876E4D">
        <w:rPr>
          <w:rFonts w:ascii="Times New Roman" w:hAnsi="Times New Roman" w:cs="Times New Roman"/>
          <w:i/>
          <w:iCs/>
        </w:rPr>
        <w:t>Open Agriculture, 1</w:t>
      </w:r>
      <w:r w:rsidRPr="00876E4D">
        <w:rPr>
          <w:rFonts w:ascii="Times New Roman" w:hAnsi="Times New Roman" w:cs="Times New Roman"/>
        </w:rPr>
        <w:t>(1), 60–67.</w:t>
      </w:r>
    </w:p>
    <w:p w14:paraId="5794A33D" w14:textId="77777777" w:rsidR="007749AB" w:rsidRPr="00876E4D" w:rsidRDefault="007749AB" w:rsidP="007749AB">
      <w:pPr>
        <w:pStyle w:val="NoSpacing"/>
        <w:ind w:left="720" w:hanging="720"/>
        <w:jc w:val="both"/>
        <w:rPr>
          <w:rFonts w:ascii="Times New Roman" w:hAnsi="Times New Roman" w:cs="Times New Roman"/>
        </w:rPr>
      </w:pPr>
    </w:p>
    <w:p w14:paraId="6BE88287" w14:textId="77777777" w:rsidR="007749AB" w:rsidRPr="00876E4D" w:rsidRDefault="007749AB" w:rsidP="007749AB">
      <w:pPr>
        <w:pStyle w:val="NoSpacing"/>
        <w:ind w:left="720" w:hanging="720"/>
        <w:jc w:val="both"/>
        <w:rPr>
          <w:rFonts w:ascii="Times New Roman" w:hAnsi="Times New Roman" w:cs="Times New Roman"/>
        </w:rPr>
      </w:pPr>
      <w:r w:rsidRPr="00876E4D">
        <w:rPr>
          <w:rFonts w:ascii="Times New Roman" w:hAnsi="Times New Roman" w:cs="Times New Roman"/>
        </w:rPr>
        <w:t xml:space="preserve">Palash, M. S., &amp; Bauer, S. (2017). Diversification of farmland use in Bangladesh: Land allocation impacts on farm profitability. </w:t>
      </w:r>
      <w:r w:rsidRPr="00876E4D">
        <w:rPr>
          <w:rFonts w:ascii="Times New Roman" w:hAnsi="Times New Roman" w:cs="Times New Roman"/>
          <w:i/>
          <w:iCs/>
        </w:rPr>
        <w:t>Open Agriculture, 2</w:t>
      </w:r>
      <w:r w:rsidRPr="00876E4D">
        <w:rPr>
          <w:rFonts w:ascii="Times New Roman" w:hAnsi="Times New Roman" w:cs="Times New Roman"/>
        </w:rPr>
        <w:t>(1), 175–188.</w:t>
      </w:r>
    </w:p>
    <w:p w14:paraId="51CC1E0D" w14:textId="77777777" w:rsidR="007749AB" w:rsidRPr="00876E4D" w:rsidRDefault="007749AB" w:rsidP="007749AB">
      <w:pPr>
        <w:pStyle w:val="NoSpacing"/>
        <w:ind w:left="720" w:hanging="720"/>
        <w:jc w:val="both"/>
        <w:rPr>
          <w:rFonts w:ascii="Times New Roman" w:hAnsi="Times New Roman" w:cs="Times New Roman"/>
        </w:rPr>
      </w:pPr>
    </w:p>
    <w:p w14:paraId="51E467D5" w14:textId="77777777" w:rsidR="007749AB" w:rsidRPr="00876E4D" w:rsidRDefault="007749AB" w:rsidP="007749AB">
      <w:pPr>
        <w:pStyle w:val="NoSpacing"/>
        <w:ind w:left="720" w:hanging="720"/>
        <w:jc w:val="both"/>
        <w:rPr>
          <w:rFonts w:ascii="Times New Roman" w:hAnsi="Times New Roman" w:cs="Times New Roman"/>
        </w:rPr>
      </w:pPr>
      <w:r w:rsidRPr="00876E4D">
        <w:rPr>
          <w:rFonts w:ascii="Times New Roman" w:hAnsi="Times New Roman" w:cs="Times New Roman"/>
        </w:rPr>
        <w:t xml:space="preserve">Palash, M. S., Rahman, K. T., Salam, S., &amp; Nasrin, M. (2018). Freshwater pond fish farming in Bangladesh: A micro level land use analysis. </w:t>
      </w:r>
      <w:r w:rsidRPr="00876E4D">
        <w:rPr>
          <w:rFonts w:ascii="Times New Roman" w:hAnsi="Times New Roman" w:cs="Times New Roman"/>
          <w:i/>
          <w:iCs/>
        </w:rPr>
        <w:t>Journal of the Bangladesh Agricultural University, 16</w:t>
      </w:r>
      <w:r w:rsidRPr="00876E4D">
        <w:rPr>
          <w:rFonts w:ascii="Times New Roman" w:hAnsi="Times New Roman" w:cs="Times New Roman"/>
        </w:rPr>
        <w:t xml:space="preserve">(2), 276–282. </w:t>
      </w:r>
      <w:hyperlink r:id="rId30" w:tgtFrame="_new" w:history="1">
        <w:r w:rsidRPr="00876E4D">
          <w:rPr>
            <w:rStyle w:val="Hyperlink"/>
            <w:rFonts w:ascii="Times New Roman" w:hAnsi="Times New Roman" w:cs="Times New Roman"/>
            <w:color w:val="auto"/>
          </w:rPr>
          <w:t>https://doi.org/10.3329/jbau.v16i2.37983</w:t>
        </w:r>
      </w:hyperlink>
    </w:p>
    <w:p w14:paraId="71C3727F" w14:textId="77777777" w:rsidR="007749AB" w:rsidRPr="00876E4D" w:rsidRDefault="007749AB" w:rsidP="007749AB">
      <w:pPr>
        <w:pStyle w:val="NoSpacing"/>
        <w:ind w:left="720" w:hanging="720"/>
        <w:jc w:val="both"/>
        <w:rPr>
          <w:rFonts w:ascii="Times New Roman" w:hAnsi="Times New Roman" w:cs="Times New Roman"/>
        </w:rPr>
      </w:pPr>
    </w:p>
    <w:p w14:paraId="42703AB5" w14:textId="77777777" w:rsidR="007749AB" w:rsidRPr="00876E4D" w:rsidRDefault="007749AB" w:rsidP="007749AB">
      <w:pPr>
        <w:pStyle w:val="NoSpacing"/>
        <w:ind w:left="720" w:hanging="720"/>
        <w:jc w:val="both"/>
        <w:rPr>
          <w:rFonts w:ascii="Times New Roman" w:hAnsi="Times New Roman" w:cs="Times New Roman"/>
        </w:rPr>
      </w:pPr>
      <w:r w:rsidRPr="00876E4D">
        <w:rPr>
          <w:rFonts w:ascii="Times New Roman" w:hAnsi="Times New Roman" w:cs="Times New Roman"/>
        </w:rPr>
        <w:t xml:space="preserve">Prodhan, M. M. H., &amp; Khan, M. A. (2018). Management practice adoption and productivity of commercial aquaculture farms in selected areas of Bangladesh. </w:t>
      </w:r>
      <w:r w:rsidRPr="00876E4D">
        <w:rPr>
          <w:rFonts w:ascii="Times New Roman" w:hAnsi="Times New Roman" w:cs="Times New Roman"/>
          <w:i/>
          <w:iCs/>
        </w:rPr>
        <w:t>Journal of the Bangladesh Agricultural University, 16</w:t>
      </w:r>
      <w:r w:rsidRPr="00876E4D">
        <w:rPr>
          <w:rFonts w:ascii="Times New Roman" w:hAnsi="Times New Roman" w:cs="Times New Roman"/>
        </w:rPr>
        <w:t xml:space="preserve">(1), 111–116. </w:t>
      </w:r>
      <w:hyperlink r:id="rId31" w:tgtFrame="_new" w:history="1">
        <w:r w:rsidRPr="00876E4D">
          <w:rPr>
            <w:rStyle w:val="Hyperlink"/>
            <w:rFonts w:ascii="Times New Roman" w:hAnsi="Times New Roman" w:cs="Times New Roman"/>
            <w:color w:val="auto"/>
          </w:rPr>
          <w:t>https://doi.org/10.3329/jbau.v16i1.36491</w:t>
        </w:r>
      </w:hyperlink>
    </w:p>
    <w:p w14:paraId="5FA5A6B7" w14:textId="77777777" w:rsidR="007749AB" w:rsidRPr="00876E4D" w:rsidRDefault="007749AB" w:rsidP="007749AB">
      <w:pPr>
        <w:pStyle w:val="NoSpacing"/>
        <w:ind w:left="720" w:hanging="720"/>
        <w:jc w:val="both"/>
        <w:rPr>
          <w:rFonts w:ascii="Times New Roman" w:hAnsi="Times New Roman" w:cs="Times New Roman"/>
        </w:rPr>
      </w:pPr>
    </w:p>
    <w:p w14:paraId="668913E8" w14:textId="77777777" w:rsidR="007749AB" w:rsidRPr="00876E4D" w:rsidRDefault="007749AB" w:rsidP="007749AB">
      <w:pPr>
        <w:pStyle w:val="NoSpacing"/>
        <w:ind w:left="720" w:hanging="720"/>
        <w:jc w:val="both"/>
        <w:rPr>
          <w:rFonts w:ascii="Times New Roman" w:hAnsi="Times New Roman" w:cs="Times New Roman"/>
        </w:rPr>
      </w:pPr>
      <w:r w:rsidRPr="00876E4D">
        <w:rPr>
          <w:rFonts w:ascii="Times New Roman" w:hAnsi="Times New Roman" w:cs="Times New Roman"/>
        </w:rPr>
        <w:t xml:space="preserve">Saha, P., Hossain, M. E., Prodhan, M. M. H., Rahman, M. T., Nielsen, M., &amp; Khan, M. A. (2022). Profit and loss dynamics of aquaculture farming. </w:t>
      </w:r>
      <w:r w:rsidRPr="00876E4D">
        <w:rPr>
          <w:rFonts w:ascii="Times New Roman" w:hAnsi="Times New Roman" w:cs="Times New Roman"/>
          <w:i/>
          <w:iCs/>
        </w:rPr>
        <w:t>Aquaculture, 561</w:t>
      </w:r>
      <w:r w:rsidRPr="00876E4D">
        <w:rPr>
          <w:rFonts w:ascii="Times New Roman" w:hAnsi="Times New Roman" w:cs="Times New Roman"/>
        </w:rPr>
        <w:t>, 738619.</w:t>
      </w:r>
    </w:p>
    <w:p w14:paraId="36D4E4BF" w14:textId="77777777" w:rsidR="007749AB" w:rsidRPr="00876E4D" w:rsidRDefault="007749AB" w:rsidP="007749AB">
      <w:pPr>
        <w:pStyle w:val="NoSpacing"/>
        <w:ind w:left="720" w:hanging="720"/>
        <w:jc w:val="both"/>
        <w:rPr>
          <w:rFonts w:ascii="Times New Roman" w:hAnsi="Times New Roman" w:cs="Times New Roman"/>
        </w:rPr>
      </w:pPr>
    </w:p>
    <w:p w14:paraId="33CDA989" w14:textId="77777777" w:rsidR="007749AB" w:rsidRPr="00876E4D" w:rsidRDefault="007749AB" w:rsidP="007749AB">
      <w:pPr>
        <w:pStyle w:val="NoSpacing"/>
        <w:ind w:left="720" w:hanging="720"/>
        <w:jc w:val="both"/>
        <w:rPr>
          <w:rFonts w:ascii="Times New Roman" w:hAnsi="Times New Roman" w:cs="Times New Roman"/>
        </w:rPr>
      </w:pPr>
      <w:r w:rsidRPr="00876E4D">
        <w:rPr>
          <w:rFonts w:ascii="Times New Roman" w:hAnsi="Times New Roman" w:cs="Times New Roman"/>
        </w:rPr>
        <w:t xml:space="preserve">Sarkar, A. (2023, October 20). Mymensingh Sadar Upazila. </w:t>
      </w:r>
      <w:r w:rsidRPr="00876E4D">
        <w:rPr>
          <w:rFonts w:ascii="Times New Roman" w:hAnsi="Times New Roman" w:cs="Times New Roman"/>
          <w:i/>
          <w:iCs/>
        </w:rPr>
        <w:t>Banglapedia: National Encyclopedia of Bangladesh</w:t>
      </w:r>
      <w:r w:rsidRPr="00876E4D">
        <w:rPr>
          <w:rFonts w:ascii="Times New Roman" w:hAnsi="Times New Roman" w:cs="Times New Roman"/>
        </w:rPr>
        <w:t>. Asiatic Society of Bangladesh.</w:t>
      </w:r>
    </w:p>
    <w:p w14:paraId="77D96D41" w14:textId="77777777" w:rsidR="007749AB" w:rsidRPr="00876E4D" w:rsidRDefault="007749AB" w:rsidP="007749AB">
      <w:pPr>
        <w:pStyle w:val="NoSpacing"/>
        <w:ind w:left="720" w:hanging="720"/>
        <w:jc w:val="both"/>
        <w:rPr>
          <w:rFonts w:ascii="Times New Roman" w:hAnsi="Times New Roman" w:cs="Times New Roman"/>
        </w:rPr>
      </w:pPr>
    </w:p>
    <w:p w14:paraId="73EDC914" w14:textId="77777777" w:rsidR="007749AB" w:rsidRPr="00876E4D" w:rsidRDefault="007749AB" w:rsidP="007749AB">
      <w:pPr>
        <w:pStyle w:val="NoSpacing"/>
        <w:ind w:left="720" w:hanging="720"/>
        <w:jc w:val="both"/>
      </w:pPr>
      <w:r w:rsidRPr="00876E4D">
        <w:rPr>
          <w:rFonts w:ascii="Times New Roman" w:hAnsi="Times New Roman" w:cs="Times New Roman"/>
        </w:rPr>
        <w:t xml:space="preserve">Shamsuzzaman, M. M., Islam, M. M., Tania, N. J., Al-Mamun, M. A., Barman, P. P., &amp; Xu, X. (2017). Fisheries resources of Bangladesh: Present status and future direction. </w:t>
      </w:r>
      <w:r w:rsidRPr="00876E4D">
        <w:rPr>
          <w:rFonts w:ascii="Times New Roman" w:hAnsi="Times New Roman" w:cs="Times New Roman"/>
          <w:i/>
          <w:iCs/>
        </w:rPr>
        <w:t>Aquaculture and Fisheries, 2</w:t>
      </w:r>
      <w:r w:rsidRPr="00876E4D">
        <w:rPr>
          <w:rFonts w:ascii="Times New Roman" w:hAnsi="Times New Roman" w:cs="Times New Roman"/>
        </w:rPr>
        <w:t xml:space="preserve">(4), 145–156. </w:t>
      </w:r>
      <w:hyperlink r:id="rId32" w:tgtFrame="_new" w:history="1">
        <w:r w:rsidRPr="00876E4D">
          <w:rPr>
            <w:rStyle w:val="Hyperlink"/>
            <w:rFonts w:ascii="Times New Roman" w:hAnsi="Times New Roman" w:cs="Times New Roman"/>
            <w:color w:val="auto"/>
          </w:rPr>
          <w:t>https://doi.org/10.1016/j.aaf.2017.03.006</w:t>
        </w:r>
      </w:hyperlink>
    </w:p>
    <w:p w14:paraId="0DAA4E34" w14:textId="77777777" w:rsidR="00155E05" w:rsidRPr="00876E4D" w:rsidRDefault="00155E05" w:rsidP="007749AB">
      <w:pPr>
        <w:pStyle w:val="NoSpacing"/>
        <w:ind w:left="720" w:hanging="720"/>
        <w:jc w:val="both"/>
      </w:pPr>
    </w:p>
    <w:p w14:paraId="27344D4D" w14:textId="594A718D" w:rsidR="00155E05" w:rsidRPr="00876E4D" w:rsidRDefault="00155E05" w:rsidP="007749AB">
      <w:pPr>
        <w:pStyle w:val="NoSpacing"/>
        <w:ind w:left="720" w:hanging="720"/>
        <w:jc w:val="both"/>
        <w:rPr>
          <w:rFonts w:ascii="Times New Roman" w:hAnsi="Times New Roman" w:cs="Times New Roman"/>
        </w:rPr>
      </w:pPr>
      <w:r w:rsidRPr="00876E4D">
        <w:rPr>
          <w:rFonts w:ascii="Times New Roman" w:hAnsi="Times New Roman" w:cs="Times New Roman"/>
        </w:rPr>
        <w:t xml:space="preserve">Scoones, I. (1998). Sustainable rural livelihoods: A framework for analysis. </w:t>
      </w:r>
      <w:r w:rsidRPr="00876E4D">
        <w:rPr>
          <w:rFonts w:ascii="Times New Roman" w:hAnsi="Times New Roman" w:cs="Times New Roman"/>
          <w:i/>
          <w:iCs/>
        </w:rPr>
        <w:t>IDS Working Paper 72</w:t>
      </w:r>
      <w:r w:rsidRPr="00876E4D">
        <w:rPr>
          <w:rFonts w:ascii="Times New Roman" w:hAnsi="Times New Roman" w:cs="Times New Roman"/>
        </w:rPr>
        <w:t xml:space="preserve">. Institute of Development Studies. </w:t>
      </w:r>
    </w:p>
    <w:p w14:paraId="7A449AFB" w14:textId="77777777" w:rsidR="007749AB" w:rsidRPr="00876E4D" w:rsidRDefault="007749AB" w:rsidP="007749AB">
      <w:pPr>
        <w:pStyle w:val="NoSpacing"/>
        <w:ind w:left="720" w:hanging="720"/>
        <w:jc w:val="both"/>
        <w:rPr>
          <w:rFonts w:ascii="Times New Roman" w:hAnsi="Times New Roman" w:cs="Times New Roman"/>
        </w:rPr>
      </w:pPr>
    </w:p>
    <w:p w14:paraId="6980FEC5" w14:textId="77777777" w:rsidR="000C62DE" w:rsidRPr="00876E4D" w:rsidRDefault="007749AB" w:rsidP="000C62DE">
      <w:pPr>
        <w:pStyle w:val="NoSpacing"/>
        <w:ind w:left="720" w:hanging="720"/>
        <w:jc w:val="both"/>
        <w:rPr>
          <w:rFonts w:ascii="Times New Roman" w:hAnsi="Times New Roman" w:cs="Times New Roman"/>
        </w:rPr>
      </w:pPr>
      <w:r w:rsidRPr="00876E4D">
        <w:rPr>
          <w:rFonts w:ascii="Times New Roman" w:hAnsi="Times New Roman" w:cs="Times New Roman"/>
        </w:rPr>
        <w:t xml:space="preserve">Zohra, F. T., Haque, S. M., Sheheli, S., &amp; Rana, M. M. (2022). Capacity strengthening of fish farmers for improving their livelihood in Mymensingh district of Bangladesh. </w:t>
      </w:r>
      <w:r w:rsidRPr="00876E4D">
        <w:rPr>
          <w:rFonts w:ascii="Times New Roman" w:hAnsi="Times New Roman" w:cs="Times New Roman"/>
          <w:i/>
          <w:iCs/>
        </w:rPr>
        <w:t>Archives of Agriculture and Environmental Science, 7</w:t>
      </w:r>
      <w:r w:rsidRPr="00876E4D">
        <w:rPr>
          <w:rFonts w:ascii="Times New Roman" w:hAnsi="Times New Roman" w:cs="Times New Roman"/>
        </w:rPr>
        <w:t>(2), 156–165.</w:t>
      </w:r>
    </w:p>
    <w:p w14:paraId="5D2DD5FA" w14:textId="77777777" w:rsidR="000C62DE" w:rsidRPr="00876E4D" w:rsidRDefault="000C62DE" w:rsidP="000C62DE">
      <w:pPr>
        <w:pStyle w:val="NoSpacing"/>
        <w:ind w:left="720" w:hanging="720"/>
        <w:jc w:val="both"/>
        <w:rPr>
          <w:rFonts w:ascii="Times New Roman" w:hAnsi="Times New Roman" w:cs="Times New Roman"/>
        </w:rPr>
      </w:pPr>
    </w:p>
    <w:p w14:paraId="6B36E055" w14:textId="6385E123" w:rsidR="006C60BB" w:rsidRPr="00876E4D" w:rsidRDefault="006C60BB" w:rsidP="000C62DE">
      <w:pPr>
        <w:pStyle w:val="NoSpacing"/>
        <w:ind w:left="720" w:hanging="720"/>
        <w:jc w:val="both"/>
        <w:rPr>
          <w:rFonts w:ascii="Times New Roman" w:hAnsi="Times New Roman" w:cs="Times New Roman"/>
        </w:rPr>
      </w:pPr>
      <w:r w:rsidRPr="00876E4D">
        <w:rPr>
          <w:rFonts w:ascii="Times New Roman" w:hAnsi="Times New Roman" w:cs="Times New Roman"/>
        </w:rPr>
        <w:lastRenderedPageBreak/>
        <w:t xml:space="preserve">Rahman, M. M., &amp; Manprasert, S. (2006). Rural housing and livelihood conditions in Bangladesh: An empirical study. </w:t>
      </w:r>
      <w:r w:rsidRPr="00876E4D">
        <w:rPr>
          <w:rFonts w:ascii="Times New Roman" w:hAnsi="Times New Roman" w:cs="Times New Roman"/>
          <w:i/>
          <w:iCs/>
        </w:rPr>
        <w:t>Asian Journal of Social Science, 34</w:t>
      </w:r>
      <w:r w:rsidRPr="00876E4D">
        <w:rPr>
          <w:rFonts w:ascii="Times New Roman" w:hAnsi="Times New Roman" w:cs="Times New Roman"/>
        </w:rPr>
        <w:t xml:space="preserve">(4), 563–582. </w:t>
      </w:r>
    </w:p>
    <w:p w14:paraId="133BCB00" w14:textId="77777777" w:rsidR="006C60BB" w:rsidRPr="00876E4D" w:rsidRDefault="006C60BB" w:rsidP="000C62DE">
      <w:pPr>
        <w:pStyle w:val="NoSpacing"/>
        <w:ind w:left="720" w:hanging="720"/>
        <w:jc w:val="both"/>
        <w:rPr>
          <w:rFonts w:ascii="Times New Roman" w:hAnsi="Times New Roman" w:cs="Times New Roman"/>
        </w:rPr>
      </w:pPr>
    </w:p>
    <w:p w14:paraId="60D407A1" w14:textId="2A67CD2C" w:rsidR="00155E05" w:rsidRPr="00876E4D" w:rsidRDefault="00155E05" w:rsidP="000C62DE">
      <w:pPr>
        <w:pStyle w:val="NoSpacing"/>
        <w:ind w:left="720" w:hanging="720"/>
        <w:jc w:val="both"/>
        <w:rPr>
          <w:rFonts w:ascii="Times New Roman" w:hAnsi="Times New Roman" w:cs="Times New Roman"/>
        </w:rPr>
      </w:pPr>
      <w:r w:rsidRPr="00876E4D">
        <w:rPr>
          <w:rFonts w:ascii="Times New Roman" w:hAnsi="Times New Roman" w:cs="Times New Roman"/>
        </w:rPr>
        <w:t xml:space="preserve">Rahman, M. S., &amp; Akter, S. (2022). Livelihood diversification and rural household resilience in Bangladesh. </w:t>
      </w:r>
      <w:r w:rsidRPr="00876E4D">
        <w:rPr>
          <w:rFonts w:ascii="Times New Roman" w:hAnsi="Times New Roman" w:cs="Times New Roman"/>
          <w:i/>
          <w:iCs/>
        </w:rPr>
        <w:t>Journal of Rural Studies, 89</w:t>
      </w:r>
      <w:r w:rsidRPr="00876E4D">
        <w:rPr>
          <w:rFonts w:ascii="Times New Roman" w:hAnsi="Times New Roman" w:cs="Times New Roman"/>
        </w:rPr>
        <w:t>, 45–56.</w:t>
      </w:r>
    </w:p>
    <w:p w14:paraId="089CF345" w14:textId="77777777" w:rsidR="00155E05" w:rsidRPr="00876E4D" w:rsidRDefault="00155E05" w:rsidP="000C62DE">
      <w:pPr>
        <w:pStyle w:val="NoSpacing"/>
        <w:ind w:left="720" w:hanging="720"/>
        <w:jc w:val="both"/>
        <w:rPr>
          <w:rFonts w:ascii="Times New Roman" w:hAnsi="Times New Roman" w:cs="Times New Roman"/>
        </w:rPr>
      </w:pPr>
    </w:p>
    <w:p w14:paraId="37C4096A" w14:textId="77777777" w:rsidR="000C62DE" w:rsidRPr="00876E4D" w:rsidRDefault="000C62DE" w:rsidP="000C62DE">
      <w:pPr>
        <w:pStyle w:val="NoSpacing"/>
        <w:ind w:left="720" w:hanging="720"/>
        <w:jc w:val="both"/>
        <w:rPr>
          <w:rFonts w:ascii="Times New Roman" w:hAnsi="Times New Roman" w:cs="Times New Roman"/>
        </w:rPr>
      </w:pPr>
      <w:r w:rsidRPr="00876E4D">
        <w:rPr>
          <w:rFonts w:ascii="Times New Roman" w:hAnsi="Times New Roman" w:cs="Times New Roman"/>
        </w:rPr>
        <w:t xml:space="preserve">Rehman, A., Batool, Z., Ma, H., Alvarado, R., &amp; Oláh, J. (2024). Climate change and food security in South Asia: The importance of renewable energy and agricultural credit. </w:t>
      </w:r>
      <w:r w:rsidRPr="00876E4D">
        <w:rPr>
          <w:rFonts w:ascii="Times New Roman" w:hAnsi="Times New Roman" w:cs="Times New Roman"/>
          <w:i/>
          <w:iCs/>
        </w:rPr>
        <w:t>Humanities and Social Sciences Communications, 11</w:t>
      </w:r>
      <w:r w:rsidRPr="00876E4D">
        <w:rPr>
          <w:rFonts w:ascii="Times New Roman" w:hAnsi="Times New Roman" w:cs="Times New Roman"/>
        </w:rPr>
        <w:t xml:space="preserve">, 342. https://doi.org/10.1038/s41599-024-02847-3 </w:t>
      </w:r>
    </w:p>
    <w:p w14:paraId="69FD59E9" w14:textId="77777777" w:rsidR="00155E05" w:rsidRPr="00876E4D" w:rsidRDefault="00155E05" w:rsidP="000C62DE">
      <w:pPr>
        <w:pStyle w:val="NoSpacing"/>
        <w:ind w:left="720" w:hanging="720"/>
        <w:jc w:val="both"/>
        <w:rPr>
          <w:rFonts w:ascii="Times New Roman" w:hAnsi="Times New Roman" w:cs="Times New Roman"/>
        </w:rPr>
      </w:pPr>
    </w:p>
    <w:p w14:paraId="170AB26C" w14:textId="2412380F" w:rsidR="00155E05" w:rsidRPr="00876E4D" w:rsidRDefault="00155E05" w:rsidP="000C62DE">
      <w:pPr>
        <w:pStyle w:val="NoSpacing"/>
        <w:ind w:left="720" w:hanging="720"/>
        <w:jc w:val="both"/>
        <w:rPr>
          <w:rFonts w:ascii="Times New Roman" w:hAnsi="Times New Roman" w:cs="Times New Roman"/>
        </w:rPr>
      </w:pPr>
      <w:r w:rsidRPr="00876E4D">
        <w:rPr>
          <w:rFonts w:ascii="Times New Roman" w:hAnsi="Times New Roman" w:cs="Times New Roman"/>
        </w:rPr>
        <w:t xml:space="preserve">Rogers, E. M. (2003). </w:t>
      </w:r>
      <w:r w:rsidRPr="00876E4D">
        <w:rPr>
          <w:rFonts w:ascii="Times New Roman" w:hAnsi="Times New Roman" w:cs="Times New Roman"/>
          <w:i/>
          <w:iCs/>
        </w:rPr>
        <w:t>Diffusion of innovations</w:t>
      </w:r>
      <w:r w:rsidRPr="00876E4D">
        <w:rPr>
          <w:rFonts w:ascii="Times New Roman" w:hAnsi="Times New Roman" w:cs="Times New Roman"/>
        </w:rPr>
        <w:t xml:space="preserve"> (5th ed.). Free Press.</w:t>
      </w:r>
    </w:p>
    <w:p w14:paraId="0BE1D2AF" w14:textId="77777777" w:rsidR="00155E05" w:rsidRPr="00876E4D" w:rsidRDefault="00155E05" w:rsidP="000C62DE">
      <w:pPr>
        <w:pStyle w:val="NoSpacing"/>
        <w:ind w:left="720" w:hanging="720"/>
        <w:jc w:val="both"/>
        <w:rPr>
          <w:rFonts w:ascii="Times New Roman" w:hAnsi="Times New Roman" w:cs="Times New Roman"/>
        </w:rPr>
      </w:pPr>
    </w:p>
    <w:p w14:paraId="713CAF4D" w14:textId="1B7C9FC9" w:rsidR="000C62DE" w:rsidRPr="00876E4D" w:rsidRDefault="000C62DE" w:rsidP="000C62DE">
      <w:pPr>
        <w:pStyle w:val="NoSpacing"/>
        <w:ind w:left="720" w:hanging="720"/>
        <w:jc w:val="both"/>
        <w:rPr>
          <w:rFonts w:ascii="Times New Roman" w:hAnsi="Times New Roman" w:cs="Times New Roman"/>
        </w:rPr>
      </w:pPr>
      <w:r w:rsidRPr="00876E4D">
        <w:rPr>
          <w:rFonts w:ascii="Times New Roman" w:hAnsi="Times New Roman" w:cs="Times New Roman"/>
        </w:rPr>
        <w:t xml:space="preserve">Sinha, G., &amp; Banerjee, M. (2025). Economic impact of fisheries and aquaculture on rural livelihoods: A review. </w:t>
      </w:r>
      <w:r w:rsidRPr="00876E4D">
        <w:rPr>
          <w:rFonts w:ascii="Times New Roman" w:hAnsi="Times New Roman" w:cs="Times New Roman"/>
          <w:i/>
          <w:iCs/>
        </w:rPr>
        <w:t>The Bioscan, 20</w:t>
      </w:r>
      <w:r w:rsidRPr="00876E4D">
        <w:rPr>
          <w:rFonts w:ascii="Times New Roman" w:hAnsi="Times New Roman" w:cs="Times New Roman"/>
        </w:rPr>
        <w:t xml:space="preserve">(3), 68–79. </w:t>
      </w:r>
    </w:p>
    <w:p w14:paraId="5F5D6CFE" w14:textId="77777777" w:rsidR="000C62DE" w:rsidRPr="00876E4D" w:rsidRDefault="000C62DE" w:rsidP="000C62DE">
      <w:pPr>
        <w:pStyle w:val="NoSpacing"/>
        <w:ind w:left="720" w:hanging="720"/>
        <w:jc w:val="both"/>
        <w:rPr>
          <w:rFonts w:ascii="Times New Roman" w:hAnsi="Times New Roman" w:cs="Times New Roman"/>
        </w:rPr>
      </w:pPr>
    </w:p>
    <w:p w14:paraId="7B0508CC" w14:textId="401E2425" w:rsidR="000C62DE" w:rsidRPr="00876E4D" w:rsidRDefault="000C62DE" w:rsidP="000C62DE">
      <w:pPr>
        <w:pStyle w:val="NoSpacing"/>
        <w:ind w:left="720" w:hanging="720"/>
        <w:jc w:val="both"/>
        <w:rPr>
          <w:rFonts w:ascii="Times New Roman" w:hAnsi="Times New Roman" w:cs="Times New Roman"/>
        </w:rPr>
      </w:pPr>
      <w:r w:rsidRPr="00876E4D">
        <w:rPr>
          <w:rFonts w:ascii="Times New Roman" w:hAnsi="Times New Roman" w:cs="Times New Roman"/>
        </w:rPr>
        <w:t xml:space="preserve">Food and Agriculture Organization (FAO). (2022). </w:t>
      </w:r>
      <w:r w:rsidRPr="00876E4D">
        <w:rPr>
          <w:rFonts w:ascii="Times New Roman" w:hAnsi="Times New Roman" w:cs="Times New Roman"/>
          <w:i/>
          <w:iCs/>
        </w:rPr>
        <w:t>The state of world fisheries and aquaculture</w:t>
      </w:r>
      <w:r w:rsidRPr="00876E4D">
        <w:rPr>
          <w:rFonts w:ascii="Times New Roman" w:hAnsi="Times New Roman" w:cs="Times New Roman"/>
        </w:rPr>
        <w:t>. FAO.</w:t>
      </w:r>
    </w:p>
    <w:p w14:paraId="14987DC4" w14:textId="77777777" w:rsidR="000C62DE" w:rsidRPr="00876E4D" w:rsidRDefault="000C62DE" w:rsidP="000C62DE">
      <w:pPr>
        <w:pStyle w:val="NoSpacing"/>
        <w:jc w:val="both"/>
        <w:rPr>
          <w:rFonts w:ascii="Times New Roman" w:hAnsi="Times New Roman" w:cs="Times New Roman"/>
        </w:rPr>
      </w:pPr>
    </w:p>
    <w:p w14:paraId="5AFDE16A" w14:textId="77777777" w:rsidR="00E86025" w:rsidRPr="00876E4D" w:rsidRDefault="00E86025" w:rsidP="000441A7">
      <w:pPr>
        <w:pStyle w:val="NoSpacing"/>
        <w:ind w:left="720" w:hanging="720"/>
        <w:jc w:val="both"/>
        <w:rPr>
          <w:rFonts w:ascii="Times New Roman" w:hAnsi="Times New Roman" w:cs="Times New Roman"/>
        </w:rPr>
      </w:pPr>
      <w:r w:rsidRPr="00876E4D">
        <w:rPr>
          <w:rFonts w:ascii="Times New Roman" w:hAnsi="Times New Roman" w:cs="Times New Roman"/>
        </w:rPr>
        <w:t xml:space="preserve">World Bank. (2023). </w:t>
      </w:r>
      <w:r w:rsidRPr="00876E4D">
        <w:rPr>
          <w:rFonts w:ascii="Times New Roman" w:hAnsi="Times New Roman" w:cs="Times New Roman"/>
          <w:i/>
          <w:iCs/>
        </w:rPr>
        <w:t>Employment in agriculture (% of total employment) – Bangladesh</w:t>
      </w:r>
      <w:r w:rsidRPr="00876E4D">
        <w:rPr>
          <w:rFonts w:ascii="Times New Roman" w:hAnsi="Times New Roman" w:cs="Times New Roman"/>
        </w:rPr>
        <w:t xml:space="preserve">. </w:t>
      </w:r>
      <w:hyperlink r:id="rId33" w:tgtFrame="_new" w:history="1">
        <w:r w:rsidRPr="00876E4D">
          <w:rPr>
            <w:rStyle w:val="Hyperlink"/>
            <w:rFonts w:ascii="Times New Roman" w:hAnsi="Times New Roman" w:cs="Times New Roman"/>
            <w:color w:val="auto"/>
          </w:rPr>
          <w:t>https://data.worldbank.org/indicator/SL.AGR.EMPL.ZS</w:t>
        </w:r>
      </w:hyperlink>
    </w:p>
    <w:p w14:paraId="707054FC" w14:textId="77777777" w:rsidR="0025416D" w:rsidRPr="00876E4D" w:rsidRDefault="0025416D" w:rsidP="004C542B">
      <w:pPr>
        <w:pStyle w:val="NoSpacing"/>
        <w:jc w:val="both"/>
        <w:rPr>
          <w:rFonts w:ascii="Times New Roman" w:hAnsi="Times New Roman" w:cs="Times New Roman"/>
        </w:rPr>
      </w:pPr>
    </w:p>
    <w:sectPr w:rsidR="0025416D" w:rsidRPr="00876E4D">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364F0F" w14:textId="77777777" w:rsidR="00EB4D03" w:rsidRDefault="00EB4D03" w:rsidP="00C83000">
      <w:pPr>
        <w:spacing w:after="0" w:line="240" w:lineRule="auto"/>
      </w:pPr>
      <w:r>
        <w:separator/>
      </w:r>
    </w:p>
  </w:endnote>
  <w:endnote w:type="continuationSeparator" w:id="0">
    <w:p w14:paraId="0AA00BCD" w14:textId="77777777" w:rsidR="00EB4D03" w:rsidRDefault="00EB4D03" w:rsidP="00C83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B6E62" w14:textId="77777777" w:rsidR="00C83000" w:rsidRDefault="00C83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537C1" w14:textId="77777777" w:rsidR="00C83000" w:rsidRDefault="00C83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5C8CE" w14:textId="77777777" w:rsidR="00C83000" w:rsidRDefault="00C83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48391" w14:textId="77777777" w:rsidR="00EB4D03" w:rsidRDefault="00EB4D03" w:rsidP="00C83000">
      <w:pPr>
        <w:spacing w:after="0" w:line="240" w:lineRule="auto"/>
      </w:pPr>
      <w:r>
        <w:separator/>
      </w:r>
    </w:p>
  </w:footnote>
  <w:footnote w:type="continuationSeparator" w:id="0">
    <w:p w14:paraId="617DD0F0" w14:textId="77777777" w:rsidR="00EB4D03" w:rsidRDefault="00EB4D03" w:rsidP="00C83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A5640" w14:textId="6C294F0E" w:rsidR="00C83000" w:rsidRDefault="00000000">
    <w:pPr>
      <w:pStyle w:val="Header"/>
    </w:pPr>
    <w:r>
      <w:rPr>
        <w:noProof/>
      </w:rPr>
      <w:pict w14:anchorId="1540A5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377141"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6F611" w14:textId="248831EF" w:rsidR="00C83000" w:rsidRDefault="00000000">
    <w:pPr>
      <w:pStyle w:val="Header"/>
    </w:pPr>
    <w:r>
      <w:rPr>
        <w:noProof/>
      </w:rPr>
      <w:pict w14:anchorId="2A0F3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377142"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B85C0" w14:textId="608313FB" w:rsidR="00C83000" w:rsidRDefault="00000000">
    <w:pPr>
      <w:pStyle w:val="Header"/>
    </w:pPr>
    <w:r>
      <w:rPr>
        <w:noProof/>
      </w:rPr>
      <w:pict w14:anchorId="367C7A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377140"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DF6D43"/>
    <w:multiLevelType w:val="multilevel"/>
    <w:tmpl w:val="036A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6715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67B"/>
    <w:rsid w:val="0000086C"/>
    <w:rsid w:val="000365E6"/>
    <w:rsid w:val="000441A7"/>
    <w:rsid w:val="00045E08"/>
    <w:rsid w:val="00052954"/>
    <w:rsid w:val="000623C6"/>
    <w:rsid w:val="000930CF"/>
    <w:rsid w:val="000940D3"/>
    <w:rsid w:val="000A1859"/>
    <w:rsid w:val="000A1FF1"/>
    <w:rsid w:val="000C2656"/>
    <w:rsid w:val="000C62DE"/>
    <w:rsid w:val="000C7FF8"/>
    <w:rsid w:val="000D6E74"/>
    <w:rsid w:val="000D711D"/>
    <w:rsid w:val="000E1BA6"/>
    <w:rsid w:val="000F37AA"/>
    <w:rsid w:val="00107896"/>
    <w:rsid w:val="00127465"/>
    <w:rsid w:val="0014772D"/>
    <w:rsid w:val="00155E05"/>
    <w:rsid w:val="00175842"/>
    <w:rsid w:val="00175C11"/>
    <w:rsid w:val="00180752"/>
    <w:rsid w:val="00180823"/>
    <w:rsid w:val="00196279"/>
    <w:rsid w:val="001A2243"/>
    <w:rsid w:val="001A7A58"/>
    <w:rsid w:val="001A7DD5"/>
    <w:rsid w:val="001C4375"/>
    <w:rsid w:val="001D29C1"/>
    <w:rsid w:val="001E786F"/>
    <w:rsid w:val="001F1B05"/>
    <w:rsid w:val="001F5EE8"/>
    <w:rsid w:val="00210A6F"/>
    <w:rsid w:val="0021363B"/>
    <w:rsid w:val="00216874"/>
    <w:rsid w:val="00220117"/>
    <w:rsid w:val="0023690C"/>
    <w:rsid w:val="00242D22"/>
    <w:rsid w:val="00251008"/>
    <w:rsid w:val="0025406F"/>
    <w:rsid w:val="0025416D"/>
    <w:rsid w:val="00254342"/>
    <w:rsid w:val="00255D65"/>
    <w:rsid w:val="002563A7"/>
    <w:rsid w:val="00265575"/>
    <w:rsid w:val="0027505B"/>
    <w:rsid w:val="00280B46"/>
    <w:rsid w:val="002A606D"/>
    <w:rsid w:val="002B3D0B"/>
    <w:rsid w:val="002B66B8"/>
    <w:rsid w:val="002E0852"/>
    <w:rsid w:val="002E20D5"/>
    <w:rsid w:val="00315666"/>
    <w:rsid w:val="00321E0B"/>
    <w:rsid w:val="00326621"/>
    <w:rsid w:val="00340C1F"/>
    <w:rsid w:val="00346B86"/>
    <w:rsid w:val="00363C26"/>
    <w:rsid w:val="003A0FCD"/>
    <w:rsid w:val="003B7637"/>
    <w:rsid w:val="003D3BD3"/>
    <w:rsid w:val="003D3C25"/>
    <w:rsid w:val="00422E8B"/>
    <w:rsid w:val="00430A73"/>
    <w:rsid w:val="00436B47"/>
    <w:rsid w:val="004603F5"/>
    <w:rsid w:val="00461470"/>
    <w:rsid w:val="00481A56"/>
    <w:rsid w:val="004A14D0"/>
    <w:rsid w:val="004B4557"/>
    <w:rsid w:val="004C36AE"/>
    <w:rsid w:val="004C542B"/>
    <w:rsid w:val="004F464E"/>
    <w:rsid w:val="004F57E6"/>
    <w:rsid w:val="005140A9"/>
    <w:rsid w:val="00516104"/>
    <w:rsid w:val="005224D6"/>
    <w:rsid w:val="00540C65"/>
    <w:rsid w:val="00552D78"/>
    <w:rsid w:val="00557DF8"/>
    <w:rsid w:val="00564D4A"/>
    <w:rsid w:val="005C4E6D"/>
    <w:rsid w:val="005D4201"/>
    <w:rsid w:val="005D7DCF"/>
    <w:rsid w:val="005E0BA2"/>
    <w:rsid w:val="005E5260"/>
    <w:rsid w:val="005F49D6"/>
    <w:rsid w:val="005F5B8D"/>
    <w:rsid w:val="00611CB3"/>
    <w:rsid w:val="0062256B"/>
    <w:rsid w:val="00633D4B"/>
    <w:rsid w:val="00634E90"/>
    <w:rsid w:val="00655224"/>
    <w:rsid w:val="00655289"/>
    <w:rsid w:val="006636F6"/>
    <w:rsid w:val="0066594D"/>
    <w:rsid w:val="006A11BB"/>
    <w:rsid w:val="006A434A"/>
    <w:rsid w:val="006A7ADE"/>
    <w:rsid w:val="006C60BB"/>
    <w:rsid w:val="006C71F5"/>
    <w:rsid w:val="006F74F3"/>
    <w:rsid w:val="00712661"/>
    <w:rsid w:val="00715A01"/>
    <w:rsid w:val="007233DC"/>
    <w:rsid w:val="00725581"/>
    <w:rsid w:val="00725B9C"/>
    <w:rsid w:val="007273B7"/>
    <w:rsid w:val="007467E5"/>
    <w:rsid w:val="00752A51"/>
    <w:rsid w:val="00766E43"/>
    <w:rsid w:val="007749AB"/>
    <w:rsid w:val="00776516"/>
    <w:rsid w:val="007960C3"/>
    <w:rsid w:val="007D4FCC"/>
    <w:rsid w:val="007F004C"/>
    <w:rsid w:val="007F17A1"/>
    <w:rsid w:val="00824A47"/>
    <w:rsid w:val="00835141"/>
    <w:rsid w:val="0085095F"/>
    <w:rsid w:val="0086581E"/>
    <w:rsid w:val="00866057"/>
    <w:rsid w:val="00866735"/>
    <w:rsid w:val="00876E4D"/>
    <w:rsid w:val="00880F75"/>
    <w:rsid w:val="008A334D"/>
    <w:rsid w:val="008A5513"/>
    <w:rsid w:val="008C343E"/>
    <w:rsid w:val="008C7609"/>
    <w:rsid w:val="008D798D"/>
    <w:rsid w:val="008F0264"/>
    <w:rsid w:val="008F319F"/>
    <w:rsid w:val="0090372D"/>
    <w:rsid w:val="00914DF2"/>
    <w:rsid w:val="0091593B"/>
    <w:rsid w:val="00917303"/>
    <w:rsid w:val="00917403"/>
    <w:rsid w:val="0092301F"/>
    <w:rsid w:val="00932C63"/>
    <w:rsid w:val="00937E8F"/>
    <w:rsid w:val="00942AA9"/>
    <w:rsid w:val="00947A17"/>
    <w:rsid w:val="00954052"/>
    <w:rsid w:val="00965E96"/>
    <w:rsid w:val="009A0E9F"/>
    <w:rsid w:val="009A3A86"/>
    <w:rsid w:val="009B7565"/>
    <w:rsid w:val="009B7E7C"/>
    <w:rsid w:val="009C2B27"/>
    <w:rsid w:val="00A10AB5"/>
    <w:rsid w:val="00A26467"/>
    <w:rsid w:val="00A27FF0"/>
    <w:rsid w:val="00A8156E"/>
    <w:rsid w:val="00A84838"/>
    <w:rsid w:val="00AA3E88"/>
    <w:rsid w:val="00AA6F18"/>
    <w:rsid w:val="00AC01C4"/>
    <w:rsid w:val="00AC57AE"/>
    <w:rsid w:val="00AF701C"/>
    <w:rsid w:val="00B30101"/>
    <w:rsid w:val="00B34164"/>
    <w:rsid w:val="00B357AD"/>
    <w:rsid w:val="00B406E1"/>
    <w:rsid w:val="00B417E8"/>
    <w:rsid w:val="00B54D6F"/>
    <w:rsid w:val="00B85FE1"/>
    <w:rsid w:val="00BA3689"/>
    <w:rsid w:val="00BE64C9"/>
    <w:rsid w:val="00BE67C5"/>
    <w:rsid w:val="00BE7B8A"/>
    <w:rsid w:val="00C117F2"/>
    <w:rsid w:val="00C65FEC"/>
    <w:rsid w:val="00C74B61"/>
    <w:rsid w:val="00C83000"/>
    <w:rsid w:val="00C91502"/>
    <w:rsid w:val="00C949D0"/>
    <w:rsid w:val="00CB4217"/>
    <w:rsid w:val="00CC4179"/>
    <w:rsid w:val="00CF0516"/>
    <w:rsid w:val="00D158A4"/>
    <w:rsid w:val="00D17B50"/>
    <w:rsid w:val="00D40466"/>
    <w:rsid w:val="00D4367C"/>
    <w:rsid w:val="00D55070"/>
    <w:rsid w:val="00D73D60"/>
    <w:rsid w:val="00D76B83"/>
    <w:rsid w:val="00D92306"/>
    <w:rsid w:val="00DB579C"/>
    <w:rsid w:val="00DC4320"/>
    <w:rsid w:val="00DD3203"/>
    <w:rsid w:val="00DE2DE8"/>
    <w:rsid w:val="00DE78F9"/>
    <w:rsid w:val="00DF571E"/>
    <w:rsid w:val="00DF593E"/>
    <w:rsid w:val="00DF6D2A"/>
    <w:rsid w:val="00E14FD5"/>
    <w:rsid w:val="00E553C4"/>
    <w:rsid w:val="00E56F69"/>
    <w:rsid w:val="00E605D0"/>
    <w:rsid w:val="00E65E7A"/>
    <w:rsid w:val="00E66320"/>
    <w:rsid w:val="00E74F1A"/>
    <w:rsid w:val="00E76996"/>
    <w:rsid w:val="00E826D1"/>
    <w:rsid w:val="00E86025"/>
    <w:rsid w:val="00EA5EAB"/>
    <w:rsid w:val="00EA64EC"/>
    <w:rsid w:val="00EB278F"/>
    <w:rsid w:val="00EB4D03"/>
    <w:rsid w:val="00EB6E17"/>
    <w:rsid w:val="00ED2429"/>
    <w:rsid w:val="00ED59A3"/>
    <w:rsid w:val="00EE2600"/>
    <w:rsid w:val="00F1467B"/>
    <w:rsid w:val="00F229F3"/>
    <w:rsid w:val="00F32745"/>
    <w:rsid w:val="00F6197B"/>
    <w:rsid w:val="00F74AC8"/>
    <w:rsid w:val="00F8181F"/>
    <w:rsid w:val="00F83916"/>
    <w:rsid w:val="00FA0EA4"/>
    <w:rsid w:val="00FC3F22"/>
    <w:rsid w:val="00FC46B3"/>
    <w:rsid w:val="00FD0E93"/>
    <w:rsid w:val="00FE7852"/>
    <w:rsid w:val="00FF7BC4"/>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5D058"/>
  <w15:chartTrackingRefBased/>
  <w15:docId w15:val="{156F4E13-97BC-4B35-8E1D-01DCD48E0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67B"/>
  </w:style>
  <w:style w:type="paragraph" w:styleId="Heading1">
    <w:name w:val="heading 1"/>
    <w:basedOn w:val="Normal"/>
    <w:next w:val="Normal"/>
    <w:link w:val="Heading1Char"/>
    <w:uiPriority w:val="9"/>
    <w:qFormat/>
    <w:rsid w:val="00F146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46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46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46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46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46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6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6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6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6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46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46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46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46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46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6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6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67B"/>
    <w:rPr>
      <w:rFonts w:eastAsiaTheme="majorEastAsia" w:cstheme="majorBidi"/>
      <w:color w:val="272727" w:themeColor="text1" w:themeTint="D8"/>
    </w:rPr>
  </w:style>
  <w:style w:type="paragraph" w:styleId="Title">
    <w:name w:val="Title"/>
    <w:basedOn w:val="Normal"/>
    <w:next w:val="Normal"/>
    <w:link w:val="TitleChar"/>
    <w:uiPriority w:val="10"/>
    <w:qFormat/>
    <w:rsid w:val="00F146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6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6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6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67B"/>
    <w:pPr>
      <w:spacing w:before="160"/>
      <w:jc w:val="center"/>
    </w:pPr>
    <w:rPr>
      <w:i/>
      <w:iCs/>
      <w:color w:val="404040" w:themeColor="text1" w:themeTint="BF"/>
    </w:rPr>
  </w:style>
  <w:style w:type="character" w:customStyle="1" w:styleId="QuoteChar">
    <w:name w:val="Quote Char"/>
    <w:basedOn w:val="DefaultParagraphFont"/>
    <w:link w:val="Quote"/>
    <w:uiPriority w:val="29"/>
    <w:rsid w:val="00F1467B"/>
    <w:rPr>
      <w:i/>
      <w:iCs/>
      <w:color w:val="404040" w:themeColor="text1" w:themeTint="BF"/>
    </w:rPr>
  </w:style>
  <w:style w:type="paragraph" w:styleId="ListParagraph">
    <w:name w:val="List Paragraph"/>
    <w:basedOn w:val="Normal"/>
    <w:uiPriority w:val="34"/>
    <w:qFormat/>
    <w:rsid w:val="00F1467B"/>
    <w:pPr>
      <w:ind w:left="720"/>
      <w:contextualSpacing/>
    </w:pPr>
  </w:style>
  <w:style w:type="character" w:styleId="IntenseEmphasis">
    <w:name w:val="Intense Emphasis"/>
    <w:basedOn w:val="DefaultParagraphFont"/>
    <w:uiPriority w:val="21"/>
    <w:qFormat/>
    <w:rsid w:val="00F1467B"/>
    <w:rPr>
      <w:i/>
      <w:iCs/>
      <w:color w:val="0F4761" w:themeColor="accent1" w:themeShade="BF"/>
    </w:rPr>
  </w:style>
  <w:style w:type="paragraph" w:styleId="IntenseQuote">
    <w:name w:val="Intense Quote"/>
    <w:basedOn w:val="Normal"/>
    <w:next w:val="Normal"/>
    <w:link w:val="IntenseQuoteChar"/>
    <w:uiPriority w:val="30"/>
    <w:qFormat/>
    <w:rsid w:val="00F146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467B"/>
    <w:rPr>
      <w:i/>
      <w:iCs/>
      <w:color w:val="0F4761" w:themeColor="accent1" w:themeShade="BF"/>
    </w:rPr>
  </w:style>
  <w:style w:type="character" w:styleId="IntenseReference">
    <w:name w:val="Intense Reference"/>
    <w:basedOn w:val="DefaultParagraphFont"/>
    <w:uiPriority w:val="32"/>
    <w:qFormat/>
    <w:rsid w:val="00F1467B"/>
    <w:rPr>
      <w:b/>
      <w:bCs/>
      <w:smallCaps/>
      <w:color w:val="0F4761" w:themeColor="accent1" w:themeShade="BF"/>
      <w:spacing w:val="5"/>
    </w:rPr>
  </w:style>
  <w:style w:type="paragraph" w:styleId="NoSpacing">
    <w:name w:val="No Spacing"/>
    <w:uiPriority w:val="1"/>
    <w:qFormat/>
    <w:rsid w:val="00F1467B"/>
    <w:pPr>
      <w:spacing w:after="0" w:line="240" w:lineRule="auto"/>
    </w:pPr>
  </w:style>
  <w:style w:type="character" w:styleId="Hyperlink">
    <w:name w:val="Hyperlink"/>
    <w:basedOn w:val="DefaultParagraphFont"/>
    <w:uiPriority w:val="99"/>
    <w:unhideWhenUsed/>
    <w:rsid w:val="00DF571E"/>
    <w:rPr>
      <w:color w:val="467886" w:themeColor="hyperlink"/>
      <w:u w:val="single"/>
    </w:rPr>
  </w:style>
  <w:style w:type="character" w:customStyle="1" w:styleId="UnresolvedMention1">
    <w:name w:val="Unresolved Mention1"/>
    <w:basedOn w:val="DefaultParagraphFont"/>
    <w:uiPriority w:val="99"/>
    <w:semiHidden/>
    <w:unhideWhenUsed/>
    <w:rsid w:val="00DF571E"/>
    <w:rPr>
      <w:color w:val="605E5C"/>
      <w:shd w:val="clear" w:color="auto" w:fill="E1DFDD"/>
    </w:rPr>
  </w:style>
  <w:style w:type="paragraph" w:styleId="NormalWeb">
    <w:name w:val="Normal (Web)"/>
    <w:basedOn w:val="Normal"/>
    <w:uiPriority w:val="99"/>
    <w:unhideWhenUsed/>
    <w:rsid w:val="00752A51"/>
    <w:pPr>
      <w:spacing w:before="100" w:beforeAutospacing="1" w:after="100" w:afterAutospacing="1" w:line="240" w:lineRule="auto"/>
    </w:pPr>
    <w:rPr>
      <w:rFonts w:ascii="Times New Roman" w:eastAsia="Times New Roman" w:hAnsi="Times New Roman" w:cs="Times New Roman"/>
      <w:kern w:val="0"/>
      <w:lang w:bidi="bn-BD"/>
      <w14:ligatures w14:val="none"/>
    </w:rPr>
  </w:style>
  <w:style w:type="character" w:styleId="Strong">
    <w:name w:val="Strong"/>
    <w:basedOn w:val="DefaultParagraphFont"/>
    <w:uiPriority w:val="22"/>
    <w:qFormat/>
    <w:rsid w:val="00752A51"/>
    <w:rPr>
      <w:b/>
      <w:bCs/>
    </w:rPr>
  </w:style>
  <w:style w:type="character" w:customStyle="1" w:styleId="UnresolvedMention2">
    <w:name w:val="Unresolved Mention2"/>
    <w:basedOn w:val="DefaultParagraphFont"/>
    <w:uiPriority w:val="99"/>
    <w:semiHidden/>
    <w:unhideWhenUsed/>
    <w:rsid w:val="00E86025"/>
    <w:rPr>
      <w:color w:val="605E5C"/>
      <w:shd w:val="clear" w:color="auto" w:fill="E1DFDD"/>
    </w:rPr>
  </w:style>
  <w:style w:type="character" w:customStyle="1" w:styleId="fontstyle01">
    <w:name w:val="fontstyle01"/>
    <w:basedOn w:val="DefaultParagraphFont"/>
    <w:rsid w:val="00947A17"/>
    <w:rPr>
      <w:rFonts w:ascii="TimesNewRomanPS-BoldMT" w:hAnsi="TimesNewRomanPS-BoldMT" w:hint="default"/>
      <w:b/>
      <w:bCs/>
      <w:i w:val="0"/>
      <w:iCs w:val="0"/>
      <w:color w:val="000000"/>
      <w:sz w:val="32"/>
      <w:szCs w:val="32"/>
    </w:rPr>
  </w:style>
  <w:style w:type="character" w:styleId="UnresolvedMention">
    <w:name w:val="Unresolved Mention"/>
    <w:basedOn w:val="DefaultParagraphFont"/>
    <w:uiPriority w:val="99"/>
    <w:semiHidden/>
    <w:unhideWhenUsed/>
    <w:rsid w:val="001A7A58"/>
    <w:rPr>
      <w:color w:val="605E5C"/>
      <w:shd w:val="clear" w:color="auto" w:fill="E1DFDD"/>
    </w:rPr>
  </w:style>
  <w:style w:type="paragraph" w:styleId="Header">
    <w:name w:val="header"/>
    <w:basedOn w:val="Normal"/>
    <w:link w:val="HeaderChar"/>
    <w:uiPriority w:val="99"/>
    <w:unhideWhenUsed/>
    <w:rsid w:val="00C83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000"/>
  </w:style>
  <w:style w:type="paragraph" w:styleId="Footer">
    <w:name w:val="footer"/>
    <w:basedOn w:val="Normal"/>
    <w:link w:val="FooterChar"/>
    <w:uiPriority w:val="99"/>
    <w:unhideWhenUsed/>
    <w:rsid w:val="00C830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8560023">
      <w:bodyDiv w:val="1"/>
      <w:marLeft w:val="0"/>
      <w:marRight w:val="0"/>
      <w:marTop w:val="0"/>
      <w:marBottom w:val="0"/>
      <w:divBdr>
        <w:top w:val="none" w:sz="0" w:space="0" w:color="auto"/>
        <w:left w:val="none" w:sz="0" w:space="0" w:color="auto"/>
        <w:bottom w:val="none" w:sz="0" w:space="0" w:color="auto"/>
        <w:right w:val="none" w:sz="0" w:space="0" w:color="auto"/>
      </w:divBdr>
    </w:div>
    <w:div w:id="2092120880">
      <w:bodyDiv w:val="1"/>
      <w:marLeft w:val="0"/>
      <w:marRight w:val="0"/>
      <w:marTop w:val="0"/>
      <w:marBottom w:val="0"/>
      <w:divBdr>
        <w:top w:val="none" w:sz="0" w:space="0" w:color="auto"/>
        <w:left w:val="none" w:sz="0" w:space="0" w:color="auto"/>
        <w:bottom w:val="none" w:sz="0" w:space="0" w:color="auto"/>
        <w:right w:val="none" w:sz="0" w:space="0" w:color="auto"/>
      </w:divBdr>
    </w:div>
    <w:div w:id="214410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hyperlink" Target="https://faolex.fao.org/docs/pdf/bgd169471.pdf" TargetMode="External"/><Relationship Id="rId39" Type="http://schemas.openxmlformats.org/officeDocument/2006/relationships/footer" Target="footer3.xml"/><Relationship Id="rId21" Type="http://schemas.openxmlformats.org/officeDocument/2006/relationships/chart" Target="charts/chart14.xml"/><Relationship Id="rId34" Type="http://schemas.openxmlformats.org/officeDocument/2006/relationships/header" Target="header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hyperlink" Target="https://doi.org/10.1007/s11356-023-31630-1"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hyperlink" Target="https://doi.org/10.1016/j.aquaculture.2012.07.002" TargetMode="External"/><Relationship Id="rId32" Type="http://schemas.openxmlformats.org/officeDocument/2006/relationships/hyperlink" Target="https://doi.org/10.1016/j.aaf.2017.03.006"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hart" Target="charts/chart8.xml"/><Relationship Id="rId23" Type="http://schemas.openxmlformats.org/officeDocument/2006/relationships/hyperlink" Target="https://doi.org/10.3329/jbau.v9i1.8759" TargetMode="External"/><Relationship Id="rId28" Type="http://schemas.openxmlformats.org/officeDocument/2006/relationships/hyperlink" Target="https://doi.org/10.1016/j.wds.2024.100192" TargetMode="External"/><Relationship Id="rId36"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hyperlink" Target="https://doi.org/10.3329/jbau.v16i1.36491"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s://doi.org/10.3390/aquacj4040022" TargetMode="External"/><Relationship Id="rId27" Type="http://schemas.openxmlformats.org/officeDocument/2006/relationships/hyperlink" Target="https://doi.org/10.1007/s10499-021-00818" TargetMode="External"/><Relationship Id="rId30" Type="http://schemas.openxmlformats.org/officeDocument/2006/relationships/hyperlink" Target="https://doi.org/10.3329/jbau.v16i2.37983" TargetMode="External"/><Relationship Id="rId35" Type="http://schemas.openxmlformats.org/officeDocument/2006/relationships/header" Target="header2.xml"/><Relationship Id="rId8" Type="http://schemas.openxmlformats.org/officeDocument/2006/relationships/chart" Target="charts/chart1.xml"/><Relationship Id="rId3" Type="http://schemas.openxmlformats.org/officeDocument/2006/relationships/settings" Target="setting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yperlink" Target="https://fsb.bau.edu.bd/bjf/index.php/home/article/view/73" TargetMode="External"/><Relationship Id="rId33" Type="http://schemas.openxmlformats.org/officeDocument/2006/relationships/hyperlink" Target="https://data.worldbank.org/indicator/SL.AGR.EMPL.ZS" TargetMode="External"/><Relationship Id="rId38"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jrak\Downloads\socio_economic%20data.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djrak\Downloads\socio_economic%20data.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djrak\Downloads\sanitary%20pie.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djrak\Downloads\socio_economic%20data.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djrak\Downloads\socio_economic%20data.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djrak\Downloads\socio_economic%20data.xlsx" TargetMode="External"/><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jrak\Downloads\socio_economic%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jrak\Downloads\socio_economic%20d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jrak\Downloads\socio_economic%20dat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jrak\Downloads\socio_economic%20data.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djrak\Downloads\socio_economic%20data.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djrak\Downloads\socio_economic%20data.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djrak\Downloads\socio_economic%20data.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djrak\Downloads\socio_economic%20data.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a:t>Gender Distribution </a:t>
            </a:r>
          </a:p>
        </c:rich>
      </c:tx>
      <c:layout>
        <c:manualLayout>
          <c:xMode val="edge"/>
          <c:yMode val="edge"/>
          <c:x val="0.2493820347928207"/>
          <c:y val="0"/>
        </c:manualLayout>
      </c:layout>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6470735969324587"/>
          <c:y val="0.11007127549423294"/>
          <c:w val="0.68857949360103576"/>
          <c:h val="0.78123239182258186"/>
        </c:manualLayout>
      </c:layout>
      <c:pieChart>
        <c:varyColors val="1"/>
        <c:ser>
          <c:idx val="0"/>
          <c:order val="0"/>
          <c:tx>
            <c:strRef>
              <c:f>Sheet1!$B$1</c:f>
              <c:strCache>
                <c:ptCount val="1"/>
                <c:pt idx="0">
                  <c:v>(%) of Respondents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68FF-4A92-A722-0F24F33215AC}"/>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68FF-4A92-A722-0F24F33215AC}"/>
              </c:ext>
            </c:extLst>
          </c:dPt>
          <c:dLbls>
            <c:dLbl>
              <c:idx val="0"/>
              <c:layout>
                <c:manualLayout>
                  <c:x val="-5.4575535549300565E-2"/>
                  <c:y val="-0.15740740740740741"/>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8FF-4A92-A722-0F24F33215AC}"/>
                </c:ext>
              </c:extLst>
            </c:dLbl>
            <c:dLbl>
              <c:idx val="1"/>
              <c:layout>
                <c:manualLayout>
                  <c:x val="3.7418153653120512E-2"/>
                  <c:y val="0.12867138160527378"/>
                </c:manualLayout>
              </c:layout>
              <c:tx>
                <c:rich>
                  <a:bodyPr rot="0" spcFirstLastPara="1" vertOverflow="clip" horzOverflow="clip"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fld id="{BD000217-35ED-4F61-8E5A-2CF4B373FBF6}" type="PERCENTAGE">
                      <a:rPr lang="en-US" baseline="0" smtClean="0"/>
                      <a:pPr>
                        <a:defRPr/>
                      </a:pPr>
                      <a:t>[PERCENTAGE]</a:t>
                    </a:fld>
                    <a:endParaRPr lang="en-SG"/>
                  </a:p>
                </c:rich>
              </c:tx>
              <c:spPr>
                <a:solidFill>
                  <a:prstClr val="white"/>
                </a:solidFill>
                <a:ln>
                  <a:solidFill>
                    <a:prstClr val="black">
                      <a:lumMod val="25000"/>
                      <a:lumOff val="75000"/>
                    </a:prstClr>
                  </a:solidFill>
                </a:ln>
                <a:effectLst/>
              </c:spPr>
              <c:txPr>
                <a:bodyPr rot="0" spcFirstLastPara="1" vertOverflow="clip" horzOverflow="clip"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dlblFieldTable/>
                  <c15:showDataLabelsRange val="0"/>
                </c:ext>
                <c:ext xmlns:c16="http://schemas.microsoft.com/office/drawing/2014/chart" uri="{C3380CC4-5D6E-409C-BE32-E72D297353CC}">
                  <c16:uniqueId val="{00000003-68FF-4A92-A722-0F24F33215AC}"/>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Sheet1!$A$2:$A$3</c:f>
              <c:strCache>
                <c:ptCount val="2"/>
                <c:pt idx="0">
                  <c:v>Male</c:v>
                </c:pt>
                <c:pt idx="1">
                  <c:v>Female</c:v>
                </c:pt>
              </c:strCache>
            </c:strRef>
          </c:cat>
          <c:val>
            <c:numRef>
              <c:f>Sheet1!$B$2:$B$3</c:f>
              <c:numCache>
                <c:formatCode>General</c:formatCode>
                <c:ptCount val="2"/>
                <c:pt idx="0">
                  <c:v>95.39</c:v>
                </c:pt>
                <c:pt idx="1">
                  <c:v>4.6100000000000003</c:v>
                </c:pt>
              </c:numCache>
            </c:numRef>
          </c:val>
          <c:extLst>
            <c:ext xmlns:c16="http://schemas.microsoft.com/office/drawing/2014/chart" uri="{C3380CC4-5D6E-409C-BE32-E72D297353CC}">
              <c16:uniqueId val="{00000004-68FF-4A92-A722-0F24F33215AC}"/>
            </c:ext>
          </c:extLst>
        </c:ser>
        <c:dLbls>
          <c:dLblPos val="outEnd"/>
          <c:showLegendKey val="0"/>
          <c:showVal val="1"/>
          <c:showCatName val="0"/>
          <c:showSerName val="0"/>
          <c:showPercent val="0"/>
          <c:showBubbleSize val="0"/>
          <c:showLeaderLines val="0"/>
        </c:dLbls>
        <c:firstSliceAng val="0"/>
      </c:pieChart>
      <c:spPr>
        <a:noFill/>
        <a:ln>
          <a:noFill/>
        </a:ln>
        <a:effectLst/>
      </c:spPr>
    </c:plotArea>
    <c:legend>
      <c:legendPos val="b"/>
      <c:layout>
        <c:manualLayout>
          <c:xMode val="edge"/>
          <c:yMode val="edge"/>
          <c:x val="0.24122326690295789"/>
          <c:y val="0.89925433632722518"/>
          <c:w val="0.47046209265402017"/>
          <c:h val="9.5918472747830955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a:t>Housing Condition</a:t>
            </a:r>
          </a:p>
        </c:rich>
      </c:tx>
      <c:layout>
        <c:manualLayout>
          <c:xMode val="edge"/>
          <c:yMode val="edge"/>
          <c:x val="0.30501474926253686"/>
          <c:y val="0"/>
        </c:manualLayout>
      </c:layout>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2166206892351913"/>
          <c:y val="8.0988917306052857E-2"/>
          <c:w val="0.76144107276613626"/>
          <c:h val="0.83933785770384839"/>
        </c:manualLayout>
      </c:layout>
      <c:pieChart>
        <c:varyColors val="1"/>
        <c:ser>
          <c:idx val="0"/>
          <c:order val="0"/>
          <c:tx>
            <c:strRef>
              <c:f>Sheet1!$B$21</c:f>
              <c:strCache>
                <c:ptCount val="1"/>
                <c:pt idx="0">
                  <c:v>(%) of Respondents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B058-4296-A0DE-3B1E9946DF5D}"/>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B058-4296-A0DE-3B1E9946DF5D}"/>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B058-4296-A0DE-3B1E9946DF5D}"/>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Sheet1!$A$22:$A$24</c:f>
              <c:strCache>
                <c:ptCount val="3"/>
                <c:pt idx="0">
                  <c:v>Katcha</c:v>
                </c:pt>
                <c:pt idx="1">
                  <c:v>Semi Pacca</c:v>
                </c:pt>
                <c:pt idx="2">
                  <c:v>Pacca</c:v>
                </c:pt>
              </c:strCache>
            </c:strRef>
          </c:cat>
          <c:val>
            <c:numRef>
              <c:f>Sheet1!$B$22:$B$24</c:f>
              <c:numCache>
                <c:formatCode>General</c:formatCode>
                <c:ptCount val="3"/>
                <c:pt idx="0">
                  <c:v>30.26</c:v>
                </c:pt>
                <c:pt idx="1">
                  <c:v>47.04</c:v>
                </c:pt>
                <c:pt idx="2">
                  <c:v>22.76</c:v>
                </c:pt>
              </c:numCache>
            </c:numRef>
          </c:val>
          <c:extLst>
            <c:ext xmlns:c16="http://schemas.microsoft.com/office/drawing/2014/chart" uri="{C3380CC4-5D6E-409C-BE32-E72D297353CC}">
              <c16:uniqueId val="{00000006-B058-4296-A0DE-3B1E9946DF5D}"/>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14776750643988526"/>
          <c:y val="0.91834148928314907"/>
          <c:w val="0.71219863468342559"/>
          <c:h val="8.1658510716850929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a:t>Sanitary Facilites</a:t>
            </a:r>
          </a:p>
        </c:rich>
      </c:tx>
      <c:layout>
        <c:manualLayout>
          <c:xMode val="edge"/>
          <c:yMode val="edge"/>
          <c:x val="0.3260237408106792"/>
          <c:y val="0"/>
        </c:manualLayout>
      </c:layout>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9.4606109018981324E-2"/>
          <c:y val="7.3099661086053563E-2"/>
          <c:w val="0.81250877348196648"/>
          <c:h val="0.85476691300112306"/>
        </c:manualLayout>
      </c:layout>
      <c:pieChart>
        <c:varyColors val="1"/>
        <c:ser>
          <c:idx val="0"/>
          <c:order val="0"/>
          <c:tx>
            <c:strRef>
              <c:f>Sheet1!$B$1</c:f>
              <c:strCache>
                <c:ptCount val="1"/>
                <c:pt idx="0">
                  <c:v>Percentage</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9DA4-4F74-B5E0-8CBC16BAA36B}"/>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9DA4-4F74-B5E0-8CBC16BAA36B}"/>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9DA4-4F74-B5E0-8CBC16BAA36B}"/>
              </c:ext>
            </c:extLst>
          </c:dPt>
          <c:dLbls>
            <c:dLbl>
              <c:idx val="0"/>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DA4-4F74-B5E0-8CBC16BAA36B}"/>
                </c:ext>
              </c:extLst>
            </c:dLbl>
            <c:dLbl>
              <c:idx val="1"/>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DA4-4F74-B5E0-8CBC16BAA36B}"/>
                </c:ext>
              </c:extLst>
            </c:dLbl>
            <c:dLbl>
              <c:idx val="2"/>
              <c:dLblPos val="inEnd"/>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DA4-4F74-B5E0-8CBC16BAA36B}"/>
                </c:ext>
              </c:extLst>
            </c:dLbl>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Unhygienic</c:v>
                </c:pt>
                <c:pt idx="1">
                  <c:v>Ring slab latrin</c:v>
                </c:pt>
                <c:pt idx="2">
                  <c:v>Sanitary latrin</c:v>
                </c:pt>
              </c:strCache>
            </c:strRef>
          </c:cat>
          <c:val>
            <c:numRef>
              <c:f>Sheet1!$B$2:$B$4</c:f>
              <c:numCache>
                <c:formatCode>General</c:formatCode>
                <c:ptCount val="3"/>
                <c:pt idx="0">
                  <c:v>8</c:v>
                </c:pt>
                <c:pt idx="1">
                  <c:v>36</c:v>
                </c:pt>
                <c:pt idx="2">
                  <c:v>56</c:v>
                </c:pt>
              </c:numCache>
            </c:numRef>
          </c:val>
          <c:extLst>
            <c:ext xmlns:c16="http://schemas.microsoft.com/office/drawing/2014/chart" uri="{C3380CC4-5D6E-409C-BE32-E72D297353CC}">
              <c16:uniqueId val="{00000006-9DA4-4F74-B5E0-8CBC16BAA36B}"/>
            </c:ext>
          </c:extLst>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05"/>
          <c:y val="0.85596691159106397"/>
          <c:w val="0.9"/>
          <c:h val="0.14403275104750721"/>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a:t>Involvement in Training Program</a:t>
            </a:r>
          </a:p>
        </c:rich>
      </c:tx>
      <c:layout>
        <c:manualLayout>
          <c:xMode val="edge"/>
          <c:yMode val="edge"/>
          <c:x val="0.13439794419970633"/>
          <c:y val="0"/>
        </c:manualLayout>
      </c:layout>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9519031761998912"/>
          <c:y val="0.10243609933373712"/>
          <c:w val="0.58621324592135238"/>
          <c:h val="0.81889481122551999"/>
        </c:manualLayout>
      </c:layout>
      <c:pieChart>
        <c:varyColors val="1"/>
        <c:ser>
          <c:idx val="0"/>
          <c:order val="0"/>
          <c:tx>
            <c:strRef>
              <c:f>Sheet1!$F$7</c:f>
              <c:strCache>
                <c:ptCount val="1"/>
                <c:pt idx="0">
                  <c:v>(%) of Respondents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682F-4C6E-AAFC-FF6A34416762}"/>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682F-4C6E-AAFC-FF6A34416762}"/>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682F-4C6E-AAFC-FF6A34416762}"/>
              </c:ext>
            </c:extLst>
          </c:dPt>
          <c:dPt>
            <c:idx val="3"/>
            <c:bubble3D val="0"/>
            <c:spPr>
              <a:solidFill>
                <a:schemeClr val="accent2"/>
              </a:solidFill>
              <a:ln w="19050">
                <a:solidFill>
                  <a:schemeClr val="lt1"/>
                </a:solidFill>
              </a:ln>
              <a:effectLst/>
            </c:spPr>
            <c:extLst>
              <c:ext xmlns:c16="http://schemas.microsoft.com/office/drawing/2014/chart" uri="{C3380CC4-5D6E-409C-BE32-E72D297353CC}">
                <c16:uniqueId val="{00000007-682F-4C6E-AAFC-FF6A34416762}"/>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Sheet1!$E$8:$E$11</c:f>
              <c:strCache>
                <c:ptCount val="4"/>
                <c:pt idx="0">
                  <c:v>Agriculture</c:v>
                </c:pt>
                <c:pt idx="1">
                  <c:v>Fisheries</c:v>
                </c:pt>
                <c:pt idx="2">
                  <c:v>Both</c:v>
                </c:pt>
                <c:pt idx="3">
                  <c:v>No training</c:v>
                </c:pt>
              </c:strCache>
            </c:strRef>
          </c:cat>
          <c:val>
            <c:numRef>
              <c:f>Sheet1!$F$8:$F$11</c:f>
              <c:numCache>
                <c:formatCode>General</c:formatCode>
                <c:ptCount val="4"/>
                <c:pt idx="0">
                  <c:v>44.5</c:v>
                </c:pt>
                <c:pt idx="1">
                  <c:v>18.13</c:v>
                </c:pt>
                <c:pt idx="2">
                  <c:v>9.8699999999999992</c:v>
                </c:pt>
                <c:pt idx="3">
                  <c:v>27.5</c:v>
                </c:pt>
              </c:numCache>
            </c:numRef>
          </c:val>
          <c:extLst>
            <c:ext xmlns:c16="http://schemas.microsoft.com/office/drawing/2014/chart" uri="{C3380CC4-5D6E-409C-BE32-E72D297353CC}">
              <c16:uniqueId val="{00000008-682F-4C6E-AAFC-FF6A34416762}"/>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
          <c:y val="0.90322562834985454"/>
          <c:w val="0.99722154774706029"/>
          <c:h val="9.6361913094196561E-2"/>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a:t>Purpose of Aquaculture Production </a:t>
            </a:r>
          </a:p>
        </c:rich>
      </c:tx>
      <c:layout>
        <c:manualLayout>
          <c:xMode val="edge"/>
          <c:yMode val="edge"/>
          <c:x val="0.1552309250817332"/>
          <c:y val="0"/>
        </c:manualLayout>
      </c:layout>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3528274874731567"/>
          <c:y val="0.11768041937537102"/>
          <c:w val="0.57291338582677165"/>
          <c:h val="0.77273058851294818"/>
        </c:manualLayout>
      </c:layout>
      <c:pieChart>
        <c:varyColors val="1"/>
        <c:ser>
          <c:idx val="0"/>
          <c:order val="0"/>
          <c:tx>
            <c:strRef>
              <c:f>Sheet1!$I$8</c:f>
              <c:strCache>
                <c:ptCount val="1"/>
                <c:pt idx="0">
                  <c:v>(%) of Respondents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1D0B-48F6-ADDF-97431965DEEB}"/>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1D0B-48F6-ADDF-97431965DEEB}"/>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1D0B-48F6-ADDF-97431965DEEB}"/>
              </c:ext>
            </c:extLst>
          </c:dPt>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Sheet1!$H$9:$H$11</c:f>
              <c:strCache>
                <c:ptCount val="3"/>
                <c:pt idx="0">
                  <c:v>Commercial</c:v>
                </c:pt>
                <c:pt idx="1">
                  <c:v>Consumption</c:v>
                </c:pt>
                <c:pt idx="2">
                  <c:v>Both</c:v>
                </c:pt>
              </c:strCache>
            </c:strRef>
          </c:cat>
          <c:val>
            <c:numRef>
              <c:f>Sheet1!$I$9:$I$11</c:f>
              <c:numCache>
                <c:formatCode>General</c:formatCode>
                <c:ptCount val="3"/>
                <c:pt idx="0">
                  <c:v>34.21</c:v>
                </c:pt>
                <c:pt idx="1">
                  <c:v>22.03</c:v>
                </c:pt>
                <c:pt idx="2">
                  <c:v>43.76</c:v>
                </c:pt>
              </c:numCache>
            </c:numRef>
          </c:val>
          <c:extLst>
            <c:ext xmlns:c16="http://schemas.microsoft.com/office/drawing/2014/chart" uri="{C3380CC4-5D6E-409C-BE32-E72D297353CC}">
              <c16:uniqueId val="{00000006-1D0B-48F6-ADDF-97431965DEEB}"/>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3.1242646192210771E-3"/>
          <c:y val="0.89742089530475344"/>
          <c:w val="0.99687573538077889"/>
          <c:h val="7.8701050620821389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a:t>Farming Expericence </a:t>
            </a:r>
          </a:p>
        </c:rich>
      </c:tx>
      <c:layout>
        <c:manualLayout>
          <c:xMode val="edge"/>
          <c:yMode val="edge"/>
          <c:x val="0.45604892742837527"/>
          <c:y val="0"/>
        </c:manualLayout>
      </c:layout>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337799015408048"/>
          <c:y val="9.3518883056284627E-2"/>
          <c:w val="0.85882052955815757"/>
          <c:h val="0.72853448331183557"/>
        </c:manualLayout>
      </c:layout>
      <c:lineChart>
        <c:grouping val="standard"/>
        <c:varyColors val="0"/>
        <c:ser>
          <c:idx val="0"/>
          <c:order val="0"/>
          <c:tx>
            <c:strRef>
              <c:f>Sheet1!$H$22</c:f>
              <c:strCache>
                <c:ptCount val="1"/>
                <c:pt idx="0">
                  <c:v>Agriculture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Sheet1!$I$21:$L$21</c:f>
              <c:strCache>
                <c:ptCount val="4"/>
                <c:pt idx="0">
                  <c:v>&lt; 10 years</c:v>
                </c:pt>
                <c:pt idx="1">
                  <c:v>10 to 20 years</c:v>
                </c:pt>
                <c:pt idx="2">
                  <c:v>20 to 30 years</c:v>
                </c:pt>
                <c:pt idx="3">
                  <c:v>30 to 40 years</c:v>
                </c:pt>
              </c:strCache>
            </c:strRef>
          </c:cat>
          <c:val>
            <c:numRef>
              <c:f>Sheet1!$I$22:$L$22</c:f>
              <c:numCache>
                <c:formatCode>0.00</c:formatCode>
                <c:ptCount val="4"/>
                <c:pt idx="0">
                  <c:v>8.5526315789473681</c:v>
                </c:pt>
                <c:pt idx="1">
                  <c:v>12.828947368421053</c:v>
                </c:pt>
                <c:pt idx="2">
                  <c:v>11.184210526315789</c:v>
                </c:pt>
                <c:pt idx="3">
                  <c:v>8.2236842105263168</c:v>
                </c:pt>
              </c:numCache>
            </c:numRef>
          </c:val>
          <c:smooth val="0"/>
          <c:extLst>
            <c:ext xmlns:c16="http://schemas.microsoft.com/office/drawing/2014/chart" uri="{C3380CC4-5D6E-409C-BE32-E72D297353CC}">
              <c16:uniqueId val="{00000000-22E3-4D2C-8622-B2BC2217C60B}"/>
            </c:ext>
          </c:extLst>
        </c:ser>
        <c:ser>
          <c:idx val="1"/>
          <c:order val="1"/>
          <c:tx>
            <c:strRef>
              <c:f>Sheet1!$H$23</c:f>
              <c:strCache>
                <c:ptCount val="1"/>
                <c:pt idx="0">
                  <c:v>Fisheries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Sheet1!$I$21:$L$21</c:f>
              <c:strCache>
                <c:ptCount val="4"/>
                <c:pt idx="0">
                  <c:v>&lt; 10 years</c:v>
                </c:pt>
                <c:pt idx="1">
                  <c:v>10 to 20 years</c:v>
                </c:pt>
                <c:pt idx="2">
                  <c:v>20 to 30 years</c:v>
                </c:pt>
                <c:pt idx="3">
                  <c:v>30 to 40 years</c:v>
                </c:pt>
              </c:strCache>
            </c:strRef>
          </c:cat>
          <c:val>
            <c:numRef>
              <c:f>Sheet1!$I$23:$L$23</c:f>
              <c:numCache>
                <c:formatCode>0.00</c:formatCode>
                <c:ptCount val="4"/>
                <c:pt idx="0">
                  <c:v>16.776315789473685</c:v>
                </c:pt>
                <c:pt idx="1">
                  <c:v>15.789473684210526</c:v>
                </c:pt>
                <c:pt idx="2">
                  <c:v>9.5394736842105274</c:v>
                </c:pt>
                <c:pt idx="3">
                  <c:v>5.2631578947368416</c:v>
                </c:pt>
              </c:numCache>
            </c:numRef>
          </c:val>
          <c:smooth val="0"/>
          <c:extLst>
            <c:ext xmlns:c16="http://schemas.microsoft.com/office/drawing/2014/chart" uri="{C3380CC4-5D6E-409C-BE32-E72D297353CC}">
              <c16:uniqueId val="{00000001-22E3-4D2C-8622-B2BC2217C60B}"/>
            </c:ext>
          </c:extLst>
        </c:ser>
        <c:ser>
          <c:idx val="2"/>
          <c:order val="2"/>
          <c:tx>
            <c:strRef>
              <c:f>Sheet1!$H$24</c:f>
              <c:strCache>
                <c:ptCount val="1"/>
                <c:pt idx="0">
                  <c:v>Both </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Sheet1!$I$21:$L$21</c:f>
              <c:strCache>
                <c:ptCount val="4"/>
                <c:pt idx="0">
                  <c:v>&lt; 10 years</c:v>
                </c:pt>
                <c:pt idx="1">
                  <c:v>10 to 20 years</c:v>
                </c:pt>
                <c:pt idx="2">
                  <c:v>20 to 30 years</c:v>
                </c:pt>
                <c:pt idx="3">
                  <c:v>30 to 40 years</c:v>
                </c:pt>
              </c:strCache>
            </c:strRef>
          </c:cat>
          <c:val>
            <c:numRef>
              <c:f>Sheet1!$I$24:$L$24</c:f>
              <c:numCache>
                <c:formatCode>0.00</c:formatCode>
                <c:ptCount val="4"/>
                <c:pt idx="0">
                  <c:v>6.9078947368421062</c:v>
                </c:pt>
                <c:pt idx="1">
                  <c:v>3.9473684210526314</c:v>
                </c:pt>
                <c:pt idx="2">
                  <c:v>0.98684210526315785</c:v>
                </c:pt>
                <c:pt idx="3">
                  <c:v>0</c:v>
                </c:pt>
              </c:numCache>
            </c:numRef>
          </c:val>
          <c:smooth val="0"/>
          <c:extLst>
            <c:ext xmlns:c16="http://schemas.microsoft.com/office/drawing/2014/chart" uri="{C3380CC4-5D6E-409C-BE32-E72D297353CC}">
              <c16:uniqueId val="{00000002-22E3-4D2C-8622-B2BC2217C60B}"/>
            </c:ext>
          </c:extLst>
        </c:ser>
        <c:dLbls>
          <c:showLegendKey val="0"/>
          <c:showVal val="0"/>
          <c:showCatName val="0"/>
          <c:showSerName val="0"/>
          <c:showPercent val="0"/>
          <c:showBubbleSize val="0"/>
        </c:dLbls>
        <c:marker val="1"/>
        <c:smooth val="0"/>
        <c:axId val="406404024"/>
        <c:axId val="406404808"/>
      </c:lineChart>
      <c:catAx>
        <c:axId val="40640402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06404808"/>
        <c:crosses val="autoZero"/>
        <c:auto val="1"/>
        <c:lblAlgn val="ctr"/>
        <c:lblOffset val="100"/>
        <c:noMultiLvlLbl val="0"/>
      </c:catAx>
      <c:valAx>
        <c:axId val="406404808"/>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dirty="0"/>
                  <a:t>(%)</a:t>
                </a:r>
                <a:r>
                  <a:rPr lang="en-US" baseline="0" dirty="0"/>
                  <a:t> of Respondents</a:t>
                </a:r>
                <a:endParaRPr lang="en-US" dirty="0"/>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06404024"/>
        <c:crosses val="autoZero"/>
        <c:crossBetween val="between"/>
      </c:valAx>
      <c:spPr>
        <a:noFill/>
        <a:ln>
          <a:noFill/>
        </a:ln>
        <a:effectLst/>
      </c:spPr>
    </c:plotArea>
    <c:legend>
      <c:legendPos val="b"/>
      <c:layout>
        <c:manualLayout>
          <c:xMode val="edge"/>
          <c:yMode val="edge"/>
          <c:x val="0.17169903762029745"/>
          <c:y val="0.9113097841936425"/>
          <c:w val="0.65660192475940504"/>
          <c:h val="8.8690215806357539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a:t>Marital Status</a:t>
            </a:r>
          </a:p>
        </c:rich>
      </c:tx>
      <c:layout>
        <c:manualLayout>
          <c:xMode val="edge"/>
          <c:yMode val="edge"/>
          <c:x val="0.31177668529775748"/>
          <c:y val="0"/>
        </c:manualLayout>
      </c:layout>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24746372377028"/>
          <c:y val="8.9079681366359811E-2"/>
          <c:w val="0.71506228496049395"/>
          <c:h val="0.80470566179227598"/>
        </c:manualLayout>
      </c:layout>
      <c:pieChart>
        <c:varyColors val="1"/>
        <c:ser>
          <c:idx val="0"/>
          <c:order val="0"/>
          <c:tx>
            <c:strRef>
              <c:f>Sheet1!$B$4</c:f>
              <c:strCache>
                <c:ptCount val="1"/>
                <c:pt idx="0">
                  <c:v>(%) of Respondents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31A0-4DCF-981A-AA2D23E79365}"/>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31A0-4DCF-981A-AA2D23E79365}"/>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Sheet1!$A$5:$A$6</c:f>
              <c:strCache>
                <c:ptCount val="2"/>
                <c:pt idx="0">
                  <c:v>Married</c:v>
                </c:pt>
                <c:pt idx="1">
                  <c:v>Unmarried</c:v>
                </c:pt>
              </c:strCache>
            </c:strRef>
          </c:cat>
          <c:val>
            <c:numRef>
              <c:f>Sheet1!$B$5:$B$6</c:f>
              <c:numCache>
                <c:formatCode>General</c:formatCode>
                <c:ptCount val="2"/>
                <c:pt idx="0">
                  <c:v>86.51</c:v>
                </c:pt>
                <c:pt idx="1">
                  <c:v>13.49</c:v>
                </c:pt>
              </c:numCache>
            </c:numRef>
          </c:val>
          <c:extLst>
            <c:ext xmlns:c16="http://schemas.microsoft.com/office/drawing/2014/chart" uri="{C3380CC4-5D6E-409C-BE32-E72D297353CC}">
              <c16:uniqueId val="{00000004-31A0-4DCF-981A-AA2D23E7936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17884606539612805"/>
          <c:y val="0.88346764959749158"/>
          <c:w val="0.63737672583826432"/>
          <c:h val="0.10151138825767583"/>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a:t>Age Distribution</a:t>
            </a:r>
          </a:p>
        </c:rich>
      </c:tx>
      <c:layout>
        <c:manualLayout>
          <c:xMode val="edge"/>
          <c:yMode val="edge"/>
          <c:x val="0.38056703849518808"/>
          <c:y val="4.6296296296296294E-3"/>
        </c:manualLayout>
      </c:layout>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5606880443330312"/>
          <c:y val="9.8148512685914263E-2"/>
          <c:w val="0.84393119556669682"/>
          <c:h val="0.77722185768445606"/>
        </c:manualLayout>
      </c:layout>
      <c:barChart>
        <c:barDir val="col"/>
        <c:grouping val="clustered"/>
        <c:varyColors val="0"/>
        <c:ser>
          <c:idx val="0"/>
          <c:order val="0"/>
          <c:tx>
            <c:strRef>
              <c:f>Sheet1!$N$4</c:f>
              <c:strCache>
                <c:ptCount val="1"/>
                <c:pt idx="0">
                  <c:v>(%) of Respondents</c:v>
                </c:pt>
              </c:strCache>
            </c:strRef>
          </c:tx>
          <c:spPr>
            <a:solidFill>
              <a:schemeClr val="accent2"/>
            </a:solidFill>
            <a:ln>
              <a:noFill/>
            </a:ln>
            <a:effectLst/>
          </c:spPr>
          <c:invertIfNegative val="0"/>
          <c:cat>
            <c:strRef>
              <c:f>Sheet1!$O$3:$R$3</c:f>
              <c:strCache>
                <c:ptCount val="4"/>
                <c:pt idx="0">
                  <c:v>20-30 Years</c:v>
                </c:pt>
                <c:pt idx="1">
                  <c:v>31-40 Years</c:v>
                </c:pt>
                <c:pt idx="2">
                  <c:v>41-50 Years</c:v>
                </c:pt>
                <c:pt idx="3">
                  <c:v>&gt; 50 Years</c:v>
                </c:pt>
              </c:strCache>
            </c:strRef>
          </c:cat>
          <c:val>
            <c:numRef>
              <c:f>Sheet1!$O$4:$R$4</c:f>
              <c:numCache>
                <c:formatCode>0.00</c:formatCode>
                <c:ptCount val="4"/>
                <c:pt idx="0">
                  <c:v>17.43</c:v>
                </c:pt>
                <c:pt idx="1">
                  <c:v>38.81</c:v>
                </c:pt>
                <c:pt idx="2">
                  <c:v>29.6</c:v>
                </c:pt>
                <c:pt idx="3">
                  <c:v>14.14</c:v>
                </c:pt>
              </c:numCache>
            </c:numRef>
          </c:val>
          <c:extLst>
            <c:ext xmlns:c16="http://schemas.microsoft.com/office/drawing/2014/chart" uri="{C3380CC4-5D6E-409C-BE32-E72D297353CC}">
              <c16:uniqueId val="{00000000-50C9-4ACA-9CFA-1793383116CF}"/>
            </c:ext>
          </c:extLst>
        </c:ser>
        <c:dLbls>
          <c:showLegendKey val="0"/>
          <c:showVal val="0"/>
          <c:showCatName val="0"/>
          <c:showSerName val="0"/>
          <c:showPercent val="0"/>
          <c:showBubbleSize val="0"/>
        </c:dLbls>
        <c:gapWidth val="219"/>
        <c:overlap val="-27"/>
        <c:axId val="404609736"/>
        <c:axId val="404611304"/>
      </c:barChart>
      <c:catAx>
        <c:axId val="40460973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04611304"/>
        <c:crosses val="autoZero"/>
        <c:auto val="1"/>
        <c:lblAlgn val="ctr"/>
        <c:lblOffset val="100"/>
        <c:noMultiLvlLbl val="0"/>
      </c:catAx>
      <c:valAx>
        <c:axId val="404611304"/>
        <c:scaling>
          <c:orientation val="minMax"/>
          <c:max val="40"/>
        </c:scaling>
        <c:delete val="0"/>
        <c:axPos val="l"/>
        <c:title>
          <c:tx>
            <c:rich>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 of Respondents</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046097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a:t>Family Size</a:t>
            </a:r>
          </a:p>
        </c:rich>
      </c:tx>
      <c:layout>
        <c:manualLayout>
          <c:xMode val="edge"/>
          <c:yMode val="edge"/>
          <c:x val="0.41297444590259541"/>
          <c:y val="0"/>
        </c:manualLayout>
      </c:layout>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4909226625351238"/>
          <c:y val="5.1852216389617962E-2"/>
          <c:w val="0.85044484576841795"/>
          <c:h val="0.72898111694371537"/>
        </c:manualLayout>
      </c:layout>
      <c:barChart>
        <c:barDir val="col"/>
        <c:grouping val="clustered"/>
        <c:varyColors val="0"/>
        <c:ser>
          <c:idx val="0"/>
          <c:order val="0"/>
          <c:tx>
            <c:strRef>
              <c:f>Sheet1!$C$8</c:f>
              <c:strCache>
                <c:ptCount val="1"/>
                <c:pt idx="0">
                  <c:v>Percentage</c:v>
                </c:pt>
              </c:strCache>
            </c:strRef>
          </c:tx>
          <c:spPr>
            <a:solidFill>
              <a:schemeClr val="accent2"/>
            </a:solidFill>
            <a:ln>
              <a:noFill/>
            </a:ln>
            <a:effectLst/>
          </c:spPr>
          <c:invertIfNegative val="0"/>
          <c:cat>
            <c:multiLvlStrRef>
              <c:f>Sheet1!$A$9:$B$12</c:f>
              <c:multiLvlStrCache>
                <c:ptCount val="4"/>
                <c:lvl>
                  <c:pt idx="0">
                    <c:v>(1-3)</c:v>
                  </c:pt>
                  <c:pt idx="1">
                    <c:v>(4-6)</c:v>
                  </c:pt>
                  <c:pt idx="2">
                    <c:v>(7-10)</c:v>
                  </c:pt>
                  <c:pt idx="3">
                    <c:v>&gt;10</c:v>
                  </c:pt>
                </c:lvl>
                <c:lvl>
                  <c:pt idx="0">
                    <c:v>Small</c:v>
                  </c:pt>
                  <c:pt idx="1">
                    <c:v>Medium</c:v>
                  </c:pt>
                  <c:pt idx="2">
                    <c:v>Large</c:v>
                  </c:pt>
                  <c:pt idx="3">
                    <c:v>Extra Large</c:v>
                  </c:pt>
                </c:lvl>
              </c:multiLvlStrCache>
            </c:multiLvlStrRef>
          </c:cat>
          <c:val>
            <c:numRef>
              <c:f>Sheet1!$C$9:$C$12</c:f>
              <c:numCache>
                <c:formatCode>0.00</c:formatCode>
                <c:ptCount val="4"/>
                <c:pt idx="0">
                  <c:v>18.75</c:v>
                </c:pt>
                <c:pt idx="1">
                  <c:v>37.171052631578952</c:v>
                </c:pt>
                <c:pt idx="2">
                  <c:v>31.25</c:v>
                </c:pt>
                <c:pt idx="3">
                  <c:v>12.828947368421053</c:v>
                </c:pt>
              </c:numCache>
            </c:numRef>
          </c:val>
          <c:extLst>
            <c:ext xmlns:c16="http://schemas.microsoft.com/office/drawing/2014/chart" uri="{C3380CC4-5D6E-409C-BE32-E72D297353CC}">
              <c16:uniqueId val="{00000000-158D-4894-BC13-A9C32AE08401}"/>
            </c:ext>
          </c:extLst>
        </c:ser>
        <c:dLbls>
          <c:showLegendKey val="0"/>
          <c:showVal val="0"/>
          <c:showCatName val="0"/>
          <c:showSerName val="0"/>
          <c:showPercent val="0"/>
          <c:showBubbleSize val="0"/>
        </c:dLbls>
        <c:gapWidth val="219"/>
        <c:overlap val="-27"/>
        <c:axId val="280106104"/>
        <c:axId val="406912656"/>
      </c:barChart>
      <c:catAx>
        <c:axId val="28010610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06912656"/>
        <c:crosses val="autoZero"/>
        <c:auto val="1"/>
        <c:lblAlgn val="ctr"/>
        <c:lblOffset val="100"/>
        <c:noMultiLvlLbl val="0"/>
      </c:catAx>
      <c:valAx>
        <c:axId val="406912656"/>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dirty="0"/>
                  <a:t>(%)</a:t>
                </a:r>
                <a:r>
                  <a:rPr lang="en-US" baseline="0" dirty="0"/>
                  <a:t> of Respondents </a:t>
                </a:r>
                <a:endParaRPr lang="en-US" dirty="0"/>
              </a:p>
            </c:rich>
          </c:tx>
          <c:layout>
            <c:manualLayout>
              <c:xMode val="edge"/>
              <c:yMode val="edge"/>
              <c:x val="5.555555555555561E-4"/>
              <c:y val="0.191088145231846"/>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801061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dirty="0"/>
              <a:t>Livelihood Distribution</a:t>
            </a:r>
          </a:p>
        </c:rich>
      </c:tx>
      <c:layout>
        <c:manualLayout>
          <c:xMode val="edge"/>
          <c:yMode val="edge"/>
          <c:x val="0.25341027577032321"/>
          <c:y val="0"/>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7561530583870816"/>
          <c:y val="8.5937600025606561E-2"/>
          <c:w val="0.70417765331296622"/>
          <c:h val="0.81092798905455954"/>
        </c:manualLayout>
      </c:layout>
      <c:pieChart>
        <c:varyColors val="1"/>
        <c:ser>
          <c:idx val="0"/>
          <c:order val="0"/>
          <c:tx>
            <c:strRef>
              <c:f>Sheet1!$F$1</c:f>
              <c:strCache>
                <c:ptCount val="1"/>
                <c:pt idx="0">
                  <c:v>(%) of Respondents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8915-42E7-90B3-6FEA02637DD1}"/>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8915-42E7-90B3-6FEA02637DD1}"/>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8915-42E7-90B3-6FEA02637DD1}"/>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Sheet1!$E$2:$E$4</c:f>
              <c:strCache>
                <c:ptCount val="3"/>
                <c:pt idx="0">
                  <c:v>Agriculture</c:v>
                </c:pt>
                <c:pt idx="1">
                  <c:v>Fisheries</c:v>
                </c:pt>
                <c:pt idx="2">
                  <c:v>Both</c:v>
                </c:pt>
              </c:strCache>
            </c:strRef>
          </c:cat>
          <c:val>
            <c:numRef>
              <c:f>Sheet1!$F$2:$F$4</c:f>
              <c:numCache>
                <c:formatCode>General</c:formatCode>
                <c:ptCount val="3"/>
                <c:pt idx="0">
                  <c:v>51.97</c:v>
                </c:pt>
                <c:pt idx="1">
                  <c:v>33.880000000000003</c:v>
                </c:pt>
                <c:pt idx="2">
                  <c:v>14.15</c:v>
                </c:pt>
              </c:numCache>
            </c:numRef>
          </c:val>
          <c:extLst>
            <c:ext xmlns:c16="http://schemas.microsoft.com/office/drawing/2014/chart" uri="{C3380CC4-5D6E-409C-BE32-E72D297353CC}">
              <c16:uniqueId val="{00000006-8915-42E7-90B3-6FEA02637DD1}"/>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1392679363355443"/>
          <c:y val="0.89547591477535882"/>
          <c:w val="0.72916234777812128"/>
          <c:h val="8.4916164069916797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200" dirty="0"/>
              <a:t>Educational</a:t>
            </a:r>
            <a:r>
              <a:rPr lang="en-US" sz="1200" baseline="0" dirty="0"/>
              <a:t> Qualification </a:t>
            </a:r>
            <a:endParaRPr lang="en-US" sz="1200" dirty="0"/>
          </a:p>
        </c:rich>
      </c:tx>
      <c:layout>
        <c:manualLayout>
          <c:xMode val="edge"/>
          <c:yMode val="edge"/>
          <c:x val="0.26352171792722157"/>
          <c:y val="0"/>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7906947435328413"/>
          <c:y val="8.1741032370953648E-2"/>
          <c:w val="0.63017660370741757"/>
          <c:h val="0.80709784271618457"/>
        </c:manualLayout>
      </c:layout>
      <c:pieChart>
        <c:varyColors val="1"/>
        <c:ser>
          <c:idx val="0"/>
          <c:order val="0"/>
          <c:tx>
            <c:strRef>
              <c:f>Sheet1!$P$12</c:f>
              <c:strCache>
                <c:ptCount val="1"/>
                <c:pt idx="0">
                  <c:v>Percentage</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21BC-4DB6-A086-D7FDEEF4F926}"/>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21BC-4DB6-A086-D7FDEEF4F926}"/>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21BC-4DB6-A086-D7FDEEF4F926}"/>
              </c:ext>
            </c:extLst>
          </c:dPt>
          <c:dPt>
            <c:idx val="3"/>
            <c:bubble3D val="0"/>
            <c:spPr>
              <a:solidFill>
                <a:schemeClr val="accent2"/>
              </a:solidFill>
              <a:ln w="19050">
                <a:solidFill>
                  <a:schemeClr val="lt1"/>
                </a:solidFill>
              </a:ln>
              <a:effectLst/>
            </c:spPr>
            <c:extLst>
              <c:ext xmlns:c16="http://schemas.microsoft.com/office/drawing/2014/chart" uri="{C3380CC4-5D6E-409C-BE32-E72D297353CC}">
                <c16:uniqueId val="{00000007-21BC-4DB6-A086-D7FDEEF4F926}"/>
              </c:ext>
            </c:extLst>
          </c:dPt>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Sheet1!$N$13:$N$16</c:f>
              <c:strCache>
                <c:ptCount val="4"/>
                <c:pt idx="0">
                  <c:v>No formal education</c:v>
                </c:pt>
                <c:pt idx="1">
                  <c:v>Primary</c:v>
                </c:pt>
                <c:pt idx="2">
                  <c:v>Secondary</c:v>
                </c:pt>
                <c:pt idx="3">
                  <c:v>Higher Secondary</c:v>
                </c:pt>
              </c:strCache>
            </c:strRef>
          </c:cat>
          <c:val>
            <c:numRef>
              <c:f>Sheet1!$P$13:$P$16</c:f>
              <c:numCache>
                <c:formatCode>0.00</c:formatCode>
                <c:ptCount val="4"/>
                <c:pt idx="0">
                  <c:v>14.473684210526317</c:v>
                </c:pt>
                <c:pt idx="1">
                  <c:v>34.539473684210527</c:v>
                </c:pt>
                <c:pt idx="2">
                  <c:v>28.618421052631575</c:v>
                </c:pt>
                <c:pt idx="3">
                  <c:v>22.368421052631579</c:v>
                </c:pt>
              </c:numCache>
            </c:numRef>
          </c:val>
          <c:extLst>
            <c:ext xmlns:c16="http://schemas.microsoft.com/office/drawing/2014/chart" uri="{C3380CC4-5D6E-409C-BE32-E72D297353CC}">
              <c16:uniqueId val="{00000008-21BC-4DB6-A086-D7FDEEF4F92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9.6697813812553939E-4"/>
          <c:y val="0.88829469233012537"/>
          <c:w val="0.99903302186187426"/>
          <c:h val="0.1117053076698746"/>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a:t>Distribution</a:t>
            </a:r>
            <a:r>
              <a:rPr lang="en-US" baseline="0"/>
              <a:t> of Monthly Income</a:t>
            </a:r>
            <a:endParaRPr lang="en-US"/>
          </a:p>
        </c:rich>
      </c:tx>
      <c:layout>
        <c:manualLayout>
          <c:xMode val="edge"/>
          <c:yMode val="edge"/>
          <c:x val="0.24559011373578302"/>
          <c:y val="0"/>
        </c:manualLayout>
      </c:layout>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1167930517306027"/>
          <c:y val="5.0925925925925923E-2"/>
          <c:w val="0.84829606428506776"/>
          <c:h val="0.74038938241694152"/>
        </c:manualLayout>
      </c:layout>
      <c:barChart>
        <c:barDir val="bar"/>
        <c:grouping val="stacked"/>
        <c:varyColors val="0"/>
        <c:ser>
          <c:idx val="0"/>
          <c:order val="0"/>
          <c:tx>
            <c:strRef>
              <c:f>Sheet1!$H$15</c:f>
              <c:strCache>
                <c:ptCount val="1"/>
                <c:pt idx="0">
                  <c:v>Agriculture </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Sheet1!$I$14:$L$14</c:f>
              <c:strCache>
                <c:ptCount val="4"/>
                <c:pt idx="0">
                  <c:v>5 - 10k</c:v>
                </c:pt>
                <c:pt idx="1">
                  <c:v>10 - 20k</c:v>
                </c:pt>
                <c:pt idx="2">
                  <c:v>20 - 30k</c:v>
                </c:pt>
                <c:pt idx="3">
                  <c:v>&gt; 30k</c:v>
                </c:pt>
              </c:strCache>
            </c:strRef>
          </c:cat>
          <c:val>
            <c:numRef>
              <c:f>Sheet1!$I$15:$L$15</c:f>
              <c:numCache>
                <c:formatCode>0.00</c:formatCode>
                <c:ptCount val="4"/>
                <c:pt idx="0">
                  <c:v>9.2105263157894726</c:v>
                </c:pt>
                <c:pt idx="1">
                  <c:v>9.5394736842105274</c:v>
                </c:pt>
                <c:pt idx="2">
                  <c:v>10.526315789473683</c:v>
                </c:pt>
                <c:pt idx="3">
                  <c:v>11</c:v>
                </c:pt>
              </c:numCache>
            </c:numRef>
          </c:val>
          <c:extLst>
            <c:ext xmlns:c16="http://schemas.microsoft.com/office/drawing/2014/chart" uri="{C3380CC4-5D6E-409C-BE32-E72D297353CC}">
              <c16:uniqueId val="{00000000-BB50-457B-AA4A-0E511B35DD3B}"/>
            </c:ext>
          </c:extLst>
        </c:ser>
        <c:ser>
          <c:idx val="1"/>
          <c:order val="1"/>
          <c:tx>
            <c:strRef>
              <c:f>Sheet1!$H$16</c:f>
              <c:strCache>
                <c:ptCount val="1"/>
                <c:pt idx="0">
                  <c:v>Fisheries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Sheet1!$I$14:$L$14</c:f>
              <c:strCache>
                <c:ptCount val="4"/>
                <c:pt idx="0">
                  <c:v>5 - 10k</c:v>
                </c:pt>
                <c:pt idx="1">
                  <c:v>10 - 20k</c:v>
                </c:pt>
                <c:pt idx="2">
                  <c:v>20 - 30k</c:v>
                </c:pt>
                <c:pt idx="3">
                  <c:v>&gt; 30k</c:v>
                </c:pt>
              </c:strCache>
            </c:strRef>
          </c:cat>
          <c:val>
            <c:numRef>
              <c:f>Sheet1!$I$16:$L$16</c:f>
              <c:numCache>
                <c:formatCode>0.00</c:formatCode>
                <c:ptCount val="4"/>
                <c:pt idx="0">
                  <c:v>4.2763157894736841</c:v>
                </c:pt>
                <c:pt idx="1">
                  <c:v>9.8684210526315788</c:v>
                </c:pt>
                <c:pt idx="2">
                  <c:v>7.2368421052631584</c:v>
                </c:pt>
                <c:pt idx="3">
                  <c:v>11.513157894736842</c:v>
                </c:pt>
              </c:numCache>
            </c:numRef>
          </c:val>
          <c:extLst>
            <c:ext xmlns:c16="http://schemas.microsoft.com/office/drawing/2014/chart" uri="{C3380CC4-5D6E-409C-BE32-E72D297353CC}">
              <c16:uniqueId val="{00000001-BB50-457B-AA4A-0E511B35DD3B}"/>
            </c:ext>
          </c:extLst>
        </c:ser>
        <c:ser>
          <c:idx val="2"/>
          <c:order val="2"/>
          <c:tx>
            <c:strRef>
              <c:f>Sheet1!$H$17</c:f>
              <c:strCache>
                <c:ptCount val="1"/>
                <c:pt idx="0">
                  <c:v>Both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Sheet1!$I$14:$L$14</c:f>
              <c:strCache>
                <c:ptCount val="4"/>
                <c:pt idx="0">
                  <c:v>5 - 10k</c:v>
                </c:pt>
                <c:pt idx="1">
                  <c:v>10 - 20k</c:v>
                </c:pt>
                <c:pt idx="2">
                  <c:v>20 - 30k</c:v>
                </c:pt>
                <c:pt idx="3">
                  <c:v>&gt; 30k</c:v>
                </c:pt>
              </c:strCache>
            </c:strRef>
          </c:cat>
          <c:val>
            <c:numRef>
              <c:f>Sheet1!$I$17:$L$17</c:f>
              <c:numCache>
                <c:formatCode>0.00</c:formatCode>
                <c:ptCount val="4"/>
                <c:pt idx="0">
                  <c:v>3.2894736842105261</c:v>
                </c:pt>
                <c:pt idx="1">
                  <c:v>7.8947368421052628</c:v>
                </c:pt>
                <c:pt idx="2">
                  <c:v>10.855263157894738</c:v>
                </c:pt>
                <c:pt idx="3">
                  <c:v>12.171052631578947</c:v>
                </c:pt>
              </c:numCache>
            </c:numRef>
          </c:val>
          <c:extLst>
            <c:ext xmlns:c16="http://schemas.microsoft.com/office/drawing/2014/chart" uri="{C3380CC4-5D6E-409C-BE32-E72D297353CC}">
              <c16:uniqueId val="{00000002-BB50-457B-AA4A-0E511B35DD3B}"/>
            </c:ext>
          </c:extLst>
        </c:ser>
        <c:dLbls>
          <c:dLblPos val="inEnd"/>
          <c:showLegendKey val="0"/>
          <c:showVal val="1"/>
          <c:showCatName val="0"/>
          <c:showSerName val="0"/>
          <c:showPercent val="0"/>
          <c:showBubbleSize val="0"/>
        </c:dLbls>
        <c:gapWidth val="150"/>
        <c:overlap val="100"/>
        <c:axId val="329692680"/>
        <c:axId val="329695424"/>
      </c:barChart>
      <c:catAx>
        <c:axId val="329692680"/>
        <c:scaling>
          <c:orientation val="minMax"/>
        </c:scaling>
        <c:delete val="0"/>
        <c:axPos val="l"/>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29695424"/>
        <c:crosses val="autoZero"/>
        <c:auto val="1"/>
        <c:lblAlgn val="ctr"/>
        <c:lblOffset val="100"/>
        <c:noMultiLvlLbl val="0"/>
      </c:catAx>
      <c:valAx>
        <c:axId val="329695424"/>
        <c:scaling>
          <c:orientation val="minMax"/>
          <c:max val="40"/>
          <c:min val="0"/>
        </c:scaling>
        <c:delete val="0"/>
        <c:axPos val="b"/>
        <c:title>
          <c:tx>
            <c:rich>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a:t>
                </a:r>
                <a:r>
                  <a:rPr lang="en-US" baseline="0"/>
                  <a:t> of Respondents </a:t>
                </a:r>
                <a:endParaRPr lang="en-US"/>
              </a:p>
            </c:rich>
          </c:tx>
          <c:layout>
            <c:manualLayout>
              <c:xMode val="edge"/>
              <c:yMode val="edge"/>
              <c:x val="0.39124300087489061"/>
              <c:y val="0.86679972295129759"/>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29692680"/>
        <c:crosses val="autoZero"/>
        <c:crossBetween val="between"/>
        <c:majorUnit val="10"/>
      </c:valAx>
      <c:spPr>
        <a:noFill/>
        <a:ln>
          <a:noFill/>
        </a:ln>
        <a:effectLst/>
      </c:spPr>
    </c:plotArea>
    <c:legend>
      <c:legendPos val="b"/>
      <c:layout>
        <c:manualLayout>
          <c:xMode val="edge"/>
          <c:yMode val="edge"/>
          <c:x val="0.12835870516185477"/>
          <c:y val="0.93531824146981624"/>
          <c:w val="0.86272681539807528"/>
          <c:h val="6.4681758530183722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440" b="0" i="0" u="none" strike="noStrike" baseline="0" dirty="0"/>
              <a:t>Distribution of Family Income Sources</a:t>
            </a:r>
            <a:endParaRPr lang="en-US" dirty="0"/>
          </a:p>
        </c:rich>
      </c:tx>
      <c:layout>
        <c:manualLayout>
          <c:xMode val="edge"/>
          <c:yMode val="edge"/>
          <c:x val="0.27425520793070574"/>
          <c:y val="0"/>
        </c:manualLayout>
      </c:layout>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392739172177393"/>
          <c:y val="0.11187861147026354"/>
          <c:w val="0.85360820310447583"/>
          <c:h val="0.75473896692605236"/>
        </c:manualLayout>
      </c:layout>
      <c:barChart>
        <c:barDir val="col"/>
        <c:grouping val="clustered"/>
        <c:varyColors val="0"/>
        <c:ser>
          <c:idx val="0"/>
          <c:order val="0"/>
          <c:tx>
            <c:strRef>
              <c:f>Sheet1!$B$16</c:f>
              <c:strCache>
                <c:ptCount val="1"/>
                <c:pt idx="0">
                  <c:v>(%) of Respondents</c:v>
                </c:pt>
              </c:strCache>
            </c:strRef>
          </c:tx>
          <c:spPr>
            <a:solidFill>
              <a:schemeClr val="accent2"/>
            </a:solidFill>
            <a:ln>
              <a:noFill/>
            </a:ln>
            <a:effectLst/>
          </c:spPr>
          <c:invertIfNegative val="0"/>
          <c:cat>
            <c:strRef>
              <c:f>Sheet1!$A$17:$A$19</c:f>
              <c:strCache>
                <c:ptCount val="3"/>
                <c:pt idx="0">
                  <c:v>1</c:v>
                </c:pt>
                <c:pt idx="1">
                  <c:v>2</c:v>
                </c:pt>
                <c:pt idx="2">
                  <c:v>3 or &gt; 3</c:v>
                </c:pt>
              </c:strCache>
            </c:strRef>
          </c:cat>
          <c:val>
            <c:numRef>
              <c:f>Sheet1!$B$17:$B$19</c:f>
              <c:numCache>
                <c:formatCode>General</c:formatCode>
                <c:ptCount val="3"/>
                <c:pt idx="0">
                  <c:v>48.35</c:v>
                </c:pt>
                <c:pt idx="1">
                  <c:v>36.85</c:v>
                </c:pt>
                <c:pt idx="2">
                  <c:v>15.8</c:v>
                </c:pt>
              </c:numCache>
            </c:numRef>
          </c:val>
          <c:extLst>
            <c:ext xmlns:c16="http://schemas.microsoft.com/office/drawing/2014/chart" uri="{C3380CC4-5D6E-409C-BE32-E72D297353CC}">
              <c16:uniqueId val="{00000000-FE44-4C64-A9F1-11239063021D}"/>
            </c:ext>
          </c:extLst>
        </c:ser>
        <c:dLbls>
          <c:showLegendKey val="0"/>
          <c:showVal val="0"/>
          <c:showCatName val="0"/>
          <c:showSerName val="0"/>
          <c:showPercent val="0"/>
          <c:showBubbleSize val="0"/>
        </c:dLbls>
        <c:gapWidth val="219"/>
        <c:overlap val="-27"/>
        <c:axId val="329695032"/>
        <c:axId val="329696208"/>
      </c:barChart>
      <c:catAx>
        <c:axId val="329695032"/>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29696208"/>
        <c:crosses val="autoZero"/>
        <c:auto val="1"/>
        <c:lblAlgn val="ctr"/>
        <c:lblOffset val="100"/>
        <c:noMultiLvlLbl val="0"/>
      </c:catAx>
      <c:valAx>
        <c:axId val="329696208"/>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dirty="0"/>
                  <a:t>(%)</a:t>
                </a:r>
                <a:r>
                  <a:rPr lang="en-US" baseline="0" dirty="0"/>
                  <a:t> of respondents</a:t>
                </a:r>
                <a:endParaRPr lang="en-US" dirty="0"/>
              </a:p>
            </c:rich>
          </c:tx>
          <c:layout>
            <c:manualLayout>
              <c:xMode val="edge"/>
              <c:yMode val="edge"/>
              <c:x val="5.5147066805677804E-3"/>
              <c:y val="0.15381869536052531"/>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solidFill>
            <a:schemeClr val="bg1"/>
          </a:solidFill>
          <a:ln>
            <a:solidFill>
              <a:schemeClr val="tx1"/>
            </a:solid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296950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400" dirty="0"/>
              <a:t>Land Distributions</a:t>
            </a:r>
          </a:p>
        </c:rich>
      </c:tx>
      <c:layout>
        <c:manualLayout>
          <c:xMode val="edge"/>
          <c:yMode val="edge"/>
          <c:x val="0.34529855643044621"/>
          <c:y val="4.6296296296296294E-3"/>
        </c:manualLayout>
      </c:layout>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7415017133275007"/>
          <c:y val="0.10067147856517936"/>
          <c:w val="0.82538686570428699"/>
          <c:h val="0.7817027717544931"/>
        </c:manualLayout>
      </c:layout>
      <c:barChart>
        <c:barDir val="col"/>
        <c:grouping val="clustered"/>
        <c:varyColors val="0"/>
        <c:ser>
          <c:idx val="0"/>
          <c:order val="0"/>
          <c:tx>
            <c:strRef>
              <c:f>Sheet1!$H$3</c:f>
              <c:strCache>
                <c:ptCount val="1"/>
                <c:pt idx="0">
                  <c:v>Own</c:v>
                </c:pt>
              </c:strCache>
            </c:strRef>
          </c:tx>
          <c:spPr>
            <a:solidFill>
              <a:schemeClr val="accent6"/>
            </a:solidFill>
            <a:ln>
              <a:noFill/>
            </a:ln>
            <a:effectLst/>
          </c:spPr>
          <c:invertIfNegative val="0"/>
          <c:cat>
            <c:strRef>
              <c:f>Sheet1!$I$2:$J$2</c:f>
              <c:strCache>
                <c:ptCount val="2"/>
                <c:pt idx="0">
                  <c:v>Agriculture</c:v>
                </c:pt>
                <c:pt idx="1">
                  <c:v>Fisheries</c:v>
                </c:pt>
              </c:strCache>
            </c:strRef>
          </c:cat>
          <c:val>
            <c:numRef>
              <c:f>Sheet1!$I$3:$J$3</c:f>
              <c:numCache>
                <c:formatCode>0.00</c:formatCode>
                <c:ptCount val="2"/>
                <c:pt idx="0">
                  <c:v>23.355263157894736</c:v>
                </c:pt>
                <c:pt idx="1">
                  <c:v>24.671052631578945</c:v>
                </c:pt>
              </c:numCache>
            </c:numRef>
          </c:val>
          <c:extLst>
            <c:ext xmlns:c16="http://schemas.microsoft.com/office/drawing/2014/chart" uri="{C3380CC4-5D6E-409C-BE32-E72D297353CC}">
              <c16:uniqueId val="{00000000-2CE5-42D7-9A2C-ABE44FE8ACFC}"/>
            </c:ext>
          </c:extLst>
        </c:ser>
        <c:ser>
          <c:idx val="1"/>
          <c:order val="1"/>
          <c:tx>
            <c:strRef>
              <c:f>Sheet1!$H$4</c:f>
              <c:strCache>
                <c:ptCount val="1"/>
                <c:pt idx="0">
                  <c:v>Lease</c:v>
                </c:pt>
              </c:strCache>
            </c:strRef>
          </c:tx>
          <c:spPr>
            <a:solidFill>
              <a:schemeClr val="accent5"/>
            </a:solidFill>
            <a:ln>
              <a:noFill/>
            </a:ln>
            <a:effectLst/>
          </c:spPr>
          <c:invertIfNegative val="0"/>
          <c:cat>
            <c:strRef>
              <c:f>Sheet1!$I$2:$J$2</c:f>
              <c:strCache>
                <c:ptCount val="2"/>
                <c:pt idx="0">
                  <c:v>Agriculture</c:v>
                </c:pt>
                <c:pt idx="1">
                  <c:v>Fisheries</c:v>
                </c:pt>
              </c:strCache>
            </c:strRef>
          </c:cat>
          <c:val>
            <c:numRef>
              <c:f>Sheet1!$I$4:$J$4</c:f>
              <c:numCache>
                <c:formatCode>0.00</c:formatCode>
                <c:ptCount val="2"/>
                <c:pt idx="0">
                  <c:v>15.460526315789474</c:v>
                </c:pt>
                <c:pt idx="1">
                  <c:v>36.513157894736842</c:v>
                </c:pt>
              </c:numCache>
            </c:numRef>
          </c:val>
          <c:extLst>
            <c:ext xmlns:c16="http://schemas.microsoft.com/office/drawing/2014/chart" uri="{C3380CC4-5D6E-409C-BE32-E72D297353CC}">
              <c16:uniqueId val="{00000001-2CE5-42D7-9A2C-ABE44FE8ACFC}"/>
            </c:ext>
          </c:extLst>
        </c:ser>
        <c:dLbls>
          <c:showLegendKey val="0"/>
          <c:showVal val="0"/>
          <c:showCatName val="0"/>
          <c:showSerName val="0"/>
          <c:showPercent val="0"/>
          <c:showBubbleSize val="0"/>
        </c:dLbls>
        <c:gapWidth val="219"/>
        <c:overlap val="-27"/>
        <c:axId val="329693464"/>
        <c:axId val="406405200"/>
      </c:barChart>
      <c:catAx>
        <c:axId val="32969346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06405200"/>
        <c:crosses val="autoZero"/>
        <c:auto val="1"/>
        <c:lblAlgn val="ctr"/>
        <c:lblOffset val="100"/>
        <c:noMultiLvlLbl val="0"/>
      </c:catAx>
      <c:valAx>
        <c:axId val="406405200"/>
        <c:scaling>
          <c:orientation val="minMax"/>
          <c:max val="35"/>
          <c:min val="0"/>
        </c:scaling>
        <c:delete val="0"/>
        <c:axPos val="l"/>
        <c:title>
          <c:tx>
            <c:rich>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dirty="0"/>
                  <a:t>(%)</a:t>
                </a:r>
                <a:r>
                  <a:rPr lang="en-US" baseline="0" dirty="0"/>
                  <a:t> of Respondents </a:t>
                </a:r>
                <a:endParaRPr lang="en-US" dirty="0"/>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29693464"/>
        <c:crosses val="autoZero"/>
        <c:crossBetween val="between"/>
        <c:majorUnit val="5"/>
      </c:valAx>
      <c:spPr>
        <a:noFill/>
        <a:ln>
          <a:noFill/>
        </a:ln>
        <a:effectLst/>
      </c:spPr>
    </c:plotArea>
    <c:legend>
      <c:legendPos val="b"/>
      <c:layout>
        <c:manualLayout>
          <c:xMode val="edge"/>
          <c:yMode val="edge"/>
          <c:x val="0.47664326317786926"/>
          <c:y val="0.57441095954279509"/>
          <c:w val="0.1680368035023164"/>
          <c:h val="0.2469305506821378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400</TotalTime>
  <Pages>17</Pages>
  <Words>4821</Words>
  <Characters>27482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sakib7576</dc:creator>
  <cp:keywords/>
  <dc:description/>
  <cp:lastModifiedBy>HP</cp:lastModifiedBy>
  <cp:revision>64</cp:revision>
  <cp:lastPrinted>2026-04-02T17:09:00Z</cp:lastPrinted>
  <dcterms:created xsi:type="dcterms:W3CDTF">2026-04-03T11:33:00Z</dcterms:created>
  <dcterms:modified xsi:type="dcterms:W3CDTF">2026-04-27T13:54:00Z</dcterms:modified>
</cp:coreProperties>
</file>