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8A17B" w14:textId="77777777" w:rsidR="00C26DA0" w:rsidRDefault="00C26DA0">
      <w:pPr>
        <w:spacing w:after="0" w:line="240" w:lineRule="auto"/>
        <w:ind w:left="0" w:firstLine="0"/>
        <w:jc w:val="center"/>
        <w:rPr>
          <w:rFonts w:eastAsia="Cambria"/>
          <w:b/>
          <w:bCs/>
          <w:color w:val="000000"/>
        </w:rPr>
      </w:pPr>
    </w:p>
    <w:p w14:paraId="099734C0" w14:textId="037662CA" w:rsidR="00D46C47" w:rsidRPr="00E0735E" w:rsidRDefault="009F4ACF">
      <w:pPr>
        <w:spacing w:after="0" w:line="240" w:lineRule="auto"/>
        <w:ind w:left="0" w:firstLine="0"/>
        <w:jc w:val="center"/>
        <w:rPr>
          <w:rFonts w:eastAsia="Cambria"/>
          <w:sz w:val="18"/>
          <w:szCs w:val="18"/>
        </w:rPr>
      </w:pPr>
      <w:r w:rsidRPr="009F4ACF">
        <w:rPr>
          <w:rFonts w:eastAsia="Cambria"/>
          <w:b/>
          <w:bCs/>
          <w:color w:val="000000"/>
          <w:lang w:val="en-GB"/>
        </w:rPr>
        <w:t>General Education Teacher Retention in Inclusive Public High Schools as Predicted by Psychological Well-Being and Perceived Organizational Justice</w:t>
      </w:r>
    </w:p>
    <w:p w14:paraId="08CF54C3" w14:textId="77777777" w:rsidR="00D46C47" w:rsidRPr="00E0735E" w:rsidRDefault="00D46C47">
      <w:pPr>
        <w:spacing w:after="0" w:line="240" w:lineRule="auto"/>
        <w:ind w:left="0" w:firstLine="0"/>
        <w:jc w:val="center"/>
        <w:rPr>
          <w:rFonts w:eastAsia="Cambria"/>
          <w:sz w:val="18"/>
          <w:szCs w:val="18"/>
        </w:rPr>
      </w:pPr>
    </w:p>
    <w:p w14:paraId="55CC64DA" w14:textId="77777777" w:rsidR="00D46C47" w:rsidRPr="00E0735E" w:rsidRDefault="00D46C47">
      <w:pPr>
        <w:spacing w:after="0" w:line="240" w:lineRule="auto"/>
        <w:ind w:left="0" w:firstLine="0"/>
        <w:jc w:val="center"/>
        <w:rPr>
          <w:rFonts w:eastAsia="Cambria"/>
          <w:sz w:val="18"/>
          <w:szCs w:val="18"/>
        </w:rPr>
      </w:pPr>
    </w:p>
    <w:p w14:paraId="1D45E6C0" w14:textId="77777777" w:rsidR="00D46C47" w:rsidRPr="00E0735E" w:rsidRDefault="00D46C47">
      <w:pPr>
        <w:spacing w:after="0" w:line="240" w:lineRule="auto"/>
        <w:ind w:left="0" w:firstLine="0"/>
        <w:jc w:val="center"/>
        <w:rPr>
          <w:rFonts w:eastAsia="Cambria"/>
          <w:sz w:val="18"/>
          <w:szCs w:val="18"/>
        </w:rPr>
      </w:pPr>
    </w:p>
    <w:p w14:paraId="1DB20847" w14:textId="77777777" w:rsidR="00D46C47" w:rsidRPr="00E0735E" w:rsidRDefault="00513FB1">
      <w:pPr>
        <w:spacing w:after="0" w:line="240" w:lineRule="auto"/>
        <w:ind w:left="0" w:firstLine="0"/>
        <w:jc w:val="center"/>
        <w:rPr>
          <w:rFonts w:eastAsia="Cambria"/>
          <w:b/>
          <w:bCs/>
          <w:color w:val="000000"/>
        </w:rPr>
      </w:pPr>
      <w:r w:rsidRPr="00E0735E">
        <w:rPr>
          <w:rFonts w:eastAsia="Cambria"/>
          <w:b/>
          <w:bCs/>
          <w:color w:val="000000"/>
        </w:rPr>
        <w:t>ABSTRACT</w:t>
      </w:r>
    </w:p>
    <w:p w14:paraId="056FB7D9" w14:textId="22DEF45F" w:rsidR="003A03BB" w:rsidRDefault="003A03BB" w:rsidP="003A03BB">
      <w:pPr>
        <w:pStyle w:val="NormalWeb"/>
        <w:jc w:val="both"/>
      </w:pPr>
      <w:r>
        <w:t xml:space="preserve">Teacher retention remains a critical challenge in inclusive education settings, where workload demands and contextual complexities often contribute to workforce instability. This study examined psychological well-being and perceived organizational justice as predictors of general education teacher retention in inclusive public high schools. Employing a quantitative predictive research design, data were collected through stratified random sampling from 321 general education teachers in the Schools Division of Davao del Norte, Philippines. Standardized and validated survey instruments were used to measure psychological well-being, perceived organizational justice, and teacher retention, and data were </w:t>
      </w:r>
      <w:proofErr w:type="spellStart"/>
      <w:r>
        <w:t>analysed</w:t>
      </w:r>
      <w:proofErr w:type="spellEnd"/>
      <w:r>
        <w:t xml:space="preserve"> using descriptive statistics, Pearson correlation, and multiple regression analysis. Findings revealed that psychological well-being and perceived organizational justice were both at very high levels and were significantly and positively correlated with teacher retention. Regression analysis further showed that both variables significantly predicted teacher retention, with the overall model demonstrating strong explanatory power (R² = 0.557, p &lt; 0.001). Perceived organizational justice emerged as the stronger predictor compared to psychological well-being. These results support Herzberg’s Two-Factor Theory of Motivation, indicating that intrinsic factors (psychological well-being) and extrinsic factors (organizational justice) jointly influence teachers’ decisions to remain in the profession. The study concludes that enhancing fairness in school systems and promoting teachers’ psychological well-being are essential strategies for improving retention in inclusive education settings. Future research may incorporate additional organizational and contextual variables to further explain teacher retention dynamics.</w:t>
      </w:r>
    </w:p>
    <w:p w14:paraId="29ECBABA" w14:textId="77777777" w:rsidR="003A03BB" w:rsidRDefault="003A03BB" w:rsidP="003A03BB">
      <w:pPr>
        <w:pStyle w:val="NormalWeb"/>
        <w:jc w:val="both"/>
      </w:pPr>
      <w:r>
        <w:rPr>
          <w:rStyle w:val="Strong"/>
        </w:rPr>
        <w:t>Keywords:</w:t>
      </w:r>
      <w:r>
        <w:t xml:space="preserve"> Teacher retention, inclusive education, psychological well-being, organizational justice, predictive model</w:t>
      </w:r>
    </w:p>
    <w:p w14:paraId="317EE664" w14:textId="77777777" w:rsidR="00D46C47" w:rsidRPr="00E0735E" w:rsidRDefault="00D46C47">
      <w:pPr>
        <w:spacing w:after="0" w:line="240" w:lineRule="auto"/>
        <w:ind w:left="0" w:firstLine="0"/>
        <w:rPr>
          <w:rFonts w:eastAsia="Cambria"/>
        </w:rPr>
      </w:pPr>
    </w:p>
    <w:p w14:paraId="6C595F12" w14:textId="77777777" w:rsidR="00D46C47" w:rsidRPr="00E0735E" w:rsidRDefault="00513FB1">
      <w:pPr>
        <w:pStyle w:val="Heading1"/>
        <w:spacing w:line="240" w:lineRule="auto"/>
        <w:ind w:left="0" w:right="-19" w:firstLine="0"/>
        <w:rPr>
          <w:rFonts w:eastAsia="Cambria"/>
          <w:sz w:val="32"/>
          <w:szCs w:val="32"/>
        </w:rPr>
      </w:pPr>
      <w:r w:rsidRPr="00E0735E">
        <w:rPr>
          <w:rFonts w:eastAsia="Cambria"/>
          <w:sz w:val="32"/>
          <w:szCs w:val="32"/>
        </w:rPr>
        <w:t xml:space="preserve">INTRODUCTION </w:t>
      </w:r>
    </w:p>
    <w:p w14:paraId="4296FD6F" w14:textId="349DD24E"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Low teacher retention remains a persistent global concern, as education</w:t>
      </w:r>
      <w:r>
        <w:rPr>
          <w:rFonts w:eastAsia="Cambria"/>
          <w:color w:val="000000"/>
        </w:rPr>
        <w:t xml:space="preserve"> </w:t>
      </w:r>
      <w:r w:rsidRPr="00B33EFD">
        <w:rPr>
          <w:rFonts w:eastAsia="Cambria"/>
          <w:color w:val="000000"/>
        </w:rPr>
        <w:t>systems continue to face ongoing staffing difficulties and workforce instability</w:t>
      </w:r>
      <w:r>
        <w:rPr>
          <w:rFonts w:eastAsia="Cambria"/>
          <w:color w:val="000000"/>
        </w:rPr>
        <w:t xml:space="preserve"> </w:t>
      </w:r>
      <w:r w:rsidRPr="00B33EFD">
        <w:rPr>
          <w:rFonts w:eastAsia="Cambria"/>
          <w:color w:val="000000"/>
        </w:rPr>
        <w:t>(Nguyen et al., 2024; Horwood et al., 2024). This issue is more pronounced in</w:t>
      </w:r>
      <w:r>
        <w:rPr>
          <w:rFonts w:eastAsia="Cambria"/>
          <w:color w:val="000000"/>
        </w:rPr>
        <w:t xml:space="preserve"> </w:t>
      </w:r>
      <w:r w:rsidRPr="00B33EFD">
        <w:rPr>
          <w:rFonts w:eastAsia="Cambria"/>
          <w:color w:val="000000"/>
        </w:rPr>
        <w:t>inclusive and special education settings, where high attrition and turnover</w:t>
      </w:r>
      <w:r>
        <w:rPr>
          <w:rFonts w:eastAsia="Cambria"/>
          <w:color w:val="000000"/>
        </w:rPr>
        <w:t xml:space="preserve"> </w:t>
      </w:r>
      <w:r w:rsidRPr="00B33EFD">
        <w:rPr>
          <w:rFonts w:eastAsia="Cambria"/>
          <w:color w:val="000000"/>
        </w:rPr>
        <w:t>continue to reflect low teacher retention levels (</w:t>
      </w:r>
      <w:proofErr w:type="spellStart"/>
      <w:r w:rsidRPr="00B33EFD">
        <w:rPr>
          <w:rFonts w:eastAsia="Cambria"/>
          <w:color w:val="000000"/>
        </w:rPr>
        <w:t>Gansle</w:t>
      </w:r>
      <w:proofErr w:type="spellEnd"/>
      <w:r w:rsidRPr="00B33EFD">
        <w:rPr>
          <w:rFonts w:eastAsia="Cambria"/>
          <w:color w:val="000000"/>
        </w:rPr>
        <w:t xml:space="preserve"> et al., 2025;</w:t>
      </w:r>
      <w:r>
        <w:rPr>
          <w:rFonts w:eastAsia="Cambria"/>
          <w:color w:val="000000"/>
        </w:rPr>
        <w:t xml:space="preserve"> </w:t>
      </w:r>
      <w:r w:rsidRPr="00B33EFD">
        <w:rPr>
          <w:rFonts w:eastAsia="Cambria"/>
          <w:color w:val="000000"/>
        </w:rPr>
        <w:t>Yang &amp;</w:t>
      </w:r>
      <w:r>
        <w:rPr>
          <w:rFonts w:eastAsia="Cambria"/>
          <w:color w:val="000000"/>
        </w:rPr>
        <w:t xml:space="preserve"> </w:t>
      </w:r>
      <w:r w:rsidRPr="00B33EFD">
        <w:rPr>
          <w:rFonts w:eastAsia="Cambria"/>
          <w:color w:val="000000"/>
        </w:rPr>
        <w:t>Zhou, 2025). Studies further showed that teachers in inclusive classrooms</w:t>
      </w:r>
      <w:r>
        <w:rPr>
          <w:rFonts w:eastAsia="Cambria"/>
          <w:color w:val="000000"/>
        </w:rPr>
        <w:t xml:space="preserve"> </w:t>
      </w:r>
      <w:r w:rsidRPr="00B33EFD">
        <w:rPr>
          <w:rFonts w:eastAsia="Cambria"/>
          <w:color w:val="000000"/>
        </w:rPr>
        <w:t>continue to leave the profession at concerning rates, highlighting the</w:t>
      </w:r>
      <w:r>
        <w:rPr>
          <w:rFonts w:eastAsia="Cambria"/>
          <w:color w:val="000000"/>
        </w:rPr>
        <w:t xml:space="preserve"> </w:t>
      </w:r>
      <w:r w:rsidRPr="00B33EFD">
        <w:rPr>
          <w:rFonts w:eastAsia="Cambria"/>
          <w:color w:val="000000"/>
        </w:rPr>
        <w:t>complexity and demands associated with these teaching environments</w:t>
      </w:r>
      <w:r>
        <w:rPr>
          <w:rFonts w:eastAsia="Cambria"/>
          <w:color w:val="000000"/>
        </w:rPr>
        <w:t xml:space="preserve"> </w:t>
      </w:r>
      <w:r w:rsidRPr="00B33EFD">
        <w:rPr>
          <w:rFonts w:eastAsia="Cambria"/>
          <w:color w:val="000000"/>
        </w:rPr>
        <w:t>(Paradiso-Testa, 2022; Arthur &amp; Bradley, 2023).</w:t>
      </w:r>
    </w:p>
    <w:p w14:paraId="572C86A0" w14:textId="3F943ABA"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Across different countries, low teacher retention continues to be widely</w:t>
      </w:r>
      <w:r>
        <w:rPr>
          <w:rFonts w:eastAsia="Cambria"/>
          <w:color w:val="000000"/>
        </w:rPr>
        <w:t xml:space="preserve"> </w:t>
      </w:r>
      <w:r w:rsidRPr="00B33EFD">
        <w:rPr>
          <w:rFonts w:eastAsia="Cambria"/>
          <w:color w:val="000000"/>
        </w:rPr>
        <w:t>reported. In the United States, national survey data from the 2022–2023 school</w:t>
      </w:r>
      <w:r>
        <w:rPr>
          <w:rFonts w:eastAsia="Cambria"/>
          <w:color w:val="000000"/>
        </w:rPr>
        <w:t xml:space="preserve"> </w:t>
      </w:r>
      <w:r w:rsidRPr="00B33EFD">
        <w:rPr>
          <w:rFonts w:eastAsia="Cambria"/>
          <w:color w:val="000000"/>
        </w:rPr>
        <w:t>year revealed that nearly 79% of teachers have considered leaving the</w:t>
      </w:r>
      <w:r>
        <w:rPr>
          <w:rFonts w:eastAsia="Cambria"/>
          <w:color w:val="000000"/>
        </w:rPr>
        <w:t xml:space="preserve"> </w:t>
      </w:r>
      <w:r w:rsidRPr="00B33EFD">
        <w:rPr>
          <w:rFonts w:eastAsia="Cambria"/>
          <w:color w:val="000000"/>
        </w:rPr>
        <w:t xml:space="preserve">profession or </w:t>
      </w:r>
      <w:r w:rsidRPr="00B33EFD">
        <w:rPr>
          <w:rFonts w:eastAsia="Cambria"/>
          <w:color w:val="000000"/>
        </w:rPr>
        <w:lastRenderedPageBreak/>
        <w:t>seeking alternative employment (Marshall &amp; Pressley, 2025).</w:t>
      </w:r>
      <w:r>
        <w:rPr>
          <w:rFonts w:eastAsia="Cambria"/>
          <w:color w:val="000000"/>
        </w:rPr>
        <w:t xml:space="preserve"> </w:t>
      </w:r>
      <w:r w:rsidRPr="00B33EFD">
        <w:rPr>
          <w:rFonts w:eastAsia="Cambria"/>
          <w:color w:val="000000"/>
        </w:rPr>
        <w:t>Similarly, low teacher retention has been reported in Malawi, particularly in</w:t>
      </w:r>
      <w:r>
        <w:rPr>
          <w:rFonts w:eastAsia="Cambria"/>
          <w:color w:val="000000"/>
        </w:rPr>
        <w:t xml:space="preserve"> </w:t>
      </w:r>
      <w:r w:rsidRPr="00B33EFD">
        <w:rPr>
          <w:rFonts w:eastAsia="Cambria"/>
          <w:color w:val="000000"/>
        </w:rPr>
        <w:t>inclusive and rural settings (Opoku et al., 2021). In Australia,</w:t>
      </w:r>
      <w:r>
        <w:rPr>
          <w:rFonts w:eastAsia="Cambria"/>
          <w:color w:val="000000"/>
        </w:rPr>
        <w:t xml:space="preserve"> </w:t>
      </w:r>
      <w:r w:rsidRPr="00B33EFD">
        <w:rPr>
          <w:rFonts w:eastAsia="Cambria"/>
          <w:color w:val="000000"/>
        </w:rPr>
        <w:t>teacher retention</w:t>
      </w:r>
      <w:r>
        <w:rPr>
          <w:rFonts w:eastAsia="Cambria"/>
          <w:color w:val="000000"/>
        </w:rPr>
        <w:t xml:space="preserve"> </w:t>
      </w:r>
      <w:r w:rsidRPr="00B33EFD">
        <w:rPr>
          <w:rFonts w:eastAsia="Cambria"/>
          <w:color w:val="000000"/>
        </w:rPr>
        <w:t>also remains a continuing concern,</w:t>
      </w:r>
      <w:r>
        <w:rPr>
          <w:rFonts w:eastAsia="Cambria"/>
          <w:color w:val="000000"/>
        </w:rPr>
        <w:t xml:space="preserve"> </w:t>
      </w:r>
      <w:r w:rsidRPr="00B33EFD">
        <w:rPr>
          <w:rFonts w:eastAsia="Cambria"/>
          <w:color w:val="000000"/>
        </w:rPr>
        <w:t>reflecting persistent challenges in</w:t>
      </w:r>
      <w:r>
        <w:rPr>
          <w:rFonts w:eastAsia="Cambria"/>
          <w:color w:val="000000"/>
        </w:rPr>
        <w:t xml:space="preserve"> </w:t>
      </w:r>
      <w:r w:rsidRPr="00B33EFD">
        <w:rPr>
          <w:rFonts w:eastAsia="Cambria"/>
          <w:color w:val="000000"/>
        </w:rPr>
        <w:t>sustaining a stable teaching workforce (Cuervo &amp; Vera-Toscano, 2025).</w:t>
      </w:r>
    </w:p>
    <w:p w14:paraId="62EB47D5" w14:textId="200FFA99" w:rsidR="00B33EFD" w:rsidRDefault="00B33EFD" w:rsidP="00B33EFD">
      <w:pPr>
        <w:pBdr>
          <w:top w:val="nil"/>
          <w:left w:val="nil"/>
          <w:bottom w:val="nil"/>
          <w:right w:val="nil"/>
          <w:between w:val="nil"/>
        </w:pBdr>
        <w:spacing w:after="240" w:line="240" w:lineRule="auto"/>
        <w:ind w:left="0" w:firstLine="564"/>
        <w:rPr>
          <w:rFonts w:eastAsia="Cambria"/>
          <w:color w:val="000000"/>
        </w:rPr>
      </w:pPr>
      <w:r w:rsidRPr="00B33EFD">
        <w:rPr>
          <w:rFonts w:eastAsia="Cambria"/>
          <w:color w:val="000000"/>
        </w:rPr>
        <w:t>In the Philippines, low teacher retention persists across various educational</w:t>
      </w:r>
      <w:r>
        <w:rPr>
          <w:rFonts w:eastAsia="Cambria"/>
          <w:color w:val="000000"/>
        </w:rPr>
        <w:t xml:space="preserve"> </w:t>
      </w:r>
      <w:r w:rsidRPr="00B33EFD">
        <w:rPr>
          <w:rFonts w:eastAsia="Cambria"/>
          <w:color w:val="000000"/>
        </w:rPr>
        <w:t>settings. A recent study has documented the persistent occurrence of teacher</w:t>
      </w:r>
      <w:r>
        <w:rPr>
          <w:rFonts w:eastAsia="Cambria"/>
          <w:color w:val="000000"/>
        </w:rPr>
        <w:t xml:space="preserve"> </w:t>
      </w:r>
      <w:r w:rsidRPr="00B33EFD">
        <w:rPr>
          <w:rFonts w:eastAsia="Cambria"/>
          <w:color w:val="000000"/>
        </w:rPr>
        <w:t>turnover in private schools, suggesting ongoing difficulties in sustaining a consistent teaching workforce (</w:t>
      </w:r>
      <w:proofErr w:type="spellStart"/>
      <w:r w:rsidRPr="00B33EFD">
        <w:rPr>
          <w:rFonts w:eastAsia="Cambria"/>
          <w:color w:val="000000"/>
        </w:rPr>
        <w:t>Saldevia</w:t>
      </w:r>
      <w:proofErr w:type="spellEnd"/>
      <w:r w:rsidRPr="00B33EFD">
        <w:rPr>
          <w:rFonts w:eastAsia="Cambria"/>
          <w:color w:val="000000"/>
        </w:rPr>
        <w:t xml:space="preserve"> &amp; Pedroso, 2025). Similarly, evidence</w:t>
      </w:r>
      <w:r>
        <w:rPr>
          <w:rFonts w:eastAsia="Cambria"/>
          <w:color w:val="000000"/>
        </w:rPr>
        <w:t xml:space="preserve"> </w:t>
      </w:r>
      <w:r w:rsidRPr="00B33EFD">
        <w:rPr>
          <w:rFonts w:eastAsia="Cambria"/>
          <w:color w:val="000000"/>
        </w:rPr>
        <w:t>from local school contexts indicated that retention remains a critical issue,</w:t>
      </w:r>
      <w:r>
        <w:rPr>
          <w:rFonts w:eastAsia="Cambria"/>
          <w:color w:val="000000"/>
        </w:rPr>
        <w:t xml:space="preserve"> </w:t>
      </w:r>
      <w:r w:rsidRPr="00B33EFD">
        <w:rPr>
          <w:rFonts w:eastAsia="Cambria"/>
          <w:color w:val="000000"/>
        </w:rPr>
        <w:t>with varying levels observed among public secondary teachers in Davao City</w:t>
      </w:r>
      <w:r>
        <w:rPr>
          <w:rFonts w:eastAsia="Cambria"/>
          <w:color w:val="000000"/>
        </w:rPr>
        <w:t xml:space="preserve"> </w:t>
      </w:r>
      <w:r w:rsidRPr="00B33EFD">
        <w:rPr>
          <w:rFonts w:eastAsia="Cambria"/>
          <w:color w:val="000000"/>
        </w:rPr>
        <w:t>(</w:t>
      </w:r>
      <w:proofErr w:type="spellStart"/>
      <w:r w:rsidRPr="00B33EFD">
        <w:rPr>
          <w:rFonts w:eastAsia="Cambria"/>
          <w:color w:val="000000"/>
        </w:rPr>
        <w:t>Salibat</w:t>
      </w:r>
      <w:proofErr w:type="spellEnd"/>
      <w:r w:rsidRPr="00B33EFD">
        <w:rPr>
          <w:rFonts w:eastAsia="Cambria"/>
          <w:color w:val="000000"/>
        </w:rPr>
        <w:t xml:space="preserve"> et al., 2024). This trend is further supported by broader findings across</w:t>
      </w:r>
      <w:r>
        <w:rPr>
          <w:rFonts w:eastAsia="Cambria"/>
          <w:color w:val="000000"/>
        </w:rPr>
        <w:t xml:space="preserve"> </w:t>
      </w:r>
      <w:r w:rsidRPr="00B33EFD">
        <w:rPr>
          <w:rFonts w:eastAsia="Cambria"/>
          <w:color w:val="000000"/>
        </w:rPr>
        <w:t>public schools, where teacher retention continues to fluctuate depending on</w:t>
      </w:r>
      <w:r>
        <w:rPr>
          <w:rFonts w:eastAsia="Cambria"/>
          <w:color w:val="000000"/>
        </w:rPr>
        <w:t xml:space="preserve"> </w:t>
      </w:r>
      <w:r w:rsidRPr="00B33EFD">
        <w:rPr>
          <w:rFonts w:eastAsia="Cambria"/>
          <w:color w:val="000000"/>
        </w:rPr>
        <w:t>contextual factors (</w:t>
      </w:r>
      <w:proofErr w:type="spellStart"/>
      <w:r w:rsidRPr="00B33EFD">
        <w:rPr>
          <w:rFonts w:eastAsia="Cambria"/>
          <w:color w:val="000000"/>
        </w:rPr>
        <w:t>Abelleja</w:t>
      </w:r>
      <w:proofErr w:type="spellEnd"/>
      <w:r w:rsidRPr="00B33EFD">
        <w:rPr>
          <w:rFonts w:eastAsia="Cambria"/>
          <w:color w:val="000000"/>
        </w:rPr>
        <w:t>, 2026), highlighting the widespread and persistent</w:t>
      </w:r>
      <w:r>
        <w:rPr>
          <w:rFonts w:eastAsia="Cambria"/>
          <w:color w:val="000000"/>
        </w:rPr>
        <w:t xml:space="preserve"> </w:t>
      </w:r>
      <w:r w:rsidRPr="00B33EFD">
        <w:rPr>
          <w:rFonts w:eastAsia="Cambria"/>
          <w:color w:val="000000"/>
        </w:rPr>
        <w:t>nature of the issue.</w:t>
      </w:r>
    </w:p>
    <w:p w14:paraId="4B68A3FC" w14:textId="66EE9618" w:rsidR="00B33EFD" w:rsidRDefault="00B33EFD" w:rsidP="00B33EFD">
      <w:pPr>
        <w:pBdr>
          <w:top w:val="nil"/>
          <w:left w:val="nil"/>
          <w:bottom w:val="nil"/>
          <w:right w:val="nil"/>
          <w:between w:val="nil"/>
        </w:pBdr>
        <w:spacing w:after="0" w:line="240" w:lineRule="auto"/>
        <w:ind w:left="0" w:firstLine="564"/>
        <w:rPr>
          <w:rFonts w:eastAsia="Cambria"/>
          <w:color w:val="000000"/>
        </w:rPr>
      </w:pPr>
      <w:r w:rsidRPr="00B33EFD">
        <w:rPr>
          <w:rFonts w:eastAsia="Cambria"/>
          <w:color w:val="000000"/>
        </w:rPr>
        <w:t>Low teacher retention poses serious risks to the effective implementation of</w:t>
      </w:r>
      <w:r>
        <w:rPr>
          <w:rFonts w:eastAsia="Cambria"/>
          <w:color w:val="000000"/>
        </w:rPr>
        <w:t xml:space="preserve"> </w:t>
      </w:r>
      <w:r w:rsidRPr="00B33EFD">
        <w:rPr>
          <w:rFonts w:eastAsia="Cambria"/>
          <w:color w:val="000000"/>
        </w:rPr>
        <w:t>inclusive education, including disrupted instruction, weakened inclusive</w:t>
      </w:r>
      <w:r>
        <w:rPr>
          <w:rFonts w:eastAsia="Cambria"/>
          <w:color w:val="000000"/>
        </w:rPr>
        <w:t xml:space="preserve"> </w:t>
      </w:r>
      <w:r w:rsidRPr="00B33EFD">
        <w:rPr>
          <w:rFonts w:eastAsia="Cambria"/>
          <w:color w:val="000000"/>
        </w:rPr>
        <w:t>practices, and reduced teacher–student relationships. Despite these</w:t>
      </w:r>
      <w:r>
        <w:rPr>
          <w:rFonts w:eastAsia="Cambria"/>
          <w:color w:val="000000"/>
        </w:rPr>
        <w:t xml:space="preserve"> </w:t>
      </w:r>
      <w:r w:rsidRPr="00B33EFD">
        <w:rPr>
          <w:rFonts w:eastAsia="Cambria"/>
          <w:color w:val="000000"/>
        </w:rPr>
        <w:t>implications, limited studies have focused specifically on general education</w:t>
      </w:r>
      <w:r>
        <w:rPr>
          <w:rFonts w:eastAsia="Cambria"/>
          <w:color w:val="000000"/>
        </w:rPr>
        <w:t xml:space="preserve"> </w:t>
      </w:r>
      <w:r w:rsidRPr="00B33EFD">
        <w:rPr>
          <w:rFonts w:eastAsia="Cambria"/>
          <w:color w:val="000000"/>
        </w:rPr>
        <w:t>teachers in inclusive public high schools, particularly in Davao del Norte. This</w:t>
      </w:r>
      <w:r>
        <w:rPr>
          <w:rFonts w:eastAsia="Cambria"/>
          <w:color w:val="000000"/>
        </w:rPr>
        <w:t xml:space="preserve"> </w:t>
      </w:r>
      <w:r w:rsidRPr="00B33EFD">
        <w:rPr>
          <w:rFonts w:eastAsia="Cambria"/>
          <w:color w:val="000000"/>
        </w:rPr>
        <w:t>gap prompted this study. Thus,</w:t>
      </w:r>
      <w:r>
        <w:rPr>
          <w:rFonts w:eastAsia="Cambria"/>
          <w:color w:val="000000"/>
        </w:rPr>
        <w:t xml:space="preserve"> </w:t>
      </w:r>
      <w:r w:rsidRPr="00B33EFD">
        <w:rPr>
          <w:rFonts w:eastAsia="Cambria"/>
          <w:color w:val="000000"/>
        </w:rPr>
        <w:t>this study was undertaken.</w:t>
      </w:r>
    </w:p>
    <w:p w14:paraId="1348A042" w14:textId="77777777" w:rsidR="00B33EFD" w:rsidRDefault="00B33EFD" w:rsidP="00B33EFD">
      <w:pPr>
        <w:pBdr>
          <w:top w:val="nil"/>
          <w:left w:val="nil"/>
          <w:bottom w:val="nil"/>
          <w:right w:val="nil"/>
          <w:between w:val="nil"/>
        </w:pBdr>
        <w:spacing w:after="0" w:line="240" w:lineRule="auto"/>
        <w:ind w:left="0"/>
        <w:rPr>
          <w:rFonts w:eastAsia="Cambria"/>
          <w:color w:val="000000"/>
        </w:rPr>
      </w:pPr>
    </w:p>
    <w:p w14:paraId="5A97AADD" w14:textId="0867DAFC" w:rsidR="00D46C47" w:rsidRPr="00E0735E" w:rsidRDefault="00513FB1" w:rsidP="00B33EFD">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Significance of the Study </w:t>
      </w:r>
    </w:p>
    <w:p w14:paraId="0782D1BB" w14:textId="77777777" w:rsidR="00D46C47" w:rsidRPr="00E0735E" w:rsidRDefault="00D46C47">
      <w:pPr>
        <w:pBdr>
          <w:top w:val="nil"/>
          <w:left w:val="nil"/>
          <w:bottom w:val="nil"/>
          <w:right w:val="nil"/>
          <w:between w:val="nil"/>
        </w:pBdr>
        <w:spacing w:after="0" w:line="240" w:lineRule="auto"/>
        <w:ind w:left="0"/>
        <w:rPr>
          <w:rFonts w:eastAsia="Cambria"/>
          <w:i/>
          <w:iCs/>
          <w:color w:val="000000"/>
        </w:rPr>
      </w:pPr>
    </w:p>
    <w:p w14:paraId="6D669B8E" w14:textId="764B7502" w:rsidR="00D46C47" w:rsidRPr="00E0735E" w:rsidRDefault="00B33EFD" w:rsidP="00B33EFD">
      <w:pPr>
        <w:pBdr>
          <w:top w:val="nil"/>
          <w:left w:val="nil"/>
          <w:bottom w:val="nil"/>
          <w:right w:val="nil"/>
          <w:between w:val="nil"/>
        </w:pBdr>
        <w:spacing w:after="0" w:line="240" w:lineRule="auto"/>
        <w:ind w:left="10" w:firstLine="710"/>
        <w:rPr>
          <w:rFonts w:eastAsia="Cambria"/>
          <w:color w:val="000000"/>
        </w:rPr>
      </w:pPr>
      <w:r w:rsidRPr="00B33EFD">
        <w:rPr>
          <w:rFonts w:eastAsia="Cambria"/>
          <w:color w:val="000000"/>
        </w:rPr>
        <w:t>This study is significant as it contributes to achieving the United Nations</w:t>
      </w:r>
      <w:r>
        <w:rPr>
          <w:rFonts w:eastAsia="Cambria"/>
          <w:color w:val="000000"/>
        </w:rPr>
        <w:t xml:space="preserve"> </w:t>
      </w:r>
      <w:r w:rsidRPr="00B33EFD">
        <w:rPr>
          <w:rFonts w:eastAsia="Cambria"/>
          <w:color w:val="000000"/>
        </w:rPr>
        <w:t>Sustainable Development Goals (SDGs) 4 and 3, which promote inclusive</w:t>
      </w:r>
      <w:r>
        <w:rPr>
          <w:rFonts w:eastAsia="Cambria"/>
          <w:color w:val="000000"/>
        </w:rPr>
        <w:t xml:space="preserve"> </w:t>
      </w:r>
      <w:r w:rsidRPr="00B33EFD">
        <w:rPr>
          <w:rFonts w:eastAsia="Cambria"/>
          <w:color w:val="000000"/>
        </w:rPr>
        <w:t>and</w:t>
      </w:r>
      <w:r>
        <w:rPr>
          <w:rFonts w:eastAsia="Cambria"/>
          <w:color w:val="000000"/>
        </w:rPr>
        <w:t xml:space="preserve"> </w:t>
      </w:r>
      <w:r w:rsidRPr="00B33EFD">
        <w:rPr>
          <w:rFonts w:eastAsia="Cambria"/>
          <w:color w:val="000000"/>
        </w:rPr>
        <w:t>equitable quality education and good health and well-being,</w:t>
      </w:r>
      <w:r>
        <w:rPr>
          <w:rFonts w:eastAsia="Cambria"/>
          <w:color w:val="000000"/>
        </w:rPr>
        <w:t xml:space="preserve"> </w:t>
      </w:r>
      <w:r w:rsidRPr="00B33EFD">
        <w:rPr>
          <w:rFonts w:eastAsia="Cambria"/>
          <w:color w:val="000000"/>
        </w:rPr>
        <w:t>respectively. By</w:t>
      </w:r>
      <w:r>
        <w:rPr>
          <w:rFonts w:eastAsia="Cambria"/>
          <w:color w:val="000000"/>
        </w:rPr>
        <w:t xml:space="preserve"> </w:t>
      </w:r>
      <w:r w:rsidRPr="00B33EFD">
        <w:rPr>
          <w:rFonts w:eastAsia="Cambria"/>
          <w:color w:val="000000"/>
        </w:rPr>
        <w:t>identifying factors that shape teacher retention,</w:t>
      </w:r>
      <w:r>
        <w:rPr>
          <w:rFonts w:eastAsia="Cambria"/>
          <w:color w:val="000000"/>
        </w:rPr>
        <w:t xml:space="preserve"> </w:t>
      </w:r>
      <w:r w:rsidRPr="00B33EFD">
        <w:rPr>
          <w:rFonts w:eastAsia="Cambria"/>
          <w:color w:val="000000"/>
        </w:rPr>
        <w:t>the study may provide insights</w:t>
      </w:r>
      <w:r>
        <w:rPr>
          <w:rFonts w:eastAsia="Cambria"/>
          <w:color w:val="000000"/>
        </w:rPr>
        <w:t xml:space="preserve"> </w:t>
      </w:r>
      <w:r w:rsidRPr="00B33EFD">
        <w:rPr>
          <w:rFonts w:eastAsia="Cambria"/>
          <w:color w:val="000000"/>
        </w:rPr>
        <w:t>to support the Department of Education's efforts to strengthen inclusive</w:t>
      </w:r>
      <w:r>
        <w:rPr>
          <w:rFonts w:eastAsia="Cambria"/>
          <w:color w:val="000000"/>
        </w:rPr>
        <w:t xml:space="preserve"> </w:t>
      </w:r>
      <w:r w:rsidRPr="00B33EFD">
        <w:rPr>
          <w:rFonts w:eastAsia="Cambria"/>
          <w:color w:val="000000"/>
        </w:rPr>
        <w:t>education and ensure a stable, committed teaching workforce. The findings</w:t>
      </w:r>
      <w:r>
        <w:rPr>
          <w:rFonts w:eastAsia="Cambria"/>
          <w:color w:val="000000"/>
        </w:rPr>
        <w:t xml:space="preserve"> </w:t>
      </w:r>
      <w:r w:rsidRPr="00B33EFD">
        <w:rPr>
          <w:rFonts w:eastAsia="Cambria"/>
          <w:color w:val="000000"/>
        </w:rPr>
        <w:t>also align with the vision and mission of Holy Cross of Davao College by</w:t>
      </w:r>
      <w:r>
        <w:rPr>
          <w:rFonts w:eastAsia="Cambria"/>
          <w:color w:val="000000"/>
        </w:rPr>
        <w:t xml:space="preserve"> </w:t>
      </w:r>
      <w:r w:rsidRPr="00B33EFD">
        <w:rPr>
          <w:rFonts w:eastAsia="Cambria"/>
          <w:color w:val="000000"/>
        </w:rPr>
        <w:t>contributing relevant empirical evidence that may help educators and</w:t>
      </w:r>
      <w:r>
        <w:rPr>
          <w:rFonts w:eastAsia="Cambria"/>
          <w:color w:val="000000"/>
        </w:rPr>
        <w:t xml:space="preserve"> </w:t>
      </w:r>
      <w:r w:rsidRPr="00B33EFD">
        <w:rPr>
          <w:rFonts w:eastAsia="Cambria"/>
          <w:color w:val="000000"/>
        </w:rPr>
        <w:t>stakeholders design more responsive, inclusive, and supportive educational</w:t>
      </w:r>
      <w:r>
        <w:rPr>
          <w:rFonts w:eastAsia="Cambria"/>
          <w:color w:val="000000"/>
        </w:rPr>
        <w:t xml:space="preserve"> </w:t>
      </w:r>
      <w:r w:rsidRPr="00B33EFD">
        <w:rPr>
          <w:rFonts w:eastAsia="Cambria"/>
          <w:color w:val="000000"/>
        </w:rPr>
        <w:t>practices that enhance teacher well-being and professional commitment.</w:t>
      </w:r>
      <w:r>
        <w:rPr>
          <w:rFonts w:eastAsia="Cambria"/>
          <w:color w:val="000000"/>
        </w:rPr>
        <w:t xml:space="preserve"> </w:t>
      </w:r>
      <w:r w:rsidRPr="00B33EFD">
        <w:rPr>
          <w:rFonts w:eastAsia="Cambria"/>
          <w:color w:val="000000"/>
        </w:rPr>
        <w:t>Lastly,</w:t>
      </w:r>
      <w:r>
        <w:rPr>
          <w:rFonts w:eastAsia="Cambria"/>
          <w:color w:val="000000"/>
        </w:rPr>
        <w:t xml:space="preserve"> </w:t>
      </w:r>
      <w:r w:rsidRPr="00B33EFD">
        <w:rPr>
          <w:rFonts w:eastAsia="Cambria"/>
          <w:color w:val="000000"/>
        </w:rPr>
        <w:t>the results of this study may guide school leaders, policymakers, and</w:t>
      </w:r>
      <w:r>
        <w:rPr>
          <w:rFonts w:eastAsia="Cambria"/>
          <w:color w:val="000000"/>
        </w:rPr>
        <w:t xml:space="preserve"> </w:t>
      </w:r>
      <w:r w:rsidRPr="00B33EFD">
        <w:rPr>
          <w:rFonts w:eastAsia="Cambria"/>
          <w:color w:val="000000"/>
        </w:rPr>
        <w:t>special education coordinators in developing interventions that strengthen</w:t>
      </w:r>
      <w:r>
        <w:rPr>
          <w:rFonts w:eastAsia="Cambria"/>
          <w:color w:val="000000"/>
        </w:rPr>
        <w:t xml:space="preserve"> </w:t>
      </w:r>
      <w:r w:rsidRPr="00B33EFD">
        <w:rPr>
          <w:rFonts w:eastAsia="Cambria"/>
          <w:color w:val="000000"/>
        </w:rPr>
        <w:t>organizational fairness, improve working conditions, and promote teacher well-being,</w:t>
      </w:r>
      <w:r>
        <w:rPr>
          <w:rFonts w:eastAsia="Cambria"/>
          <w:color w:val="000000"/>
        </w:rPr>
        <w:t xml:space="preserve"> </w:t>
      </w:r>
      <w:r w:rsidRPr="00B33EFD">
        <w:rPr>
          <w:rFonts w:eastAsia="Cambria"/>
          <w:color w:val="000000"/>
        </w:rPr>
        <w:t>thereby sustaining retention in inclusive education settings in the</w:t>
      </w:r>
      <w:r>
        <w:rPr>
          <w:rFonts w:eastAsia="Cambria"/>
          <w:color w:val="000000"/>
        </w:rPr>
        <w:t xml:space="preserve"> </w:t>
      </w:r>
      <w:r w:rsidRPr="00B33EFD">
        <w:rPr>
          <w:rFonts w:eastAsia="Cambria"/>
          <w:color w:val="000000"/>
        </w:rPr>
        <w:t>Philippines and similar contexts.</w:t>
      </w:r>
    </w:p>
    <w:p w14:paraId="49491CA7" w14:textId="77777777" w:rsidR="00B33EFD" w:rsidRDefault="00B33EFD">
      <w:pPr>
        <w:pBdr>
          <w:top w:val="nil"/>
          <w:left w:val="nil"/>
          <w:bottom w:val="nil"/>
          <w:right w:val="nil"/>
          <w:between w:val="nil"/>
        </w:pBdr>
        <w:spacing w:after="0" w:line="240" w:lineRule="auto"/>
        <w:ind w:left="0" w:firstLine="0"/>
        <w:rPr>
          <w:rFonts w:eastAsia="Cambria"/>
          <w:b/>
          <w:bCs/>
          <w:i/>
          <w:iCs/>
          <w:color w:val="000000"/>
        </w:rPr>
      </w:pPr>
    </w:p>
    <w:p w14:paraId="56DA2421" w14:textId="50BD7C49" w:rsidR="00D46C47" w:rsidRPr="00B377AC" w:rsidRDefault="00B377AC">
      <w:pPr>
        <w:pStyle w:val="Heading3"/>
        <w:spacing w:after="0" w:line="240" w:lineRule="auto"/>
        <w:ind w:left="0" w:firstLine="0"/>
        <w:jc w:val="both"/>
        <w:rPr>
          <w:rFonts w:eastAsia="Cambria"/>
          <w:b/>
          <w:bCs/>
          <w:i w:val="0"/>
          <w:iCs w:val="0"/>
        </w:rPr>
      </w:pPr>
      <w:r w:rsidRPr="00B377AC">
        <w:rPr>
          <w:rFonts w:eastAsia="Cambria"/>
          <w:b/>
          <w:bCs/>
          <w:i w:val="0"/>
          <w:iCs w:val="0"/>
        </w:rPr>
        <w:t>Objective of the study</w:t>
      </w:r>
    </w:p>
    <w:p w14:paraId="4AF8B778" w14:textId="77777777" w:rsidR="00B377AC" w:rsidRPr="00B377AC" w:rsidRDefault="00B377AC" w:rsidP="00B377AC"/>
    <w:p w14:paraId="32400FEB" w14:textId="3DDE4527" w:rsidR="00D46C47" w:rsidRPr="00E0735E" w:rsidRDefault="00B33EFD" w:rsidP="00B33EFD">
      <w:pPr>
        <w:spacing w:after="0" w:line="240" w:lineRule="auto"/>
        <w:ind w:left="0" w:firstLine="720"/>
        <w:rPr>
          <w:rFonts w:eastAsia="Cambria"/>
          <w:color w:val="000000"/>
        </w:rPr>
      </w:pPr>
      <w:r w:rsidRPr="00B33EFD">
        <w:rPr>
          <w:rFonts w:eastAsia="Cambria"/>
          <w:color w:val="000000"/>
        </w:rPr>
        <w:t>This study investigated the significance to forecast teacher retention using</w:t>
      </w:r>
      <w:r>
        <w:rPr>
          <w:rFonts w:eastAsia="Cambria"/>
          <w:color w:val="000000"/>
        </w:rPr>
        <w:t xml:space="preserve"> </w:t>
      </w:r>
      <w:r w:rsidRPr="00B33EFD">
        <w:rPr>
          <w:rFonts w:eastAsia="Cambria"/>
          <w:color w:val="000000"/>
        </w:rPr>
        <w:t>psychological well-being and perceived organizational justice as predictors. It</w:t>
      </w:r>
      <w:r>
        <w:rPr>
          <w:rFonts w:eastAsia="Cambria"/>
          <w:color w:val="000000"/>
        </w:rPr>
        <w:t xml:space="preserve"> </w:t>
      </w:r>
      <w:r w:rsidRPr="00B33EFD">
        <w:rPr>
          <w:rFonts w:eastAsia="Cambria"/>
          <w:color w:val="000000"/>
        </w:rPr>
        <w:t>specifically pursued the following objectives:</w:t>
      </w:r>
    </w:p>
    <w:p w14:paraId="5EAF6902" w14:textId="5359B1F4"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lastRenderedPageBreak/>
        <w:t>To determine the levels of psychological well-being in terms of self-acceptance, autonomy, environmental mastery, personal growth, positive relations, and purpose in life; perceived organizational justice in terms of distributive justice, procedural justice, and interactional justice; and teacher retention in terms of compensation, administrative support, working conditions, and professional growth;</w:t>
      </w:r>
    </w:p>
    <w:p w14:paraId="0A5C6C3D" w14:textId="1C6258C9"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t>To determine the significance of the correlation between psychological well-being, perceived organizational justice, and the teacher retention;</w:t>
      </w:r>
    </w:p>
    <w:p w14:paraId="16B112F7" w14:textId="6533ABD4" w:rsidR="00D46C47" w:rsidRPr="00E0735E" w:rsidRDefault="00CF0A13">
      <w:pPr>
        <w:numPr>
          <w:ilvl w:val="0"/>
          <w:numId w:val="2"/>
        </w:numPr>
        <w:pBdr>
          <w:top w:val="nil"/>
          <w:left w:val="nil"/>
          <w:bottom w:val="nil"/>
          <w:right w:val="nil"/>
          <w:between w:val="nil"/>
        </w:pBdr>
        <w:spacing w:after="0"/>
        <w:rPr>
          <w:rFonts w:eastAsia="Cambria"/>
          <w:color w:val="000000"/>
        </w:rPr>
      </w:pPr>
      <w:r w:rsidRPr="00E0735E">
        <w:rPr>
          <w:rFonts w:eastAsia="Cambria"/>
          <w:color w:val="000000"/>
        </w:rPr>
        <w:t>To determine the significance of the model for teacher retention, with psychological well-being and perceived organizational justice as predictors.</w:t>
      </w:r>
    </w:p>
    <w:p w14:paraId="2231470E" w14:textId="77777777" w:rsidR="00D46C47" w:rsidRPr="00E0735E" w:rsidRDefault="00D46C47">
      <w:pPr>
        <w:pBdr>
          <w:top w:val="nil"/>
          <w:left w:val="nil"/>
          <w:bottom w:val="nil"/>
          <w:right w:val="nil"/>
          <w:between w:val="nil"/>
        </w:pBdr>
        <w:spacing w:after="0" w:line="240" w:lineRule="auto"/>
        <w:ind w:left="0" w:firstLine="0"/>
        <w:jc w:val="left"/>
        <w:rPr>
          <w:rFonts w:eastAsia="Cambria"/>
          <w:b/>
          <w:bCs/>
          <w:i/>
          <w:iCs/>
          <w:color w:val="000000"/>
        </w:rPr>
      </w:pPr>
    </w:p>
    <w:p w14:paraId="577F95D6" w14:textId="77777777" w:rsidR="00D46C47" w:rsidRPr="00E0735E" w:rsidRDefault="00513FB1">
      <w:pPr>
        <w:pBdr>
          <w:top w:val="nil"/>
          <w:left w:val="nil"/>
          <w:bottom w:val="nil"/>
          <w:right w:val="nil"/>
          <w:between w:val="nil"/>
        </w:pBdr>
        <w:spacing w:after="0" w:line="240" w:lineRule="auto"/>
        <w:ind w:left="0" w:firstLine="0"/>
        <w:jc w:val="left"/>
        <w:rPr>
          <w:rFonts w:eastAsia="Cambria"/>
          <w:b/>
          <w:bCs/>
          <w:i/>
          <w:iCs/>
          <w:color w:val="000000"/>
        </w:rPr>
      </w:pPr>
      <w:r w:rsidRPr="00E0735E">
        <w:rPr>
          <w:rFonts w:eastAsia="Cambria"/>
          <w:b/>
          <w:bCs/>
          <w:i/>
          <w:iCs/>
          <w:color w:val="000000"/>
        </w:rPr>
        <w:t>Hypotheses:</w:t>
      </w:r>
    </w:p>
    <w:p w14:paraId="54A423F5" w14:textId="77777777" w:rsidR="00D46C47" w:rsidRPr="00E0735E" w:rsidRDefault="00D46C47">
      <w:pPr>
        <w:pBdr>
          <w:top w:val="nil"/>
          <w:left w:val="nil"/>
          <w:bottom w:val="nil"/>
          <w:right w:val="nil"/>
          <w:between w:val="nil"/>
        </w:pBdr>
        <w:spacing w:after="0" w:line="240" w:lineRule="auto"/>
        <w:ind w:firstLine="0"/>
        <w:rPr>
          <w:rFonts w:eastAsia="Cambria"/>
          <w:color w:val="000000"/>
        </w:rPr>
      </w:pPr>
    </w:p>
    <w:p w14:paraId="38045974" w14:textId="77777777" w:rsidR="00D46C47" w:rsidRPr="00E0735E" w:rsidRDefault="00513FB1">
      <w:pPr>
        <w:pBdr>
          <w:top w:val="nil"/>
          <w:left w:val="nil"/>
          <w:bottom w:val="nil"/>
          <w:right w:val="nil"/>
          <w:between w:val="nil"/>
        </w:pBdr>
        <w:spacing w:after="0" w:line="240" w:lineRule="auto"/>
        <w:ind w:firstLine="0"/>
        <w:rPr>
          <w:rFonts w:eastAsia="Cambria"/>
          <w:color w:val="000000"/>
        </w:rPr>
      </w:pPr>
      <w:r w:rsidRPr="00E0735E">
        <w:rPr>
          <w:rFonts w:eastAsia="Cambria"/>
          <w:color w:val="000000"/>
        </w:rPr>
        <w:t>Ho</w:t>
      </w:r>
      <w:r w:rsidRPr="00E0735E">
        <w:rPr>
          <w:rFonts w:eastAsia="Cambria"/>
          <w:color w:val="000000"/>
          <w:vertAlign w:val="subscript"/>
        </w:rPr>
        <w:t>1</w:t>
      </w:r>
      <w:r w:rsidRPr="00E0735E">
        <w:rPr>
          <w:rFonts w:eastAsia="Cambria"/>
          <w:color w:val="000000"/>
        </w:rPr>
        <w:t>: Psychological well-being and perceived organizational justice do not significantly correlate with teacher retention.</w:t>
      </w:r>
    </w:p>
    <w:p w14:paraId="19E87CC0" w14:textId="77777777" w:rsidR="00D46C47" w:rsidRPr="00E0735E" w:rsidRDefault="00D46C47">
      <w:pPr>
        <w:pBdr>
          <w:top w:val="nil"/>
          <w:left w:val="nil"/>
          <w:bottom w:val="nil"/>
          <w:right w:val="nil"/>
          <w:between w:val="nil"/>
        </w:pBdr>
        <w:spacing w:after="0" w:line="240" w:lineRule="auto"/>
        <w:ind w:firstLine="0"/>
        <w:rPr>
          <w:rFonts w:eastAsia="Cambria"/>
          <w:color w:val="000000"/>
          <w:sz w:val="8"/>
          <w:szCs w:val="8"/>
        </w:rPr>
      </w:pPr>
    </w:p>
    <w:p w14:paraId="0706A1C7" w14:textId="77777777" w:rsidR="00D46C47" w:rsidRPr="00E0735E" w:rsidRDefault="00D46C47">
      <w:pPr>
        <w:pBdr>
          <w:top w:val="nil"/>
          <w:left w:val="nil"/>
          <w:bottom w:val="nil"/>
          <w:right w:val="nil"/>
          <w:between w:val="nil"/>
        </w:pBdr>
        <w:spacing w:after="0" w:line="240" w:lineRule="auto"/>
        <w:ind w:firstLine="0"/>
        <w:rPr>
          <w:rFonts w:eastAsia="Cambria"/>
          <w:color w:val="000000"/>
          <w:sz w:val="10"/>
          <w:szCs w:val="10"/>
        </w:rPr>
      </w:pPr>
    </w:p>
    <w:p w14:paraId="24790279" w14:textId="77777777" w:rsidR="00D46C47" w:rsidRPr="00E0735E" w:rsidRDefault="00513FB1">
      <w:pPr>
        <w:pBdr>
          <w:top w:val="nil"/>
          <w:left w:val="nil"/>
          <w:bottom w:val="nil"/>
          <w:right w:val="nil"/>
          <w:between w:val="nil"/>
        </w:pBdr>
        <w:spacing w:after="0" w:line="240" w:lineRule="auto"/>
        <w:ind w:firstLine="0"/>
        <w:rPr>
          <w:rFonts w:eastAsia="Cambria"/>
          <w:color w:val="000000"/>
        </w:rPr>
      </w:pPr>
      <w:r w:rsidRPr="00E0735E">
        <w:rPr>
          <w:rFonts w:eastAsia="Cambria"/>
          <w:color w:val="000000"/>
        </w:rPr>
        <w:t>Ho</w:t>
      </w:r>
      <w:r w:rsidRPr="00E0735E">
        <w:rPr>
          <w:rFonts w:eastAsia="Cambria"/>
          <w:color w:val="000000"/>
          <w:vertAlign w:val="subscript"/>
        </w:rPr>
        <w:t>2</w:t>
      </w:r>
      <w:r w:rsidRPr="00E0735E">
        <w:rPr>
          <w:rFonts w:eastAsia="Cambria"/>
          <w:color w:val="000000"/>
        </w:rPr>
        <w:t>: The model to predict teacher retention with psychological well-being and perceived organizational justice as predictors is not significant.</w:t>
      </w:r>
    </w:p>
    <w:p w14:paraId="516091C1" w14:textId="77777777" w:rsidR="00D46C47" w:rsidRPr="00E0735E" w:rsidRDefault="00513FB1">
      <w:pPr>
        <w:pBdr>
          <w:top w:val="nil"/>
          <w:left w:val="nil"/>
          <w:bottom w:val="nil"/>
          <w:right w:val="nil"/>
          <w:between w:val="nil"/>
        </w:pBdr>
        <w:spacing w:before="240" w:after="0" w:line="240" w:lineRule="auto"/>
        <w:ind w:left="0" w:firstLine="0"/>
        <w:rPr>
          <w:rFonts w:eastAsia="Cambria"/>
          <w:color w:val="000000"/>
        </w:rPr>
      </w:pPr>
      <w:r w:rsidRPr="00E0735E">
        <w:rPr>
          <w:rFonts w:eastAsia="Cambria"/>
          <w:b/>
          <w:bCs/>
          <w:i/>
          <w:iCs/>
          <w:color w:val="000000"/>
        </w:rPr>
        <w:t xml:space="preserve">Theoretical and Conceptual Framework </w:t>
      </w:r>
    </w:p>
    <w:p w14:paraId="00C482FE" w14:textId="77777777" w:rsidR="00D46C47" w:rsidRPr="00E0735E" w:rsidRDefault="00D46C47">
      <w:pPr>
        <w:spacing w:after="0" w:line="240" w:lineRule="auto"/>
        <w:ind w:left="0" w:firstLine="146"/>
        <w:rPr>
          <w:rFonts w:eastAsia="Cambria"/>
          <w:color w:val="000000"/>
          <w:sz w:val="14"/>
          <w:szCs w:val="14"/>
        </w:rPr>
      </w:pPr>
    </w:p>
    <w:p w14:paraId="67390D45" w14:textId="640C7256" w:rsidR="00B33EFD" w:rsidRDefault="00513FB1" w:rsidP="00B33EFD">
      <w:pPr>
        <w:spacing w:after="0" w:line="240" w:lineRule="auto"/>
        <w:ind w:left="10" w:firstLine="146"/>
        <w:rPr>
          <w:rFonts w:eastAsia="Cambria"/>
          <w:color w:val="000000"/>
        </w:rPr>
      </w:pPr>
      <w:r w:rsidRPr="00E0735E">
        <w:rPr>
          <w:rFonts w:eastAsia="Cambria"/>
          <w:color w:val="000000"/>
        </w:rPr>
        <w:tab/>
      </w:r>
      <w:r w:rsidR="00B33EFD" w:rsidRPr="00B33EFD">
        <w:rPr>
          <w:rFonts w:eastAsia="Cambria"/>
          <w:color w:val="000000"/>
        </w:rPr>
        <w:t>This study was anchored on Herzberg's Two-Factor Theory of Motivation</w:t>
      </w:r>
      <w:r w:rsidR="00B33EFD">
        <w:rPr>
          <w:rFonts w:eastAsia="Cambria"/>
          <w:color w:val="000000"/>
        </w:rPr>
        <w:t xml:space="preserve"> </w:t>
      </w:r>
      <w:r w:rsidR="00B33EFD" w:rsidRPr="00B33EFD">
        <w:rPr>
          <w:rFonts w:eastAsia="Cambria"/>
          <w:color w:val="000000"/>
        </w:rPr>
        <w:t>(Herzberg, Mausner, &amp; Snyderman, 1959), which posits that job satisfaction and</w:t>
      </w:r>
      <w:r w:rsidR="00B33EFD">
        <w:rPr>
          <w:rFonts w:eastAsia="Cambria"/>
          <w:color w:val="000000"/>
        </w:rPr>
        <w:t xml:space="preserve"> </w:t>
      </w:r>
      <w:r w:rsidR="00B33EFD" w:rsidRPr="00B33EFD">
        <w:rPr>
          <w:rFonts w:eastAsia="Cambria"/>
          <w:color w:val="000000"/>
        </w:rPr>
        <w:t>dissatisfaction stem from two distinct sets of factors: motivators (intrinsic</w:t>
      </w:r>
      <w:r w:rsidR="00B33EFD">
        <w:rPr>
          <w:rFonts w:eastAsia="Cambria"/>
          <w:color w:val="000000"/>
        </w:rPr>
        <w:t xml:space="preserve"> </w:t>
      </w:r>
      <w:r w:rsidR="00B33EFD" w:rsidRPr="00B33EFD">
        <w:rPr>
          <w:rFonts w:eastAsia="Cambria"/>
          <w:color w:val="000000"/>
        </w:rPr>
        <w:t>elements such as achievement,</w:t>
      </w:r>
      <w:r w:rsidR="00B33EFD">
        <w:rPr>
          <w:rFonts w:eastAsia="Cambria"/>
          <w:color w:val="000000"/>
        </w:rPr>
        <w:t xml:space="preserve"> </w:t>
      </w:r>
      <w:r w:rsidR="00B33EFD" w:rsidRPr="00B33EFD">
        <w:rPr>
          <w:rFonts w:eastAsia="Cambria"/>
          <w:color w:val="000000"/>
        </w:rPr>
        <w:t>recognition, growth, and meaningful work) and</w:t>
      </w:r>
      <w:r w:rsidR="00B33EFD">
        <w:rPr>
          <w:rFonts w:eastAsia="Cambria"/>
          <w:color w:val="000000"/>
        </w:rPr>
        <w:t xml:space="preserve"> </w:t>
      </w:r>
      <w:r w:rsidR="00B33EFD" w:rsidRPr="00B33EFD">
        <w:rPr>
          <w:rFonts w:eastAsia="Cambria"/>
          <w:color w:val="000000"/>
        </w:rPr>
        <w:t>hygiene factors (extrinsic conditions such as fairness, policies, supervision, and</w:t>
      </w:r>
      <w:r w:rsidR="00B33EFD">
        <w:rPr>
          <w:rFonts w:eastAsia="Cambria"/>
          <w:color w:val="000000"/>
        </w:rPr>
        <w:t xml:space="preserve"> </w:t>
      </w:r>
      <w:r w:rsidR="00B33EFD" w:rsidRPr="00B33EFD">
        <w:rPr>
          <w:rFonts w:eastAsia="Cambria"/>
          <w:color w:val="000000"/>
        </w:rPr>
        <w:t>working conditions). Motivators strengthen employees' internal drive to remain</w:t>
      </w:r>
      <w:r w:rsidR="00B33EFD">
        <w:rPr>
          <w:rFonts w:eastAsia="Cambria"/>
          <w:color w:val="000000"/>
        </w:rPr>
        <w:t xml:space="preserve"> </w:t>
      </w:r>
      <w:r w:rsidR="00B33EFD" w:rsidRPr="00B33EFD">
        <w:rPr>
          <w:rFonts w:eastAsia="Cambria"/>
          <w:color w:val="000000"/>
        </w:rPr>
        <w:t>in their profession, while hygiene factors prevent dissatisfaction that often</w:t>
      </w:r>
      <w:r w:rsidR="00B33EFD">
        <w:rPr>
          <w:rFonts w:eastAsia="Cambria"/>
          <w:color w:val="000000"/>
        </w:rPr>
        <w:t xml:space="preserve"> </w:t>
      </w:r>
      <w:r w:rsidR="00B33EFD" w:rsidRPr="00B33EFD">
        <w:rPr>
          <w:rFonts w:eastAsia="Cambria"/>
          <w:color w:val="000000"/>
        </w:rPr>
        <w:t>leads to turnover.</w:t>
      </w:r>
    </w:p>
    <w:p w14:paraId="1421A2E1" w14:textId="77777777" w:rsidR="00B33EFD" w:rsidRPr="00B33EFD" w:rsidRDefault="00B33EFD" w:rsidP="00B33EFD">
      <w:pPr>
        <w:spacing w:after="0" w:line="240" w:lineRule="auto"/>
        <w:ind w:left="0" w:firstLine="0"/>
        <w:rPr>
          <w:rFonts w:eastAsia="Cambria"/>
          <w:color w:val="000000"/>
        </w:rPr>
      </w:pPr>
    </w:p>
    <w:p w14:paraId="0BFD54A8" w14:textId="24A9E99F" w:rsidR="00E0735E" w:rsidRDefault="00B33EFD" w:rsidP="00B33EFD">
      <w:pPr>
        <w:spacing w:after="0" w:line="240" w:lineRule="auto"/>
        <w:ind w:left="0" w:firstLine="720"/>
        <w:rPr>
          <w:rFonts w:eastAsia="Cambria"/>
          <w:color w:val="000000"/>
        </w:rPr>
      </w:pPr>
      <w:r w:rsidRPr="00B33EFD">
        <w:rPr>
          <w:rFonts w:eastAsia="Cambria"/>
          <w:color w:val="000000"/>
        </w:rPr>
        <w:t>In this study, Psychological Well-Being, indicated by self-acceptance,</w:t>
      </w:r>
      <w:r>
        <w:rPr>
          <w:rFonts w:eastAsia="Cambria"/>
          <w:color w:val="000000"/>
        </w:rPr>
        <w:t xml:space="preserve"> </w:t>
      </w:r>
      <w:r w:rsidRPr="00B33EFD">
        <w:rPr>
          <w:rFonts w:eastAsia="Cambria"/>
          <w:color w:val="000000"/>
        </w:rPr>
        <w:t>autonomy, environmental mastery, personal growth, positive relations, and</w:t>
      </w:r>
      <w:r>
        <w:rPr>
          <w:rFonts w:eastAsia="Cambria"/>
          <w:color w:val="000000"/>
        </w:rPr>
        <w:t xml:space="preserve"> </w:t>
      </w:r>
      <w:r w:rsidRPr="00B33EFD">
        <w:rPr>
          <w:rFonts w:eastAsia="Cambria"/>
          <w:color w:val="000000"/>
        </w:rPr>
        <w:t>purpose in life (</w:t>
      </w:r>
      <w:proofErr w:type="spellStart"/>
      <w:r w:rsidRPr="00B33EFD">
        <w:rPr>
          <w:rFonts w:eastAsia="Cambria"/>
          <w:color w:val="000000"/>
        </w:rPr>
        <w:t>Violago</w:t>
      </w:r>
      <w:proofErr w:type="spellEnd"/>
      <w:r w:rsidRPr="00B33EFD">
        <w:rPr>
          <w:rFonts w:eastAsia="Cambria"/>
          <w:color w:val="000000"/>
        </w:rPr>
        <w:t xml:space="preserve"> &amp; Fabella, 2023),represents the motivator component</w:t>
      </w:r>
      <w:r>
        <w:rPr>
          <w:rFonts w:eastAsia="Cambria"/>
          <w:color w:val="000000"/>
        </w:rPr>
        <w:t xml:space="preserve"> </w:t>
      </w:r>
      <w:r w:rsidRPr="00B33EFD">
        <w:rPr>
          <w:rFonts w:eastAsia="Cambria"/>
          <w:color w:val="000000"/>
        </w:rPr>
        <w:t>of the theory, as it fosters fulfillment and engagement that encourage teachers</w:t>
      </w:r>
      <w:r>
        <w:rPr>
          <w:rFonts w:eastAsia="Cambria"/>
          <w:color w:val="000000"/>
        </w:rPr>
        <w:t xml:space="preserve"> </w:t>
      </w:r>
      <w:r w:rsidRPr="00B33EFD">
        <w:rPr>
          <w:rFonts w:eastAsia="Cambria"/>
          <w:color w:val="000000"/>
        </w:rPr>
        <w:t>to remain in inclusive high school settings (Ekene et al., 2025; Zhou et al., 2024).</w:t>
      </w:r>
      <w:r>
        <w:rPr>
          <w:rFonts w:eastAsia="Cambria"/>
          <w:color w:val="000000"/>
        </w:rPr>
        <w:t xml:space="preserve"> </w:t>
      </w:r>
      <w:r w:rsidRPr="00B33EFD">
        <w:rPr>
          <w:rFonts w:eastAsia="Cambria"/>
          <w:color w:val="000000"/>
        </w:rPr>
        <w:t>Conversely, Perceived Organizational Justice, indicated by distributive,</w:t>
      </w:r>
      <w:r>
        <w:rPr>
          <w:rFonts w:eastAsia="Cambria"/>
          <w:color w:val="000000"/>
        </w:rPr>
        <w:t xml:space="preserve"> </w:t>
      </w:r>
      <w:r w:rsidRPr="00B33EFD">
        <w:rPr>
          <w:rFonts w:eastAsia="Cambria"/>
          <w:color w:val="000000"/>
        </w:rPr>
        <w:t>procedural, and interactional justice (Elma, 2013), corresponds to the hygiene</w:t>
      </w:r>
      <w:r>
        <w:rPr>
          <w:rFonts w:eastAsia="Cambria"/>
          <w:color w:val="000000"/>
        </w:rPr>
        <w:t xml:space="preserve"> </w:t>
      </w:r>
      <w:r w:rsidRPr="00B33EFD">
        <w:rPr>
          <w:rFonts w:eastAsia="Cambria"/>
          <w:color w:val="000000"/>
        </w:rPr>
        <w:t>factors, as fair policies, supervision, and interpersonal treatment help prevent</w:t>
      </w:r>
      <w:r>
        <w:rPr>
          <w:rFonts w:eastAsia="Cambria"/>
          <w:color w:val="000000"/>
        </w:rPr>
        <w:t xml:space="preserve"> </w:t>
      </w:r>
      <w:r w:rsidRPr="00B33EFD">
        <w:rPr>
          <w:rFonts w:eastAsia="Cambria"/>
          <w:color w:val="000000"/>
        </w:rPr>
        <w:t>dissatisfaction and reduce the likelihood of attrition (</w:t>
      </w:r>
      <w:proofErr w:type="spellStart"/>
      <w:r w:rsidRPr="00B33EFD">
        <w:rPr>
          <w:rFonts w:eastAsia="Cambria"/>
          <w:color w:val="000000"/>
        </w:rPr>
        <w:t>Peramatzis</w:t>
      </w:r>
      <w:proofErr w:type="spellEnd"/>
      <w:r w:rsidRPr="00B33EFD">
        <w:rPr>
          <w:rFonts w:eastAsia="Cambria"/>
          <w:color w:val="000000"/>
        </w:rPr>
        <w:t xml:space="preserve"> &amp; Galanakis,</w:t>
      </w:r>
      <w:r>
        <w:rPr>
          <w:rFonts w:eastAsia="Cambria"/>
          <w:color w:val="000000"/>
        </w:rPr>
        <w:t xml:space="preserve"> </w:t>
      </w:r>
      <w:r w:rsidRPr="00B33EFD">
        <w:rPr>
          <w:rFonts w:eastAsia="Cambria"/>
          <w:color w:val="000000"/>
        </w:rPr>
        <w:t>2022;</w:t>
      </w:r>
      <w:r>
        <w:rPr>
          <w:rFonts w:eastAsia="Cambria"/>
          <w:color w:val="000000"/>
        </w:rPr>
        <w:t xml:space="preserve"> </w:t>
      </w:r>
      <w:r w:rsidRPr="00B33EFD">
        <w:rPr>
          <w:rFonts w:eastAsia="Cambria"/>
          <w:color w:val="000000"/>
        </w:rPr>
        <w:t>Qureshi et al., 2024; Zhou &amp; Ma, 2022). Teacher Retention, indicated by</w:t>
      </w:r>
      <w:r>
        <w:rPr>
          <w:rFonts w:eastAsia="Cambria"/>
          <w:color w:val="000000"/>
        </w:rPr>
        <w:t xml:space="preserve"> </w:t>
      </w:r>
      <w:r w:rsidRPr="00B33EFD">
        <w:rPr>
          <w:rFonts w:eastAsia="Cambria"/>
          <w:color w:val="000000"/>
        </w:rPr>
        <w:t>compensation, administrative support, working conditions, and professional</w:t>
      </w:r>
      <w:r>
        <w:rPr>
          <w:rFonts w:eastAsia="Cambria"/>
          <w:color w:val="000000"/>
        </w:rPr>
        <w:t xml:space="preserve"> </w:t>
      </w:r>
      <w:r w:rsidRPr="00B33EFD">
        <w:rPr>
          <w:rFonts w:eastAsia="Cambria"/>
          <w:color w:val="000000"/>
        </w:rPr>
        <w:t>growth (</w:t>
      </w:r>
      <w:proofErr w:type="spellStart"/>
      <w:r w:rsidRPr="00B33EFD">
        <w:rPr>
          <w:rFonts w:eastAsia="Cambria"/>
          <w:color w:val="000000"/>
        </w:rPr>
        <w:t>Anog</w:t>
      </w:r>
      <w:proofErr w:type="spellEnd"/>
      <w:r w:rsidRPr="00B33EFD">
        <w:rPr>
          <w:rFonts w:eastAsia="Cambria"/>
          <w:color w:val="000000"/>
        </w:rPr>
        <w:t xml:space="preserve"> et al., 2024), is treated as the criterion variable and represents</w:t>
      </w:r>
      <w:r>
        <w:rPr>
          <w:rFonts w:eastAsia="Cambria"/>
          <w:color w:val="000000"/>
        </w:rPr>
        <w:t xml:space="preserve"> </w:t>
      </w:r>
      <w:r w:rsidRPr="00B33EFD">
        <w:rPr>
          <w:rFonts w:eastAsia="Cambria"/>
          <w:color w:val="000000"/>
        </w:rPr>
        <w:t>teachers' job satisfaction or dissatisfaction. Within this framework,</w:t>
      </w:r>
      <w:r>
        <w:rPr>
          <w:rFonts w:eastAsia="Cambria"/>
          <w:color w:val="000000"/>
        </w:rPr>
        <w:t xml:space="preserve"> </w:t>
      </w:r>
      <w:r w:rsidRPr="00B33EFD">
        <w:rPr>
          <w:rFonts w:eastAsia="Cambria"/>
          <w:color w:val="000000"/>
        </w:rPr>
        <w:t>retention is</w:t>
      </w:r>
      <w:r>
        <w:rPr>
          <w:rFonts w:eastAsia="Cambria"/>
          <w:color w:val="000000"/>
        </w:rPr>
        <w:t xml:space="preserve"> </w:t>
      </w:r>
      <w:r w:rsidRPr="00B33EFD">
        <w:rPr>
          <w:rFonts w:eastAsia="Cambria"/>
          <w:color w:val="000000"/>
        </w:rPr>
        <w:t>understood as a behavioral outcome shaped by the combined influence of</w:t>
      </w:r>
      <w:r>
        <w:rPr>
          <w:rFonts w:eastAsia="Cambria"/>
          <w:color w:val="000000"/>
        </w:rPr>
        <w:t xml:space="preserve"> </w:t>
      </w:r>
      <w:r w:rsidRPr="00B33EFD">
        <w:rPr>
          <w:rFonts w:eastAsia="Cambria"/>
          <w:color w:val="000000"/>
        </w:rPr>
        <w:t>motivators that enhance job satisfaction and hygiene factors that mitigate</w:t>
      </w:r>
      <w:r>
        <w:rPr>
          <w:rFonts w:eastAsia="Cambria"/>
          <w:color w:val="000000"/>
        </w:rPr>
        <w:t xml:space="preserve"> </w:t>
      </w:r>
      <w:r w:rsidRPr="00B33EFD">
        <w:rPr>
          <w:rFonts w:eastAsia="Cambria"/>
          <w:color w:val="000000"/>
        </w:rPr>
        <w:t>dissatisfaction. Empirical evidence supports that higher job</w:t>
      </w:r>
      <w:r>
        <w:rPr>
          <w:rFonts w:eastAsia="Cambria"/>
          <w:color w:val="000000"/>
        </w:rPr>
        <w:t xml:space="preserve"> </w:t>
      </w:r>
      <w:r w:rsidRPr="00B33EFD">
        <w:rPr>
          <w:rFonts w:eastAsia="Cambria"/>
          <w:color w:val="000000"/>
        </w:rPr>
        <w:t>satisfaction and</w:t>
      </w:r>
      <w:r>
        <w:rPr>
          <w:rFonts w:eastAsia="Cambria"/>
          <w:color w:val="000000"/>
        </w:rPr>
        <w:t xml:space="preserve"> </w:t>
      </w:r>
      <w:r w:rsidRPr="00B33EFD">
        <w:rPr>
          <w:rFonts w:eastAsia="Cambria"/>
          <w:color w:val="000000"/>
        </w:rPr>
        <w:t>favorable working conditions significantly reduce turnover intentions and</w:t>
      </w:r>
      <w:r>
        <w:rPr>
          <w:rFonts w:eastAsia="Cambria"/>
          <w:color w:val="000000"/>
        </w:rPr>
        <w:t xml:space="preserve"> </w:t>
      </w:r>
      <w:r w:rsidRPr="00B33EFD">
        <w:rPr>
          <w:rFonts w:eastAsia="Cambria"/>
          <w:color w:val="000000"/>
        </w:rPr>
        <w:t>strengthen teacher retention (Gundlach et al., 2024). All components of</w:t>
      </w:r>
      <w:r>
        <w:rPr>
          <w:rFonts w:eastAsia="Cambria"/>
          <w:color w:val="000000"/>
        </w:rPr>
        <w:t xml:space="preserve"> </w:t>
      </w:r>
      <w:r w:rsidRPr="00B33EFD">
        <w:rPr>
          <w:rFonts w:eastAsia="Cambria"/>
          <w:color w:val="000000"/>
        </w:rPr>
        <w:lastRenderedPageBreak/>
        <w:t>Herzberg's Two-Factor Theory were utilized in this study;</w:t>
      </w:r>
      <w:r>
        <w:rPr>
          <w:rFonts w:eastAsia="Cambria"/>
          <w:color w:val="000000"/>
        </w:rPr>
        <w:t xml:space="preserve"> </w:t>
      </w:r>
      <w:r w:rsidRPr="00B33EFD">
        <w:rPr>
          <w:rFonts w:eastAsia="Cambria"/>
          <w:color w:val="000000"/>
        </w:rPr>
        <w:t>thus,</w:t>
      </w:r>
      <w:r>
        <w:rPr>
          <w:rFonts w:eastAsia="Cambria"/>
          <w:color w:val="000000"/>
        </w:rPr>
        <w:t xml:space="preserve"> </w:t>
      </w:r>
      <w:r w:rsidRPr="00B33EFD">
        <w:rPr>
          <w:rFonts w:eastAsia="Cambria"/>
          <w:color w:val="000000"/>
        </w:rPr>
        <w:t>the research is</w:t>
      </w:r>
      <w:r>
        <w:rPr>
          <w:rFonts w:eastAsia="Cambria"/>
          <w:color w:val="000000"/>
        </w:rPr>
        <w:t xml:space="preserve"> </w:t>
      </w:r>
      <w:r w:rsidRPr="00B33EFD">
        <w:rPr>
          <w:rFonts w:eastAsia="Cambria"/>
          <w:color w:val="000000"/>
        </w:rPr>
        <w:t>fully anchored on this theoretical framework.</w:t>
      </w:r>
    </w:p>
    <w:p w14:paraId="79723C8C" w14:textId="77777777" w:rsidR="00B33EFD" w:rsidRDefault="00B33EFD" w:rsidP="00B33EFD">
      <w:pPr>
        <w:spacing w:after="0" w:line="240" w:lineRule="auto"/>
        <w:ind w:left="0" w:firstLine="720"/>
        <w:rPr>
          <w:rFonts w:eastAsia="Cambria"/>
          <w:color w:val="000000"/>
        </w:rPr>
      </w:pPr>
    </w:p>
    <w:p w14:paraId="7D7CA4F7" w14:textId="77777777" w:rsidR="00B33EFD" w:rsidRDefault="00B33EFD" w:rsidP="00B33EFD">
      <w:pPr>
        <w:spacing w:after="0" w:line="240" w:lineRule="auto"/>
        <w:ind w:left="0" w:firstLine="720"/>
        <w:rPr>
          <w:rFonts w:eastAsia="Cambria"/>
          <w:color w:val="000000"/>
        </w:rPr>
      </w:pPr>
    </w:p>
    <w:p w14:paraId="4D64286E" w14:textId="77777777" w:rsidR="00066892" w:rsidRDefault="00066892" w:rsidP="00B33EFD">
      <w:pPr>
        <w:spacing w:after="0" w:line="240" w:lineRule="auto"/>
        <w:ind w:left="0" w:firstLine="720"/>
        <w:rPr>
          <w:rFonts w:eastAsia="Cambria"/>
          <w:color w:val="000000"/>
        </w:rPr>
      </w:pPr>
    </w:p>
    <w:p w14:paraId="5BF05AE7" w14:textId="77777777" w:rsidR="00066892" w:rsidRDefault="00066892" w:rsidP="00B33EFD">
      <w:pPr>
        <w:spacing w:after="0" w:line="240" w:lineRule="auto"/>
        <w:ind w:left="0" w:firstLine="720"/>
        <w:rPr>
          <w:rFonts w:eastAsia="Cambria"/>
          <w:color w:val="000000"/>
        </w:rPr>
      </w:pPr>
    </w:p>
    <w:p w14:paraId="51B8EC70" w14:textId="77777777" w:rsidR="00066892" w:rsidRDefault="00066892" w:rsidP="00B33EFD">
      <w:pPr>
        <w:spacing w:after="0" w:line="240" w:lineRule="auto"/>
        <w:ind w:left="0" w:firstLine="720"/>
        <w:rPr>
          <w:rFonts w:eastAsia="Cambria"/>
          <w:color w:val="000000"/>
        </w:rPr>
      </w:pPr>
    </w:p>
    <w:p w14:paraId="202D2968" w14:textId="77777777" w:rsidR="00066892" w:rsidRDefault="00066892" w:rsidP="00B33EFD">
      <w:pPr>
        <w:spacing w:after="0" w:line="240" w:lineRule="auto"/>
        <w:ind w:left="0" w:firstLine="720"/>
        <w:rPr>
          <w:rFonts w:eastAsia="Cambria"/>
          <w:color w:val="000000"/>
        </w:rPr>
      </w:pPr>
    </w:p>
    <w:p w14:paraId="5A631AD6" w14:textId="77777777" w:rsidR="00066892" w:rsidRDefault="00066892" w:rsidP="00B33EFD">
      <w:pPr>
        <w:spacing w:after="0" w:line="240" w:lineRule="auto"/>
        <w:ind w:left="0" w:firstLine="720"/>
        <w:rPr>
          <w:rFonts w:eastAsia="Cambria"/>
          <w:color w:val="000000"/>
        </w:rPr>
      </w:pPr>
    </w:p>
    <w:p w14:paraId="44B93142" w14:textId="21A4ECFF" w:rsidR="00D46C47" w:rsidRPr="00E0735E" w:rsidRDefault="00E0735E">
      <w:pPr>
        <w:spacing w:line="240" w:lineRule="auto"/>
        <w:rPr>
          <w:rFonts w:eastAsia="Cambria"/>
          <w:b/>
          <w:bCs/>
        </w:rPr>
      </w:pPr>
      <w:r w:rsidRPr="00E0735E">
        <w:rPr>
          <w:noProof/>
        </w:rPr>
        <mc:AlternateContent>
          <mc:Choice Requires="wps">
            <w:drawing>
              <wp:anchor distT="0" distB="0" distL="114300" distR="114300" simplePos="0" relativeHeight="251658240" behindDoc="0" locked="0" layoutInCell="1" hidden="0" allowOverlap="1" wp14:anchorId="16DA4D18" wp14:editId="59094098">
                <wp:simplePos x="0" y="0"/>
                <wp:positionH relativeFrom="column">
                  <wp:posOffset>-179070</wp:posOffset>
                </wp:positionH>
                <wp:positionV relativeFrom="paragraph">
                  <wp:posOffset>183515</wp:posOffset>
                </wp:positionV>
                <wp:extent cx="2543175" cy="1676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543175" cy="1676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2367803" w14:textId="3B383988" w:rsidR="00D46C47" w:rsidRPr="00E0735E" w:rsidRDefault="00CF0A13">
                            <w:pPr>
                              <w:spacing w:after="0" w:line="240" w:lineRule="auto"/>
                              <w:ind w:firstLine="146"/>
                              <w:jc w:val="center"/>
                              <w:textDirection w:val="btLr"/>
                            </w:pPr>
                            <w:r w:rsidRPr="00E0735E">
                              <w:rPr>
                                <w:rFonts w:eastAsia="Cambria"/>
                                <w:color w:val="000000"/>
                              </w:rPr>
                              <w:t>Psychological Well-Being</w:t>
                            </w:r>
                          </w:p>
                          <w:p w14:paraId="2EA6ED06" w14:textId="77777777" w:rsidR="00D46C47" w:rsidRPr="00E0735E" w:rsidRDefault="00D46C47">
                            <w:pPr>
                              <w:spacing w:after="0" w:line="240" w:lineRule="auto"/>
                              <w:ind w:firstLine="146"/>
                              <w:jc w:val="center"/>
                              <w:textDirection w:val="btLr"/>
                            </w:pPr>
                          </w:p>
                          <w:p w14:paraId="54DFC23D" w14:textId="54B39123" w:rsidR="00D46C47" w:rsidRPr="00E0735E" w:rsidRDefault="00513FB1" w:rsidP="006A2BF0">
                            <w:pPr>
                              <w:pStyle w:val="ListParagraph"/>
                              <w:numPr>
                                <w:ilvl w:val="0"/>
                                <w:numId w:val="3"/>
                              </w:numPr>
                              <w:spacing w:after="0" w:line="240" w:lineRule="auto"/>
                              <w:ind w:left="720"/>
                              <w:jc w:val="left"/>
                              <w:textDirection w:val="btLr"/>
                            </w:pPr>
                            <w:r w:rsidRPr="00E0735E">
                              <w:rPr>
                                <w:rFonts w:eastAsia="Cambria"/>
                                <w:color w:val="000000"/>
                              </w:rPr>
                              <w:t>Self-</w:t>
                            </w:r>
                            <w:r w:rsidR="00CF0A13" w:rsidRPr="00E0735E">
                              <w:rPr>
                                <w:rFonts w:eastAsia="Cambria"/>
                                <w:color w:val="000000"/>
                              </w:rPr>
                              <w:t>Acceptance</w:t>
                            </w:r>
                          </w:p>
                          <w:p w14:paraId="272B8DCE" w14:textId="642EB4A9"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Autonomy</w:t>
                            </w:r>
                          </w:p>
                          <w:p w14:paraId="4CEBE40A" w14:textId="1279593D"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Environmental Mastery</w:t>
                            </w:r>
                          </w:p>
                          <w:p w14:paraId="1098230F" w14:textId="30BAA6B7"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Personal Growth</w:t>
                            </w:r>
                          </w:p>
                          <w:p w14:paraId="3785BE9B" w14:textId="57CC526A"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Positive Relations</w:t>
                            </w:r>
                          </w:p>
                          <w:p w14:paraId="20EE1714" w14:textId="12011861"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Purpose in Life</w:t>
                            </w:r>
                          </w:p>
                          <w:p w14:paraId="68F81AC7" w14:textId="77777777" w:rsidR="00D46C47" w:rsidRPr="00E0735E" w:rsidRDefault="00D46C47">
                            <w:pPr>
                              <w:spacing w:after="0" w:line="240" w:lineRule="auto"/>
                              <w:ind w:firstLine="146"/>
                              <w:jc w:val="center"/>
                              <w:textDirection w:val="btLr"/>
                              <w:rPr>
                                <w:cap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DA4D18" id="Rectangle 2" o:spid="_x0000_s1026" style="position:absolute;left:0;text-align:left;margin-left:-14.1pt;margin-top:14.45pt;width:200.25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">
                <v:stroke startarrowwidth="narrow" startarrowlength="short" endarrowwidth="narrow" endarrowlength="short" joinstyle="round"/>
                <v:textbox inset="2.53958mm,1.2694mm,2.53958mm,1.2694mm">
                  <w:txbxContent>
                    <w:p w14:paraId="72367803" w14:textId="3B383988" w:rsidR="00D46C47" w:rsidRPr="00E0735E" w:rsidRDefault="00CF0A13">
                      <w:pPr>
                        <w:spacing w:after="0" w:line="240" w:lineRule="auto"/>
                        <w:ind w:firstLine="146"/>
                        <w:jc w:val="center"/>
                        <w:textDirection w:val="btLr"/>
                      </w:pPr>
                      <w:r w:rsidRPr="00E0735E">
                        <w:rPr>
                          <w:rFonts w:eastAsia="Cambria"/>
                          <w:color w:val="000000"/>
                        </w:rPr>
                        <w:t>Psychological Well-Being</w:t>
                      </w:r>
                    </w:p>
                    <w:p w14:paraId="2EA6ED06" w14:textId="77777777" w:rsidR="00D46C47" w:rsidRPr="00E0735E" w:rsidRDefault="00D46C47">
                      <w:pPr>
                        <w:spacing w:after="0" w:line="240" w:lineRule="auto"/>
                        <w:ind w:firstLine="146"/>
                        <w:jc w:val="center"/>
                        <w:textDirection w:val="btLr"/>
                      </w:pPr>
                    </w:p>
                    <w:p w14:paraId="54DFC23D" w14:textId="54B39123" w:rsidR="00D46C47" w:rsidRPr="00E0735E" w:rsidRDefault="00513FB1" w:rsidP="006A2BF0">
                      <w:pPr>
                        <w:pStyle w:val="ListParagraph"/>
                        <w:numPr>
                          <w:ilvl w:val="0"/>
                          <w:numId w:val="3"/>
                        </w:numPr>
                        <w:spacing w:after="0" w:line="240" w:lineRule="auto"/>
                        <w:ind w:left="720"/>
                        <w:jc w:val="left"/>
                        <w:textDirection w:val="btLr"/>
                      </w:pPr>
                      <w:r w:rsidRPr="00E0735E">
                        <w:rPr>
                          <w:rFonts w:eastAsia="Cambria"/>
                          <w:color w:val="000000"/>
                        </w:rPr>
                        <w:t>Self-</w:t>
                      </w:r>
                      <w:r w:rsidR="00CF0A13" w:rsidRPr="00E0735E">
                        <w:rPr>
                          <w:rFonts w:eastAsia="Cambria"/>
                          <w:color w:val="000000"/>
                        </w:rPr>
                        <w:t>Acceptance</w:t>
                      </w:r>
                    </w:p>
                    <w:p w14:paraId="272B8DCE" w14:textId="642EB4A9"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Autonomy</w:t>
                      </w:r>
                    </w:p>
                    <w:p w14:paraId="4CEBE40A" w14:textId="1279593D"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Environmental Mastery</w:t>
                      </w:r>
                    </w:p>
                    <w:p w14:paraId="1098230F" w14:textId="30BAA6B7"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Personal Growth</w:t>
                      </w:r>
                    </w:p>
                    <w:p w14:paraId="3785BE9B" w14:textId="57CC526A"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Positive Relations</w:t>
                      </w:r>
                    </w:p>
                    <w:p w14:paraId="20EE1714" w14:textId="12011861" w:rsidR="00D46C47" w:rsidRPr="00E0735E" w:rsidRDefault="00CF0A13" w:rsidP="006A2BF0">
                      <w:pPr>
                        <w:pStyle w:val="ListParagraph"/>
                        <w:numPr>
                          <w:ilvl w:val="0"/>
                          <w:numId w:val="3"/>
                        </w:numPr>
                        <w:spacing w:after="0" w:line="240" w:lineRule="auto"/>
                        <w:ind w:left="720"/>
                        <w:jc w:val="left"/>
                        <w:textDirection w:val="btLr"/>
                      </w:pPr>
                      <w:r w:rsidRPr="00E0735E">
                        <w:rPr>
                          <w:rFonts w:eastAsia="Cambria"/>
                          <w:color w:val="000000"/>
                        </w:rPr>
                        <w:t>Purpose in Life</w:t>
                      </w:r>
                    </w:p>
                    <w:p w14:paraId="68F81AC7" w14:textId="77777777" w:rsidR="00D46C47" w:rsidRPr="00E0735E" w:rsidRDefault="00D46C47">
                      <w:pPr>
                        <w:spacing w:after="0" w:line="240" w:lineRule="auto"/>
                        <w:ind w:firstLine="146"/>
                        <w:jc w:val="center"/>
                        <w:textDirection w:val="btLr"/>
                        <w:rPr>
                          <w:caps/>
                        </w:rPr>
                      </w:pPr>
                    </w:p>
                  </w:txbxContent>
                </v:textbox>
              </v:rect>
            </w:pict>
          </mc:Fallback>
        </mc:AlternateContent>
      </w:r>
      <w:r w:rsidRPr="00E0735E">
        <w:rPr>
          <w:rFonts w:eastAsia="Cambria"/>
          <w:b/>
          <w:bCs/>
        </w:rPr>
        <w:t xml:space="preserve">        Predictive Variables</w:t>
      </w:r>
      <w:r w:rsidRPr="00E0735E">
        <w:rPr>
          <w:rFonts w:eastAsia="Cambria"/>
          <w:b/>
          <w:bCs/>
        </w:rPr>
        <w:tab/>
      </w:r>
      <w:r w:rsidRPr="00E0735E">
        <w:rPr>
          <w:rFonts w:eastAsia="Cambria"/>
          <w:b/>
          <w:bCs/>
        </w:rPr>
        <w:tab/>
      </w:r>
      <w:r w:rsidRPr="00E0735E">
        <w:rPr>
          <w:rFonts w:eastAsia="Cambria"/>
          <w:b/>
          <w:bCs/>
        </w:rPr>
        <w:tab/>
      </w:r>
      <w:r w:rsidRPr="00E0735E">
        <w:rPr>
          <w:rFonts w:eastAsia="Cambria"/>
          <w:b/>
          <w:bCs/>
        </w:rPr>
        <w:tab/>
        <w:t xml:space="preserve">                     </w:t>
      </w:r>
    </w:p>
    <w:p w14:paraId="0FA39905" w14:textId="77777777" w:rsidR="00D46C47" w:rsidRPr="00E0735E" w:rsidRDefault="00513FB1">
      <w:pPr>
        <w:spacing w:line="240" w:lineRule="auto"/>
        <w:rPr>
          <w:rFonts w:eastAsia="Cambria"/>
          <w:b/>
          <w:bCs/>
        </w:rPr>
      </w:pP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r>
      <w:r w:rsidRPr="00E0735E">
        <w:rPr>
          <w:rFonts w:eastAsia="Cambria"/>
        </w:rPr>
        <w:tab/>
        <w:t xml:space="preserve">       </w:t>
      </w:r>
      <w:r w:rsidRPr="00E0735E">
        <w:rPr>
          <w:rFonts w:eastAsia="Cambria"/>
          <w:b/>
          <w:bCs/>
        </w:rPr>
        <w:t>Criterion Variable</w:t>
      </w:r>
    </w:p>
    <w:p w14:paraId="1231FD22" w14:textId="721F4918" w:rsidR="00D46C47" w:rsidRPr="00E0735E" w:rsidRDefault="00513FB1">
      <w:pPr>
        <w:spacing w:line="240" w:lineRule="auto"/>
        <w:rPr>
          <w:rFonts w:eastAsia="Cambria"/>
        </w:rPr>
      </w:pPr>
      <w:r w:rsidRPr="00E0735E">
        <w:rPr>
          <w:noProof/>
        </w:rPr>
        <mc:AlternateContent>
          <mc:Choice Requires="wps">
            <w:drawing>
              <wp:anchor distT="45720" distB="45720" distL="114300" distR="114300" simplePos="0" relativeHeight="251661312" behindDoc="0" locked="0" layoutInCell="1" hidden="0" allowOverlap="1" wp14:anchorId="53FD6A1E" wp14:editId="4EA8B854">
                <wp:simplePos x="0" y="0"/>
                <wp:positionH relativeFrom="column">
                  <wp:posOffset>3642995</wp:posOffset>
                </wp:positionH>
                <wp:positionV relativeFrom="paragraph">
                  <wp:posOffset>14798</wp:posOffset>
                </wp:positionV>
                <wp:extent cx="1820545" cy="18459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820545" cy="18459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5A9607" w14:textId="7F6B3B64" w:rsidR="00D46C47" w:rsidRPr="00E0735E" w:rsidRDefault="00CF0A13">
                            <w:pPr>
                              <w:spacing w:after="0" w:line="240" w:lineRule="auto"/>
                              <w:ind w:firstLine="146"/>
                              <w:jc w:val="center"/>
                              <w:textDirection w:val="btLr"/>
                            </w:pPr>
                            <w:r w:rsidRPr="00E0735E">
                              <w:rPr>
                                <w:rFonts w:eastAsia="Cambria"/>
                                <w:color w:val="000000"/>
                              </w:rPr>
                              <w:t>Teacher Retention</w:t>
                            </w:r>
                          </w:p>
                          <w:p w14:paraId="273A7398" w14:textId="77777777" w:rsidR="00D46C47" w:rsidRPr="00E0735E" w:rsidRDefault="00D46C47">
                            <w:pPr>
                              <w:spacing w:after="0" w:line="240" w:lineRule="auto"/>
                              <w:ind w:firstLine="146"/>
                              <w:jc w:val="center"/>
                              <w:textDirection w:val="btLr"/>
                            </w:pPr>
                          </w:p>
                          <w:p w14:paraId="08715B06" w14:textId="77777777"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Compensation</w:t>
                            </w:r>
                          </w:p>
                          <w:p w14:paraId="7FBDAF9F" w14:textId="6A6D0CCC"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Administrative Support</w:t>
                            </w:r>
                          </w:p>
                          <w:p w14:paraId="2B075AAD" w14:textId="0B040B06"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 xml:space="preserve">Working </w:t>
                            </w:r>
                            <w:r w:rsidR="00CF0A13" w:rsidRPr="00E0735E">
                              <w:rPr>
                                <w:rFonts w:eastAsia="Cambria"/>
                                <w:color w:val="000000"/>
                              </w:rPr>
                              <w:t>C</w:t>
                            </w:r>
                            <w:r w:rsidRPr="00E0735E">
                              <w:rPr>
                                <w:rFonts w:eastAsia="Cambria"/>
                                <w:color w:val="000000"/>
                              </w:rPr>
                              <w:t>onditions</w:t>
                            </w:r>
                          </w:p>
                          <w:p w14:paraId="542E78B0" w14:textId="7EC1BBC0"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Professional</w:t>
                            </w:r>
                            <w:r w:rsidRPr="00E0735E">
                              <w:rPr>
                                <w:rFonts w:eastAsia="Cambria"/>
                                <w:color w:val="000000"/>
                                <w:sz w:val="28"/>
                              </w:rPr>
                              <w:t xml:space="preserve"> </w:t>
                            </w:r>
                            <w:r w:rsidRPr="00E0735E">
                              <w:rPr>
                                <w:rFonts w:eastAsia="Cambria"/>
                                <w:color w:val="000000"/>
                              </w:rPr>
                              <w:t>Growth</w:t>
                            </w:r>
                          </w:p>
                        </w:txbxContent>
                      </wps:txbx>
                      <wps:bodyPr spcFirstLastPara="1" wrap="square" lIns="91425" tIns="45700" rIns="91425" bIns="45700" anchor="t" anchorCtr="0">
                        <a:noAutofit/>
                      </wps:bodyPr>
                    </wps:wsp>
                  </a:graphicData>
                </a:graphic>
              </wp:anchor>
            </w:drawing>
          </mc:Choice>
          <mc:Fallback>
            <w:pict>
              <v:rect w14:anchorId="53FD6A1E" id="Rectangle 1" o:spid="_x0000_s1027" style="position:absolute;left:0;text-align:left;margin-left:286.85pt;margin-top:1.15pt;width:143.35pt;height:145.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">
                <v:stroke startarrowwidth="narrow" startarrowlength="short" endarrowwidth="narrow" endarrowlength="short"/>
                <v:textbox inset="2.53958mm,1.2694mm,2.53958mm,1.2694mm">
                  <w:txbxContent>
                    <w:p w14:paraId="4D5A9607" w14:textId="7F6B3B64" w:rsidR="00D46C47" w:rsidRPr="00E0735E" w:rsidRDefault="00CF0A13">
                      <w:pPr>
                        <w:spacing w:after="0" w:line="240" w:lineRule="auto"/>
                        <w:ind w:firstLine="146"/>
                        <w:jc w:val="center"/>
                        <w:textDirection w:val="btLr"/>
                      </w:pPr>
                      <w:r w:rsidRPr="00E0735E">
                        <w:rPr>
                          <w:rFonts w:eastAsia="Cambria"/>
                          <w:color w:val="000000"/>
                        </w:rPr>
                        <w:t>Teacher Retention</w:t>
                      </w:r>
                    </w:p>
                    <w:p w14:paraId="273A7398" w14:textId="77777777" w:rsidR="00D46C47" w:rsidRPr="00E0735E" w:rsidRDefault="00D46C47">
                      <w:pPr>
                        <w:spacing w:after="0" w:line="240" w:lineRule="auto"/>
                        <w:ind w:firstLine="146"/>
                        <w:jc w:val="center"/>
                        <w:textDirection w:val="btLr"/>
                      </w:pPr>
                    </w:p>
                    <w:p w14:paraId="08715B06" w14:textId="77777777"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Compensation</w:t>
                      </w:r>
                    </w:p>
                    <w:p w14:paraId="7FBDAF9F" w14:textId="6A6D0CCC"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Administrative Support</w:t>
                      </w:r>
                    </w:p>
                    <w:p w14:paraId="2B075AAD" w14:textId="0B040B06" w:rsidR="00D46C47" w:rsidRPr="00E0735E" w:rsidRDefault="00513FB1" w:rsidP="006A2BF0">
                      <w:pPr>
                        <w:pStyle w:val="ListParagraph"/>
                        <w:numPr>
                          <w:ilvl w:val="0"/>
                          <w:numId w:val="5"/>
                        </w:numPr>
                        <w:spacing w:after="0" w:line="240" w:lineRule="auto"/>
                        <w:ind w:left="720"/>
                        <w:jc w:val="left"/>
                        <w:textDirection w:val="btLr"/>
                      </w:pPr>
                      <w:r w:rsidRPr="00E0735E">
                        <w:rPr>
                          <w:rFonts w:eastAsia="Cambria"/>
                          <w:color w:val="000000"/>
                        </w:rPr>
                        <w:t xml:space="preserve">Working </w:t>
                      </w:r>
                      <w:r w:rsidR="00CF0A13" w:rsidRPr="00E0735E">
                        <w:rPr>
                          <w:rFonts w:eastAsia="Cambria"/>
                          <w:color w:val="000000"/>
                        </w:rPr>
                        <w:t>C</w:t>
                      </w:r>
                      <w:r w:rsidRPr="00E0735E">
                        <w:rPr>
                          <w:rFonts w:eastAsia="Cambria"/>
                          <w:color w:val="000000"/>
                        </w:rPr>
                        <w:t>onditions</w:t>
                      </w:r>
                    </w:p>
                    <w:p w14:paraId="542E78B0" w14:textId="7EC1BBC0" w:rsidR="00D46C47" w:rsidRPr="00E0735E" w:rsidRDefault="00CF0A13" w:rsidP="006A2BF0">
                      <w:pPr>
                        <w:pStyle w:val="ListParagraph"/>
                        <w:numPr>
                          <w:ilvl w:val="0"/>
                          <w:numId w:val="5"/>
                        </w:numPr>
                        <w:spacing w:after="0" w:line="240" w:lineRule="auto"/>
                        <w:ind w:left="720"/>
                        <w:jc w:val="left"/>
                        <w:textDirection w:val="btLr"/>
                      </w:pPr>
                      <w:r w:rsidRPr="00E0735E">
                        <w:rPr>
                          <w:rFonts w:eastAsia="Cambria"/>
                          <w:color w:val="000000"/>
                        </w:rPr>
                        <w:t>Professional</w:t>
                      </w:r>
                      <w:r w:rsidRPr="00E0735E">
                        <w:rPr>
                          <w:rFonts w:eastAsia="Cambria"/>
                          <w:color w:val="000000"/>
                          <w:sz w:val="28"/>
                        </w:rPr>
                        <w:t xml:space="preserve"> </w:t>
                      </w:r>
                      <w:r w:rsidRPr="00E0735E">
                        <w:rPr>
                          <w:rFonts w:eastAsia="Cambria"/>
                          <w:color w:val="000000"/>
                        </w:rPr>
                        <w:t>Growth</w:t>
                      </w:r>
                    </w:p>
                  </w:txbxContent>
                </v:textbox>
                <w10:wrap type="square"/>
              </v:rect>
            </w:pict>
          </mc:Fallback>
        </mc:AlternateContent>
      </w:r>
    </w:p>
    <w:p w14:paraId="22C8AA31" w14:textId="622C9855" w:rsidR="00D46C47" w:rsidRPr="00E0735E" w:rsidRDefault="00E0735E">
      <w:pPr>
        <w:spacing w:line="240" w:lineRule="auto"/>
        <w:rPr>
          <w:rFonts w:eastAsia="Cambria"/>
        </w:rPr>
      </w:pPr>
      <w:r>
        <w:rPr>
          <w:rFonts w:eastAsia="Cambria"/>
          <w:noProof/>
        </w:rPr>
        <mc:AlternateContent>
          <mc:Choice Requires="wps">
            <w:drawing>
              <wp:anchor distT="0" distB="0" distL="114300" distR="114300" simplePos="0" relativeHeight="251667456" behindDoc="0" locked="0" layoutInCell="1" allowOverlap="1" wp14:anchorId="63DCD4C9" wp14:editId="0D4A5C60">
                <wp:simplePos x="0" y="0"/>
                <wp:positionH relativeFrom="column">
                  <wp:posOffset>2790825</wp:posOffset>
                </wp:positionH>
                <wp:positionV relativeFrom="paragraph">
                  <wp:posOffset>17779</wp:posOffset>
                </wp:positionV>
                <wp:extent cx="0" cy="1585913"/>
                <wp:effectExtent l="0" t="0" r="38100" b="33655"/>
                <wp:wrapNone/>
                <wp:docPr id="1235902219" name="Straight Connector 9"/>
                <wp:cNvGraphicFramePr/>
                <a:graphic xmlns:a="http://schemas.openxmlformats.org/drawingml/2006/main">
                  <a:graphicData uri="http://schemas.microsoft.com/office/word/2010/wordprocessingShape">
                    <wps:wsp>
                      <wps:cNvCnPr/>
                      <wps:spPr>
                        <a:xfrm>
                          <a:off x="0" y="0"/>
                          <a:ext cx="0" cy="158591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541602"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9.75pt,1.4pt" to="219.7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" strokecolor="black [3040]" strokeweight="1pt"/>
            </w:pict>
          </mc:Fallback>
        </mc:AlternateContent>
      </w:r>
      <w:r>
        <w:rPr>
          <w:rFonts w:eastAsia="Cambria"/>
          <w:noProof/>
        </w:rPr>
        <mc:AlternateContent>
          <mc:Choice Requires="wps">
            <w:drawing>
              <wp:anchor distT="0" distB="0" distL="114300" distR="114300" simplePos="0" relativeHeight="251664384" behindDoc="0" locked="0" layoutInCell="1" allowOverlap="1" wp14:anchorId="5790E2AD" wp14:editId="34D3E5C9">
                <wp:simplePos x="0" y="0"/>
                <wp:positionH relativeFrom="column">
                  <wp:posOffset>2366010</wp:posOffset>
                </wp:positionH>
                <wp:positionV relativeFrom="paragraph">
                  <wp:posOffset>17780</wp:posOffset>
                </wp:positionV>
                <wp:extent cx="426796" cy="0"/>
                <wp:effectExtent l="0" t="0" r="0" b="0"/>
                <wp:wrapNone/>
                <wp:docPr id="44315170" name="Straight Connector 8"/>
                <wp:cNvGraphicFramePr/>
                <a:graphic xmlns:a="http://schemas.openxmlformats.org/drawingml/2006/main">
                  <a:graphicData uri="http://schemas.microsoft.com/office/word/2010/wordprocessingShape">
                    <wps:wsp>
                      <wps:cNvCnPr/>
                      <wps:spPr>
                        <a:xfrm>
                          <a:off x="0" y="0"/>
                          <a:ext cx="4267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54E3D5"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6.3pt,1.4pt" to="21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" strokecolor="black [3040]" strokeweight="1pt"/>
            </w:pict>
          </mc:Fallback>
        </mc:AlternateContent>
      </w:r>
    </w:p>
    <w:p w14:paraId="0735CD0E" w14:textId="78C68771" w:rsidR="00D46C47" w:rsidRPr="00E0735E" w:rsidRDefault="00D46C47">
      <w:pPr>
        <w:spacing w:line="240" w:lineRule="auto"/>
        <w:rPr>
          <w:rFonts w:eastAsia="Cambria"/>
        </w:rPr>
      </w:pPr>
    </w:p>
    <w:p w14:paraId="36084EDB" w14:textId="05C77842" w:rsidR="00D46C47" w:rsidRPr="00E0735E" w:rsidRDefault="00E0735E">
      <w:pPr>
        <w:spacing w:line="240" w:lineRule="auto"/>
        <w:rPr>
          <w:rFonts w:eastAsia="Cambria"/>
        </w:rPr>
      </w:pPr>
      <w:r>
        <w:rPr>
          <w:noProof/>
        </w:rPr>
        <mc:AlternateContent>
          <mc:Choice Requires="wps">
            <w:drawing>
              <wp:anchor distT="0" distB="0" distL="114300" distR="114300" simplePos="0" relativeHeight="251668480" behindDoc="0" locked="0" layoutInCell="1" allowOverlap="1" wp14:anchorId="505D24F6" wp14:editId="4C8DEDDA">
                <wp:simplePos x="0" y="0"/>
                <wp:positionH relativeFrom="column">
                  <wp:posOffset>2795588</wp:posOffset>
                </wp:positionH>
                <wp:positionV relativeFrom="paragraph">
                  <wp:posOffset>53340</wp:posOffset>
                </wp:positionV>
                <wp:extent cx="844867" cy="0"/>
                <wp:effectExtent l="0" t="76200" r="12700" b="95250"/>
                <wp:wrapNone/>
                <wp:docPr id="161906145" name="Straight Arrow Connector 10"/>
                <wp:cNvGraphicFramePr/>
                <a:graphic xmlns:a="http://schemas.openxmlformats.org/drawingml/2006/main">
                  <a:graphicData uri="http://schemas.microsoft.com/office/word/2010/wordprocessingShape">
                    <wps:wsp>
                      <wps:cNvCnPr/>
                      <wps:spPr>
                        <a:xfrm>
                          <a:off x="0" y="0"/>
                          <a:ext cx="84486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47A23A" id="_x0000_t32" coordsize="21600,21600" o:spt="32" o:oned="t" path="m,l21600,21600e" filled="f">
                <v:path arrowok="t" fillok="f" o:connecttype="none"/>
                <o:lock v:ext="edit" shapetype="t"/>
              </v:shapetype>
              <v:shape id="Straight Arrow Connector 10" o:spid="_x0000_s1026" type="#_x0000_t32" style="position:absolute;margin-left:220.15pt;margin-top:4.2pt;width:6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" strokecolor="black [3040]" strokeweight="1pt">
                <v:stroke endarrow="block"/>
              </v:shape>
            </w:pict>
          </mc:Fallback>
        </mc:AlternateContent>
      </w:r>
      <w:r w:rsidRPr="00E0735E">
        <w:rPr>
          <w:noProof/>
        </w:rPr>
        <mc:AlternateContent>
          <mc:Choice Requires="wps">
            <w:drawing>
              <wp:anchor distT="45720" distB="45720" distL="114300" distR="114300" simplePos="0" relativeHeight="251663360" behindDoc="0" locked="0" layoutInCell="1" hidden="0" allowOverlap="1" wp14:anchorId="5142A398" wp14:editId="13D2BB6A">
                <wp:simplePos x="0" y="0"/>
                <wp:positionH relativeFrom="column">
                  <wp:posOffset>-180340</wp:posOffset>
                </wp:positionH>
                <wp:positionV relativeFrom="paragraph">
                  <wp:posOffset>327025</wp:posOffset>
                </wp:positionV>
                <wp:extent cx="2552700" cy="127190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2552700" cy="1271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BB3F10" w14:textId="5AEA46BC" w:rsidR="00D46C47" w:rsidRPr="00E0735E" w:rsidRDefault="00CF0A13">
                            <w:pPr>
                              <w:spacing w:after="0" w:line="240" w:lineRule="auto"/>
                              <w:ind w:firstLine="146"/>
                              <w:jc w:val="center"/>
                              <w:textDirection w:val="btLr"/>
                            </w:pPr>
                            <w:r w:rsidRPr="00E0735E">
                              <w:rPr>
                                <w:rFonts w:eastAsia="Cambria"/>
                                <w:color w:val="000000"/>
                              </w:rPr>
                              <w:t>Perceived Organizational Justice</w:t>
                            </w:r>
                          </w:p>
                          <w:p w14:paraId="026F170B" w14:textId="77777777" w:rsidR="00D46C47" w:rsidRPr="00E0735E" w:rsidRDefault="00D46C47">
                            <w:pPr>
                              <w:spacing w:after="0" w:line="240" w:lineRule="auto"/>
                              <w:ind w:firstLine="146"/>
                              <w:jc w:val="center"/>
                              <w:textDirection w:val="btLr"/>
                            </w:pPr>
                          </w:p>
                          <w:p w14:paraId="7AD3A66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Distributive Justice</w:t>
                            </w:r>
                          </w:p>
                          <w:p w14:paraId="24A2EFF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Procedural Justice</w:t>
                            </w:r>
                          </w:p>
                          <w:p w14:paraId="19DBE883"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Interactional Justice</w:t>
                            </w:r>
                          </w:p>
                        </w:txbxContent>
                      </wps:txbx>
                      <wps:bodyPr spcFirstLastPara="1" wrap="square" lIns="91425" tIns="45700" rIns="91425" bIns="45700" anchor="t" anchorCtr="0">
                        <a:noAutofit/>
                      </wps:bodyPr>
                    </wps:wsp>
                  </a:graphicData>
                </a:graphic>
              </wp:anchor>
            </w:drawing>
          </mc:Choice>
          <mc:Fallback>
            <w:pict>
              <v:rect w14:anchorId="5142A398" id="Rectangle 3" o:spid="_x0000_s1028" style="position:absolute;left:0;text-align:left;margin-left:-14.2pt;margin-top:25.75pt;width:201pt;height:100.1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">
                <v:stroke startarrowwidth="narrow" startarrowlength="short" endarrowwidth="narrow" endarrowlength="short"/>
                <v:textbox inset="2.53958mm,1.2694mm,2.53958mm,1.2694mm">
                  <w:txbxContent>
                    <w:p w14:paraId="38BB3F10" w14:textId="5AEA46BC" w:rsidR="00D46C47" w:rsidRPr="00E0735E" w:rsidRDefault="00CF0A13">
                      <w:pPr>
                        <w:spacing w:after="0" w:line="240" w:lineRule="auto"/>
                        <w:ind w:firstLine="146"/>
                        <w:jc w:val="center"/>
                        <w:textDirection w:val="btLr"/>
                      </w:pPr>
                      <w:r w:rsidRPr="00E0735E">
                        <w:rPr>
                          <w:rFonts w:eastAsia="Cambria"/>
                          <w:color w:val="000000"/>
                        </w:rPr>
                        <w:t>Perceived Organizational Justice</w:t>
                      </w:r>
                    </w:p>
                    <w:p w14:paraId="026F170B" w14:textId="77777777" w:rsidR="00D46C47" w:rsidRPr="00E0735E" w:rsidRDefault="00D46C47">
                      <w:pPr>
                        <w:spacing w:after="0" w:line="240" w:lineRule="auto"/>
                        <w:ind w:firstLine="146"/>
                        <w:jc w:val="center"/>
                        <w:textDirection w:val="btLr"/>
                      </w:pPr>
                    </w:p>
                    <w:p w14:paraId="7AD3A66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Distributive Justice</w:t>
                      </w:r>
                    </w:p>
                    <w:p w14:paraId="24A2EFF2"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Procedural Justice</w:t>
                      </w:r>
                    </w:p>
                    <w:p w14:paraId="19DBE883" w14:textId="77777777" w:rsidR="00D46C47" w:rsidRPr="00E0735E" w:rsidRDefault="00513FB1" w:rsidP="00CF0A13">
                      <w:pPr>
                        <w:pStyle w:val="ListParagraph"/>
                        <w:numPr>
                          <w:ilvl w:val="0"/>
                          <w:numId w:val="4"/>
                        </w:numPr>
                        <w:spacing w:after="0" w:line="240" w:lineRule="auto"/>
                        <w:jc w:val="left"/>
                        <w:textDirection w:val="btLr"/>
                      </w:pPr>
                      <w:r w:rsidRPr="00E0735E">
                        <w:rPr>
                          <w:rFonts w:eastAsia="Cambria"/>
                          <w:color w:val="000000"/>
                        </w:rPr>
                        <w:t>Interactional Justice</w:t>
                      </w:r>
                    </w:p>
                  </w:txbxContent>
                </v:textbox>
                <w10:wrap type="square"/>
              </v:rect>
            </w:pict>
          </mc:Fallback>
        </mc:AlternateContent>
      </w:r>
    </w:p>
    <w:p w14:paraId="77C5E6F2" w14:textId="769FD152" w:rsidR="00D46C47" w:rsidRPr="00E0735E" w:rsidRDefault="00D46C47">
      <w:pPr>
        <w:spacing w:line="240" w:lineRule="auto"/>
        <w:rPr>
          <w:rFonts w:eastAsia="Cambria"/>
        </w:rPr>
      </w:pPr>
    </w:p>
    <w:p w14:paraId="7E39C560" w14:textId="18D5AF4D" w:rsidR="00D46C47" w:rsidRPr="00E0735E" w:rsidRDefault="00E0735E">
      <w:pPr>
        <w:tabs>
          <w:tab w:val="center" w:pos="4473"/>
        </w:tabs>
        <w:spacing w:line="240" w:lineRule="auto"/>
        <w:rPr>
          <w:rFonts w:eastAsia="Cambria"/>
        </w:rPr>
      </w:pPr>
      <w:r>
        <w:rPr>
          <w:rFonts w:eastAsia="Cambria"/>
          <w:noProof/>
        </w:rPr>
        <mc:AlternateContent>
          <mc:Choice Requires="wps">
            <w:drawing>
              <wp:anchor distT="0" distB="0" distL="114300" distR="114300" simplePos="0" relativeHeight="251666432" behindDoc="0" locked="0" layoutInCell="1" allowOverlap="1" wp14:anchorId="54F833CB" wp14:editId="60BDD64D">
                <wp:simplePos x="0" y="0"/>
                <wp:positionH relativeFrom="column">
                  <wp:posOffset>2366696</wp:posOffset>
                </wp:positionH>
                <wp:positionV relativeFrom="paragraph">
                  <wp:posOffset>304114</wp:posOffset>
                </wp:positionV>
                <wp:extent cx="426796" cy="0"/>
                <wp:effectExtent l="0" t="0" r="0" b="0"/>
                <wp:wrapNone/>
                <wp:docPr id="872478394" name="Straight Connector 8"/>
                <wp:cNvGraphicFramePr/>
                <a:graphic xmlns:a="http://schemas.openxmlformats.org/drawingml/2006/main">
                  <a:graphicData uri="http://schemas.microsoft.com/office/word/2010/wordprocessingShape">
                    <wps:wsp>
                      <wps:cNvCnPr/>
                      <wps:spPr>
                        <a:xfrm>
                          <a:off x="0" y="0"/>
                          <a:ext cx="4267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DC518"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6.35pt,23.95pt" to="219.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" strokecolor="black [3040]" strokeweight="1pt"/>
            </w:pict>
          </mc:Fallback>
        </mc:AlternateContent>
      </w:r>
      <w:r w:rsidRPr="00E0735E">
        <w:rPr>
          <w:rFonts w:eastAsia="Cambria"/>
        </w:rPr>
        <w:tab/>
      </w:r>
    </w:p>
    <w:p w14:paraId="0955F0A2" w14:textId="77777777" w:rsidR="00D46C47" w:rsidRPr="00E0735E" w:rsidRDefault="00D46C47">
      <w:pPr>
        <w:spacing w:line="240" w:lineRule="auto"/>
        <w:rPr>
          <w:rFonts w:eastAsia="Cambria"/>
        </w:rPr>
      </w:pPr>
    </w:p>
    <w:p w14:paraId="40FD3AF6" w14:textId="77777777" w:rsidR="00D46C47" w:rsidRPr="00E0735E" w:rsidRDefault="00D46C47">
      <w:pPr>
        <w:spacing w:after="0" w:line="240" w:lineRule="auto"/>
        <w:ind w:left="0" w:firstLine="564"/>
        <w:jc w:val="center"/>
        <w:rPr>
          <w:rFonts w:eastAsia="Cambria"/>
          <w:b/>
          <w:bCs/>
          <w:color w:val="000000"/>
        </w:rPr>
      </w:pPr>
    </w:p>
    <w:p w14:paraId="4DCBCD7A" w14:textId="77777777" w:rsidR="00D46C47" w:rsidRDefault="00D46C47">
      <w:pPr>
        <w:spacing w:after="0" w:line="240" w:lineRule="auto"/>
        <w:ind w:left="0" w:firstLine="564"/>
        <w:jc w:val="center"/>
        <w:rPr>
          <w:rFonts w:eastAsia="Cambria"/>
          <w:b/>
          <w:bCs/>
          <w:color w:val="000000"/>
        </w:rPr>
      </w:pPr>
    </w:p>
    <w:p w14:paraId="579B7673" w14:textId="77777777" w:rsidR="00E0735E" w:rsidRPr="00E0735E" w:rsidRDefault="00E0735E">
      <w:pPr>
        <w:spacing w:after="0" w:line="240" w:lineRule="auto"/>
        <w:ind w:left="0" w:firstLine="564"/>
        <w:jc w:val="center"/>
        <w:rPr>
          <w:rFonts w:eastAsia="Cambria"/>
          <w:b/>
          <w:bCs/>
          <w:color w:val="000000"/>
        </w:rPr>
      </w:pPr>
    </w:p>
    <w:p w14:paraId="1E96A08E" w14:textId="77777777" w:rsidR="00D46C47" w:rsidRPr="00E0735E" w:rsidRDefault="00513FB1">
      <w:pPr>
        <w:spacing w:after="0" w:line="240" w:lineRule="auto"/>
        <w:ind w:left="0" w:firstLine="142"/>
        <w:jc w:val="center"/>
        <w:rPr>
          <w:rFonts w:eastAsia="Cambria"/>
          <w:i/>
          <w:iCs/>
          <w:color w:val="000000"/>
        </w:rPr>
      </w:pPr>
      <w:r w:rsidRPr="00E0735E">
        <w:rPr>
          <w:rFonts w:eastAsia="Cambria"/>
          <w:i/>
          <w:iCs/>
          <w:color w:val="000000"/>
        </w:rPr>
        <w:t>Figure 1. Conceptual Framework of the Study</w:t>
      </w:r>
    </w:p>
    <w:p w14:paraId="139A3C42" w14:textId="77777777" w:rsidR="00D46C47" w:rsidRPr="00E0735E" w:rsidRDefault="00D46C47">
      <w:pPr>
        <w:spacing w:after="0" w:line="240" w:lineRule="auto"/>
        <w:ind w:left="0" w:firstLine="142"/>
        <w:jc w:val="center"/>
        <w:rPr>
          <w:rFonts w:eastAsia="Cambria"/>
          <w:i/>
          <w:iCs/>
          <w:color w:val="000000"/>
        </w:rPr>
      </w:pPr>
    </w:p>
    <w:p w14:paraId="1F066D32" w14:textId="77777777" w:rsidR="00D46C47" w:rsidRPr="00E0735E" w:rsidRDefault="00D46C47">
      <w:pPr>
        <w:spacing w:after="0" w:line="240" w:lineRule="auto"/>
        <w:ind w:left="0" w:firstLine="564"/>
        <w:jc w:val="center"/>
        <w:rPr>
          <w:rFonts w:eastAsia="Cambria"/>
          <w:b/>
          <w:bCs/>
          <w:color w:val="000000"/>
        </w:rPr>
      </w:pPr>
    </w:p>
    <w:p w14:paraId="5497DA00" w14:textId="77777777" w:rsidR="00D46C47" w:rsidRPr="00E0735E" w:rsidRDefault="00513FB1">
      <w:pPr>
        <w:spacing w:after="0" w:line="240" w:lineRule="auto"/>
        <w:ind w:left="0" w:firstLine="0"/>
        <w:jc w:val="center"/>
        <w:rPr>
          <w:rFonts w:eastAsia="Cambria"/>
          <w:b/>
          <w:bCs/>
          <w:color w:val="000000"/>
          <w:sz w:val="32"/>
          <w:szCs w:val="32"/>
        </w:rPr>
      </w:pPr>
      <w:r w:rsidRPr="00E0735E">
        <w:rPr>
          <w:rFonts w:eastAsia="Cambria"/>
          <w:b/>
          <w:bCs/>
          <w:color w:val="000000"/>
          <w:sz w:val="32"/>
          <w:szCs w:val="32"/>
        </w:rPr>
        <w:t>METHODOLOGY</w:t>
      </w:r>
    </w:p>
    <w:p w14:paraId="60930CBD" w14:textId="77777777" w:rsidR="00D46C47" w:rsidRPr="00E0735E" w:rsidRDefault="00D46C47">
      <w:pPr>
        <w:spacing w:after="0" w:line="240" w:lineRule="auto"/>
        <w:ind w:left="0" w:firstLine="564"/>
        <w:jc w:val="center"/>
        <w:rPr>
          <w:rFonts w:eastAsia="Cambria"/>
        </w:rPr>
      </w:pPr>
    </w:p>
    <w:p w14:paraId="045C873B" w14:textId="77777777" w:rsidR="00D46C47" w:rsidRPr="00E0735E" w:rsidRDefault="00513FB1">
      <w:pPr>
        <w:pBdr>
          <w:top w:val="nil"/>
          <w:left w:val="nil"/>
          <w:bottom w:val="nil"/>
          <w:right w:val="nil"/>
          <w:between w:val="nil"/>
        </w:pBdr>
        <w:spacing w:after="0" w:line="240" w:lineRule="auto"/>
        <w:ind w:left="0" w:firstLine="720"/>
        <w:rPr>
          <w:rFonts w:eastAsia="Cambria"/>
          <w:color w:val="000000"/>
        </w:rPr>
      </w:pPr>
      <w:r w:rsidRPr="00E0735E">
        <w:rPr>
          <w:rFonts w:eastAsia="Cambria"/>
          <w:color w:val="000000"/>
        </w:rPr>
        <w:t>The research design, locale of the study, sample and sampling technique, data gathering technique, data analysis technique, and ethical considerations are presented in this chapter.</w:t>
      </w:r>
    </w:p>
    <w:p w14:paraId="6CBC8A5E" w14:textId="77777777" w:rsidR="00D46C47" w:rsidRPr="00E0735E" w:rsidRDefault="00D46C47">
      <w:pPr>
        <w:pBdr>
          <w:top w:val="nil"/>
          <w:left w:val="nil"/>
          <w:bottom w:val="nil"/>
          <w:right w:val="nil"/>
          <w:between w:val="nil"/>
        </w:pBdr>
        <w:spacing w:after="0" w:line="240" w:lineRule="auto"/>
        <w:ind w:left="0"/>
        <w:rPr>
          <w:rFonts w:eastAsia="Cambria"/>
          <w:b/>
          <w:bCs/>
          <w:i/>
          <w:iCs/>
          <w:color w:val="000000"/>
        </w:rPr>
      </w:pPr>
    </w:p>
    <w:p w14:paraId="1815313C" w14:textId="77777777"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 xml:space="preserve">Research Design </w:t>
      </w:r>
    </w:p>
    <w:p w14:paraId="000E92A8" w14:textId="77777777" w:rsidR="00D46C47" w:rsidRPr="00E0735E" w:rsidRDefault="00D46C47">
      <w:pPr>
        <w:pBdr>
          <w:top w:val="nil"/>
          <w:left w:val="nil"/>
          <w:bottom w:val="nil"/>
          <w:right w:val="nil"/>
          <w:between w:val="nil"/>
        </w:pBdr>
        <w:spacing w:after="0" w:line="240" w:lineRule="auto"/>
        <w:ind w:left="0"/>
        <w:rPr>
          <w:rFonts w:eastAsia="Cambria"/>
          <w:i/>
          <w:iCs/>
          <w:color w:val="000000"/>
        </w:rPr>
      </w:pPr>
    </w:p>
    <w:p w14:paraId="5379E218" w14:textId="55F2A008" w:rsidR="00D46C47" w:rsidRDefault="00D16559" w:rsidP="00D16559">
      <w:pPr>
        <w:pBdr>
          <w:top w:val="nil"/>
          <w:left w:val="nil"/>
          <w:bottom w:val="nil"/>
          <w:right w:val="nil"/>
          <w:between w:val="nil"/>
        </w:pBdr>
        <w:spacing w:after="0" w:line="240" w:lineRule="auto"/>
        <w:ind w:left="0" w:firstLine="720"/>
        <w:rPr>
          <w:rFonts w:eastAsia="Cambria"/>
          <w:color w:val="000000"/>
        </w:rPr>
      </w:pPr>
      <w:r w:rsidRPr="00D16559">
        <w:rPr>
          <w:rFonts w:eastAsia="Cambria"/>
          <w:color w:val="000000"/>
        </w:rPr>
        <w:t xml:space="preserve">This study employed </w:t>
      </w:r>
      <w:r w:rsidR="00E4610A" w:rsidRPr="00D16559">
        <w:rPr>
          <w:rFonts w:eastAsia="Cambria"/>
          <w:color w:val="000000"/>
        </w:rPr>
        <w:t>predictive</w:t>
      </w:r>
      <w:r w:rsidRPr="00D16559">
        <w:rPr>
          <w:rFonts w:eastAsia="Cambria"/>
          <w:color w:val="000000"/>
        </w:rPr>
        <w:t xml:space="preserve"> research design. It is a quantitative approach</w:t>
      </w:r>
      <w:r>
        <w:rPr>
          <w:rFonts w:eastAsia="Cambria"/>
          <w:color w:val="000000"/>
        </w:rPr>
        <w:t xml:space="preserve"> </w:t>
      </w:r>
      <w:r w:rsidRPr="00D16559">
        <w:rPr>
          <w:rFonts w:eastAsia="Cambria"/>
          <w:color w:val="000000"/>
        </w:rPr>
        <w:t>that uses statistical analysis, especially regression techniques,</w:t>
      </w:r>
      <w:r>
        <w:rPr>
          <w:rFonts w:eastAsia="Cambria"/>
          <w:color w:val="000000"/>
        </w:rPr>
        <w:t xml:space="preserve"> </w:t>
      </w:r>
      <w:r w:rsidRPr="00D16559">
        <w:rPr>
          <w:rFonts w:eastAsia="Cambria"/>
          <w:color w:val="000000"/>
        </w:rPr>
        <w:t>to measure</w:t>
      </w:r>
      <w:r>
        <w:rPr>
          <w:rFonts w:eastAsia="Cambria"/>
          <w:color w:val="000000"/>
        </w:rPr>
        <w:t xml:space="preserve"> </w:t>
      </w:r>
      <w:r w:rsidRPr="00D16559">
        <w:rPr>
          <w:rFonts w:eastAsia="Cambria"/>
          <w:color w:val="000000"/>
        </w:rPr>
        <w:t>how well one or more independent variables explain or predict changes in a</w:t>
      </w:r>
      <w:r>
        <w:rPr>
          <w:rFonts w:eastAsia="Cambria"/>
          <w:color w:val="000000"/>
        </w:rPr>
        <w:t xml:space="preserve"> </w:t>
      </w:r>
      <w:r w:rsidRPr="00D16559">
        <w:rPr>
          <w:rFonts w:eastAsia="Cambria"/>
          <w:color w:val="000000"/>
        </w:rPr>
        <w:t xml:space="preserve">dependent variable (Aung, 2024; </w:t>
      </w:r>
      <w:proofErr w:type="spellStart"/>
      <w:r w:rsidRPr="00D16559">
        <w:rPr>
          <w:rFonts w:eastAsia="Cambria"/>
          <w:color w:val="000000"/>
        </w:rPr>
        <w:t>Sušilović</w:t>
      </w:r>
      <w:proofErr w:type="spellEnd"/>
      <w:r w:rsidRPr="00D16559">
        <w:rPr>
          <w:rFonts w:eastAsia="Cambria"/>
          <w:color w:val="000000"/>
        </w:rPr>
        <w:t>, 2025). In this study,</w:t>
      </w:r>
      <w:r>
        <w:rPr>
          <w:rFonts w:eastAsia="Cambria"/>
          <w:color w:val="000000"/>
        </w:rPr>
        <w:t xml:space="preserve"> </w:t>
      </w:r>
      <w:r w:rsidRPr="00D16559">
        <w:rPr>
          <w:rFonts w:eastAsia="Cambria"/>
          <w:color w:val="000000"/>
        </w:rPr>
        <w:t>the predictive</w:t>
      </w:r>
      <w:r>
        <w:rPr>
          <w:rFonts w:eastAsia="Cambria"/>
          <w:color w:val="000000"/>
        </w:rPr>
        <w:t xml:space="preserve"> </w:t>
      </w:r>
      <w:r w:rsidRPr="00D16559">
        <w:rPr>
          <w:rFonts w:eastAsia="Cambria"/>
          <w:color w:val="000000"/>
        </w:rPr>
        <w:t>component employed multiple regression analysis (Çelik &amp; Kalkan, 2022) to</w:t>
      </w:r>
      <w:r>
        <w:rPr>
          <w:rFonts w:eastAsia="Cambria"/>
          <w:color w:val="000000"/>
        </w:rPr>
        <w:t xml:space="preserve"> </w:t>
      </w:r>
      <w:r w:rsidRPr="00D16559">
        <w:rPr>
          <w:rFonts w:eastAsia="Cambria"/>
          <w:color w:val="000000"/>
        </w:rPr>
        <w:t>examine the extent to which psychological well-being and perceived</w:t>
      </w:r>
      <w:r>
        <w:rPr>
          <w:rFonts w:eastAsia="Cambria"/>
          <w:color w:val="000000"/>
        </w:rPr>
        <w:t xml:space="preserve"> </w:t>
      </w:r>
      <w:r w:rsidRPr="00D16559">
        <w:rPr>
          <w:rFonts w:eastAsia="Cambria"/>
          <w:color w:val="000000"/>
        </w:rPr>
        <w:t>organizational justice predict the retention of general education teachers in</w:t>
      </w:r>
      <w:r>
        <w:rPr>
          <w:rFonts w:eastAsia="Cambria"/>
          <w:color w:val="000000"/>
        </w:rPr>
        <w:t xml:space="preserve"> </w:t>
      </w:r>
      <w:r w:rsidRPr="00D16559">
        <w:rPr>
          <w:rFonts w:eastAsia="Cambria"/>
          <w:color w:val="000000"/>
        </w:rPr>
        <w:t>inclusive public high schools.</w:t>
      </w:r>
    </w:p>
    <w:p w14:paraId="5B3D39A2" w14:textId="77777777" w:rsidR="00D16559" w:rsidRPr="00E0735E" w:rsidRDefault="00D16559" w:rsidP="00D16559">
      <w:pPr>
        <w:pBdr>
          <w:top w:val="nil"/>
          <w:left w:val="nil"/>
          <w:bottom w:val="nil"/>
          <w:right w:val="nil"/>
          <w:between w:val="nil"/>
        </w:pBdr>
        <w:spacing w:after="0" w:line="240" w:lineRule="auto"/>
        <w:ind w:left="0" w:firstLine="720"/>
        <w:rPr>
          <w:rFonts w:eastAsia="Cambria"/>
          <w:color w:val="000000"/>
        </w:rPr>
      </w:pPr>
    </w:p>
    <w:p w14:paraId="05E3A7C3" w14:textId="77777777" w:rsidR="00D46C47" w:rsidRPr="00E0735E" w:rsidRDefault="00513FB1">
      <w:pPr>
        <w:pStyle w:val="Heading2"/>
        <w:spacing w:after="0" w:line="240" w:lineRule="auto"/>
        <w:ind w:left="0" w:firstLine="0"/>
        <w:rPr>
          <w:rFonts w:eastAsia="Cambria"/>
          <w:b/>
          <w:bCs/>
        </w:rPr>
      </w:pPr>
      <w:r w:rsidRPr="00E0735E">
        <w:rPr>
          <w:rFonts w:eastAsia="Cambria"/>
          <w:b/>
          <w:bCs/>
        </w:rPr>
        <w:t xml:space="preserve">Locale of the Study </w:t>
      </w:r>
    </w:p>
    <w:p w14:paraId="09A78CAE" w14:textId="77777777" w:rsidR="00D46C47" w:rsidRPr="00E0735E" w:rsidRDefault="00D46C47">
      <w:pPr>
        <w:pBdr>
          <w:top w:val="nil"/>
          <w:left w:val="nil"/>
          <w:bottom w:val="nil"/>
          <w:right w:val="nil"/>
          <w:between w:val="nil"/>
        </w:pBdr>
        <w:spacing w:after="0" w:line="240" w:lineRule="auto"/>
        <w:rPr>
          <w:rFonts w:eastAsia="Cambria"/>
          <w:color w:val="000000"/>
        </w:rPr>
      </w:pPr>
    </w:p>
    <w:p w14:paraId="74816BFF" w14:textId="3BA467E2" w:rsidR="00D46C47" w:rsidRDefault="00E4610A" w:rsidP="00E4610A">
      <w:pPr>
        <w:spacing w:after="0" w:line="240" w:lineRule="auto"/>
        <w:ind w:left="0" w:firstLine="567"/>
        <w:rPr>
          <w:rFonts w:eastAsia="Cambria"/>
        </w:rPr>
      </w:pPr>
      <w:r w:rsidRPr="00E4610A">
        <w:rPr>
          <w:rFonts w:eastAsia="Cambria"/>
        </w:rPr>
        <w:t>The study was conducted in the Schools Division of Davao del Norte, Region XI,</w:t>
      </w:r>
      <w:r>
        <w:rPr>
          <w:rFonts w:eastAsia="Cambria"/>
        </w:rPr>
        <w:t xml:space="preserve"> </w:t>
      </w:r>
      <w:r w:rsidRPr="00E4610A">
        <w:rPr>
          <w:rFonts w:eastAsia="Cambria"/>
        </w:rPr>
        <w:t>of the Department of Education, Philippines. This division served as the</w:t>
      </w:r>
      <w:r>
        <w:rPr>
          <w:rFonts w:eastAsia="Cambria"/>
        </w:rPr>
        <w:t xml:space="preserve"> </w:t>
      </w:r>
      <w:r w:rsidRPr="00E4610A">
        <w:rPr>
          <w:rFonts w:eastAsia="Cambria"/>
        </w:rPr>
        <w:t>research locale due to its implementation of inclusive education practices and</w:t>
      </w:r>
      <w:r>
        <w:rPr>
          <w:rFonts w:eastAsia="Cambria"/>
        </w:rPr>
        <w:t xml:space="preserve"> </w:t>
      </w:r>
      <w:r w:rsidRPr="00E4610A">
        <w:rPr>
          <w:rFonts w:eastAsia="Cambria"/>
        </w:rPr>
        <w:t>its diverse population of teachers handling learners with disabilities in</w:t>
      </w:r>
      <w:r>
        <w:rPr>
          <w:rFonts w:eastAsia="Cambria"/>
        </w:rPr>
        <w:t xml:space="preserve"> </w:t>
      </w:r>
      <w:r w:rsidRPr="00E4610A">
        <w:rPr>
          <w:rFonts w:eastAsia="Cambria"/>
        </w:rPr>
        <w:t>mainstream public high schools. Conducting the study in this setting yielded</w:t>
      </w:r>
      <w:r>
        <w:rPr>
          <w:rFonts w:eastAsia="Cambria"/>
        </w:rPr>
        <w:t xml:space="preserve"> </w:t>
      </w:r>
      <w:r w:rsidRPr="00E4610A">
        <w:rPr>
          <w:rFonts w:eastAsia="Cambria"/>
        </w:rPr>
        <w:t>relevant, context-specific data that reflect teachers' actual experiences in</w:t>
      </w:r>
      <w:r>
        <w:rPr>
          <w:rFonts w:eastAsia="Cambria"/>
        </w:rPr>
        <w:t xml:space="preserve"> </w:t>
      </w:r>
      <w:r w:rsidRPr="00E4610A">
        <w:rPr>
          <w:rFonts w:eastAsia="Cambria"/>
        </w:rPr>
        <w:t>inclusive education,</w:t>
      </w:r>
      <w:r>
        <w:rPr>
          <w:rFonts w:eastAsia="Cambria"/>
        </w:rPr>
        <w:t xml:space="preserve"> </w:t>
      </w:r>
      <w:r w:rsidRPr="00E4610A">
        <w:rPr>
          <w:rFonts w:eastAsia="Cambria"/>
        </w:rPr>
        <w:t>thereby ensuring the findings are meaningful and</w:t>
      </w:r>
      <w:r>
        <w:rPr>
          <w:rFonts w:eastAsia="Cambria"/>
        </w:rPr>
        <w:t xml:space="preserve"> </w:t>
      </w:r>
      <w:r w:rsidRPr="00E4610A">
        <w:rPr>
          <w:rFonts w:eastAsia="Cambria"/>
        </w:rPr>
        <w:t>applicable to similar educational environments.</w:t>
      </w:r>
    </w:p>
    <w:p w14:paraId="7961B2FA" w14:textId="77777777" w:rsidR="00E4610A" w:rsidRDefault="00E4610A" w:rsidP="00E4610A">
      <w:pPr>
        <w:pBdr>
          <w:top w:val="nil"/>
          <w:left w:val="nil"/>
          <w:bottom w:val="nil"/>
          <w:right w:val="nil"/>
          <w:between w:val="nil"/>
        </w:pBdr>
        <w:spacing w:after="0" w:line="240" w:lineRule="auto"/>
        <w:ind w:left="0" w:firstLine="0"/>
        <w:rPr>
          <w:rFonts w:eastAsia="Cambria"/>
        </w:rPr>
      </w:pPr>
    </w:p>
    <w:p w14:paraId="2418FB77" w14:textId="2D322FD4" w:rsidR="00D46C47" w:rsidRPr="00E0735E" w:rsidRDefault="00513FB1" w:rsidP="00E4610A">
      <w:pPr>
        <w:pBdr>
          <w:top w:val="nil"/>
          <w:left w:val="nil"/>
          <w:bottom w:val="nil"/>
          <w:right w:val="nil"/>
          <w:between w:val="nil"/>
        </w:pBdr>
        <w:spacing w:after="0" w:line="240" w:lineRule="auto"/>
        <w:ind w:left="0" w:firstLine="0"/>
        <w:rPr>
          <w:rFonts w:eastAsia="Cambria"/>
          <w:b/>
          <w:bCs/>
          <w:i/>
          <w:iCs/>
          <w:color w:val="000000"/>
        </w:rPr>
      </w:pPr>
      <w:r w:rsidRPr="00E0735E">
        <w:rPr>
          <w:rFonts w:eastAsia="Cambria"/>
          <w:b/>
          <w:bCs/>
          <w:i/>
          <w:iCs/>
          <w:color w:val="000000"/>
        </w:rPr>
        <w:t>Sample and Sampling Technique</w:t>
      </w:r>
    </w:p>
    <w:p w14:paraId="6D73D85F" w14:textId="77777777" w:rsidR="00D46C47" w:rsidRPr="00E0735E" w:rsidRDefault="00513FB1">
      <w:pPr>
        <w:pBdr>
          <w:top w:val="nil"/>
          <w:left w:val="nil"/>
          <w:bottom w:val="nil"/>
          <w:right w:val="nil"/>
          <w:between w:val="nil"/>
        </w:pBdr>
        <w:spacing w:after="0" w:line="240" w:lineRule="auto"/>
        <w:ind w:left="0" w:firstLine="146"/>
        <w:rPr>
          <w:rFonts w:eastAsia="Cambria"/>
          <w:color w:val="000000"/>
        </w:rPr>
      </w:pPr>
      <w:r w:rsidRPr="00E0735E">
        <w:rPr>
          <w:rFonts w:eastAsia="Cambria"/>
          <w:color w:val="000000"/>
        </w:rPr>
        <w:tab/>
      </w:r>
      <w:r w:rsidRPr="00E0735E">
        <w:rPr>
          <w:rFonts w:eastAsia="Cambria"/>
          <w:color w:val="000000"/>
        </w:rPr>
        <w:tab/>
      </w:r>
    </w:p>
    <w:p w14:paraId="051E0D1C" w14:textId="3C0EBD36" w:rsidR="00E4610A" w:rsidRDefault="00513FB1" w:rsidP="00E4610A">
      <w:pPr>
        <w:pBdr>
          <w:top w:val="nil"/>
          <w:left w:val="nil"/>
          <w:bottom w:val="nil"/>
          <w:right w:val="nil"/>
          <w:between w:val="nil"/>
        </w:pBdr>
        <w:spacing w:after="0" w:line="240" w:lineRule="auto"/>
        <w:ind w:left="0" w:firstLine="146"/>
        <w:rPr>
          <w:rFonts w:eastAsia="Cambria"/>
          <w:color w:val="000000"/>
        </w:rPr>
      </w:pPr>
      <w:r w:rsidRPr="00E0735E">
        <w:rPr>
          <w:rFonts w:eastAsia="Cambria"/>
          <w:color w:val="000000"/>
        </w:rPr>
        <w:tab/>
      </w:r>
      <w:r w:rsidR="00E4610A" w:rsidRPr="00E4610A">
        <w:rPr>
          <w:rFonts w:eastAsia="Cambria"/>
          <w:color w:val="000000"/>
        </w:rPr>
        <w:t>The respondents of this study comprised 321 general education teachers in the</w:t>
      </w:r>
      <w:r w:rsidR="00E4610A">
        <w:rPr>
          <w:rFonts w:eastAsia="Cambria"/>
          <w:color w:val="000000"/>
        </w:rPr>
        <w:t xml:space="preserve"> </w:t>
      </w:r>
      <w:r w:rsidR="00E4610A" w:rsidRPr="00E4610A">
        <w:rPr>
          <w:rFonts w:eastAsia="Cambria"/>
          <w:color w:val="000000"/>
        </w:rPr>
        <w:t>Schools Division of Davao del Norte for the School Year 2025-2026, assigned to</w:t>
      </w:r>
      <w:r w:rsidR="00E4610A">
        <w:rPr>
          <w:rFonts w:eastAsia="Cambria"/>
          <w:color w:val="000000"/>
        </w:rPr>
        <w:t xml:space="preserve"> </w:t>
      </w:r>
      <w:r w:rsidR="00E4610A" w:rsidRPr="00E4610A">
        <w:rPr>
          <w:rFonts w:eastAsia="Cambria"/>
          <w:color w:val="000000"/>
        </w:rPr>
        <w:t>handle learners with disabilities in inclusive settings. Of 1,947 teachers,</w:t>
      </w:r>
      <w:r w:rsidR="00E4610A">
        <w:rPr>
          <w:rFonts w:eastAsia="Cambria"/>
          <w:color w:val="000000"/>
        </w:rPr>
        <w:t xml:space="preserve"> </w:t>
      </w:r>
      <w:r w:rsidR="00E4610A" w:rsidRPr="00E4610A">
        <w:rPr>
          <w:rFonts w:eastAsia="Cambria"/>
          <w:color w:val="000000"/>
        </w:rPr>
        <w:t xml:space="preserve">respondents were selected using the </w:t>
      </w:r>
      <w:proofErr w:type="spellStart"/>
      <w:r w:rsidR="00E4610A" w:rsidRPr="00E4610A">
        <w:rPr>
          <w:rFonts w:eastAsia="Cambria"/>
          <w:color w:val="000000"/>
        </w:rPr>
        <w:t>Raosoft</w:t>
      </w:r>
      <w:proofErr w:type="spellEnd"/>
      <w:r w:rsidR="00E4610A" w:rsidRPr="00E4610A">
        <w:rPr>
          <w:rFonts w:eastAsia="Cambria"/>
          <w:color w:val="000000"/>
        </w:rPr>
        <w:t xml:space="preserve"> Sample Size Calculator with a 5%</w:t>
      </w:r>
      <w:r w:rsidR="00E4610A">
        <w:rPr>
          <w:rFonts w:eastAsia="Cambria"/>
          <w:color w:val="000000"/>
        </w:rPr>
        <w:t xml:space="preserve"> </w:t>
      </w:r>
      <w:r w:rsidR="00E4610A" w:rsidRPr="00E4610A">
        <w:rPr>
          <w:rFonts w:eastAsia="Cambria"/>
          <w:color w:val="000000"/>
        </w:rPr>
        <w:t>margin of error (</w:t>
      </w:r>
      <w:proofErr w:type="spellStart"/>
      <w:r w:rsidR="00E4610A" w:rsidRPr="00E4610A">
        <w:rPr>
          <w:rFonts w:eastAsia="Cambria"/>
          <w:color w:val="000000"/>
        </w:rPr>
        <w:t>Raosoft</w:t>
      </w:r>
      <w:proofErr w:type="spellEnd"/>
      <w:r w:rsidR="00E4610A" w:rsidRPr="00E4610A">
        <w:rPr>
          <w:rFonts w:eastAsia="Cambria"/>
          <w:color w:val="000000"/>
        </w:rPr>
        <w:t>, 2015). The research employed stratified random</w:t>
      </w:r>
      <w:r w:rsidR="00E4610A">
        <w:rPr>
          <w:rFonts w:eastAsia="Cambria"/>
          <w:color w:val="000000"/>
        </w:rPr>
        <w:t xml:space="preserve"> </w:t>
      </w:r>
      <w:r w:rsidR="00E4610A" w:rsidRPr="00E4610A">
        <w:rPr>
          <w:rFonts w:eastAsia="Cambria"/>
          <w:color w:val="000000"/>
        </w:rPr>
        <w:t>sampling, a probability sampling technique that divides a heterogeneous</w:t>
      </w:r>
      <w:r w:rsidR="00E4610A">
        <w:rPr>
          <w:rFonts w:eastAsia="Cambria"/>
          <w:color w:val="000000"/>
        </w:rPr>
        <w:t xml:space="preserve"> </w:t>
      </w:r>
      <w:r w:rsidR="00E4610A" w:rsidRPr="00E4610A">
        <w:rPr>
          <w:rFonts w:eastAsia="Cambria"/>
          <w:color w:val="000000"/>
        </w:rPr>
        <w:t>population into homogeneous subgroups and selects random samples from</w:t>
      </w:r>
      <w:r w:rsidR="00E4610A">
        <w:rPr>
          <w:rFonts w:eastAsia="Cambria"/>
          <w:color w:val="000000"/>
        </w:rPr>
        <w:t xml:space="preserve"> </w:t>
      </w:r>
      <w:r w:rsidR="00E4610A" w:rsidRPr="00E4610A">
        <w:rPr>
          <w:rFonts w:eastAsia="Cambria"/>
          <w:color w:val="000000"/>
        </w:rPr>
        <w:t>each. It is used when distinct groups must be proportionally represented, and</w:t>
      </w:r>
      <w:r w:rsidR="00E4610A">
        <w:rPr>
          <w:rFonts w:eastAsia="Cambria"/>
          <w:color w:val="000000"/>
        </w:rPr>
        <w:t xml:space="preserve"> </w:t>
      </w:r>
      <w:r w:rsidR="00E4610A" w:rsidRPr="00E4610A">
        <w:rPr>
          <w:rFonts w:eastAsia="Cambria"/>
          <w:color w:val="000000"/>
        </w:rPr>
        <w:t>improves precision,</w:t>
      </w:r>
      <w:r w:rsidR="00E4610A">
        <w:rPr>
          <w:rFonts w:eastAsia="Cambria"/>
          <w:color w:val="000000"/>
        </w:rPr>
        <w:t xml:space="preserve"> </w:t>
      </w:r>
      <w:r w:rsidR="00E4610A" w:rsidRPr="00E4610A">
        <w:rPr>
          <w:rFonts w:eastAsia="Cambria"/>
          <w:color w:val="000000"/>
        </w:rPr>
        <w:t>representativeness, and sampling accuracy (Ahmad et al.,</w:t>
      </w:r>
      <w:r w:rsidR="00E4610A">
        <w:rPr>
          <w:rFonts w:eastAsia="Cambria"/>
          <w:color w:val="000000"/>
        </w:rPr>
        <w:t xml:space="preserve"> </w:t>
      </w:r>
      <w:r w:rsidR="00E4610A" w:rsidRPr="00E4610A">
        <w:rPr>
          <w:rFonts w:eastAsia="Cambria"/>
          <w:color w:val="000000"/>
        </w:rPr>
        <w:t>2022).</w:t>
      </w:r>
    </w:p>
    <w:p w14:paraId="4C6F57AF" w14:textId="77777777" w:rsidR="00E4610A" w:rsidRDefault="00E4610A" w:rsidP="00E4610A">
      <w:pPr>
        <w:pBdr>
          <w:top w:val="nil"/>
          <w:left w:val="nil"/>
          <w:bottom w:val="nil"/>
          <w:right w:val="nil"/>
          <w:between w:val="nil"/>
        </w:pBdr>
        <w:spacing w:after="0" w:line="240" w:lineRule="auto"/>
        <w:ind w:left="0" w:firstLine="0"/>
        <w:rPr>
          <w:rFonts w:eastAsia="Cambria"/>
          <w:color w:val="000000"/>
        </w:rPr>
      </w:pPr>
    </w:p>
    <w:p w14:paraId="7A52BD21" w14:textId="0E7338C8" w:rsidR="00D46C47" w:rsidRDefault="00E4610A" w:rsidP="00E4610A">
      <w:pPr>
        <w:pBdr>
          <w:top w:val="nil"/>
          <w:left w:val="nil"/>
          <w:bottom w:val="nil"/>
          <w:right w:val="nil"/>
          <w:between w:val="nil"/>
        </w:pBdr>
        <w:spacing w:after="0" w:line="240" w:lineRule="auto"/>
        <w:ind w:left="0" w:firstLine="720"/>
        <w:rPr>
          <w:rFonts w:eastAsia="Cambria"/>
          <w:color w:val="000000"/>
        </w:rPr>
      </w:pPr>
      <w:r w:rsidRPr="00E4610A">
        <w:rPr>
          <w:rFonts w:eastAsia="Cambria"/>
          <w:color w:val="000000"/>
        </w:rPr>
        <w:t>The inclusion criteria for the respondents are as follows: (1) they must be</w:t>
      </w:r>
      <w:r>
        <w:rPr>
          <w:rFonts w:eastAsia="Cambria"/>
          <w:color w:val="000000"/>
        </w:rPr>
        <w:t xml:space="preserve"> </w:t>
      </w:r>
      <w:r w:rsidRPr="00E4610A">
        <w:rPr>
          <w:rFonts w:eastAsia="Cambria"/>
          <w:color w:val="000000"/>
        </w:rPr>
        <w:t>general education teachers in a public high school of the Division of Davao del</w:t>
      </w:r>
      <w:r>
        <w:rPr>
          <w:rFonts w:eastAsia="Cambria"/>
          <w:color w:val="000000"/>
        </w:rPr>
        <w:t xml:space="preserve"> </w:t>
      </w:r>
      <w:r w:rsidRPr="00E4610A">
        <w:rPr>
          <w:rFonts w:eastAsia="Cambria"/>
          <w:color w:val="000000"/>
        </w:rPr>
        <w:t>Norte; (2) they must be currently handling at least one learner in an inclusive</w:t>
      </w:r>
      <w:r>
        <w:rPr>
          <w:rFonts w:eastAsia="Cambria"/>
          <w:color w:val="000000"/>
        </w:rPr>
        <w:t xml:space="preserve"> </w:t>
      </w:r>
      <w:r w:rsidRPr="00E4610A">
        <w:rPr>
          <w:rFonts w:eastAsia="Cambria"/>
          <w:color w:val="000000"/>
        </w:rPr>
        <w:t>classroom setting who is tagged in the LIS as having disability or difficulty; and</w:t>
      </w:r>
      <w:r>
        <w:rPr>
          <w:rFonts w:eastAsia="Cambria"/>
          <w:color w:val="000000"/>
        </w:rPr>
        <w:t xml:space="preserve"> </w:t>
      </w:r>
      <w:r w:rsidRPr="00E4610A">
        <w:rPr>
          <w:rFonts w:eastAsia="Cambria"/>
          <w:color w:val="000000"/>
        </w:rPr>
        <w:t>(3) they must be teaching in any public high school in the Division of Davao del</w:t>
      </w:r>
      <w:r>
        <w:rPr>
          <w:rFonts w:eastAsia="Cambria"/>
          <w:color w:val="000000"/>
        </w:rPr>
        <w:t xml:space="preserve"> </w:t>
      </w:r>
      <w:r w:rsidRPr="00E4610A">
        <w:rPr>
          <w:rFonts w:eastAsia="Cambria"/>
          <w:color w:val="000000"/>
        </w:rPr>
        <w:t>Norte during the school year 2025–2026. In contrast,</w:t>
      </w:r>
      <w:r>
        <w:rPr>
          <w:rFonts w:eastAsia="Cambria"/>
          <w:color w:val="000000"/>
        </w:rPr>
        <w:t xml:space="preserve"> </w:t>
      </w:r>
      <w:r w:rsidRPr="00E4610A">
        <w:rPr>
          <w:rFonts w:eastAsia="Cambria"/>
          <w:color w:val="000000"/>
        </w:rPr>
        <w:t>the exclusion criteria</w:t>
      </w:r>
      <w:r>
        <w:rPr>
          <w:rFonts w:eastAsia="Cambria"/>
          <w:color w:val="000000"/>
        </w:rPr>
        <w:t xml:space="preserve"> </w:t>
      </w:r>
      <w:r w:rsidRPr="00E4610A">
        <w:rPr>
          <w:rFonts w:eastAsia="Cambria"/>
          <w:color w:val="000000"/>
        </w:rPr>
        <w:t>include the following: (1) teachers who do not currently handle any learners</w:t>
      </w:r>
      <w:r>
        <w:rPr>
          <w:rFonts w:eastAsia="Cambria"/>
          <w:color w:val="000000"/>
        </w:rPr>
        <w:t xml:space="preserve"> </w:t>
      </w:r>
      <w:r w:rsidRPr="00E4610A">
        <w:rPr>
          <w:rFonts w:eastAsia="Cambria"/>
          <w:color w:val="000000"/>
        </w:rPr>
        <w:t>with disabilities; and (2) those assigned exclusively to administrative roles</w:t>
      </w:r>
      <w:r>
        <w:rPr>
          <w:rFonts w:eastAsia="Cambria"/>
          <w:color w:val="000000"/>
        </w:rPr>
        <w:t xml:space="preserve"> </w:t>
      </w:r>
      <w:r w:rsidRPr="00E4610A">
        <w:rPr>
          <w:rFonts w:eastAsia="Cambria"/>
          <w:color w:val="000000"/>
        </w:rPr>
        <w:t>without teaching loads.</w:t>
      </w:r>
    </w:p>
    <w:p w14:paraId="029E1EDC" w14:textId="77777777" w:rsidR="00E4610A" w:rsidRPr="00E0735E" w:rsidRDefault="00E4610A" w:rsidP="00E4610A">
      <w:pPr>
        <w:pBdr>
          <w:top w:val="nil"/>
          <w:left w:val="nil"/>
          <w:bottom w:val="nil"/>
          <w:right w:val="nil"/>
          <w:between w:val="nil"/>
        </w:pBdr>
        <w:spacing w:after="0" w:line="240" w:lineRule="auto"/>
        <w:ind w:left="0" w:firstLine="720"/>
        <w:rPr>
          <w:rFonts w:eastAsia="Cambria"/>
          <w:color w:val="000000"/>
        </w:rPr>
      </w:pPr>
    </w:p>
    <w:p w14:paraId="532E872F" w14:textId="77777777" w:rsidR="00D46C47" w:rsidRPr="00E0735E" w:rsidRDefault="00513FB1">
      <w:pPr>
        <w:pBdr>
          <w:top w:val="nil"/>
          <w:left w:val="nil"/>
          <w:bottom w:val="nil"/>
          <w:right w:val="nil"/>
          <w:between w:val="nil"/>
        </w:pBdr>
        <w:spacing w:after="0" w:line="240" w:lineRule="auto"/>
        <w:ind w:left="0" w:firstLine="0"/>
        <w:rPr>
          <w:rFonts w:eastAsia="Cambria"/>
          <w:color w:val="000000"/>
        </w:rPr>
      </w:pPr>
      <w:r w:rsidRPr="00E0735E">
        <w:rPr>
          <w:rFonts w:eastAsia="Cambria"/>
          <w:b/>
          <w:bCs/>
          <w:i/>
          <w:iCs/>
        </w:rPr>
        <w:t xml:space="preserve">Data Gathering Technique </w:t>
      </w:r>
    </w:p>
    <w:p w14:paraId="3B04FB01" w14:textId="77777777" w:rsidR="00D46C47" w:rsidRPr="00E0735E" w:rsidRDefault="00D46C47">
      <w:pPr>
        <w:spacing w:after="0" w:line="240" w:lineRule="auto"/>
        <w:ind w:left="0" w:firstLine="146"/>
        <w:rPr>
          <w:rFonts w:eastAsia="Cambria"/>
          <w:b/>
          <w:bCs/>
        </w:rPr>
      </w:pPr>
    </w:p>
    <w:p w14:paraId="350F3863" w14:textId="4A7C0B83" w:rsidR="00422292" w:rsidRDefault="00513FB1" w:rsidP="00422292">
      <w:pPr>
        <w:spacing w:after="0" w:line="240" w:lineRule="auto"/>
        <w:ind w:left="0" w:firstLine="648"/>
        <w:rPr>
          <w:rFonts w:eastAsia="Cambria"/>
        </w:rPr>
      </w:pPr>
      <w:r w:rsidRPr="00E0735E">
        <w:rPr>
          <w:rFonts w:eastAsia="Cambria"/>
        </w:rPr>
        <w:t xml:space="preserve">In this study, survey was used as data-gathering technique. </w:t>
      </w:r>
      <w:r w:rsidR="00422292" w:rsidRPr="00422292">
        <w:rPr>
          <w:rFonts w:eastAsia="Cambria"/>
        </w:rPr>
        <w:t>A survey is a</w:t>
      </w:r>
      <w:r w:rsidR="00422292">
        <w:rPr>
          <w:rFonts w:eastAsia="Cambria"/>
        </w:rPr>
        <w:t xml:space="preserve"> </w:t>
      </w:r>
      <w:r w:rsidR="00422292" w:rsidRPr="00422292">
        <w:rPr>
          <w:rFonts w:eastAsia="Cambria"/>
        </w:rPr>
        <w:t>research method that collects data from respondents through structured</w:t>
      </w:r>
      <w:r w:rsidR="00422292">
        <w:rPr>
          <w:rFonts w:eastAsia="Cambria"/>
        </w:rPr>
        <w:t xml:space="preserve"> </w:t>
      </w:r>
      <w:r w:rsidR="00422292" w:rsidRPr="00422292">
        <w:rPr>
          <w:rFonts w:eastAsia="Cambria"/>
        </w:rPr>
        <w:t>questionnaires to identify trends,</w:t>
      </w:r>
      <w:r w:rsidR="00422292">
        <w:rPr>
          <w:rFonts w:eastAsia="Cambria"/>
        </w:rPr>
        <w:t xml:space="preserve"> </w:t>
      </w:r>
      <w:r w:rsidR="00422292" w:rsidRPr="00422292">
        <w:rPr>
          <w:rFonts w:eastAsia="Cambria"/>
        </w:rPr>
        <w:t>relationships, and differences among</w:t>
      </w:r>
      <w:r w:rsidR="00422292">
        <w:rPr>
          <w:rFonts w:eastAsia="Cambria"/>
        </w:rPr>
        <w:t xml:space="preserve"> </w:t>
      </w:r>
      <w:r w:rsidR="00422292" w:rsidRPr="00422292">
        <w:rPr>
          <w:rFonts w:eastAsia="Cambria"/>
        </w:rPr>
        <w:t>variables (Goodfellow, 2023). The questionnaires used in this study were</w:t>
      </w:r>
      <w:r w:rsidR="00422292">
        <w:rPr>
          <w:rFonts w:eastAsia="Cambria"/>
        </w:rPr>
        <w:t xml:space="preserve"> </w:t>
      </w:r>
      <w:r w:rsidR="00422292" w:rsidRPr="00422292">
        <w:rPr>
          <w:rFonts w:eastAsia="Cambria"/>
        </w:rPr>
        <w:t>adapted and modified to align with the respondents' backgrounds and the</w:t>
      </w:r>
      <w:r w:rsidR="00422292">
        <w:rPr>
          <w:rFonts w:eastAsia="Cambria"/>
        </w:rPr>
        <w:t xml:space="preserve"> </w:t>
      </w:r>
      <w:r w:rsidR="00422292" w:rsidRPr="00422292">
        <w:rPr>
          <w:rFonts w:eastAsia="Cambria"/>
        </w:rPr>
        <w:t>study's objectives. The instruments were validated by experts and received an</w:t>
      </w:r>
      <w:r w:rsidR="00422292">
        <w:rPr>
          <w:rFonts w:eastAsia="Cambria"/>
        </w:rPr>
        <w:t xml:space="preserve"> </w:t>
      </w:r>
      <w:r w:rsidR="00422292" w:rsidRPr="00422292">
        <w:rPr>
          <w:rFonts w:eastAsia="Cambria"/>
        </w:rPr>
        <w:t>average validation rating of 4.5, indicating very good validity.</w:t>
      </w:r>
      <w:r w:rsidR="00422292">
        <w:rPr>
          <w:rFonts w:eastAsia="Cambria"/>
        </w:rPr>
        <w:t xml:space="preserve"> </w:t>
      </w:r>
    </w:p>
    <w:p w14:paraId="0DC952F6" w14:textId="77777777" w:rsidR="00422292" w:rsidRPr="00422292" w:rsidRDefault="00422292" w:rsidP="00422292">
      <w:pPr>
        <w:spacing w:after="0" w:line="240" w:lineRule="auto"/>
        <w:ind w:left="0" w:firstLine="648"/>
        <w:rPr>
          <w:rFonts w:eastAsia="Cambria"/>
        </w:rPr>
      </w:pPr>
    </w:p>
    <w:p w14:paraId="031FD55A" w14:textId="31920638" w:rsidR="00D46C47" w:rsidRPr="00E0735E" w:rsidRDefault="00422292" w:rsidP="00422292">
      <w:pPr>
        <w:spacing w:after="0" w:line="240" w:lineRule="auto"/>
        <w:ind w:left="0" w:firstLine="648"/>
        <w:rPr>
          <w:rFonts w:eastAsia="Cambria"/>
        </w:rPr>
      </w:pPr>
      <w:r w:rsidRPr="00422292">
        <w:rPr>
          <w:rFonts w:eastAsia="Cambria"/>
        </w:rPr>
        <w:t>The Psychological Well-Being Questionnaire was adapted from the</w:t>
      </w:r>
      <w:r>
        <w:rPr>
          <w:rFonts w:eastAsia="Cambria"/>
        </w:rPr>
        <w:t xml:space="preserve"> </w:t>
      </w:r>
      <w:r w:rsidRPr="00422292">
        <w:rPr>
          <w:rFonts w:eastAsia="Cambria"/>
        </w:rPr>
        <w:t xml:space="preserve">Psychological Well-Being Scale of Ryff (1989), as modified by </w:t>
      </w:r>
      <w:proofErr w:type="spellStart"/>
      <w:r w:rsidRPr="00422292">
        <w:rPr>
          <w:rFonts w:eastAsia="Cambria"/>
        </w:rPr>
        <w:t>Violago</w:t>
      </w:r>
      <w:proofErr w:type="spellEnd"/>
      <w:r w:rsidRPr="00422292">
        <w:rPr>
          <w:rFonts w:eastAsia="Cambria"/>
        </w:rPr>
        <w:t xml:space="preserve"> and</w:t>
      </w:r>
      <w:r>
        <w:rPr>
          <w:rFonts w:eastAsia="Cambria"/>
        </w:rPr>
        <w:t xml:space="preserve"> </w:t>
      </w:r>
      <w:r w:rsidRPr="00422292">
        <w:rPr>
          <w:rFonts w:eastAsia="Cambria"/>
        </w:rPr>
        <w:t>Fabella (2023), consisting of 18 items with a Cronbach's alpha of 89.6%,</w:t>
      </w:r>
      <w:r>
        <w:rPr>
          <w:rFonts w:eastAsia="Cambria"/>
        </w:rPr>
        <w:t xml:space="preserve"> </w:t>
      </w:r>
      <w:r w:rsidRPr="00422292">
        <w:rPr>
          <w:rFonts w:eastAsia="Cambria"/>
        </w:rPr>
        <w:t>indicating good reliability. The Perceived Organizational Justice Questionnaire</w:t>
      </w:r>
      <w:r>
        <w:rPr>
          <w:rFonts w:eastAsia="Cambria"/>
        </w:rPr>
        <w:t xml:space="preserve"> </w:t>
      </w:r>
      <w:r w:rsidRPr="00422292">
        <w:rPr>
          <w:rFonts w:eastAsia="Cambria"/>
        </w:rPr>
        <w:t>was adapted from Elma (2013) and consists of 18 items, with a Cronbach's</w:t>
      </w:r>
      <w:r>
        <w:rPr>
          <w:rFonts w:eastAsia="Cambria"/>
        </w:rPr>
        <w:t xml:space="preserve"> </w:t>
      </w:r>
      <w:r w:rsidRPr="00422292">
        <w:rPr>
          <w:rFonts w:eastAsia="Cambria"/>
        </w:rPr>
        <w:t xml:space="preserve">alpha of 94.9%, indicating </w:t>
      </w:r>
      <w:r w:rsidRPr="00422292">
        <w:rPr>
          <w:rFonts w:eastAsia="Cambria"/>
        </w:rPr>
        <w:lastRenderedPageBreak/>
        <w:t>excellent reliability. Lastly,</w:t>
      </w:r>
      <w:r>
        <w:rPr>
          <w:rFonts w:eastAsia="Cambria"/>
        </w:rPr>
        <w:t xml:space="preserve"> </w:t>
      </w:r>
      <w:r w:rsidRPr="00422292">
        <w:rPr>
          <w:rFonts w:eastAsia="Cambria"/>
        </w:rPr>
        <w:t>the Teacher Retention</w:t>
      </w:r>
      <w:r>
        <w:rPr>
          <w:rFonts w:eastAsia="Cambria"/>
        </w:rPr>
        <w:t xml:space="preserve"> </w:t>
      </w:r>
      <w:r w:rsidRPr="00422292">
        <w:rPr>
          <w:rFonts w:eastAsia="Cambria"/>
        </w:rPr>
        <w:t xml:space="preserve">Questionnaire was adapted from </w:t>
      </w:r>
      <w:proofErr w:type="spellStart"/>
      <w:r w:rsidRPr="00422292">
        <w:rPr>
          <w:rFonts w:eastAsia="Cambria"/>
        </w:rPr>
        <w:t>Anog</w:t>
      </w:r>
      <w:proofErr w:type="spellEnd"/>
      <w:r w:rsidRPr="00422292">
        <w:rPr>
          <w:rFonts w:eastAsia="Cambria"/>
        </w:rPr>
        <w:t xml:space="preserve"> et al. (2024) and consisted of 20 items,</w:t>
      </w:r>
      <w:r>
        <w:rPr>
          <w:rFonts w:eastAsia="Cambria"/>
        </w:rPr>
        <w:t xml:space="preserve"> </w:t>
      </w:r>
      <w:r w:rsidRPr="00422292">
        <w:rPr>
          <w:rFonts w:eastAsia="Cambria"/>
        </w:rPr>
        <w:t>with a Cronbach's alpha of 96.0%, indicating excellent reliability. The overall</w:t>
      </w:r>
      <w:r>
        <w:rPr>
          <w:rFonts w:eastAsia="Cambria"/>
        </w:rPr>
        <w:t xml:space="preserve"> </w:t>
      </w:r>
      <w:r w:rsidRPr="00422292">
        <w:rPr>
          <w:rFonts w:eastAsia="Cambria"/>
        </w:rPr>
        <w:t>instrument, composed of 56 items, yielded a Cronbach's alpha of 97.6%,</w:t>
      </w:r>
      <w:r>
        <w:rPr>
          <w:rFonts w:eastAsia="Cambria"/>
        </w:rPr>
        <w:t xml:space="preserve"> </w:t>
      </w:r>
      <w:r w:rsidRPr="00422292">
        <w:rPr>
          <w:rFonts w:eastAsia="Cambria"/>
        </w:rPr>
        <w:t>indicating excellent internal consistency and reliability.</w:t>
      </w:r>
    </w:p>
    <w:p w14:paraId="20E3CBCC" w14:textId="77777777" w:rsidR="008A64A8" w:rsidRPr="00E0735E" w:rsidRDefault="008A64A8" w:rsidP="00422292">
      <w:pPr>
        <w:spacing w:after="0" w:line="240" w:lineRule="auto"/>
        <w:ind w:left="0" w:firstLine="0"/>
        <w:rPr>
          <w:rFonts w:eastAsia="Cambria"/>
        </w:rPr>
      </w:pPr>
    </w:p>
    <w:p w14:paraId="4ABE33A5"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3588E658"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03AF43FB" w14:textId="77777777" w:rsidR="00422292" w:rsidRDefault="00422292">
      <w:pPr>
        <w:pBdr>
          <w:top w:val="nil"/>
          <w:left w:val="nil"/>
          <w:bottom w:val="nil"/>
          <w:right w:val="nil"/>
          <w:between w:val="nil"/>
        </w:pBdr>
        <w:spacing w:after="0" w:line="240" w:lineRule="auto"/>
        <w:ind w:left="0"/>
        <w:rPr>
          <w:rFonts w:eastAsia="Cambria"/>
          <w:b/>
          <w:bCs/>
          <w:i/>
          <w:iCs/>
          <w:color w:val="000000"/>
        </w:rPr>
      </w:pPr>
    </w:p>
    <w:p w14:paraId="36D08CD5" w14:textId="5FF98D51" w:rsidR="00D46C47" w:rsidRPr="00E0735E" w:rsidRDefault="00513FB1">
      <w:pPr>
        <w:pBdr>
          <w:top w:val="nil"/>
          <w:left w:val="nil"/>
          <w:bottom w:val="nil"/>
          <w:right w:val="nil"/>
          <w:between w:val="nil"/>
        </w:pBdr>
        <w:spacing w:after="0" w:line="240" w:lineRule="auto"/>
        <w:ind w:left="0"/>
        <w:rPr>
          <w:rFonts w:eastAsia="Cambria"/>
          <w:b/>
          <w:bCs/>
          <w:i/>
          <w:iCs/>
          <w:color w:val="000000"/>
        </w:rPr>
      </w:pPr>
      <w:r w:rsidRPr="00E0735E">
        <w:rPr>
          <w:rFonts w:eastAsia="Cambria"/>
          <w:b/>
          <w:bCs/>
          <w:i/>
          <w:iCs/>
          <w:color w:val="000000"/>
        </w:rPr>
        <w:t>Data Analysis Technique</w:t>
      </w:r>
    </w:p>
    <w:p w14:paraId="79B78B30" w14:textId="77777777" w:rsidR="00D46C47" w:rsidRPr="00E0735E" w:rsidRDefault="00D46C47">
      <w:pPr>
        <w:pBdr>
          <w:top w:val="nil"/>
          <w:left w:val="nil"/>
          <w:bottom w:val="nil"/>
          <w:right w:val="nil"/>
          <w:between w:val="nil"/>
        </w:pBdr>
        <w:spacing w:after="0" w:line="240" w:lineRule="auto"/>
        <w:ind w:left="0" w:firstLine="0"/>
        <w:rPr>
          <w:rFonts w:eastAsia="Cambria"/>
          <w:b/>
          <w:bCs/>
          <w:i/>
          <w:iCs/>
          <w:color w:val="000000"/>
        </w:rPr>
      </w:pPr>
    </w:p>
    <w:p w14:paraId="1163990A" w14:textId="01500F5C" w:rsidR="00D46C47" w:rsidRPr="00E0735E" w:rsidRDefault="00513FB1" w:rsidP="000F6093">
      <w:pPr>
        <w:ind w:left="0" w:firstLine="146"/>
        <w:rPr>
          <w:rFonts w:eastAsia="Cambria"/>
        </w:rPr>
      </w:pPr>
      <w:r w:rsidRPr="00E0735E">
        <w:rPr>
          <w:rFonts w:eastAsia="Cambria"/>
        </w:rPr>
        <w:tab/>
      </w:r>
      <w:r w:rsidR="000F6093" w:rsidRPr="000F6093">
        <w:rPr>
          <w:rFonts w:eastAsia="Cambria"/>
        </w:rPr>
        <w:t>In this study, data were analyzed using descriptive, correlation, and multiple</w:t>
      </w:r>
      <w:r w:rsidR="000F6093">
        <w:rPr>
          <w:rFonts w:eastAsia="Cambria"/>
        </w:rPr>
        <w:t xml:space="preserve"> </w:t>
      </w:r>
      <w:r w:rsidR="000F6093" w:rsidRPr="000F6093">
        <w:rPr>
          <w:rFonts w:eastAsia="Cambria"/>
        </w:rPr>
        <w:t>regression analysis techniques.</w:t>
      </w:r>
    </w:p>
    <w:p w14:paraId="4F7B17E1" w14:textId="77777777" w:rsidR="000F6093" w:rsidRDefault="00513FB1" w:rsidP="000F6093">
      <w:pPr>
        <w:pBdr>
          <w:top w:val="nil"/>
          <w:left w:val="nil"/>
          <w:bottom w:val="nil"/>
          <w:right w:val="nil"/>
          <w:between w:val="nil"/>
        </w:pBdr>
        <w:spacing w:line="240" w:lineRule="auto"/>
        <w:ind w:left="0" w:firstLine="0"/>
        <w:rPr>
          <w:rFonts w:eastAsia="Cambria"/>
          <w:color w:val="000000"/>
        </w:rPr>
      </w:pPr>
      <w:r w:rsidRPr="00E0735E">
        <w:rPr>
          <w:rFonts w:eastAsia="Cambria"/>
          <w:color w:val="000000"/>
        </w:rPr>
        <w:tab/>
      </w:r>
      <w:r w:rsidR="000F6093" w:rsidRPr="000F6093">
        <w:rPr>
          <w:rFonts w:eastAsia="Cambria"/>
          <w:color w:val="000000"/>
        </w:rPr>
        <w:t>Descriptive data analysis is a statistical method for summarizing and</w:t>
      </w:r>
      <w:r w:rsidR="000F6093">
        <w:rPr>
          <w:rFonts w:eastAsia="Cambria"/>
          <w:color w:val="000000"/>
        </w:rPr>
        <w:t xml:space="preserve"> </w:t>
      </w:r>
      <w:r w:rsidR="000F6093" w:rsidRPr="000F6093">
        <w:rPr>
          <w:rFonts w:eastAsia="Cambria"/>
          <w:color w:val="000000"/>
        </w:rPr>
        <w:t>describing data using measures such as the mean and standard deviation (Lim,</w:t>
      </w:r>
      <w:r w:rsidR="000F6093">
        <w:rPr>
          <w:rFonts w:eastAsia="Cambria"/>
          <w:color w:val="000000"/>
        </w:rPr>
        <w:t xml:space="preserve"> </w:t>
      </w:r>
      <w:r w:rsidR="000F6093" w:rsidRPr="000F6093">
        <w:rPr>
          <w:rFonts w:eastAsia="Cambria"/>
          <w:color w:val="000000"/>
        </w:rPr>
        <w:t>2025). In this study, descriptive statistics were used to determine the levels of</w:t>
      </w:r>
      <w:r w:rsidR="000F6093">
        <w:rPr>
          <w:rFonts w:eastAsia="Cambria"/>
          <w:color w:val="000000"/>
        </w:rPr>
        <w:t xml:space="preserve"> </w:t>
      </w:r>
      <w:r w:rsidR="000F6093" w:rsidRPr="000F6093">
        <w:rPr>
          <w:rFonts w:eastAsia="Cambria"/>
          <w:color w:val="000000"/>
        </w:rPr>
        <w:t>psychological well-being, perceived organizational justice, and teacher</w:t>
      </w:r>
      <w:r w:rsidR="000F6093">
        <w:rPr>
          <w:rFonts w:eastAsia="Cambria"/>
          <w:color w:val="000000"/>
        </w:rPr>
        <w:t xml:space="preserve"> </w:t>
      </w:r>
      <w:r w:rsidR="000F6093" w:rsidRPr="000F6093">
        <w:rPr>
          <w:rFonts w:eastAsia="Cambria"/>
          <w:color w:val="000000"/>
        </w:rPr>
        <w:t>retention using a 4-point Likert scale. Further, correlation analysis was</w:t>
      </w:r>
      <w:r w:rsidR="000F6093">
        <w:rPr>
          <w:rFonts w:eastAsia="Cambria"/>
          <w:color w:val="000000"/>
        </w:rPr>
        <w:t xml:space="preserve"> </w:t>
      </w:r>
      <w:r w:rsidR="000F6093" w:rsidRPr="000F6093">
        <w:rPr>
          <w:rFonts w:eastAsia="Cambria"/>
          <w:color w:val="000000"/>
        </w:rPr>
        <w:t>employed to determine the strength and direction of relationships between</w:t>
      </w:r>
      <w:r w:rsidR="000F6093">
        <w:rPr>
          <w:rFonts w:eastAsia="Cambria"/>
          <w:color w:val="000000"/>
        </w:rPr>
        <w:t xml:space="preserve"> </w:t>
      </w:r>
      <w:r w:rsidR="000F6093" w:rsidRPr="000F6093">
        <w:rPr>
          <w:rFonts w:eastAsia="Cambria"/>
          <w:color w:val="000000"/>
        </w:rPr>
        <w:t>variables. It is applied when examining associations without inferring</w:t>
      </w:r>
      <w:r w:rsidR="000F6093">
        <w:rPr>
          <w:rFonts w:eastAsia="Cambria"/>
          <w:color w:val="000000"/>
        </w:rPr>
        <w:t xml:space="preserve"> </w:t>
      </w:r>
      <w:r w:rsidR="000F6093" w:rsidRPr="000F6093">
        <w:rPr>
          <w:rFonts w:eastAsia="Cambria"/>
          <w:color w:val="000000"/>
        </w:rPr>
        <w:t>causation, and is useful for identifying patterns, quantifying relationships, and</w:t>
      </w:r>
      <w:r w:rsidR="000F6093">
        <w:rPr>
          <w:rFonts w:eastAsia="Cambria"/>
          <w:color w:val="000000"/>
        </w:rPr>
        <w:t xml:space="preserve"> </w:t>
      </w:r>
      <w:r w:rsidR="000F6093" w:rsidRPr="000F6093">
        <w:rPr>
          <w:rFonts w:eastAsia="Cambria"/>
          <w:color w:val="000000"/>
        </w:rPr>
        <w:t>supporting prediction (Wisniewski &amp; Brannan, 2024). This study specifically</w:t>
      </w:r>
      <w:r w:rsidR="000F6093">
        <w:rPr>
          <w:rFonts w:eastAsia="Cambria"/>
          <w:color w:val="000000"/>
        </w:rPr>
        <w:t xml:space="preserve"> </w:t>
      </w:r>
      <w:r w:rsidR="000F6093" w:rsidRPr="000F6093">
        <w:rPr>
          <w:rFonts w:eastAsia="Cambria"/>
          <w:color w:val="000000"/>
        </w:rPr>
        <w:t>utilized the Pearson Product-Moment Correlation to determine the</w:t>
      </w:r>
      <w:r w:rsidR="000F6093">
        <w:rPr>
          <w:rFonts w:eastAsia="Cambria"/>
          <w:color w:val="000000"/>
        </w:rPr>
        <w:t xml:space="preserve"> </w:t>
      </w:r>
      <w:r w:rsidR="000F6093" w:rsidRPr="000F6093">
        <w:rPr>
          <w:rFonts w:eastAsia="Cambria"/>
          <w:color w:val="000000"/>
        </w:rPr>
        <w:t>relationships among the variables. Furthermore, multiple regression analysis</w:t>
      </w:r>
      <w:r w:rsidR="000F6093">
        <w:rPr>
          <w:rFonts w:eastAsia="Cambria"/>
          <w:color w:val="000000"/>
        </w:rPr>
        <w:t xml:space="preserve"> </w:t>
      </w:r>
      <w:r w:rsidR="000F6093" w:rsidRPr="000F6093">
        <w:rPr>
          <w:rFonts w:eastAsia="Cambria"/>
          <w:color w:val="000000"/>
        </w:rPr>
        <w:t>was used to determine and predict the relationship between a dependent</w:t>
      </w:r>
      <w:r w:rsidR="000F6093">
        <w:rPr>
          <w:rFonts w:eastAsia="Cambria"/>
          <w:color w:val="000000"/>
        </w:rPr>
        <w:t xml:space="preserve"> </w:t>
      </w:r>
      <w:r w:rsidR="000F6093" w:rsidRPr="000F6093">
        <w:rPr>
          <w:rFonts w:eastAsia="Cambria"/>
          <w:color w:val="000000"/>
        </w:rPr>
        <w:t>variable and one or more independent variables, to identify influencing factors</w:t>
      </w:r>
      <w:r w:rsidR="000F6093">
        <w:rPr>
          <w:rFonts w:eastAsia="Cambria"/>
          <w:color w:val="000000"/>
        </w:rPr>
        <w:t xml:space="preserve"> </w:t>
      </w:r>
      <w:r w:rsidR="000F6093" w:rsidRPr="000F6093">
        <w:rPr>
          <w:rFonts w:eastAsia="Cambria"/>
          <w:color w:val="000000"/>
        </w:rPr>
        <w:t>and forecast outcomes, with advantages such as predictive power, explanation</w:t>
      </w:r>
      <w:r w:rsidR="000F6093">
        <w:rPr>
          <w:rFonts w:eastAsia="Cambria"/>
          <w:color w:val="000000"/>
        </w:rPr>
        <w:t xml:space="preserve"> </w:t>
      </w:r>
      <w:r w:rsidR="000F6093" w:rsidRPr="000F6093">
        <w:rPr>
          <w:rFonts w:eastAsia="Cambria"/>
          <w:color w:val="000000"/>
        </w:rPr>
        <w:t xml:space="preserve">of relationships, and informed decision-making (Kamel &amp; </w:t>
      </w:r>
      <w:proofErr w:type="spellStart"/>
      <w:r w:rsidR="000F6093" w:rsidRPr="000F6093">
        <w:rPr>
          <w:rFonts w:eastAsia="Cambria"/>
          <w:color w:val="000000"/>
        </w:rPr>
        <w:t>Abonazel</w:t>
      </w:r>
      <w:proofErr w:type="spellEnd"/>
      <w:r w:rsidR="000F6093" w:rsidRPr="000F6093">
        <w:rPr>
          <w:rFonts w:eastAsia="Cambria"/>
          <w:color w:val="000000"/>
        </w:rPr>
        <w:t>, 2023). The</w:t>
      </w:r>
      <w:r w:rsidR="000F6093">
        <w:rPr>
          <w:rFonts w:eastAsia="Cambria"/>
          <w:color w:val="000000"/>
        </w:rPr>
        <w:t xml:space="preserve"> </w:t>
      </w:r>
      <w:r w:rsidR="000F6093" w:rsidRPr="000F6093">
        <w:rPr>
          <w:rFonts w:eastAsia="Cambria"/>
          <w:color w:val="000000"/>
        </w:rPr>
        <w:t>unstandardized beta coefficient was used to interpret the regression results.</w:t>
      </w:r>
      <w:r w:rsidR="000F6093">
        <w:rPr>
          <w:rFonts w:eastAsia="Cambria"/>
          <w:color w:val="000000"/>
        </w:rPr>
        <w:t xml:space="preserve"> </w:t>
      </w:r>
    </w:p>
    <w:p w14:paraId="47651EEF" w14:textId="165AE4E0" w:rsidR="00D46C47" w:rsidRPr="00E0735E" w:rsidRDefault="006016B9" w:rsidP="000F6093">
      <w:pPr>
        <w:pBdr>
          <w:top w:val="nil"/>
          <w:left w:val="nil"/>
          <w:bottom w:val="nil"/>
          <w:right w:val="nil"/>
          <w:between w:val="nil"/>
        </w:pBdr>
        <w:spacing w:line="240" w:lineRule="auto"/>
        <w:ind w:left="0" w:firstLine="720"/>
        <w:rPr>
          <w:rFonts w:eastAsia="Cambria"/>
          <w:i/>
          <w:iCs/>
          <w:color w:val="000000"/>
        </w:rPr>
      </w:pPr>
      <w:r>
        <w:rPr>
          <w:rFonts w:eastAsia="Cambria"/>
          <w:color w:val="000000"/>
        </w:rPr>
        <w:t xml:space="preserve">Chart 1: </w:t>
      </w:r>
      <w:r w:rsidR="000F6093" w:rsidRPr="000F6093">
        <w:rPr>
          <w:rFonts w:eastAsia="Cambria"/>
          <w:color w:val="000000"/>
        </w:rPr>
        <w:t>The succeeding section presents the matrix showing the scale, descriptive</w:t>
      </w:r>
      <w:r w:rsidR="000F6093">
        <w:rPr>
          <w:rFonts w:eastAsia="Cambria"/>
          <w:color w:val="000000"/>
        </w:rPr>
        <w:t xml:space="preserve"> </w:t>
      </w:r>
      <w:r w:rsidR="000F6093" w:rsidRPr="000F6093">
        <w:rPr>
          <w:rFonts w:eastAsia="Cambria"/>
          <w:color w:val="000000"/>
        </w:rPr>
        <w:t>level, and corresponding interpretation for each variable included in this study.</w:t>
      </w:r>
    </w:p>
    <w:tbl>
      <w:tblPr>
        <w:tblStyle w:val="a"/>
        <w:tblW w:w="8599" w:type="dxa"/>
        <w:tblInd w:w="41" w:type="dxa"/>
        <w:tblLayout w:type="fixed"/>
        <w:tblLook w:val="0400" w:firstRow="0" w:lastRow="0" w:firstColumn="0" w:lastColumn="0" w:noHBand="0" w:noVBand="1"/>
      </w:tblPr>
      <w:tblGrid>
        <w:gridCol w:w="1489"/>
        <w:gridCol w:w="1170"/>
        <w:gridCol w:w="2070"/>
        <w:gridCol w:w="2250"/>
        <w:gridCol w:w="1620"/>
      </w:tblGrid>
      <w:tr w:rsidR="00D46C47" w:rsidRPr="00E0735E" w14:paraId="53445B00" w14:textId="77777777">
        <w:trPr>
          <w:trHeight w:val="444"/>
        </w:trPr>
        <w:tc>
          <w:tcPr>
            <w:tcW w:w="1489" w:type="dxa"/>
            <w:tcBorders>
              <w:bottom w:val="single" w:sz="4" w:space="0" w:color="000000"/>
            </w:tcBorders>
            <w:vAlign w:val="center"/>
          </w:tcPr>
          <w:p w14:paraId="0D607F5C"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Scale</w:t>
            </w:r>
          </w:p>
        </w:tc>
        <w:tc>
          <w:tcPr>
            <w:tcW w:w="1170" w:type="dxa"/>
            <w:tcBorders>
              <w:bottom w:val="single" w:sz="4" w:space="0" w:color="000000"/>
            </w:tcBorders>
            <w:vAlign w:val="center"/>
          </w:tcPr>
          <w:p w14:paraId="4A02994E"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Level</w:t>
            </w:r>
          </w:p>
        </w:tc>
        <w:tc>
          <w:tcPr>
            <w:tcW w:w="2070" w:type="dxa"/>
            <w:tcBorders>
              <w:bottom w:val="single" w:sz="4" w:space="0" w:color="000000"/>
            </w:tcBorders>
            <w:vAlign w:val="center"/>
          </w:tcPr>
          <w:p w14:paraId="60C0179B"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Psychological Well-Being</w:t>
            </w:r>
          </w:p>
        </w:tc>
        <w:tc>
          <w:tcPr>
            <w:tcW w:w="2250" w:type="dxa"/>
            <w:tcBorders>
              <w:bottom w:val="single" w:sz="4" w:space="0" w:color="000000"/>
            </w:tcBorders>
            <w:vAlign w:val="center"/>
          </w:tcPr>
          <w:p w14:paraId="44568015"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Perceived Organizational Justice</w:t>
            </w:r>
          </w:p>
        </w:tc>
        <w:tc>
          <w:tcPr>
            <w:tcW w:w="1620" w:type="dxa"/>
            <w:tcBorders>
              <w:bottom w:val="single" w:sz="4" w:space="0" w:color="000000"/>
            </w:tcBorders>
            <w:vAlign w:val="center"/>
          </w:tcPr>
          <w:p w14:paraId="457C7940" w14:textId="77777777" w:rsidR="00D46C47" w:rsidRPr="00E0735E" w:rsidRDefault="00513FB1">
            <w:pPr>
              <w:pBdr>
                <w:top w:val="nil"/>
                <w:left w:val="nil"/>
                <w:bottom w:val="nil"/>
                <w:right w:val="nil"/>
                <w:between w:val="nil"/>
              </w:pBdr>
              <w:ind w:left="0"/>
              <w:jc w:val="center"/>
              <w:rPr>
                <w:rFonts w:eastAsia="Cambria"/>
                <w:b/>
                <w:bCs/>
                <w:i/>
                <w:iCs/>
                <w:color w:val="000000"/>
              </w:rPr>
            </w:pPr>
            <w:r w:rsidRPr="00E0735E">
              <w:rPr>
                <w:rFonts w:eastAsia="Cambria"/>
                <w:b/>
                <w:bCs/>
                <w:i/>
                <w:iCs/>
                <w:color w:val="000000"/>
              </w:rPr>
              <w:t>Teacher Retention</w:t>
            </w:r>
          </w:p>
        </w:tc>
      </w:tr>
      <w:tr w:rsidR="00D46C47" w:rsidRPr="00E0735E" w14:paraId="2FA62223" w14:textId="77777777">
        <w:trPr>
          <w:trHeight w:val="402"/>
        </w:trPr>
        <w:tc>
          <w:tcPr>
            <w:tcW w:w="1489" w:type="dxa"/>
            <w:tcBorders>
              <w:top w:val="single" w:sz="4" w:space="0" w:color="000000"/>
            </w:tcBorders>
          </w:tcPr>
          <w:p w14:paraId="0063E52C"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1.00 – 1.74</w:t>
            </w:r>
          </w:p>
        </w:tc>
        <w:tc>
          <w:tcPr>
            <w:tcW w:w="1170" w:type="dxa"/>
            <w:tcBorders>
              <w:top w:val="single" w:sz="4" w:space="0" w:color="000000"/>
            </w:tcBorders>
          </w:tcPr>
          <w:p w14:paraId="135B781E"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Very Low</w:t>
            </w:r>
          </w:p>
        </w:tc>
        <w:tc>
          <w:tcPr>
            <w:tcW w:w="2070" w:type="dxa"/>
            <w:tcBorders>
              <w:top w:val="single" w:sz="4" w:space="0" w:color="000000"/>
            </w:tcBorders>
          </w:tcPr>
          <w:p w14:paraId="371BD40B"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c>
          <w:tcPr>
            <w:tcW w:w="2250" w:type="dxa"/>
            <w:tcBorders>
              <w:top w:val="single" w:sz="4" w:space="0" w:color="000000"/>
            </w:tcBorders>
          </w:tcPr>
          <w:p w14:paraId="41A2743B"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c>
          <w:tcPr>
            <w:tcW w:w="1620" w:type="dxa"/>
            <w:tcBorders>
              <w:top w:val="single" w:sz="4" w:space="0" w:color="000000"/>
            </w:tcBorders>
          </w:tcPr>
          <w:p w14:paraId="1051DD5E"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Poor</w:t>
            </w:r>
          </w:p>
        </w:tc>
      </w:tr>
      <w:tr w:rsidR="00D46C47" w:rsidRPr="00E0735E" w14:paraId="751439D7" w14:textId="77777777">
        <w:trPr>
          <w:trHeight w:val="416"/>
        </w:trPr>
        <w:tc>
          <w:tcPr>
            <w:tcW w:w="1489" w:type="dxa"/>
          </w:tcPr>
          <w:p w14:paraId="13785B08"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1.75 – 2.49</w:t>
            </w:r>
          </w:p>
        </w:tc>
        <w:tc>
          <w:tcPr>
            <w:tcW w:w="1170" w:type="dxa"/>
          </w:tcPr>
          <w:p w14:paraId="0B48EBDF"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 xml:space="preserve">Low </w:t>
            </w:r>
          </w:p>
        </w:tc>
        <w:tc>
          <w:tcPr>
            <w:tcW w:w="2070" w:type="dxa"/>
          </w:tcPr>
          <w:p w14:paraId="078D72B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c>
          <w:tcPr>
            <w:tcW w:w="2250" w:type="dxa"/>
          </w:tcPr>
          <w:p w14:paraId="587608B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c>
          <w:tcPr>
            <w:tcW w:w="1620" w:type="dxa"/>
          </w:tcPr>
          <w:p w14:paraId="4338CCC3"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Poor</w:t>
            </w:r>
          </w:p>
        </w:tc>
      </w:tr>
      <w:tr w:rsidR="00D46C47" w:rsidRPr="00E0735E" w14:paraId="12D6857F" w14:textId="77777777">
        <w:trPr>
          <w:trHeight w:val="388"/>
        </w:trPr>
        <w:tc>
          <w:tcPr>
            <w:tcW w:w="1489" w:type="dxa"/>
          </w:tcPr>
          <w:p w14:paraId="23FBE79E"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2.50 – 3.24</w:t>
            </w:r>
          </w:p>
        </w:tc>
        <w:tc>
          <w:tcPr>
            <w:tcW w:w="1170" w:type="dxa"/>
          </w:tcPr>
          <w:p w14:paraId="11F14B47"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High</w:t>
            </w:r>
          </w:p>
        </w:tc>
        <w:tc>
          <w:tcPr>
            <w:tcW w:w="2070" w:type="dxa"/>
          </w:tcPr>
          <w:p w14:paraId="70E1A31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c>
          <w:tcPr>
            <w:tcW w:w="2250" w:type="dxa"/>
          </w:tcPr>
          <w:p w14:paraId="1B3A30A0"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c>
          <w:tcPr>
            <w:tcW w:w="1620" w:type="dxa"/>
          </w:tcPr>
          <w:p w14:paraId="2268356E"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Good</w:t>
            </w:r>
          </w:p>
        </w:tc>
      </w:tr>
      <w:tr w:rsidR="00D46C47" w:rsidRPr="00E0735E" w14:paraId="0215EE97" w14:textId="77777777">
        <w:trPr>
          <w:trHeight w:val="416"/>
        </w:trPr>
        <w:tc>
          <w:tcPr>
            <w:tcW w:w="1489" w:type="dxa"/>
          </w:tcPr>
          <w:p w14:paraId="4ACC0605"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3.25 – 4.00</w:t>
            </w:r>
          </w:p>
        </w:tc>
        <w:tc>
          <w:tcPr>
            <w:tcW w:w="1170" w:type="dxa"/>
          </w:tcPr>
          <w:p w14:paraId="100FC017" w14:textId="77777777" w:rsidR="00D46C47" w:rsidRPr="00E0735E" w:rsidRDefault="00513FB1">
            <w:pPr>
              <w:pBdr>
                <w:top w:val="nil"/>
                <w:left w:val="nil"/>
                <w:bottom w:val="nil"/>
                <w:right w:val="nil"/>
                <w:between w:val="nil"/>
              </w:pBdr>
              <w:ind w:left="0"/>
              <w:jc w:val="left"/>
              <w:rPr>
                <w:rFonts w:eastAsia="Cambria"/>
                <w:color w:val="000000"/>
              </w:rPr>
            </w:pPr>
            <w:r w:rsidRPr="00E0735E">
              <w:rPr>
                <w:rFonts w:eastAsia="Cambria"/>
                <w:color w:val="000000"/>
              </w:rPr>
              <w:t xml:space="preserve">Very High  </w:t>
            </w:r>
          </w:p>
        </w:tc>
        <w:tc>
          <w:tcPr>
            <w:tcW w:w="2070" w:type="dxa"/>
          </w:tcPr>
          <w:p w14:paraId="4748F6C4"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c>
          <w:tcPr>
            <w:tcW w:w="2250" w:type="dxa"/>
          </w:tcPr>
          <w:p w14:paraId="552F90D2"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c>
          <w:tcPr>
            <w:tcW w:w="1620" w:type="dxa"/>
          </w:tcPr>
          <w:p w14:paraId="1CD3BD68" w14:textId="77777777" w:rsidR="00D46C47" w:rsidRPr="00E0735E" w:rsidRDefault="00513FB1">
            <w:pPr>
              <w:pBdr>
                <w:top w:val="nil"/>
                <w:left w:val="nil"/>
                <w:bottom w:val="nil"/>
                <w:right w:val="nil"/>
                <w:between w:val="nil"/>
              </w:pBdr>
              <w:ind w:left="0"/>
              <w:jc w:val="center"/>
              <w:rPr>
                <w:rFonts w:eastAsia="Cambria"/>
                <w:color w:val="000000"/>
              </w:rPr>
            </w:pPr>
            <w:r w:rsidRPr="00E0735E">
              <w:rPr>
                <w:rFonts w:eastAsia="Cambria"/>
                <w:color w:val="000000"/>
              </w:rPr>
              <w:t>Very Good</w:t>
            </w:r>
          </w:p>
        </w:tc>
      </w:tr>
    </w:tbl>
    <w:p w14:paraId="1E6EC5FD" w14:textId="77777777" w:rsidR="00D46C47" w:rsidRPr="00E0735E" w:rsidRDefault="00D46C47">
      <w:pPr>
        <w:spacing w:after="160" w:line="276" w:lineRule="auto"/>
        <w:ind w:left="0" w:firstLine="0"/>
        <w:jc w:val="left"/>
        <w:rPr>
          <w:rFonts w:eastAsia="Times New Roman"/>
          <w:b/>
          <w:bCs/>
          <w:i/>
          <w:iCs/>
        </w:rPr>
      </w:pPr>
    </w:p>
    <w:p w14:paraId="1AAE380E" w14:textId="1AEBF371" w:rsidR="00D46C47" w:rsidRPr="00E0735E" w:rsidRDefault="00A91055">
      <w:pPr>
        <w:spacing w:after="160" w:line="276" w:lineRule="auto"/>
        <w:ind w:left="0" w:firstLine="0"/>
        <w:jc w:val="left"/>
        <w:rPr>
          <w:rFonts w:eastAsia="Times New Roman"/>
          <w:b/>
          <w:bCs/>
          <w:i/>
          <w:iCs/>
          <w:color w:val="000000"/>
        </w:rPr>
      </w:pPr>
      <w:r>
        <w:rPr>
          <w:rFonts w:eastAsia="Cambria"/>
          <w:color w:val="000000"/>
        </w:rPr>
        <w:t xml:space="preserve">Chart </w:t>
      </w:r>
      <w:r>
        <w:rPr>
          <w:rFonts w:eastAsia="Cambria"/>
          <w:color w:val="000000"/>
        </w:rPr>
        <w:t>2</w:t>
      </w:r>
      <w:r>
        <w:rPr>
          <w:rFonts w:eastAsia="Cambria"/>
          <w:color w:val="000000"/>
        </w:rPr>
        <w:t xml:space="preserve">: </w:t>
      </w:r>
      <w:r w:rsidR="00513FB1" w:rsidRPr="00E0735E">
        <w:rPr>
          <w:rFonts w:eastAsia="Times New Roman"/>
          <w:b/>
          <w:bCs/>
          <w:i/>
          <w:iCs/>
          <w:color w:val="000000"/>
        </w:rPr>
        <w:t>Standard Deviation Value Ranges and Interpretation</w:t>
      </w:r>
    </w:p>
    <w:tbl>
      <w:tblPr>
        <w:tblStyle w:val="a0"/>
        <w:tblW w:w="9214" w:type="dxa"/>
        <w:tblInd w:w="0" w:type="dxa"/>
        <w:tblLayout w:type="fixed"/>
        <w:tblLook w:val="04A0" w:firstRow="1" w:lastRow="0" w:firstColumn="1" w:lastColumn="0" w:noHBand="0" w:noVBand="1"/>
      </w:tblPr>
      <w:tblGrid>
        <w:gridCol w:w="1994"/>
        <w:gridCol w:w="3217"/>
        <w:gridCol w:w="4003"/>
      </w:tblGrid>
      <w:tr w:rsidR="00D46C47" w:rsidRPr="00E0735E" w14:paraId="0EA2B760" w14:textId="77777777" w:rsidTr="00D46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bottom w:val="single" w:sz="4" w:space="0" w:color="000000"/>
            </w:tcBorders>
            <w:shd w:val="clear" w:color="auto" w:fill="FFFFFF"/>
          </w:tcPr>
          <w:p w14:paraId="28A943F5" w14:textId="77777777" w:rsidR="00D46C47" w:rsidRPr="00E0735E" w:rsidRDefault="00513FB1">
            <w:pPr>
              <w:spacing w:line="276" w:lineRule="auto"/>
              <w:jc w:val="center"/>
              <w:rPr>
                <w:rFonts w:ascii="Arial" w:eastAsia="Cambria" w:hAnsi="Arial" w:cs="Arial"/>
                <w:i/>
                <w:iCs/>
                <w:color w:val="000000"/>
                <w:sz w:val="24"/>
                <w:szCs w:val="24"/>
              </w:rPr>
            </w:pPr>
            <w:r w:rsidRPr="00E0735E">
              <w:rPr>
                <w:rFonts w:ascii="Arial" w:eastAsia="Cambria" w:hAnsi="Arial" w:cs="Arial"/>
                <w:i/>
                <w:iCs/>
                <w:color w:val="000000"/>
                <w:sz w:val="24"/>
                <w:szCs w:val="24"/>
              </w:rPr>
              <w:lastRenderedPageBreak/>
              <w:t>Range</w:t>
            </w:r>
          </w:p>
        </w:tc>
        <w:tc>
          <w:tcPr>
            <w:tcW w:w="3217" w:type="dxa"/>
            <w:tcBorders>
              <w:bottom w:val="single" w:sz="4" w:space="0" w:color="000000"/>
            </w:tcBorders>
            <w:shd w:val="clear" w:color="auto" w:fill="FFFFFF"/>
          </w:tcPr>
          <w:p w14:paraId="00A0E3CD" w14:textId="77777777" w:rsidR="00D46C47" w:rsidRPr="00E0735E" w:rsidRDefault="00513FB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i/>
                <w:iCs/>
                <w:color w:val="000000"/>
                <w:sz w:val="24"/>
                <w:szCs w:val="24"/>
              </w:rPr>
            </w:pPr>
            <w:r w:rsidRPr="00E0735E">
              <w:rPr>
                <w:rFonts w:ascii="Arial" w:eastAsia="Cambria" w:hAnsi="Arial" w:cs="Arial"/>
                <w:i/>
                <w:iCs/>
                <w:color w:val="000000"/>
                <w:sz w:val="24"/>
                <w:szCs w:val="24"/>
              </w:rPr>
              <w:t>Description</w:t>
            </w:r>
          </w:p>
        </w:tc>
        <w:tc>
          <w:tcPr>
            <w:tcW w:w="4003" w:type="dxa"/>
            <w:tcBorders>
              <w:bottom w:val="single" w:sz="4" w:space="0" w:color="000000"/>
            </w:tcBorders>
            <w:shd w:val="clear" w:color="auto" w:fill="FFFFFF"/>
          </w:tcPr>
          <w:p w14:paraId="374FE220" w14:textId="77777777" w:rsidR="00D46C47" w:rsidRPr="00E0735E" w:rsidRDefault="00513FB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i/>
                <w:iCs/>
                <w:color w:val="000000"/>
                <w:sz w:val="24"/>
                <w:szCs w:val="24"/>
              </w:rPr>
            </w:pPr>
            <w:r w:rsidRPr="00E0735E">
              <w:rPr>
                <w:rFonts w:ascii="Arial" w:eastAsia="Cambria" w:hAnsi="Arial" w:cs="Arial"/>
                <w:i/>
                <w:iCs/>
                <w:color w:val="000000"/>
                <w:sz w:val="24"/>
                <w:szCs w:val="24"/>
              </w:rPr>
              <w:t>Interpretation</w:t>
            </w:r>
          </w:p>
        </w:tc>
      </w:tr>
      <w:tr w:rsidR="00D46C47" w:rsidRPr="00E0735E" w14:paraId="0D5C9306" w14:textId="77777777" w:rsidTr="00D4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000000"/>
            </w:tcBorders>
            <w:shd w:val="clear" w:color="auto" w:fill="FFFFFF"/>
          </w:tcPr>
          <w:p w14:paraId="1361A356"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0.50</w:t>
            </w:r>
          </w:p>
        </w:tc>
        <w:tc>
          <w:tcPr>
            <w:tcW w:w="3217" w:type="dxa"/>
            <w:tcBorders>
              <w:top w:val="single" w:sz="4" w:space="0" w:color="000000"/>
            </w:tcBorders>
            <w:shd w:val="clear" w:color="auto" w:fill="FFFFFF"/>
          </w:tcPr>
          <w:p w14:paraId="23C3DC55" w14:textId="77777777"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High Consistent Responses</w:t>
            </w:r>
          </w:p>
        </w:tc>
        <w:tc>
          <w:tcPr>
            <w:tcW w:w="4003" w:type="dxa"/>
            <w:tcBorders>
              <w:top w:val="single" w:sz="4" w:space="0" w:color="000000"/>
            </w:tcBorders>
            <w:shd w:val="clear" w:color="auto" w:fill="FFFFFF"/>
          </w:tcPr>
          <w:p w14:paraId="2BE8644C" w14:textId="2F3928B2"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Strong </w:t>
            </w:r>
            <w:r w:rsidR="008A64A8" w:rsidRPr="00E0735E">
              <w:rPr>
                <w:rFonts w:ascii="Arial" w:eastAsia="Cambria" w:hAnsi="Arial" w:cs="Arial"/>
                <w:color w:val="000000"/>
                <w:sz w:val="24"/>
                <w:szCs w:val="24"/>
              </w:rPr>
              <w:t>And Uniform Perception</w:t>
            </w:r>
          </w:p>
        </w:tc>
      </w:tr>
      <w:tr w:rsidR="00D46C47" w:rsidRPr="00E0735E" w14:paraId="027DFD6A" w14:textId="77777777" w:rsidTr="00D46C47">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338117BC"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0.51 – 1.00</w:t>
            </w:r>
          </w:p>
        </w:tc>
        <w:tc>
          <w:tcPr>
            <w:tcW w:w="3217" w:type="dxa"/>
            <w:shd w:val="clear" w:color="auto" w:fill="FFFFFF"/>
          </w:tcPr>
          <w:p w14:paraId="7A7856DE" w14:textId="77777777"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Moderate Consistent Responses</w:t>
            </w:r>
          </w:p>
        </w:tc>
        <w:tc>
          <w:tcPr>
            <w:tcW w:w="4003" w:type="dxa"/>
            <w:shd w:val="clear" w:color="auto" w:fill="FFFFFF"/>
          </w:tcPr>
          <w:p w14:paraId="75A97F1A" w14:textId="7247395F"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Acceptable </w:t>
            </w:r>
            <w:r w:rsidR="008A64A8" w:rsidRPr="00E0735E">
              <w:rPr>
                <w:rFonts w:ascii="Arial" w:eastAsia="Cambria" w:hAnsi="Arial" w:cs="Arial"/>
                <w:color w:val="000000"/>
                <w:sz w:val="24"/>
                <w:szCs w:val="24"/>
              </w:rPr>
              <w:t>Consistency</w:t>
            </w:r>
          </w:p>
        </w:tc>
      </w:tr>
      <w:tr w:rsidR="00D46C47" w:rsidRPr="00E0735E" w14:paraId="7AF4BF85" w14:textId="77777777" w:rsidTr="00D4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366F6D74"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 1.01 – 1.50</w:t>
            </w:r>
          </w:p>
        </w:tc>
        <w:tc>
          <w:tcPr>
            <w:tcW w:w="3217" w:type="dxa"/>
            <w:shd w:val="clear" w:color="auto" w:fill="FFFFFF"/>
          </w:tcPr>
          <w:p w14:paraId="6BC6B97B" w14:textId="77777777"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Low Consistent Responses</w:t>
            </w:r>
          </w:p>
        </w:tc>
        <w:tc>
          <w:tcPr>
            <w:tcW w:w="4003" w:type="dxa"/>
            <w:shd w:val="clear" w:color="auto" w:fill="FFFFFF"/>
          </w:tcPr>
          <w:p w14:paraId="41C69952" w14:textId="3303672B" w:rsidR="00D46C47" w:rsidRPr="00E0735E" w:rsidRDefault="00513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Differing </w:t>
            </w:r>
            <w:r w:rsidR="008A64A8" w:rsidRPr="00E0735E">
              <w:rPr>
                <w:rFonts w:ascii="Arial" w:eastAsia="Cambria" w:hAnsi="Arial" w:cs="Arial"/>
                <w:color w:val="000000"/>
                <w:sz w:val="24"/>
                <w:szCs w:val="24"/>
              </w:rPr>
              <w:t>Views or Experiences</w:t>
            </w:r>
          </w:p>
        </w:tc>
      </w:tr>
      <w:tr w:rsidR="00D46C47" w:rsidRPr="00E0735E" w14:paraId="33620ADF" w14:textId="77777777" w:rsidTr="00D46C47">
        <w:tc>
          <w:tcPr>
            <w:cnfStyle w:val="001000000000" w:firstRow="0" w:lastRow="0" w:firstColumn="1" w:lastColumn="0" w:oddVBand="0" w:evenVBand="0" w:oddHBand="0" w:evenHBand="0" w:firstRowFirstColumn="0" w:firstRowLastColumn="0" w:lastRowFirstColumn="0" w:lastRowLastColumn="0"/>
            <w:tcW w:w="1994" w:type="dxa"/>
            <w:shd w:val="clear" w:color="auto" w:fill="FFFFFF"/>
          </w:tcPr>
          <w:p w14:paraId="1A643E44" w14:textId="77777777" w:rsidR="00D46C47" w:rsidRPr="00E0735E" w:rsidRDefault="00513FB1">
            <w:pPr>
              <w:spacing w:line="276" w:lineRule="auto"/>
              <w:rPr>
                <w:rFonts w:ascii="Arial" w:eastAsia="Cambria" w:hAnsi="Arial" w:cs="Arial"/>
                <w:color w:val="000000"/>
                <w:sz w:val="24"/>
                <w:szCs w:val="24"/>
              </w:rPr>
            </w:pPr>
            <w:r w:rsidRPr="00E0735E">
              <w:rPr>
                <w:rFonts w:ascii="Arial" w:eastAsia="Cambria" w:hAnsi="Arial" w:cs="Arial"/>
                <w:b w:val="0"/>
                <w:bCs w:val="0"/>
                <w:color w:val="000000"/>
                <w:sz w:val="24"/>
                <w:szCs w:val="24"/>
              </w:rPr>
              <w:t>SD &gt; 1.50</w:t>
            </w:r>
          </w:p>
        </w:tc>
        <w:tc>
          <w:tcPr>
            <w:tcW w:w="3217" w:type="dxa"/>
            <w:shd w:val="clear" w:color="auto" w:fill="FFFFFF"/>
          </w:tcPr>
          <w:p w14:paraId="12B56E61" w14:textId="77777777"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Very Low Consistent Responses</w:t>
            </w:r>
          </w:p>
        </w:tc>
        <w:tc>
          <w:tcPr>
            <w:tcW w:w="4003" w:type="dxa"/>
            <w:shd w:val="clear" w:color="auto" w:fill="FFFFFF"/>
          </w:tcPr>
          <w:p w14:paraId="55583124" w14:textId="2A050ACF" w:rsidR="00D46C47" w:rsidRPr="00E0735E" w:rsidRDefault="00513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color w:val="000000"/>
                <w:sz w:val="24"/>
                <w:szCs w:val="24"/>
              </w:rPr>
            </w:pPr>
            <w:r w:rsidRPr="00E0735E">
              <w:rPr>
                <w:rFonts w:ascii="Arial" w:eastAsia="Cambria" w:hAnsi="Arial" w:cs="Arial"/>
                <w:color w:val="000000"/>
                <w:sz w:val="24"/>
                <w:szCs w:val="24"/>
              </w:rPr>
              <w:t xml:space="preserve">High </w:t>
            </w:r>
            <w:r w:rsidR="008A64A8" w:rsidRPr="00E0735E">
              <w:rPr>
                <w:rFonts w:ascii="Arial" w:eastAsia="Cambria" w:hAnsi="Arial" w:cs="Arial"/>
                <w:color w:val="000000"/>
                <w:sz w:val="24"/>
                <w:szCs w:val="24"/>
              </w:rPr>
              <w:t>Variability and Lack of Consensus</w:t>
            </w:r>
          </w:p>
        </w:tc>
      </w:tr>
    </w:tbl>
    <w:p w14:paraId="5347C9DA" w14:textId="77777777" w:rsidR="00D46C47" w:rsidRPr="00E0735E" w:rsidRDefault="00D46C47">
      <w:pPr>
        <w:pBdr>
          <w:top w:val="nil"/>
          <w:left w:val="nil"/>
          <w:bottom w:val="nil"/>
          <w:right w:val="nil"/>
          <w:between w:val="nil"/>
        </w:pBdr>
        <w:spacing w:after="0" w:line="240" w:lineRule="auto"/>
        <w:ind w:left="0" w:firstLine="720"/>
        <w:rPr>
          <w:rFonts w:eastAsia="Cambria"/>
          <w:color w:val="000000"/>
        </w:rPr>
      </w:pPr>
    </w:p>
    <w:p w14:paraId="04179CEC" w14:textId="7291152F" w:rsidR="00D46C47" w:rsidRPr="00E0735E" w:rsidRDefault="00A91055">
      <w:pPr>
        <w:pBdr>
          <w:top w:val="nil"/>
          <w:left w:val="nil"/>
          <w:bottom w:val="nil"/>
          <w:right w:val="nil"/>
          <w:between w:val="nil"/>
        </w:pBdr>
        <w:spacing w:after="0" w:line="240" w:lineRule="auto"/>
        <w:ind w:left="0" w:firstLine="720"/>
        <w:rPr>
          <w:rFonts w:eastAsia="Cambria"/>
          <w:color w:val="000000"/>
        </w:rPr>
      </w:pPr>
      <w:r>
        <w:rPr>
          <w:rFonts w:eastAsia="Cambria"/>
          <w:color w:val="000000"/>
        </w:rPr>
        <w:t xml:space="preserve">Chart </w:t>
      </w:r>
      <w:r>
        <w:rPr>
          <w:rFonts w:eastAsia="Cambria"/>
          <w:color w:val="000000"/>
        </w:rPr>
        <w:t>3</w:t>
      </w:r>
      <w:r>
        <w:rPr>
          <w:rFonts w:eastAsia="Cambria"/>
          <w:color w:val="000000"/>
        </w:rPr>
        <w:t xml:space="preserve">: </w:t>
      </w:r>
      <w:r w:rsidR="00513FB1" w:rsidRPr="00E0735E">
        <w:rPr>
          <w:rFonts w:eastAsia="Cambria"/>
          <w:color w:val="000000"/>
        </w:rPr>
        <w:t xml:space="preserve">For the interpretation scale of </w:t>
      </w:r>
      <w:proofErr w:type="spellStart"/>
      <w:r w:rsidR="00513FB1" w:rsidRPr="00E0735E">
        <w:rPr>
          <w:rFonts w:eastAsia="Cambria"/>
          <w:color w:val="000000"/>
        </w:rPr>
        <w:t>r-value</w:t>
      </w:r>
      <w:proofErr w:type="spellEnd"/>
      <w:r w:rsidR="00513FB1" w:rsidRPr="00E0735E">
        <w:rPr>
          <w:rFonts w:eastAsia="Cambria"/>
          <w:color w:val="000000"/>
        </w:rPr>
        <w:t>, the following scheme</w:t>
      </w:r>
      <w:r w:rsidR="008A64A8" w:rsidRPr="00E0735E">
        <w:rPr>
          <w:rFonts w:eastAsia="Cambria"/>
          <w:color w:val="000000"/>
        </w:rPr>
        <w:t>, as proposed by Guilford (1956),</w:t>
      </w:r>
      <w:r w:rsidR="00513FB1" w:rsidRPr="00E0735E">
        <w:rPr>
          <w:rFonts w:eastAsia="Cambria"/>
          <w:color w:val="000000"/>
        </w:rPr>
        <w:t xml:space="preserve"> </w:t>
      </w:r>
      <w:r w:rsidR="008A64A8" w:rsidRPr="00E0735E">
        <w:rPr>
          <w:rFonts w:eastAsia="Cambria"/>
          <w:color w:val="000000"/>
        </w:rPr>
        <w:t>wa</w:t>
      </w:r>
      <w:r w:rsidR="00513FB1" w:rsidRPr="00E0735E">
        <w:rPr>
          <w:rFonts w:eastAsia="Cambria"/>
          <w:color w:val="000000"/>
        </w:rPr>
        <w:t xml:space="preserve">s used:  </w:t>
      </w:r>
    </w:p>
    <w:p w14:paraId="18EBAC5B" w14:textId="77777777" w:rsidR="00D46C47" w:rsidRPr="00E0735E" w:rsidRDefault="00D46C47">
      <w:pPr>
        <w:pBdr>
          <w:top w:val="nil"/>
          <w:left w:val="nil"/>
          <w:bottom w:val="nil"/>
          <w:right w:val="nil"/>
          <w:between w:val="nil"/>
        </w:pBdr>
        <w:spacing w:after="0" w:line="240" w:lineRule="auto"/>
        <w:ind w:left="0" w:firstLine="564"/>
        <w:rPr>
          <w:rFonts w:eastAsia="Cambria"/>
          <w:color w:val="000000"/>
        </w:rPr>
      </w:pPr>
    </w:p>
    <w:p w14:paraId="243FCF64" w14:textId="77777777" w:rsidR="00D46C47" w:rsidRPr="00E0735E" w:rsidRDefault="00D46C47">
      <w:pPr>
        <w:pBdr>
          <w:top w:val="nil"/>
          <w:left w:val="nil"/>
          <w:bottom w:val="nil"/>
          <w:right w:val="nil"/>
          <w:between w:val="nil"/>
        </w:pBdr>
        <w:spacing w:after="0" w:line="240" w:lineRule="auto"/>
        <w:ind w:left="0" w:firstLine="564"/>
        <w:rPr>
          <w:rFonts w:eastAsia="Cambria"/>
          <w:color w:val="000000"/>
          <w:sz w:val="2"/>
          <w:szCs w:val="2"/>
        </w:rPr>
      </w:pPr>
    </w:p>
    <w:tbl>
      <w:tblPr>
        <w:tblStyle w:val="a1"/>
        <w:tblW w:w="711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780"/>
        <w:gridCol w:w="3330"/>
      </w:tblGrid>
      <w:tr w:rsidR="00D46C47" w:rsidRPr="00E0735E" w14:paraId="504D37C2" w14:textId="77777777">
        <w:trPr>
          <w:jc w:val="center"/>
        </w:trPr>
        <w:tc>
          <w:tcPr>
            <w:tcW w:w="3780" w:type="dxa"/>
            <w:tcBorders>
              <w:bottom w:val="single" w:sz="4" w:space="0" w:color="000000"/>
            </w:tcBorders>
          </w:tcPr>
          <w:p w14:paraId="3F03E8E0"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Computed r</w:t>
            </w:r>
          </w:p>
        </w:tc>
        <w:tc>
          <w:tcPr>
            <w:tcW w:w="3330" w:type="dxa"/>
            <w:tcBorders>
              <w:bottom w:val="single" w:sz="4" w:space="0" w:color="000000"/>
            </w:tcBorders>
          </w:tcPr>
          <w:p w14:paraId="1409A009"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Descriptive Interpretation</w:t>
            </w:r>
          </w:p>
        </w:tc>
      </w:tr>
      <w:tr w:rsidR="00D46C47" w:rsidRPr="00E0735E" w14:paraId="6CE36123" w14:textId="77777777">
        <w:trPr>
          <w:jc w:val="center"/>
        </w:trPr>
        <w:tc>
          <w:tcPr>
            <w:tcW w:w="3780" w:type="dxa"/>
            <w:tcBorders>
              <w:top w:val="single" w:sz="4" w:space="0" w:color="000000"/>
            </w:tcBorders>
          </w:tcPr>
          <w:p w14:paraId="3D60FA0C"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+/- 1.00</w:t>
            </w:r>
          </w:p>
        </w:tc>
        <w:tc>
          <w:tcPr>
            <w:tcW w:w="3330" w:type="dxa"/>
            <w:tcBorders>
              <w:top w:val="single" w:sz="4" w:space="0" w:color="000000"/>
            </w:tcBorders>
          </w:tcPr>
          <w:p w14:paraId="4C657FC4"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Perfect Correlation</w:t>
            </w:r>
          </w:p>
        </w:tc>
      </w:tr>
      <w:tr w:rsidR="00D46C47" w:rsidRPr="00E0735E" w14:paraId="57E2AD58" w14:textId="77777777">
        <w:trPr>
          <w:jc w:val="center"/>
        </w:trPr>
        <w:tc>
          <w:tcPr>
            <w:tcW w:w="3780" w:type="dxa"/>
          </w:tcPr>
          <w:p w14:paraId="6A125ADF"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+/- 0.75 – +/- 0.99</w:t>
            </w:r>
          </w:p>
        </w:tc>
        <w:tc>
          <w:tcPr>
            <w:tcW w:w="3330" w:type="dxa"/>
          </w:tcPr>
          <w:p w14:paraId="5D351139"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High Correlation</w:t>
            </w:r>
          </w:p>
        </w:tc>
      </w:tr>
      <w:tr w:rsidR="00D46C47" w:rsidRPr="00E0735E" w14:paraId="5D4BAE8F" w14:textId="77777777">
        <w:trPr>
          <w:jc w:val="center"/>
        </w:trPr>
        <w:tc>
          <w:tcPr>
            <w:tcW w:w="3780" w:type="dxa"/>
          </w:tcPr>
          <w:p w14:paraId="2E20E98D"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+/- 0.51 – +/- 0.74</w:t>
            </w:r>
          </w:p>
        </w:tc>
        <w:tc>
          <w:tcPr>
            <w:tcW w:w="3330" w:type="dxa"/>
          </w:tcPr>
          <w:p w14:paraId="3FACA53B"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Moderately High Correlation</w:t>
            </w:r>
          </w:p>
        </w:tc>
      </w:tr>
      <w:tr w:rsidR="00D46C47" w:rsidRPr="00E0735E" w14:paraId="64037838" w14:textId="77777777">
        <w:trPr>
          <w:jc w:val="center"/>
        </w:trPr>
        <w:tc>
          <w:tcPr>
            <w:tcW w:w="3780" w:type="dxa"/>
          </w:tcPr>
          <w:p w14:paraId="3B7493E5"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+/- 0.31 – +/- 0.50</w:t>
            </w:r>
          </w:p>
        </w:tc>
        <w:tc>
          <w:tcPr>
            <w:tcW w:w="3330" w:type="dxa"/>
          </w:tcPr>
          <w:p w14:paraId="025A79E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Moderately Low Correlation</w:t>
            </w:r>
          </w:p>
        </w:tc>
      </w:tr>
      <w:tr w:rsidR="00D46C47" w:rsidRPr="00E0735E" w14:paraId="2F2A52C9" w14:textId="77777777">
        <w:trPr>
          <w:jc w:val="center"/>
        </w:trPr>
        <w:tc>
          <w:tcPr>
            <w:tcW w:w="3780" w:type="dxa"/>
          </w:tcPr>
          <w:p w14:paraId="7427EC5C"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Between +/- 0.01 – +/- 0.30</w:t>
            </w:r>
          </w:p>
        </w:tc>
        <w:tc>
          <w:tcPr>
            <w:tcW w:w="3330" w:type="dxa"/>
          </w:tcPr>
          <w:p w14:paraId="3AA38B7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Low Correlation</w:t>
            </w:r>
          </w:p>
        </w:tc>
      </w:tr>
      <w:tr w:rsidR="00D46C47" w:rsidRPr="00E0735E" w14:paraId="56E5B54E" w14:textId="77777777">
        <w:trPr>
          <w:jc w:val="center"/>
        </w:trPr>
        <w:tc>
          <w:tcPr>
            <w:tcW w:w="3780" w:type="dxa"/>
          </w:tcPr>
          <w:p w14:paraId="05B6BAD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0.00</w:t>
            </w:r>
          </w:p>
        </w:tc>
        <w:tc>
          <w:tcPr>
            <w:tcW w:w="3330" w:type="dxa"/>
          </w:tcPr>
          <w:p w14:paraId="4E2AB16E"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No Correlation</w:t>
            </w:r>
          </w:p>
        </w:tc>
      </w:tr>
    </w:tbl>
    <w:p w14:paraId="45696433" w14:textId="77777777" w:rsidR="00D46C47" w:rsidRPr="00E0735E" w:rsidRDefault="00D46C47">
      <w:pPr>
        <w:spacing w:after="0" w:line="240" w:lineRule="auto"/>
        <w:ind w:left="0" w:firstLine="0"/>
        <w:rPr>
          <w:rFonts w:eastAsia="Cambria"/>
          <w:b/>
          <w:bCs/>
          <w:i/>
          <w:iCs/>
          <w:color w:val="000000"/>
        </w:rPr>
      </w:pPr>
    </w:p>
    <w:p w14:paraId="7735E3D2" w14:textId="32722BE2" w:rsidR="00D46C47" w:rsidRPr="00E0735E" w:rsidRDefault="00A91055">
      <w:pPr>
        <w:pBdr>
          <w:top w:val="nil"/>
          <w:left w:val="nil"/>
          <w:bottom w:val="nil"/>
          <w:right w:val="nil"/>
          <w:between w:val="nil"/>
        </w:pBdr>
        <w:spacing w:after="0" w:line="240" w:lineRule="auto"/>
        <w:ind w:left="0" w:firstLine="720"/>
        <w:rPr>
          <w:rFonts w:eastAsia="Cambria"/>
          <w:color w:val="000000"/>
        </w:rPr>
      </w:pPr>
      <w:r>
        <w:rPr>
          <w:rFonts w:eastAsia="Cambria"/>
          <w:color w:val="000000"/>
        </w:rPr>
        <w:t xml:space="preserve">Chart </w:t>
      </w:r>
      <w:r>
        <w:rPr>
          <w:rFonts w:eastAsia="Cambria"/>
          <w:color w:val="000000"/>
        </w:rPr>
        <w:t>4</w:t>
      </w:r>
      <w:r>
        <w:rPr>
          <w:rFonts w:eastAsia="Cambria"/>
          <w:color w:val="000000"/>
        </w:rPr>
        <w:t xml:space="preserve">: </w:t>
      </w:r>
      <w:r w:rsidR="00513FB1" w:rsidRPr="00E0735E">
        <w:rPr>
          <w:rFonts w:eastAsia="Cambria"/>
          <w:color w:val="000000"/>
        </w:rPr>
        <w:t>The following guidelines for interpreting the Beta (β) coefficient strength, as proposed by Cohen (2013) and Hair et al. (2019), were used:</w:t>
      </w:r>
    </w:p>
    <w:p w14:paraId="6971F3AF" w14:textId="77777777" w:rsidR="00D46C47" w:rsidRPr="00E0735E" w:rsidRDefault="00D46C47">
      <w:pPr>
        <w:pBdr>
          <w:top w:val="nil"/>
          <w:left w:val="nil"/>
          <w:bottom w:val="nil"/>
          <w:right w:val="nil"/>
          <w:between w:val="nil"/>
        </w:pBdr>
        <w:spacing w:after="0" w:line="240" w:lineRule="auto"/>
        <w:ind w:left="0" w:firstLine="720"/>
        <w:rPr>
          <w:rFonts w:eastAsia="Cambria"/>
          <w:color w:val="000000"/>
        </w:rPr>
      </w:pPr>
    </w:p>
    <w:tbl>
      <w:tblPr>
        <w:tblStyle w:val="a2"/>
        <w:tblW w:w="648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80"/>
        <w:gridCol w:w="3600"/>
      </w:tblGrid>
      <w:tr w:rsidR="00D46C47" w:rsidRPr="00E0735E" w14:paraId="5C534E4E" w14:textId="77777777">
        <w:trPr>
          <w:jc w:val="center"/>
        </w:trPr>
        <w:tc>
          <w:tcPr>
            <w:tcW w:w="2880" w:type="dxa"/>
            <w:tcBorders>
              <w:bottom w:val="single" w:sz="4" w:space="0" w:color="000000"/>
            </w:tcBorders>
          </w:tcPr>
          <w:p w14:paraId="539E7F47"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β Value Range</w:t>
            </w:r>
          </w:p>
        </w:tc>
        <w:tc>
          <w:tcPr>
            <w:tcW w:w="3600" w:type="dxa"/>
            <w:tcBorders>
              <w:bottom w:val="single" w:sz="4" w:space="0" w:color="000000"/>
            </w:tcBorders>
          </w:tcPr>
          <w:p w14:paraId="0285A68E" w14:textId="77777777" w:rsidR="00D46C47" w:rsidRPr="00E0735E" w:rsidRDefault="00513FB1">
            <w:pPr>
              <w:pBdr>
                <w:top w:val="nil"/>
                <w:left w:val="nil"/>
                <w:bottom w:val="nil"/>
                <w:right w:val="nil"/>
                <w:between w:val="nil"/>
              </w:pBdr>
              <w:ind w:left="156" w:hanging="10"/>
              <w:jc w:val="center"/>
              <w:rPr>
                <w:rFonts w:ascii="Arial" w:eastAsia="Cambria" w:hAnsi="Arial" w:cs="Arial"/>
                <w:b/>
                <w:bCs/>
                <w:color w:val="000000"/>
                <w:sz w:val="24"/>
                <w:szCs w:val="24"/>
              </w:rPr>
            </w:pPr>
            <w:r w:rsidRPr="00E0735E">
              <w:rPr>
                <w:rFonts w:ascii="Arial" w:eastAsia="Cambria" w:hAnsi="Arial" w:cs="Arial"/>
                <w:b/>
                <w:bCs/>
                <w:color w:val="000000"/>
                <w:sz w:val="24"/>
                <w:szCs w:val="24"/>
              </w:rPr>
              <w:t>Predictive Strength</w:t>
            </w:r>
          </w:p>
        </w:tc>
      </w:tr>
      <w:tr w:rsidR="00D46C47" w:rsidRPr="00E0735E" w14:paraId="17628F69" w14:textId="77777777">
        <w:trPr>
          <w:jc w:val="center"/>
        </w:trPr>
        <w:tc>
          <w:tcPr>
            <w:tcW w:w="2880" w:type="dxa"/>
            <w:tcBorders>
              <w:top w:val="single" w:sz="4" w:space="0" w:color="000000"/>
            </w:tcBorders>
          </w:tcPr>
          <w:p w14:paraId="02EFF370"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±0.00 – ±0.09</w:t>
            </w:r>
          </w:p>
        </w:tc>
        <w:tc>
          <w:tcPr>
            <w:tcW w:w="3600" w:type="dxa"/>
            <w:tcBorders>
              <w:top w:val="single" w:sz="4" w:space="0" w:color="000000"/>
            </w:tcBorders>
          </w:tcPr>
          <w:p w14:paraId="4A5AC5C9"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Very Weak</w:t>
            </w:r>
          </w:p>
        </w:tc>
      </w:tr>
      <w:tr w:rsidR="00D46C47" w:rsidRPr="00E0735E" w14:paraId="69A1F855" w14:textId="77777777">
        <w:trPr>
          <w:jc w:val="center"/>
        </w:trPr>
        <w:tc>
          <w:tcPr>
            <w:tcW w:w="2880" w:type="dxa"/>
          </w:tcPr>
          <w:p w14:paraId="3B245C07"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±0.10 – ±0.29</w:t>
            </w:r>
          </w:p>
        </w:tc>
        <w:tc>
          <w:tcPr>
            <w:tcW w:w="3600" w:type="dxa"/>
          </w:tcPr>
          <w:p w14:paraId="7CEB4AD0"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Weak</w:t>
            </w:r>
          </w:p>
        </w:tc>
      </w:tr>
      <w:tr w:rsidR="00D46C47" w:rsidRPr="00E0735E" w14:paraId="48A97054" w14:textId="77777777">
        <w:trPr>
          <w:trHeight w:val="214"/>
          <w:jc w:val="center"/>
        </w:trPr>
        <w:tc>
          <w:tcPr>
            <w:tcW w:w="2880" w:type="dxa"/>
          </w:tcPr>
          <w:p w14:paraId="05C0CEF1"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±0.30 – ±0.49</w:t>
            </w:r>
          </w:p>
        </w:tc>
        <w:tc>
          <w:tcPr>
            <w:tcW w:w="3600" w:type="dxa"/>
          </w:tcPr>
          <w:p w14:paraId="50CFA2E8"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Moderate</w:t>
            </w:r>
          </w:p>
        </w:tc>
      </w:tr>
      <w:tr w:rsidR="00D46C47" w:rsidRPr="00E0735E" w14:paraId="45E1371E" w14:textId="77777777">
        <w:trPr>
          <w:jc w:val="center"/>
        </w:trPr>
        <w:tc>
          <w:tcPr>
            <w:tcW w:w="2880" w:type="dxa"/>
          </w:tcPr>
          <w:p w14:paraId="27471C63"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±0.50 – ±0.69</w:t>
            </w:r>
          </w:p>
        </w:tc>
        <w:tc>
          <w:tcPr>
            <w:tcW w:w="3600" w:type="dxa"/>
          </w:tcPr>
          <w:p w14:paraId="6E18BB95"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Strong</w:t>
            </w:r>
          </w:p>
        </w:tc>
      </w:tr>
      <w:tr w:rsidR="00D46C47" w:rsidRPr="00E0735E" w14:paraId="11A5E35D" w14:textId="77777777">
        <w:trPr>
          <w:jc w:val="center"/>
        </w:trPr>
        <w:tc>
          <w:tcPr>
            <w:tcW w:w="2880" w:type="dxa"/>
          </w:tcPr>
          <w:p w14:paraId="6C0C5AA1"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±0.70 and above</w:t>
            </w:r>
          </w:p>
        </w:tc>
        <w:tc>
          <w:tcPr>
            <w:tcW w:w="3600" w:type="dxa"/>
          </w:tcPr>
          <w:p w14:paraId="30FDBF6F" w14:textId="77777777" w:rsidR="00D46C47" w:rsidRPr="00E0735E" w:rsidRDefault="00513FB1">
            <w:pPr>
              <w:pBdr>
                <w:top w:val="nil"/>
                <w:left w:val="nil"/>
                <w:bottom w:val="nil"/>
                <w:right w:val="nil"/>
                <w:between w:val="nil"/>
              </w:pBdr>
              <w:ind w:left="156" w:hanging="10"/>
              <w:jc w:val="center"/>
              <w:rPr>
                <w:rFonts w:ascii="Arial" w:eastAsia="Cambria" w:hAnsi="Arial" w:cs="Arial"/>
                <w:color w:val="000000"/>
                <w:sz w:val="24"/>
                <w:szCs w:val="24"/>
              </w:rPr>
            </w:pPr>
            <w:r w:rsidRPr="00E0735E">
              <w:rPr>
                <w:rFonts w:ascii="Arial" w:eastAsia="Cambria" w:hAnsi="Arial" w:cs="Arial"/>
                <w:color w:val="000000"/>
                <w:sz w:val="24"/>
                <w:szCs w:val="24"/>
              </w:rPr>
              <w:t>Very Strong</w:t>
            </w:r>
          </w:p>
        </w:tc>
      </w:tr>
    </w:tbl>
    <w:p w14:paraId="241018B0" w14:textId="77777777" w:rsidR="00D46C47" w:rsidRPr="00E0735E" w:rsidRDefault="00D46C47">
      <w:pPr>
        <w:spacing w:after="0" w:line="240" w:lineRule="auto"/>
        <w:ind w:left="0" w:firstLine="0"/>
        <w:rPr>
          <w:rFonts w:eastAsia="Cambria"/>
          <w:b/>
          <w:bCs/>
          <w:i/>
          <w:iCs/>
          <w:color w:val="000000"/>
        </w:rPr>
      </w:pPr>
    </w:p>
    <w:p w14:paraId="188FF0BB" w14:textId="77777777" w:rsidR="00D46C47" w:rsidRPr="00E0735E" w:rsidRDefault="00D46C47">
      <w:pPr>
        <w:spacing w:after="0" w:line="240" w:lineRule="auto"/>
        <w:ind w:left="0" w:firstLine="0"/>
        <w:rPr>
          <w:rFonts w:eastAsia="Cambria"/>
          <w:b/>
          <w:bCs/>
          <w:i/>
          <w:iCs/>
          <w:color w:val="000000"/>
        </w:rPr>
      </w:pPr>
    </w:p>
    <w:p w14:paraId="6512F2C6" w14:textId="77777777" w:rsidR="00D46C47" w:rsidRDefault="00513FB1">
      <w:pPr>
        <w:spacing w:after="0" w:line="240" w:lineRule="auto"/>
        <w:ind w:left="0" w:firstLine="0"/>
        <w:rPr>
          <w:rFonts w:eastAsia="Cambria"/>
          <w:b/>
          <w:bCs/>
          <w:i/>
          <w:iCs/>
          <w:color w:val="000000"/>
        </w:rPr>
      </w:pPr>
      <w:r w:rsidRPr="00E0735E">
        <w:rPr>
          <w:rFonts w:eastAsia="Cambria"/>
          <w:b/>
          <w:bCs/>
          <w:i/>
          <w:iCs/>
          <w:color w:val="000000"/>
        </w:rPr>
        <w:t>Ethical Considerations</w:t>
      </w:r>
    </w:p>
    <w:p w14:paraId="569B0B45" w14:textId="77777777" w:rsidR="000F6093" w:rsidRPr="00E0735E" w:rsidRDefault="000F6093">
      <w:pPr>
        <w:spacing w:after="0" w:line="240" w:lineRule="auto"/>
        <w:ind w:left="0" w:firstLine="0"/>
        <w:rPr>
          <w:rFonts w:eastAsia="Cambria"/>
          <w:b/>
          <w:bCs/>
          <w:i/>
          <w:iCs/>
          <w:color w:val="000000"/>
        </w:rPr>
      </w:pPr>
    </w:p>
    <w:p w14:paraId="12FDCEE1" w14:textId="48BDF0C9" w:rsidR="00E0735E" w:rsidRDefault="000F6093" w:rsidP="000F6093">
      <w:pPr>
        <w:pBdr>
          <w:top w:val="nil"/>
          <w:left w:val="nil"/>
          <w:bottom w:val="nil"/>
          <w:right w:val="nil"/>
          <w:between w:val="nil"/>
        </w:pBdr>
        <w:spacing w:line="240" w:lineRule="auto"/>
        <w:ind w:left="0" w:firstLine="720"/>
        <w:rPr>
          <w:rFonts w:eastAsia="Cambria"/>
          <w:color w:val="000000"/>
        </w:rPr>
      </w:pPr>
      <w:r w:rsidRPr="000F6093">
        <w:rPr>
          <w:rFonts w:eastAsia="Cambria"/>
          <w:color w:val="000000"/>
        </w:rPr>
        <w:t>The study adhered to ethical standards to protect respondents and ensure the</w:t>
      </w:r>
      <w:r>
        <w:rPr>
          <w:rFonts w:eastAsia="Cambria"/>
          <w:color w:val="000000"/>
        </w:rPr>
        <w:t xml:space="preserve"> </w:t>
      </w:r>
      <w:r w:rsidRPr="000F6093">
        <w:rPr>
          <w:rFonts w:eastAsia="Cambria"/>
          <w:color w:val="000000"/>
        </w:rPr>
        <w:t>accuracy and reliability of the results, while demonstrating utmost respect for</w:t>
      </w:r>
      <w:r>
        <w:rPr>
          <w:rFonts w:eastAsia="Cambria"/>
          <w:color w:val="000000"/>
        </w:rPr>
        <w:t xml:space="preserve"> </w:t>
      </w:r>
      <w:r w:rsidRPr="000F6093">
        <w:rPr>
          <w:rFonts w:eastAsia="Cambria"/>
          <w:color w:val="000000"/>
        </w:rPr>
        <w:t>the policies and authority of the Department of Education (DepEd) and school</w:t>
      </w:r>
      <w:r>
        <w:rPr>
          <w:rFonts w:eastAsia="Cambria"/>
          <w:color w:val="000000"/>
        </w:rPr>
        <w:t xml:space="preserve"> </w:t>
      </w:r>
      <w:r w:rsidRPr="000F6093">
        <w:rPr>
          <w:rFonts w:eastAsia="Cambria"/>
          <w:color w:val="000000"/>
        </w:rPr>
        <w:t>administrators. It complied with the guidelines of the Holy Cross of Davao</w:t>
      </w:r>
      <w:r>
        <w:rPr>
          <w:rFonts w:eastAsia="Cambria"/>
          <w:color w:val="000000"/>
        </w:rPr>
        <w:t xml:space="preserve"> </w:t>
      </w:r>
      <w:r w:rsidRPr="000F6093">
        <w:rPr>
          <w:rFonts w:eastAsia="Cambria"/>
          <w:color w:val="000000"/>
        </w:rPr>
        <w:t>College – Society for Moral Integrity and Legal Ethics (HCDC-SMILE) and the</w:t>
      </w:r>
      <w:r>
        <w:rPr>
          <w:rFonts w:eastAsia="Cambria"/>
          <w:color w:val="000000"/>
        </w:rPr>
        <w:t xml:space="preserve"> </w:t>
      </w:r>
      <w:r w:rsidRPr="000F6093">
        <w:rPr>
          <w:rFonts w:eastAsia="Cambria"/>
          <w:color w:val="000000"/>
        </w:rPr>
        <w:t>Data Privacy Act of 2012, ensuring proper safeguarding of all collected</w:t>
      </w:r>
      <w:r>
        <w:rPr>
          <w:rFonts w:eastAsia="Cambria"/>
          <w:color w:val="000000"/>
        </w:rPr>
        <w:t xml:space="preserve"> </w:t>
      </w:r>
      <w:r w:rsidRPr="000F6093">
        <w:rPr>
          <w:rFonts w:eastAsia="Cambria"/>
          <w:color w:val="000000"/>
        </w:rPr>
        <w:t>information.. Confidentiality and anonymity were</w:t>
      </w:r>
      <w:r>
        <w:rPr>
          <w:rFonts w:eastAsia="Cambria"/>
          <w:color w:val="000000"/>
        </w:rPr>
        <w:t xml:space="preserve"> </w:t>
      </w:r>
      <w:r w:rsidRPr="000F6093">
        <w:rPr>
          <w:rFonts w:eastAsia="Cambria"/>
          <w:color w:val="000000"/>
        </w:rPr>
        <w:t>strictly maintained by avoiding the collection of personally identifiable</w:t>
      </w:r>
      <w:r>
        <w:rPr>
          <w:rFonts w:eastAsia="Cambria"/>
          <w:color w:val="000000"/>
        </w:rPr>
        <w:t xml:space="preserve"> </w:t>
      </w:r>
      <w:r w:rsidRPr="000F6093">
        <w:rPr>
          <w:rFonts w:eastAsia="Cambria"/>
          <w:color w:val="000000"/>
        </w:rPr>
        <w:t>information, and all responses were handled with privacy, honesty, and</w:t>
      </w:r>
      <w:r>
        <w:rPr>
          <w:rFonts w:eastAsia="Cambria"/>
          <w:color w:val="000000"/>
        </w:rPr>
        <w:t xml:space="preserve"> </w:t>
      </w:r>
      <w:r w:rsidRPr="000F6093">
        <w:rPr>
          <w:rFonts w:eastAsia="Cambria"/>
          <w:color w:val="000000"/>
        </w:rPr>
        <w:t>objectivity. Permission to conduct the study was secured from the DepEd –</w:t>
      </w:r>
      <w:r>
        <w:rPr>
          <w:rFonts w:eastAsia="Cambria"/>
          <w:color w:val="000000"/>
        </w:rPr>
        <w:t xml:space="preserve"> </w:t>
      </w:r>
      <w:r w:rsidRPr="000F6093">
        <w:rPr>
          <w:rFonts w:eastAsia="Cambria"/>
          <w:color w:val="000000"/>
        </w:rPr>
        <w:t>Schools Division of Davao del Norte and concerned school authorities, with</w:t>
      </w:r>
      <w:r>
        <w:rPr>
          <w:rFonts w:eastAsia="Cambria"/>
          <w:color w:val="000000"/>
        </w:rPr>
        <w:t xml:space="preserve"> </w:t>
      </w:r>
      <w:r w:rsidRPr="000F6093">
        <w:rPr>
          <w:rFonts w:eastAsia="Cambria"/>
          <w:color w:val="000000"/>
        </w:rPr>
        <w:t xml:space="preserve">coordination from school heads to ensure smooth implementation. </w:t>
      </w:r>
    </w:p>
    <w:p w14:paraId="32670F5A" w14:textId="77777777" w:rsidR="00E0735E" w:rsidRDefault="00E0735E">
      <w:pPr>
        <w:pBdr>
          <w:top w:val="nil"/>
          <w:left w:val="nil"/>
          <w:bottom w:val="nil"/>
          <w:right w:val="nil"/>
          <w:between w:val="nil"/>
        </w:pBdr>
        <w:spacing w:line="240" w:lineRule="auto"/>
        <w:ind w:left="0" w:firstLine="720"/>
        <w:rPr>
          <w:rFonts w:eastAsia="Cambria"/>
          <w:color w:val="000000"/>
        </w:rPr>
      </w:pPr>
    </w:p>
    <w:p w14:paraId="35CDA5F1" w14:textId="77777777" w:rsidR="00E0735E" w:rsidRDefault="00E0735E">
      <w:pPr>
        <w:pBdr>
          <w:top w:val="nil"/>
          <w:left w:val="nil"/>
          <w:bottom w:val="nil"/>
          <w:right w:val="nil"/>
          <w:between w:val="nil"/>
        </w:pBdr>
        <w:spacing w:line="240" w:lineRule="auto"/>
        <w:ind w:left="0" w:firstLine="720"/>
        <w:rPr>
          <w:rFonts w:eastAsia="Cambria"/>
          <w:color w:val="000000"/>
        </w:rPr>
      </w:pPr>
    </w:p>
    <w:p w14:paraId="6E190783" w14:textId="77777777" w:rsidR="00E0735E" w:rsidRPr="00E0735E" w:rsidRDefault="00E0735E">
      <w:pPr>
        <w:pBdr>
          <w:top w:val="nil"/>
          <w:left w:val="nil"/>
          <w:bottom w:val="nil"/>
          <w:right w:val="nil"/>
          <w:between w:val="nil"/>
        </w:pBdr>
        <w:spacing w:line="240" w:lineRule="auto"/>
        <w:ind w:left="0" w:firstLine="720"/>
        <w:rPr>
          <w:rFonts w:eastAsia="Cambria"/>
          <w:color w:val="000000"/>
        </w:rPr>
      </w:pPr>
    </w:p>
    <w:p w14:paraId="7FB3FBFE" w14:textId="77777777" w:rsidR="00D46C47" w:rsidRPr="00E0735E" w:rsidRDefault="00513FB1">
      <w:pPr>
        <w:spacing w:after="0" w:line="240" w:lineRule="auto"/>
        <w:ind w:left="0" w:firstLine="0"/>
        <w:jc w:val="center"/>
        <w:rPr>
          <w:rFonts w:eastAsia="Cambria"/>
          <w:b/>
          <w:bCs/>
          <w:color w:val="000000"/>
          <w:sz w:val="32"/>
          <w:szCs w:val="32"/>
        </w:rPr>
      </w:pPr>
      <w:r w:rsidRPr="00E0735E">
        <w:rPr>
          <w:rFonts w:eastAsia="Cambria"/>
          <w:b/>
          <w:bCs/>
          <w:color w:val="000000"/>
          <w:sz w:val="32"/>
          <w:szCs w:val="32"/>
        </w:rPr>
        <w:t>RESULTS</w:t>
      </w:r>
    </w:p>
    <w:p w14:paraId="36D7458C" w14:textId="77777777" w:rsidR="00D46C47" w:rsidRPr="00E0735E" w:rsidRDefault="00D46C47">
      <w:pPr>
        <w:spacing w:after="0" w:line="240" w:lineRule="auto"/>
        <w:ind w:left="0" w:firstLine="0"/>
        <w:jc w:val="center"/>
        <w:rPr>
          <w:rFonts w:eastAsia="Cambria"/>
          <w:b/>
          <w:bCs/>
          <w:color w:val="000000"/>
        </w:rPr>
      </w:pPr>
    </w:p>
    <w:p w14:paraId="70FFF6CE" w14:textId="08B2D0B5" w:rsidR="00D46C47" w:rsidRDefault="000F6093" w:rsidP="000F6093">
      <w:pPr>
        <w:spacing w:after="0" w:line="240" w:lineRule="auto"/>
        <w:ind w:left="0" w:firstLine="720"/>
        <w:rPr>
          <w:rFonts w:eastAsia="Cambria"/>
          <w:color w:val="000000"/>
        </w:rPr>
      </w:pPr>
      <w:r w:rsidRPr="000F6093">
        <w:rPr>
          <w:rFonts w:eastAsia="Cambria"/>
          <w:color w:val="000000"/>
        </w:rPr>
        <w:t>This chapter presents the descriptive, correlation, and regression analyses</w:t>
      </w:r>
      <w:r>
        <w:rPr>
          <w:rFonts w:eastAsia="Cambria"/>
          <w:color w:val="000000"/>
        </w:rPr>
        <w:t xml:space="preserve"> </w:t>
      </w:r>
      <w:r w:rsidRPr="000F6093">
        <w:rPr>
          <w:rFonts w:eastAsia="Cambria"/>
          <w:color w:val="000000"/>
        </w:rPr>
        <w:t>through tabular presentations, along with the corresponding analysis and</w:t>
      </w:r>
      <w:r>
        <w:rPr>
          <w:rFonts w:eastAsia="Cambria"/>
          <w:color w:val="000000"/>
        </w:rPr>
        <w:t xml:space="preserve"> </w:t>
      </w:r>
      <w:r w:rsidRPr="000F6093">
        <w:rPr>
          <w:rFonts w:eastAsia="Cambria"/>
          <w:color w:val="000000"/>
        </w:rPr>
        <w:t>interpretation of the statistical results. It concludes with a summary of the key</w:t>
      </w:r>
      <w:r>
        <w:rPr>
          <w:rFonts w:eastAsia="Cambria"/>
          <w:color w:val="000000"/>
        </w:rPr>
        <w:t xml:space="preserve"> </w:t>
      </w:r>
      <w:r w:rsidRPr="000F6093">
        <w:rPr>
          <w:rFonts w:eastAsia="Cambria"/>
          <w:color w:val="000000"/>
        </w:rPr>
        <w:t>findings of the study.</w:t>
      </w:r>
    </w:p>
    <w:p w14:paraId="0948BCF1" w14:textId="77777777" w:rsidR="000F6093" w:rsidRPr="00E0735E" w:rsidRDefault="000F6093" w:rsidP="000F6093">
      <w:pPr>
        <w:spacing w:after="0" w:line="240" w:lineRule="auto"/>
        <w:ind w:left="0" w:firstLine="720"/>
        <w:rPr>
          <w:rFonts w:eastAsia="Cambria"/>
          <w:b/>
          <w:bCs/>
          <w:color w:val="000000"/>
        </w:rPr>
      </w:pPr>
    </w:p>
    <w:p w14:paraId="26AC298F"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Descriptive Results</w:t>
      </w:r>
    </w:p>
    <w:p w14:paraId="799F61BA" w14:textId="77777777" w:rsidR="000F6093" w:rsidRDefault="000F6093" w:rsidP="000F6093">
      <w:pPr>
        <w:spacing w:after="0"/>
        <w:ind w:left="0" w:firstLine="0"/>
        <w:rPr>
          <w:rFonts w:eastAsia="Cambria"/>
          <w:b/>
          <w:bCs/>
          <w:color w:val="000000"/>
        </w:rPr>
      </w:pPr>
    </w:p>
    <w:p w14:paraId="3882B934" w14:textId="58666EF6" w:rsidR="000F6093" w:rsidRDefault="000F6093" w:rsidP="000F6093">
      <w:pPr>
        <w:spacing w:after="0"/>
        <w:ind w:left="0" w:firstLine="720"/>
        <w:rPr>
          <w:rFonts w:eastAsia="Cambria"/>
          <w:color w:val="000000"/>
        </w:rPr>
      </w:pPr>
      <w:r w:rsidRPr="000F6093">
        <w:rPr>
          <w:rFonts w:eastAsia="Cambria"/>
          <w:color w:val="000000"/>
        </w:rPr>
        <w:t>Shown in Table 1 are the descriptive statistical results of the study. The table</w:t>
      </w:r>
      <w:r>
        <w:rPr>
          <w:rFonts w:eastAsia="Cambria"/>
          <w:color w:val="000000"/>
        </w:rPr>
        <w:t xml:space="preserve"> </w:t>
      </w:r>
      <w:r w:rsidRPr="000F6093">
        <w:rPr>
          <w:rFonts w:eastAsia="Cambria"/>
          <w:color w:val="000000"/>
        </w:rPr>
        <w:t>includes the variables under investigation, namely, psychological well-being,</w:t>
      </w:r>
      <w:r>
        <w:rPr>
          <w:rFonts w:eastAsia="Cambria"/>
          <w:color w:val="000000"/>
        </w:rPr>
        <w:t xml:space="preserve"> </w:t>
      </w:r>
      <w:r w:rsidRPr="000F6093">
        <w:rPr>
          <w:rFonts w:eastAsia="Cambria"/>
          <w:color w:val="000000"/>
        </w:rPr>
        <w:t>perceived organizational justice, and teacher retention, along with their</w:t>
      </w:r>
      <w:r>
        <w:rPr>
          <w:rFonts w:eastAsia="Cambria"/>
          <w:color w:val="000000"/>
        </w:rPr>
        <w:t xml:space="preserve"> </w:t>
      </w:r>
      <w:r w:rsidRPr="000F6093">
        <w:rPr>
          <w:rFonts w:eastAsia="Cambria"/>
          <w:color w:val="000000"/>
        </w:rPr>
        <w:t>respective indicators. It also shows the number of respondents, mean, standard</w:t>
      </w:r>
      <w:r>
        <w:rPr>
          <w:rFonts w:eastAsia="Cambria"/>
          <w:color w:val="000000"/>
        </w:rPr>
        <w:t xml:space="preserve"> </w:t>
      </w:r>
      <w:r w:rsidRPr="000F6093">
        <w:rPr>
          <w:rFonts w:eastAsia="Cambria"/>
          <w:color w:val="000000"/>
        </w:rPr>
        <w:t>deviation, and the corresponding descriptive levels for each variable.</w:t>
      </w:r>
    </w:p>
    <w:p w14:paraId="6BD0DA3D" w14:textId="77777777" w:rsidR="000F6093" w:rsidRDefault="000F6093" w:rsidP="000F6093">
      <w:pPr>
        <w:spacing w:after="0"/>
        <w:rPr>
          <w:rFonts w:eastAsia="Cambria"/>
          <w:color w:val="000000"/>
        </w:rPr>
      </w:pPr>
    </w:p>
    <w:p w14:paraId="19163007" w14:textId="0A07E460" w:rsidR="00D46C47" w:rsidRPr="00E0735E" w:rsidRDefault="00513FB1" w:rsidP="000F6093">
      <w:pPr>
        <w:spacing w:after="0"/>
        <w:rPr>
          <w:rFonts w:eastAsia="Cambria"/>
          <w:i/>
          <w:iCs/>
          <w:sz w:val="22"/>
          <w:szCs w:val="22"/>
        </w:rPr>
      </w:pPr>
      <w:r w:rsidRPr="00E0735E">
        <w:rPr>
          <w:rFonts w:eastAsia="Cambria"/>
          <w:i/>
          <w:iCs/>
          <w:sz w:val="22"/>
          <w:szCs w:val="22"/>
        </w:rPr>
        <w:t>Table 1. Descriptive Statistics (N=321)</w:t>
      </w:r>
    </w:p>
    <w:tbl>
      <w:tblPr>
        <w:tblStyle w:val="a3"/>
        <w:tblW w:w="8759"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71"/>
        <w:gridCol w:w="1133"/>
        <w:gridCol w:w="944"/>
        <w:gridCol w:w="1911"/>
      </w:tblGrid>
      <w:tr w:rsidR="00D46C47" w:rsidRPr="00E0735E" w14:paraId="0E82DDAD" w14:textId="77777777">
        <w:trPr>
          <w:trHeight w:val="354"/>
        </w:trPr>
        <w:tc>
          <w:tcPr>
            <w:tcW w:w="4771" w:type="dxa"/>
            <w:tcBorders>
              <w:top w:val="single" w:sz="4" w:space="0" w:color="000000"/>
              <w:bottom w:val="single" w:sz="4" w:space="0" w:color="000000"/>
            </w:tcBorders>
            <w:vAlign w:val="center"/>
          </w:tcPr>
          <w:p w14:paraId="033D31F9" w14:textId="77777777" w:rsidR="00D46C47" w:rsidRPr="00E0735E" w:rsidRDefault="00513FB1">
            <w:pPr>
              <w:ind w:right="214"/>
              <w:jc w:val="center"/>
              <w:rPr>
                <w:rFonts w:ascii="Arial" w:eastAsia="Cambria" w:hAnsi="Arial" w:cs="Arial"/>
                <w:sz w:val="22"/>
                <w:szCs w:val="22"/>
              </w:rPr>
            </w:pPr>
            <w:r w:rsidRPr="00E0735E">
              <w:rPr>
                <w:rFonts w:ascii="Arial" w:eastAsia="Cambria" w:hAnsi="Arial" w:cs="Arial"/>
                <w:sz w:val="22"/>
                <w:szCs w:val="22"/>
              </w:rPr>
              <w:t>Variables</w:t>
            </w:r>
          </w:p>
        </w:tc>
        <w:tc>
          <w:tcPr>
            <w:tcW w:w="1133" w:type="dxa"/>
            <w:tcBorders>
              <w:top w:val="single" w:sz="4" w:space="0" w:color="000000"/>
              <w:bottom w:val="single" w:sz="4" w:space="0" w:color="000000"/>
            </w:tcBorders>
            <w:vAlign w:val="center"/>
          </w:tcPr>
          <w:p w14:paraId="5DB2BE20"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Standard Deviation</w:t>
            </w:r>
          </w:p>
        </w:tc>
        <w:tc>
          <w:tcPr>
            <w:tcW w:w="944" w:type="dxa"/>
            <w:tcBorders>
              <w:top w:val="single" w:sz="4" w:space="0" w:color="000000"/>
              <w:bottom w:val="single" w:sz="4" w:space="0" w:color="000000"/>
            </w:tcBorders>
            <w:vAlign w:val="center"/>
          </w:tcPr>
          <w:p w14:paraId="2D34B2F6"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Mean</w:t>
            </w:r>
          </w:p>
        </w:tc>
        <w:tc>
          <w:tcPr>
            <w:tcW w:w="1911" w:type="dxa"/>
            <w:tcBorders>
              <w:top w:val="single" w:sz="4" w:space="0" w:color="000000"/>
              <w:bottom w:val="single" w:sz="4" w:space="0" w:color="000000"/>
            </w:tcBorders>
            <w:vAlign w:val="center"/>
          </w:tcPr>
          <w:p w14:paraId="59C24FF9" w14:textId="77777777" w:rsidR="00D46C47" w:rsidRPr="00E0735E" w:rsidRDefault="00513FB1">
            <w:pPr>
              <w:jc w:val="center"/>
              <w:rPr>
                <w:rFonts w:ascii="Arial" w:eastAsia="Cambria" w:hAnsi="Arial" w:cs="Arial"/>
                <w:sz w:val="22"/>
                <w:szCs w:val="22"/>
              </w:rPr>
            </w:pPr>
            <w:r w:rsidRPr="00E0735E">
              <w:rPr>
                <w:rFonts w:ascii="Arial" w:eastAsia="Cambria" w:hAnsi="Arial" w:cs="Arial"/>
                <w:sz w:val="22"/>
                <w:szCs w:val="22"/>
              </w:rPr>
              <w:t>Descriptive Level</w:t>
            </w:r>
          </w:p>
        </w:tc>
      </w:tr>
      <w:tr w:rsidR="00D46C47" w:rsidRPr="00E0735E" w14:paraId="06ADF2E6" w14:textId="77777777">
        <w:trPr>
          <w:trHeight w:val="230"/>
        </w:trPr>
        <w:tc>
          <w:tcPr>
            <w:tcW w:w="4771" w:type="dxa"/>
            <w:tcBorders>
              <w:top w:val="single" w:sz="4" w:space="0" w:color="000000"/>
              <w:bottom w:val="nil"/>
            </w:tcBorders>
            <w:vAlign w:val="center"/>
          </w:tcPr>
          <w:p w14:paraId="4D7EDDA2" w14:textId="77777777" w:rsidR="00D46C47" w:rsidRPr="00E0735E" w:rsidRDefault="00513FB1">
            <w:pPr>
              <w:spacing w:after="60"/>
              <w:rPr>
                <w:rFonts w:ascii="Arial" w:eastAsia="Cambria" w:hAnsi="Arial" w:cs="Arial"/>
                <w:i/>
                <w:iCs/>
                <w:sz w:val="22"/>
                <w:szCs w:val="22"/>
              </w:rPr>
            </w:pPr>
            <w:r w:rsidRPr="00E0735E">
              <w:rPr>
                <w:rFonts w:ascii="Arial" w:eastAsia="Cambria" w:hAnsi="Arial" w:cs="Arial"/>
                <w:b/>
                <w:bCs/>
                <w:i/>
                <w:iCs/>
                <w:sz w:val="22"/>
                <w:szCs w:val="22"/>
              </w:rPr>
              <w:t xml:space="preserve">Psychological Well-Being </w:t>
            </w:r>
          </w:p>
        </w:tc>
        <w:tc>
          <w:tcPr>
            <w:tcW w:w="1133" w:type="dxa"/>
            <w:tcBorders>
              <w:top w:val="single" w:sz="4" w:space="0" w:color="000000"/>
              <w:bottom w:val="nil"/>
            </w:tcBorders>
            <w:vAlign w:val="center"/>
          </w:tcPr>
          <w:p w14:paraId="17097B00"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0.303</w:t>
            </w:r>
          </w:p>
        </w:tc>
        <w:tc>
          <w:tcPr>
            <w:tcW w:w="944" w:type="dxa"/>
            <w:tcBorders>
              <w:top w:val="single" w:sz="4" w:space="0" w:color="000000"/>
              <w:bottom w:val="nil"/>
            </w:tcBorders>
            <w:vAlign w:val="center"/>
          </w:tcPr>
          <w:p w14:paraId="61C07F19"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3.45</w:t>
            </w:r>
          </w:p>
        </w:tc>
        <w:tc>
          <w:tcPr>
            <w:tcW w:w="1911" w:type="dxa"/>
            <w:tcBorders>
              <w:top w:val="single" w:sz="4" w:space="0" w:color="000000"/>
              <w:bottom w:val="nil"/>
            </w:tcBorders>
            <w:vAlign w:val="center"/>
          </w:tcPr>
          <w:p w14:paraId="30D8C297"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 xml:space="preserve">Very High </w:t>
            </w:r>
          </w:p>
        </w:tc>
      </w:tr>
      <w:tr w:rsidR="00D46C47" w:rsidRPr="00E0735E" w14:paraId="057FF00B" w14:textId="77777777">
        <w:tc>
          <w:tcPr>
            <w:tcW w:w="4771" w:type="dxa"/>
            <w:tcBorders>
              <w:top w:val="nil"/>
            </w:tcBorders>
            <w:vAlign w:val="center"/>
          </w:tcPr>
          <w:p w14:paraId="5A4C2570"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Self-Acceptance</w:t>
            </w:r>
          </w:p>
        </w:tc>
        <w:tc>
          <w:tcPr>
            <w:tcW w:w="1133" w:type="dxa"/>
            <w:tcBorders>
              <w:top w:val="nil"/>
            </w:tcBorders>
            <w:vAlign w:val="center"/>
          </w:tcPr>
          <w:p w14:paraId="3645294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0.421</w:t>
            </w:r>
          </w:p>
        </w:tc>
        <w:tc>
          <w:tcPr>
            <w:tcW w:w="944" w:type="dxa"/>
            <w:tcBorders>
              <w:top w:val="nil"/>
            </w:tcBorders>
            <w:vAlign w:val="center"/>
          </w:tcPr>
          <w:p w14:paraId="164C8E37"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3.53</w:t>
            </w:r>
          </w:p>
        </w:tc>
        <w:tc>
          <w:tcPr>
            <w:tcW w:w="1911" w:type="dxa"/>
            <w:tcBorders>
              <w:top w:val="nil"/>
            </w:tcBorders>
            <w:vAlign w:val="center"/>
          </w:tcPr>
          <w:p w14:paraId="11F8812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142145B3" w14:textId="77777777">
        <w:tc>
          <w:tcPr>
            <w:tcW w:w="4771" w:type="dxa"/>
            <w:vAlign w:val="center"/>
          </w:tcPr>
          <w:p w14:paraId="182889ED"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Autonomy</w:t>
            </w:r>
          </w:p>
        </w:tc>
        <w:tc>
          <w:tcPr>
            <w:tcW w:w="1133" w:type="dxa"/>
            <w:vAlign w:val="center"/>
          </w:tcPr>
          <w:p w14:paraId="663FF7D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0.478</w:t>
            </w:r>
          </w:p>
        </w:tc>
        <w:tc>
          <w:tcPr>
            <w:tcW w:w="944" w:type="dxa"/>
            <w:vAlign w:val="center"/>
          </w:tcPr>
          <w:p w14:paraId="3F144D3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3.26</w:t>
            </w:r>
          </w:p>
        </w:tc>
        <w:tc>
          <w:tcPr>
            <w:tcW w:w="1911" w:type="dxa"/>
            <w:vAlign w:val="center"/>
          </w:tcPr>
          <w:p w14:paraId="08E3542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56A3179C" w14:textId="77777777">
        <w:tc>
          <w:tcPr>
            <w:tcW w:w="4771" w:type="dxa"/>
            <w:vAlign w:val="center"/>
          </w:tcPr>
          <w:p w14:paraId="5B7BA776"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Environmental Mastery</w:t>
            </w:r>
          </w:p>
        </w:tc>
        <w:tc>
          <w:tcPr>
            <w:tcW w:w="1133" w:type="dxa"/>
            <w:vAlign w:val="center"/>
          </w:tcPr>
          <w:p w14:paraId="31D445FD"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0.464</w:t>
            </w:r>
          </w:p>
        </w:tc>
        <w:tc>
          <w:tcPr>
            <w:tcW w:w="944" w:type="dxa"/>
            <w:vAlign w:val="center"/>
          </w:tcPr>
          <w:p w14:paraId="378DD8D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3.37</w:t>
            </w:r>
          </w:p>
        </w:tc>
        <w:tc>
          <w:tcPr>
            <w:tcW w:w="1911" w:type="dxa"/>
            <w:vAlign w:val="center"/>
          </w:tcPr>
          <w:p w14:paraId="57C5B44F"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6D9AE7CB" w14:textId="77777777">
        <w:tc>
          <w:tcPr>
            <w:tcW w:w="4771" w:type="dxa"/>
            <w:vAlign w:val="center"/>
          </w:tcPr>
          <w:p w14:paraId="49CD9E8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Personal Growth</w:t>
            </w:r>
          </w:p>
        </w:tc>
        <w:tc>
          <w:tcPr>
            <w:tcW w:w="1133" w:type="dxa"/>
            <w:vAlign w:val="center"/>
          </w:tcPr>
          <w:p w14:paraId="704684BD"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0.370</w:t>
            </w:r>
          </w:p>
        </w:tc>
        <w:tc>
          <w:tcPr>
            <w:tcW w:w="944" w:type="dxa"/>
            <w:vAlign w:val="center"/>
          </w:tcPr>
          <w:p w14:paraId="5C5F4A9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3.78</w:t>
            </w:r>
          </w:p>
        </w:tc>
        <w:tc>
          <w:tcPr>
            <w:tcW w:w="1911" w:type="dxa"/>
            <w:vAlign w:val="center"/>
          </w:tcPr>
          <w:p w14:paraId="4EBE179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F90070C" w14:textId="77777777">
        <w:tc>
          <w:tcPr>
            <w:tcW w:w="4771" w:type="dxa"/>
            <w:vAlign w:val="center"/>
          </w:tcPr>
          <w:p w14:paraId="6ABB59F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Positive Relations</w:t>
            </w:r>
          </w:p>
        </w:tc>
        <w:tc>
          <w:tcPr>
            <w:tcW w:w="1133" w:type="dxa"/>
            <w:vAlign w:val="center"/>
          </w:tcPr>
          <w:p w14:paraId="307674D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0.465</w:t>
            </w:r>
          </w:p>
        </w:tc>
        <w:tc>
          <w:tcPr>
            <w:tcW w:w="944" w:type="dxa"/>
            <w:vAlign w:val="center"/>
          </w:tcPr>
          <w:p w14:paraId="4B6DA42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3.44</w:t>
            </w:r>
          </w:p>
        </w:tc>
        <w:tc>
          <w:tcPr>
            <w:tcW w:w="1911" w:type="dxa"/>
            <w:vAlign w:val="center"/>
          </w:tcPr>
          <w:p w14:paraId="483FB85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79DEA24" w14:textId="77777777">
        <w:trPr>
          <w:trHeight w:val="377"/>
        </w:trPr>
        <w:tc>
          <w:tcPr>
            <w:tcW w:w="4771" w:type="dxa"/>
            <w:tcBorders>
              <w:bottom w:val="nil"/>
            </w:tcBorders>
            <w:vAlign w:val="center"/>
          </w:tcPr>
          <w:p w14:paraId="636B3398"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Purpose in Life</w:t>
            </w:r>
          </w:p>
        </w:tc>
        <w:tc>
          <w:tcPr>
            <w:tcW w:w="1133" w:type="dxa"/>
            <w:tcBorders>
              <w:bottom w:val="nil"/>
            </w:tcBorders>
            <w:vAlign w:val="center"/>
          </w:tcPr>
          <w:p w14:paraId="22A73F10"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0.490</w:t>
            </w:r>
          </w:p>
        </w:tc>
        <w:tc>
          <w:tcPr>
            <w:tcW w:w="944" w:type="dxa"/>
            <w:tcBorders>
              <w:bottom w:val="nil"/>
            </w:tcBorders>
            <w:vAlign w:val="center"/>
          </w:tcPr>
          <w:p w14:paraId="052B116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3.31</w:t>
            </w:r>
          </w:p>
        </w:tc>
        <w:tc>
          <w:tcPr>
            <w:tcW w:w="1911" w:type="dxa"/>
            <w:tcBorders>
              <w:bottom w:val="nil"/>
            </w:tcBorders>
            <w:vAlign w:val="center"/>
          </w:tcPr>
          <w:p w14:paraId="6048101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 xml:space="preserve">Very High </w:t>
            </w:r>
          </w:p>
        </w:tc>
      </w:tr>
      <w:tr w:rsidR="00D46C47" w:rsidRPr="00E0735E" w14:paraId="389631CB" w14:textId="77777777">
        <w:tc>
          <w:tcPr>
            <w:tcW w:w="4771" w:type="dxa"/>
            <w:tcBorders>
              <w:top w:val="nil"/>
              <w:bottom w:val="nil"/>
            </w:tcBorders>
          </w:tcPr>
          <w:p w14:paraId="102C523B" w14:textId="77777777" w:rsidR="00D46C47" w:rsidRPr="00E0735E" w:rsidRDefault="00513FB1">
            <w:pPr>
              <w:spacing w:after="60"/>
              <w:rPr>
                <w:rFonts w:ascii="Arial" w:eastAsia="Cambria" w:hAnsi="Arial" w:cs="Arial"/>
                <w:b/>
                <w:bCs/>
                <w:i/>
                <w:iCs/>
                <w:sz w:val="22"/>
                <w:szCs w:val="22"/>
              </w:rPr>
            </w:pPr>
            <w:r w:rsidRPr="00E0735E">
              <w:rPr>
                <w:rFonts w:ascii="Arial" w:eastAsia="Cambria" w:hAnsi="Arial" w:cs="Arial"/>
                <w:b/>
                <w:bCs/>
                <w:i/>
                <w:iCs/>
                <w:sz w:val="22"/>
                <w:szCs w:val="22"/>
              </w:rPr>
              <w:t xml:space="preserve">Perceived Organizational Justice </w:t>
            </w:r>
          </w:p>
        </w:tc>
        <w:tc>
          <w:tcPr>
            <w:tcW w:w="1133" w:type="dxa"/>
            <w:tcBorders>
              <w:top w:val="nil"/>
              <w:bottom w:val="nil"/>
            </w:tcBorders>
            <w:vAlign w:val="center"/>
          </w:tcPr>
          <w:p w14:paraId="0F5B4B2C"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0.437</w:t>
            </w:r>
          </w:p>
        </w:tc>
        <w:tc>
          <w:tcPr>
            <w:tcW w:w="944" w:type="dxa"/>
            <w:tcBorders>
              <w:top w:val="nil"/>
              <w:bottom w:val="nil"/>
            </w:tcBorders>
            <w:vAlign w:val="center"/>
          </w:tcPr>
          <w:p w14:paraId="3C5F9121"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3.44</w:t>
            </w:r>
          </w:p>
        </w:tc>
        <w:tc>
          <w:tcPr>
            <w:tcW w:w="1911" w:type="dxa"/>
            <w:tcBorders>
              <w:top w:val="nil"/>
              <w:bottom w:val="nil"/>
            </w:tcBorders>
            <w:vAlign w:val="center"/>
          </w:tcPr>
          <w:p w14:paraId="394F7708"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Very High</w:t>
            </w:r>
          </w:p>
        </w:tc>
      </w:tr>
      <w:tr w:rsidR="00D46C47" w:rsidRPr="00E0735E" w14:paraId="02F4113F" w14:textId="77777777">
        <w:tc>
          <w:tcPr>
            <w:tcW w:w="4771" w:type="dxa"/>
            <w:tcBorders>
              <w:top w:val="nil"/>
            </w:tcBorders>
            <w:vAlign w:val="center"/>
          </w:tcPr>
          <w:p w14:paraId="750101F3"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Distributive Justice</w:t>
            </w:r>
          </w:p>
        </w:tc>
        <w:tc>
          <w:tcPr>
            <w:tcW w:w="1133" w:type="dxa"/>
            <w:tcBorders>
              <w:top w:val="nil"/>
            </w:tcBorders>
            <w:vAlign w:val="center"/>
          </w:tcPr>
          <w:p w14:paraId="42B4B2E0"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0.490</w:t>
            </w:r>
          </w:p>
        </w:tc>
        <w:tc>
          <w:tcPr>
            <w:tcW w:w="944" w:type="dxa"/>
            <w:tcBorders>
              <w:top w:val="nil"/>
            </w:tcBorders>
            <w:vAlign w:val="center"/>
          </w:tcPr>
          <w:p w14:paraId="293F0EE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3.46</w:t>
            </w:r>
          </w:p>
        </w:tc>
        <w:tc>
          <w:tcPr>
            <w:tcW w:w="1911" w:type="dxa"/>
            <w:tcBorders>
              <w:top w:val="nil"/>
            </w:tcBorders>
            <w:vAlign w:val="center"/>
          </w:tcPr>
          <w:p w14:paraId="732C3B83"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421BB9FF" w14:textId="77777777">
        <w:tc>
          <w:tcPr>
            <w:tcW w:w="4771" w:type="dxa"/>
            <w:vAlign w:val="center"/>
          </w:tcPr>
          <w:p w14:paraId="68464CB7"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Procedural Justice</w:t>
            </w:r>
          </w:p>
        </w:tc>
        <w:tc>
          <w:tcPr>
            <w:tcW w:w="1133" w:type="dxa"/>
            <w:vAlign w:val="center"/>
          </w:tcPr>
          <w:p w14:paraId="6BF9F67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0.503</w:t>
            </w:r>
          </w:p>
        </w:tc>
        <w:tc>
          <w:tcPr>
            <w:tcW w:w="944" w:type="dxa"/>
            <w:vAlign w:val="center"/>
          </w:tcPr>
          <w:p w14:paraId="6F7189A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3.40</w:t>
            </w:r>
          </w:p>
        </w:tc>
        <w:tc>
          <w:tcPr>
            <w:tcW w:w="1911" w:type="dxa"/>
            <w:vAlign w:val="center"/>
          </w:tcPr>
          <w:p w14:paraId="71BB864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2C469B76" w14:textId="77777777">
        <w:tc>
          <w:tcPr>
            <w:tcW w:w="4771" w:type="dxa"/>
            <w:tcBorders>
              <w:bottom w:val="nil"/>
            </w:tcBorders>
            <w:vAlign w:val="center"/>
          </w:tcPr>
          <w:p w14:paraId="3CBB41E1"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Interactional Justice</w:t>
            </w:r>
          </w:p>
        </w:tc>
        <w:tc>
          <w:tcPr>
            <w:tcW w:w="1133" w:type="dxa"/>
            <w:tcBorders>
              <w:bottom w:val="nil"/>
            </w:tcBorders>
            <w:vAlign w:val="center"/>
          </w:tcPr>
          <w:p w14:paraId="76DB313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0.489</w:t>
            </w:r>
          </w:p>
        </w:tc>
        <w:tc>
          <w:tcPr>
            <w:tcW w:w="944" w:type="dxa"/>
            <w:tcBorders>
              <w:bottom w:val="nil"/>
            </w:tcBorders>
            <w:vAlign w:val="center"/>
          </w:tcPr>
          <w:p w14:paraId="51FB50E9"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3.45</w:t>
            </w:r>
          </w:p>
        </w:tc>
        <w:tc>
          <w:tcPr>
            <w:tcW w:w="1911" w:type="dxa"/>
            <w:tcBorders>
              <w:bottom w:val="nil"/>
            </w:tcBorders>
            <w:vAlign w:val="center"/>
          </w:tcPr>
          <w:p w14:paraId="315BDD54"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0A6C3196" w14:textId="77777777">
        <w:tc>
          <w:tcPr>
            <w:tcW w:w="4771" w:type="dxa"/>
            <w:tcBorders>
              <w:top w:val="nil"/>
              <w:bottom w:val="nil"/>
            </w:tcBorders>
          </w:tcPr>
          <w:p w14:paraId="2BC6BD55" w14:textId="77777777" w:rsidR="00D46C47" w:rsidRPr="00E0735E" w:rsidRDefault="00513FB1">
            <w:pPr>
              <w:spacing w:after="60"/>
              <w:rPr>
                <w:rFonts w:ascii="Arial" w:eastAsia="Cambria" w:hAnsi="Arial" w:cs="Arial"/>
                <w:i/>
                <w:iCs/>
                <w:sz w:val="22"/>
                <w:szCs w:val="22"/>
              </w:rPr>
            </w:pPr>
            <w:r w:rsidRPr="00E0735E">
              <w:rPr>
                <w:rFonts w:ascii="Arial" w:eastAsia="Cambria" w:hAnsi="Arial" w:cs="Arial"/>
                <w:b/>
                <w:bCs/>
                <w:i/>
                <w:iCs/>
                <w:sz w:val="22"/>
                <w:szCs w:val="22"/>
              </w:rPr>
              <w:t xml:space="preserve">Teacher Retention </w:t>
            </w:r>
          </w:p>
        </w:tc>
        <w:tc>
          <w:tcPr>
            <w:tcW w:w="1133" w:type="dxa"/>
            <w:tcBorders>
              <w:top w:val="nil"/>
              <w:bottom w:val="nil"/>
            </w:tcBorders>
            <w:vAlign w:val="center"/>
          </w:tcPr>
          <w:p w14:paraId="025A39F4"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0.452</w:t>
            </w:r>
          </w:p>
        </w:tc>
        <w:tc>
          <w:tcPr>
            <w:tcW w:w="944" w:type="dxa"/>
            <w:tcBorders>
              <w:top w:val="nil"/>
              <w:bottom w:val="nil"/>
            </w:tcBorders>
            <w:vAlign w:val="center"/>
          </w:tcPr>
          <w:p w14:paraId="5A6DF179"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3.37</w:t>
            </w:r>
          </w:p>
        </w:tc>
        <w:tc>
          <w:tcPr>
            <w:tcW w:w="1911" w:type="dxa"/>
            <w:tcBorders>
              <w:top w:val="nil"/>
              <w:bottom w:val="nil"/>
            </w:tcBorders>
            <w:vAlign w:val="center"/>
          </w:tcPr>
          <w:p w14:paraId="46D592C4" w14:textId="77777777" w:rsidR="00D46C47" w:rsidRPr="00E0735E" w:rsidRDefault="00513FB1">
            <w:pPr>
              <w:spacing w:after="60"/>
              <w:jc w:val="center"/>
              <w:rPr>
                <w:rFonts w:ascii="Arial" w:eastAsia="Cambria" w:hAnsi="Arial" w:cs="Arial"/>
                <w:b/>
                <w:bCs/>
                <w:i/>
                <w:iCs/>
                <w:sz w:val="22"/>
                <w:szCs w:val="22"/>
              </w:rPr>
            </w:pPr>
            <w:r w:rsidRPr="00E0735E">
              <w:rPr>
                <w:rFonts w:ascii="Arial" w:eastAsia="Cambria" w:hAnsi="Arial" w:cs="Arial"/>
                <w:b/>
                <w:bCs/>
                <w:i/>
                <w:iCs/>
                <w:sz w:val="22"/>
                <w:szCs w:val="22"/>
              </w:rPr>
              <w:t>Very High</w:t>
            </w:r>
          </w:p>
        </w:tc>
      </w:tr>
      <w:tr w:rsidR="00D46C47" w:rsidRPr="00E0735E" w14:paraId="7C3934FC" w14:textId="77777777">
        <w:tc>
          <w:tcPr>
            <w:tcW w:w="4771" w:type="dxa"/>
            <w:tcBorders>
              <w:top w:val="nil"/>
              <w:bottom w:val="nil"/>
            </w:tcBorders>
            <w:vAlign w:val="center"/>
          </w:tcPr>
          <w:p w14:paraId="73B70CCC"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Compensation</w:t>
            </w:r>
          </w:p>
        </w:tc>
        <w:tc>
          <w:tcPr>
            <w:tcW w:w="1133" w:type="dxa"/>
            <w:tcBorders>
              <w:top w:val="nil"/>
              <w:bottom w:val="nil"/>
            </w:tcBorders>
            <w:vAlign w:val="center"/>
          </w:tcPr>
          <w:p w14:paraId="5072EEF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0.552</w:t>
            </w:r>
          </w:p>
        </w:tc>
        <w:tc>
          <w:tcPr>
            <w:tcW w:w="944" w:type="dxa"/>
            <w:tcBorders>
              <w:top w:val="nil"/>
              <w:bottom w:val="nil"/>
            </w:tcBorders>
            <w:vAlign w:val="center"/>
          </w:tcPr>
          <w:p w14:paraId="64472392"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3.33</w:t>
            </w:r>
          </w:p>
        </w:tc>
        <w:tc>
          <w:tcPr>
            <w:tcW w:w="1911" w:type="dxa"/>
            <w:tcBorders>
              <w:top w:val="nil"/>
              <w:bottom w:val="nil"/>
            </w:tcBorders>
            <w:vAlign w:val="center"/>
          </w:tcPr>
          <w:p w14:paraId="182C72B4"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647A38EA" w14:textId="77777777">
        <w:tc>
          <w:tcPr>
            <w:tcW w:w="4771" w:type="dxa"/>
            <w:tcBorders>
              <w:top w:val="nil"/>
            </w:tcBorders>
            <w:vAlign w:val="center"/>
          </w:tcPr>
          <w:p w14:paraId="39B2A055"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Administrative Support</w:t>
            </w:r>
          </w:p>
        </w:tc>
        <w:tc>
          <w:tcPr>
            <w:tcW w:w="1133" w:type="dxa"/>
            <w:tcBorders>
              <w:top w:val="nil"/>
            </w:tcBorders>
            <w:vAlign w:val="center"/>
          </w:tcPr>
          <w:p w14:paraId="14BDAF3A"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0.546</w:t>
            </w:r>
          </w:p>
        </w:tc>
        <w:tc>
          <w:tcPr>
            <w:tcW w:w="944" w:type="dxa"/>
            <w:tcBorders>
              <w:top w:val="nil"/>
            </w:tcBorders>
            <w:vAlign w:val="center"/>
          </w:tcPr>
          <w:p w14:paraId="4BF80F73"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3.33</w:t>
            </w:r>
          </w:p>
        </w:tc>
        <w:tc>
          <w:tcPr>
            <w:tcW w:w="1911" w:type="dxa"/>
            <w:tcBorders>
              <w:top w:val="nil"/>
            </w:tcBorders>
            <w:vAlign w:val="center"/>
          </w:tcPr>
          <w:p w14:paraId="06757E48"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55342A5C" w14:textId="77777777">
        <w:tc>
          <w:tcPr>
            <w:tcW w:w="4771" w:type="dxa"/>
            <w:tcBorders>
              <w:top w:val="nil"/>
              <w:bottom w:val="nil"/>
            </w:tcBorders>
            <w:vAlign w:val="center"/>
          </w:tcPr>
          <w:p w14:paraId="3FE66204"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Working Conditions</w:t>
            </w:r>
          </w:p>
        </w:tc>
        <w:tc>
          <w:tcPr>
            <w:tcW w:w="1133" w:type="dxa"/>
            <w:tcBorders>
              <w:top w:val="nil"/>
              <w:bottom w:val="nil"/>
            </w:tcBorders>
            <w:vAlign w:val="center"/>
          </w:tcPr>
          <w:p w14:paraId="044B1AB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0.464</w:t>
            </w:r>
          </w:p>
        </w:tc>
        <w:tc>
          <w:tcPr>
            <w:tcW w:w="944" w:type="dxa"/>
            <w:tcBorders>
              <w:top w:val="nil"/>
              <w:bottom w:val="nil"/>
            </w:tcBorders>
            <w:vAlign w:val="center"/>
          </w:tcPr>
          <w:p w14:paraId="504C50C5"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3.39</w:t>
            </w:r>
          </w:p>
        </w:tc>
        <w:tc>
          <w:tcPr>
            <w:tcW w:w="1911" w:type="dxa"/>
            <w:tcBorders>
              <w:top w:val="nil"/>
              <w:bottom w:val="nil"/>
            </w:tcBorders>
            <w:vAlign w:val="center"/>
          </w:tcPr>
          <w:p w14:paraId="1AC3663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r w:rsidR="00D46C47" w:rsidRPr="00E0735E" w14:paraId="317D1668" w14:textId="77777777">
        <w:tc>
          <w:tcPr>
            <w:tcW w:w="4771" w:type="dxa"/>
            <w:tcBorders>
              <w:top w:val="nil"/>
              <w:bottom w:val="single" w:sz="4" w:space="0" w:color="000000"/>
            </w:tcBorders>
            <w:vAlign w:val="center"/>
          </w:tcPr>
          <w:p w14:paraId="4D49ECFA" w14:textId="77777777" w:rsidR="00D46C47" w:rsidRPr="00E0735E" w:rsidRDefault="00513FB1">
            <w:pPr>
              <w:spacing w:after="60"/>
              <w:rPr>
                <w:rFonts w:ascii="Arial" w:eastAsia="Cambria" w:hAnsi="Arial" w:cs="Arial"/>
                <w:sz w:val="22"/>
                <w:szCs w:val="22"/>
              </w:rPr>
            </w:pPr>
            <w:r w:rsidRPr="00E0735E">
              <w:rPr>
                <w:rFonts w:ascii="Arial" w:eastAsia="Cambria" w:hAnsi="Arial" w:cs="Arial"/>
                <w:sz w:val="22"/>
                <w:szCs w:val="22"/>
              </w:rPr>
              <w:t xml:space="preserve">     Professional Growth</w:t>
            </w:r>
          </w:p>
        </w:tc>
        <w:tc>
          <w:tcPr>
            <w:tcW w:w="1133" w:type="dxa"/>
            <w:tcBorders>
              <w:top w:val="nil"/>
              <w:bottom w:val="single" w:sz="4" w:space="0" w:color="000000"/>
            </w:tcBorders>
            <w:vAlign w:val="center"/>
          </w:tcPr>
          <w:p w14:paraId="28151FB1"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0.505</w:t>
            </w:r>
          </w:p>
        </w:tc>
        <w:tc>
          <w:tcPr>
            <w:tcW w:w="944" w:type="dxa"/>
            <w:tcBorders>
              <w:top w:val="nil"/>
              <w:bottom w:val="single" w:sz="4" w:space="0" w:color="000000"/>
            </w:tcBorders>
            <w:vAlign w:val="center"/>
          </w:tcPr>
          <w:p w14:paraId="4D6DA038"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3.43</w:t>
            </w:r>
          </w:p>
        </w:tc>
        <w:tc>
          <w:tcPr>
            <w:tcW w:w="1911" w:type="dxa"/>
            <w:tcBorders>
              <w:top w:val="nil"/>
              <w:bottom w:val="single" w:sz="4" w:space="0" w:color="000000"/>
            </w:tcBorders>
            <w:vAlign w:val="center"/>
          </w:tcPr>
          <w:p w14:paraId="01A852CC" w14:textId="77777777" w:rsidR="00D46C47" w:rsidRPr="00E0735E" w:rsidRDefault="00513FB1">
            <w:pPr>
              <w:spacing w:after="60"/>
              <w:jc w:val="center"/>
              <w:rPr>
                <w:rFonts w:ascii="Arial" w:eastAsia="Cambria" w:hAnsi="Arial" w:cs="Arial"/>
                <w:sz w:val="22"/>
                <w:szCs w:val="22"/>
              </w:rPr>
            </w:pPr>
            <w:r w:rsidRPr="00E0735E">
              <w:rPr>
                <w:rFonts w:ascii="Arial" w:eastAsia="Cambria" w:hAnsi="Arial" w:cs="Arial"/>
                <w:sz w:val="22"/>
                <w:szCs w:val="22"/>
              </w:rPr>
              <w:t>Very High</w:t>
            </w:r>
          </w:p>
        </w:tc>
      </w:tr>
    </w:tbl>
    <w:p w14:paraId="26D15366" w14:textId="77777777" w:rsidR="00D46C47" w:rsidRPr="00E0735E" w:rsidRDefault="00D46C47">
      <w:pPr>
        <w:widowControl w:val="0"/>
        <w:spacing w:after="0" w:line="240" w:lineRule="auto"/>
        <w:ind w:left="0" w:firstLine="0"/>
        <w:rPr>
          <w:rFonts w:eastAsia="Cambria"/>
          <w:b/>
          <w:bCs/>
          <w:color w:val="000000"/>
        </w:rPr>
      </w:pPr>
    </w:p>
    <w:p w14:paraId="54F12944" w14:textId="65FB991C" w:rsidR="000F6093" w:rsidRPr="000F6093" w:rsidRDefault="000F6093" w:rsidP="000F6093">
      <w:pPr>
        <w:spacing w:after="0" w:line="240" w:lineRule="auto"/>
        <w:ind w:left="0" w:firstLine="720"/>
        <w:rPr>
          <w:rFonts w:eastAsia="Cambria"/>
          <w:color w:val="000000"/>
        </w:rPr>
      </w:pPr>
      <w:r w:rsidRPr="000F6093">
        <w:rPr>
          <w:rFonts w:eastAsia="Cambria"/>
          <w:color w:val="000000"/>
        </w:rPr>
        <w:t>Specifically,</w:t>
      </w:r>
      <w:r>
        <w:rPr>
          <w:rFonts w:eastAsia="Cambria"/>
          <w:color w:val="000000"/>
        </w:rPr>
        <w:t xml:space="preserve"> </w:t>
      </w:r>
      <w:r w:rsidRPr="000F6093">
        <w:rPr>
          <w:rFonts w:eastAsia="Cambria"/>
          <w:color w:val="000000"/>
        </w:rPr>
        <w:t>the table shows that the psychological well-being variable had a</w:t>
      </w:r>
      <w:r>
        <w:rPr>
          <w:rFonts w:eastAsia="Cambria"/>
          <w:color w:val="000000"/>
        </w:rPr>
        <w:t xml:space="preserve"> </w:t>
      </w:r>
      <w:r w:rsidRPr="000F6093">
        <w:rPr>
          <w:rFonts w:eastAsia="Cambria"/>
          <w:color w:val="000000"/>
        </w:rPr>
        <w:t>mean of 3.45, indicating very high psychological well-being. It indicates that</w:t>
      </w:r>
      <w:r>
        <w:rPr>
          <w:rFonts w:eastAsia="Cambria"/>
          <w:color w:val="000000"/>
        </w:rPr>
        <w:t xml:space="preserve"> </w:t>
      </w:r>
      <w:r w:rsidRPr="000F6093">
        <w:rPr>
          <w:rFonts w:eastAsia="Cambria"/>
          <w:color w:val="000000"/>
        </w:rPr>
        <w:t>teachers</w:t>
      </w:r>
      <w:r w:rsidR="00066892">
        <w:rPr>
          <w:rFonts w:eastAsia="Cambria"/>
          <w:color w:val="000000"/>
        </w:rPr>
        <w:t>’</w:t>
      </w:r>
      <w:r w:rsidRPr="000F6093">
        <w:rPr>
          <w:rFonts w:eastAsia="Cambria"/>
          <w:color w:val="000000"/>
        </w:rPr>
        <w:t xml:space="preserve"> psychological well-being is very good. All indicators were likewise</w:t>
      </w:r>
      <w:r>
        <w:rPr>
          <w:rFonts w:eastAsia="Cambria"/>
          <w:color w:val="000000"/>
        </w:rPr>
        <w:t xml:space="preserve"> </w:t>
      </w:r>
      <w:r w:rsidRPr="000F6093">
        <w:rPr>
          <w:rFonts w:eastAsia="Cambria"/>
          <w:color w:val="000000"/>
        </w:rPr>
        <w:t>rated as very high. The corresponding standard deviation of 0.303 reflects</w:t>
      </w:r>
      <w:r>
        <w:rPr>
          <w:rFonts w:eastAsia="Cambria"/>
          <w:color w:val="000000"/>
        </w:rPr>
        <w:t xml:space="preserve"> </w:t>
      </w:r>
      <w:r w:rsidRPr="000F6093">
        <w:rPr>
          <w:rFonts w:eastAsia="Cambria"/>
          <w:color w:val="000000"/>
        </w:rPr>
        <w:t xml:space="preserve">highly consistent </w:t>
      </w:r>
      <w:r w:rsidRPr="000F6093">
        <w:rPr>
          <w:rFonts w:eastAsia="Cambria"/>
          <w:color w:val="000000"/>
        </w:rPr>
        <w:lastRenderedPageBreak/>
        <w:t>responses among the respondents. Moreover,</w:t>
      </w:r>
      <w:r>
        <w:rPr>
          <w:rFonts w:eastAsia="Cambria"/>
          <w:color w:val="000000"/>
        </w:rPr>
        <w:t xml:space="preserve"> </w:t>
      </w:r>
      <w:r w:rsidRPr="000F6093">
        <w:rPr>
          <w:rFonts w:eastAsia="Cambria"/>
          <w:color w:val="000000"/>
        </w:rPr>
        <w:t>the perceived</w:t>
      </w:r>
      <w:r>
        <w:rPr>
          <w:rFonts w:eastAsia="Cambria"/>
          <w:color w:val="000000"/>
        </w:rPr>
        <w:t xml:space="preserve"> </w:t>
      </w:r>
      <w:r w:rsidRPr="000F6093">
        <w:rPr>
          <w:rFonts w:eastAsia="Cambria"/>
          <w:color w:val="000000"/>
        </w:rPr>
        <w:t>organizational justice variable had a mean of 3.44, described as very high,</w:t>
      </w:r>
      <w:r>
        <w:rPr>
          <w:rFonts w:eastAsia="Cambria"/>
          <w:color w:val="000000"/>
        </w:rPr>
        <w:t xml:space="preserve"> </w:t>
      </w:r>
      <w:r w:rsidRPr="000F6093">
        <w:rPr>
          <w:rFonts w:eastAsia="Cambria"/>
          <w:color w:val="000000"/>
        </w:rPr>
        <w:t>indicating that teachers perceive a very good level of fairness within their</w:t>
      </w:r>
      <w:r>
        <w:rPr>
          <w:rFonts w:eastAsia="Cambria"/>
          <w:color w:val="000000"/>
        </w:rPr>
        <w:t xml:space="preserve"> </w:t>
      </w:r>
      <w:r w:rsidRPr="000F6093">
        <w:rPr>
          <w:rFonts w:eastAsia="Cambria"/>
          <w:color w:val="000000"/>
        </w:rPr>
        <w:t>organization. All indicators were also rated as very high. The standard deviation</w:t>
      </w:r>
      <w:r>
        <w:rPr>
          <w:rFonts w:eastAsia="Cambria"/>
          <w:color w:val="000000"/>
        </w:rPr>
        <w:t xml:space="preserve"> </w:t>
      </w:r>
      <w:r w:rsidRPr="000F6093">
        <w:rPr>
          <w:rFonts w:eastAsia="Cambria"/>
          <w:color w:val="000000"/>
        </w:rPr>
        <w:t>of 0.437 indicates highly consistent responses. Finally,</w:t>
      </w:r>
      <w:r>
        <w:rPr>
          <w:rFonts w:eastAsia="Cambria"/>
          <w:color w:val="000000"/>
        </w:rPr>
        <w:t xml:space="preserve"> </w:t>
      </w:r>
      <w:r w:rsidRPr="000F6093">
        <w:rPr>
          <w:rFonts w:eastAsia="Cambria"/>
          <w:color w:val="000000"/>
        </w:rPr>
        <w:t>the teacher retention</w:t>
      </w:r>
      <w:r>
        <w:rPr>
          <w:rFonts w:eastAsia="Cambria"/>
          <w:color w:val="000000"/>
        </w:rPr>
        <w:t xml:space="preserve"> </w:t>
      </w:r>
      <w:r w:rsidRPr="000F6093">
        <w:rPr>
          <w:rFonts w:eastAsia="Cambria"/>
          <w:color w:val="000000"/>
        </w:rPr>
        <w:t>variable obtained a mean of 3.37, described as very high, indicating very good</w:t>
      </w:r>
      <w:r>
        <w:rPr>
          <w:rFonts w:eastAsia="Cambria"/>
          <w:color w:val="000000"/>
        </w:rPr>
        <w:t xml:space="preserve"> </w:t>
      </w:r>
      <w:r w:rsidRPr="000F6093">
        <w:rPr>
          <w:rFonts w:eastAsia="Cambria"/>
          <w:color w:val="000000"/>
        </w:rPr>
        <w:t>retention levels among teachers. All indicators were likewise rated as very high.</w:t>
      </w:r>
      <w:r>
        <w:rPr>
          <w:rFonts w:eastAsia="Cambria"/>
          <w:color w:val="000000"/>
        </w:rPr>
        <w:t xml:space="preserve"> </w:t>
      </w:r>
      <w:r w:rsidRPr="000F6093">
        <w:rPr>
          <w:rFonts w:eastAsia="Cambria"/>
          <w:color w:val="000000"/>
        </w:rPr>
        <w:t>The corresponding standard deviation of 0.452 reflects highly consistent</w:t>
      </w:r>
      <w:r>
        <w:rPr>
          <w:rFonts w:eastAsia="Cambria"/>
          <w:color w:val="000000"/>
        </w:rPr>
        <w:t xml:space="preserve"> </w:t>
      </w:r>
      <w:r w:rsidRPr="000F6093">
        <w:rPr>
          <w:rFonts w:eastAsia="Cambria"/>
          <w:color w:val="000000"/>
        </w:rPr>
        <w:t>responses across respondents.</w:t>
      </w:r>
    </w:p>
    <w:p w14:paraId="4B56BEFC" w14:textId="77777777" w:rsidR="000F6093" w:rsidRDefault="000F6093" w:rsidP="000F6093">
      <w:pPr>
        <w:spacing w:after="0" w:line="240" w:lineRule="auto"/>
        <w:ind w:left="0" w:firstLine="0"/>
        <w:rPr>
          <w:rFonts w:eastAsia="Cambria"/>
          <w:color w:val="000000"/>
        </w:rPr>
      </w:pPr>
    </w:p>
    <w:p w14:paraId="20D86EFE" w14:textId="0A4F1E5D" w:rsidR="00D46C47" w:rsidRDefault="000F6093" w:rsidP="000F6093">
      <w:pPr>
        <w:spacing w:after="0" w:line="240" w:lineRule="auto"/>
        <w:ind w:left="0" w:firstLine="720"/>
        <w:rPr>
          <w:rFonts w:eastAsia="Cambria"/>
          <w:color w:val="000000"/>
        </w:rPr>
      </w:pPr>
      <w:r w:rsidRPr="000F6093">
        <w:rPr>
          <w:rFonts w:eastAsia="Cambria"/>
          <w:color w:val="000000"/>
        </w:rPr>
        <w:t>Psychological well-being, perceived organizational justice, and teacher</w:t>
      </w:r>
      <w:r>
        <w:rPr>
          <w:rFonts w:eastAsia="Cambria"/>
          <w:color w:val="000000"/>
        </w:rPr>
        <w:t xml:space="preserve"> </w:t>
      </w:r>
      <w:r w:rsidRPr="000F6093">
        <w:rPr>
          <w:rFonts w:eastAsia="Cambria"/>
          <w:color w:val="000000"/>
        </w:rPr>
        <w:t>retention are consistently interpreted at very high levels. This indicates very</w:t>
      </w:r>
      <w:r>
        <w:rPr>
          <w:rFonts w:eastAsia="Cambria"/>
          <w:color w:val="000000"/>
        </w:rPr>
        <w:t xml:space="preserve"> </w:t>
      </w:r>
      <w:r w:rsidRPr="000F6093">
        <w:rPr>
          <w:rFonts w:eastAsia="Cambria"/>
          <w:color w:val="000000"/>
        </w:rPr>
        <w:t>good conditions across the three variables among teachers. The uniformly high</w:t>
      </w:r>
      <w:r>
        <w:rPr>
          <w:rFonts w:eastAsia="Cambria"/>
          <w:color w:val="000000"/>
        </w:rPr>
        <w:t xml:space="preserve"> </w:t>
      </w:r>
      <w:r w:rsidRPr="000F6093">
        <w:rPr>
          <w:rFonts w:eastAsia="Cambria"/>
          <w:color w:val="000000"/>
        </w:rPr>
        <w:t>ratings across all indicators suggest aligned positive perceptions,</w:t>
      </w:r>
      <w:r>
        <w:rPr>
          <w:rFonts w:eastAsia="Cambria"/>
          <w:color w:val="000000"/>
        </w:rPr>
        <w:t xml:space="preserve"> </w:t>
      </w:r>
      <w:r w:rsidRPr="000F6093">
        <w:rPr>
          <w:rFonts w:eastAsia="Cambria"/>
          <w:color w:val="000000"/>
        </w:rPr>
        <w:t>reflecting</w:t>
      </w:r>
      <w:r>
        <w:rPr>
          <w:rFonts w:eastAsia="Cambria"/>
          <w:color w:val="000000"/>
        </w:rPr>
        <w:t xml:space="preserve"> </w:t>
      </w:r>
      <w:r w:rsidRPr="000F6093">
        <w:rPr>
          <w:rFonts w:eastAsia="Cambria"/>
          <w:color w:val="000000"/>
        </w:rPr>
        <w:t>that teachers experience strong well-being, perceive fairness in their</w:t>
      </w:r>
      <w:r>
        <w:rPr>
          <w:rFonts w:eastAsia="Cambria"/>
          <w:color w:val="000000"/>
        </w:rPr>
        <w:t xml:space="preserve"> </w:t>
      </w:r>
      <w:r w:rsidRPr="000F6093">
        <w:rPr>
          <w:rFonts w:eastAsia="Cambria"/>
          <w:color w:val="000000"/>
        </w:rPr>
        <w:t>organization, and demonstrate very good retention tendencies in their</w:t>
      </w:r>
      <w:r>
        <w:rPr>
          <w:rFonts w:eastAsia="Cambria"/>
          <w:color w:val="000000"/>
        </w:rPr>
        <w:t xml:space="preserve"> </w:t>
      </w:r>
      <w:r w:rsidRPr="000F6093">
        <w:rPr>
          <w:rFonts w:eastAsia="Cambria"/>
          <w:color w:val="000000"/>
        </w:rPr>
        <w:t>professional setting.</w:t>
      </w:r>
    </w:p>
    <w:p w14:paraId="6B2ED5D4" w14:textId="77777777" w:rsidR="000F6093" w:rsidRPr="00E0735E" w:rsidRDefault="000F6093" w:rsidP="000F6093">
      <w:pPr>
        <w:spacing w:after="0" w:line="240" w:lineRule="auto"/>
        <w:ind w:left="0" w:firstLine="0"/>
        <w:rPr>
          <w:rFonts w:eastAsia="Cambria"/>
        </w:rPr>
      </w:pPr>
    </w:p>
    <w:p w14:paraId="2A26DA6B"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 xml:space="preserve">Correlation Results </w:t>
      </w:r>
    </w:p>
    <w:p w14:paraId="2F961409" w14:textId="77777777" w:rsidR="00D46C47" w:rsidRPr="00E0735E" w:rsidRDefault="00D46C47">
      <w:pPr>
        <w:spacing w:after="0" w:line="240" w:lineRule="auto"/>
        <w:ind w:left="0" w:firstLine="720"/>
        <w:rPr>
          <w:rFonts w:eastAsia="Cambria"/>
          <w:color w:val="000000"/>
        </w:rPr>
      </w:pPr>
    </w:p>
    <w:p w14:paraId="214574C2" w14:textId="20C78BB8" w:rsidR="00D46C47" w:rsidRPr="00E0735E" w:rsidRDefault="000F6093" w:rsidP="000F6093">
      <w:pPr>
        <w:spacing w:after="0" w:line="240" w:lineRule="auto"/>
        <w:ind w:left="0" w:firstLine="720"/>
        <w:rPr>
          <w:rFonts w:eastAsia="Cambria"/>
          <w:color w:val="000000"/>
        </w:rPr>
      </w:pPr>
      <w:r w:rsidRPr="000F6093">
        <w:rPr>
          <w:rFonts w:eastAsia="Cambria"/>
          <w:color w:val="000000"/>
        </w:rPr>
        <w:t>Shown in Table 2 is the correlation table. It contains the predictive and criterion</w:t>
      </w:r>
      <w:r>
        <w:rPr>
          <w:rFonts w:eastAsia="Cambria"/>
          <w:color w:val="000000"/>
        </w:rPr>
        <w:t xml:space="preserve"> </w:t>
      </w:r>
      <w:r w:rsidRPr="000F6093">
        <w:rPr>
          <w:rFonts w:eastAsia="Cambria"/>
          <w:color w:val="000000"/>
        </w:rPr>
        <w:t>variables. Likewise,</w:t>
      </w:r>
      <w:r>
        <w:rPr>
          <w:rFonts w:eastAsia="Cambria"/>
          <w:color w:val="000000"/>
        </w:rPr>
        <w:t xml:space="preserve"> </w:t>
      </w:r>
      <w:r w:rsidRPr="000F6093">
        <w:rPr>
          <w:rFonts w:eastAsia="Cambria"/>
          <w:color w:val="000000"/>
        </w:rPr>
        <w:t xml:space="preserve">the </w:t>
      </w:r>
      <w:proofErr w:type="spellStart"/>
      <w:r w:rsidRPr="000F6093">
        <w:rPr>
          <w:rFonts w:eastAsia="Cambria"/>
          <w:color w:val="000000"/>
        </w:rPr>
        <w:t>r-value</w:t>
      </w:r>
      <w:proofErr w:type="spellEnd"/>
      <w:r w:rsidRPr="000F6093">
        <w:rPr>
          <w:rFonts w:eastAsia="Cambria"/>
          <w:color w:val="000000"/>
        </w:rPr>
        <w:t>, p-value, decision on hypotheses, and</w:t>
      </w:r>
      <w:r>
        <w:rPr>
          <w:rFonts w:eastAsia="Cambria"/>
          <w:color w:val="000000"/>
        </w:rPr>
        <w:t xml:space="preserve"> </w:t>
      </w:r>
      <w:r w:rsidRPr="000F6093">
        <w:rPr>
          <w:rFonts w:eastAsia="Cambria"/>
          <w:color w:val="000000"/>
        </w:rPr>
        <w:t>interpretation are presented.</w:t>
      </w:r>
    </w:p>
    <w:p w14:paraId="2F17027F" w14:textId="77777777" w:rsidR="000F6093" w:rsidRDefault="000F6093">
      <w:pPr>
        <w:spacing w:after="0"/>
        <w:rPr>
          <w:rFonts w:eastAsia="Cambria"/>
          <w:i/>
          <w:iCs/>
        </w:rPr>
      </w:pPr>
    </w:p>
    <w:p w14:paraId="009D0156" w14:textId="50C84BF6" w:rsidR="00D46C47" w:rsidRPr="00E0735E" w:rsidRDefault="00513FB1">
      <w:pPr>
        <w:spacing w:after="0"/>
        <w:rPr>
          <w:rFonts w:eastAsia="Cambria"/>
          <w:i/>
          <w:iCs/>
        </w:rPr>
      </w:pPr>
      <w:r w:rsidRPr="00E0735E">
        <w:rPr>
          <w:rFonts w:eastAsia="Cambria"/>
          <w:i/>
          <w:iCs/>
        </w:rPr>
        <w:t>Table 2. Correlation Table (N=321)</w:t>
      </w:r>
    </w:p>
    <w:tbl>
      <w:tblPr>
        <w:tblStyle w:val="a4"/>
        <w:tblW w:w="8801"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40"/>
        <w:gridCol w:w="799"/>
        <w:gridCol w:w="852"/>
        <w:gridCol w:w="1192"/>
        <w:gridCol w:w="3318"/>
      </w:tblGrid>
      <w:tr w:rsidR="00D46C47" w:rsidRPr="00E0735E" w14:paraId="39223822" w14:textId="77777777">
        <w:tc>
          <w:tcPr>
            <w:tcW w:w="2640" w:type="dxa"/>
            <w:tcBorders>
              <w:top w:val="single" w:sz="4" w:space="0" w:color="000000"/>
              <w:right w:val="single" w:sz="4" w:space="0" w:color="000000"/>
            </w:tcBorders>
          </w:tcPr>
          <w:p w14:paraId="2248DEF7" w14:textId="77777777" w:rsidR="00D46C47" w:rsidRPr="00E0735E" w:rsidRDefault="00D46C47">
            <w:pPr>
              <w:spacing w:line="259" w:lineRule="auto"/>
              <w:rPr>
                <w:rFonts w:ascii="Arial" w:eastAsia="Cambria" w:hAnsi="Arial" w:cs="Arial"/>
                <w:b/>
                <w:bCs/>
                <w:sz w:val="24"/>
                <w:szCs w:val="24"/>
              </w:rPr>
            </w:pPr>
          </w:p>
        </w:tc>
        <w:tc>
          <w:tcPr>
            <w:tcW w:w="6161" w:type="dxa"/>
            <w:gridSpan w:val="4"/>
            <w:tcBorders>
              <w:top w:val="single" w:sz="4" w:space="0" w:color="000000"/>
              <w:left w:val="single" w:sz="4" w:space="0" w:color="000000"/>
              <w:bottom w:val="single" w:sz="4" w:space="0" w:color="000000"/>
            </w:tcBorders>
            <w:vAlign w:val="center"/>
          </w:tcPr>
          <w:p w14:paraId="609E6F57"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i/>
                <w:iCs/>
                <w:sz w:val="24"/>
                <w:szCs w:val="24"/>
              </w:rPr>
              <w:t xml:space="preserve">Teacher Retention </w:t>
            </w:r>
          </w:p>
        </w:tc>
      </w:tr>
      <w:tr w:rsidR="00D46C47" w:rsidRPr="00E0735E" w14:paraId="4C53757E" w14:textId="77777777">
        <w:tc>
          <w:tcPr>
            <w:tcW w:w="2640" w:type="dxa"/>
            <w:tcBorders>
              <w:bottom w:val="single" w:sz="4" w:space="0" w:color="000000"/>
              <w:right w:val="single" w:sz="4" w:space="0" w:color="000000"/>
            </w:tcBorders>
            <w:vAlign w:val="center"/>
          </w:tcPr>
          <w:p w14:paraId="70D03223" w14:textId="77777777" w:rsidR="00D46C47" w:rsidRPr="00E0735E" w:rsidRDefault="00513FB1">
            <w:pPr>
              <w:spacing w:line="259" w:lineRule="auto"/>
              <w:rPr>
                <w:rFonts w:ascii="Arial" w:eastAsia="Cambria" w:hAnsi="Arial" w:cs="Arial"/>
                <w:b/>
                <w:bCs/>
                <w:sz w:val="24"/>
                <w:szCs w:val="24"/>
              </w:rPr>
            </w:pPr>
            <w:r w:rsidRPr="00E0735E">
              <w:rPr>
                <w:rFonts w:ascii="Arial" w:eastAsia="Cambria" w:hAnsi="Arial" w:cs="Arial"/>
                <w:b/>
                <w:bCs/>
                <w:sz w:val="24"/>
                <w:szCs w:val="24"/>
              </w:rPr>
              <w:t>Variables</w:t>
            </w:r>
          </w:p>
        </w:tc>
        <w:tc>
          <w:tcPr>
            <w:tcW w:w="799" w:type="dxa"/>
            <w:tcBorders>
              <w:top w:val="single" w:sz="4" w:space="0" w:color="000000"/>
              <w:bottom w:val="single" w:sz="4" w:space="0" w:color="000000"/>
            </w:tcBorders>
            <w:vAlign w:val="center"/>
          </w:tcPr>
          <w:p w14:paraId="7E2054FC"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r</w:t>
            </w:r>
          </w:p>
        </w:tc>
        <w:tc>
          <w:tcPr>
            <w:tcW w:w="852" w:type="dxa"/>
            <w:tcBorders>
              <w:top w:val="single" w:sz="4" w:space="0" w:color="000000"/>
              <w:bottom w:val="single" w:sz="4" w:space="0" w:color="000000"/>
            </w:tcBorders>
            <w:vAlign w:val="center"/>
          </w:tcPr>
          <w:p w14:paraId="39693385"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p-value</w:t>
            </w:r>
          </w:p>
        </w:tc>
        <w:tc>
          <w:tcPr>
            <w:tcW w:w="1192" w:type="dxa"/>
            <w:tcBorders>
              <w:top w:val="single" w:sz="4" w:space="0" w:color="000000"/>
              <w:bottom w:val="single" w:sz="4" w:space="0" w:color="000000"/>
            </w:tcBorders>
            <w:vAlign w:val="center"/>
          </w:tcPr>
          <w:p w14:paraId="13EA456B"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 xml:space="preserve">Decision on Ho </w:t>
            </w:r>
          </w:p>
        </w:tc>
        <w:tc>
          <w:tcPr>
            <w:tcW w:w="3318" w:type="dxa"/>
            <w:tcBorders>
              <w:top w:val="single" w:sz="4" w:space="0" w:color="000000"/>
              <w:bottom w:val="single" w:sz="4" w:space="0" w:color="000000"/>
            </w:tcBorders>
            <w:vAlign w:val="center"/>
          </w:tcPr>
          <w:p w14:paraId="1D75D405" w14:textId="77777777" w:rsidR="00D46C47" w:rsidRPr="00E0735E" w:rsidRDefault="00513FB1">
            <w:pPr>
              <w:spacing w:line="259" w:lineRule="auto"/>
              <w:jc w:val="center"/>
              <w:rPr>
                <w:rFonts w:ascii="Arial" w:eastAsia="Cambria" w:hAnsi="Arial" w:cs="Arial"/>
                <w:b/>
                <w:bCs/>
                <w:sz w:val="24"/>
                <w:szCs w:val="24"/>
              </w:rPr>
            </w:pPr>
            <w:r w:rsidRPr="00E0735E">
              <w:rPr>
                <w:rFonts w:ascii="Arial" w:eastAsia="Cambria" w:hAnsi="Arial" w:cs="Arial"/>
                <w:b/>
                <w:bCs/>
                <w:sz w:val="24"/>
                <w:szCs w:val="24"/>
              </w:rPr>
              <w:t>Interpretation</w:t>
            </w:r>
          </w:p>
        </w:tc>
      </w:tr>
      <w:tr w:rsidR="00D46C47" w:rsidRPr="00E0735E" w14:paraId="24EB9B04" w14:textId="77777777">
        <w:trPr>
          <w:trHeight w:val="764"/>
        </w:trPr>
        <w:tc>
          <w:tcPr>
            <w:tcW w:w="2640" w:type="dxa"/>
            <w:tcBorders>
              <w:top w:val="single" w:sz="4" w:space="0" w:color="000000"/>
              <w:right w:val="single" w:sz="4" w:space="0" w:color="000000"/>
            </w:tcBorders>
            <w:vAlign w:val="center"/>
          </w:tcPr>
          <w:p w14:paraId="38CF4D06" w14:textId="77777777" w:rsidR="00D46C47" w:rsidRPr="00E0735E" w:rsidRDefault="00513FB1">
            <w:pPr>
              <w:spacing w:line="259" w:lineRule="auto"/>
              <w:rPr>
                <w:rFonts w:ascii="Arial" w:eastAsia="Cambria" w:hAnsi="Arial" w:cs="Arial"/>
                <w:sz w:val="24"/>
                <w:szCs w:val="24"/>
              </w:rPr>
            </w:pPr>
            <w:r w:rsidRPr="00E0735E">
              <w:rPr>
                <w:rFonts w:ascii="Arial" w:eastAsia="Cambria" w:hAnsi="Arial" w:cs="Arial"/>
                <w:b/>
                <w:bCs/>
                <w:i/>
                <w:iCs/>
                <w:sz w:val="24"/>
                <w:szCs w:val="24"/>
              </w:rPr>
              <w:t xml:space="preserve">Psychological Well-Being </w:t>
            </w:r>
          </w:p>
        </w:tc>
        <w:tc>
          <w:tcPr>
            <w:tcW w:w="799" w:type="dxa"/>
            <w:tcBorders>
              <w:top w:val="single" w:sz="4" w:space="0" w:color="000000"/>
            </w:tcBorders>
            <w:vAlign w:val="center"/>
          </w:tcPr>
          <w:p w14:paraId="03CAA863"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0.540</w:t>
            </w:r>
          </w:p>
        </w:tc>
        <w:tc>
          <w:tcPr>
            <w:tcW w:w="852" w:type="dxa"/>
            <w:tcBorders>
              <w:top w:val="single" w:sz="4" w:space="0" w:color="000000"/>
            </w:tcBorders>
            <w:vAlign w:val="center"/>
          </w:tcPr>
          <w:p w14:paraId="10AAA334"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0.000</w:t>
            </w:r>
          </w:p>
        </w:tc>
        <w:tc>
          <w:tcPr>
            <w:tcW w:w="1192" w:type="dxa"/>
            <w:tcBorders>
              <w:top w:val="single" w:sz="4" w:space="0" w:color="000000"/>
            </w:tcBorders>
            <w:vAlign w:val="center"/>
          </w:tcPr>
          <w:p w14:paraId="7D43AF12"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Reject Ho</w:t>
            </w:r>
          </w:p>
        </w:tc>
        <w:tc>
          <w:tcPr>
            <w:tcW w:w="3318" w:type="dxa"/>
            <w:tcBorders>
              <w:top w:val="single" w:sz="4" w:space="0" w:color="000000"/>
            </w:tcBorders>
            <w:vAlign w:val="center"/>
          </w:tcPr>
          <w:p w14:paraId="28A033AF" w14:textId="77777777" w:rsidR="00D46C47" w:rsidRPr="00E0735E" w:rsidRDefault="00513FB1">
            <w:pPr>
              <w:spacing w:line="259" w:lineRule="auto"/>
              <w:jc w:val="center"/>
              <w:rPr>
                <w:rFonts w:ascii="Arial" w:eastAsia="Cambria" w:hAnsi="Arial" w:cs="Arial"/>
                <w:sz w:val="24"/>
                <w:szCs w:val="24"/>
              </w:rPr>
            </w:pPr>
            <w:r w:rsidRPr="00E0735E">
              <w:rPr>
                <w:rFonts w:ascii="Arial" w:eastAsia="Cambria" w:hAnsi="Arial" w:cs="Arial"/>
                <w:sz w:val="24"/>
                <w:szCs w:val="24"/>
              </w:rPr>
              <w:t>Moderately high positive, significant correlation</w:t>
            </w:r>
          </w:p>
        </w:tc>
      </w:tr>
      <w:tr w:rsidR="00D46C47" w:rsidRPr="00E0735E" w14:paraId="2F98D7CC" w14:textId="77777777">
        <w:trPr>
          <w:trHeight w:val="413"/>
        </w:trPr>
        <w:tc>
          <w:tcPr>
            <w:tcW w:w="2640" w:type="dxa"/>
            <w:tcBorders>
              <w:bottom w:val="single" w:sz="4" w:space="0" w:color="000000"/>
              <w:right w:val="single" w:sz="4" w:space="0" w:color="000000"/>
            </w:tcBorders>
            <w:vAlign w:val="center"/>
          </w:tcPr>
          <w:p w14:paraId="7DA6A524" w14:textId="77777777" w:rsidR="00D46C47" w:rsidRPr="00E0735E" w:rsidRDefault="00513FB1">
            <w:pPr>
              <w:rPr>
                <w:rFonts w:ascii="Arial" w:eastAsia="Cambria" w:hAnsi="Arial" w:cs="Arial"/>
                <w:sz w:val="24"/>
                <w:szCs w:val="24"/>
              </w:rPr>
            </w:pPr>
            <w:r w:rsidRPr="00E0735E">
              <w:rPr>
                <w:rFonts w:ascii="Arial" w:eastAsia="Cambria" w:hAnsi="Arial" w:cs="Arial"/>
                <w:b/>
                <w:bCs/>
                <w:i/>
                <w:iCs/>
                <w:sz w:val="24"/>
                <w:szCs w:val="24"/>
              </w:rPr>
              <w:t xml:space="preserve">Perceived Organizational Justice </w:t>
            </w:r>
          </w:p>
        </w:tc>
        <w:tc>
          <w:tcPr>
            <w:tcW w:w="799" w:type="dxa"/>
            <w:vAlign w:val="center"/>
          </w:tcPr>
          <w:p w14:paraId="7D1A5B39" w14:textId="77777777" w:rsidR="00D46C47" w:rsidRPr="00E0735E" w:rsidRDefault="00513FB1">
            <w:pPr>
              <w:jc w:val="center"/>
              <w:rPr>
                <w:rFonts w:ascii="Arial" w:eastAsia="Cambria" w:hAnsi="Arial" w:cs="Arial"/>
                <w:sz w:val="24"/>
                <w:szCs w:val="24"/>
              </w:rPr>
            </w:pPr>
            <w:r w:rsidRPr="00E0735E">
              <w:rPr>
                <w:rFonts w:ascii="Arial" w:eastAsia="Cambria" w:hAnsi="Arial" w:cs="Arial"/>
                <w:sz w:val="24"/>
                <w:szCs w:val="24"/>
              </w:rPr>
              <w:t>0.714</w:t>
            </w:r>
          </w:p>
        </w:tc>
        <w:tc>
          <w:tcPr>
            <w:tcW w:w="852" w:type="dxa"/>
            <w:vAlign w:val="center"/>
          </w:tcPr>
          <w:p w14:paraId="772A915D" w14:textId="77777777" w:rsidR="00D46C47" w:rsidRPr="00E0735E" w:rsidRDefault="00513FB1">
            <w:pPr>
              <w:jc w:val="center"/>
              <w:rPr>
                <w:rFonts w:ascii="Arial" w:eastAsia="Cambria" w:hAnsi="Arial" w:cs="Arial"/>
                <w:sz w:val="24"/>
                <w:szCs w:val="24"/>
              </w:rPr>
            </w:pPr>
            <w:r w:rsidRPr="00E0735E">
              <w:rPr>
                <w:rFonts w:ascii="Arial" w:eastAsia="Cambria" w:hAnsi="Arial" w:cs="Arial"/>
                <w:sz w:val="24"/>
                <w:szCs w:val="24"/>
              </w:rPr>
              <w:t>0.000</w:t>
            </w:r>
          </w:p>
        </w:tc>
        <w:tc>
          <w:tcPr>
            <w:tcW w:w="1192" w:type="dxa"/>
            <w:vAlign w:val="center"/>
          </w:tcPr>
          <w:p w14:paraId="3717A023" w14:textId="77777777" w:rsidR="00D46C47" w:rsidRPr="00E0735E" w:rsidRDefault="00513FB1">
            <w:pPr>
              <w:jc w:val="center"/>
              <w:rPr>
                <w:rFonts w:ascii="Arial" w:eastAsia="Cambria" w:hAnsi="Arial" w:cs="Arial"/>
                <w:b/>
                <w:bCs/>
                <w:sz w:val="24"/>
                <w:szCs w:val="24"/>
              </w:rPr>
            </w:pPr>
            <w:r w:rsidRPr="00E0735E">
              <w:rPr>
                <w:rFonts w:ascii="Arial" w:eastAsia="Cambria" w:hAnsi="Arial" w:cs="Arial"/>
                <w:sz w:val="24"/>
                <w:szCs w:val="24"/>
              </w:rPr>
              <w:t>Reject Ho</w:t>
            </w:r>
          </w:p>
        </w:tc>
        <w:tc>
          <w:tcPr>
            <w:tcW w:w="3318" w:type="dxa"/>
            <w:vAlign w:val="center"/>
          </w:tcPr>
          <w:p w14:paraId="2067223A" w14:textId="77777777" w:rsidR="00D46C47" w:rsidRPr="00E0735E" w:rsidRDefault="00513FB1">
            <w:pPr>
              <w:jc w:val="center"/>
              <w:rPr>
                <w:rFonts w:ascii="Arial" w:eastAsia="Cambria" w:hAnsi="Arial" w:cs="Arial"/>
                <w:b/>
                <w:bCs/>
                <w:sz w:val="24"/>
                <w:szCs w:val="24"/>
              </w:rPr>
            </w:pPr>
            <w:r w:rsidRPr="00E0735E">
              <w:rPr>
                <w:rFonts w:ascii="Arial" w:eastAsia="Cambria" w:hAnsi="Arial" w:cs="Arial"/>
                <w:sz w:val="24"/>
                <w:szCs w:val="24"/>
              </w:rPr>
              <w:t>Moderately high positive, significant correlation</w:t>
            </w:r>
          </w:p>
        </w:tc>
      </w:tr>
    </w:tbl>
    <w:p w14:paraId="159B86F4"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 xml:space="preserve">Level of Significance: 0.05 </w:t>
      </w:r>
    </w:p>
    <w:p w14:paraId="0A94E9F4"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Decision Rule: Reject H</w:t>
      </w:r>
      <w:r w:rsidRPr="00E0735E">
        <w:rPr>
          <w:rFonts w:ascii="Cambria Math" w:eastAsia="Cambria" w:hAnsi="Cambria Math" w:cs="Cambria Math"/>
          <w:i/>
          <w:iCs/>
          <w:sz w:val="20"/>
          <w:szCs w:val="20"/>
        </w:rPr>
        <w:t>₀</w:t>
      </w:r>
      <w:r w:rsidRPr="00E0735E">
        <w:rPr>
          <w:rFonts w:eastAsia="Cambria"/>
          <w:i/>
          <w:iCs/>
          <w:sz w:val="20"/>
          <w:szCs w:val="20"/>
        </w:rPr>
        <w:t xml:space="preserve"> if p &lt; 0.05</w:t>
      </w:r>
    </w:p>
    <w:p w14:paraId="0DDFE8AC" w14:textId="77777777" w:rsidR="00D46C47" w:rsidRPr="00E0735E" w:rsidRDefault="00D46C47">
      <w:pPr>
        <w:spacing w:after="0" w:line="240" w:lineRule="auto"/>
        <w:ind w:left="0" w:firstLine="720"/>
        <w:rPr>
          <w:rFonts w:eastAsia="Cambria"/>
          <w:color w:val="000000"/>
        </w:rPr>
      </w:pPr>
    </w:p>
    <w:p w14:paraId="4E9E01DC" w14:textId="1C2210E7" w:rsidR="000F6093" w:rsidRDefault="000F6093" w:rsidP="000F6093">
      <w:pPr>
        <w:spacing w:after="0" w:line="240" w:lineRule="auto"/>
        <w:ind w:left="0" w:firstLine="720"/>
        <w:rPr>
          <w:rFonts w:eastAsia="Cambria"/>
          <w:color w:val="000000"/>
        </w:rPr>
      </w:pPr>
      <w:r w:rsidRPr="000F6093">
        <w:rPr>
          <w:rFonts w:eastAsia="Cambria"/>
          <w:color w:val="000000"/>
        </w:rPr>
        <w:t>Table 2 specifically shows that the correlation between psychological well-being and teacher retention variables yielded a p-value of 0.000. This value is</w:t>
      </w:r>
      <w:r>
        <w:rPr>
          <w:rFonts w:eastAsia="Cambria"/>
          <w:color w:val="000000"/>
        </w:rPr>
        <w:t xml:space="preserve"> </w:t>
      </w:r>
      <w:r w:rsidRPr="000F6093">
        <w:rPr>
          <w:rFonts w:eastAsia="Cambria"/>
          <w:color w:val="000000"/>
        </w:rPr>
        <w:t>below the 0.05 significance level;</w:t>
      </w:r>
      <w:r>
        <w:rPr>
          <w:rFonts w:eastAsia="Cambria"/>
          <w:color w:val="000000"/>
        </w:rPr>
        <w:t xml:space="preserve"> </w:t>
      </w:r>
      <w:r w:rsidRPr="000F6093">
        <w:rPr>
          <w:rFonts w:eastAsia="Cambria"/>
          <w:color w:val="000000"/>
        </w:rPr>
        <w:t>thus,</w:t>
      </w:r>
      <w:r>
        <w:rPr>
          <w:rFonts w:eastAsia="Cambria"/>
          <w:color w:val="000000"/>
        </w:rPr>
        <w:t xml:space="preserve"> </w:t>
      </w:r>
      <w:r w:rsidRPr="000F6093">
        <w:rPr>
          <w:rFonts w:eastAsia="Cambria"/>
          <w:color w:val="000000"/>
        </w:rPr>
        <w:t>the null hypothesis was rejected. It</w:t>
      </w:r>
      <w:r>
        <w:rPr>
          <w:rFonts w:eastAsia="Cambria"/>
          <w:color w:val="000000"/>
        </w:rPr>
        <w:t xml:space="preserve"> </w:t>
      </w:r>
      <w:r w:rsidRPr="000F6093">
        <w:rPr>
          <w:rFonts w:eastAsia="Cambria"/>
          <w:color w:val="000000"/>
        </w:rPr>
        <w:t xml:space="preserve">indicates a statistically significant correlation. The corresponding </w:t>
      </w:r>
      <w:proofErr w:type="spellStart"/>
      <w:r w:rsidRPr="000F6093">
        <w:rPr>
          <w:rFonts w:eastAsia="Cambria"/>
          <w:color w:val="000000"/>
        </w:rPr>
        <w:t>r-value</w:t>
      </w:r>
      <w:proofErr w:type="spellEnd"/>
      <w:r w:rsidRPr="000F6093">
        <w:rPr>
          <w:rFonts w:eastAsia="Cambria"/>
          <w:color w:val="000000"/>
        </w:rPr>
        <w:t xml:space="preserve"> of</w:t>
      </w:r>
      <w:r>
        <w:rPr>
          <w:rFonts w:eastAsia="Cambria"/>
          <w:color w:val="000000"/>
        </w:rPr>
        <w:t xml:space="preserve"> </w:t>
      </w:r>
      <w:r w:rsidRPr="000F6093">
        <w:rPr>
          <w:rFonts w:eastAsia="Cambria"/>
          <w:color w:val="000000"/>
        </w:rPr>
        <w:t>0.540 suggests a moderately high positive correlation. This implies that when</w:t>
      </w:r>
      <w:r>
        <w:rPr>
          <w:rFonts w:eastAsia="Cambria"/>
          <w:color w:val="000000"/>
        </w:rPr>
        <w:t xml:space="preserve"> </w:t>
      </w:r>
      <w:r w:rsidRPr="000F6093">
        <w:rPr>
          <w:rFonts w:eastAsia="Cambria"/>
          <w:color w:val="000000"/>
        </w:rPr>
        <w:t>teachers</w:t>
      </w:r>
      <w:r w:rsidR="00066892">
        <w:rPr>
          <w:rFonts w:eastAsia="Cambria"/>
          <w:color w:val="000000"/>
        </w:rPr>
        <w:t>’</w:t>
      </w:r>
      <w:r w:rsidRPr="000F6093">
        <w:rPr>
          <w:rFonts w:eastAsia="Cambria"/>
          <w:color w:val="000000"/>
        </w:rPr>
        <w:t xml:space="preserve"> psychological well-being increases,</w:t>
      </w:r>
      <w:r>
        <w:rPr>
          <w:rFonts w:eastAsia="Cambria"/>
          <w:color w:val="000000"/>
        </w:rPr>
        <w:t xml:space="preserve"> </w:t>
      </w:r>
      <w:r w:rsidRPr="000F6093">
        <w:rPr>
          <w:rFonts w:eastAsia="Cambria"/>
          <w:color w:val="000000"/>
        </w:rPr>
        <w:t>their retention also increases.</w:t>
      </w:r>
      <w:r>
        <w:rPr>
          <w:rFonts w:eastAsia="Cambria"/>
          <w:color w:val="000000"/>
        </w:rPr>
        <w:t xml:space="preserve"> </w:t>
      </w:r>
      <w:r w:rsidRPr="000F6093">
        <w:rPr>
          <w:rFonts w:eastAsia="Cambria"/>
          <w:color w:val="000000"/>
        </w:rPr>
        <w:t>Similarly,</w:t>
      </w:r>
      <w:r>
        <w:rPr>
          <w:rFonts w:eastAsia="Cambria"/>
          <w:color w:val="000000"/>
        </w:rPr>
        <w:t xml:space="preserve"> </w:t>
      </w:r>
      <w:r w:rsidRPr="000F6093">
        <w:rPr>
          <w:rFonts w:eastAsia="Cambria"/>
          <w:color w:val="000000"/>
        </w:rPr>
        <w:t>the correlation between perceived organizational justice and teacher</w:t>
      </w:r>
      <w:r>
        <w:rPr>
          <w:rFonts w:eastAsia="Cambria"/>
          <w:color w:val="000000"/>
        </w:rPr>
        <w:t xml:space="preserve"> </w:t>
      </w:r>
      <w:r w:rsidRPr="000F6093">
        <w:rPr>
          <w:rFonts w:eastAsia="Cambria"/>
          <w:color w:val="000000"/>
        </w:rPr>
        <w:t>retention also obtained a p-value of 0.000, which is below the 0.05 level of</w:t>
      </w:r>
      <w:r>
        <w:rPr>
          <w:rFonts w:eastAsia="Cambria"/>
          <w:color w:val="000000"/>
        </w:rPr>
        <w:t xml:space="preserve"> </w:t>
      </w:r>
      <w:r w:rsidRPr="000F6093">
        <w:rPr>
          <w:rFonts w:eastAsia="Cambria"/>
          <w:color w:val="000000"/>
        </w:rPr>
        <w:t>significance; hence,</w:t>
      </w:r>
      <w:r>
        <w:rPr>
          <w:rFonts w:eastAsia="Cambria"/>
          <w:color w:val="000000"/>
        </w:rPr>
        <w:t xml:space="preserve"> </w:t>
      </w:r>
      <w:r w:rsidRPr="000F6093">
        <w:rPr>
          <w:rFonts w:eastAsia="Cambria"/>
          <w:color w:val="000000"/>
        </w:rPr>
        <w:t>the null hypothesis was likewise rejected. It denotes a</w:t>
      </w:r>
      <w:r>
        <w:rPr>
          <w:rFonts w:eastAsia="Cambria"/>
          <w:color w:val="000000"/>
        </w:rPr>
        <w:t xml:space="preserve"> </w:t>
      </w:r>
      <w:r w:rsidRPr="000F6093">
        <w:rPr>
          <w:rFonts w:eastAsia="Cambria"/>
          <w:color w:val="000000"/>
        </w:rPr>
        <w:t xml:space="preserve">statistically significant correlation. The </w:t>
      </w:r>
      <w:proofErr w:type="spellStart"/>
      <w:r w:rsidRPr="000F6093">
        <w:rPr>
          <w:rFonts w:eastAsia="Cambria"/>
          <w:color w:val="000000"/>
        </w:rPr>
        <w:t>r-value</w:t>
      </w:r>
      <w:proofErr w:type="spellEnd"/>
      <w:r w:rsidRPr="000F6093">
        <w:rPr>
          <w:rFonts w:eastAsia="Cambria"/>
          <w:color w:val="000000"/>
        </w:rPr>
        <w:t xml:space="preserve"> of 0.714 reflects a moderately</w:t>
      </w:r>
      <w:r>
        <w:rPr>
          <w:rFonts w:eastAsia="Cambria"/>
          <w:color w:val="000000"/>
        </w:rPr>
        <w:t xml:space="preserve"> </w:t>
      </w:r>
      <w:r w:rsidRPr="000F6093">
        <w:rPr>
          <w:rFonts w:eastAsia="Cambria"/>
          <w:color w:val="000000"/>
        </w:rPr>
        <w:t>high positive correlation. This implies that higher perceptions of organizational</w:t>
      </w:r>
      <w:r>
        <w:rPr>
          <w:rFonts w:eastAsia="Cambria"/>
          <w:color w:val="000000"/>
        </w:rPr>
        <w:t xml:space="preserve"> </w:t>
      </w:r>
      <w:r w:rsidRPr="000F6093">
        <w:rPr>
          <w:rFonts w:eastAsia="Cambria"/>
          <w:color w:val="000000"/>
        </w:rPr>
        <w:t>justice are associated with greater teacher retention.</w:t>
      </w:r>
    </w:p>
    <w:p w14:paraId="6B12D97C" w14:textId="77777777" w:rsidR="000F6093" w:rsidRPr="000F6093" w:rsidRDefault="000F6093" w:rsidP="000F6093">
      <w:pPr>
        <w:spacing w:after="0" w:line="240" w:lineRule="auto"/>
        <w:ind w:left="0" w:firstLine="720"/>
        <w:rPr>
          <w:rFonts w:eastAsia="Cambria"/>
          <w:color w:val="000000"/>
        </w:rPr>
      </w:pPr>
    </w:p>
    <w:p w14:paraId="6BA4F41F" w14:textId="3E8D6FBC" w:rsidR="00066892" w:rsidRDefault="000F6093" w:rsidP="00066892">
      <w:pPr>
        <w:spacing w:after="0" w:line="240" w:lineRule="auto"/>
        <w:ind w:left="0" w:firstLine="720"/>
        <w:rPr>
          <w:rFonts w:eastAsia="Cambria"/>
          <w:color w:val="000000"/>
        </w:rPr>
      </w:pPr>
      <w:r w:rsidRPr="000F6093">
        <w:rPr>
          <w:rFonts w:eastAsia="Cambria"/>
          <w:color w:val="000000"/>
        </w:rPr>
        <w:t>Psychological well-being and perceived organizational justice both showed</w:t>
      </w:r>
      <w:r>
        <w:rPr>
          <w:rFonts w:eastAsia="Cambria"/>
          <w:color w:val="000000"/>
        </w:rPr>
        <w:t xml:space="preserve"> </w:t>
      </w:r>
      <w:r w:rsidRPr="000F6093">
        <w:rPr>
          <w:rFonts w:eastAsia="Cambria"/>
          <w:color w:val="000000"/>
        </w:rPr>
        <w:t>statistically significant positive correlation with teacher retention. This</w:t>
      </w:r>
      <w:r>
        <w:rPr>
          <w:rFonts w:eastAsia="Cambria"/>
          <w:color w:val="000000"/>
        </w:rPr>
        <w:t xml:space="preserve"> </w:t>
      </w:r>
      <w:r w:rsidRPr="000F6093">
        <w:rPr>
          <w:rFonts w:eastAsia="Cambria"/>
          <w:color w:val="000000"/>
        </w:rPr>
        <w:t>indicates that improvements in these variables are associated with higher</w:t>
      </w:r>
      <w:r>
        <w:rPr>
          <w:rFonts w:eastAsia="Cambria"/>
          <w:color w:val="000000"/>
        </w:rPr>
        <w:t xml:space="preserve"> </w:t>
      </w:r>
      <w:r w:rsidRPr="000F6093">
        <w:rPr>
          <w:rFonts w:eastAsia="Cambria"/>
          <w:color w:val="000000"/>
        </w:rPr>
        <w:t>teacher retention.</w:t>
      </w:r>
    </w:p>
    <w:p w14:paraId="25255C85" w14:textId="16F1D564" w:rsidR="00D46C47" w:rsidRPr="00E0735E" w:rsidRDefault="00513FB1" w:rsidP="000F6093">
      <w:pPr>
        <w:spacing w:after="0" w:line="240" w:lineRule="auto"/>
        <w:ind w:left="0" w:firstLine="0"/>
        <w:rPr>
          <w:rFonts w:eastAsia="Cambria"/>
          <w:b/>
          <w:bCs/>
          <w:color w:val="000000"/>
        </w:rPr>
      </w:pPr>
      <w:r w:rsidRPr="00E0735E">
        <w:rPr>
          <w:rFonts w:eastAsia="Cambria"/>
          <w:b/>
          <w:bCs/>
          <w:color w:val="000000"/>
        </w:rPr>
        <w:t xml:space="preserve">Regression Results </w:t>
      </w:r>
    </w:p>
    <w:p w14:paraId="255B1A9B" w14:textId="77777777" w:rsidR="00D46C47" w:rsidRPr="00E0735E" w:rsidRDefault="00D46C47">
      <w:pPr>
        <w:spacing w:after="0" w:line="240" w:lineRule="auto"/>
        <w:ind w:left="0" w:firstLine="720"/>
        <w:rPr>
          <w:rFonts w:eastAsia="Cambria"/>
          <w:color w:val="000000"/>
        </w:rPr>
      </w:pPr>
    </w:p>
    <w:p w14:paraId="4DFEFB90" w14:textId="4B11523A" w:rsidR="00D46C47" w:rsidRDefault="00212080" w:rsidP="00212080">
      <w:pPr>
        <w:spacing w:after="0"/>
        <w:ind w:left="-90" w:firstLine="810"/>
        <w:rPr>
          <w:rFonts w:eastAsia="Cambria"/>
          <w:color w:val="000000"/>
        </w:rPr>
      </w:pPr>
      <w:r w:rsidRPr="00212080">
        <w:rPr>
          <w:rFonts w:eastAsia="Cambria"/>
          <w:color w:val="000000"/>
        </w:rPr>
        <w:t>Shown in Table 3 is the regression analysis of the predictive variables on the</w:t>
      </w:r>
      <w:r>
        <w:rPr>
          <w:rFonts w:eastAsia="Cambria"/>
          <w:color w:val="000000"/>
        </w:rPr>
        <w:t xml:space="preserve"> </w:t>
      </w:r>
      <w:r w:rsidRPr="00212080">
        <w:rPr>
          <w:rFonts w:eastAsia="Cambria"/>
          <w:color w:val="000000"/>
        </w:rPr>
        <w:t>criterion variable. Also, it has the unstandardized beta coefficient, standard</w:t>
      </w:r>
      <w:r>
        <w:rPr>
          <w:rFonts w:eastAsia="Cambria"/>
          <w:color w:val="000000"/>
        </w:rPr>
        <w:t xml:space="preserve"> </w:t>
      </w:r>
      <w:r w:rsidRPr="00212080">
        <w:rPr>
          <w:rFonts w:eastAsia="Cambria"/>
          <w:color w:val="000000"/>
        </w:rPr>
        <w:t>error,</w:t>
      </w:r>
      <w:r>
        <w:rPr>
          <w:rFonts w:eastAsia="Cambria"/>
          <w:color w:val="000000"/>
        </w:rPr>
        <w:t xml:space="preserve"> </w:t>
      </w:r>
      <w:r w:rsidRPr="00212080">
        <w:rPr>
          <w:rFonts w:eastAsia="Cambria"/>
          <w:color w:val="000000"/>
        </w:rPr>
        <w:t>t-value, p-value, decision on the null hypothesis, and interpretation.</w:t>
      </w:r>
    </w:p>
    <w:p w14:paraId="3EA53E7B" w14:textId="77777777" w:rsidR="00212080" w:rsidRPr="00E0735E" w:rsidRDefault="00212080" w:rsidP="00212080">
      <w:pPr>
        <w:spacing w:after="0"/>
        <w:rPr>
          <w:rFonts w:eastAsia="Cambria"/>
          <w:color w:val="000000"/>
        </w:rPr>
      </w:pPr>
    </w:p>
    <w:p w14:paraId="4A05AB3D" w14:textId="77777777" w:rsidR="00D46C47" w:rsidRPr="00E0735E" w:rsidRDefault="00513FB1">
      <w:pPr>
        <w:spacing w:after="0"/>
        <w:rPr>
          <w:rFonts w:eastAsia="Cambria"/>
          <w:i/>
          <w:iCs/>
          <w:sz w:val="22"/>
          <w:szCs w:val="22"/>
        </w:rPr>
      </w:pPr>
      <w:r w:rsidRPr="00E0735E">
        <w:rPr>
          <w:rFonts w:eastAsia="Cambria"/>
          <w:i/>
          <w:iCs/>
          <w:sz w:val="22"/>
          <w:szCs w:val="22"/>
        </w:rPr>
        <w:t>Table 3. Regression Table (N=321)</w:t>
      </w:r>
    </w:p>
    <w:tbl>
      <w:tblPr>
        <w:tblStyle w:val="a5"/>
        <w:tblW w:w="923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14"/>
        <w:gridCol w:w="1443"/>
        <w:gridCol w:w="813"/>
        <w:gridCol w:w="1262"/>
        <w:gridCol w:w="807"/>
        <w:gridCol w:w="722"/>
        <w:gridCol w:w="1025"/>
        <w:gridCol w:w="1550"/>
      </w:tblGrid>
      <w:tr w:rsidR="00D46C47" w:rsidRPr="00E0735E" w14:paraId="723FAB7B" w14:textId="77777777">
        <w:trPr>
          <w:trHeight w:val="451"/>
        </w:trPr>
        <w:tc>
          <w:tcPr>
            <w:tcW w:w="1614" w:type="dxa"/>
            <w:tcBorders>
              <w:bottom w:val="nil"/>
            </w:tcBorders>
            <w:vAlign w:val="center"/>
          </w:tcPr>
          <w:p w14:paraId="56871A87" w14:textId="77777777" w:rsidR="00D46C47" w:rsidRPr="00E0735E" w:rsidRDefault="00D46C47">
            <w:pPr>
              <w:jc w:val="center"/>
              <w:rPr>
                <w:rFonts w:ascii="Arial" w:eastAsia="Cambria" w:hAnsi="Arial" w:cs="Arial"/>
                <w:b/>
                <w:bCs/>
                <w:sz w:val="22"/>
                <w:szCs w:val="22"/>
              </w:rPr>
            </w:pPr>
          </w:p>
        </w:tc>
        <w:tc>
          <w:tcPr>
            <w:tcW w:w="7622" w:type="dxa"/>
            <w:gridSpan w:val="7"/>
            <w:tcBorders>
              <w:top w:val="single" w:sz="4" w:space="0" w:color="000000"/>
              <w:bottom w:val="single" w:sz="4" w:space="0" w:color="000000"/>
            </w:tcBorders>
            <w:vAlign w:val="center"/>
          </w:tcPr>
          <w:p w14:paraId="18117EF1" w14:textId="77777777" w:rsidR="00D46C47" w:rsidRPr="00E0735E" w:rsidRDefault="00513FB1">
            <w:pPr>
              <w:jc w:val="center"/>
              <w:rPr>
                <w:rFonts w:ascii="Arial" w:eastAsia="Cambria" w:hAnsi="Arial" w:cs="Arial"/>
                <w:b/>
                <w:bCs/>
                <w:color w:val="000000"/>
                <w:sz w:val="22"/>
                <w:szCs w:val="22"/>
              </w:rPr>
            </w:pPr>
            <w:r w:rsidRPr="00E0735E">
              <w:rPr>
                <w:rFonts w:ascii="Arial" w:eastAsia="Cambria" w:hAnsi="Arial" w:cs="Arial"/>
                <w:b/>
                <w:bCs/>
                <w:i/>
                <w:iCs/>
                <w:sz w:val="22"/>
                <w:szCs w:val="22"/>
              </w:rPr>
              <w:t>Teacher Retention (TR)</w:t>
            </w:r>
          </w:p>
        </w:tc>
      </w:tr>
      <w:tr w:rsidR="00D46C47" w:rsidRPr="00E0735E" w14:paraId="2BA70263" w14:textId="77777777">
        <w:trPr>
          <w:trHeight w:val="575"/>
        </w:trPr>
        <w:tc>
          <w:tcPr>
            <w:tcW w:w="1614" w:type="dxa"/>
            <w:tcBorders>
              <w:top w:val="nil"/>
              <w:bottom w:val="nil"/>
            </w:tcBorders>
            <w:vAlign w:val="center"/>
          </w:tcPr>
          <w:p w14:paraId="0FA275EA" w14:textId="77777777" w:rsidR="00D46C47" w:rsidRPr="00E0735E" w:rsidRDefault="00513FB1">
            <w:pPr>
              <w:spacing w:line="259" w:lineRule="auto"/>
              <w:jc w:val="center"/>
              <w:rPr>
                <w:rFonts w:ascii="Arial" w:eastAsia="Cambria" w:hAnsi="Arial" w:cs="Arial"/>
                <w:b/>
                <w:bCs/>
                <w:sz w:val="22"/>
                <w:szCs w:val="22"/>
              </w:rPr>
            </w:pPr>
            <w:r w:rsidRPr="00E0735E">
              <w:rPr>
                <w:rFonts w:ascii="Arial" w:eastAsia="Cambria" w:hAnsi="Arial" w:cs="Arial"/>
                <w:b/>
                <w:bCs/>
                <w:sz w:val="22"/>
                <w:szCs w:val="22"/>
              </w:rPr>
              <w:t>Variables</w:t>
            </w:r>
          </w:p>
        </w:tc>
        <w:tc>
          <w:tcPr>
            <w:tcW w:w="1443" w:type="dxa"/>
            <w:tcBorders>
              <w:top w:val="single" w:sz="4" w:space="0" w:color="000000"/>
              <w:bottom w:val="single" w:sz="4" w:space="0" w:color="000000"/>
            </w:tcBorders>
            <w:vAlign w:val="center"/>
          </w:tcPr>
          <w:p w14:paraId="66923898" w14:textId="77777777" w:rsidR="00D46C47" w:rsidRPr="00E0735E" w:rsidRDefault="00513FB1">
            <w:pPr>
              <w:spacing w:line="259" w:lineRule="auto"/>
              <w:jc w:val="center"/>
              <w:rPr>
                <w:rFonts w:ascii="Arial" w:eastAsia="Cambria" w:hAnsi="Arial" w:cs="Arial"/>
                <w:b/>
                <w:bCs/>
                <w:color w:val="000000"/>
                <w:sz w:val="16"/>
                <w:szCs w:val="16"/>
              </w:rPr>
            </w:pPr>
            <w:r w:rsidRPr="00E0735E">
              <w:rPr>
                <w:rFonts w:ascii="Arial" w:eastAsia="Cambria" w:hAnsi="Arial" w:cs="Arial"/>
                <w:b/>
                <w:bCs/>
                <w:color w:val="000000"/>
                <w:sz w:val="16"/>
                <w:szCs w:val="16"/>
              </w:rPr>
              <w:t>Unstandardized</w:t>
            </w:r>
          </w:p>
          <w:p w14:paraId="12920DF7" w14:textId="77777777" w:rsidR="00D46C47" w:rsidRPr="00E0735E" w:rsidRDefault="00513FB1">
            <w:pPr>
              <w:jc w:val="center"/>
              <w:rPr>
                <w:rFonts w:ascii="Arial" w:eastAsia="Cambria" w:hAnsi="Arial" w:cs="Arial"/>
                <w:b/>
                <w:bCs/>
                <w:color w:val="000000"/>
                <w:sz w:val="16"/>
                <w:szCs w:val="16"/>
              </w:rPr>
            </w:pPr>
            <w:r w:rsidRPr="00E0735E">
              <w:rPr>
                <w:rFonts w:ascii="Arial" w:eastAsia="Cambria" w:hAnsi="Arial" w:cs="Arial"/>
                <w:b/>
                <w:bCs/>
                <w:color w:val="000000"/>
                <w:sz w:val="16"/>
                <w:szCs w:val="16"/>
              </w:rPr>
              <w:t>Coefficients</w:t>
            </w:r>
          </w:p>
        </w:tc>
        <w:tc>
          <w:tcPr>
            <w:tcW w:w="813" w:type="dxa"/>
            <w:tcBorders>
              <w:top w:val="single" w:sz="4" w:space="0" w:color="000000"/>
              <w:bottom w:val="nil"/>
            </w:tcBorders>
            <w:vAlign w:val="center"/>
          </w:tcPr>
          <w:p w14:paraId="082E820B" w14:textId="77777777" w:rsidR="00D46C47" w:rsidRPr="00E0735E" w:rsidRDefault="00D46C47">
            <w:pPr>
              <w:spacing w:line="259" w:lineRule="auto"/>
              <w:jc w:val="center"/>
              <w:rPr>
                <w:rFonts w:ascii="Arial" w:eastAsia="Cambria" w:hAnsi="Arial" w:cs="Arial"/>
                <w:b/>
                <w:bCs/>
                <w:color w:val="000000"/>
                <w:sz w:val="16"/>
                <w:szCs w:val="16"/>
              </w:rPr>
            </w:pPr>
          </w:p>
        </w:tc>
        <w:tc>
          <w:tcPr>
            <w:tcW w:w="1262" w:type="dxa"/>
            <w:tcBorders>
              <w:top w:val="single" w:sz="4" w:space="0" w:color="000000"/>
              <w:bottom w:val="single" w:sz="4" w:space="0" w:color="000000"/>
            </w:tcBorders>
            <w:vAlign w:val="center"/>
          </w:tcPr>
          <w:p w14:paraId="7B3F9425" w14:textId="77777777" w:rsidR="00D46C47" w:rsidRPr="00E0735E" w:rsidRDefault="00513FB1">
            <w:pPr>
              <w:jc w:val="center"/>
              <w:rPr>
                <w:rFonts w:ascii="Arial" w:eastAsia="Cambria" w:hAnsi="Arial" w:cs="Arial"/>
                <w:b/>
                <w:bCs/>
                <w:sz w:val="16"/>
                <w:szCs w:val="16"/>
              </w:rPr>
            </w:pPr>
            <w:r w:rsidRPr="00E0735E">
              <w:rPr>
                <w:rFonts w:ascii="Arial" w:eastAsia="Cambria" w:hAnsi="Arial" w:cs="Arial"/>
                <w:b/>
                <w:bCs/>
                <w:color w:val="000000"/>
                <w:sz w:val="16"/>
                <w:szCs w:val="16"/>
              </w:rPr>
              <w:t>Standardized Coefficients</w:t>
            </w:r>
          </w:p>
        </w:tc>
        <w:tc>
          <w:tcPr>
            <w:tcW w:w="807" w:type="dxa"/>
            <w:tcBorders>
              <w:top w:val="single" w:sz="4" w:space="0" w:color="000000"/>
            </w:tcBorders>
            <w:vAlign w:val="center"/>
          </w:tcPr>
          <w:p w14:paraId="51233977" w14:textId="77777777" w:rsidR="00D46C47" w:rsidRPr="00E0735E" w:rsidRDefault="00D46C47">
            <w:pPr>
              <w:jc w:val="center"/>
              <w:rPr>
                <w:rFonts w:ascii="Arial" w:eastAsia="Cambria" w:hAnsi="Arial" w:cs="Arial"/>
                <w:b/>
                <w:bCs/>
                <w:sz w:val="22"/>
                <w:szCs w:val="22"/>
              </w:rPr>
            </w:pPr>
          </w:p>
        </w:tc>
        <w:tc>
          <w:tcPr>
            <w:tcW w:w="722" w:type="dxa"/>
            <w:tcBorders>
              <w:top w:val="single" w:sz="4" w:space="0" w:color="000000"/>
            </w:tcBorders>
            <w:vAlign w:val="center"/>
          </w:tcPr>
          <w:p w14:paraId="4F6064F8" w14:textId="77777777" w:rsidR="00D46C47" w:rsidRPr="00E0735E" w:rsidRDefault="00D46C47">
            <w:pPr>
              <w:spacing w:line="259" w:lineRule="auto"/>
              <w:jc w:val="center"/>
              <w:rPr>
                <w:rFonts w:ascii="Arial" w:eastAsia="Cambria" w:hAnsi="Arial" w:cs="Arial"/>
                <w:b/>
                <w:bCs/>
                <w:sz w:val="22"/>
                <w:szCs w:val="22"/>
              </w:rPr>
            </w:pPr>
          </w:p>
        </w:tc>
        <w:tc>
          <w:tcPr>
            <w:tcW w:w="1025" w:type="dxa"/>
            <w:tcBorders>
              <w:top w:val="single" w:sz="4" w:space="0" w:color="000000"/>
            </w:tcBorders>
            <w:vAlign w:val="center"/>
          </w:tcPr>
          <w:p w14:paraId="400E56A9" w14:textId="77777777" w:rsidR="00D46C47" w:rsidRPr="00E0735E" w:rsidRDefault="00D46C47">
            <w:pPr>
              <w:jc w:val="center"/>
              <w:rPr>
                <w:rFonts w:ascii="Arial" w:eastAsia="Cambria" w:hAnsi="Arial" w:cs="Arial"/>
                <w:b/>
                <w:bCs/>
                <w:color w:val="000000"/>
                <w:sz w:val="22"/>
                <w:szCs w:val="22"/>
              </w:rPr>
            </w:pPr>
          </w:p>
        </w:tc>
        <w:tc>
          <w:tcPr>
            <w:tcW w:w="1550" w:type="dxa"/>
            <w:tcBorders>
              <w:top w:val="single" w:sz="4" w:space="0" w:color="000000"/>
            </w:tcBorders>
            <w:vAlign w:val="center"/>
          </w:tcPr>
          <w:p w14:paraId="011F5FB3" w14:textId="77777777" w:rsidR="00D46C47" w:rsidRPr="00E0735E" w:rsidRDefault="00D46C47">
            <w:pPr>
              <w:jc w:val="center"/>
              <w:rPr>
                <w:rFonts w:ascii="Arial" w:eastAsia="Cambria" w:hAnsi="Arial" w:cs="Arial"/>
                <w:b/>
                <w:bCs/>
                <w:color w:val="000000"/>
                <w:sz w:val="22"/>
                <w:szCs w:val="22"/>
              </w:rPr>
            </w:pPr>
          </w:p>
        </w:tc>
      </w:tr>
      <w:tr w:rsidR="00D46C47" w:rsidRPr="00E0735E" w14:paraId="24687F32" w14:textId="77777777">
        <w:trPr>
          <w:trHeight w:val="747"/>
        </w:trPr>
        <w:tc>
          <w:tcPr>
            <w:tcW w:w="1614" w:type="dxa"/>
            <w:tcBorders>
              <w:top w:val="nil"/>
              <w:bottom w:val="single" w:sz="4" w:space="0" w:color="000000"/>
            </w:tcBorders>
            <w:vAlign w:val="center"/>
          </w:tcPr>
          <w:p w14:paraId="411357D3" w14:textId="77777777" w:rsidR="00D46C47" w:rsidRPr="00E0735E" w:rsidRDefault="00D46C47">
            <w:pPr>
              <w:spacing w:line="259" w:lineRule="auto"/>
              <w:rPr>
                <w:rFonts w:ascii="Arial" w:eastAsia="Cambria" w:hAnsi="Arial" w:cs="Arial"/>
                <w:b/>
                <w:bCs/>
                <w:sz w:val="22"/>
                <w:szCs w:val="22"/>
              </w:rPr>
            </w:pPr>
          </w:p>
        </w:tc>
        <w:tc>
          <w:tcPr>
            <w:tcW w:w="1443" w:type="dxa"/>
            <w:tcBorders>
              <w:top w:val="nil"/>
              <w:bottom w:val="single" w:sz="4" w:space="0" w:color="000000"/>
            </w:tcBorders>
            <w:vAlign w:val="center"/>
          </w:tcPr>
          <w:p w14:paraId="1E1D000D"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B</w:t>
            </w:r>
          </w:p>
        </w:tc>
        <w:tc>
          <w:tcPr>
            <w:tcW w:w="813" w:type="dxa"/>
            <w:tcBorders>
              <w:top w:val="nil"/>
              <w:bottom w:val="single" w:sz="4" w:space="0" w:color="000000"/>
            </w:tcBorders>
            <w:vAlign w:val="center"/>
          </w:tcPr>
          <w:p w14:paraId="5997ABF7"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Std. Error</w:t>
            </w:r>
          </w:p>
        </w:tc>
        <w:tc>
          <w:tcPr>
            <w:tcW w:w="1262" w:type="dxa"/>
            <w:tcBorders>
              <w:top w:val="single" w:sz="4" w:space="0" w:color="000000"/>
              <w:bottom w:val="single" w:sz="4" w:space="0" w:color="000000"/>
            </w:tcBorders>
            <w:vAlign w:val="center"/>
          </w:tcPr>
          <w:p w14:paraId="2AAD1A3E"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β</w:t>
            </w:r>
          </w:p>
        </w:tc>
        <w:tc>
          <w:tcPr>
            <w:tcW w:w="807" w:type="dxa"/>
            <w:tcBorders>
              <w:bottom w:val="single" w:sz="4" w:space="0" w:color="000000"/>
            </w:tcBorders>
            <w:vAlign w:val="center"/>
          </w:tcPr>
          <w:p w14:paraId="4DD48B7F"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t</w:t>
            </w:r>
          </w:p>
        </w:tc>
        <w:tc>
          <w:tcPr>
            <w:tcW w:w="722" w:type="dxa"/>
            <w:tcBorders>
              <w:bottom w:val="single" w:sz="4" w:space="0" w:color="000000"/>
            </w:tcBorders>
            <w:vAlign w:val="center"/>
          </w:tcPr>
          <w:p w14:paraId="6DF87235" w14:textId="77777777" w:rsidR="00D46C47" w:rsidRPr="00E0735E" w:rsidRDefault="00513FB1">
            <w:pPr>
              <w:spacing w:line="259" w:lineRule="auto"/>
              <w:jc w:val="center"/>
              <w:rPr>
                <w:rFonts w:ascii="Arial" w:eastAsia="Cambria" w:hAnsi="Arial" w:cs="Arial"/>
                <w:b/>
                <w:bCs/>
              </w:rPr>
            </w:pPr>
            <w:r w:rsidRPr="00E0735E">
              <w:rPr>
                <w:rFonts w:ascii="Arial" w:eastAsia="Cambria" w:hAnsi="Arial" w:cs="Arial"/>
                <w:b/>
                <w:bCs/>
              </w:rPr>
              <w:t>p value</w:t>
            </w:r>
          </w:p>
        </w:tc>
        <w:tc>
          <w:tcPr>
            <w:tcW w:w="1025" w:type="dxa"/>
            <w:tcBorders>
              <w:bottom w:val="single" w:sz="4" w:space="0" w:color="000000"/>
            </w:tcBorders>
            <w:vAlign w:val="center"/>
          </w:tcPr>
          <w:p w14:paraId="6F424ABF" w14:textId="77777777" w:rsidR="00D46C47" w:rsidRPr="00E0735E" w:rsidRDefault="00513FB1">
            <w:pPr>
              <w:jc w:val="center"/>
              <w:rPr>
                <w:rFonts w:ascii="Arial" w:eastAsia="Cambria" w:hAnsi="Arial" w:cs="Arial"/>
                <w:b/>
                <w:bCs/>
              </w:rPr>
            </w:pPr>
            <w:r w:rsidRPr="00E0735E">
              <w:rPr>
                <w:rFonts w:ascii="Arial" w:eastAsia="Cambria" w:hAnsi="Arial" w:cs="Arial"/>
                <w:b/>
                <w:bCs/>
              </w:rPr>
              <w:t>Decision on Ho</w:t>
            </w:r>
          </w:p>
        </w:tc>
        <w:tc>
          <w:tcPr>
            <w:tcW w:w="1550" w:type="dxa"/>
            <w:tcBorders>
              <w:bottom w:val="single" w:sz="4" w:space="0" w:color="000000"/>
            </w:tcBorders>
            <w:vAlign w:val="center"/>
          </w:tcPr>
          <w:p w14:paraId="5D3A6604" w14:textId="77777777" w:rsidR="00D46C47" w:rsidRPr="00E0735E" w:rsidRDefault="00513FB1">
            <w:pPr>
              <w:jc w:val="center"/>
              <w:rPr>
                <w:rFonts w:ascii="Arial" w:eastAsia="Cambria" w:hAnsi="Arial" w:cs="Arial"/>
                <w:b/>
                <w:bCs/>
              </w:rPr>
            </w:pPr>
            <w:r w:rsidRPr="00E0735E">
              <w:rPr>
                <w:rFonts w:ascii="Arial" w:eastAsia="Cambria" w:hAnsi="Arial" w:cs="Arial"/>
                <w:b/>
                <w:bCs/>
              </w:rPr>
              <w:t>Interpretation</w:t>
            </w:r>
          </w:p>
        </w:tc>
      </w:tr>
      <w:tr w:rsidR="00D46C47" w:rsidRPr="00E0735E" w14:paraId="0DC99D6C" w14:textId="77777777">
        <w:trPr>
          <w:trHeight w:val="440"/>
        </w:trPr>
        <w:tc>
          <w:tcPr>
            <w:tcW w:w="1614" w:type="dxa"/>
            <w:tcBorders>
              <w:top w:val="single" w:sz="4" w:space="0" w:color="000000"/>
            </w:tcBorders>
            <w:vAlign w:val="center"/>
          </w:tcPr>
          <w:p w14:paraId="57E46F8A" w14:textId="77777777" w:rsidR="00D46C47" w:rsidRPr="00E0735E" w:rsidRDefault="00513FB1">
            <w:pPr>
              <w:spacing w:line="259" w:lineRule="auto"/>
              <w:rPr>
                <w:rFonts w:ascii="Arial" w:eastAsia="Cambria" w:hAnsi="Arial" w:cs="Arial"/>
                <w:b/>
                <w:bCs/>
              </w:rPr>
            </w:pPr>
            <w:r w:rsidRPr="00E0735E">
              <w:rPr>
                <w:rFonts w:ascii="Arial" w:eastAsia="Cambria" w:hAnsi="Arial" w:cs="Arial"/>
                <w:b/>
                <w:bCs/>
              </w:rPr>
              <w:t xml:space="preserve">Constant </w:t>
            </w:r>
          </w:p>
        </w:tc>
        <w:tc>
          <w:tcPr>
            <w:tcW w:w="1443" w:type="dxa"/>
            <w:tcBorders>
              <w:top w:val="single" w:sz="4" w:space="0" w:color="000000"/>
            </w:tcBorders>
            <w:vAlign w:val="center"/>
          </w:tcPr>
          <w:p w14:paraId="7197DAD2"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-0.005</w:t>
            </w:r>
          </w:p>
        </w:tc>
        <w:tc>
          <w:tcPr>
            <w:tcW w:w="813" w:type="dxa"/>
            <w:tcBorders>
              <w:top w:val="single" w:sz="4" w:space="0" w:color="000000"/>
            </w:tcBorders>
            <w:vAlign w:val="center"/>
          </w:tcPr>
          <w:p w14:paraId="69B29463"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0.197</w:t>
            </w:r>
          </w:p>
        </w:tc>
        <w:tc>
          <w:tcPr>
            <w:tcW w:w="1262" w:type="dxa"/>
            <w:tcBorders>
              <w:top w:val="single" w:sz="4" w:space="0" w:color="000000"/>
            </w:tcBorders>
            <w:vAlign w:val="center"/>
          </w:tcPr>
          <w:p w14:paraId="02F37B9A" w14:textId="77777777" w:rsidR="00D46C47" w:rsidRPr="00E0735E" w:rsidRDefault="00D46C47">
            <w:pPr>
              <w:spacing w:line="259" w:lineRule="auto"/>
              <w:jc w:val="center"/>
              <w:rPr>
                <w:rFonts w:ascii="Arial" w:eastAsia="Cambria" w:hAnsi="Arial" w:cs="Arial"/>
              </w:rPr>
            </w:pPr>
          </w:p>
        </w:tc>
        <w:tc>
          <w:tcPr>
            <w:tcW w:w="807" w:type="dxa"/>
            <w:tcBorders>
              <w:top w:val="single" w:sz="4" w:space="0" w:color="000000"/>
            </w:tcBorders>
            <w:vAlign w:val="center"/>
          </w:tcPr>
          <w:p w14:paraId="51D96A0F"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-0.028</w:t>
            </w:r>
          </w:p>
        </w:tc>
        <w:tc>
          <w:tcPr>
            <w:tcW w:w="722" w:type="dxa"/>
            <w:tcBorders>
              <w:top w:val="single" w:sz="4" w:space="0" w:color="000000"/>
            </w:tcBorders>
            <w:vAlign w:val="center"/>
          </w:tcPr>
          <w:p w14:paraId="1CC69440"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0.978</w:t>
            </w:r>
          </w:p>
        </w:tc>
        <w:tc>
          <w:tcPr>
            <w:tcW w:w="1025" w:type="dxa"/>
            <w:tcBorders>
              <w:top w:val="single" w:sz="4" w:space="0" w:color="000000"/>
            </w:tcBorders>
            <w:vAlign w:val="center"/>
          </w:tcPr>
          <w:p w14:paraId="09321AB8" w14:textId="77777777" w:rsidR="00D46C47" w:rsidRPr="00E0735E" w:rsidRDefault="00D46C47">
            <w:pPr>
              <w:jc w:val="center"/>
              <w:rPr>
                <w:rFonts w:ascii="Arial" w:eastAsia="Cambria" w:hAnsi="Arial" w:cs="Arial"/>
              </w:rPr>
            </w:pPr>
          </w:p>
        </w:tc>
        <w:tc>
          <w:tcPr>
            <w:tcW w:w="1550" w:type="dxa"/>
            <w:tcBorders>
              <w:top w:val="single" w:sz="4" w:space="0" w:color="000000"/>
            </w:tcBorders>
            <w:vAlign w:val="center"/>
          </w:tcPr>
          <w:p w14:paraId="6237B28C" w14:textId="77777777" w:rsidR="00D46C47" w:rsidRPr="00E0735E" w:rsidRDefault="00D46C47">
            <w:pPr>
              <w:jc w:val="center"/>
              <w:rPr>
                <w:rFonts w:ascii="Arial" w:eastAsia="Cambria" w:hAnsi="Arial" w:cs="Arial"/>
              </w:rPr>
            </w:pPr>
          </w:p>
        </w:tc>
      </w:tr>
      <w:tr w:rsidR="00D46C47" w:rsidRPr="00E0735E" w14:paraId="4DB1F4FF" w14:textId="77777777">
        <w:trPr>
          <w:trHeight w:val="540"/>
        </w:trPr>
        <w:tc>
          <w:tcPr>
            <w:tcW w:w="1614" w:type="dxa"/>
            <w:vAlign w:val="center"/>
          </w:tcPr>
          <w:p w14:paraId="0AA8F5AE" w14:textId="77777777" w:rsidR="00D46C47" w:rsidRPr="00E0735E" w:rsidRDefault="00513FB1">
            <w:pPr>
              <w:rPr>
                <w:rFonts w:ascii="Arial" w:eastAsia="Cambria" w:hAnsi="Arial" w:cs="Arial"/>
              </w:rPr>
            </w:pPr>
            <w:r w:rsidRPr="00E0735E">
              <w:rPr>
                <w:rFonts w:ascii="Arial" w:eastAsia="Cambria" w:hAnsi="Arial" w:cs="Arial"/>
                <w:b/>
                <w:bCs/>
                <w:i/>
                <w:iCs/>
              </w:rPr>
              <w:t>Psychological Well-Being (PWB)</w:t>
            </w:r>
          </w:p>
        </w:tc>
        <w:tc>
          <w:tcPr>
            <w:tcW w:w="1443" w:type="dxa"/>
            <w:vAlign w:val="center"/>
          </w:tcPr>
          <w:p w14:paraId="0EE5C598"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0.370</w:t>
            </w:r>
          </w:p>
        </w:tc>
        <w:tc>
          <w:tcPr>
            <w:tcW w:w="813" w:type="dxa"/>
            <w:vAlign w:val="center"/>
          </w:tcPr>
          <w:p w14:paraId="1FDA003C"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0.064</w:t>
            </w:r>
          </w:p>
        </w:tc>
        <w:tc>
          <w:tcPr>
            <w:tcW w:w="1262" w:type="dxa"/>
            <w:vAlign w:val="center"/>
          </w:tcPr>
          <w:p w14:paraId="0947B120"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0.248</w:t>
            </w:r>
          </w:p>
        </w:tc>
        <w:tc>
          <w:tcPr>
            <w:tcW w:w="807" w:type="dxa"/>
            <w:vAlign w:val="center"/>
          </w:tcPr>
          <w:p w14:paraId="1E62DC5D"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5.785</w:t>
            </w:r>
          </w:p>
        </w:tc>
        <w:tc>
          <w:tcPr>
            <w:tcW w:w="722" w:type="dxa"/>
            <w:vAlign w:val="center"/>
          </w:tcPr>
          <w:p w14:paraId="51AC970D"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0.000</w:t>
            </w:r>
          </w:p>
        </w:tc>
        <w:tc>
          <w:tcPr>
            <w:tcW w:w="1025" w:type="dxa"/>
            <w:vAlign w:val="center"/>
          </w:tcPr>
          <w:p w14:paraId="652BC18F" w14:textId="77777777" w:rsidR="00D46C47" w:rsidRPr="00E0735E" w:rsidRDefault="00513FB1">
            <w:pPr>
              <w:jc w:val="center"/>
              <w:rPr>
                <w:rFonts w:ascii="Arial" w:eastAsia="Cambria" w:hAnsi="Arial" w:cs="Arial"/>
              </w:rPr>
            </w:pPr>
            <w:r w:rsidRPr="00E0735E">
              <w:rPr>
                <w:rFonts w:ascii="Arial" w:eastAsia="Cambria" w:hAnsi="Arial" w:cs="Arial"/>
              </w:rPr>
              <w:t>Reject Ho</w:t>
            </w:r>
          </w:p>
        </w:tc>
        <w:tc>
          <w:tcPr>
            <w:tcW w:w="1550" w:type="dxa"/>
            <w:vAlign w:val="center"/>
          </w:tcPr>
          <w:p w14:paraId="5AAD841B" w14:textId="77777777" w:rsidR="00D46C47" w:rsidRPr="00E0735E" w:rsidRDefault="00513FB1">
            <w:pPr>
              <w:jc w:val="center"/>
              <w:rPr>
                <w:rFonts w:ascii="Arial" w:eastAsia="Cambria" w:hAnsi="Arial" w:cs="Arial"/>
              </w:rPr>
            </w:pPr>
            <w:r w:rsidRPr="00E0735E">
              <w:rPr>
                <w:rFonts w:ascii="Arial" w:eastAsia="Cambria" w:hAnsi="Arial" w:cs="Arial"/>
              </w:rPr>
              <w:t>Weak Positive Significant Influence</w:t>
            </w:r>
          </w:p>
        </w:tc>
      </w:tr>
      <w:tr w:rsidR="00D46C47" w:rsidRPr="00E0735E" w14:paraId="2C9AF72A" w14:textId="77777777">
        <w:trPr>
          <w:trHeight w:val="659"/>
        </w:trPr>
        <w:tc>
          <w:tcPr>
            <w:tcW w:w="1614" w:type="dxa"/>
            <w:vAlign w:val="center"/>
          </w:tcPr>
          <w:p w14:paraId="3F10B7C6" w14:textId="77777777" w:rsidR="00D46C47" w:rsidRPr="00E0735E" w:rsidRDefault="00513FB1">
            <w:pPr>
              <w:rPr>
                <w:rFonts w:ascii="Arial" w:eastAsia="Cambria" w:hAnsi="Arial" w:cs="Arial"/>
              </w:rPr>
            </w:pPr>
            <w:r w:rsidRPr="00E0735E">
              <w:rPr>
                <w:rFonts w:ascii="Arial" w:eastAsia="Cambria" w:hAnsi="Arial" w:cs="Arial"/>
                <w:b/>
                <w:bCs/>
                <w:i/>
                <w:iCs/>
              </w:rPr>
              <w:t>Perceived Organizational Justice (POJ)</w:t>
            </w:r>
          </w:p>
        </w:tc>
        <w:tc>
          <w:tcPr>
            <w:tcW w:w="1443" w:type="dxa"/>
            <w:vAlign w:val="center"/>
          </w:tcPr>
          <w:p w14:paraId="7F66F84C"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0.612</w:t>
            </w:r>
          </w:p>
        </w:tc>
        <w:tc>
          <w:tcPr>
            <w:tcW w:w="813" w:type="dxa"/>
            <w:vAlign w:val="center"/>
          </w:tcPr>
          <w:p w14:paraId="2C5085DB"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0.044</w:t>
            </w:r>
          </w:p>
        </w:tc>
        <w:tc>
          <w:tcPr>
            <w:tcW w:w="1262" w:type="dxa"/>
            <w:vAlign w:val="center"/>
          </w:tcPr>
          <w:p w14:paraId="282BDAFB"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0.592</w:t>
            </w:r>
          </w:p>
        </w:tc>
        <w:tc>
          <w:tcPr>
            <w:tcW w:w="807" w:type="dxa"/>
            <w:vAlign w:val="center"/>
          </w:tcPr>
          <w:p w14:paraId="357CA068"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13.805</w:t>
            </w:r>
          </w:p>
        </w:tc>
        <w:tc>
          <w:tcPr>
            <w:tcW w:w="722" w:type="dxa"/>
            <w:vAlign w:val="center"/>
          </w:tcPr>
          <w:p w14:paraId="09228BBA" w14:textId="77777777" w:rsidR="00D46C47" w:rsidRPr="00E0735E" w:rsidRDefault="00513FB1">
            <w:pPr>
              <w:spacing w:line="259" w:lineRule="auto"/>
              <w:jc w:val="center"/>
              <w:rPr>
                <w:rFonts w:ascii="Arial" w:eastAsia="Cambria" w:hAnsi="Arial" w:cs="Arial"/>
              </w:rPr>
            </w:pPr>
            <w:r w:rsidRPr="00E0735E">
              <w:rPr>
                <w:rFonts w:ascii="Arial" w:eastAsia="Cambria" w:hAnsi="Arial" w:cs="Arial"/>
              </w:rPr>
              <w:t>0.000</w:t>
            </w:r>
          </w:p>
        </w:tc>
        <w:tc>
          <w:tcPr>
            <w:tcW w:w="1025" w:type="dxa"/>
            <w:vAlign w:val="center"/>
          </w:tcPr>
          <w:p w14:paraId="0D571F29" w14:textId="77777777" w:rsidR="00D46C47" w:rsidRPr="00E0735E" w:rsidRDefault="00513FB1">
            <w:pPr>
              <w:jc w:val="center"/>
              <w:rPr>
                <w:rFonts w:ascii="Arial" w:eastAsia="Cambria" w:hAnsi="Arial" w:cs="Arial"/>
              </w:rPr>
            </w:pPr>
            <w:r w:rsidRPr="00E0735E">
              <w:rPr>
                <w:rFonts w:ascii="Arial" w:eastAsia="Cambria" w:hAnsi="Arial" w:cs="Arial"/>
              </w:rPr>
              <w:t>Reject Ho</w:t>
            </w:r>
          </w:p>
        </w:tc>
        <w:tc>
          <w:tcPr>
            <w:tcW w:w="1550" w:type="dxa"/>
            <w:vAlign w:val="center"/>
          </w:tcPr>
          <w:p w14:paraId="62533166" w14:textId="77777777" w:rsidR="00D46C47" w:rsidRPr="00E0735E" w:rsidRDefault="00513FB1">
            <w:pPr>
              <w:jc w:val="center"/>
              <w:rPr>
                <w:rFonts w:ascii="Arial" w:eastAsia="Cambria" w:hAnsi="Arial" w:cs="Arial"/>
              </w:rPr>
            </w:pPr>
            <w:r w:rsidRPr="00E0735E">
              <w:rPr>
                <w:rFonts w:ascii="Arial" w:eastAsia="Cambria" w:hAnsi="Arial" w:cs="Arial"/>
              </w:rPr>
              <w:t>Strong Positive Significant Influence</w:t>
            </w:r>
          </w:p>
        </w:tc>
      </w:tr>
    </w:tbl>
    <w:p w14:paraId="5008C951" w14:textId="77777777" w:rsidR="00D46C47" w:rsidRPr="00E0735E" w:rsidRDefault="00513FB1">
      <w:pPr>
        <w:spacing w:after="0" w:line="240" w:lineRule="auto"/>
        <w:ind w:left="0" w:firstLine="146"/>
        <w:rPr>
          <w:rFonts w:eastAsia="Cambria"/>
          <w:sz w:val="20"/>
          <w:szCs w:val="20"/>
        </w:rPr>
      </w:pPr>
      <w:r w:rsidRPr="00E0735E">
        <w:rPr>
          <w:rFonts w:eastAsia="Cambria"/>
          <w:i/>
          <w:iCs/>
          <w:sz w:val="20"/>
          <w:szCs w:val="20"/>
        </w:rPr>
        <w:t xml:space="preserve">Model Summary: </w:t>
      </w:r>
    </w:p>
    <w:p w14:paraId="7C201811"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 xml:space="preserve">R = 0.746 | R² = 0.557 | F-value = 199.9 | p = 0.000 </w:t>
      </w:r>
    </w:p>
    <w:p w14:paraId="764836BD" w14:textId="77777777" w:rsidR="00D46C47" w:rsidRPr="00E0735E" w:rsidRDefault="00513FB1">
      <w:pPr>
        <w:spacing w:after="0" w:line="240" w:lineRule="auto"/>
        <w:ind w:left="0" w:firstLine="146"/>
        <w:rPr>
          <w:rFonts w:eastAsia="Cambria"/>
          <w:sz w:val="20"/>
          <w:szCs w:val="20"/>
        </w:rPr>
      </w:pPr>
      <w:r w:rsidRPr="00E0735E">
        <w:rPr>
          <w:rFonts w:eastAsia="Cambria"/>
          <w:i/>
          <w:iCs/>
          <w:sz w:val="20"/>
          <w:szCs w:val="20"/>
        </w:rPr>
        <w:t xml:space="preserve">Level of Significance: 0.05 </w:t>
      </w:r>
    </w:p>
    <w:p w14:paraId="4B68E686" w14:textId="77777777" w:rsidR="00D46C47" w:rsidRPr="00E0735E" w:rsidRDefault="00513FB1">
      <w:pPr>
        <w:spacing w:after="0" w:line="240" w:lineRule="auto"/>
        <w:ind w:left="0" w:firstLine="146"/>
        <w:rPr>
          <w:rFonts w:eastAsia="Cambria"/>
          <w:i/>
          <w:iCs/>
          <w:sz w:val="20"/>
          <w:szCs w:val="20"/>
        </w:rPr>
      </w:pPr>
      <w:r w:rsidRPr="00E0735E">
        <w:rPr>
          <w:rFonts w:eastAsia="Cambria"/>
          <w:i/>
          <w:iCs/>
          <w:sz w:val="20"/>
          <w:szCs w:val="20"/>
        </w:rPr>
        <w:t>Decision Rule: Reject H</w:t>
      </w:r>
      <w:r w:rsidRPr="00E0735E">
        <w:rPr>
          <w:rFonts w:ascii="Cambria Math" w:eastAsia="Cambria" w:hAnsi="Cambria Math" w:cs="Cambria Math"/>
          <w:i/>
          <w:iCs/>
          <w:sz w:val="20"/>
          <w:szCs w:val="20"/>
        </w:rPr>
        <w:t>₀</w:t>
      </w:r>
      <w:r w:rsidRPr="00E0735E">
        <w:rPr>
          <w:rFonts w:eastAsia="Cambria"/>
          <w:i/>
          <w:iCs/>
          <w:sz w:val="20"/>
          <w:szCs w:val="20"/>
        </w:rPr>
        <w:t xml:space="preserve"> if </w:t>
      </w:r>
      <w:r w:rsidRPr="00E0735E">
        <w:rPr>
          <w:rFonts w:eastAsia="Cambria"/>
          <w:sz w:val="20"/>
          <w:szCs w:val="20"/>
        </w:rPr>
        <w:t xml:space="preserve">p </w:t>
      </w:r>
      <w:r w:rsidRPr="00E0735E">
        <w:rPr>
          <w:rFonts w:eastAsia="Cambria"/>
          <w:i/>
          <w:iCs/>
          <w:sz w:val="20"/>
          <w:szCs w:val="20"/>
        </w:rPr>
        <w:t>&lt; 0.05</w:t>
      </w:r>
    </w:p>
    <w:p w14:paraId="126071E2" w14:textId="77777777" w:rsidR="00D46C47" w:rsidRPr="00E0735E" w:rsidRDefault="00513FB1">
      <w:pPr>
        <w:spacing w:after="0" w:line="240" w:lineRule="auto"/>
        <w:ind w:left="0" w:firstLine="146"/>
        <w:rPr>
          <w:rFonts w:eastAsia="Cambria"/>
          <w:i/>
          <w:iCs/>
          <w:color w:val="000000"/>
          <w:sz w:val="20"/>
          <w:szCs w:val="20"/>
        </w:rPr>
      </w:pPr>
      <w:r w:rsidRPr="00E0735E">
        <w:rPr>
          <w:rFonts w:eastAsia="Cambria"/>
          <w:i/>
          <w:iCs/>
          <w:sz w:val="20"/>
          <w:szCs w:val="20"/>
        </w:rPr>
        <w:t xml:space="preserve">Predictive Model: </w:t>
      </w:r>
      <w:r w:rsidRPr="00E0735E">
        <w:rPr>
          <w:rFonts w:eastAsia="Cambria"/>
          <w:i/>
          <w:iCs/>
          <w:color w:val="000000"/>
          <w:sz w:val="20"/>
          <w:szCs w:val="20"/>
        </w:rPr>
        <w:t>TR = 0.370PWB + 0.612POJ − 0.005</w:t>
      </w:r>
    </w:p>
    <w:p w14:paraId="18FD9E5B" w14:textId="77777777" w:rsidR="00D46C47" w:rsidRPr="00E0735E" w:rsidRDefault="00D46C47">
      <w:pPr>
        <w:spacing w:after="0" w:line="240" w:lineRule="auto"/>
        <w:ind w:left="0" w:firstLine="720"/>
        <w:rPr>
          <w:rFonts w:eastAsia="Cambria"/>
          <w:color w:val="000000"/>
        </w:rPr>
      </w:pPr>
    </w:p>
    <w:p w14:paraId="058713C0" w14:textId="67460BA6" w:rsidR="00212080" w:rsidRPr="00212080" w:rsidRDefault="00212080" w:rsidP="00212080">
      <w:pPr>
        <w:spacing w:after="0" w:line="240" w:lineRule="auto"/>
        <w:ind w:left="0" w:firstLine="720"/>
        <w:rPr>
          <w:rFonts w:eastAsia="Cambria"/>
          <w:color w:val="000000"/>
        </w:rPr>
      </w:pPr>
      <w:r w:rsidRPr="00212080">
        <w:rPr>
          <w:rFonts w:eastAsia="Cambria"/>
          <w:color w:val="000000"/>
        </w:rPr>
        <w:t>Specifically,</w:t>
      </w:r>
      <w:r>
        <w:rPr>
          <w:rFonts w:eastAsia="Cambria"/>
          <w:color w:val="000000"/>
        </w:rPr>
        <w:t xml:space="preserve"> </w:t>
      </w:r>
      <w:r w:rsidRPr="00212080">
        <w:rPr>
          <w:rFonts w:eastAsia="Cambria"/>
          <w:color w:val="000000"/>
        </w:rPr>
        <w:t>the table shows that the model for teacher retention using the</w:t>
      </w:r>
      <w:r>
        <w:rPr>
          <w:rFonts w:eastAsia="Cambria"/>
          <w:color w:val="000000"/>
        </w:rPr>
        <w:t xml:space="preserve"> </w:t>
      </w:r>
      <w:r w:rsidRPr="00212080">
        <w:rPr>
          <w:rFonts w:eastAsia="Cambria"/>
          <w:color w:val="000000"/>
        </w:rPr>
        <w:t>predictive variables is TR = 0.370PWB + 0.612POJ − 0.005. The corresponding</w:t>
      </w:r>
      <w:r>
        <w:rPr>
          <w:rFonts w:eastAsia="Cambria"/>
          <w:color w:val="000000"/>
        </w:rPr>
        <w:t xml:space="preserve"> </w:t>
      </w:r>
      <w:r w:rsidRPr="00212080">
        <w:rPr>
          <w:rFonts w:eastAsia="Cambria"/>
          <w:color w:val="000000"/>
        </w:rPr>
        <w:t>p-value of 0.000 is lower than the 0.05 level of significance; hence,</w:t>
      </w:r>
      <w:r>
        <w:rPr>
          <w:rFonts w:eastAsia="Cambria"/>
          <w:color w:val="000000"/>
        </w:rPr>
        <w:t xml:space="preserve"> </w:t>
      </w:r>
      <w:r w:rsidRPr="00212080">
        <w:rPr>
          <w:rFonts w:eastAsia="Cambria"/>
          <w:color w:val="000000"/>
        </w:rPr>
        <w:t>the null</w:t>
      </w:r>
      <w:r>
        <w:rPr>
          <w:rFonts w:eastAsia="Cambria"/>
          <w:color w:val="000000"/>
        </w:rPr>
        <w:t xml:space="preserve"> </w:t>
      </w:r>
      <w:r w:rsidRPr="00212080">
        <w:rPr>
          <w:rFonts w:eastAsia="Cambria"/>
          <w:color w:val="000000"/>
        </w:rPr>
        <w:t>hypothesis was rejected. This indicates that the model to predict teacher</w:t>
      </w:r>
      <w:r>
        <w:rPr>
          <w:rFonts w:eastAsia="Cambria"/>
          <w:color w:val="000000"/>
        </w:rPr>
        <w:t xml:space="preserve"> </w:t>
      </w:r>
      <w:r w:rsidRPr="00212080">
        <w:rPr>
          <w:rFonts w:eastAsia="Cambria"/>
          <w:color w:val="000000"/>
        </w:rPr>
        <w:t>retention is statistically significant. The R-squared value of 0.557 shows that</w:t>
      </w:r>
      <w:r>
        <w:rPr>
          <w:rFonts w:eastAsia="Cambria"/>
          <w:color w:val="000000"/>
        </w:rPr>
        <w:t xml:space="preserve"> </w:t>
      </w:r>
      <w:r w:rsidRPr="00212080">
        <w:rPr>
          <w:rFonts w:eastAsia="Cambria"/>
          <w:color w:val="000000"/>
        </w:rPr>
        <w:t>the strength (55.7%) of the model explains a substantial proportion of the</w:t>
      </w:r>
      <w:r>
        <w:rPr>
          <w:rFonts w:eastAsia="Cambria"/>
          <w:color w:val="000000"/>
        </w:rPr>
        <w:t xml:space="preserve"> </w:t>
      </w:r>
      <w:r w:rsidRPr="00212080">
        <w:rPr>
          <w:rFonts w:eastAsia="Cambria"/>
          <w:color w:val="000000"/>
        </w:rPr>
        <w:t>variance in teacher retention. It indicates a strong predictive power. This</w:t>
      </w:r>
      <w:r>
        <w:rPr>
          <w:rFonts w:eastAsia="Cambria"/>
          <w:color w:val="000000"/>
        </w:rPr>
        <w:t xml:space="preserve"> </w:t>
      </w:r>
      <w:r w:rsidRPr="00212080">
        <w:rPr>
          <w:rFonts w:eastAsia="Cambria"/>
          <w:color w:val="000000"/>
        </w:rPr>
        <w:t>implies that for every unit change in the predictors' values in the model,</w:t>
      </w:r>
      <w:r>
        <w:rPr>
          <w:rFonts w:eastAsia="Cambria"/>
          <w:color w:val="000000"/>
        </w:rPr>
        <w:t xml:space="preserve"> </w:t>
      </w:r>
      <w:r w:rsidRPr="00212080">
        <w:rPr>
          <w:rFonts w:eastAsia="Cambria"/>
          <w:color w:val="000000"/>
        </w:rPr>
        <w:t>the</w:t>
      </w:r>
      <w:r>
        <w:rPr>
          <w:rFonts w:eastAsia="Cambria"/>
          <w:color w:val="000000"/>
        </w:rPr>
        <w:t xml:space="preserve"> </w:t>
      </w:r>
      <w:r w:rsidRPr="00212080">
        <w:rPr>
          <w:rFonts w:eastAsia="Cambria"/>
          <w:color w:val="000000"/>
        </w:rPr>
        <w:t>prediction of teacher retention changes. Moreover, perceived organizational</w:t>
      </w:r>
      <w:r>
        <w:rPr>
          <w:rFonts w:eastAsia="Cambria"/>
          <w:color w:val="000000"/>
        </w:rPr>
        <w:t xml:space="preserve"> </w:t>
      </w:r>
      <w:r w:rsidRPr="00212080">
        <w:rPr>
          <w:rFonts w:eastAsia="Cambria"/>
          <w:color w:val="000000"/>
        </w:rPr>
        <w:t>justice contributes more strongly to the prediction.</w:t>
      </w:r>
    </w:p>
    <w:p w14:paraId="2A0D5404" w14:textId="77777777" w:rsidR="00212080" w:rsidRPr="00212080" w:rsidRDefault="00212080" w:rsidP="00212080">
      <w:pPr>
        <w:spacing w:after="0" w:line="240" w:lineRule="auto"/>
        <w:ind w:left="0" w:firstLine="720"/>
        <w:rPr>
          <w:rFonts w:eastAsia="Cambria"/>
          <w:color w:val="000000"/>
        </w:rPr>
      </w:pPr>
    </w:p>
    <w:p w14:paraId="4E2ED619" w14:textId="295FEA7F" w:rsidR="008A64A8" w:rsidRDefault="00212080" w:rsidP="00212080">
      <w:pPr>
        <w:spacing w:after="0" w:line="240" w:lineRule="auto"/>
        <w:ind w:left="0" w:firstLine="720"/>
        <w:rPr>
          <w:rFonts w:eastAsia="Cambria"/>
          <w:color w:val="000000"/>
        </w:rPr>
      </w:pPr>
      <w:r w:rsidRPr="00212080">
        <w:rPr>
          <w:rFonts w:eastAsia="Cambria"/>
          <w:color w:val="000000"/>
        </w:rPr>
        <w:t>The model indicated a statistically significant positive relationship. This</w:t>
      </w:r>
      <w:r>
        <w:rPr>
          <w:rFonts w:eastAsia="Cambria"/>
          <w:color w:val="000000"/>
        </w:rPr>
        <w:t xml:space="preserve"> </w:t>
      </w:r>
      <w:r w:rsidRPr="00212080">
        <w:rPr>
          <w:rFonts w:eastAsia="Cambria"/>
          <w:color w:val="000000"/>
        </w:rPr>
        <w:t>indicates that both psychological well-being and perceived organizational</w:t>
      </w:r>
      <w:r>
        <w:rPr>
          <w:rFonts w:eastAsia="Cambria"/>
          <w:color w:val="000000"/>
        </w:rPr>
        <w:t xml:space="preserve"> </w:t>
      </w:r>
      <w:r w:rsidRPr="00212080">
        <w:rPr>
          <w:rFonts w:eastAsia="Cambria"/>
          <w:color w:val="000000"/>
        </w:rPr>
        <w:t>justice significantly contributed to variations in teacher retention and showed</w:t>
      </w:r>
      <w:r>
        <w:rPr>
          <w:rFonts w:eastAsia="Cambria"/>
          <w:color w:val="000000"/>
        </w:rPr>
        <w:t xml:space="preserve"> </w:t>
      </w:r>
      <w:r w:rsidRPr="00212080">
        <w:rPr>
          <w:rFonts w:eastAsia="Cambria"/>
          <w:color w:val="000000"/>
        </w:rPr>
        <w:t>strong predictive power.</w:t>
      </w:r>
    </w:p>
    <w:p w14:paraId="6B829E9F" w14:textId="77777777" w:rsidR="00212080" w:rsidRPr="00E0735E" w:rsidRDefault="00212080" w:rsidP="00212080">
      <w:pPr>
        <w:spacing w:after="0" w:line="240" w:lineRule="auto"/>
        <w:ind w:left="0" w:firstLine="720"/>
        <w:rPr>
          <w:rFonts w:eastAsia="Cambria"/>
          <w:color w:val="000000"/>
        </w:rPr>
      </w:pPr>
    </w:p>
    <w:p w14:paraId="4401AB4D" w14:textId="4B99C8C8" w:rsidR="00D46C47" w:rsidRPr="00E0735E" w:rsidRDefault="00513FB1">
      <w:pPr>
        <w:spacing w:after="0" w:line="240" w:lineRule="auto"/>
        <w:ind w:left="0" w:firstLine="0"/>
        <w:rPr>
          <w:rFonts w:eastAsia="Cambria"/>
          <w:b/>
          <w:bCs/>
          <w:color w:val="000000"/>
        </w:rPr>
      </w:pPr>
      <w:r w:rsidRPr="00E0735E">
        <w:rPr>
          <w:rFonts w:eastAsia="Cambria"/>
          <w:b/>
          <w:bCs/>
          <w:color w:val="000000"/>
        </w:rPr>
        <w:lastRenderedPageBreak/>
        <w:t xml:space="preserve">Summary of Findings </w:t>
      </w:r>
    </w:p>
    <w:p w14:paraId="0F158450" w14:textId="77777777" w:rsidR="00D46C47" w:rsidRPr="00E0735E" w:rsidRDefault="00D46C47">
      <w:pPr>
        <w:spacing w:after="0" w:line="240" w:lineRule="auto"/>
        <w:ind w:left="0" w:firstLine="0"/>
        <w:rPr>
          <w:rFonts w:eastAsia="Cambria"/>
          <w:color w:val="000000"/>
        </w:rPr>
      </w:pPr>
    </w:p>
    <w:p w14:paraId="4781B4A6" w14:textId="77777777" w:rsidR="00D46C47" w:rsidRPr="00E0735E" w:rsidRDefault="00513FB1">
      <w:pPr>
        <w:spacing w:after="0" w:line="240" w:lineRule="auto"/>
        <w:ind w:left="0" w:firstLine="0"/>
        <w:rPr>
          <w:rFonts w:eastAsia="Cambria"/>
          <w:color w:val="000000"/>
        </w:rPr>
      </w:pPr>
      <w:r w:rsidRPr="00E0735E">
        <w:rPr>
          <w:rFonts w:eastAsia="Cambria"/>
          <w:color w:val="000000"/>
        </w:rPr>
        <w:t xml:space="preserve">Based on statistical results, it was specifically found that: </w:t>
      </w:r>
    </w:p>
    <w:p w14:paraId="55FC1800" w14:textId="287E5D4D" w:rsidR="00D46C47" w:rsidRPr="00E0735E" w:rsidRDefault="00513FB1">
      <w:pPr>
        <w:numPr>
          <w:ilvl w:val="0"/>
          <w:numId w:val="1"/>
        </w:numPr>
        <w:pBdr>
          <w:top w:val="nil"/>
          <w:left w:val="nil"/>
          <w:bottom w:val="nil"/>
          <w:right w:val="nil"/>
          <w:between w:val="nil"/>
        </w:pBdr>
        <w:spacing w:after="0" w:line="240" w:lineRule="auto"/>
        <w:rPr>
          <w:rFonts w:eastAsia="Cambria"/>
          <w:color w:val="000000"/>
        </w:rPr>
      </w:pPr>
      <w:r w:rsidRPr="00E0735E">
        <w:rPr>
          <w:rFonts w:eastAsia="Cambria"/>
          <w:color w:val="000000"/>
        </w:rPr>
        <w:t>Psychological well-being and perceived organizational justice show</w:t>
      </w:r>
      <w:r w:rsidR="00D51833" w:rsidRPr="00E0735E">
        <w:rPr>
          <w:rFonts w:eastAsia="Cambria"/>
          <w:color w:val="000000"/>
        </w:rPr>
        <w:t>ed</w:t>
      </w:r>
      <w:r w:rsidRPr="00E0735E">
        <w:rPr>
          <w:rFonts w:eastAsia="Cambria"/>
          <w:color w:val="000000"/>
        </w:rPr>
        <w:t xml:space="preserve"> a moderately high</w:t>
      </w:r>
      <w:r w:rsidR="00212080">
        <w:rPr>
          <w:rFonts w:eastAsia="Cambria"/>
          <w:color w:val="000000"/>
        </w:rPr>
        <w:t>,</w:t>
      </w:r>
      <w:r w:rsidRPr="00E0735E">
        <w:rPr>
          <w:rFonts w:eastAsia="Cambria"/>
          <w:color w:val="000000"/>
        </w:rPr>
        <w:t xml:space="preserve"> positive</w:t>
      </w:r>
      <w:r w:rsidR="00212080">
        <w:rPr>
          <w:rFonts w:eastAsia="Cambria"/>
          <w:color w:val="000000"/>
        </w:rPr>
        <w:t>, and</w:t>
      </w:r>
      <w:r w:rsidRPr="00E0735E">
        <w:rPr>
          <w:rFonts w:eastAsia="Cambria"/>
          <w:color w:val="000000"/>
        </w:rPr>
        <w:t xml:space="preserve"> significant correlation with teacher retention. </w:t>
      </w:r>
    </w:p>
    <w:p w14:paraId="43318DB8" w14:textId="77777777" w:rsidR="00D46C47" w:rsidRPr="00E0735E" w:rsidRDefault="00513FB1">
      <w:pPr>
        <w:numPr>
          <w:ilvl w:val="0"/>
          <w:numId w:val="1"/>
        </w:numPr>
        <w:pBdr>
          <w:top w:val="nil"/>
          <w:left w:val="nil"/>
          <w:bottom w:val="nil"/>
          <w:right w:val="nil"/>
          <w:between w:val="nil"/>
        </w:pBdr>
        <w:spacing w:after="0" w:line="240" w:lineRule="auto"/>
        <w:rPr>
          <w:rFonts w:eastAsia="Cambria"/>
          <w:color w:val="000000"/>
        </w:rPr>
      </w:pPr>
      <w:r w:rsidRPr="00E0735E">
        <w:rPr>
          <w:rFonts w:eastAsia="Cambria"/>
          <w:color w:val="000000"/>
        </w:rPr>
        <w:t xml:space="preserve">The model to predict teacher retention with psychological well-being and perceived organizational justice as predictors is significant. </w:t>
      </w:r>
    </w:p>
    <w:p w14:paraId="5F169DE3" w14:textId="77777777" w:rsidR="00D46C47" w:rsidRPr="00E0735E" w:rsidRDefault="00D46C47">
      <w:pPr>
        <w:spacing w:after="0" w:line="240" w:lineRule="auto"/>
        <w:ind w:left="0" w:firstLine="146"/>
        <w:jc w:val="center"/>
        <w:rPr>
          <w:rFonts w:eastAsia="Cambria"/>
          <w:b/>
          <w:bCs/>
        </w:rPr>
      </w:pPr>
    </w:p>
    <w:p w14:paraId="01B409B3" w14:textId="77777777" w:rsidR="00D46C47" w:rsidRPr="00E0735E" w:rsidRDefault="00D46C47">
      <w:pPr>
        <w:spacing w:after="0" w:line="240" w:lineRule="auto"/>
        <w:ind w:left="0" w:firstLine="146"/>
        <w:jc w:val="center"/>
        <w:rPr>
          <w:rFonts w:eastAsia="Cambria"/>
          <w:b/>
          <w:bCs/>
        </w:rPr>
      </w:pPr>
    </w:p>
    <w:p w14:paraId="72E4D1A5" w14:textId="77777777" w:rsidR="00D46C47" w:rsidRPr="00E0735E" w:rsidRDefault="00513FB1">
      <w:pPr>
        <w:spacing w:after="0" w:line="240" w:lineRule="auto"/>
        <w:ind w:left="0" w:firstLine="146"/>
        <w:jc w:val="center"/>
        <w:rPr>
          <w:rFonts w:eastAsia="Cambria"/>
          <w:b/>
          <w:bCs/>
          <w:sz w:val="32"/>
          <w:szCs w:val="32"/>
        </w:rPr>
      </w:pPr>
      <w:r w:rsidRPr="00E0735E">
        <w:rPr>
          <w:rFonts w:eastAsia="Cambria"/>
          <w:b/>
          <w:bCs/>
          <w:sz w:val="32"/>
          <w:szCs w:val="32"/>
        </w:rPr>
        <w:t>DISCUSSIONS</w:t>
      </w:r>
    </w:p>
    <w:p w14:paraId="4F4B9AEF" w14:textId="77777777" w:rsidR="00D46C47" w:rsidRPr="00E0735E" w:rsidRDefault="00D46C47">
      <w:pPr>
        <w:spacing w:after="0" w:line="240" w:lineRule="auto"/>
        <w:ind w:left="0" w:firstLine="146"/>
        <w:jc w:val="center"/>
        <w:rPr>
          <w:rFonts w:eastAsia="Cambria"/>
          <w:b/>
          <w:bCs/>
        </w:rPr>
      </w:pPr>
    </w:p>
    <w:p w14:paraId="22839446" w14:textId="77777777" w:rsidR="00D46C47" w:rsidRPr="00E0735E" w:rsidRDefault="00513FB1">
      <w:pPr>
        <w:spacing w:after="0" w:line="240" w:lineRule="auto"/>
        <w:ind w:left="0" w:firstLine="720"/>
        <w:rPr>
          <w:rFonts w:eastAsia="Cambria"/>
        </w:rPr>
      </w:pPr>
      <w:r w:rsidRPr="00E0735E">
        <w:rPr>
          <w:rFonts w:eastAsia="Cambria"/>
        </w:rPr>
        <w:t>In this chapter, the findings are discussed. Likewise, the conclusion and recommendations are presented.</w:t>
      </w:r>
    </w:p>
    <w:p w14:paraId="2CDC05EA" w14:textId="77777777" w:rsidR="00D46C47" w:rsidRPr="00E0735E" w:rsidRDefault="00D46C47">
      <w:pPr>
        <w:spacing w:after="0" w:line="240" w:lineRule="auto"/>
        <w:ind w:left="0" w:firstLine="146"/>
        <w:rPr>
          <w:rFonts w:eastAsia="Cambria"/>
        </w:rPr>
      </w:pPr>
    </w:p>
    <w:p w14:paraId="0FDBBC99" w14:textId="77777777" w:rsidR="00D46C47" w:rsidRPr="00E0735E" w:rsidRDefault="00513FB1">
      <w:pPr>
        <w:spacing w:after="0" w:line="240" w:lineRule="auto"/>
        <w:ind w:left="0" w:firstLine="0"/>
        <w:rPr>
          <w:rFonts w:eastAsia="Cambria"/>
          <w:b/>
          <w:bCs/>
          <w:i/>
          <w:iCs/>
          <w:color w:val="000000"/>
        </w:rPr>
      </w:pPr>
      <w:r w:rsidRPr="00E0735E">
        <w:rPr>
          <w:rFonts w:eastAsia="Cambria"/>
          <w:b/>
          <w:bCs/>
          <w:i/>
          <w:iCs/>
          <w:color w:val="000000"/>
        </w:rPr>
        <w:t xml:space="preserve">Correlation of Psychological Well-Being and Perceived Organizational Justice with </w:t>
      </w:r>
      <w:r w:rsidRPr="00E0735E">
        <w:rPr>
          <w:rFonts w:eastAsia="Cambria"/>
          <w:b/>
          <w:bCs/>
          <w:i/>
          <w:iCs/>
        </w:rPr>
        <w:t>Teacher Retention</w:t>
      </w:r>
    </w:p>
    <w:p w14:paraId="7BDF0435" w14:textId="77777777" w:rsidR="00D46C47" w:rsidRPr="00E0735E" w:rsidRDefault="00D46C47">
      <w:pPr>
        <w:spacing w:after="0" w:line="240" w:lineRule="auto"/>
        <w:ind w:left="0" w:firstLine="720"/>
        <w:rPr>
          <w:rFonts w:eastAsia="Cambria"/>
          <w:color w:val="000000"/>
        </w:rPr>
      </w:pPr>
    </w:p>
    <w:p w14:paraId="5FAD49DA" w14:textId="58463129" w:rsidR="00212080" w:rsidRPr="00212080" w:rsidRDefault="00212080" w:rsidP="00212080">
      <w:pPr>
        <w:spacing w:after="0" w:line="240" w:lineRule="auto"/>
        <w:ind w:left="0" w:firstLine="720"/>
        <w:rPr>
          <w:rFonts w:eastAsia="Cambria"/>
          <w:color w:val="000000"/>
        </w:rPr>
      </w:pPr>
      <w:r w:rsidRPr="00212080">
        <w:rPr>
          <w:rFonts w:eastAsia="Cambria"/>
          <w:color w:val="000000"/>
        </w:rPr>
        <w:t>This study found that psychological well-being and perceived organizational</w:t>
      </w:r>
      <w:r>
        <w:rPr>
          <w:rFonts w:eastAsia="Cambria"/>
          <w:color w:val="000000"/>
        </w:rPr>
        <w:t xml:space="preserve"> </w:t>
      </w:r>
      <w:r w:rsidRPr="00212080">
        <w:rPr>
          <w:rFonts w:eastAsia="Cambria"/>
          <w:color w:val="000000"/>
        </w:rPr>
        <w:t>justice show a moderately high, positive, and significant correlation with</w:t>
      </w:r>
      <w:r>
        <w:rPr>
          <w:rFonts w:eastAsia="Cambria"/>
          <w:color w:val="000000"/>
        </w:rPr>
        <w:t xml:space="preserve"> </w:t>
      </w:r>
      <w:r w:rsidRPr="00212080">
        <w:rPr>
          <w:rFonts w:eastAsia="Cambria"/>
          <w:color w:val="000000"/>
        </w:rPr>
        <w:t xml:space="preserve">teacher retention. This current finding supports Viterbo and </w:t>
      </w:r>
      <w:proofErr w:type="spellStart"/>
      <w:r w:rsidRPr="00212080">
        <w:rPr>
          <w:rFonts w:eastAsia="Cambria"/>
          <w:color w:val="000000"/>
        </w:rPr>
        <w:t>Dayaganon</w:t>
      </w:r>
      <w:proofErr w:type="spellEnd"/>
      <w:r w:rsidRPr="00212080">
        <w:rPr>
          <w:rFonts w:eastAsia="Cambria"/>
          <w:color w:val="000000"/>
        </w:rPr>
        <w:t xml:space="preserve"> (2025),</w:t>
      </w:r>
      <w:r>
        <w:rPr>
          <w:rFonts w:eastAsia="Cambria"/>
          <w:color w:val="000000"/>
        </w:rPr>
        <w:t xml:space="preserve"> </w:t>
      </w:r>
      <w:r w:rsidRPr="00212080">
        <w:rPr>
          <w:rFonts w:eastAsia="Cambria"/>
          <w:color w:val="000000"/>
        </w:rPr>
        <w:t>who reported that teachers who exhibit higher levels of emotional resilience</w:t>
      </w:r>
      <w:r>
        <w:rPr>
          <w:rFonts w:eastAsia="Cambria"/>
          <w:color w:val="000000"/>
        </w:rPr>
        <w:t xml:space="preserve"> </w:t>
      </w:r>
      <w:r w:rsidRPr="00212080">
        <w:rPr>
          <w:rFonts w:eastAsia="Cambria"/>
          <w:color w:val="000000"/>
        </w:rPr>
        <w:t>and adaptive cognitive framing are more likely to maintain their employment</w:t>
      </w:r>
      <w:r>
        <w:rPr>
          <w:rFonts w:eastAsia="Cambria"/>
          <w:color w:val="000000"/>
        </w:rPr>
        <w:t xml:space="preserve"> </w:t>
      </w:r>
      <w:r w:rsidRPr="00212080">
        <w:rPr>
          <w:rFonts w:eastAsia="Cambria"/>
          <w:color w:val="000000"/>
        </w:rPr>
        <w:t>and remain in the teaching profession, indicating that psychological resilience</w:t>
      </w:r>
      <w:r>
        <w:rPr>
          <w:rFonts w:eastAsia="Cambria"/>
          <w:color w:val="000000"/>
        </w:rPr>
        <w:t xml:space="preserve"> </w:t>
      </w:r>
      <w:r w:rsidRPr="00212080">
        <w:rPr>
          <w:rFonts w:eastAsia="Cambria"/>
          <w:color w:val="000000"/>
        </w:rPr>
        <w:t>serves as a protective factor that strengthens teachers' commitment and</w:t>
      </w:r>
      <w:r>
        <w:rPr>
          <w:rFonts w:eastAsia="Cambria"/>
          <w:color w:val="000000"/>
        </w:rPr>
        <w:t xml:space="preserve"> </w:t>
      </w:r>
      <w:r w:rsidRPr="00212080">
        <w:rPr>
          <w:rFonts w:eastAsia="Cambria"/>
          <w:color w:val="000000"/>
        </w:rPr>
        <w:t>enhances teacher retention across educational settings. Likewise,</w:t>
      </w:r>
      <w:r>
        <w:rPr>
          <w:rFonts w:eastAsia="Cambria"/>
          <w:color w:val="000000"/>
        </w:rPr>
        <w:t xml:space="preserve"> </w:t>
      </w:r>
      <w:r w:rsidRPr="00212080">
        <w:rPr>
          <w:rFonts w:eastAsia="Cambria"/>
          <w:color w:val="000000"/>
        </w:rPr>
        <w:t>this current</w:t>
      </w:r>
      <w:r>
        <w:rPr>
          <w:rFonts w:eastAsia="Cambria"/>
          <w:color w:val="000000"/>
        </w:rPr>
        <w:t xml:space="preserve"> </w:t>
      </w:r>
      <w:r w:rsidRPr="00212080">
        <w:rPr>
          <w:rFonts w:eastAsia="Cambria"/>
          <w:color w:val="000000"/>
        </w:rPr>
        <w:t>finding corroborates Aryani et al. (2021), who found that organizational justice</w:t>
      </w:r>
      <w:r>
        <w:rPr>
          <w:rFonts w:eastAsia="Cambria"/>
          <w:color w:val="000000"/>
        </w:rPr>
        <w:t xml:space="preserve"> </w:t>
      </w:r>
      <w:r w:rsidRPr="00212080">
        <w:rPr>
          <w:rFonts w:eastAsia="Cambria"/>
          <w:color w:val="000000"/>
        </w:rPr>
        <w:t>has a significant negative relationship with turnover intention, indicating that</w:t>
      </w:r>
      <w:r>
        <w:rPr>
          <w:rFonts w:eastAsia="Cambria"/>
          <w:color w:val="000000"/>
        </w:rPr>
        <w:t xml:space="preserve"> </w:t>
      </w:r>
      <w:r w:rsidRPr="00212080">
        <w:rPr>
          <w:rFonts w:eastAsia="Cambria"/>
          <w:color w:val="000000"/>
        </w:rPr>
        <w:t>teachers who perceive higher levels of fairness in their workplace are more</w:t>
      </w:r>
      <w:r>
        <w:rPr>
          <w:rFonts w:eastAsia="Cambria"/>
          <w:color w:val="000000"/>
        </w:rPr>
        <w:t xml:space="preserve"> </w:t>
      </w:r>
      <w:r w:rsidRPr="00212080">
        <w:rPr>
          <w:rFonts w:eastAsia="Cambria"/>
          <w:color w:val="000000"/>
        </w:rPr>
        <w:t>likely to exhibit stronger retention and sustained commitment to the teaching</w:t>
      </w:r>
      <w:r>
        <w:rPr>
          <w:rFonts w:eastAsia="Cambria"/>
          <w:color w:val="000000"/>
        </w:rPr>
        <w:t xml:space="preserve"> </w:t>
      </w:r>
      <w:r w:rsidRPr="00212080">
        <w:rPr>
          <w:rFonts w:eastAsia="Cambria"/>
          <w:color w:val="000000"/>
        </w:rPr>
        <w:t>profession.</w:t>
      </w:r>
    </w:p>
    <w:p w14:paraId="15F71354" w14:textId="77777777" w:rsidR="00212080" w:rsidRPr="00212080" w:rsidRDefault="00212080" w:rsidP="00212080">
      <w:pPr>
        <w:spacing w:after="0" w:line="240" w:lineRule="auto"/>
        <w:ind w:left="0" w:firstLine="720"/>
        <w:rPr>
          <w:rFonts w:eastAsia="Cambria"/>
          <w:color w:val="000000"/>
        </w:rPr>
      </w:pPr>
    </w:p>
    <w:p w14:paraId="727F4000" w14:textId="1CA164C7" w:rsidR="00D46C47" w:rsidRDefault="00212080" w:rsidP="00212080">
      <w:pPr>
        <w:spacing w:after="0" w:line="240" w:lineRule="auto"/>
        <w:ind w:left="0" w:firstLine="720"/>
        <w:rPr>
          <w:rFonts w:eastAsia="Cambria"/>
          <w:color w:val="000000"/>
        </w:rPr>
      </w:pPr>
      <w:r w:rsidRPr="00212080">
        <w:rPr>
          <w:rFonts w:eastAsia="Cambria"/>
          <w:color w:val="000000"/>
        </w:rPr>
        <w:t>In contrast,</w:t>
      </w:r>
      <w:r>
        <w:rPr>
          <w:rFonts w:eastAsia="Cambria"/>
          <w:color w:val="000000"/>
        </w:rPr>
        <w:t xml:space="preserve"> </w:t>
      </w:r>
      <w:r w:rsidRPr="00212080">
        <w:rPr>
          <w:rFonts w:eastAsia="Cambria"/>
          <w:color w:val="000000"/>
        </w:rPr>
        <w:t xml:space="preserve">the current finding contradicts </w:t>
      </w:r>
      <w:proofErr w:type="spellStart"/>
      <w:r w:rsidRPr="00212080">
        <w:rPr>
          <w:rFonts w:eastAsia="Cambria"/>
          <w:color w:val="000000"/>
        </w:rPr>
        <w:t>Akinrinlola</w:t>
      </w:r>
      <w:proofErr w:type="spellEnd"/>
      <w:r w:rsidRPr="00212080">
        <w:rPr>
          <w:rFonts w:eastAsia="Cambria"/>
          <w:color w:val="000000"/>
        </w:rPr>
        <w:t xml:space="preserve"> et al. (2021), who</w:t>
      </w:r>
      <w:r>
        <w:rPr>
          <w:rFonts w:eastAsia="Cambria"/>
          <w:color w:val="000000"/>
        </w:rPr>
        <w:t xml:space="preserve"> </w:t>
      </w:r>
      <w:r w:rsidRPr="00212080">
        <w:rPr>
          <w:rFonts w:eastAsia="Cambria"/>
          <w:color w:val="000000"/>
        </w:rPr>
        <w:t>reported that higher perceptions of organizational justice were associated with</w:t>
      </w:r>
      <w:r>
        <w:rPr>
          <w:rFonts w:eastAsia="Cambria"/>
          <w:color w:val="000000"/>
        </w:rPr>
        <w:t xml:space="preserve"> </w:t>
      </w:r>
      <w:r w:rsidRPr="00212080">
        <w:rPr>
          <w:rFonts w:eastAsia="Cambria"/>
          <w:color w:val="000000"/>
        </w:rPr>
        <w:t>increased turnover intention. This suggests that perceived fairness does not</w:t>
      </w:r>
      <w:r>
        <w:rPr>
          <w:rFonts w:eastAsia="Cambria"/>
          <w:color w:val="000000"/>
        </w:rPr>
        <w:t xml:space="preserve"> </w:t>
      </w:r>
      <w:r w:rsidRPr="00212080">
        <w:rPr>
          <w:rFonts w:eastAsia="Cambria"/>
          <w:color w:val="000000"/>
        </w:rPr>
        <w:t>always enhance teacher retention and may, in some contexts, be linked to a</w:t>
      </w:r>
      <w:r>
        <w:rPr>
          <w:rFonts w:eastAsia="Cambria"/>
          <w:color w:val="000000"/>
        </w:rPr>
        <w:t xml:space="preserve"> </w:t>
      </w:r>
      <w:r w:rsidRPr="00212080">
        <w:rPr>
          <w:rFonts w:eastAsia="Cambria"/>
          <w:color w:val="000000"/>
        </w:rPr>
        <w:t>greater likelihood of leaving the profession. While the earlier study focused on</w:t>
      </w:r>
      <w:r>
        <w:rPr>
          <w:rFonts w:eastAsia="Cambria"/>
          <w:color w:val="000000"/>
        </w:rPr>
        <w:t xml:space="preserve"> </w:t>
      </w:r>
      <w:r w:rsidRPr="00212080">
        <w:rPr>
          <w:rFonts w:eastAsia="Cambria"/>
          <w:color w:val="000000"/>
        </w:rPr>
        <w:t>turnover intention,</w:t>
      </w:r>
      <w:r>
        <w:rPr>
          <w:rFonts w:eastAsia="Cambria"/>
          <w:color w:val="000000"/>
        </w:rPr>
        <w:t xml:space="preserve"> </w:t>
      </w:r>
      <w:r w:rsidRPr="00212080">
        <w:rPr>
          <w:rFonts w:eastAsia="Cambria"/>
          <w:color w:val="000000"/>
        </w:rPr>
        <w:t>the present study examined teacher retention among</w:t>
      </w:r>
      <w:r>
        <w:rPr>
          <w:rFonts w:eastAsia="Cambria"/>
          <w:color w:val="000000"/>
        </w:rPr>
        <w:t xml:space="preserve"> </w:t>
      </w:r>
      <w:r w:rsidRPr="00212080">
        <w:rPr>
          <w:rFonts w:eastAsia="Cambria"/>
          <w:color w:val="000000"/>
        </w:rPr>
        <w:t>general education teachers in inclusive classrooms. The differing results may</w:t>
      </w:r>
      <w:r>
        <w:rPr>
          <w:rFonts w:eastAsia="Cambria"/>
          <w:color w:val="000000"/>
        </w:rPr>
        <w:t xml:space="preserve"> </w:t>
      </w:r>
      <w:r w:rsidRPr="00212080">
        <w:rPr>
          <w:rFonts w:eastAsia="Cambria"/>
          <w:color w:val="000000"/>
        </w:rPr>
        <w:t>also be partly explained by sample size variation, with 298 respondents in the</w:t>
      </w:r>
      <w:r>
        <w:rPr>
          <w:rFonts w:eastAsia="Cambria"/>
          <w:color w:val="000000"/>
        </w:rPr>
        <w:t xml:space="preserve"> </w:t>
      </w:r>
      <w:r w:rsidRPr="00212080">
        <w:rPr>
          <w:rFonts w:eastAsia="Cambria"/>
          <w:color w:val="000000"/>
        </w:rPr>
        <w:t>earlier study compared to 321 in the present study, providing more robust</w:t>
      </w:r>
      <w:r>
        <w:rPr>
          <w:rFonts w:eastAsia="Cambria"/>
          <w:color w:val="000000"/>
        </w:rPr>
        <w:t xml:space="preserve"> </w:t>
      </w:r>
      <w:r w:rsidRPr="00212080">
        <w:rPr>
          <w:rFonts w:eastAsia="Cambria"/>
          <w:color w:val="000000"/>
        </w:rPr>
        <w:t>evidence for the observed correlations between psychological well-being,</w:t>
      </w:r>
      <w:r>
        <w:rPr>
          <w:rFonts w:eastAsia="Cambria"/>
          <w:color w:val="000000"/>
        </w:rPr>
        <w:t xml:space="preserve"> </w:t>
      </w:r>
      <w:r w:rsidRPr="00212080">
        <w:rPr>
          <w:rFonts w:eastAsia="Cambria"/>
          <w:color w:val="000000"/>
        </w:rPr>
        <w:t>perceived organizational justice, and teacher retention.</w:t>
      </w:r>
    </w:p>
    <w:p w14:paraId="566FDDEB" w14:textId="77777777" w:rsidR="00212080" w:rsidRPr="00E0735E" w:rsidRDefault="00212080" w:rsidP="00212080">
      <w:pPr>
        <w:spacing w:after="0" w:line="240" w:lineRule="auto"/>
        <w:ind w:left="0" w:firstLine="720"/>
        <w:rPr>
          <w:rFonts w:eastAsia="Cambria"/>
        </w:rPr>
      </w:pPr>
    </w:p>
    <w:p w14:paraId="16C74201" w14:textId="77777777" w:rsidR="00D46C47" w:rsidRPr="00E0735E" w:rsidRDefault="00513FB1">
      <w:pPr>
        <w:spacing w:after="0" w:line="240" w:lineRule="auto"/>
        <w:ind w:left="0" w:firstLine="0"/>
        <w:rPr>
          <w:rFonts w:eastAsia="Cambria"/>
          <w:b/>
          <w:bCs/>
          <w:i/>
          <w:iCs/>
          <w:color w:val="000000"/>
        </w:rPr>
      </w:pPr>
      <w:r w:rsidRPr="00E0735E">
        <w:rPr>
          <w:rFonts w:eastAsia="Cambria"/>
          <w:b/>
          <w:bCs/>
          <w:i/>
          <w:iCs/>
          <w:color w:val="000000"/>
        </w:rPr>
        <w:t>Teacher Retention as Predicted by Psychological Well-Being and Perceived Organizational Justice</w:t>
      </w:r>
    </w:p>
    <w:p w14:paraId="753BD988" w14:textId="77777777" w:rsidR="00D46C47" w:rsidRPr="00E0735E" w:rsidRDefault="00D46C47">
      <w:pPr>
        <w:spacing w:after="0" w:line="240" w:lineRule="auto"/>
        <w:ind w:left="0" w:firstLine="0"/>
        <w:rPr>
          <w:rFonts w:eastAsia="Cambria"/>
          <w:b/>
          <w:bCs/>
          <w:color w:val="000000"/>
        </w:rPr>
      </w:pPr>
    </w:p>
    <w:p w14:paraId="71D0E2E0" w14:textId="65868DE4" w:rsidR="00212080" w:rsidRPr="00212080" w:rsidRDefault="00212080" w:rsidP="00212080">
      <w:pPr>
        <w:spacing w:after="0" w:line="240" w:lineRule="auto"/>
        <w:ind w:left="0" w:firstLine="720"/>
        <w:rPr>
          <w:rFonts w:eastAsia="Cambria"/>
          <w:color w:val="000000"/>
        </w:rPr>
      </w:pPr>
      <w:r w:rsidRPr="00212080">
        <w:rPr>
          <w:rFonts w:eastAsia="Cambria"/>
          <w:color w:val="000000"/>
        </w:rPr>
        <w:lastRenderedPageBreak/>
        <w:t>This study found that a model predicting teacher retention, with psychological</w:t>
      </w:r>
      <w:r>
        <w:rPr>
          <w:rFonts w:eastAsia="Cambria"/>
          <w:color w:val="000000"/>
        </w:rPr>
        <w:t xml:space="preserve"> </w:t>
      </w:r>
      <w:r w:rsidRPr="00212080">
        <w:rPr>
          <w:rFonts w:eastAsia="Cambria"/>
          <w:color w:val="000000"/>
        </w:rPr>
        <w:t>well-being and perceived organizational justice as predictors, is significant.</w:t>
      </w:r>
      <w:r>
        <w:rPr>
          <w:rFonts w:eastAsia="Cambria"/>
          <w:color w:val="000000"/>
        </w:rPr>
        <w:t xml:space="preserve"> </w:t>
      </w:r>
      <w:r w:rsidRPr="00212080">
        <w:rPr>
          <w:rFonts w:eastAsia="Cambria"/>
          <w:color w:val="000000"/>
        </w:rPr>
        <w:t>This finding affirms Collie (2023), who reported that psychological well-being</w:t>
      </w:r>
      <w:r>
        <w:rPr>
          <w:rFonts w:eastAsia="Cambria"/>
          <w:color w:val="000000"/>
        </w:rPr>
        <w:t xml:space="preserve"> </w:t>
      </w:r>
      <w:r w:rsidRPr="00212080">
        <w:rPr>
          <w:rFonts w:eastAsia="Cambria"/>
          <w:color w:val="000000"/>
        </w:rPr>
        <w:t>significantly predicts teachers' job satisfaction and intention to remain in</w:t>
      </w:r>
      <w:r>
        <w:rPr>
          <w:rFonts w:eastAsia="Cambria"/>
          <w:color w:val="000000"/>
        </w:rPr>
        <w:t xml:space="preserve"> </w:t>
      </w:r>
      <w:r w:rsidRPr="00212080">
        <w:rPr>
          <w:rFonts w:eastAsia="Cambria"/>
          <w:color w:val="000000"/>
        </w:rPr>
        <w:t>teaching, suggesting that teachers with stronger psychological resources are</w:t>
      </w:r>
      <w:r>
        <w:rPr>
          <w:rFonts w:eastAsia="Cambria"/>
          <w:color w:val="000000"/>
        </w:rPr>
        <w:t xml:space="preserve"> </w:t>
      </w:r>
      <w:r w:rsidRPr="00212080">
        <w:rPr>
          <w:rFonts w:eastAsia="Cambria"/>
          <w:color w:val="000000"/>
        </w:rPr>
        <w:t>more resilient, engaged, and committed to their profession. Similarly,</w:t>
      </w:r>
      <w:r>
        <w:rPr>
          <w:rFonts w:eastAsia="Cambria"/>
          <w:color w:val="000000"/>
        </w:rPr>
        <w:t xml:space="preserve"> </w:t>
      </w:r>
      <w:r w:rsidRPr="00212080">
        <w:rPr>
          <w:rFonts w:eastAsia="Cambria"/>
          <w:color w:val="000000"/>
        </w:rPr>
        <w:t>this</w:t>
      </w:r>
      <w:r>
        <w:rPr>
          <w:rFonts w:eastAsia="Cambria"/>
          <w:color w:val="000000"/>
        </w:rPr>
        <w:t xml:space="preserve"> </w:t>
      </w:r>
      <w:r w:rsidRPr="00212080">
        <w:rPr>
          <w:rFonts w:eastAsia="Cambria"/>
          <w:color w:val="000000"/>
        </w:rPr>
        <w:t>current finding agrees with Capone et al. (2023), who implied that</w:t>
      </w:r>
      <w:r>
        <w:rPr>
          <w:rFonts w:eastAsia="Cambria"/>
          <w:color w:val="000000"/>
        </w:rPr>
        <w:t xml:space="preserve"> </w:t>
      </w:r>
      <w:r w:rsidRPr="00212080">
        <w:rPr>
          <w:rFonts w:eastAsia="Cambria"/>
          <w:color w:val="000000"/>
        </w:rPr>
        <w:t>organizational justice and psychosocial work conditions contribute to teacher</w:t>
      </w:r>
      <w:r>
        <w:rPr>
          <w:rFonts w:eastAsia="Cambria"/>
          <w:color w:val="000000"/>
        </w:rPr>
        <w:t xml:space="preserve"> </w:t>
      </w:r>
      <w:r w:rsidRPr="00212080">
        <w:rPr>
          <w:rFonts w:eastAsia="Cambria"/>
          <w:color w:val="000000"/>
        </w:rPr>
        <w:t>retention indirectly by enhancing job satisfaction and psychological well-being,</w:t>
      </w:r>
      <w:r>
        <w:rPr>
          <w:rFonts w:eastAsia="Cambria"/>
          <w:color w:val="000000"/>
        </w:rPr>
        <w:t xml:space="preserve"> </w:t>
      </w:r>
      <w:r w:rsidRPr="00212080">
        <w:rPr>
          <w:rFonts w:eastAsia="Cambria"/>
          <w:color w:val="000000"/>
        </w:rPr>
        <w:t>both of which are established predictors of reduced turnover intention among</w:t>
      </w:r>
      <w:r>
        <w:rPr>
          <w:rFonts w:eastAsia="Cambria"/>
          <w:color w:val="000000"/>
        </w:rPr>
        <w:t xml:space="preserve"> </w:t>
      </w:r>
      <w:r w:rsidRPr="00212080">
        <w:rPr>
          <w:rFonts w:eastAsia="Cambria"/>
          <w:color w:val="000000"/>
        </w:rPr>
        <w:t>teachers. Further,</w:t>
      </w:r>
      <w:r>
        <w:rPr>
          <w:rFonts w:eastAsia="Cambria"/>
          <w:color w:val="000000"/>
        </w:rPr>
        <w:t xml:space="preserve"> </w:t>
      </w:r>
      <w:r w:rsidRPr="00212080">
        <w:rPr>
          <w:rFonts w:eastAsia="Cambria"/>
          <w:color w:val="000000"/>
        </w:rPr>
        <w:t>this current finding corroborates Zhou and Ma's (2022)</w:t>
      </w:r>
      <w:r>
        <w:rPr>
          <w:rFonts w:eastAsia="Cambria"/>
          <w:color w:val="000000"/>
        </w:rPr>
        <w:t xml:space="preserve"> </w:t>
      </w:r>
      <w:r w:rsidRPr="00212080">
        <w:rPr>
          <w:rFonts w:eastAsia="Cambria"/>
          <w:color w:val="000000"/>
        </w:rPr>
        <w:t>finding that higher organizational justice significantly predicts lower turnover</w:t>
      </w:r>
      <w:r>
        <w:rPr>
          <w:rFonts w:eastAsia="Cambria"/>
          <w:color w:val="000000"/>
        </w:rPr>
        <w:t xml:space="preserve"> </w:t>
      </w:r>
      <w:r w:rsidRPr="00212080">
        <w:rPr>
          <w:rFonts w:eastAsia="Cambria"/>
          <w:color w:val="000000"/>
        </w:rPr>
        <w:t>intention, indicating that teachers who perceive fairness in organizational</w:t>
      </w:r>
      <w:r>
        <w:rPr>
          <w:rFonts w:eastAsia="Cambria"/>
          <w:color w:val="000000"/>
        </w:rPr>
        <w:t xml:space="preserve"> </w:t>
      </w:r>
      <w:r w:rsidRPr="00212080">
        <w:rPr>
          <w:rFonts w:eastAsia="Cambria"/>
          <w:color w:val="000000"/>
        </w:rPr>
        <w:t>practices are more likely to remain committed to their profession. Their</w:t>
      </w:r>
      <w:r>
        <w:rPr>
          <w:rFonts w:eastAsia="Cambria"/>
          <w:color w:val="000000"/>
        </w:rPr>
        <w:t xml:space="preserve"> </w:t>
      </w:r>
      <w:r w:rsidRPr="00212080">
        <w:rPr>
          <w:rFonts w:eastAsia="Cambria"/>
          <w:color w:val="000000"/>
        </w:rPr>
        <w:t>findings further revealed that organizational justice was the strongest</w:t>
      </w:r>
      <w:r>
        <w:rPr>
          <w:rFonts w:eastAsia="Cambria"/>
          <w:color w:val="000000"/>
        </w:rPr>
        <w:t xml:space="preserve"> </w:t>
      </w:r>
      <w:r w:rsidRPr="00212080">
        <w:rPr>
          <w:rFonts w:eastAsia="Cambria"/>
          <w:color w:val="000000"/>
        </w:rPr>
        <w:t>predictor of turnover intention, emphasizing the critical role of equitable</w:t>
      </w:r>
      <w:r>
        <w:rPr>
          <w:rFonts w:eastAsia="Cambria"/>
          <w:color w:val="000000"/>
        </w:rPr>
        <w:t xml:space="preserve"> </w:t>
      </w:r>
      <w:r w:rsidRPr="00212080">
        <w:rPr>
          <w:rFonts w:eastAsia="Cambria"/>
          <w:color w:val="000000"/>
        </w:rPr>
        <w:t>policies and transparent leadership in teacher retention.</w:t>
      </w:r>
    </w:p>
    <w:p w14:paraId="759C90C0" w14:textId="77777777" w:rsidR="00212080" w:rsidRPr="00212080" w:rsidRDefault="00212080" w:rsidP="00212080">
      <w:pPr>
        <w:spacing w:after="0" w:line="240" w:lineRule="auto"/>
        <w:ind w:left="0" w:firstLine="720"/>
        <w:rPr>
          <w:rFonts w:eastAsia="Cambria"/>
          <w:color w:val="000000"/>
        </w:rPr>
      </w:pPr>
    </w:p>
    <w:p w14:paraId="4B14860D" w14:textId="50E4D80F" w:rsidR="00D46C47" w:rsidRDefault="00212080" w:rsidP="00212080">
      <w:pPr>
        <w:spacing w:after="0" w:line="240" w:lineRule="auto"/>
        <w:ind w:left="0" w:firstLine="720"/>
        <w:rPr>
          <w:rFonts w:eastAsia="Cambria"/>
          <w:color w:val="000000"/>
        </w:rPr>
      </w:pPr>
      <w:r w:rsidRPr="00212080">
        <w:rPr>
          <w:rFonts w:eastAsia="Cambria"/>
          <w:color w:val="000000"/>
        </w:rPr>
        <w:t>Conversely,</w:t>
      </w:r>
      <w:r>
        <w:rPr>
          <w:rFonts w:eastAsia="Cambria"/>
          <w:color w:val="000000"/>
        </w:rPr>
        <w:t xml:space="preserve"> </w:t>
      </w:r>
      <w:r w:rsidRPr="00212080">
        <w:rPr>
          <w:rFonts w:eastAsia="Cambria"/>
          <w:color w:val="000000"/>
        </w:rPr>
        <w:t>the present finding contrasts with Roebuck (2023), who found that</w:t>
      </w:r>
      <w:r>
        <w:rPr>
          <w:rFonts w:eastAsia="Cambria"/>
          <w:color w:val="000000"/>
        </w:rPr>
        <w:t xml:space="preserve"> </w:t>
      </w:r>
      <w:r w:rsidRPr="00212080">
        <w:rPr>
          <w:rFonts w:eastAsia="Cambria"/>
          <w:color w:val="000000"/>
        </w:rPr>
        <w:t>teacher turnover intention is not fully explained by organizational climate, with</w:t>
      </w:r>
      <w:r>
        <w:rPr>
          <w:rFonts w:eastAsia="Cambria"/>
          <w:color w:val="000000"/>
        </w:rPr>
        <w:t xml:space="preserve"> </w:t>
      </w:r>
      <w:r w:rsidRPr="00212080">
        <w:rPr>
          <w:rFonts w:eastAsia="Cambria"/>
          <w:color w:val="000000"/>
        </w:rPr>
        <w:t>only achievement press emerging as a significant predictor, while other</w:t>
      </w:r>
      <w:r>
        <w:rPr>
          <w:rFonts w:eastAsia="Cambria"/>
          <w:color w:val="000000"/>
        </w:rPr>
        <w:t xml:space="preserve"> </w:t>
      </w:r>
      <w:r w:rsidRPr="00212080">
        <w:rPr>
          <w:rFonts w:eastAsia="Cambria"/>
          <w:color w:val="000000"/>
        </w:rPr>
        <w:t>dimensions did not. The study also found that teacher stress increases</w:t>
      </w:r>
      <w:r>
        <w:rPr>
          <w:rFonts w:eastAsia="Cambria"/>
          <w:color w:val="000000"/>
        </w:rPr>
        <w:t xml:space="preserve"> </w:t>
      </w:r>
      <w:r w:rsidRPr="00212080">
        <w:rPr>
          <w:rFonts w:eastAsia="Cambria"/>
          <w:color w:val="000000"/>
        </w:rPr>
        <w:t>turnover intention, suggesting that workload and performance pressures may</w:t>
      </w:r>
      <w:r>
        <w:rPr>
          <w:rFonts w:eastAsia="Cambria"/>
          <w:color w:val="000000"/>
        </w:rPr>
        <w:t xml:space="preserve"> </w:t>
      </w:r>
      <w:r w:rsidRPr="00212080">
        <w:rPr>
          <w:rFonts w:eastAsia="Cambria"/>
          <w:color w:val="000000"/>
        </w:rPr>
        <w:t>play a stronger role than overall organizational climate, indicating a limited</w:t>
      </w:r>
      <w:r>
        <w:rPr>
          <w:rFonts w:eastAsia="Cambria"/>
          <w:color w:val="000000"/>
        </w:rPr>
        <w:t xml:space="preserve"> </w:t>
      </w:r>
      <w:r w:rsidRPr="00212080">
        <w:rPr>
          <w:rFonts w:eastAsia="Cambria"/>
          <w:color w:val="000000"/>
        </w:rPr>
        <w:t>predictive role of organizational factors. With 90 respondents in the earlier</w:t>
      </w:r>
      <w:r>
        <w:rPr>
          <w:rFonts w:eastAsia="Cambria"/>
          <w:color w:val="000000"/>
        </w:rPr>
        <w:t xml:space="preserve"> </w:t>
      </w:r>
      <w:r w:rsidRPr="00212080">
        <w:rPr>
          <w:rFonts w:eastAsia="Cambria"/>
          <w:color w:val="000000"/>
        </w:rPr>
        <w:t>study compared to 321 in the present study,</w:t>
      </w:r>
      <w:r>
        <w:rPr>
          <w:rFonts w:eastAsia="Cambria"/>
          <w:color w:val="000000"/>
        </w:rPr>
        <w:t xml:space="preserve"> </w:t>
      </w:r>
      <w:r w:rsidRPr="00212080">
        <w:rPr>
          <w:rFonts w:eastAsia="Cambria"/>
          <w:color w:val="000000"/>
        </w:rPr>
        <w:t>the larger sample size further</w:t>
      </w:r>
      <w:r>
        <w:rPr>
          <w:rFonts w:eastAsia="Cambria"/>
          <w:color w:val="000000"/>
        </w:rPr>
        <w:t xml:space="preserve"> </w:t>
      </w:r>
      <w:r w:rsidRPr="00212080">
        <w:rPr>
          <w:rFonts w:eastAsia="Cambria"/>
          <w:color w:val="000000"/>
        </w:rPr>
        <w:t>strengthens the evidence for the teacher retention model as predicted by</w:t>
      </w:r>
      <w:r>
        <w:rPr>
          <w:rFonts w:eastAsia="Cambria"/>
          <w:color w:val="000000"/>
        </w:rPr>
        <w:t xml:space="preserve"> </w:t>
      </w:r>
      <w:r w:rsidRPr="00212080">
        <w:rPr>
          <w:rFonts w:eastAsia="Cambria"/>
          <w:color w:val="000000"/>
        </w:rPr>
        <w:t>psychological well-being and perceived organizational justice.</w:t>
      </w:r>
      <w:r w:rsidR="005F1C4F">
        <w:rPr>
          <w:rFonts w:eastAsia="Cambria"/>
          <w:color w:val="000000"/>
        </w:rPr>
        <w:t xml:space="preserve"> </w:t>
      </w:r>
    </w:p>
    <w:p w14:paraId="1072C8F0" w14:textId="77777777" w:rsidR="00212080" w:rsidRPr="00E0735E" w:rsidRDefault="00212080" w:rsidP="00212080">
      <w:pPr>
        <w:spacing w:after="0" w:line="240" w:lineRule="auto"/>
        <w:ind w:left="0" w:firstLine="720"/>
        <w:rPr>
          <w:rFonts w:eastAsia="Cambria"/>
          <w:color w:val="000000"/>
        </w:rPr>
      </w:pPr>
    </w:p>
    <w:p w14:paraId="1C606E4B" w14:textId="77777777" w:rsidR="005F1C4F" w:rsidRDefault="005F1C4F">
      <w:pPr>
        <w:spacing w:after="0" w:line="240" w:lineRule="auto"/>
        <w:ind w:left="0" w:firstLine="0"/>
        <w:rPr>
          <w:rFonts w:eastAsia="Cambria"/>
          <w:b/>
          <w:bCs/>
          <w:color w:val="000000"/>
        </w:rPr>
      </w:pPr>
    </w:p>
    <w:p w14:paraId="6D677457" w14:textId="3E123008" w:rsidR="00D46C47" w:rsidRPr="00E0735E" w:rsidRDefault="00513FB1">
      <w:pPr>
        <w:spacing w:after="0" w:line="240" w:lineRule="auto"/>
        <w:ind w:left="0" w:firstLine="0"/>
        <w:rPr>
          <w:rFonts w:eastAsia="Cambria"/>
          <w:b/>
          <w:bCs/>
          <w:color w:val="000000"/>
        </w:rPr>
      </w:pPr>
      <w:r w:rsidRPr="00E0735E">
        <w:rPr>
          <w:rFonts w:eastAsia="Cambria"/>
          <w:b/>
          <w:bCs/>
          <w:color w:val="000000"/>
        </w:rPr>
        <w:t>Conclusion</w:t>
      </w:r>
    </w:p>
    <w:p w14:paraId="34E722B8" w14:textId="77777777" w:rsidR="00D46C47" w:rsidRPr="00E0735E" w:rsidRDefault="00D46C47">
      <w:pPr>
        <w:spacing w:after="0" w:line="240" w:lineRule="auto"/>
        <w:ind w:left="0" w:firstLine="720"/>
        <w:rPr>
          <w:rFonts w:eastAsia="Cambria"/>
          <w:color w:val="000000"/>
        </w:rPr>
      </w:pPr>
    </w:p>
    <w:p w14:paraId="1C2D67BE" w14:textId="77777777" w:rsidR="00212080" w:rsidRPr="00212080" w:rsidRDefault="00212080" w:rsidP="00212080">
      <w:pPr>
        <w:spacing w:after="0" w:line="240" w:lineRule="auto"/>
        <w:ind w:left="0" w:firstLine="720"/>
        <w:rPr>
          <w:rFonts w:eastAsia="Cambria"/>
          <w:color w:val="000000"/>
        </w:rPr>
      </w:pPr>
      <w:r w:rsidRPr="00212080">
        <w:rPr>
          <w:rFonts w:eastAsia="Cambria"/>
          <w:color w:val="000000"/>
        </w:rPr>
        <w:t>Based on the findings, it was concluded that teacher retention is significantly</w:t>
      </w:r>
    </w:p>
    <w:p w14:paraId="03E7FF75" w14:textId="12E6634C" w:rsidR="00D46C47" w:rsidRDefault="00212080" w:rsidP="00212080">
      <w:pPr>
        <w:spacing w:after="0" w:line="240" w:lineRule="auto"/>
        <w:ind w:left="0" w:firstLine="0"/>
        <w:rPr>
          <w:rFonts w:eastAsia="Cambria"/>
          <w:color w:val="000000"/>
        </w:rPr>
      </w:pPr>
      <w:r w:rsidRPr="00212080">
        <w:rPr>
          <w:rFonts w:eastAsia="Cambria"/>
          <w:color w:val="000000"/>
        </w:rPr>
        <w:t>predicted by psychological well-being and perceived organizational justice.</w:t>
      </w:r>
      <w:r>
        <w:rPr>
          <w:rFonts w:eastAsia="Cambria"/>
          <w:color w:val="000000"/>
        </w:rPr>
        <w:t xml:space="preserve"> </w:t>
      </w:r>
      <w:r w:rsidRPr="00212080">
        <w:rPr>
          <w:rFonts w:eastAsia="Cambria"/>
          <w:color w:val="000000"/>
        </w:rPr>
        <w:t>Hence,</w:t>
      </w:r>
      <w:r>
        <w:rPr>
          <w:rFonts w:eastAsia="Cambria"/>
          <w:color w:val="000000"/>
        </w:rPr>
        <w:t xml:space="preserve"> </w:t>
      </w:r>
      <w:r w:rsidRPr="00212080">
        <w:rPr>
          <w:rFonts w:eastAsia="Cambria"/>
          <w:color w:val="000000"/>
        </w:rPr>
        <w:t>this conclusion fully affirms the Two-Factor Theory of Motivation,</w:t>
      </w:r>
      <w:r>
        <w:rPr>
          <w:rFonts w:eastAsia="Cambria"/>
          <w:color w:val="000000"/>
        </w:rPr>
        <w:t xml:space="preserve"> </w:t>
      </w:r>
      <w:r w:rsidRPr="00212080">
        <w:rPr>
          <w:rFonts w:eastAsia="Cambria"/>
          <w:color w:val="000000"/>
        </w:rPr>
        <w:t>explaining that motivators enhance the intrinsic commitment of employees to</w:t>
      </w:r>
      <w:r>
        <w:rPr>
          <w:rFonts w:eastAsia="Cambria"/>
          <w:color w:val="000000"/>
        </w:rPr>
        <w:t xml:space="preserve"> </w:t>
      </w:r>
      <w:r w:rsidRPr="00212080">
        <w:rPr>
          <w:rFonts w:eastAsia="Cambria"/>
          <w:color w:val="000000"/>
        </w:rPr>
        <w:t>stay in their profession. At the same time, hygiene factors reduce</w:t>
      </w:r>
      <w:r>
        <w:rPr>
          <w:rFonts w:eastAsia="Cambria"/>
          <w:color w:val="000000"/>
        </w:rPr>
        <w:t xml:space="preserve"> </w:t>
      </w:r>
      <w:r w:rsidRPr="00212080">
        <w:rPr>
          <w:rFonts w:eastAsia="Cambria"/>
          <w:color w:val="000000"/>
        </w:rPr>
        <w:t>dissatisfaction that may lead to turnover.</w:t>
      </w:r>
    </w:p>
    <w:p w14:paraId="50CDB852" w14:textId="77777777" w:rsidR="00212080" w:rsidRDefault="00212080" w:rsidP="00212080">
      <w:pPr>
        <w:spacing w:after="0" w:line="240" w:lineRule="auto"/>
        <w:ind w:left="0" w:firstLine="0"/>
        <w:rPr>
          <w:rFonts w:eastAsia="Cambria"/>
          <w:color w:val="000000"/>
        </w:rPr>
      </w:pPr>
    </w:p>
    <w:p w14:paraId="0357A4E2" w14:textId="77777777" w:rsidR="006B3339" w:rsidRDefault="006B3339" w:rsidP="00212080">
      <w:pPr>
        <w:spacing w:after="0" w:line="240" w:lineRule="auto"/>
        <w:ind w:left="0" w:firstLine="0"/>
        <w:rPr>
          <w:rFonts w:eastAsia="Cambria"/>
          <w:color w:val="000000"/>
        </w:rPr>
      </w:pPr>
    </w:p>
    <w:p w14:paraId="6E2A0D61" w14:textId="77777777" w:rsidR="006B3339" w:rsidRPr="00E0735E" w:rsidRDefault="006B3339" w:rsidP="006B3339">
      <w:pPr>
        <w:spacing w:after="0" w:line="240" w:lineRule="auto"/>
        <w:ind w:left="0" w:firstLine="0"/>
        <w:rPr>
          <w:rFonts w:eastAsia="Cambria"/>
          <w:b/>
          <w:bCs/>
          <w:color w:val="000000"/>
        </w:rPr>
      </w:pPr>
      <w:r>
        <w:rPr>
          <w:rFonts w:eastAsia="Cambria"/>
          <w:b/>
          <w:bCs/>
          <w:color w:val="000000"/>
        </w:rPr>
        <w:t>Limitations of the Study</w:t>
      </w:r>
    </w:p>
    <w:p w14:paraId="5E502A2A" w14:textId="77777777" w:rsidR="006B3339" w:rsidRPr="00E0735E" w:rsidRDefault="006B3339" w:rsidP="006B3339">
      <w:pPr>
        <w:spacing w:after="0" w:line="240" w:lineRule="auto"/>
        <w:ind w:left="0" w:firstLine="720"/>
        <w:rPr>
          <w:rFonts w:eastAsia="Cambria"/>
          <w:color w:val="000000"/>
        </w:rPr>
      </w:pPr>
    </w:p>
    <w:p w14:paraId="446E64B3" w14:textId="77777777" w:rsidR="006B3339" w:rsidRDefault="006B3339" w:rsidP="006B3339">
      <w:pPr>
        <w:spacing w:after="0" w:line="240" w:lineRule="auto"/>
        <w:ind w:left="0" w:firstLine="720"/>
        <w:rPr>
          <w:rFonts w:eastAsia="Cambria"/>
          <w:color w:val="000000"/>
        </w:rPr>
      </w:pPr>
      <w:r w:rsidRPr="005F1C4F">
        <w:rPr>
          <w:rFonts w:eastAsia="Cambria"/>
          <w:color w:val="000000"/>
        </w:rPr>
        <w:t xml:space="preserve">This study has several limitations that should be acknowledged. First, the study utilized self-report questionnaires, which may be subject to response bias and social desirability bias, as respondents may have provided answers they perceived as favorable or socially acceptable. Second, the study employed a cross-sectional predictive research design; therefore, the findings only describe relationships and predictive associations among variables at a single point in time and do not establish </w:t>
      </w:r>
      <w:r w:rsidRPr="005F1C4F">
        <w:rPr>
          <w:rFonts w:eastAsia="Cambria"/>
          <w:color w:val="000000"/>
        </w:rPr>
        <w:lastRenderedPageBreak/>
        <w:t>causal relationships. Third, the study was limited to general education teachers handling learners with disabilities in inclusive public high schools within the Schools Division of Davao del Norte, which may limit the generalizability of the findings to other educational settings or geographical contexts. Despite these limitations, the study provides valuable empirical evidence regarding the role of psychological well-being and perceived organizational justice in predicting teacher retention in inclusive educational settings.</w:t>
      </w:r>
    </w:p>
    <w:p w14:paraId="1662FA53" w14:textId="77777777" w:rsidR="006B3339" w:rsidRPr="00E0735E" w:rsidRDefault="006B3339" w:rsidP="00212080">
      <w:pPr>
        <w:spacing w:after="0" w:line="240" w:lineRule="auto"/>
        <w:ind w:left="0" w:firstLine="0"/>
        <w:rPr>
          <w:rFonts w:eastAsia="Cambria"/>
          <w:color w:val="000000"/>
        </w:rPr>
      </w:pPr>
    </w:p>
    <w:p w14:paraId="763FE485" w14:textId="77777777" w:rsidR="00D46C47" w:rsidRPr="00E0735E" w:rsidRDefault="00513FB1">
      <w:pPr>
        <w:spacing w:after="0" w:line="240" w:lineRule="auto"/>
        <w:ind w:left="0" w:firstLine="0"/>
        <w:rPr>
          <w:rFonts w:eastAsia="Cambria"/>
          <w:b/>
          <w:bCs/>
          <w:color w:val="000000"/>
        </w:rPr>
      </w:pPr>
      <w:r w:rsidRPr="00E0735E">
        <w:rPr>
          <w:rFonts w:eastAsia="Cambria"/>
          <w:b/>
          <w:bCs/>
          <w:color w:val="000000"/>
        </w:rPr>
        <w:t>Recommendations</w:t>
      </w:r>
    </w:p>
    <w:p w14:paraId="0C2ECB4A" w14:textId="77777777" w:rsidR="00D46C47" w:rsidRPr="00E0735E" w:rsidRDefault="00D46C47">
      <w:pPr>
        <w:spacing w:after="0" w:line="240" w:lineRule="auto"/>
        <w:ind w:left="0" w:firstLine="720"/>
        <w:rPr>
          <w:rFonts w:eastAsia="Cambria"/>
          <w:color w:val="000000"/>
        </w:rPr>
      </w:pPr>
    </w:p>
    <w:p w14:paraId="648DB5E0" w14:textId="77777777" w:rsidR="004B06AF" w:rsidRPr="004B06AF" w:rsidRDefault="004B06AF" w:rsidP="004B06AF">
      <w:pPr>
        <w:spacing w:after="0" w:line="240" w:lineRule="auto"/>
        <w:ind w:left="0" w:firstLine="720"/>
        <w:rPr>
          <w:rFonts w:eastAsia="Cambria"/>
          <w:color w:val="000000"/>
          <w:lang w:val="en-US"/>
        </w:rPr>
      </w:pPr>
      <w:r w:rsidRPr="004B06AF">
        <w:rPr>
          <w:rFonts w:eastAsia="Cambria"/>
          <w:color w:val="000000"/>
          <w:lang w:val="en-US"/>
        </w:rPr>
        <w:t>Based on the findings and limitations of the study, future research may include additional variables not covered in this study to account for the remaining 44.3% of the variance in teacher retention unexplained by the predictive variables. Future studies may also employ qualitative or mixed-method approaches to explore teachers’ lived experiences and generate emerging themes related to teacher retention in inclusive education settings. Moreover, longitudinal studies may be conducted to further examine causal relationships among psychological well-being, perceived organizational justice, and teacher retention over time.</w:t>
      </w:r>
    </w:p>
    <w:p w14:paraId="2B872DB7" w14:textId="77777777" w:rsidR="004B06AF" w:rsidRPr="004B06AF" w:rsidRDefault="004B06AF" w:rsidP="004B06AF">
      <w:pPr>
        <w:spacing w:after="0" w:line="240" w:lineRule="auto"/>
        <w:ind w:left="0" w:firstLine="720"/>
        <w:rPr>
          <w:rFonts w:eastAsia="Cambria"/>
          <w:color w:val="000000"/>
          <w:lang w:val="en-US"/>
        </w:rPr>
      </w:pPr>
    </w:p>
    <w:p w14:paraId="2CBF6F95" w14:textId="7BF18910" w:rsidR="005F1C4F" w:rsidRDefault="004B06AF" w:rsidP="004B06AF">
      <w:pPr>
        <w:spacing w:after="0" w:line="240" w:lineRule="auto"/>
        <w:ind w:left="0" w:firstLine="720"/>
        <w:rPr>
          <w:rFonts w:eastAsia="Cambria"/>
          <w:color w:val="000000"/>
          <w:lang w:val="en-US"/>
        </w:rPr>
      </w:pPr>
      <w:r w:rsidRPr="004B06AF">
        <w:rPr>
          <w:rFonts w:eastAsia="Cambria"/>
          <w:color w:val="000000"/>
          <w:lang w:val="en-US"/>
        </w:rPr>
        <w:t>Furthermore, school leaders may strengthen practices that promote fairness, transparency, and supportive working conditions through participatory decision-making and effective feedback mechanisms. Schools may also implement teacher well-being and mental health programs that enhance psychological well-being and sustain teachers’ commitment and long-term retention in the profession.</w:t>
      </w:r>
    </w:p>
    <w:p w14:paraId="6C0B66DD" w14:textId="77777777" w:rsidR="009B7A20" w:rsidRDefault="009B7A20" w:rsidP="004B06AF">
      <w:pPr>
        <w:spacing w:after="0" w:line="240" w:lineRule="auto"/>
        <w:ind w:left="0" w:firstLine="720"/>
        <w:rPr>
          <w:rFonts w:eastAsia="Cambria"/>
          <w:color w:val="000000"/>
          <w:lang w:val="en-US"/>
        </w:rPr>
      </w:pPr>
    </w:p>
    <w:p w14:paraId="297E1DFB" w14:textId="1939550F" w:rsidR="00B420C5" w:rsidRDefault="00B420C5" w:rsidP="004B06AF">
      <w:pPr>
        <w:spacing w:after="0" w:line="240" w:lineRule="auto"/>
        <w:ind w:left="0" w:firstLine="720"/>
        <w:rPr>
          <w:rFonts w:eastAsia="Cambria"/>
          <w:color w:val="000000"/>
          <w:lang w:val="en-US"/>
        </w:rPr>
      </w:pPr>
      <w:r>
        <w:rPr>
          <w:rFonts w:eastAsia="Cambria"/>
          <w:color w:val="000000"/>
          <w:lang w:val="en-US"/>
        </w:rPr>
        <w:t>Ethical approval</w:t>
      </w:r>
    </w:p>
    <w:p w14:paraId="7A3D0E07" w14:textId="77777777" w:rsidR="00B420C5" w:rsidRDefault="00B420C5" w:rsidP="00B420C5">
      <w:pPr>
        <w:pBdr>
          <w:top w:val="nil"/>
          <w:left w:val="nil"/>
          <w:bottom w:val="nil"/>
          <w:right w:val="nil"/>
          <w:between w:val="nil"/>
        </w:pBdr>
        <w:spacing w:line="240" w:lineRule="auto"/>
        <w:ind w:left="0" w:firstLine="720"/>
        <w:rPr>
          <w:rFonts w:eastAsia="Cambria"/>
          <w:color w:val="000000"/>
        </w:rPr>
      </w:pPr>
    </w:p>
    <w:p w14:paraId="194C7DF7" w14:textId="64F000E9" w:rsidR="00B420C5" w:rsidRPr="00B420C5" w:rsidRDefault="00B420C5" w:rsidP="00B420C5">
      <w:pPr>
        <w:spacing w:after="0" w:line="240" w:lineRule="auto"/>
        <w:ind w:left="0" w:firstLine="720"/>
        <w:rPr>
          <w:rFonts w:eastAsia="Cambria"/>
          <w:color w:val="000000"/>
          <w:lang w:val="en-US"/>
        </w:rPr>
      </w:pPr>
      <w:r w:rsidRPr="000F6093">
        <w:rPr>
          <w:rFonts w:eastAsia="Cambria"/>
          <w:color w:val="000000"/>
        </w:rPr>
        <w:t>Ethical</w:t>
      </w:r>
      <w:r>
        <w:rPr>
          <w:rFonts w:eastAsia="Cambria"/>
          <w:color w:val="000000"/>
        </w:rPr>
        <w:t xml:space="preserve"> </w:t>
      </w:r>
      <w:r>
        <w:rPr>
          <w:rFonts w:eastAsia="Cambria"/>
          <w:color w:val="000000"/>
          <w:lang w:val="en-US"/>
        </w:rPr>
        <w:t>approval</w:t>
      </w:r>
      <w:r>
        <w:rPr>
          <w:rFonts w:eastAsia="Cambria"/>
          <w:color w:val="000000"/>
          <w:lang w:val="en-US"/>
        </w:rPr>
        <w:t xml:space="preserve"> </w:t>
      </w:r>
      <w:r w:rsidRPr="000F6093">
        <w:rPr>
          <w:rFonts w:eastAsia="Cambria"/>
          <w:color w:val="000000"/>
        </w:rPr>
        <w:t>was obtained before data collection, and validated and reliable</w:t>
      </w:r>
      <w:r>
        <w:rPr>
          <w:rFonts w:eastAsia="Cambria"/>
          <w:color w:val="000000"/>
        </w:rPr>
        <w:t xml:space="preserve"> </w:t>
      </w:r>
      <w:r w:rsidRPr="000F6093">
        <w:rPr>
          <w:rFonts w:eastAsia="Cambria"/>
          <w:color w:val="000000"/>
        </w:rPr>
        <w:t>instruments were utilized to ensure the consistency and accuracy of data</w:t>
      </w:r>
      <w:r>
        <w:rPr>
          <w:rFonts w:eastAsia="Cambria"/>
          <w:color w:val="000000"/>
        </w:rPr>
        <w:t xml:space="preserve"> </w:t>
      </w:r>
      <w:r w:rsidRPr="000F6093">
        <w:rPr>
          <w:rFonts w:eastAsia="Cambria"/>
          <w:color w:val="000000"/>
        </w:rPr>
        <w:t>gathered.</w:t>
      </w:r>
    </w:p>
    <w:p w14:paraId="36B3583A" w14:textId="77777777" w:rsidR="00B420C5" w:rsidRDefault="00B420C5" w:rsidP="004B06AF">
      <w:pPr>
        <w:spacing w:after="0" w:line="240" w:lineRule="auto"/>
        <w:ind w:left="0" w:firstLine="720"/>
        <w:rPr>
          <w:rFonts w:eastAsia="Cambria"/>
          <w:color w:val="000000"/>
          <w:lang w:val="en-US"/>
        </w:rPr>
      </w:pPr>
    </w:p>
    <w:p w14:paraId="282EBBDB" w14:textId="76101D10" w:rsidR="009B7A20" w:rsidRDefault="009B7A20" w:rsidP="004B06AF">
      <w:pPr>
        <w:spacing w:after="0" w:line="240" w:lineRule="auto"/>
        <w:ind w:left="0" w:firstLine="720"/>
        <w:rPr>
          <w:rFonts w:eastAsia="Cambria"/>
          <w:color w:val="000000"/>
          <w:lang w:val="en-US"/>
        </w:rPr>
      </w:pPr>
      <w:r>
        <w:rPr>
          <w:rFonts w:eastAsia="Cambria"/>
          <w:color w:val="000000"/>
          <w:lang w:val="en-US"/>
        </w:rPr>
        <w:t>Consent</w:t>
      </w:r>
    </w:p>
    <w:p w14:paraId="712FFCEC" w14:textId="77777777" w:rsidR="009B7A20" w:rsidRDefault="009B7A20" w:rsidP="004B06AF">
      <w:pPr>
        <w:spacing w:after="0" w:line="240" w:lineRule="auto"/>
        <w:ind w:left="0" w:firstLine="720"/>
        <w:rPr>
          <w:rFonts w:eastAsia="Cambria"/>
          <w:color w:val="000000"/>
          <w:lang w:val="en-US"/>
        </w:rPr>
      </w:pPr>
    </w:p>
    <w:p w14:paraId="78329A8D" w14:textId="48600AA8" w:rsidR="009B7A20" w:rsidRPr="005F1C4F" w:rsidRDefault="009B7A20" w:rsidP="004B06AF">
      <w:pPr>
        <w:spacing w:after="0" w:line="240" w:lineRule="auto"/>
        <w:ind w:left="0" w:firstLine="720"/>
        <w:rPr>
          <w:rFonts w:eastAsia="Cambria"/>
          <w:color w:val="000000"/>
          <w:lang w:val="en-US"/>
        </w:rPr>
      </w:pPr>
      <w:r w:rsidRPr="000F6093">
        <w:rPr>
          <w:rFonts w:eastAsia="Cambria"/>
          <w:color w:val="000000"/>
        </w:rPr>
        <w:t>Informed consent was obtained from all respondents, with a clear</w:t>
      </w:r>
      <w:r>
        <w:rPr>
          <w:rFonts w:eastAsia="Cambria"/>
          <w:color w:val="000000"/>
        </w:rPr>
        <w:t xml:space="preserve"> </w:t>
      </w:r>
      <w:r w:rsidRPr="000F6093">
        <w:rPr>
          <w:rFonts w:eastAsia="Cambria"/>
          <w:color w:val="000000"/>
        </w:rPr>
        <w:t>explanation of the purpose of the study, procedures, and their right to voluntary</w:t>
      </w:r>
      <w:r>
        <w:rPr>
          <w:rFonts w:eastAsia="Cambria"/>
          <w:color w:val="000000"/>
        </w:rPr>
        <w:t xml:space="preserve"> </w:t>
      </w:r>
      <w:r w:rsidRPr="000F6093">
        <w:rPr>
          <w:rFonts w:eastAsia="Cambria"/>
          <w:color w:val="000000"/>
        </w:rPr>
        <w:t>participation and withdrawal at any time</w:t>
      </w:r>
    </w:p>
    <w:p w14:paraId="0B027D69" w14:textId="77777777" w:rsidR="005F1C4F" w:rsidRDefault="005F1C4F" w:rsidP="00212080">
      <w:pPr>
        <w:spacing w:after="0" w:line="240" w:lineRule="auto"/>
        <w:ind w:left="0" w:firstLine="720"/>
        <w:rPr>
          <w:rFonts w:eastAsia="Cambria"/>
          <w:color w:val="000000"/>
        </w:rPr>
      </w:pPr>
    </w:p>
    <w:p w14:paraId="2CA3825B" w14:textId="77777777" w:rsidR="001A7898" w:rsidRPr="00CA3906" w:rsidRDefault="001A7898" w:rsidP="001A7898">
      <w:pPr>
        <w:rPr>
          <w:b/>
          <w:highlight w:val="yellow"/>
        </w:rPr>
      </w:pPr>
      <w:r w:rsidRPr="00CA3906">
        <w:rPr>
          <w:b/>
          <w:highlight w:val="yellow"/>
        </w:rPr>
        <w:t>Disclaimer (Artificial intelligence)</w:t>
      </w:r>
    </w:p>
    <w:p w14:paraId="17CC9F5F" w14:textId="77777777" w:rsidR="001A7898" w:rsidRPr="00740879" w:rsidRDefault="001A7898" w:rsidP="001A789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ACC2BB4" w14:textId="77777777" w:rsidR="00212080" w:rsidRPr="00E0735E" w:rsidRDefault="00212080" w:rsidP="00212080">
      <w:pPr>
        <w:spacing w:after="0" w:line="240" w:lineRule="auto"/>
        <w:ind w:left="0" w:firstLine="720"/>
        <w:rPr>
          <w:rFonts w:eastAsia="Cambria"/>
          <w:color w:val="000000"/>
        </w:rPr>
      </w:pPr>
    </w:p>
    <w:p w14:paraId="756CCE31" w14:textId="42F903F6" w:rsidR="00D46C47" w:rsidRPr="00E0735E" w:rsidRDefault="00513FB1">
      <w:pPr>
        <w:spacing w:after="0" w:line="240" w:lineRule="auto"/>
        <w:ind w:left="0" w:firstLine="0"/>
        <w:jc w:val="left"/>
        <w:rPr>
          <w:rFonts w:eastAsia="Cambria"/>
          <w:b/>
          <w:bCs/>
          <w:color w:val="000000"/>
          <w:sz w:val="28"/>
          <w:szCs w:val="28"/>
        </w:rPr>
      </w:pPr>
      <w:r w:rsidRPr="00E0735E">
        <w:rPr>
          <w:rFonts w:eastAsia="Cambria"/>
          <w:b/>
          <w:bCs/>
          <w:color w:val="000000"/>
          <w:sz w:val="28"/>
          <w:szCs w:val="28"/>
        </w:rPr>
        <w:t>REFERENCES</w:t>
      </w:r>
    </w:p>
    <w:p w14:paraId="6A2F1DF7" w14:textId="77777777" w:rsidR="00D46C47" w:rsidRPr="00E0735E" w:rsidRDefault="00D46C47">
      <w:pPr>
        <w:spacing w:after="0" w:line="240" w:lineRule="auto"/>
        <w:ind w:left="0" w:right="-7" w:firstLine="0"/>
        <w:rPr>
          <w:rFonts w:eastAsia="Cambria"/>
        </w:rPr>
      </w:pPr>
    </w:p>
    <w:p w14:paraId="2C9D89CA" w14:textId="77777777" w:rsidR="00D46C47" w:rsidRPr="00E0735E" w:rsidRDefault="00513FB1">
      <w:pPr>
        <w:spacing w:after="0" w:line="240" w:lineRule="auto"/>
        <w:ind w:left="709" w:right="-7" w:hanging="709"/>
        <w:rPr>
          <w:rFonts w:eastAsia="Cambria"/>
        </w:rPr>
      </w:pPr>
      <w:proofErr w:type="spellStart"/>
      <w:r w:rsidRPr="00E0735E">
        <w:rPr>
          <w:rFonts w:eastAsia="Cambria"/>
        </w:rPr>
        <w:lastRenderedPageBreak/>
        <w:t>Abelleja</w:t>
      </w:r>
      <w:proofErr w:type="spellEnd"/>
      <w:r w:rsidRPr="00E0735E">
        <w:rPr>
          <w:rFonts w:eastAsia="Cambria"/>
        </w:rPr>
        <w:t xml:space="preserve">, R. J. (2026). Professional development and working conditions in relation to teacher retention in public schools. </w:t>
      </w:r>
      <w:r w:rsidRPr="00E0735E">
        <w:rPr>
          <w:rFonts w:eastAsia="Cambria"/>
          <w:i/>
          <w:iCs/>
        </w:rPr>
        <w:t>International Journal of Research and Innovation in Social Science</w:t>
      </w:r>
      <w:r w:rsidRPr="00E0735E">
        <w:rPr>
          <w:rFonts w:eastAsia="Cambria"/>
        </w:rPr>
        <w:t>.  , 10(1).  https://doi.org/10.47772/IJRISS.2026.10100436</w:t>
      </w:r>
    </w:p>
    <w:p w14:paraId="32BBC3EE" w14:textId="77777777" w:rsidR="00D46C47" w:rsidRPr="00E0735E" w:rsidRDefault="00D46C47">
      <w:pPr>
        <w:spacing w:after="0" w:line="240" w:lineRule="auto"/>
        <w:ind w:left="0" w:right="-7" w:firstLine="0"/>
        <w:rPr>
          <w:rFonts w:eastAsia="Cambria"/>
        </w:rPr>
      </w:pPr>
    </w:p>
    <w:p w14:paraId="6858481E" w14:textId="77777777" w:rsidR="00D46C47" w:rsidRPr="00E0735E" w:rsidRDefault="00513FB1">
      <w:pPr>
        <w:spacing w:after="0" w:line="240" w:lineRule="auto"/>
        <w:ind w:left="709" w:right="-7" w:hanging="709"/>
        <w:rPr>
          <w:rFonts w:eastAsia="Cambria"/>
        </w:rPr>
      </w:pPr>
      <w:r w:rsidRPr="00E0735E">
        <w:rPr>
          <w:rFonts w:eastAsia="Cambria"/>
        </w:rPr>
        <w:t>Ahmad, S., Hussain, S., Yasmeen, U., Aamir, M., Shabbir, J., El-</w:t>
      </w:r>
      <w:proofErr w:type="spellStart"/>
      <w:r w:rsidRPr="00E0735E">
        <w:rPr>
          <w:rFonts w:eastAsia="Cambria"/>
        </w:rPr>
        <w:t>Morshedy</w:t>
      </w:r>
      <w:proofErr w:type="spellEnd"/>
      <w:r w:rsidRPr="00E0735E">
        <w:rPr>
          <w:rFonts w:eastAsia="Cambria"/>
        </w:rPr>
        <w:t>, M., ... &amp; Ahmad, Z. (2022). A simulation study: Using dual ancillary variable to estimate population mean under stratified random sampling. </w:t>
      </w:r>
      <w:proofErr w:type="spellStart"/>
      <w:r w:rsidRPr="00E0735E">
        <w:rPr>
          <w:rFonts w:eastAsia="Cambria"/>
          <w:i/>
          <w:iCs/>
        </w:rPr>
        <w:t>Plos</w:t>
      </w:r>
      <w:proofErr w:type="spellEnd"/>
      <w:r w:rsidRPr="00E0735E">
        <w:rPr>
          <w:rFonts w:eastAsia="Cambria"/>
          <w:i/>
          <w:iCs/>
        </w:rPr>
        <w:t xml:space="preserve"> one</w:t>
      </w:r>
      <w:r w:rsidRPr="00E0735E">
        <w:rPr>
          <w:rFonts w:eastAsia="Cambria"/>
        </w:rPr>
        <w:t>, </w:t>
      </w:r>
      <w:r w:rsidRPr="00E0735E">
        <w:rPr>
          <w:rFonts w:eastAsia="Cambria"/>
          <w:i/>
          <w:iCs/>
        </w:rPr>
        <w:t>17</w:t>
      </w:r>
      <w:r w:rsidRPr="00E0735E">
        <w:rPr>
          <w:rFonts w:eastAsia="Cambria"/>
        </w:rPr>
        <w:t>(11), e0275875. https://doi.org/10.1371/journal.pone.0275875</w:t>
      </w:r>
    </w:p>
    <w:p w14:paraId="1DD38BC1" w14:textId="77777777" w:rsidR="00D46C47" w:rsidRPr="00E0735E" w:rsidRDefault="00D46C47">
      <w:pPr>
        <w:spacing w:after="0" w:line="240" w:lineRule="auto"/>
        <w:ind w:left="709" w:right="-7" w:hanging="709"/>
        <w:rPr>
          <w:rFonts w:eastAsia="Cambria"/>
        </w:rPr>
      </w:pPr>
    </w:p>
    <w:p w14:paraId="57A53152" w14:textId="77777777" w:rsidR="00D46C47" w:rsidRPr="00E0735E" w:rsidRDefault="00513FB1">
      <w:pPr>
        <w:spacing w:after="0" w:line="240" w:lineRule="auto"/>
        <w:ind w:left="709" w:right="-7" w:hanging="709"/>
        <w:rPr>
          <w:rFonts w:eastAsia="Cambria"/>
        </w:rPr>
      </w:pPr>
      <w:proofErr w:type="spellStart"/>
      <w:r w:rsidRPr="00E0735E">
        <w:rPr>
          <w:rFonts w:eastAsia="Cambria"/>
        </w:rPr>
        <w:t>Akinrinlola</w:t>
      </w:r>
      <w:proofErr w:type="spellEnd"/>
      <w:r w:rsidRPr="00E0735E">
        <w:rPr>
          <w:rFonts w:eastAsia="Cambria"/>
        </w:rPr>
        <w:t xml:space="preserve">, F. N., Kusa, N. D., &amp; </w:t>
      </w:r>
      <w:proofErr w:type="spellStart"/>
      <w:r w:rsidRPr="00E0735E">
        <w:rPr>
          <w:rFonts w:eastAsia="Cambria"/>
        </w:rPr>
        <w:t>Wapmuk</w:t>
      </w:r>
      <w:proofErr w:type="spellEnd"/>
      <w:r w:rsidRPr="00E0735E">
        <w:rPr>
          <w:rFonts w:eastAsia="Cambria"/>
        </w:rPr>
        <w:t xml:space="preserve">, S. E. (2021). The role of perceived </w:t>
      </w:r>
      <w:proofErr w:type="spellStart"/>
      <w:r w:rsidRPr="00E0735E">
        <w:rPr>
          <w:rFonts w:eastAsia="Cambria"/>
        </w:rPr>
        <w:t>organisational</w:t>
      </w:r>
      <w:proofErr w:type="spellEnd"/>
      <w:r w:rsidRPr="00E0735E">
        <w:rPr>
          <w:rFonts w:eastAsia="Cambria"/>
        </w:rPr>
        <w:t xml:space="preserve"> support on </w:t>
      </w:r>
      <w:proofErr w:type="spellStart"/>
      <w:r w:rsidRPr="00E0735E">
        <w:rPr>
          <w:rFonts w:eastAsia="Cambria"/>
        </w:rPr>
        <w:t>organisational</w:t>
      </w:r>
      <w:proofErr w:type="spellEnd"/>
      <w:r w:rsidRPr="00E0735E">
        <w:rPr>
          <w:rFonts w:eastAsia="Cambria"/>
        </w:rPr>
        <w:t xml:space="preserve"> justice and turnover intent among private secondary schools in Jos, Plateau State. </w:t>
      </w:r>
      <w:r w:rsidRPr="00E0735E">
        <w:rPr>
          <w:rFonts w:eastAsia="Cambria"/>
          <w:i/>
          <w:iCs/>
        </w:rPr>
        <w:t>International Journal of Research and Innovation in Social Science</w:t>
      </w:r>
      <w:r w:rsidRPr="00E0735E">
        <w:rPr>
          <w:rFonts w:eastAsia="Cambria"/>
        </w:rPr>
        <w:t>, </w:t>
      </w:r>
      <w:r w:rsidRPr="00E0735E">
        <w:rPr>
          <w:rFonts w:eastAsia="Cambria"/>
          <w:i/>
          <w:iCs/>
        </w:rPr>
        <w:t>5</w:t>
      </w:r>
      <w:r w:rsidRPr="00E0735E">
        <w:rPr>
          <w:rFonts w:eastAsia="Cambria"/>
        </w:rPr>
        <w:t xml:space="preserve">(8), 684-692. </w:t>
      </w:r>
    </w:p>
    <w:p w14:paraId="7761F831" w14:textId="77777777" w:rsidR="00D46C47" w:rsidRPr="00E0735E" w:rsidRDefault="00D46C47">
      <w:pPr>
        <w:spacing w:after="0" w:line="240" w:lineRule="auto"/>
        <w:ind w:left="709" w:right="-7" w:hanging="709"/>
        <w:rPr>
          <w:rFonts w:eastAsia="Cambria"/>
        </w:rPr>
      </w:pPr>
    </w:p>
    <w:p w14:paraId="047B751A" w14:textId="77777777" w:rsidR="00D46C47" w:rsidRPr="00E0735E" w:rsidRDefault="00513FB1">
      <w:pPr>
        <w:spacing w:after="0" w:line="240" w:lineRule="auto"/>
        <w:ind w:left="709" w:right="-7" w:hanging="709"/>
        <w:rPr>
          <w:rFonts w:eastAsia="Cambria"/>
        </w:rPr>
      </w:pPr>
      <w:proofErr w:type="spellStart"/>
      <w:r w:rsidRPr="00E0735E">
        <w:rPr>
          <w:rFonts w:eastAsia="Cambria"/>
        </w:rPr>
        <w:t>Anog</w:t>
      </w:r>
      <w:proofErr w:type="spellEnd"/>
      <w:r w:rsidRPr="00E0735E">
        <w:rPr>
          <w:rFonts w:eastAsia="Cambria"/>
        </w:rPr>
        <w:t xml:space="preserve">, A., De Vera, J. V., &amp; </w:t>
      </w:r>
      <w:proofErr w:type="spellStart"/>
      <w:r w:rsidRPr="00E0735E">
        <w:rPr>
          <w:rFonts w:eastAsia="Cambria"/>
        </w:rPr>
        <w:t>Peteros</w:t>
      </w:r>
      <w:proofErr w:type="spellEnd"/>
      <w:r w:rsidRPr="00E0735E">
        <w:rPr>
          <w:rFonts w:eastAsia="Cambria"/>
        </w:rPr>
        <w:t>, E. D. L. (2024). Examining teacher retention through the lens of job satisfaction and commitment in a Philippine private school. </w:t>
      </w:r>
      <w:r w:rsidRPr="00E0735E">
        <w:rPr>
          <w:rFonts w:eastAsia="Cambria"/>
          <w:i/>
          <w:iCs/>
        </w:rPr>
        <w:t>International Journal of Learning, Teaching and Educational Research</w:t>
      </w:r>
      <w:r w:rsidRPr="00E0735E">
        <w:rPr>
          <w:rFonts w:eastAsia="Cambria"/>
        </w:rPr>
        <w:t>, </w:t>
      </w:r>
      <w:r w:rsidRPr="00E0735E">
        <w:rPr>
          <w:rFonts w:eastAsia="Cambria"/>
          <w:i/>
          <w:iCs/>
        </w:rPr>
        <w:t>23</w:t>
      </w:r>
      <w:r w:rsidRPr="00E0735E">
        <w:rPr>
          <w:rFonts w:eastAsia="Cambria"/>
        </w:rPr>
        <w:t>(9), 242-264. https://doi.org/10.26803/ijlter.23.9.13</w:t>
      </w:r>
    </w:p>
    <w:p w14:paraId="0F481F52" w14:textId="77777777" w:rsidR="00D46C47" w:rsidRPr="00E0735E" w:rsidRDefault="00D46C47">
      <w:pPr>
        <w:spacing w:after="0" w:line="240" w:lineRule="auto"/>
        <w:ind w:left="709" w:right="-7" w:hanging="709"/>
        <w:rPr>
          <w:rFonts w:eastAsia="Cambria"/>
          <w:color w:val="222222"/>
        </w:rPr>
      </w:pPr>
    </w:p>
    <w:p w14:paraId="5CE63B18" w14:textId="77777777" w:rsidR="00D46C47" w:rsidRPr="00E0735E" w:rsidRDefault="00513FB1">
      <w:pPr>
        <w:spacing w:after="0" w:line="240" w:lineRule="auto"/>
        <w:ind w:left="709" w:right="-7" w:hanging="709"/>
        <w:rPr>
          <w:rFonts w:eastAsia="Cambria"/>
        </w:rPr>
      </w:pPr>
      <w:r w:rsidRPr="00E0735E">
        <w:rPr>
          <w:rFonts w:eastAsia="Cambria"/>
          <w:color w:val="222222"/>
        </w:rPr>
        <w:t>Arthur, L., &amp; Bradley, S. (2023). Teacher retention in challenging schools: Please don’t say goodbye!. </w:t>
      </w:r>
      <w:r w:rsidRPr="00E0735E">
        <w:rPr>
          <w:rFonts w:eastAsia="Cambria"/>
          <w:i/>
          <w:iCs/>
          <w:color w:val="222222"/>
        </w:rPr>
        <w:t>Teachers and Teaching</w:t>
      </w:r>
      <w:r w:rsidRPr="00E0735E">
        <w:rPr>
          <w:rFonts w:eastAsia="Cambria"/>
          <w:color w:val="222222"/>
        </w:rPr>
        <w:t>, </w:t>
      </w:r>
      <w:r w:rsidRPr="00E0735E">
        <w:rPr>
          <w:rFonts w:eastAsia="Cambria"/>
          <w:i/>
          <w:iCs/>
          <w:color w:val="222222"/>
        </w:rPr>
        <w:t>29</w:t>
      </w:r>
      <w:r w:rsidRPr="00E0735E">
        <w:rPr>
          <w:rFonts w:eastAsia="Cambria"/>
          <w:color w:val="222222"/>
        </w:rPr>
        <w:t>(7-8), 753-771. https://doi.org/10.1080/13540602.2023.2201423</w:t>
      </w:r>
    </w:p>
    <w:p w14:paraId="0775EB4D" w14:textId="77777777" w:rsidR="00D46C47" w:rsidRPr="00E0735E" w:rsidRDefault="00D46C47">
      <w:pPr>
        <w:spacing w:after="0" w:line="240" w:lineRule="auto"/>
        <w:ind w:left="709" w:right="-7" w:hanging="709"/>
        <w:rPr>
          <w:rFonts w:eastAsia="Cambria"/>
        </w:rPr>
      </w:pPr>
    </w:p>
    <w:p w14:paraId="51D0ABCF"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 xml:space="preserve">Aryani, R., Widodo, W., &amp; </w:t>
      </w:r>
      <w:proofErr w:type="spellStart"/>
      <w:r w:rsidRPr="00E0735E">
        <w:rPr>
          <w:rFonts w:eastAsia="Cambria"/>
          <w:color w:val="222222"/>
        </w:rPr>
        <w:t>Chandrawaty</w:t>
      </w:r>
      <w:proofErr w:type="spellEnd"/>
      <w:r w:rsidRPr="00E0735E">
        <w:rPr>
          <w:rFonts w:eastAsia="Cambria"/>
          <w:color w:val="222222"/>
        </w:rPr>
        <w:t>, C. (2021). How adversity quotient and organizational justice reduce turnover intention empirical evidence from Indonesia. </w:t>
      </w:r>
      <w:r w:rsidRPr="00E0735E">
        <w:rPr>
          <w:rFonts w:eastAsia="Cambria"/>
          <w:i/>
          <w:iCs/>
          <w:color w:val="222222"/>
        </w:rPr>
        <w:t>The Journal of Asian Finance, Economics and Business</w:t>
      </w:r>
      <w:r w:rsidRPr="00E0735E">
        <w:rPr>
          <w:rFonts w:eastAsia="Cambria"/>
          <w:color w:val="222222"/>
        </w:rPr>
        <w:t>, </w:t>
      </w:r>
      <w:r w:rsidRPr="00E0735E">
        <w:rPr>
          <w:rFonts w:eastAsia="Cambria"/>
          <w:i/>
          <w:iCs/>
          <w:color w:val="222222"/>
        </w:rPr>
        <w:t>8</w:t>
      </w:r>
      <w:r w:rsidRPr="00E0735E">
        <w:rPr>
          <w:rFonts w:eastAsia="Cambria"/>
          <w:color w:val="222222"/>
        </w:rPr>
        <w:t>(6), 1171-1181. https://doi.org/10.13106/jafeb.2021.vol8.no6.1171</w:t>
      </w:r>
    </w:p>
    <w:p w14:paraId="4D5BFEF0" w14:textId="77777777" w:rsidR="00D46C47" w:rsidRPr="00E0735E" w:rsidRDefault="00D46C47">
      <w:pPr>
        <w:spacing w:after="0" w:line="240" w:lineRule="auto"/>
        <w:ind w:left="709" w:right="-7" w:hanging="709"/>
        <w:rPr>
          <w:rFonts w:eastAsia="Cambria"/>
          <w:color w:val="222222"/>
        </w:rPr>
      </w:pPr>
    </w:p>
    <w:p w14:paraId="5D5015C0" w14:textId="77777777" w:rsidR="00D46C47" w:rsidRPr="00E0735E" w:rsidRDefault="00513FB1">
      <w:pPr>
        <w:spacing w:after="0" w:line="240" w:lineRule="auto"/>
        <w:ind w:left="709" w:right="-7" w:hanging="709"/>
        <w:rPr>
          <w:rFonts w:eastAsia="Cambria"/>
        </w:rPr>
      </w:pPr>
      <w:r w:rsidRPr="00E0735E">
        <w:rPr>
          <w:rFonts w:eastAsia="Cambria"/>
          <w:color w:val="222222"/>
        </w:rPr>
        <w:t xml:space="preserve">Aung Po, W. W., </w:t>
      </w:r>
      <w:proofErr w:type="spellStart"/>
      <w:r w:rsidRPr="00E0735E">
        <w:rPr>
          <w:rFonts w:eastAsia="Cambria"/>
          <w:color w:val="222222"/>
        </w:rPr>
        <w:t>Wichaikhum</w:t>
      </w:r>
      <w:proofErr w:type="spellEnd"/>
      <w:r w:rsidRPr="00E0735E">
        <w:rPr>
          <w:rFonts w:eastAsia="Cambria"/>
          <w:color w:val="222222"/>
        </w:rPr>
        <w:t xml:space="preserve">, O. A., </w:t>
      </w:r>
      <w:proofErr w:type="spellStart"/>
      <w:r w:rsidRPr="00E0735E">
        <w:rPr>
          <w:rFonts w:eastAsia="Cambria"/>
          <w:color w:val="222222"/>
        </w:rPr>
        <w:t>Abhicharttibutra</w:t>
      </w:r>
      <w:proofErr w:type="spellEnd"/>
      <w:r w:rsidRPr="00E0735E">
        <w:rPr>
          <w:rFonts w:eastAsia="Cambria"/>
          <w:color w:val="222222"/>
        </w:rPr>
        <w:t xml:space="preserve">, K., &amp; </w:t>
      </w:r>
      <w:proofErr w:type="spellStart"/>
      <w:r w:rsidRPr="00E0735E">
        <w:rPr>
          <w:rFonts w:eastAsia="Cambria"/>
          <w:color w:val="222222"/>
        </w:rPr>
        <w:t>Suthakorn</w:t>
      </w:r>
      <w:proofErr w:type="spellEnd"/>
      <w:r w:rsidRPr="00E0735E">
        <w:rPr>
          <w:rFonts w:eastAsia="Cambria"/>
          <w:color w:val="222222"/>
        </w:rPr>
        <w:t>, W. (2024). Factors predicting job performance of nurses: A descriptive predictive study. </w:t>
      </w:r>
      <w:r w:rsidRPr="00E0735E">
        <w:rPr>
          <w:rFonts w:eastAsia="Cambria"/>
          <w:i/>
          <w:iCs/>
          <w:color w:val="222222"/>
        </w:rPr>
        <w:t>International Nursing Review</w:t>
      </w:r>
      <w:r w:rsidRPr="00E0735E">
        <w:rPr>
          <w:rFonts w:eastAsia="Cambria"/>
          <w:color w:val="222222"/>
        </w:rPr>
        <w:t>, </w:t>
      </w:r>
      <w:r w:rsidRPr="00E0735E">
        <w:rPr>
          <w:rFonts w:eastAsia="Cambria"/>
          <w:i/>
          <w:iCs/>
          <w:color w:val="222222"/>
        </w:rPr>
        <w:t>71</w:t>
      </w:r>
      <w:r w:rsidRPr="00E0735E">
        <w:rPr>
          <w:rFonts w:eastAsia="Cambria"/>
          <w:color w:val="222222"/>
        </w:rPr>
        <w:t>(3), 563-570. https://doi.org/10.1111/inr.12873</w:t>
      </w:r>
    </w:p>
    <w:p w14:paraId="645F5B69" w14:textId="77777777" w:rsidR="00D46C47" w:rsidRPr="00E0735E" w:rsidRDefault="00D46C47">
      <w:pPr>
        <w:spacing w:after="0" w:line="240" w:lineRule="auto"/>
        <w:ind w:left="709" w:right="-7" w:hanging="709"/>
        <w:rPr>
          <w:rFonts w:eastAsia="Cambria"/>
        </w:rPr>
      </w:pPr>
    </w:p>
    <w:p w14:paraId="3942C43B"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 xml:space="preserve">Capone, V., </w:t>
      </w:r>
      <w:proofErr w:type="spellStart"/>
      <w:r w:rsidRPr="00E0735E">
        <w:rPr>
          <w:rFonts w:eastAsia="Cambria"/>
          <w:color w:val="222222"/>
        </w:rPr>
        <w:t>Joshanloo</w:t>
      </w:r>
      <w:proofErr w:type="spellEnd"/>
      <w:r w:rsidRPr="00E0735E">
        <w:rPr>
          <w:rFonts w:eastAsia="Cambria"/>
          <w:color w:val="222222"/>
        </w:rPr>
        <w:t>, M., &amp; Sang-Ah Park, M. (2023). Job Satisfaction Mediates the Relationship between Psychosocial and Organization Factors and Mental Well-Being in Schoolteachers. </w:t>
      </w:r>
      <w:r w:rsidRPr="00E0735E">
        <w:rPr>
          <w:rFonts w:eastAsia="Cambria"/>
          <w:i/>
          <w:iCs/>
          <w:color w:val="222222"/>
        </w:rPr>
        <w:t>International Journal of Environmental Research and Public Health</w:t>
      </w:r>
      <w:r w:rsidRPr="00E0735E">
        <w:rPr>
          <w:rFonts w:eastAsia="Cambria"/>
          <w:color w:val="222222"/>
        </w:rPr>
        <w:t>, </w:t>
      </w:r>
      <w:r w:rsidRPr="00E0735E">
        <w:rPr>
          <w:rFonts w:eastAsia="Cambria"/>
          <w:i/>
          <w:iCs/>
          <w:color w:val="222222"/>
        </w:rPr>
        <w:t>20</w:t>
      </w:r>
      <w:r w:rsidRPr="00E0735E">
        <w:rPr>
          <w:rFonts w:eastAsia="Cambria"/>
          <w:color w:val="222222"/>
        </w:rPr>
        <w:t>(1), 593. https://doi.org/10.3390/ijerph20010593</w:t>
      </w:r>
    </w:p>
    <w:p w14:paraId="516ED34A" w14:textId="77777777" w:rsidR="00D46C47" w:rsidRPr="00E0735E" w:rsidRDefault="00D46C47">
      <w:pPr>
        <w:spacing w:after="0" w:line="240" w:lineRule="auto"/>
        <w:ind w:left="0" w:right="-7" w:firstLine="0"/>
        <w:rPr>
          <w:rFonts w:eastAsia="Cambria"/>
          <w:color w:val="222222"/>
        </w:rPr>
      </w:pPr>
    </w:p>
    <w:p w14:paraId="23AC9F24" w14:textId="77777777" w:rsidR="00D46C47" w:rsidRPr="00E0735E" w:rsidRDefault="00513FB1">
      <w:pPr>
        <w:spacing w:after="0" w:line="240" w:lineRule="auto"/>
        <w:ind w:left="709" w:right="-7" w:hanging="709"/>
        <w:rPr>
          <w:rFonts w:eastAsia="Cambria"/>
        </w:rPr>
      </w:pPr>
      <w:r w:rsidRPr="00E0735E">
        <w:rPr>
          <w:rFonts w:eastAsia="Cambria"/>
          <w:color w:val="222222"/>
        </w:rPr>
        <w:t>Çelik, H. R., &amp; Kalkan, Ö. K. (2022). Organizational Justice, Perceived Stress and Leader Support as Predictors of Teachers’ Job Satisfaction. </w:t>
      </w:r>
      <w:r w:rsidRPr="00E0735E">
        <w:rPr>
          <w:rFonts w:eastAsia="Cambria"/>
          <w:i/>
          <w:iCs/>
          <w:color w:val="222222"/>
        </w:rPr>
        <w:t xml:space="preserve">Acta </w:t>
      </w:r>
      <w:proofErr w:type="spellStart"/>
      <w:r w:rsidRPr="00E0735E">
        <w:rPr>
          <w:rFonts w:eastAsia="Cambria"/>
          <w:i/>
          <w:iCs/>
          <w:color w:val="222222"/>
        </w:rPr>
        <w:t>Educationis</w:t>
      </w:r>
      <w:proofErr w:type="spellEnd"/>
      <w:r w:rsidRPr="00E0735E">
        <w:rPr>
          <w:rFonts w:eastAsia="Cambria"/>
          <w:i/>
          <w:iCs/>
          <w:color w:val="222222"/>
        </w:rPr>
        <w:t xml:space="preserve"> Generalis</w:t>
      </w:r>
      <w:r w:rsidRPr="00E0735E">
        <w:rPr>
          <w:rFonts w:eastAsia="Cambria"/>
          <w:color w:val="222222"/>
        </w:rPr>
        <w:t>, </w:t>
      </w:r>
      <w:r w:rsidRPr="00E0735E">
        <w:rPr>
          <w:rFonts w:eastAsia="Cambria"/>
          <w:i/>
          <w:iCs/>
          <w:color w:val="222222"/>
        </w:rPr>
        <w:t>12</w:t>
      </w:r>
      <w:r w:rsidRPr="00E0735E">
        <w:rPr>
          <w:rFonts w:eastAsia="Cambria"/>
          <w:color w:val="222222"/>
        </w:rPr>
        <w:t>(1), 127-145. https://doi.org/10.2478/atd-2022-0007</w:t>
      </w:r>
    </w:p>
    <w:p w14:paraId="3061F914" w14:textId="77777777" w:rsidR="00D46C47" w:rsidRPr="00E0735E" w:rsidRDefault="00D46C47">
      <w:pPr>
        <w:spacing w:after="0" w:line="240" w:lineRule="auto"/>
        <w:ind w:left="0" w:right="-7" w:firstLine="0"/>
        <w:rPr>
          <w:rFonts w:eastAsia="Cambria"/>
        </w:rPr>
      </w:pPr>
    </w:p>
    <w:p w14:paraId="399D354E" w14:textId="77777777" w:rsidR="00D46C47" w:rsidRPr="00E0735E" w:rsidRDefault="00513FB1">
      <w:pPr>
        <w:spacing w:after="0" w:line="240" w:lineRule="auto"/>
        <w:ind w:left="0" w:right="-7" w:firstLine="0"/>
        <w:rPr>
          <w:rFonts w:eastAsia="Cambria"/>
        </w:rPr>
      </w:pPr>
      <w:r w:rsidRPr="00E0735E">
        <w:rPr>
          <w:rFonts w:eastAsia="Cambria"/>
        </w:rPr>
        <w:t xml:space="preserve">Cohen, J. (2013). Statistical power analysis for the behavioral sciences. </w:t>
      </w:r>
      <w:proofErr w:type="spellStart"/>
      <w:r w:rsidRPr="00E0735E">
        <w:rPr>
          <w:rFonts w:eastAsia="Cambria"/>
        </w:rPr>
        <w:t>routledge</w:t>
      </w:r>
      <w:proofErr w:type="spellEnd"/>
      <w:r w:rsidRPr="00E0735E">
        <w:rPr>
          <w:rFonts w:eastAsia="Cambria"/>
        </w:rPr>
        <w:t>.</w:t>
      </w:r>
    </w:p>
    <w:p w14:paraId="5F12BE49" w14:textId="77777777" w:rsidR="00D46C47" w:rsidRPr="00E0735E" w:rsidRDefault="00D46C47">
      <w:pPr>
        <w:spacing w:after="0" w:line="240" w:lineRule="auto"/>
        <w:ind w:left="0" w:right="-7" w:firstLine="0"/>
        <w:rPr>
          <w:rFonts w:eastAsia="Cambria"/>
        </w:rPr>
      </w:pPr>
    </w:p>
    <w:p w14:paraId="6D1AE543" w14:textId="77777777" w:rsidR="00D46C47" w:rsidRPr="00E0735E" w:rsidRDefault="00513FB1">
      <w:pPr>
        <w:spacing w:after="0" w:line="240" w:lineRule="auto"/>
        <w:ind w:left="709" w:right="-7" w:hanging="709"/>
        <w:rPr>
          <w:rFonts w:eastAsia="Cambria"/>
        </w:rPr>
      </w:pPr>
      <w:r w:rsidRPr="00E0735E">
        <w:rPr>
          <w:rFonts w:eastAsia="Cambria"/>
        </w:rPr>
        <w:lastRenderedPageBreak/>
        <w:t>Collie, R. J. (2023). Teacher well</w:t>
      </w:r>
      <w:r w:rsidRPr="00E0735E">
        <w:rPr>
          <w:rFonts w:ascii="Cambria Math" w:eastAsia="Cambria" w:hAnsi="Cambria Math" w:cs="Cambria Math"/>
        </w:rPr>
        <w:t>‐</w:t>
      </w:r>
      <w:r w:rsidRPr="00E0735E">
        <w:rPr>
          <w:rFonts w:eastAsia="Cambria"/>
        </w:rPr>
        <w:t>being and turnover intentions: Investigating the roles of job resources and job demands. </w:t>
      </w:r>
      <w:r w:rsidRPr="00E0735E">
        <w:rPr>
          <w:rFonts w:eastAsia="Cambria"/>
          <w:i/>
          <w:iCs/>
        </w:rPr>
        <w:t>British Journal of Educational Psychology</w:t>
      </w:r>
      <w:r w:rsidRPr="00E0735E">
        <w:rPr>
          <w:rFonts w:eastAsia="Cambria"/>
        </w:rPr>
        <w:t>, </w:t>
      </w:r>
      <w:r w:rsidRPr="00E0735E">
        <w:rPr>
          <w:rFonts w:eastAsia="Cambria"/>
          <w:i/>
          <w:iCs/>
        </w:rPr>
        <w:t>93</w:t>
      </w:r>
      <w:r w:rsidRPr="00E0735E">
        <w:rPr>
          <w:rFonts w:eastAsia="Cambria"/>
        </w:rPr>
        <w:t>(3), 712-726. https://doi.org/10.1111/bjep.12587</w:t>
      </w:r>
    </w:p>
    <w:p w14:paraId="3BDA2703" w14:textId="77777777" w:rsidR="00D46C47" w:rsidRPr="00E0735E" w:rsidRDefault="00D46C47">
      <w:pPr>
        <w:spacing w:after="0" w:line="240" w:lineRule="auto"/>
        <w:ind w:left="0" w:right="-7" w:firstLine="0"/>
        <w:rPr>
          <w:rFonts w:eastAsia="Cambria"/>
        </w:rPr>
      </w:pPr>
    </w:p>
    <w:p w14:paraId="3B1778AE" w14:textId="77777777" w:rsidR="00D46C47" w:rsidRPr="00E0735E" w:rsidRDefault="00513FB1">
      <w:pPr>
        <w:spacing w:after="0" w:line="240" w:lineRule="auto"/>
        <w:ind w:left="709" w:right="-7" w:hanging="709"/>
        <w:rPr>
          <w:rFonts w:eastAsia="Cambria"/>
        </w:rPr>
      </w:pPr>
      <w:r w:rsidRPr="00E0735E">
        <w:rPr>
          <w:rFonts w:eastAsia="Cambria"/>
        </w:rPr>
        <w:t>Cuervo, H., &amp; Vera-Toscano, E. (2025). Teacher retention and attrition: understanding why teachers leave and their post-teaching pathways in Australia. </w:t>
      </w:r>
      <w:r w:rsidRPr="00E0735E">
        <w:rPr>
          <w:rFonts w:eastAsia="Cambria"/>
          <w:i/>
          <w:iCs/>
        </w:rPr>
        <w:t>Asia Pacific Journal of Education</w:t>
      </w:r>
      <w:r w:rsidRPr="00E0735E">
        <w:rPr>
          <w:rFonts w:eastAsia="Cambria"/>
        </w:rPr>
        <w:t>, 1–18. https://doi.org/10.1080/02188791.2025.2473356</w:t>
      </w:r>
    </w:p>
    <w:p w14:paraId="0E7D75D8" w14:textId="77777777" w:rsidR="00D46C47" w:rsidRPr="00E0735E" w:rsidRDefault="00D46C47">
      <w:pPr>
        <w:spacing w:after="0" w:line="240" w:lineRule="auto"/>
        <w:ind w:left="709" w:right="-7" w:hanging="709"/>
        <w:rPr>
          <w:rFonts w:eastAsia="Cambria"/>
        </w:rPr>
      </w:pPr>
    </w:p>
    <w:p w14:paraId="7E1E8FA5" w14:textId="77777777" w:rsidR="00D46C47" w:rsidRPr="00E0735E" w:rsidRDefault="00513FB1">
      <w:pPr>
        <w:spacing w:after="0" w:line="240" w:lineRule="auto"/>
        <w:ind w:left="709" w:right="-7" w:hanging="709"/>
        <w:rPr>
          <w:rFonts w:eastAsia="Cambria"/>
        </w:rPr>
      </w:pPr>
      <w:r w:rsidRPr="00E0735E">
        <w:rPr>
          <w:rFonts w:eastAsia="Cambria"/>
        </w:rPr>
        <w:t>Ekene, O. A., Paul, K., &amp; Reuben, N. (2025). Effect of career development on employee turnover at The Catholic University of Eastern Africa, Nairobi, Kenya. </w:t>
      </w:r>
      <w:r w:rsidRPr="00E0735E">
        <w:rPr>
          <w:rFonts w:eastAsia="Cambria"/>
          <w:i/>
          <w:iCs/>
        </w:rPr>
        <w:t>Asian Journal of Social Science and Management Technology</w:t>
      </w:r>
      <w:r w:rsidRPr="00E0735E">
        <w:rPr>
          <w:rFonts w:eastAsia="Cambria"/>
        </w:rPr>
        <w:t>, </w:t>
      </w:r>
      <w:r w:rsidRPr="00E0735E">
        <w:rPr>
          <w:rFonts w:eastAsia="Cambria"/>
          <w:i/>
          <w:iCs/>
        </w:rPr>
        <w:t>7</w:t>
      </w:r>
      <w:r w:rsidRPr="00E0735E">
        <w:rPr>
          <w:rFonts w:eastAsia="Cambria"/>
        </w:rPr>
        <w:t>(3), 326-334.</w:t>
      </w:r>
    </w:p>
    <w:p w14:paraId="7579A546" w14:textId="77777777" w:rsidR="00D46C47" w:rsidRPr="00E0735E" w:rsidRDefault="00D46C47">
      <w:pPr>
        <w:spacing w:after="0" w:line="240" w:lineRule="auto"/>
        <w:ind w:left="709" w:right="-7" w:hanging="709"/>
        <w:rPr>
          <w:rFonts w:eastAsia="Cambria"/>
        </w:rPr>
      </w:pPr>
    </w:p>
    <w:p w14:paraId="56C663D7" w14:textId="77777777" w:rsidR="00D46C47" w:rsidRPr="00E0735E" w:rsidRDefault="00513FB1">
      <w:pPr>
        <w:spacing w:after="0" w:line="240" w:lineRule="auto"/>
        <w:ind w:left="709" w:right="-7" w:hanging="709"/>
        <w:rPr>
          <w:rFonts w:eastAsia="Cambria"/>
        </w:rPr>
      </w:pPr>
      <w:r w:rsidRPr="00E0735E">
        <w:rPr>
          <w:rFonts w:eastAsia="Cambria"/>
        </w:rPr>
        <w:t>Elma, C. (2013). The Predictive Value of Teachers' Perception of Organizational Justice on Job Satisfaction. </w:t>
      </w:r>
      <w:r w:rsidRPr="00E0735E">
        <w:rPr>
          <w:rFonts w:eastAsia="Cambria"/>
          <w:i/>
          <w:iCs/>
        </w:rPr>
        <w:t>Eurasian Journal of Educational Research</w:t>
      </w:r>
      <w:r w:rsidRPr="00E0735E">
        <w:rPr>
          <w:rFonts w:eastAsia="Cambria"/>
        </w:rPr>
        <w:t>, </w:t>
      </w:r>
      <w:r w:rsidRPr="00E0735E">
        <w:rPr>
          <w:rFonts w:eastAsia="Cambria"/>
          <w:i/>
          <w:iCs/>
        </w:rPr>
        <w:t>51</w:t>
      </w:r>
      <w:r w:rsidRPr="00E0735E">
        <w:rPr>
          <w:rFonts w:eastAsia="Cambria"/>
        </w:rPr>
        <w:t>, 157-175.</w:t>
      </w:r>
    </w:p>
    <w:p w14:paraId="13F12139" w14:textId="77777777" w:rsidR="00D46C47" w:rsidRPr="00E0735E" w:rsidRDefault="00D46C47">
      <w:pPr>
        <w:spacing w:after="0" w:line="240" w:lineRule="auto"/>
        <w:ind w:left="0" w:right="-7" w:firstLine="0"/>
        <w:rPr>
          <w:rFonts w:eastAsia="Cambria"/>
        </w:rPr>
      </w:pPr>
    </w:p>
    <w:p w14:paraId="249453B0" w14:textId="77777777" w:rsidR="00D46C47" w:rsidRPr="00E0735E" w:rsidRDefault="00513FB1">
      <w:pPr>
        <w:pBdr>
          <w:top w:val="nil"/>
          <w:left w:val="nil"/>
          <w:bottom w:val="nil"/>
          <w:right w:val="nil"/>
          <w:between w:val="nil"/>
        </w:pBdr>
        <w:spacing w:after="0" w:line="240" w:lineRule="auto"/>
        <w:ind w:left="720" w:hanging="720"/>
        <w:rPr>
          <w:rFonts w:eastAsia="Cambria"/>
          <w:color w:val="000000"/>
        </w:rPr>
      </w:pPr>
      <w:proofErr w:type="spellStart"/>
      <w:r w:rsidRPr="00E0735E">
        <w:rPr>
          <w:rFonts w:eastAsia="Cambria"/>
          <w:color w:val="000000"/>
        </w:rPr>
        <w:t>Gansle</w:t>
      </w:r>
      <w:proofErr w:type="spellEnd"/>
      <w:r w:rsidRPr="00E0735E">
        <w:rPr>
          <w:rFonts w:eastAsia="Cambria"/>
          <w:color w:val="000000"/>
        </w:rPr>
        <w:t>, K. A., Layden, S. J., Scott, L. A., &amp; Noell, G. H. (2025). Special Education Teacher Attrition: Graduate Study, Public School, Private School. </w:t>
      </w:r>
      <w:r w:rsidRPr="00E0735E">
        <w:rPr>
          <w:rFonts w:eastAsia="Cambria"/>
          <w:i/>
          <w:iCs/>
          <w:color w:val="000000"/>
        </w:rPr>
        <w:t>Exceptionality</w:t>
      </w:r>
      <w:r w:rsidRPr="00E0735E">
        <w:rPr>
          <w:rFonts w:eastAsia="Cambria"/>
          <w:color w:val="000000"/>
        </w:rPr>
        <w:t>, </w:t>
      </w:r>
      <w:r w:rsidRPr="00E0735E">
        <w:rPr>
          <w:rFonts w:eastAsia="Cambria"/>
          <w:i/>
          <w:iCs/>
          <w:color w:val="000000"/>
        </w:rPr>
        <w:t>33</w:t>
      </w:r>
      <w:r w:rsidRPr="00E0735E">
        <w:rPr>
          <w:rFonts w:eastAsia="Cambria"/>
          <w:color w:val="000000"/>
        </w:rPr>
        <w:t>(3), 163–178. https://doi.org/10.1080/09362835.2024.2426800</w:t>
      </w:r>
    </w:p>
    <w:p w14:paraId="695B4174" w14:textId="77777777" w:rsidR="00D46C47" w:rsidRPr="00E0735E" w:rsidRDefault="00D46C47">
      <w:pPr>
        <w:pBdr>
          <w:top w:val="nil"/>
          <w:left w:val="nil"/>
          <w:bottom w:val="nil"/>
          <w:right w:val="nil"/>
          <w:between w:val="nil"/>
        </w:pBdr>
        <w:spacing w:after="0" w:line="240" w:lineRule="auto"/>
        <w:ind w:left="720" w:hanging="720"/>
        <w:rPr>
          <w:rFonts w:eastAsia="Cambria"/>
          <w:color w:val="000000"/>
        </w:rPr>
      </w:pPr>
    </w:p>
    <w:p w14:paraId="6CEAFA05" w14:textId="77777777" w:rsidR="00D46C47" w:rsidRPr="00E0735E" w:rsidRDefault="00513FB1">
      <w:pPr>
        <w:pBdr>
          <w:top w:val="nil"/>
          <w:left w:val="nil"/>
          <w:bottom w:val="nil"/>
          <w:right w:val="nil"/>
          <w:between w:val="nil"/>
        </w:pBdr>
        <w:spacing w:after="0" w:line="240" w:lineRule="auto"/>
        <w:ind w:left="720" w:hanging="720"/>
        <w:rPr>
          <w:rFonts w:eastAsia="Cambria"/>
          <w:color w:val="000000"/>
        </w:rPr>
      </w:pPr>
      <w:r w:rsidRPr="00E0735E">
        <w:rPr>
          <w:rFonts w:eastAsia="Cambria"/>
          <w:color w:val="000000"/>
        </w:rPr>
        <w:t>Goodfellow, L. T. (2023). An overview of survey research. </w:t>
      </w:r>
      <w:r w:rsidRPr="00E0735E">
        <w:rPr>
          <w:rFonts w:eastAsia="Cambria"/>
          <w:i/>
          <w:iCs/>
          <w:color w:val="000000"/>
        </w:rPr>
        <w:t>Respiratory Care</w:t>
      </w:r>
      <w:r w:rsidRPr="00E0735E">
        <w:rPr>
          <w:rFonts w:eastAsia="Cambria"/>
          <w:color w:val="000000"/>
        </w:rPr>
        <w:t>, </w:t>
      </w:r>
      <w:r w:rsidRPr="00E0735E">
        <w:rPr>
          <w:rFonts w:eastAsia="Cambria"/>
          <w:i/>
          <w:iCs/>
          <w:color w:val="000000"/>
        </w:rPr>
        <w:t>68</w:t>
      </w:r>
      <w:r w:rsidRPr="00E0735E">
        <w:rPr>
          <w:rFonts w:eastAsia="Cambria"/>
          <w:color w:val="000000"/>
        </w:rPr>
        <w:t>(9), 1309-1313. https://doi.org/10.4187/respcare.11041</w:t>
      </w:r>
    </w:p>
    <w:p w14:paraId="0D868DD3" w14:textId="77777777" w:rsidR="00D46C47" w:rsidRPr="00E0735E" w:rsidRDefault="00D46C47">
      <w:pPr>
        <w:spacing w:after="0" w:line="240" w:lineRule="auto"/>
        <w:ind w:left="0" w:right="-7" w:firstLine="0"/>
        <w:rPr>
          <w:rFonts w:eastAsia="Cambria"/>
        </w:rPr>
      </w:pPr>
    </w:p>
    <w:p w14:paraId="7DFBA2CD" w14:textId="77777777" w:rsidR="00D46C47" w:rsidRPr="00E0735E" w:rsidRDefault="00513FB1">
      <w:pPr>
        <w:spacing w:after="0" w:line="240" w:lineRule="auto"/>
        <w:ind w:left="709" w:right="-7" w:hanging="709"/>
        <w:rPr>
          <w:rFonts w:eastAsia="Cambria"/>
        </w:rPr>
      </w:pPr>
      <w:r w:rsidRPr="00E0735E">
        <w:rPr>
          <w:rFonts w:eastAsia="Cambria"/>
        </w:rPr>
        <w:t>Guilford, J. P. (1956). Fundamental statistics in psychology and education. McGraw-Hill.</w:t>
      </w:r>
    </w:p>
    <w:p w14:paraId="39A199CB" w14:textId="77777777" w:rsidR="00D46C47" w:rsidRPr="00E0735E" w:rsidRDefault="00D46C47">
      <w:pPr>
        <w:spacing w:after="0" w:line="240" w:lineRule="auto"/>
        <w:ind w:left="709" w:right="-7" w:hanging="709"/>
        <w:rPr>
          <w:rFonts w:eastAsia="Cambria"/>
        </w:rPr>
      </w:pPr>
    </w:p>
    <w:p w14:paraId="0795DC63" w14:textId="77777777" w:rsidR="00D46C47" w:rsidRPr="00E0735E" w:rsidRDefault="00513FB1">
      <w:pPr>
        <w:spacing w:after="0" w:line="240" w:lineRule="auto"/>
        <w:ind w:left="709" w:right="-7" w:hanging="709"/>
        <w:rPr>
          <w:rFonts w:eastAsia="Cambria"/>
        </w:rPr>
      </w:pPr>
      <w:r w:rsidRPr="00E0735E">
        <w:rPr>
          <w:rFonts w:eastAsia="Cambria"/>
        </w:rPr>
        <w:t>Gundlach, H. A., Slemp, G. R., &amp; Hattie, J. (2024). A meta-analysis of the antecedents of teacher turnover and retention. </w:t>
      </w:r>
      <w:r w:rsidRPr="00E0735E">
        <w:rPr>
          <w:rFonts w:eastAsia="Cambria"/>
          <w:i/>
          <w:iCs/>
        </w:rPr>
        <w:t>Educational Research Review</w:t>
      </w:r>
      <w:r w:rsidRPr="00E0735E">
        <w:rPr>
          <w:rFonts w:eastAsia="Cambria"/>
        </w:rPr>
        <w:t>, </w:t>
      </w:r>
      <w:r w:rsidRPr="00E0735E">
        <w:rPr>
          <w:rFonts w:eastAsia="Cambria"/>
          <w:i/>
          <w:iCs/>
        </w:rPr>
        <w:t>44</w:t>
      </w:r>
      <w:r w:rsidRPr="00E0735E">
        <w:rPr>
          <w:rFonts w:eastAsia="Cambria"/>
        </w:rPr>
        <w:t>, 100606. https://doi.org/10.1016/j.edurev.2024.100606</w:t>
      </w:r>
    </w:p>
    <w:p w14:paraId="1B347B10" w14:textId="77777777" w:rsidR="00D46C47" w:rsidRPr="00E0735E" w:rsidRDefault="00513FB1">
      <w:pPr>
        <w:spacing w:after="0" w:line="240" w:lineRule="auto"/>
        <w:ind w:left="709" w:right="-7" w:hanging="709"/>
        <w:rPr>
          <w:rFonts w:eastAsia="Cambria"/>
        </w:rPr>
      </w:pPr>
      <w:r w:rsidRPr="00E0735E">
        <w:rPr>
          <w:rFonts w:eastAsia="Cambria"/>
        </w:rPr>
        <w:t xml:space="preserve"> </w:t>
      </w:r>
    </w:p>
    <w:p w14:paraId="4761D806" w14:textId="77777777" w:rsidR="00D46C47" w:rsidRPr="00E0735E" w:rsidRDefault="00513FB1">
      <w:pPr>
        <w:spacing w:after="0" w:line="240" w:lineRule="auto"/>
        <w:ind w:left="709" w:right="-7" w:hanging="709"/>
        <w:rPr>
          <w:rFonts w:eastAsia="Cambria"/>
        </w:rPr>
      </w:pPr>
      <w:r w:rsidRPr="00E0735E">
        <w:rPr>
          <w:rFonts w:eastAsia="Cambria"/>
        </w:rPr>
        <w:t>Hair, J. F., Black, W. C., Babin, B. J., &amp; Anderson, R. E. (2019). Multivariate data analysis (8</w:t>
      </w:r>
      <w:r w:rsidRPr="00E0735E">
        <w:rPr>
          <w:rFonts w:eastAsia="Cambria"/>
          <w:vertAlign w:val="superscript"/>
        </w:rPr>
        <w:t>th</w:t>
      </w:r>
      <w:r w:rsidRPr="00E0735E">
        <w:rPr>
          <w:rFonts w:eastAsia="Cambria"/>
        </w:rPr>
        <w:t xml:space="preserve"> ed.). Cengage Learning.</w:t>
      </w:r>
    </w:p>
    <w:p w14:paraId="0FA93566" w14:textId="77777777" w:rsidR="00D46C47" w:rsidRPr="00E0735E" w:rsidRDefault="00D46C47">
      <w:pPr>
        <w:spacing w:after="0" w:line="240" w:lineRule="auto"/>
        <w:ind w:left="0" w:right="-7" w:firstLine="0"/>
        <w:rPr>
          <w:rFonts w:eastAsia="Cambria"/>
        </w:rPr>
      </w:pPr>
    </w:p>
    <w:p w14:paraId="69724E03" w14:textId="77777777" w:rsidR="00D46C47" w:rsidRPr="00E0735E" w:rsidRDefault="00513FB1">
      <w:pPr>
        <w:spacing w:after="0" w:line="240" w:lineRule="auto"/>
        <w:ind w:left="709" w:right="-7" w:hanging="709"/>
        <w:rPr>
          <w:rFonts w:eastAsia="Cambria"/>
        </w:rPr>
      </w:pPr>
      <w:r w:rsidRPr="00E0735E">
        <w:rPr>
          <w:rFonts w:eastAsia="Cambria"/>
        </w:rPr>
        <w:t>Herzberg,  F.,  Mausner,  B.,  &amp;  Snyderman,  B.  B.  (1959). The  Motivation  to Work (2nd ed.).</w:t>
      </w:r>
      <w:proofErr w:type="spellStart"/>
      <w:r w:rsidRPr="00E0735E">
        <w:rPr>
          <w:rFonts w:eastAsia="Cambria"/>
        </w:rPr>
        <w:t>NewYork</w:t>
      </w:r>
      <w:proofErr w:type="spellEnd"/>
      <w:r w:rsidRPr="00E0735E">
        <w:rPr>
          <w:rFonts w:eastAsia="Cambria"/>
        </w:rPr>
        <w:t>, NY: John Wiley &amp; Sons</w:t>
      </w:r>
    </w:p>
    <w:p w14:paraId="6127BFA0" w14:textId="77777777" w:rsidR="00D46C47" w:rsidRPr="00E0735E" w:rsidRDefault="00D46C47">
      <w:pPr>
        <w:spacing w:after="0" w:line="240" w:lineRule="auto"/>
        <w:ind w:left="0" w:right="-7" w:firstLine="0"/>
        <w:rPr>
          <w:rFonts w:eastAsia="Cambria"/>
          <w:color w:val="000000"/>
        </w:rPr>
      </w:pPr>
    </w:p>
    <w:p w14:paraId="6E4F2F74" w14:textId="6F4C6BAF" w:rsidR="00066892" w:rsidRDefault="00513FB1" w:rsidP="00066892">
      <w:pPr>
        <w:spacing w:after="0" w:line="240" w:lineRule="auto"/>
        <w:ind w:left="709" w:right="-7" w:hanging="709"/>
        <w:rPr>
          <w:rFonts w:eastAsia="Cambria"/>
          <w:color w:val="000000"/>
        </w:rPr>
      </w:pPr>
      <w:r w:rsidRPr="00E0735E">
        <w:rPr>
          <w:rFonts w:eastAsia="Cambria"/>
          <w:color w:val="000000"/>
        </w:rPr>
        <w:t xml:space="preserve">Horwood, M., </w:t>
      </w:r>
      <w:proofErr w:type="spellStart"/>
      <w:r w:rsidRPr="00E0735E">
        <w:rPr>
          <w:rFonts w:eastAsia="Cambria"/>
          <w:color w:val="000000"/>
        </w:rPr>
        <w:t>Chandir</w:t>
      </w:r>
      <w:proofErr w:type="spellEnd"/>
      <w:r w:rsidRPr="00E0735E">
        <w:rPr>
          <w:rFonts w:eastAsia="Cambria"/>
          <w:color w:val="000000"/>
        </w:rPr>
        <w:t>, H., &amp; McCandless, T. (2024). Initial teacher education curriculum vs. workplace factors–the catalyst and solution to the international teacher wellbeing and attrition crisis. </w:t>
      </w:r>
      <w:r w:rsidRPr="00E0735E">
        <w:rPr>
          <w:rFonts w:eastAsia="Cambria"/>
          <w:i/>
          <w:iCs/>
          <w:color w:val="000000"/>
        </w:rPr>
        <w:t>Curriculum Perspectives</w:t>
      </w:r>
      <w:r w:rsidRPr="00E0735E">
        <w:rPr>
          <w:rFonts w:eastAsia="Cambria"/>
          <w:color w:val="000000"/>
        </w:rPr>
        <w:t>, </w:t>
      </w:r>
      <w:r w:rsidRPr="00E0735E">
        <w:rPr>
          <w:rFonts w:eastAsia="Cambria"/>
          <w:i/>
          <w:iCs/>
          <w:color w:val="000000"/>
        </w:rPr>
        <w:t>44</w:t>
      </w:r>
      <w:r w:rsidRPr="00E0735E">
        <w:rPr>
          <w:rFonts w:eastAsia="Cambria"/>
          <w:color w:val="000000"/>
        </w:rPr>
        <w:t xml:space="preserve">(4), 555-559. </w:t>
      </w:r>
      <w:r w:rsidR="00066892" w:rsidRPr="00066892">
        <w:rPr>
          <w:rFonts w:eastAsia="Cambria"/>
          <w:color w:val="000000"/>
        </w:rPr>
        <w:t>https://doi.org/10.1007/s41297-024-00278-3</w:t>
      </w:r>
    </w:p>
    <w:p w14:paraId="3DE8E0DC" w14:textId="77777777" w:rsidR="00066892" w:rsidRDefault="00066892" w:rsidP="00066892">
      <w:pPr>
        <w:spacing w:after="0" w:line="240" w:lineRule="auto"/>
        <w:ind w:left="709" w:right="-7" w:hanging="709"/>
        <w:rPr>
          <w:rFonts w:eastAsia="Cambria"/>
          <w:color w:val="000000"/>
        </w:rPr>
      </w:pPr>
    </w:p>
    <w:p w14:paraId="73A04B53" w14:textId="6C69ACDA" w:rsidR="00D46C47" w:rsidRDefault="00066892" w:rsidP="00066892">
      <w:pPr>
        <w:spacing w:after="0" w:line="240" w:lineRule="auto"/>
        <w:ind w:left="709" w:right="-7" w:hanging="709"/>
        <w:rPr>
          <w:rFonts w:eastAsia="Cambria"/>
          <w:color w:val="000000"/>
        </w:rPr>
      </w:pPr>
      <w:r w:rsidRPr="00066892">
        <w:rPr>
          <w:rFonts w:eastAsia="Cambria"/>
          <w:color w:val="000000"/>
        </w:rPr>
        <w:t xml:space="preserve">Kamel, A. R., &amp; </w:t>
      </w:r>
      <w:proofErr w:type="spellStart"/>
      <w:r w:rsidRPr="00066892">
        <w:rPr>
          <w:rFonts w:eastAsia="Cambria"/>
          <w:color w:val="000000"/>
        </w:rPr>
        <w:t>Abonazel</w:t>
      </w:r>
      <w:proofErr w:type="spellEnd"/>
      <w:r w:rsidRPr="00066892">
        <w:rPr>
          <w:rFonts w:eastAsia="Cambria"/>
          <w:color w:val="000000"/>
        </w:rPr>
        <w:t>, M. R. (2023). A simple introduction to regression modeling using R. Computational Journal of Mathematical and Statistical Sciences, 2(1), 52–79. https://doi.org/10.21608/cjmss.2023.189834.1002</w:t>
      </w:r>
    </w:p>
    <w:p w14:paraId="2B3F0688" w14:textId="77777777" w:rsidR="00066892" w:rsidRPr="00E0735E" w:rsidRDefault="00066892">
      <w:pPr>
        <w:spacing w:after="0" w:line="240" w:lineRule="auto"/>
        <w:ind w:left="0" w:right="-7" w:firstLine="0"/>
        <w:rPr>
          <w:rFonts w:eastAsia="Cambria"/>
          <w:color w:val="000000"/>
        </w:rPr>
      </w:pPr>
    </w:p>
    <w:p w14:paraId="6776AC81"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Lim, W. M. (2025). What is quantitative research? An overview and guidelines. </w:t>
      </w:r>
      <w:r w:rsidRPr="00E0735E">
        <w:rPr>
          <w:rFonts w:eastAsia="Cambria"/>
          <w:i/>
          <w:iCs/>
          <w:color w:val="000000"/>
        </w:rPr>
        <w:t>Australasian Marketing Journal</w:t>
      </w:r>
      <w:r w:rsidRPr="00E0735E">
        <w:rPr>
          <w:rFonts w:eastAsia="Cambria"/>
          <w:color w:val="000000"/>
        </w:rPr>
        <w:t>, </w:t>
      </w:r>
      <w:r w:rsidRPr="00E0735E">
        <w:rPr>
          <w:rFonts w:eastAsia="Cambria"/>
          <w:i/>
          <w:iCs/>
          <w:color w:val="000000"/>
        </w:rPr>
        <w:t>33</w:t>
      </w:r>
      <w:r w:rsidRPr="00E0735E">
        <w:rPr>
          <w:rFonts w:eastAsia="Cambria"/>
          <w:color w:val="000000"/>
        </w:rPr>
        <w:t>(3), 325-348. https://doi.org/10.1177/14413582241264622</w:t>
      </w:r>
    </w:p>
    <w:p w14:paraId="4EC4CCB8" w14:textId="77777777" w:rsidR="00D46C47" w:rsidRPr="00E0735E" w:rsidRDefault="00D46C47">
      <w:pPr>
        <w:spacing w:after="0" w:line="240" w:lineRule="auto"/>
        <w:ind w:left="709" w:right="-7" w:hanging="709"/>
        <w:rPr>
          <w:rFonts w:eastAsia="Cambria"/>
          <w:color w:val="000000"/>
        </w:rPr>
      </w:pPr>
    </w:p>
    <w:p w14:paraId="6EEE9259" w14:textId="77777777" w:rsidR="00D46C47" w:rsidRPr="00E0735E" w:rsidRDefault="00513FB1">
      <w:pPr>
        <w:spacing w:after="0" w:line="240" w:lineRule="auto"/>
        <w:ind w:left="709" w:right="-7" w:hanging="709"/>
        <w:rPr>
          <w:rFonts w:eastAsia="Cambria"/>
          <w:color w:val="000000"/>
        </w:rPr>
      </w:pPr>
      <w:r w:rsidRPr="00E0735E">
        <w:rPr>
          <w:rFonts w:eastAsia="Cambria"/>
          <w:color w:val="000000"/>
        </w:rPr>
        <w:t>Marshall, D., &amp; Pressley, T. (2025). Teacher Experiences in the United States-2023: Findings from National Survey Data. https://doi.org/10.31235/osf.io/f26k7_v1</w:t>
      </w:r>
    </w:p>
    <w:p w14:paraId="51714290" w14:textId="77777777" w:rsidR="00D46C47" w:rsidRPr="00E0735E" w:rsidRDefault="00D46C47">
      <w:pPr>
        <w:spacing w:after="0" w:line="240" w:lineRule="auto"/>
        <w:ind w:left="709" w:right="-7" w:hanging="709"/>
        <w:rPr>
          <w:rFonts w:eastAsia="Cambria"/>
          <w:color w:val="222222"/>
        </w:rPr>
      </w:pPr>
    </w:p>
    <w:p w14:paraId="01136D4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Nguyen, T. D., Lam, C. B., &amp; Bruno, P. (2024). What Do We Know About the Extent of Teacher Shortages Nationwide? A Systematic Examination of Reports of U.S. Teacher Shortages. </w:t>
      </w:r>
      <w:r w:rsidRPr="00E0735E">
        <w:rPr>
          <w:rFonts w:eastAsia="Cambria"/>
          <w:i/>
          <w:iCs/>
          <w:color w:val="222222"/>
        </w:rPr>
        <w:t>AERA Open</w:t>
      </w:r>
      <w:r w:rsidRPr="00E0735E">
        <w:rPr>
          <w:rFonts w:eastAsia="Cambria"/>
          <w:color w:val="222222"/>
        </w:rPr>
        <w:t>, </w:t>
      </w:r>
      <w:r w:rsidRPr="00E0735E">
        <w:rPr>
          <w:rFonts w:eastAsia="Cambria"/>
          <w:i/>
          <w:iCs/>
          <w:color w:val="222222"/>
        </w:rPr>
        <w:t>10</w:t>
      </w:r>
      <w:r w:rsidRPr="00E0735E">
        <w:rPr>
          <w:rFonts w:eastAsia="Cambria"/>
          <w:color w:val="222222"/>
        </w:rPr>
        <w:t>. https://doi.org/10.1177/23328584241276512</w:t>
      </w:r>
    </w:p>
    <w:p w14:paraId="6152E90B" w14:textId="77777777" w:rsidR="00D46C47" w:rsidRPr="00E0735E" w:rsidRDefault="00D46C47">
      <w:pPr>
        <w:spacing w:after="0" w:line="240" w:lineRule="auto"/>
        <w:ind w:left="709" w:right="-7" w:hanging="709"/>
        <w:rPr>
          <w:rFonts w:eastAsia="Cambria"/>
          <w:color w:val="222222"/>
        </w:rPr>
      </w:pPr>
    </w:p>
    <w:p w14:paraId="44C33F10" w14:textId="77777777" w:rsidR="00D46C47" w:rsidRPr="00E0735E" w:rsidRDefault="00513FB1">
      <w:pPr>
        <w:spacing w:after="0" w:line="240" w:lineRule="auto"/>
        <w:ind w:left="709" w:right="-7" w:hanging="709"/>
        <w:rPr>
          <w:rFonts w:eastAsia="Cambria"/>
        </w:rPr>
      </w:pPr>
      <w:r w:rsidRPr="00E0735E">
        <w:rPr>
          <w:rFonts w:eastAsia="Cambria"/>
          <w:color w:val="222222"/>
        </w:rPr>
        <w:t xml:space="preserve">Opoku, M. P., Jiya, A. N., </w:t>
      </w:r>
      <w:proofErr w:type="spellStart"/>
      <w:r w:rsidRPr="00E0735E">
        <w:rPr>
          <w:rFonts w:eastAsia="Cambria"/>
          <w:color w:val="222222"/>
        </w:rPr>
        <w:t>Kanyinji</w:t>
      </w:r>
      <w:proofErr w:type="spellEnd"/>
      <w:r w:rsidRPr="00E0735E">
        <w:rPr>
          <w:rFonts w:eastAsia="Cambria"/>
          <w:color w:val="222222"/>
        </w:rPr>
        <w:t xml:space="preserve">, R. C., &amp; </w:t>
      </w:r>
      <w:proofErr w:type="spellStart"/>
      <w:r w:rsidRPr="00E0735E">
        <w:rPr>
          <w:rFonts w:eastAsia="Cambria"/>
          <w:color w:val="222222"/>
        </w:rPr>
        <w:t>Nketsia</w:t>
      </w:r>
      <w:proofErr w:type="spellEnd"/>
      <w:r w:rsidRPr="00E0735E">
        <w:rPr>
          <w:rFonts w:eastAsia="Cambria"/>
          <w:color w:val="222222"/>
        </w:rPr>
        <w:t>, W. (2021). An exploration of primary teachers' attitudes towards inclusive education, retention, and job satisfaction in Malawi. </w:t>
      </w:r>
      <w:r w:rsidRPr="00E0735E">
        <w:rPr>
          <w:rFonts w:eastAsia="Cambria"/>
          <w:i/>
          <w:iCs/>
          <w:color w:val="222222"/>
        </w:rPr>
        <w:t>International Journal of Whole Schooling</w:t>
      </w:r>
      <w:r w:rsidRPr="00E0735E">
        <w:rPr>
          <w:rFonts w:eastAsia="Cambria"/>
          <w:color w:val="222222"/>
        </w:rPr>
        <w:t>, </w:t>
      </w:r>
      <w:r w:rsidRPr="00E0735E">
        <w:rPr>
          <w:rFonts w:eastAsia="Cambria"/>
          <w:i/>
          <w:iCs/>
          <w:color w:val="222222"/>
        </w:rPr>
        <w:t>17</w:t>
      </w:r>
      <w:r w:rsidRPr="00E0735E">
        <w:rPr>
          <w:rFonts w:eastAsia="Cambria"/>
          <w:color w:val="222222"/>
        </w:rPr>
        <w:t>(1), 30-61.</w:t>
      </w:r>
    </w:p>
    <w:p w14:paraId="1157159E" w14:textId="77777777" w:rsidR="00D46C47" w:rsidRPr="00E0735E" w:rsidRDefault="00D46C47">
      <w:pPr>
        <w:spacing w:after="0" w:line="240" w:lineRule="auto"/>
        <w:ind w:left="0" w:right="-7" w:firstLine="0"/>
        <w:rPr>
          <w:rFonts w:eastAsia="Cambria"/>
          <w:color w:val="222222"/>
        </w:rPr>
      </w:pPr>
    </w:p>
    <w:p w14:paraId="54E508D7" w14:textId="77777777" w:rsidR="00D46C47" w:rsidRPr="00E0735E" w:rsidRDefault="00513FB1">
      <w:pPr>
        <w:spacing w:after="0" w:line="240" w:lineRule="auto"/>
        <w:ind w:left="709" w:right="-7" w:hanging="709"/>
        <w:rPr>
          <w:rFonts w:eastAsia="Cambria"/>
        </w:rPr>
      </w:pPr>
      <w:r w:rsidRPr="00E0735E">
        <w:rPr>
          <w:rFonts w:eastAsia="Cambria"/>
          <w:color w:val="222222"/>
        </w:rPr>
        <w:t>Paradiso-Testa, M. (2022). </w:t>
      </w:r>
      <w:r w:rsidRPr="00E0735E">
        <w:rPr>
          <w:rFonts w:eastAsia="Cambria"/>
          <w:i/>
          <w:iCs/>
          <w:color w:val="222222"/>
        </w:rPr>
        <w:t>Reflections of the Teaching Trajectory to Attrition or Retention with a Focus on School Climate and Culture, and Diversity, Equity and Inclusivity</w:t>
      </w:r>
      <w:r w:rsidRPr="00E0735E">
        <w:rPr>
          <w:rFonts w:eastAsia="Cambria"/>
          <w:color w:val="222222"/>
        </w:rPr>
        <w:t>. Monmouth University.</w:t>
      </w:r>
    </w:p>
    <w:p w14:paraId="71911404" w14:textId="77777777" w:rsidR="00D46C47" w:rsidRPr="00E0735E" w:rsidRDefault="00D46C47">
      <w:pPr>
        <w:spacing w:after="0" w:line="240" w:lineRule="auto"/>
        <w:ind w:left="0" w:right="-7" w:firstLine="0"/>
        <w:rPr>
          <w:rFonts w:eastAsia="Cambria"/>
        </w:rPr>
      </w:pPr>
    </w:p>
    <w:p w14:paraId="65B9DD94" w14:textId="77777777" w:rsidR="00D46C47" w:rsidRPr="00E0735E" w:rsidRDefault="00513FB1">
      <w:pPr>
        <w:spacing w:after="0" w:line="240" w:lineRule="auto"/>
        <w:ind w:left="709" w:right="-7" w:hanging="709"/>
        <w:rPr>
          <w:rFonts w:eastAsia="Cambria"/>
        </w:rPr>
      </w:pPr>
      <w:proofErr w:type="spellStart"/>
      <w:r w:rsidRPr="00E0735E">
        <w:rPr>
          <w:rFonts w:eastAsia="Cambria"/>
        </w:rPr>
        <w:t>Peramatzis</w:t>
      </w:r>
      <w:proofErr w:type="spellEnd"/>
      <w:r w:rsidRPr="00E0735E">
        <w:rPr>
          <w:rFonts w:eastAsia="Cambria"/>
        </w:rPr>
        <w:t>, G., &amp; Galanakis, M. (2022). Herzberg’s motivation theory in workplace. </w:t>
      </w:r>
      <w:r w:rsidRPr="00E0735E">
        <w:rPr>
          <w:rFonts w:eastAsia="Cambria"/>
          <w:i/>
          <w:iCs/>
        </w:rPr>
        <w:t>Psychology</w:t>
      </w:r>
      <w:r w:rsidRPr="00E0735E">
        <w:rPr>
          <w:rFonts w:eastAsia="Cambria"/>
        </w:rPr>
        <w:t>, </w:t>
      </w:r>
      <w:r w:rsidRPr="00E0735E">
        <w:rPr>
          <w:rFonts w:eastAsia="Cambria"/>
          <w:i/>
          <w:iCs/>
        </w:rPr>
        <w:t>12</w:t>
      </w:r>
      <w:r w:rsidRPr="00E0735E">
        <w:rPr>
          <w:rFonts w:eastAsia="Cambria"/>
        </w:rPr>
        <w:t>(12), 971-978. https://doi:10.17265/2159-5542/2022.12.009</w:t>
      </w:r>
    </w:p>
    <w:p w14:paraId="267667FC" w14:textId="77777777" w:rsidR="00D46C47" w:rsidRPr="00E0735E" w:rsidRDefault="00D46C47">
      <w:pPr>
        <w:spacing w:after="0" w:line="240" w:lineRule="auto"/>
        <w:ind w:left="709" w:right="-7" w:hanging="709"/>
        <w:rPr>
          <w:rFonts w:eastAsia="Cambria"/>
        </w:rPr>
      </w:pPr>
    </w:p>
    <w:p w14:paraId="277FF3A2" w14:textId="77777777" w:rsidR="00D46C47" w:rsidRPr="00E0735E" w:rsidRDefault="00513FB1">
      <w:pPr>
        <w:spacing w:after="0" w:line="240" w:lineRule="auto"/>
        <w:ind w:left="709" w:right="-7" w:hanging="709"/>
        <w:rPr>
          <w:rFonts w:eastAsia="Cambria"/>
        </w:rPr>
      </w:pPr>
      <w:r w:rsidRPr="00E0735E">
        <w:rPr>
          <w:rFonts w:eastAsia="Cambria"/>
        </w:rPr>
        <w:t xml:space="preserve">Qureshi, F., Khawaja, S., </w:t>
      </w:r>
      <w:proofErr w:type="spellStart"/>
      <w:r w:rsidRPr="00E0735E">
        <w:rPr>
          <w:rFonts w:eastAsia="Cambria"/>
        </w:rPr>
        <w:t>Sokić</w:t>
      </w:r>
      <w:proofErr w:type="spellEnd"/>
      <w:r w:rsidRPr="00E0735E">
        <w:rPr>
          <w:rFonts w:eastAsia="Cambria"/>
        </w:rPr>
        <w:t>, K., Pejić Bach, M., &amp; Meško, M. (2024). Exploring intrinsic motivation and mental well-being in private higher educational systems: a cross-sectional study. </w:t>
      </w:r>
      <w:r w:rsidRPr="00E0735E">
        <w:rPr>
          <w:rFonts w:eastAsia="Cambria"/>
          <w:i/>
          <w:iCs/>
        </w:rPr>
        <w:t>Systems</w:t>
      </w:r>
      <w:r w:rsidRPr="00E0735E">
        <w:rPr>
          <w:rFonts w:eastAsia="Cambria"/>
        </w:rPr>
        <w:t>, </w:t>
      </w:r>
      <w:r w:rsidRPr="00E0735E">
        <w:rPr>
          <w:rFonts w:eastAsia="Cambria"/>
          <w:i/>
          <w:iCs/>
        </w:rPr>
        <w:t>12</w:t>
      </w:r>
      <w:r w:rsidRPr="00E0735E">
        <w:rPr>
          <w:rFonts w:eastAsia="Cambria"/>
        </w:rPr>
        <w:t>(8), 281. https://doi.org/10.3390/systems12080281</w:t>
      </w:r>
    </w:p>
    <w:p w14:paraId="72B25375" w14:textId="77777777" w:rsidR="00D46C47" w:rsidRPr="00E0735E" w:rsidRDefault="00D46C47">
      <w:pPr>
        <w:spacing w:after="0" w:line="240" w:lineRule="auto"/>
        <w:ind w:left="709" w:right="-7" w:hanging="709"/>
        <w:rPr>
          <w:rFonts w:eastAsia="Cambria"/>
        </w:rPr>
      </w:pPr>
    </w:p>
    <w:p w14:paraId="3E38A5E4" w14:textId="77777777" w:rsidR="00D46C47" w:rsidRPr="00E0735E" w:rsidRDefault="00513FB1">
      <w:pPr>
        <w:spacing w:after="0" w:line="240" w:lineRule="auto"/>
        <w:ind w:left="709" w:right="-7" w:hanging="709"/>
        <w:rPr>
          <w:rFonts w:eastAsia="Cambria"/>
        </w:rPr>
      </w:pPr>
      <w:r w:rsidRPr="00E0735E">
        <w:rPr>
          <w:rFonts w:eastAsia="Cambria"/>
        </w:rPr>
        <w:t xml:space="preserve">Raosoft.com (2015) Sample Size Calculator by </w:t>
      </w:r>
      <w:proofErr w:type="spellStart"/>
      <w:r w:rsidRPr="00E0735E">
        <w:rPr>
          <w:rFonts w:eastAsia="Cambria"/>
        </w:rPr>
        <w:t>Raosoft</w:t>
      </w:r>
      <w:proofErr w:type="spellEnd"/>
      <w:r w:rsidRPr="00E0735E">
        <w:rPr>
          <w:rFonts w:eastAsia="Cambria"/>
        </w:rPr>
        <w:t>, Inc.</w:t>
      </w:r>
      <w:r w:rsidRPr="00E0735E">
        <w:rPr>
          <w:rFonts w:eastAsia="Cambria"/>
        </w:rPr>
        <w:br/>
      </w:r>
      <w:r w:rsidRPr="00E0735E">
        <w:rPr>
          <w:rFonts w:eastAsia="Cambria"/>
          <w:color w:val="000000"/>
        </w:rPr>
        <w:t>http://www.raosoft.com/samplesize.html</w:t>
      </w:r>
    </w:p>
    <w:p w14:paraId="1E40F55F" w14:textId="77777777" w:rsidR="00D46C47" w:rsidRPr="00E0735E" w:rsidRDefault="00D46C47">
      <w:pPr>
        <w:spacing w:after="0" w:line="240" w:lineRule="auto"/>
        <w:ind w:left="709" w:right="-7" w:hanging="709"/>
        <w:rPr>
          <w:rFonts w:eastAsia="Cambria"/>
          <w:color w:val="222222"/>
        </w:rPr>
      </w:pPr>
    </w:p>
    <w:p w14:paraId="3D11F350" w14:textId="77777777" w:rsidR="00D46C47" w:rsidRPr="00E0735E" w:rsidRDefault="00513FB1">
      <w:pPr>
        <w:spacing w:after="0" w:line="240" w:lineRule="auto"/>
        <w:ind w:left="709" w:right="-7" w:hanging="709"/>
        <w:rPr>
          <w:rFonts w:eastAsia="Cambria"/>
          <w:color w:val="222222"/>
        </w:rPr>
      </w:pPr>
      <w:r w:rsidRPr="00E0735E">
        <w:rPr>
          <w:rFonts w:eastAsia="Cambria"/>
          <w:color w:val="222222"/>
        </w:rPr>
        <w:t>Roebuck, S. L. (2023). </w:t>
      </w:r>
      <w:r w:rsidRPr="00E0735E">
        <w:rPr>
          <w:rFonts w:eastAsia="Cambria"/>
          <w:i/>
          <w:iCs/>
          <w:color w:val="222222"/>
        </w:rPr>
        <w:t>Predictive Relationships Between Organizational Climate, Teacher Stress, and Teacher Turnover Intention</w:t>
      </w:r>
      <w:r w:rsidRPr="00E0735E">
        <w:rPr>
          <w:rFonts w:eastAsia="Cambria"/>
          <w:color w:val="222222"/>
        </w:rPr>
        <w:t> (Doctoral dissertation, Walden University). https://scholarworks.waldenu.edu/dissertations/12198</w:t>
      </w:r>
    </w:p>
    <w:p w14:paraId="74B00792" w14:textId="77777777" w:rsidR="00D46C47" w:rsidRPr="00E0735E" w:rsidRDefault="00D46C47">
      <w:pPr>
        <w:spacing w:after="0" w:line="240" w:lineRule="auto"/>
        <w:ind w:left="709" w:right="-7" w:hanging="709"/>
        <w:rPr>
          <w:rFonts w:eastAsia="Cambria"/>
          <w:color w:val="222222"/>
        </w:rPr>
      </w:pPr>
    </w:p>
    <w:p w14:paraId="201F5F22" w14:textId="77777777" w:rsidR="00D46C47" w:rsidRPr="00E0735E" w:rsidRDefault="00513FB1">
      <w:pPr>
        <w:pBdr>
          <w:top w:val="nil"/>
          <w:left w:val="nil"/>
          <w:bottom w:val="nil"/>
          <w:right w:val="nil"/>
          <w:between w:val="nil"/>
        </w:pBdr>
        <w:spacing w:after="240"/>
        <w:ind w:left="720" w:hanging="720"/>
        <w:rPr>
          <w:rFonts w:eastAsia="Cambria"/>
          <w:color w:val="000000"/>
        </w:rPr>
      </w:pPr>
      <w:r w:rsidRPr="00E0735E">
        <w:rPr>
          <w:rFonts w:eastAsia="Cambria"/>
          <w:color w:val="000000"/>
        </w:rPr>
        <w:t xml:space="preserve">Ryff, C. (1989). Happiness is everything, or is it? Explorations on the meaning of psychological well-being. </w:t>
      </w:r>
      <w:r w:rsidRPr="00E0735E">
        <w:rPr>
          <w:rFonts w:eastAsia="Cambria"/>
          <w:i/>
          <w:iCs/>
          <w:color w:val="000000"/>
        </w:rPr>
        <w:t>Journal of Personality and Social Psychology</w:t>
      </w:r>
      <w:r w:rsidRPr="00E0735E">
        <w:rPr>
          <w:rFonts w:eastAsia="Cambria"/>
          <w:color w:val="000000"/>
        </w:rPr>
        <w:t>, 57, 1069–1081.</w:t>
      </w:r>
    </w:p>
    <w:p w14:paraId="6E914ED3" w14:textId="77777777" w:rsidR="00D46C47" w:rsidRPr="00E0735E" w:rsidRDefault="00513FB1">
      <w:pPr>
        <w:pBdr>
          <w:top w:val="nil"/>
          <w:left w:val="nil"/>
          <w:bottom w:val="nil"/>
          <w:right w:val="nil"/>
          <w:between w:val="nil"/>
        </w:pBdr>
        <w:spacing w:after="240"/>
        <w:ind w:left="720" w:hanging="720"/>
        <w:rPr>
          <w:rFonts w:eastAsia="Cambria"/>
          <w:color w:val="222222"/>
        </w:rPr>
      </w:pPr>
      <w:proofErr w:type="spellStart"/>
      <w:r w:rsidRPr="00E0735E">
        <w:rPr>
          <w:rFonts w:eastAsia="Cambria"/>
          <w:color w:val="222222"/>
        </w:rPr>
        <w:t>Salibat</w:t>
      </w:r>
      <w:proofErr w:type="spellEnd"/>
      <w:r w:rsidRPr="00E0735E">
        <w:rPr>
          <w:rFonts w:eastAsia="Cambria"/>
          <w:color w:val="222222"/>
        </w:rPr>
        <w:t xml:space="preserve">, J. A. Q., </w:t>
      </w:r>
      <w:proofErr w:type="spellStart"/>
      <w:r w:rsidRPr="00E0735E">
        <w:rPr>
          <w:rFonts w:eastAsia="Cambria"/>
          <w:color w:val="222222"/>
        </w:rPr>
        <w:t>Busalla</w:t>
      </w:r>
      <w:proofErr w:type="spellEnd"/>
      <w:r w:rsidRPr="00E0735E">
        <w:rPr>
          <w:rFonts w:eastAsia="Cambria"/>
          <w:color w:val="222222"/>
        </w:rPr>
        <w:t xml:space="preserve">, B. A., &amp; </w:t>
      </w:r>
      <w:proofErr w:type="spellStart"/>
      <w:r w:rsidRPr="00E0735E">
        <w:rPr>
          <w:rFonts w:eastAsia="Cambria"/>
          <w:color w:val="222222"/>
        </w:rPr>
        <w:t>Ornopia</w:t>
      </w:r>
      <w:proofErr w:type="spellEnd"/>
      <w:r w:rsidRPr="00E0735E">
        <w:rPr>
          <w:rFonts w:eastAsia="Cambria"/>
          <w:color w:val="222222"/>
        </w:rPr>
        <w:t>, A. P. (2024). Exemplary teacher characteristics: A predictor of teacher retention in Davao City National High School. </w:t>
      </w:r>
      <w:r w:rsidRPr="00E0735E">
        <w:rPr>
          <w:rFonts w:eastAsia="Cambria"/>
          <w:i/>
          <w:iCs/>
          <w:color w:val="222222"/>
        </w:rPr>
        <w:t>International Journal for Multidisciplinary Research</w:t>
      </w:r>
      <w:r w:rsidRPr="00E0735E">
        <w:rPr>
          <w:rFonts w:eastAsia="Cambria"/>
          <w:color w:val="222222"/>
        </w:rPr>
        <w:t>, </w:t>
      </w:r>
      <w:r w:rsidRPr="00E0735E">
        <w:rPr>
          <w:rFonts w:eastAsia="Cambria"/>
          <w:i/>
          <w:iCs/>
          <w:color w:val="222222"/>
        </w:rPr>
        <w:t>6</w:t>
      </w:r>
      <w:r w:rsidRPr="00E0735E">
        <w:rPr>
          <w:rFonts w:eastAsia="Cambria"/>
          <w:color w:val="222222"/>
        </w:rPr>
        <w:t xml:space="preserve">(2). </w:t>
      </w:r>
    </w:p>
    <w:p w14:paraId="5789ECB0" w14:textId="77777777" w:rsidR="00D46C47" w:rsidRPr="00E0735E" w:rsidRDefault="00513FB1">
      <w:pPr>
        <w:spacing w:after="0" w:line="240" w:lineRule="auto"/>
        <w:ind w:left="709" w:right="-7" w:hanging="709"/>
        <w:rPr>
          <w:rFonts w:eastAsia="Cambria"/>
          <w:color w:val="222222"/>
        </w:rPr>
      </w:pPr>
      <w:proofErr w:type="spellStart"/>
      <w:r w:rsidRPr="00E0735E">
        <w:rPr>
          <w:rFonts w:eastAsia="Cambria"/>
          <w:color w:val="222222"/>
        </w:rPr>
        <w:lastRenderedPageBreak/>
        <w:t>Saldevia</w:t>
      </w:r>
      <w:proofErr w:type="spellEnd"/>
      <w:r w:rsidRPr="00E0735E">
        <w:rPr>
          <w:rFonts w:eastAsia="Cambria"/>
          <w:color w:val="222222"/>
        </w:rPr>
        <w:t>, E., &amp; Pedroso, J. E. (2025). The Case of Teacher Turnover in a Private School from the Philippines. </w:t>
      </w:r>
      <w:r w:rsidRPr="00E0735E">
        <w:rPr>
          <w:rFonts w:eastAsia="Cambria"/>
          <w:i/>
          <w:iCs/>
          <w:color w:val="222222"/>
        </w:rPr>
        <w:t>EIKI Journal of Effective Teaching Methods</w:t>
      </w:r>
      <w:r w:rsidRPr="00E0735E">
        <w:rPr>
          <w:rFonts w:eastAsia="Cambria"/>
          <w:color w:val="222222"/>
        </w:rPr>
        <w:t>, </w:t>
      </w:r>
      <w:r w:rsidRPr="00E0735E">
        <w:rPr>
          <w:rFonts w:eastAsia="Cambria"/>
          <w:i/>
          <w:iCs/>
          <w:color w:val="222222"/>
        </w:rPr>
        <w:t>3</w:t>
      </w:r>
      <w:r w:rsidRPr="00E0735E">
        <w:rPr>
          <w:rFonts w:eastAsia="Cambria"/>
          <w:color w:val="222222"/>
        </w:rPr>
        <w:t>(2). https://doi.org/10.59652/jetm.v3i2.557</w:t>
      </w:r>
    </w:p>
    <w:p w14:paraId="6149F57A" w14:textId="77777777" w:rsidR="00D46C47" w:rsidRPr="00E0735E" w:rsidRDefault="00D46C47">
      <w:pPr>
        <w:spacing w:after="0" w:line="240" w:lineRule="auto"/>
        <w:ind w:left="0" w:right="-7" w:firstLine="0"/>
        <w:rPr>
          <w:rFonts w:eastAsia="Cambria"/>
          <w:color w:val="222222"/>
        </w:rPr>
      </w:pPr>
    </w:p>
    <w:p w14:paraId="6D5B257B" w14:textId="77777777" w:rsidR="00D46C47" w:rsidRPr="00E0735E" w:rsidRDefault="00513FB1">
      <w:pPr>
        <w:spacing w:after="0" w:line="240" w:lineRule="auto"/>
        <w:ind w:left="709" w:right="-7" w:hanging="709"/>
        <w:rPr>
          <w:rFonts w:eastAsia="Cambria"/>
        </w:rPr>
      </w:pPr>
      <w:proofErr w:type="spellStart"/>
      <w:r w:rsidRPr="00E0735E">
        <w:rPr>
          <w:rFonts w:eastAsia="Cambria"/>
          <w:color w:val="222222"/>
        </w:rPr>
        <w:t>Sušilović</w:t>
      </w:r>
      <w:proofErr w:type="spellEnd"/>
      <w:r w:rsidRPr="00E0735E">
        <w:rPr>
          <w:rFonts w:eastAsia="Cambria"/>
          <w:color w:val="222222"/>
        </w:rPr>
        <w:t xml:space="preserve">, I., Ljubičić, M., Matijaš, T., Bokan, I., &amp; </w:t>
      </w:r>
      <w:proofErr w:type="spellStart"/>
      <w:r w:rsidRPr="00E0735E">
        <w:rPr>
          <w:rFonts w:eastAsia="Cambria"/>
          <w:color w:val="222222"/>
        </w:rPr>
        <w:t>Marendić</w:t>
      </w:r>
      <w:proofErr w:type="spellEnd"/>
      <w:r w:rsidRPr="00E0735E">
        <w:rPr>
          <w:rFonts w:eastAsia="Cambria"/>
          <w:color w:val="222222"/>
        </w:rPr>
        <w:t>, M. (2025). Motivations and Attitudes Toward Further Education: A Cross-Sectional, Descriptive Predictive Study. </w:t>
      </w:r>
      <w:r w:rsidRPr="00E0735E">
        <w:rPr>
          <w:rFonts w:eastAsia="Cambria"/>
          <w:i/>
          <w:iCs/>
          <w:color w:val="222222"/>
        </w:rPr>
        <w:t>Nursing reports</w:t>
      </w:r>
      <w:r w:rsidRPr="00E0735E">
        <w:rPr>
          <w:rFonts w:eastAsia="Cambria"/>
          <w:color w:val="222222"/>
        </w:rPr>
        <w:t>, </w:t>
      </w:r>
      <w:r w:rsidRPr="00E0735E">
        <w:rPr>
          <w:rFonts w:eastAsia="Cambria"/>
          <w:i/>
          <w:iCs/>
          <w:color w:val="222222"/>
        </w:rPr>
        <w:t>15</w:t>
      </w:r>
      <w:r w:rsidRPr="00E0735E">
        <w:rPr>
          <w:rFonts w:eastAsia="Cambria"/>
          <w:color w:val="222222"/>
        </w:rPr>
        <w:t>(6), 190. https://doi.org/10.3390/nursrep15060190</w:t>
      </w:r>
    </w:p>
    <w:p w14:paraId="5CB9C98E" w14:textId="77777777" w:rsidR="00D46C47" w:rsidRPr="00E0735E" w:rsidRDefault="00D46C47">
      <w:pPr>
        <w:spacing w:after="0" w:line="240" w:lineRule="auto"/>
        <w:ind w:left="0" w:right="-7" w:firstLine="0"/>
        <w:rPr>
          <w:rFonts w:eastAsia="Cambria"/>
        </w:rPr>
      </w:pPr>
    </w:p>
    <w:p w14:paraId="5E763FC0" w14:textId="77777777" w:rsidR="00D46C47" w:rsidRPr="00E0735E" w:rsidRDefault="00513FB1">
      <w:pPr>
        <w:spacing w:after="0" w:line="240" w:lineRule="auto"/>
        <w:ind w:left="709" w:right="-7" w:hanging="709"/>
        <w:rPr>
          <w:rFonts w:eastAsia="Cambria"/>
        </w:rPr>
      </w:pPr>
      <w:proofErr w:type="spellStart"/>
      <w:r w:rsidRPr="00E0735E">
        <w:rPr>
          <w:rFonts w:eastAsia="Cambria"/>
        </w:rPr>
        <w:t>Violago</w:t>
      </w:r>
      <w:proofErr w:type="spellEnd"/>
      <w:r w:rsidRPr="00E0735E">
        <w:rPr>
          <w:rFonts w:eastAsia="Cambria"/>
        </w:rPr>
        <w:t>, A. S., &amp; Fabella, F. E. T. (2023). Psychological well-being of junior high school teachers. </w:t>
      </w:r>
      <w:r w:rsidRPr="00E0735E">
        <w:rPr>
          <w:rFonts w:eastAsia="Cambria"/>
          <w:i/>
          <w:iCs/>
        </w:rPr>
        <w:t>Cognizance Journal of Multidisciplinary Studies</w:t>
      </w:r>
      <w:r w:rsidRPr="00E0735E">
        <w:rPr>
          <w:rFonts w:eastAsia="Cambria"/>
        </w:rPr>
        <w:t>, </w:t>
      </w:r>
      <w:r w:rsidRPr="00E0735E">
        <w:rPr>
          <w:rFonts w:eastAsia="Cambria"/>
          <w:i/>
          <w:iCs/>
        </w:rPr>
        <w:t>3</w:t>
      </w:r>
      <w:r w:rsidRPr="00E0735E">
        <w:rPr>
          <w:rFonts w:eastAsia="Cambria"/>
        </w:rPr>
        <w:t>(6), 103-129. https://doi.org/10.47760/cognizance.2023.v03i06.008</w:t>
      </w:r>
    </w:p>
    <w:p w14:paraId="7978898E" w14:textId="77777777" w:rsidR="00D46C47" w:rsidRPr="00E0735E" w:rsidRDefault="00D46C47">
      <w:pPr>
        <w:spacing w:after="0" w:line="240" w:lineRule="auto"/>
        <w:ind w:left="709" w:right="-7" w:hanging="709"/>
        <w:rPr>
          <w:rFonts w:eastAsia="Cambria"/>
        </w:rPr>
      </w:pPr>
    </w:p>
    <w:p w14:paraId="20420081" w14:textId="3D019319" w:rsidR="00D46C47" w:rsidRPr="00E0735E" w:rsidRDefault="00513FB1">
      <w:pPr>
        <w:spacing w:after="0" w:line="240" w:lineRule="auto"/>
        <w:ind w:left="709" w:right="-7" w:hanging="709"/>
        <w:rPr>
          <w:rFonts w:eastAsia="Cambria"/>
        </w:rPr>
      </w:pPr>
      <w:r w:rsidRPr="00E0735E">
        <w:rPr>
          <w:rFonts w:eastAsia="Cambria"/>
        </w:rPr>
        <w:t xml:space="preserve">Viterbo, L. D., &amp; </w:t>
      </w:r>
      <w:proofErr w:type="spellStart"/>
      <w:r w:rsidRPr="00E0735E">
        <w:rPr>
          <w:rFonts w:eastAsia="Cambria"/>
        </w:rPr>
        <w:t>Dayaganon</w:t>
      </w:r>
      <w:proofErr w:type="spellEnd"/>
      <w:r w:rsidRPr="00E0735E">
        <w:rPr>
          <w:rFonts w:eastAsia="Cambria"/>
        </w:rPr>
        <w:t>, A</w:t>
      </w:r>
      <w:r w:rsidR="00EC6676" w:rsidRPr="00E0735E">
        <w:rPr>
          <w:rFonts w:eastAsia="Cambria"/>
        </w:rPr>
        <w:t xml:space="preserve">. J. B. The mediating effect of psychological well-being on the relationship between occupational stress and turnover intentions of </w:t>
      </w:r>
      <w:proofErr w:type="spellStart"/>
      <w:r w:rsidR="00EC6676" w:rsidRPr="00E0735E">
        <w:rPr>
          <w:rFonts w:eastAsia="Cambria"/>
        </w:rPr>
        <w:t>esl</w:t>
      </w:r>
      <w:proofErr w:type="spellEnd"/>
      <w:r w:rsidR="00EC6676" w:rsidRPr="00E0735E">
        <w:rPr>
          <w:rFonts w:eastAsia="Cambria"/>
        </w:rPr>
        <w:t xml:space="preserve"> teachers in the </w:t>
      </w:r>
      <w:proofErr w:type="spellStart"/>
      <w:r w:rsidR="00EC6676" w:rsidRPr="00E0735E">
        <w:rPr>
          <w:rFonts w:eastAsia="Cambria"/>
        </w:rPr>
        <w:t>philippines</w:t>
      </w:r>
      <w:proofErr w:type="spellEnd"/>
      <w:r w:rsidR="00EC6676" w:rsidRPr="00E0735E">
        <w:rPr>
          <w:rFonts w:eastAsia="Cambria"/>
        </w:rPr>
        <w:t>: an Explanatory Sequential Design</w:t>
      </w:r>
      <w:r w:rsidRPr="00E0735E">
        <w:rPr>
          <w:rFonts w:eastAsia="Cambria"/>
        </w:rPr>
        <w:t>. https://doi.org/10.5281/zenodo.17453981</w:t>
      </w:r>
    </w:p>
    <w:p w14:paraId="1F1A0857" w14:textId="77777777" w:rsidR="00D46C47" w:rsidRPr="00E0735E" w:rsidRDefault="00D46C47">
      <w:pPr>
        <w:spacing w:after="0" w:line="240" w:lineRule="auto"/>
        <w:ind w:left="709" w:right="-7" w:hanging="709"/>
        <w:rPr>
          <w:rFonts w:eastAsia="Cambria"/>
        </w:rPr>
      </w:pPr>
    </w:p>
    <w:p w14:paraId="44BEC347" w14:textId="77777777" w:rsidR="00D46C47" w:rsidRPr="00E0735E" w:rsidRDefault="00513FB1">
      <w:pPr>
        <w:spacing w:after="0" w:line="240" w:lineRule="auto"/>
        <w:ind w:left="709" w:right="-7" w:hanging="709"/>
        <w:rPr>
          <w:rFonts w:eastAsia="Cambria"/>
        </w:rPr>
      </w:pPr>
      <w:r w:rsidRPr="00E0735E">
        <w:rPr>
          <w:rFonts w:eastAsia="Cambria"/>
        </w:rPr>
        <w:t>Wisniewski, S. J., &amp; Brannan, G. D. (2024). Correlation (coefficient, partial, and spearman rank) and regression analysis.</w:t>
      </w:r>
    </w:p>
    <w:p w14:paraId="6556542E" w14:textId="77777777" w:rsidR="00D46C47" w:rsidRPr="00E0735E" w:rsidRDefault="00D46C47">
      <w:pPr>
        <w:spacing w:after="0" w:line="240" w:lineRule="auto"/>
        <w:ind w:left="709" w:right="-7" w:hanging="709"/>
        <w:rPr>
          <w:rFonts w:eastAsia="Cambria"/>
        </w:rPr>
      </w:pPr>
    </w:p>
    <w:p w14:paraId="3BE85D4D" w14:textId="77777777" w:rsidR="00D46C47" w:rsidRPr="00E0735E" w:rsidRDefault="00513FB1">
      <w:pPr>
        <w:spacing w:after="0" w:line="240" w:lineRule="auto"/>
        <w:ind w:left="709" w:right="-7" w:hanging="709"/>
        <w:rPr>
          <w:rFonts w:eastAsia="Cambria"/>
        </w:rPr>
      </w:pPr>
      <w:r w:rsidRPr="00E0735E">
        <w:rPr>
          <w:rFonts w:eastAsia="Cambria"/>
        </w:rPr>
        <w:t>Yang, Y., &amp; Zhou, D. (2025). The Effect of Inclusive School Climate on Job Burnout Among Elementary School Inclusive Teachers: The Mediating Role of Teaching Efficacy Under the Ecosystem Theory. </w:t>
      </w:r>
      <w:r w:rsidRPr="00E0735E">
        <w:rPr>
          <w:rFonts w:eastAsia="Cambria"/>
          <w:i/>
          <w:iCs/>
        </w:rPr>
        <w:t>Education Sciences</w:t>
      </w:r>
      <w:r w:rsidRPr="00E0735E">
        <w:rPr>
          <w:rFonts w:eastAsia="Cambria"/>
        </w:rPr>
        <w:t>, </w:t>
      </w:r>
      <w:r w:rsidRPr="00E0735E">
        <w:rPr>
          <w:rFonts w:eastAsia="Cambria"/>
          <w:i/>
          <w:iCs/>
        </w:rPr>
        <w:t>15</w:t>
      </w:r>
      <w:r w:rsidRPr="00E0735E">
        <w:rPr>
          <w:rFonts w:eastAsia="Cambria"/>
        </w:rPr>
        <w:t>(5), 634. https://doi.org/10.3390/educsci15050634</w:t>
      </w:r>
    </w:p>
    <w:p w14:paraId="5C501EB9" w14:textId="77777777" w:rsidR="00D46C47" w:rsidRPr="00E0735E" w:rsidRDefault="00D46C47">
      <w:pPr>
        <w:spacing w:after="0" w:line="240" w:lineRule="auto"/>
        <w:ind w:left="709" w:right="-7" w:hanging="709"/>
        <w:rPr>
          <w:rFonts w:eastAsia="Cambria"/>
        </w:rPr>
      </w:pPr>
    </w:p>
    <w:p w14:paraId="08B7918D" w14:textId="77777777" w:rsidR="00D46C47" w:rsidRPr="00E0735E" w:rsidRDefault="00513FB1">
      <w:pPr>
        <w:spacing w:after="0" w:line="240" w:lineRule="auto"/>
        <w:ind w:left="709" w:right="-7" w:hanging="709"/>
        <w:rPr>
          <w:rFonts w:eastAsia="Cambria"/>
        </w:rPr>
      </w:pPr>
      <w:r w:rsidRPr="00E0735E">
        <w:rPr>
          <w:rFonts w:eastAsia="Cambria"/>
        </w:rPr>
        <w:t>Zhou, S., Slemp, G. R., &amp; Vella-Brodrick, D. A. (2024). Factors associated with teacher wellbeing: A meta-analysis. </w:t>
      </w:r>
      <w:r w:rsidRPr="00E0735E">
        <w:rPr>
          <w:rFonts w:eastAsia="Cambria"/>
          <w:i/>
          <w:iCs/>
        </w:rPr>
        <w:t>Educational Psychology Review</w:t>
      </w:r>
      <w:r w:rsidRPr="00E0735E">
        <w:rPr>
          <w:rFonts w:eastAsia="Cambria"/>
        </w:rPr>
        <w:t>, </w:t>
      </w:r>
      <w:r w:rsidRPr="00E0735E">
        <w:rPr>
          <w:rFonts w:eastAsia="Cambria"/>
          <w:i/>
          <w:iCs/>
        </w:rPr>
        <w:t>36</w:t>
      </w:r>
      <w:r w:rsidRPr="00E0735E">
        <w:rPr>
          <w:rFonts w:eastAsia="Cambria"/>
        </w:rPr>
        <w:t>(2), 63. https://doi.org/10.1007/s10648-024-09886-x</w:t>
      </w:r>
    </w:p>
    <w:p w14:paraId="055788BF" w14:textId="77777777" w:rsidR="00D46C47" w:rsidRPr="00E0735E" w:rsidRDefault="00D46C47">
      <w:pPr>
        <w:spacing w:after="0" w:line="240" w:lineRule="auto"/>
        <w:ind w:left="709" w:right="-7" w:hanging="709"/>
        <w:rPr>
          <w:rFonts w:eastAsia="Cambria"/>
        </w:rPr>
      </w:pPr>
    </w:p>
    <w:p w14:paraId="0A25B58C" w14:textId="77777777" w:rsidR="00D46C47" w:rsidRPr="00E0735E" w:rsidRDefault="00513FB1">
      <w:pPr>
        <w:spacing w:after="0" w:line="240" w:lineRule="auto"/>
        <w:ind w:left="709" w:right="-7" w:hanging="709"/>
        <w:rPr>
          <w:rFonts w:eastAsia="Cambria"/>
        </w:rPr>
      </w:pPr>
      <w:r w:rsidRPr="00E0735E">
        <w:rPr>
          <w:rFonts w:eastAsia="Cambria"/>
        </w:rPr>
        <w:t>Zhou, H., &amp; Ma, J. (2022). Organizational justice and teachers’ turnover intention in primary and secondary schools: The importance of sustainable salary management. </w:t>
      </w:r>
      <w:r w:rsidRPr="00E0735E">
        <w:rPr>
          <w:rFonts w:eastAsia="Cambria"/>
          <w:i/>
          <w:iCs/>
        </w:rPr>
        <w:t>Sustainability</w:t>
      </w:r>
      <w:r w:rsidRPr="00E0735E">
        <w:rPr>
          <w:rFonts w:eastAsia="Cambria"/>
        </w:rPr>
        <w:t>, </w:t>
      </w:r>
      <w:r w:rsidRPr="00E0735E">
        <w:rPr>
          <w:rFonts w:eastAsia="Cambria"/>
          <w:i/>
          <w:iCs/>
        </w:rPr>
        <w:t>14</w:t>
      </w:r>
      <w:r w:rsidRPr="00E0735E">
        <w:rPr>
          <w:rFonts w:eastAsia="Cambria"/>
        </w:rPr>
        <w:t>(20), 13314. https://doi.org/10.3390/su142013314</w:t>
      </w:r>
    </w:p>
    <w:p w14:paraId="63B26B23" w14:textId="77777777" w:rsidR="00D46C47" w:rsidRPr="00E0735E" w:rsidRDefault="00D46C47"/>
    <w:p w14:paraId="4EC50F28" w14:textId="77777777" w:rsidR="00D46C47" w:rsidRPr="00E0735E" w:rsidRDefault="00D46C47">
      <w:pPr>
        <w:spacing w:after="0" w:line="240" w:lineRule="auto"/>
        <w:ind w:left="709" w:right="-7" w:hanging="709"/>
        <w:jc w:val="center"/>
        <w:rPr>
          <w:rFonts w:eastAsia="Cambria"/>
          <w:b/>
          <w:bCs/>
        </w:rPr>
      </w:pPr>
    </w:p>
    <w:p w14:paraId="78E34B84" w14:textId="77777777" w:rsidR="00D46C47" w:rsidRPr="00E0735E" w:rsidRDefault="00D46C47">
      <w:pPr>
        <w:spacing w:after="0" w:line="240" w:lineRule="auto"/>
        <w:ind w:left="709" w:right="-7" w:hanging="709"/>
        <w:jc w:val="center"/>
        <w:rPr>
          <w:rFonts w:eastAsia="Cambria"/>
          <w:b/>
          <w:bCs/>
        </w:rPr>
      </w:pPr>
    </w:p>
    <w:p w14:paraId="42D50CED" w14:textId="77777777" w:rsidR="00D46C47" w:rsidRPr="00E0735E" w:rsidRDefault="00D46C47">
      <w:pPr>
        <w:spacing w:after="0" w:line="240" w:lineRule="auto"/>
        <w:ind w:left="709" w:right="-7" w:hanging="709"/>
        <w:jc w:val="center"/>
        <w:rPr>
          <w:rFonts w:eastAsia="Cambria"/>
          <w:b/>
          <w:bCs/>
        </w:rPr>
      </w:pPr>
    </w:p>
    <w:p w14:paraId="025DB140" w14:textId="77777777" w:rsidR="00D46C47" w:rsidRPr="00E0735E" w:rsidRDefault="00D46C47">
      <w:pPr>
        <w:spacing w:after="0" w:line="240" w:lineRule="auto"/>
        <w:ind w:left="709" w:right="-7" w:hanging="709"/>
        <w:jc w:val="center"/>
        <w:rPr>
          <w:rFonts w:eastAsia="Cambria"/>
          <w:b/>
          <w:bCs/>
        </w:rPr>
      </w:pPr>
    </w:p>
    <w:p w14:paraId="1D811CC6" w14:textId="77777777" w:rsidR="00D46C47" w:rsidRPr="00E0735E" w:rsidRDefault="00D46C47">
      <w:pPr>
        <w:spacing w:after="0" w:line="240" w:lineRule="auto"/>
        <w:ind w:left="709" w:right="-7" w:hanging="709"/>
        <w:jc w:val="center"/>
        <w:rPr>
          <w:rFonts w:eastAsia="Cambria"/>
          <w:b/>
          <w:bCs/>
        </w:rPr>
      </w:pPr>
    </w:p>
    <w:p w14:paraId="7D398D20" w14:textId="77777777" w:rsidR="00D46C47" w:rsidRPr="00E0735E" w:rsidRDefault="00D46C47">
      <w:pPr>
        <w:spacing w:after="0" w:line="240" w:lineRule="auto"/>
        <w:ind w:left="709" w:right="-7" w:hanging="709"/>
        <w:jc w:val="center"/>
        <w:rPr>
          <w:rFonts w:eastAsia="Cambria"/>
          <w:b/>
          <w:bCs/>
        </w:rPr>
      </w:pPr>
    </w:p>
    <w:p w14:paraId="23E8037B" w14:textId="77777777" w:rsidR="00D46C47" w:rsidRPr="00E0735E" w:rsidRDefault="00D46C47">
      <w:pPr>
        <w:spacing w:after="0" w:line="240" w:lineRule="auto"/>
        <w:ind w:left="0" w:right="-7" w:firstLine="0"/>
        <w:jc w:val="left"/>
        <w:rPr>
          <w:rFonts w:eastAsia="Cambria"/>
          <w:b/>
          <w:bCs/>
        </w:rPr>
      </w:pPr>
    </w:p>
    <w:sectPr w:rsidR="00D46C47" w:rsidRPr="00E0735E">
      <w:headerReference w:type="even" r:id="rId8"/>
      <w:headerReference w:type="default" r:id="rId9"/>
      <w:footerReference w:type="even" r:id="rId10"/>
      <w:footerReference w:type="default" r:id="rId11"/>
      <w:headerReference w:type="first" r:id="rId12"/>
      <w:footerReference w:type="first" r:id="rId13"/>
      <w:pgSz w:w="12240" w:h="15840"/>
      <w:pgMar w:top="758" w:right="1432" w:bottom="1502" w:left="200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DEE34" w14:textId="77777777" w:rsidR="00A02CC9" w:rsidRDefault="00A02CC9">
      <w:pPr>
        <w:spacing w:after="0" w:line="240" w:lineRule="auto"/>
      </w:pPr>
      <w:r>
        <w:separator/>
      </w:r>
    </w:p>
  </w:endnote>
  <w:endnote w:type="continuationSeparator" w:id="0">
    <w:p w14:paraId="447FB677" w14:textId="77777777" w:rsidR="00A02CC9" w:rsidRDefault="00A02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E5FB30CA-7DDC-439B-A4F1-67C855F8748A}"/>
    <w:embedBold r:id="rId2" w:fontKey="{7B3EFAC3-76E5-465D-9BEA-99258006A747}"/>
    <w:embedItalic r:id="rId3" w:fontKey="{4C08DDF7-C922-4FFA-92E2-51E98EFBAEBC}"/>
    <w:embedBoldItalic r:id="rId4" w:fontKey="{F776D231-B2B7-4413-8B68-FA4CE9DB3DE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8C1D06E-A51D-49A4-A5F7-025AD829E7A4}"/>
  </w:font>
  <w:font w:name="Cambria Math">
    <w:panose1 w:val="02040503050406030204"/>
    <w:charset w:val="00"/>
    <w:family w:val="roman"/>
    <w:pitch w:val="variable"/>
    <w:sig w:usb0="E00006FF" w:usb1="420024FF" w:usb2="02000000" w:usb3="00000000" w:csb0="0000019F" w:csb1="00000000"/>
    <w:embedRegular r:id="rId6" w:fontKey="{4C7AEF09-59C3-495F-B7D4-9D4914E0C5ED}"/>
    <w:embedItalic r:id="rId7" w:fontKey="{3E99B9DD-E0D9-47B1-9F76-638F03F1572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F1E6A455-3C1D-451F-8D1C-6E8803750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5211" w14:textId="77777777" w:rsidR="006F38E3" w:rsidRDefault="006F3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B193" w14:textId="77777777" w:rsidR="006F38E3" w:rsidRDefault="006F3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6650" w14:textId="77777777" w:rsidR="006F38E3" w:rsidRDefault="006F3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77389" w14:textId="77777777" w:rsidR="00A02CC9" w:rsidRDefault="00A02CC9">
      <w:pPr>
        <w:spacing w:after="0" w:line="240" w:lineRule="auto"/>
      </w:pPr>
      <w:r>
        <w:separator/>
      </w:r>
    </w:p>
  </w:footnote>
  <w:footnote w:type="continuationSeparator" w:id="0">
    <w:p w14:paraId="0B64DFA6" w14:textId="77777777" w:rsidR="00A02CC9" w:rsidRDefault="00A02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3975" w14:textId="14E0F55F" w:rsidR="00D46C47" w:rsidRDefault="00000000">
    <w:pPr>
      <w:spacing w:after="0" w:line="259" w:lineRule="auto"/>
      <w:ind w:left="0" w:right="6" w:firstLine="0"/>
      <w:jc w:val="right"/>
    </w:pPr>
    <w:r>
      <w:rPr>
        <w:noProof/>
      </w:rPr>
      <w:pict w14:anchorId="5F608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5" o:spid="_x0000_s1026" type="#_x0000_t136" style="position:absolute;left:0;text-align:left;margin-left:0;margin-top:0;width:558.35pt;height:62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sidR="00513FB1">
      <w:fldChar w:fldCharType="begin"/>
    </w:r>
    <w:r w:rsidR="00513FB1">
      <w:instrText>PAGE</w:instrText>
    </w:r>
    <w:r w:rsidR="00513FB1">
      <w:fldChar w:fldCharType="end"/>
    </w:r>
    <w:r w:rsidR="00513FB1">
      <w:rPr>
        <w:sz w:val="22"/>
        <w:szCs w:val="22"/>
      </w:rPr>
      <w:t xml:space="preserve"> </w:t>
    </w:r>
  </w:p>
  <w:p w14:paraId="74411C70" w14:textId="77777777" w:rsidR="00D46C47" w:rsidRDefault="00513FB1">
    <w:pPr>
      <w:spacing w:after="0" w:line="259" w:lineRule="auto"/>
      <w:ind w:left="154" w:firstLine="0"/>
      <w:jc w:val="left"/>
    </w:pP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71E8" w14:textId="5590AA76" w:rsidR="00D46C47" w:rsidRDefault="00000000">
    <w:pPr>
      <w:spacing w:after="0" w:line="259" w:lineRule="auto"/>
      <w:ind w:left="0" w:right="6" w:firstLine="0"/>
      <w:jc w:val="right"/>
    </w:pPr>
    <w:r>
      <w:rPr>
        <w:noProof/>
      </w:rPr>
      <w:pict w14:anchorId="732E6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6" o:spid="_x0000_s1027" type="#_x0000_t136" style="position:absolute;left:0;text-align:left;margin-left:0;margin-top:0;width:558.35pt;height:62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sidR="00513FB1">
      <w:fldChar w:fldCharType="begin"/>
    </w:r>
    <w:r w:rsidR="00513FB1">
      <w:instrText>PAGE</w:instrText>
    </w:r>
    <w:r w:rsidR="00513FB1">
      <w:fldChar w:fldCharType="separate"/>
    </w:r>
    <w:r w:rsidR="00BB1F9F">
      <w:rPr>
        <w:noProof/>
      </w:rPr>
      <w:t>2</w:t>
    </w:r>
    <w:r w:rsidR="00513FB1">
      <w:fldChar w:fldCharType="end"/>
    </w:r>
    <w:r w:rsidR="00513FB1">
      <w:rPr>
        <w:sz w:val="22"/>
        <w:szCs w:val="22"/>
      </w:rPr>
      <w:t xml:space="preserve"> </w:t>
    </w:r>
  </w:p>
  <w:p w14:paraId="71F09A69" w14:textId="77777777" w:rsidR="00D46C47" w:rsidRDefault="00513FB1">
    <w:pPr>
      <w:spacing w:after="0" w:line="259" w:lineRule="auto"/>
      <w:ind w:left="154" w:firstLine="0"/>
      <w:jc w:val="left"/>
    </w:pPr>
    <w:r>
      <w:rPr>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C9DC" w14:textId="53B5372F" w:rsidR="00D46C47" w:rsidRDefault="00000000">
    <w:pPr>
      <w:spacing w:after="160" w:line="259" w:lineRule="auto"/>
      <w:ind w:left="0" w:firstLine="0"/>
      <w:jc w:val="left"/>
    </w:pPr>
    <w:r>
      <w:rPr>
        <w:noProof/>
      </w:rPr>
      <w:pict w14:anchorId="6FCE2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234" o:spid="_x0000_s1025" type="#_x0000_t136" style="position:absolute;margin-left:0;margin-top:0;width:558.35pt;height:62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66C4"/>
    <w:multiLevelType w:val="multilevel"/>
    <w:tmpl w:val="21D8E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D5127F"/>
    <w:multiLevelType w:val="multilevel"/>
    <w:tmpl w:val="A9D27220"/>
    <w:lvl w:ilvl="0">
      <w:start w:val="1"/>
      <w:numFmt w:val="decimal"/>
      <w:lvlText w:val="%1."/>
      <w:lvlJc w:val="left"/>
      <w:pPr>
        <w:ind w:left="720" w:hanging="360"/>
      </w:pPr>
      <w:rPr>
        <w:rFonts w:ascii="Cambria" w:eastAsia="Cambria" w:hAnsi="Cambria" w:cs="Cambria"/>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994296"/>
    <w:multiLevelType w:val="hybridMultilevel"/>
    <w:tmpl w:val="491664BC"/>
    <w:lvl w:ilvl="0" w:tplc="34090001">
      <w:start w:val="1"/>
      <w:numFmt w:val="bullet"/>
      <w:lvlText w:val=""/>
      <w:lvlJc w:val="left"/>
      <w:pPr>
        <w:ind w:left="516" w:hanging="360"/>
      </w:pPr>
      <w:rPr>
        <w:rFonts w:ascii="Symbol" w:hAnsi="Symbol" w:hint="default"/>
      </w:rPr>
    </w:lvl>
    <w:lvl w:ilvl="1" w:tplc="34090003" w:tentative="1">
      <w:start w:val="1"/>
      <w:numFmt w:val="bullet"/>
      <w:lvlText w:val="o"/>
      <w:lvlJc w:val="left"/>
      <w:pPr>
        <w:ind w:left="1236" w:hanging="360"/>
      </w:pPr>
      <w:rPr>
        <w:rFonts w:ascii="Courier New" w:hAnsi="Courier New" w:cs="Courier New" w:hint="default"/>
      </w:rPr>
    </w:lvl>
    <w:lvl w:ilvl="2" w:tplc="34090005" w:tentative="1">
      <w:start w:val="1"/>
      <w:numFmt w:val="bullet"/>
      <w:lvlText w:val=""/>
      <w:lvlJc w:val="left"/>
      <w:pPr>
        <w:ind w:left="1956" w:hanging="360"/>
      </w:pPr>
      <w:rPr>
        <w:rFonts w:ascii="Wingdings" w:hAnsi="Wingdings" w:hint="default"/>
      </w:rPr>
    </w:lvl>
    <w:lvl w:ilvl="3" w:tplc="34090001" w:tentative="1">
      <w:start w:val="1"/>
      <w:numFmt w:val="bullet"/>
      <w:lvlText w:val=""/>
      <w:lvlJc w:val="left"/>
      <w:pPr>
        <w:ind w:left="2676" w:hanging="360"/>
      </w:pPr>
      <w:rPr>
        <w:rFonts w:ascii="Symbol" w:hAnsi="Symbol" w:hint="default"/>
      </w:rPr>
    </w:lvl>
    <w:lvl w:ilvl="4" w:tplc="34090003" w:tentative="1">
      <w:start w:val="1"/>
      <w:numFmt w:val="bullet"/>
      <w:lvlText w:val="o"/>
      <w:lvlJc w:val="left"/>
      <w:pPr>
        <w:ind w:left="3396" w:hanging="360"/>
      </w:pPr>
      <w:rPr>
        <w:rFonts w:ascii="Courier New" w:hAnsi="Courier New" w:cs="Courier New" w:hint="default"/>
      </w:rPr>
    </w:lvl>
    <w:lvl w:ilvl="5" w:tplc="34090005" w:tentative="1">
      <w:start w:val="1"/>
      <w:numFmt w:val="bullet"/>
      <w:lvlText w:val=""/>
      <w:lvlJc w:val="left"/>
      <w:pPr>
        <w:ind w:left="4116" w:hanging="360"/>
      </w:pPr>
      <w:rPr>
        <w:rFonts w:ascii="Wingdings" w:hAnsi="Wingdings" w:hint="default"/>
      </w:rPr>
    </w:lvl>
    <w:lvl w:ilvl="6" w:tplc="34090001" w:tentative="1">
      <w:start w:val="1"/>
      <w:numFmt w:val="bullet"/>
      <w:lvlText w:val=""/>
      <w:lvlJc w:val="left"/>
      <w:pPr>
        <w:ind w:left="4836" w:hanging="360"/>
      </w:pPr>
      <w:rPr>
        <w:rFonts w:ascii="Symbol" w:hAnsi="Symbol" w:hint="default"/>
      </w:rPr>
    </w:lvl>
    <w:lvl w:ilvl="7" w:tplc="34090003" w:tentative="1">
      <w:start w:val="1"/>
      <w:numFmt w:val="bullet"/>
      <w:lvlText w:val="o"/>
      <w:lvlJc w:val="left"/>
      <w:pPr>
        <w:ind w:left="5556" w:hanging="360"/>
      </w:pPr>
      <w:rPr>
        <w:rFonts w:ascii="Courier New" w:hAnsi="Courier New" w:cs="Courier New" w:hint="default"/>
      </w:rPr>
    </w:lvl>
    <w:lvl w:ilvl="8" w:tplc="34090005" w:tentative="1">
      <w:start w:val="1"/>
      <w:numFmt w:val="bullet"/>
      <w:lvlText w:val=""/>
      <w:lvlJc w:val="left"/>
      <w:pPr>
        <w:ind w:left="6276" w:hanging="360"/>
      </w:pPr>
      <w:rPr>
        <w:rFonts w:ascii="Wingdings" w:hAnsi="Wingdings" w:hint="default"/>
      </w:rPr>
    </w:lvl>
  </w:abstractNum>
  <w:abstractNum w:abstractNumId="3" w15:restartNumberingAfterBreak="0">
    <w:nsid w:val="770E1886"/>
    <w:multiLevelType w:val="hybridMultilevel"/>
    <w:tmpl w:val="03A06574"/>
    <w:lvl w:ilvl="0" w:tplc="34090001">
      <w:start w:val="1"/>
      <w:numFmt w:val="bullet"/>
      <w:lvlText w:val=""/>
      <w:lvlJc w:val="left"/>
      <w:pPr>
        <w:ind w:left="662" w:hanging="360"/>
      </w:pPr>
      <w:rPr>
        <w:rFonts w:ascii="Symbol" w:hAnsi="Symbol" w:hint="default"/>
      </w:rPr>
    </w:lvl>
    <w:lvl w:ilvl="1" w:tplc="34090003" w:tentative="1">
      <w:start w:val="1"/>
      <w:numFmt w:val="bullet"/>
      <w:lvlText w:val="o"/>
      <w:lvlJc w:val="left"/>
      <w:pPr>
        <w:ind w:left="1382" w:hanging="360"/>
      </w:pPr>
      <w:rPr>
        <w:rFonts w:ascii="Courier New" w:hAnsi="Courier New" w:cs="Courier New" w:hint="default"/>
      </w:rPr>
    </w:lvl>
    <w:lvl w:ilvl="2" w:tplc="34090005" w:tentative="1">
      <w:start w:val="1"/>
      <w:numFmt w:val="bullet"/>
      <w:lvlText w:val=""/>
      <w:lvlJc w:val="left"/>
      <w:pPr>
        <w:ind w:left="2102" w:hanging="360"/>
      </w:pPr>
      <w:rPr>
        <w:rFonts w:ascii="Wingdings" w:hAnsi="Wingdings" w:hint="default"/>
      </w:rPr>
    </w:lvl>
    <w:lvl w:ilvl="3" w:tplc="34090001" w:tentative="1">
      <w:start w:val="1"/>
      <w:numFmt w:val="bullet"/>
      <w:lvlText w:val=""/>
      <w:lvlJc w:val="left"/>
      <w:pPr>
        <w:ind w:left="2822" w:hanging="360"/>
      </w:pPr>
      <w:rPr>
        <w:rFonts w:ascii="Symbol" w:hAnsi="Symbol" w:hint="default"/>
      </w:rPr>
    </w:lvl>
    <w:lvl w:ilvl="4" w:tplc="34090003" w:tentative="1">
      <w:start w:val="1"/>
      <w:numFmt w:val="bullet"/>
      <w:lvlText w:val="o"/>
      <w:lvlJc w:val="left"/>
      <w:pPr>
        <w:ind w:left="3542" w:hanging="360"/>
      </w:pPr>
      <w:rPr>
        <w:rFonts w:ascii="Courier New" w:hAnsi="Courier New" w:cs="Courier New" w:hint="default"/>
      </w:rPr>
    </w:lvl>
    <w:lvl w:ilvl="5" w:tplc="34090005" w:tentative="1">
      <w:start w:val="1"/>
      <w:numFmt w:val="bullet"/>
      <w:lvlText w:val=""/>
      <w:lvlJc w:val="left"/>
      <w:pPr>
        <w:ind w:left="4262" w:hanging="360"/>
      </w:pPr>
      <w:rPr>
        <w:rFonts w:ascii="Wingdings" w:hAnsi="Wingdings" w:hint="default"/>
      </w:rPr>
    </w:lvl>
    <w:lvl w:ilvl="6" w:tplc="34090001" w:tentative="1">
      <w:start w:val="1"/>
      <w:numFmt w:val="bullet"/>
      <w:lvlText w:val=""/>
      <w:lvlJc w:val="left"/>
      <w:pPr>
        <w:ind w:left="4982" w:hanging="360"/>
      </w:pPr>
      <w:rPr>
        <w:rFonts w:ascii="Symbol" w:hAnsi="Symbol" w:hint="default"/>
      </w:rPr>
    </w:lvl>
    <w:lvl w:ilvl="7" w:tplc="34090003" w:tentative="1">
      <w:start w:val="1"/>
      <w:numFmt w:val="bullet"/>
      <w:lvlText w:val="o"/>
      <w:lvlJc w:val="left"/>
      <w:pPr>
        <w:ind w:left="5702" w:hanging="360"/>
      </w:pPr>
      <w:rPr>
        <w:rFonts w:ascii="Courier New" w:hAnsi="Courier New" w:cs="Courier New" w:hint="default"/>
      </w:rPr>
    </w:lvl>
    <w:lvl w:ilvl="8" w:tplc="34090005" w:tentative="1">
      <w:start w:val="1"/>
      <w:numFmt w:val="bullet"/>
      <w:lvlText w:val=""/>
      <w:lvlJc w:val="left"/>
      <w:pPr>
        <w:ind w:left="6422" w:hanging="360"/>
      </w:pPr>
      <w:rPr>
        <w:rFonts w:ascii="Wingdings" w:hAnsi="Wingdings" w:hint="default"/>
      </w:rPr>
    </w:lvl>
  </w:abstractNum>
  <w:abstractNum w:abstractNumId="4" w15:restartNumberingAfterBreak="0">
    <w:nsid w:val="79DB0B8D"/>
    <w:multiLevelType w:val="hybridMultilevel"/>
    <w:tmpl w:val="AC74586C"/>
    <w:lvl w:ilvl="0" w:tplc="34090001">
      <w:start w:val="1"/>
      <w:numFmt w:val="bullet"/>
      <w:lvlText w:val=""/>
      <w:lvlJc w:val="left"/>
      <w:pPr>
        <w:ind w:left="516" w:hanging="360"/>
      </w:pPr>
      <w:rPr>
        <w:rFonts w:ascii="Symbol" w:hAnsi="Symbol" w:hint="default"/>
      </w:rPr>
    </w:lvl>
    <w:lvl w:ilvl="1" w:tplc="34090003" w:tentative="1">
      <w:start w:val="1"/>
      <w:numFmt w:val="bullet"/>
      <w:lvlText w:val="o"/>
      <w:lvlJc w:val="left"/>
      <w:pPr>
        <w:ind w:left="1236" w:hanging="360"/>
      </w:pPr>
      <w:rPr>
        <w:rFonts w:ascii="Courier New" w:hAnsi="Courier New" w:cs="Courier New" w:hint="default"/>
      </w:rPr>
    </w:lvl>
    <w:lvl w:ilvl="2" w:tplc="34090005" w:tentative="1">
      <w:start w:val="1"/>
      <w:numFmt w:val="bullet"/>
      <w:lvlText w:val=""/>
      <w:lvlJc w:val="left"/>
      <w:pPr>
        <w:ind w:left="1956" w:hanging="360"/>
      </w:pPr>
      <w:rPr>
        <w:rFonts w:ascii="Wingdings" w:hAnsi="Wingdings" w:hint="default"/>
      </w:rPr>
    </w:lvl>
    <w:lvl w:ilvl="3" w:tplc="34090001" w:tentative="1">
      <w:start w:val="1"/>
      <w:numFmt w:val="bullet"/>
      <w:lvlText w:val=""/>
      <w:lvlJc w:val="left"/>
      <w:pPr>
        <w:ind w:left="2676" w:hanging="360"/>
      </w:pPr>
      <w:rPr>
        <w:rFonts w:ascii="Symbol" w:hAnsi="Symbol" w:hint="default"/>
      </w:rPr>
    </w:lvl>
    <w:lvl w:ilvl="4" w:tplc="34090003" w:tentative="1">
      <w:start w:val="1"/>
      <w:numFmt w:val="bullet"/>
      <w:lvlText w:val="o"/>
      <w:lvlJc w:val="left"/>
      <w:pPr>
        <w:ind w:left="3396" w:hanging="360"/>
      </w:pPr>
      <w:rPr>
        <w:rFonts w:ascii="Courier New" w:hAnsi="Courier New" w:cs="Courier New" w:hint="default"/>
      </w:rPr>
    </w:lvl>
    <w:lvl w:ilvl="5" w:tplc="34090005" w:tentative="1">
      <w:start w:val="1"/>
      <w:numFmt w:val="bullet"/>
      <w:lvlText w:val=""/>
      <w:lvlJc w:val="left"/>
      <w:pPr>
        <w:ind w:left="4116" w:hanging="360"/>
      </w:pPr>
      <w:rPr>
        <w:rFonts w:ascii="Wingdings" w:hAnsi="Wingdings" w:hint="default"/>
      </w:rPr>
    </w:lvl>
    <w:lvl w:ilvl="6" w:tplc="34090001" w:tentative="1">
      <w:start w:val="1"/>
      <w:numFmt w:val="bullet"/>
      <w:lvlText w:val=""/>
      <w:lvlJc w:val="left"/>
      <w:pPr>
        <w:ind w:left="4836" w:hanging="360"/>
      </w:pPr>
      <w:rPr>
        <w:rFonts w:ascii="Symbol" w:hAnsi="Symbol" w:hint="default"/>
      </w:rPr>
    </w:lvl>
    <w:lvl w:ilvl="7" w:tplc="34090003" w:tentative="1">
      <w:start w:val="1"/>
      <w:numFmt w:val="bullet"/>
      <w:lvlText w:val="o"/>
      <w:lvlJc w:val="left"/>
      <w:pPr>
        <w:ind w:left="5556" w:hanging="360"/>
      </w:pPr>
      <w:rPr>
        <w:rFonts w:ascii="Courier New" w:hAnsi="Courier New" w:cs="Courier New" w:hint="default"/>
      </w:rPr>
    </w:lvl>
    <w:lvl w:ilvl="8" w:tplc="34090005" w:tentative="1">
      <w:start w:val="1"/>
      <w:numFmt w:val="bullet"/>
      <w:lvlText w:val=""/>
      <w:lvlJc w:val="left"/>
      <w:pPr>
        <w:ind w:left="6276" w:hanging="360"/>
      </w:pPr>
      <w:rPr>
        <w:rFonts w:ascii="Wingdings" w:hAnsi="Wingdings" w:hint="default"/>
      </w:rPr>
    </w:lvl>
  </w:abstractNum>
  <w:num w:numId="1" w16cid:durableId="472255783">
    <w:abstractNumId w:val="0"/>
  </w:num>
  <w:num w:numId="2" w16cid:durableId="1795178308">
    <w:abstractNumId w:val="1"/>
  </w:num>
  <w:num w:numId="3" w16cid:durableId="2019187176">
    <w:abstractNumId w:val="2"/>
  </w:num>
  <w:num w:numId="4" w16cid:durableId="678654137">
    <w:abstractNumId w:val="3"/>
  </w:num>
  <w:num w:numId="5" w16cid:durableId="1072116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Y0NrAwNTc1NzE1NzNU0lEKTi0uzszPAykwrAUASlwBKiwAAAA="/>
  </w:docVars>
  <w:rsids>
    <w:rsidRoot w:val="00D46C47"/>
    <w:rsid w:val="00011A26"/>
    <w:rsid w:val="00046344"/>
    <w:rsid w:val="00046FCF"/>
    <w:rsid w:val="00066892"/>
    <w:rsid w:val="00066AA0"/>
    <w:rsid w:val="00067547"/>
    <w:rsid w:val="000F6093"/>
    <w:rsid w:val="001A7898"/>
    <w:rsid w:val="001B580A"/>
    <w:rsid w:val="001E70CE"/>
    <w:rsid w:val="001F7410"/>
    <w:rsid w:val="00204786"/>
    <w:rsid w:val="00212080"/>
    <w:rsid w:val="00251D08"/>
    <w:rsid w:val="002644BB"/>
    <w:rsid w:val="002D7AF7"/>
    <w:rsid w:val="002F233C"/>
    <w:rsid w:val="00356FF5"/>
    <w:rsid w:val="003A03BB"/>
    <w:rsid w:val="00415FD8"/>
    <w:rsid w:val="00422292"/>
    <w:rsid w:val="00455D97"/>
    <w:rsid w:val="00494BF8"/>
    <w:rsid w:val="004B06AF"/>
    <w:rsid w:val="00513FB1"/>
    <w:rsid w:val="005353D1"/>
    <w:rsid w:val="00547CE5"/>
    <w:rsid w:val="00560CC9"/>
    <w:rsid w:val="005933C6"/>
    <w:rsid w:val="005F1C4F"/>
    <w:rsid w:val="006016B9"/>
    <w:rsid w:val="00632DCA"/>
    <w:rsid w:val="00677C51"/>
    <w:rsid w:val="006A2BF0"/>
    <w:rsid w:val="006B3339"/>
    <w:rsid w:val="006F38E3"/>
    <w:rsid w:val="007366E9"/>
    <w:rsid w:val="008A64A8"/>
    <w:rsid w:val="008C1EAD"/>
    <w:rsid w:val="00945A70"/>
    <w:rsid w:val="009B7A20"/>
    <w:rsid w:val="009F4ACF"/>
    <w:rsid w:val="00A02CC9"/>
    <w:rsid w:val="00A047E9"/>
    <w:rsid w:val="00A21BA5"/>
    <w:rsid w:val="00A91055"/>
    <w:rsid w:val="00AB0DBB"/>
    <w:rsid w:val="00AB549A"/>
    <w:rsid w:val="00AB74A0"/>
    <w:rsid w:val="00B33EFD"/>
    <w:rsid w:val="00B365FC"/>
    <w:rsid w:val="00B377AC"/>
    <w:rsid w:val="00B420C5"/>
    <w:rsid w:val="00BB1F9F"/>
    <w:rsid w:val="00BC5571"/>
    <w:rsid w:val="00BD666E"/>
    <w:rsid w:val="00BF3274"/>
    <w:rsid w:val="00C02F1A"/>
    <w:rsid w:val="00C21160"/>
    <w:rsid w:val="00C26DA0"/>
    <w:rsid w:val="00C55CF8"/>
    <w:rsid w:val="00C605DB"/>
    <w:rsid w:val="00C761E7"/>
    <w:rsid w:val="00CA49DC"/>
    <w:rsid w:val="00CF0A13"/>
    <w:rsid w:val="00D16559"/>
    <w:rsid w:val="00D46C47"/>
    <w:rsid w:val="00D51833"/>
    <w:rsid w:val="00DE23AD"/>
    <w:rsid w:val="00E0735E"/>
    <w:rsid w:val="00E4610A"/>
    <w:rsid w:val="00EC6676"/>
    <w:rsid w:val="00F34001"/>
    <w:rsid w:val="00F57C43"/>
    <w:rsid w:val="00FB60AA"/>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4F8AC"/>
  <w15:docId w15:val="{4390D3E0-9BFD-4B04-A64B-AA2F8C8F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zh-CN" w:bidi="ar-SA"/>
      </w:rPr>
    </w:rPrDefault>
    <w:pPrDefault>
      <w:pPr>
        <w:spacing w:after="236" w:line="249" w:lineRule="auto"/>
        <w:ind w:left="15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58" w:line="259" w:lineRule="auto"/>
      <w:ind w:left="168"/>
      <w:jc w:val="center"/>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33" w:line="250" w:lineRule="auto"/>
      <w:ind w:left="164"/>
      <w:jc w:val="left"/>
      <w:outlineLvl w:val="1"/>
    </w:pPr>
    <w:rPr>
      <w:i/>
      <w:iCs/>
      <w:color w:val="000000"/>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233" w:line="250" w:lineRule="auto"/>
      <w:ind w:left="164"/>
      <w:jc w:val="left"/>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ind w:left="0" w:firstLine="0"/>
    </w:pPr>
    <w:rPr>
      <w:rFonts w:ascii="Times New Roman" w:eastAsia="Times New Roman" w:hAnsi="Times New Roman" w:cs="Times New Roman"/>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ind w:left="0" w:firstLine="0"/>
      <w:jc w:val="lef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F0A13"/>
    <w:pPr>
      <w:ind w:left="720"/>
      <w:contextualSpacing/>
    </w:pPr>
  </w:style>
  <w:style w:type="character" w:styleId="Hyperlink">
    <w:name w:val="Hyperlink"/>
    <w:basedOn w:val="DefaultParagraphFont"/>
    <w:uiPriority w:val="99"/>
    <w:unhideWhenUsed/>
    <w:rsid w:val="00046FCF"/>
    <w:rPr>
      <w:color w:val="0000FF" w:themeColor="hyperlink"/>
      <w:u w:val="single"/>
    </w:rPr>
  </w:style>
  <w:style w:type="character" w:styleId="UnresolvedMention">
    <w:name w:val="Unresolved Mention"/>
    <w:basedOn w:val="DefaultParagraphFont"/>
    <w:uiPriority w:val="99"/>
    <w:semiHidden/>
    <w:unhideWhenUsed/>
    <w:rsid w:val="00046FCF"/>
    <w:rPr>
      <w:color w:val="605E5C"/>
      <w:shd w:val="clear" w:color="auto" w:fill="E1DFDD"/>
    </w:rPr>
  </w:style>
  <w:style w:type="paragraph" w:styleId="Footer">
    <w:name w:val="footer"/>
    <w:basedOn w:val="Normal"/>
    <w:link w:val="FooterChar"/>
    <w:uiPriority w:val="99"/>
    <w:unhideWhenUsed/>
    <w:rsid w:val="006F3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8E3"/>
  </w:style>
  <w:style w:type="paragraph" w:styleId="NormalWeb">
    <w:name w:val="Normal (Web)"/>
    <w:basedOn w:val="Normal"/>
    <w:uiPriority w:val="99"/>
    <w:semiHidden/>
    <w:unhideWhenUsed/>
    <w:rsid w:val="003A03BB"/>
    <w:pPr>
      <w:spacing w:before="100" w:beforeAutospacing="1" w:after="100" w:afterAutospacing="1" w:line="240" w:lineRule="auto"/>
      <w:ind w:left="0" w:firstLine="0"/>
      <w:jc w:val="left"/>
    </w:pPr>
    <w:rPr>
      <w:rFonts w:ascii="Times New Roman" w:eastAsia="Times New Roman" w:hAnsi="Times New Roman" w:cs="Times New Roman"/>
      <w:lang w:val="en-US" w:eastAsia="en-US"/>
    </w:rPr>
  </w:style>
  <w:style w:type="character" w:styleId="Strong">
    <w:name w:val="Strong"/>
    <w:basedOn w:val="DefaultParagraphFont"/>
    <w:uiPriority w:val="22"/>
    <w:qFormat/>
    <w:rsid w:val="003A0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qKJqk32k2NnYvWgcNPRdgmHYQ==">CgMxLjA4AHIhMVZuVlVWT2ZKT2Q4bC1xYjhRanRLVHlZRDBTVW8teTlh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5936</Words>
  <Characters>33840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Desktop</dc:creator>
  <cp:lastModifiedBy>SDI 1186</cp:lastModifiedBy>
  <cp:revision>35</cp:revision>
  <dcterms:created xsi:type="dcterms:W3CDTF">2026-05-18T09:22:00Z</dcterms:created>
  <dcterms:modified xsi:type="dcterms:W3CDTF">2026-05-23T06:52:00Z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85dcd9f1f2eb4ef49cbdb56148623c575db4cdb0b879a149036c48632a2e9305</vt:lpwstr>
  </property>
</Properties>
</file>