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4C01" w14:textId="77777777" w:rsidR="002815BF" w:rsidRDefault="002815BF" w:rsidP="002815BF">
      <w:pPr>
        <w:shd w:val="clear" w:color="auto" w:fill="FFFFFF" w:themeFill="background1"/>
        <w:spacing w:after="0" w:line="240" w:lineRule="auto"/>
        <w:ind w:firstLine="432"/>
        <w:jc w:val="both"/>
        <w:rPr>
          <w:b/>
          <w:color w:val="000000"/>
        </w:rPr>
      </w:pPr>
      <w:r w:rsidRPr="002815BF">
        <w:rPr>
          <w:b/>
          <w:color w:val="000000"/>
        </w:rPr>
        <w:t>ASSESSING AND ENHANCING DIGITAL COMPETENCE AMONG LECTURERS AT DA NANG SPORTS UNIVERSITY, VIETNAM</w:t>
      </w:r>
    </w:p>
    <w:p w14:paraId="190A770A" w14:textId="77777777" w:rsidR="009434B0" w:rsidRPr="002815BF" w:rsidRDefault="009434B0" w:rsidP="002815BF">
      <w:pPr>
        <w:shd w:val="clear" w:color="auto" w:fill="FFFFFF" w:themeFill="background1"/>
        <w:spacing w:after="0" w:line="240" w:lineRule="auto"/>
        <w:ind w:firstLine="432"/>
        <w:jc w:val="both"/>
        <w:rPr>
          <w:b/>
          <w:color w:val="000000"/>
        </w:rPr>
      </w:pPr>
    </w:p>
    <w:p w14:paraId="72AD2DB1" w14:textId="77777777" w:rsidR="00A2047D" w:rsidRDefault="00A2047D" w:rsidP="002815BF">
      <w:pPr>
        <w:shd w:val="clear" w:color="auto" w:fill="FFFFFF" w:themeFill="background1"/>
        <w:spacing w:after="0" w:line="240" w:lineRule="auto"/>
        <w:ind w:firstLine="432"/>
        <w:jc w:val="both"/>
        <w:rPr>
          <w:b/>
          <w:color w:val="000000"/>
        </w:rPr>
      </w:pPr>
    </w:p>
    <w:p w14:paraId="4E492155" w14:textId="77777777" w:rsidR="00A2047D" w:rsidRDefault="00A2047D" w:rsidP="002815BF">
      <w:pPr>
        <w:shd w:val="clear" w:color="auto" w:fill="FFFFFF" w:themeFill="background1"/>
        <w:spacing w:after="0" w:line="240" w:lineRule="auto"/>
        <w:ind w:firstLine="432"/>
        <w:jc w:val="both"/>
        <w:rPr>
          <w:b/>
          <w:color w:val="000000"/>
        </w:rPr>
      </w:pPr>
    </w:p>
    <w:p w14:paraId="701B1F8C" w14:textId="78BEE44C" w:rsidR="002815BF" w:rsidRDefault="002815BF" w:rsidP="002815BF">
      <w:pPr>
        <w:shd w:val="clear" w:color="auto" w:fill="FFFFFF" w:themeFill="background1"/>
        <w:spacing w:after="0" w:line="240" w:lineRule="auto"/>
        <w:ind w:firstLine="432"/>
        <w:jc w:val="both"/>
        <w:rPr>
          <w:b/>
          <w:color w:val="000000"/>
        </w:rPr>
      </w:pPr>
      <w:r w:rsidRPr="002815BF">
        <w:rPr>
          <w:b/>
          <w:color w:val="000000"/>
        </w:rPr>
        <w:t xml:space="preserve">Abstract: </w:t>
      </w:r>
      <w:r w:rsidRPr="004E613D">
        <w:rPr>
          <w:color w:val="000000"/>
          <w:highlight w:val="yellow"/>
        </w:rPr>
        <w:t xml:space="preserve">This article assesses and proposes solutions to enhance the digital competence of lecturers at Da Nang Sports University, Vietnam, in the context of higher-education digital transformation. The study addresses a research gap in the limited empirical evidence on lecturers’ digital competence in specialized physical education and sports institutions, where teaching requires not only online tools but also technology-supported practice, movement analysis, coaching, and assessment. The study is grounded in the </w:t>
      </w:r>
      <w:proofErr w:type="spellStart"/>
      <w:r w:rsidRPr="004E613D">
        <w:rPr>
          <w:color w:val="000000"/>
          <w:highlight w:val="yellow"/>
        </w:rPr>
        <w:t>DigCompEdu</w:t>
      </w:r>
      <w:proofErr w:type="spellEnd"/>
      <w:r w:rsidRPr="004E613D">
        <w:rPr>
          <w:color w:val="000000"/>
          <w:highlight w:val="yellow"/>
        </w:rPr>
        <w:t xml:space="preserve"> and UNESCO ICT Competency Framework for Teachers and employs a descriptive quantitative design based on a survey of 86 lecturers. The questionnaire includes seven competence domains and 28 observed variables measured on a five-point Likert scale. Reliability testing shows that the scale is internally consistent, with Cronbach’s Alpha values ranging from 0.748 to 0.821 across domains and 0.908 for the entire scale. The results indicate that lecturers’ overall digital competence is at a high average level, approaching the good level (M = 3.36). Basic digital technology use, digital communication and collaboration, and digital safety and ethics are relatively stronger, whereas digital learning-resource design, digital assessment, digital research competence, and technology integration in practical sports courses remain limited. The study identifies infrastructure, incentive policies, training programs, technical support, self-study time, and the characteristics of practical courses as key influencing factors. Practical solutions are proposed, including discipline-based training, digital learning-resource development, strengthened infrastructure and technical support, assessment innovation, digital research competence development, and responsible use of artificial intelligence.</w:t>
      </w:r>
    </w:p>
    <w:p w14:paraId="5B963CDD" w14:textId="77777777" w:rsidR="006027D5" w:rsidRDefault="001E24BB" w:rsidP="002815BF">
      <w:pPr>
        <w:shd w:val="clear" w:color="auto" w:fill="FFFFFF" w:themeFill="background1"/>
        <w:spacing w:after="0" w:line="240" w:lineRule="auto"/>
        <w:ind w:firstLine="432"/>
        <w:jc w:val="both"/>
        <w:rPr>
          <w:rFonts w:cs="Times New Roman"/>
          <w:szCs w:val="24"/>
        </w:rPr>
      </w:pPr>
      <w:r w:rsidRPr="00FF4E0D">
        <w:rPr>
          <w:rFonts w:cs="Times New Roman"/>
          <w:b/>
          <w:szCs w:val="24"/>
        </w:rPr>
        <w:t>Keywords:</w:t>
      </w:r>
      <w:r w:rsidRPr="00FF4E0D">
        <w:rPr>
          <w:rFonts w:cs="Times New Roman"/>
          <w:szCs w:val="24"/>
        </w:rPr>
        <w:t xml:space="preserve"> digital competence; digital transformation; higher education; physical education and sports; </w:t>
      </w:r>
      <w:r w:rsidR="00EA7AFF" w:rsidRPr="00FF4E0D">
        <w:rPr>
          <w:rFonts w:cs="Times New Roman"/>
          <w:szCs w:val="24"/>
        </w:rPr>
        <w:t>Da Nang Sports University</w:t>
      </w:r>
      <w:r w:rsidRPr="00FF4E0D">
        <w:rPr>
          <w:rFonts w:cs="Times New Roman"/>
          <w:szCs w:val="24"/>
        </w:rPr>
        <w:t>.</w:t>
      </w:r>
    </w:p>
    <w:p w14:paraId="2DA9BFA1" w14:textId="77777777" w:rsidR="002F2EA1" w:rsidRPr="00FF4E0D" w:rsidRDefault="002F2EA1" w:rsidP="00EA7AFF">
      <w:pPr>
        <w:shd w:val="clear" w:color="auto" w:fill="FFFFFF" w:themeFill="background1"/>
        <w:spacing w:after="0" w:line="240" w:lineRule="auto"/>
        <w:ind w:firstLine="432"/>
        <w:jc w:val="both"/>
        <w:rPr>
          <w:rFonts w:cs="Times New Roman"/>
          <w:szCs w:val="24"/>
        </w:rPr>
      </w:pPr>
    </w:p>
    <w:p w14:paraId="6429590E" w14:textId="77777777" w:rsidR="006027D5" w:rsidRPr="00FF4E0D" w:rsidRDefault="001E24BB" w:rsidP="00EA7AFF">
      <w:pPr>
        <w:pStyle w:val="Heading1"/>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1. Introduction</w:t>
      </w:r>
    </w:p>
    <w:p w14:paraId="214A5890"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Digital transformation is profoundly changing higher education, from modes of teaching organization, assessment, and learning-resource development to the management of learning processes and learner support. In this context, lecturers’ digital competence has become an important component of professional competence. Lecturers need to be able to use digital technology to design lectures, exploit learning resources, organize teaching activities, assess learning outcomes, communicate with learners, and develop professionally in digital environments. The European Commission’s DigCompEdu framework identifies educators’ digital competence as a system of competences associated with professional engagement, digital resources, teaching and learning, assessment, learner empowerment, and facilitating learners’ digital competence. Meanwhile, the UNESCO ICT Competency Framework for Teachers emphasizes the development of teachers’ technological competence as a condition for innovating teaching and improving the quality of education (Redecker, 2017).</w:t>
      </w:r>
    </w:p>
    <w:p w14:paraId="3C34440F"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In Vietnam, digital transformation in education has been identified as an important policy orientation. Decision No. 749/QD-TTg of 2020 approving the National Digital Transformation Program to 2025, with orientations to 2030; Decision No. 131/QD-TTg of 2022 approving the project on strengthening the application of information technology and digital transformation in education and training; and Decision No. 146/QD-TTg of 2022 on raising awareness, universalizing skills, and developing human resources for national digital transformation have created a policy basis for promoting digital competence in the education system. More recently, Circular No. 02/2025/TT-BGDDT stipulating the Digital Competence Framework for Learners further demonstrates the trend toward standardizing digital competence in Vietnamese education. These orientations impose an urgent </w:t>
      </w:r>
      <w:r w:rsidRPr="00FF4E0D">
        <w:rPr>
          <w:rFonts w:cs="Times New Roman"/>
          <w:szCs w:val="24"/>
        </w:rPr>
        <w:lastRenderedPageBreak/>
        <w:t>requirement on higher education institutions to develop digital competence among their lecturers (Ministry of Education and Training, 2025).</w:t>
      </w:r>
    </w:p>
    <w:p w14:paraId="3C23D2AF" w14:textId="77777777" w:rsidR="006027D5"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However, in the field of physical education and sports, teaching is closely linked to theory, practice, technical coaching, physical fitness assessment, and the monitoring of learners’ motor-skill progress. Therefore, the digital competence of lecturers at Da Nang </w:t>
      </w:r>
      <w:r w:rsidR="00EA7AFF" w:rsidRPr="00FF4E0D">
        <w:rPr>
          <w:rFonts w:cs="Times New Roman"/>
          <w:szCs w:val="24"/>
        </w:rPr>
        <w:t xml:space="preserve">Sports </w:t>
      </w:r>
      <w:r w:rsidRPr="00FF4E0D">
        <w:rPr>
          <w:rFonts w:cs="Times New Roman"/>
          <w:szCs w:val="24"/>
        </w:rPr>
        <w:t>University cannot be understood merely as the ability to use common digital tools such as email, PowerPoint, Google Forms, or online teaching platforms. This competence should include the ability to design digital learning resources for practical courses, use videos to illustrate and analyze movement techniques, exploit technology to support the assessment of training outcomes, manage learning data, and guide students’ self-study in digital environments. Accordingly, the central scientific task at present is to accurately assess the current situation, develop a digital competence framework, identify influencing factors, and propose an appropriate system of solutions to improve the quality of teaching, coaching, research, and learning management in digital environments.</w:t>
      </w:r>
    </w:p>
    <w:p w14:paraId="4556583E" w14:textId="77777777" w:rsidR="002F2EA1" w:rsidRPr="00FF4E0D" w:rsidRDefault="002815BF" w:rsidP="00EA7AFF">
      <w:pPr>
        <w:shd w:val="clear" w:color="auto" w:fill="FFFFFF" w:themeFill="background1"/>
        <w:spacing w:after="0" w:line="240" w:lineRule="auto"/>
        <w:ind w:firstLine="432"/>
        <w:jc w:val="both"/>
        <w:rPr>
          <w:rFonts w:cs="Times New Roman"/>
          <w:szCs w:val="24"/>
        </w:rPr>
      </w:pPr>
      <w:r w:rsidRPr="002815BF">
        <w:rPr>
          <w:highlight w:val="yellow"/>
        </w:rPr>
        <w:t>Against this background, the study has three specific objectives: (1) to assess the current status of lecturers’ digital competence at Da Nang Sports University using a framework adapted to physical education and sports training; (2) to identify the main factors and training needs associated with the development of lecturers’ digital competence; and (3) to propose feasible solutions for strengthening digital competence in teaching, coaching, assessment, and research activities. These objectives also respond to the research gap concerning digital competence in specialized sports universities, a context that remains less examined than general higher education or STEM-oriented settings</w:t>
      </w:r>
      <w:r w:rsidRPr="002815BF">
        <w:t>.</w:t>
      </w:r>
    </w:p>
    <w:p w14:paraId="1C84261B" w14:textId="77777777" w:rsidR="002F2EA1" w:rsidRPr="002F2EA1" w:rsidRDefault="001E24BB" w:rsidP="002815BF">
      <w:pPr>
        <w:pStyle w:val="Heading1"/>
        <w:shd w:val="clear" w:color="auto" w:fill="FFFFFF" w:themeFill="background1"/>
        <w:spacing w:before="0" w:line="240" w:lineRule="auto"/>
      </w:pPr>
      <w:r w:rsidRPr="00FF4E0D">
        <w:rPr>
          <w:rFonts w:ascii="Times New Roman" w:eastAsia="Times New Roman" w:hAnsi="Times New Roman" w:cs="Times New Roman"/>
          <w:color w:val="auto"/>
          <w:sz w:val="24"/>
          <w:szCs w:val="24"/>
        </w:rPr>
        <w:t>2. Theoretical Basis and Research Methodology</w:t>
      </w:r>
    </w:p>
    <w:p w14:paraId="14B69CA6"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Digital competence is understood as the ability to use digital technology effectively, safely, responsibly, and creatively in learning, work, communication, problem solving, and professional development. In higher education, lecturers’ digital competence is directly associated with professional activities such as lesson design, exploitation of digital resources, teaching organization, assessment, learner support, scientific research, and participation in academic communities in digital environments. This approach is consistent with the European Commission’s DigCompEdu framework, in which educators’ digital competence is structured into areas such as professional engagement, digital resources, teaching and learning, assessment, learner empowerment, and facilitating learners’ digital competence (Redecker, 2017). In addition, the UNESCO ICT Competency Framework for Teachers emphasizes the role of information and communication technology competence in teacher education, teacher professional development, and educational innovation in both general education and higher education (Mtebe, 2020; Moore, 2016).</w:t>
      </w:r>
    </w:p>
    <w:p w14:paraId="3CA440AE" w14:textId="77777777" w:rsidR="002815BF" w:rsidRDefault="001E24BB" w:rsidP="002815BF">
      <w:pPr>
        <w:shd w:val="clear" w:color="auto" w:fill="FFFFFF" w:themeFill="background1"/>
        <w:spacing w:after="0" w:line="240" w:lineRule="auto"/>
        <w:ind w:firstLine="432"/>
        <w:jc w:val="both"/>
        <w:rPr>
          <w:rFonts w:cs="Times New Roman"/>
          <w:szCs w:val="24"/>
        </w:rPr>
      </w:pPr>
      <w:r w:rsidRPr="00FF4E0D">
        <w:rPr>
          <w:rFonts w:cs="Times New Roman"/>
          <w:szCs w:val="24"/>
        </w:rPr>
        <w:t>Recent studies show that the digital competence of university lecturers is a multidimensional construct influenced by both individual factors and institutional conditions. A systematic review of standards for lecturers’ digital competence in higher education indicates that current studies often focus on three main directions: developing competence frameworks, designing diagnostic instruments, and proposing training programs. However, a remaining issue is the absence of absolute consensus on the competences that university lecturers need to master in digital environments (Basantes-Andrade et al., 2022). Another review on digital teaching competence in higher education also emphasizes that universities need to develop lecturers’ digital competence as a condition for innovating pedagogical methods, adapting to digital learning environments, and improving training quality (Fernández-Batanero et al., 2021).</w:t>
      </w:r>
    </w:p>
    <w:p w14:paraId="04522BC8" w14:textId="77777777" w:rsidR="002815BF" w:rsidRPr="002815BF" w:rsidRDefault="002815BF" w:rsidP="002815BF">
      <w:pPr>
        <w:shd w:val="clear" w:color="auto" w:fill="FFFFFF" w:themeFill="background1"/>
        <w:spacing w:after="0" w:line="240" w:lineRule="auto"/>
        <w:ind w:firstLine="432"/>
        <w:jc w:val="both"/>
        <w:rPr>
          <w:highlight w:val="yellow"/>
        </w:rPr>
      </w:pPr>
      <w:r w:rsidRPr="002815BF">
        <w:rPr>
          <w:highlight w:val="yellow"/>
        </w:rPr>
        <w:t>More recent scholarship has further clarified that lecturers’ digital competence cannot be reduced to technical tool use. Large-scale and systematic studies show that academics often report stronger competence in basic communication and resource use than in assessment, data-informed teaching, and research-related digital practices (</w:t>
      </w:r>
      <w:proofErr w:type="spellStart"/>
      <w:r w:rsidRPr="002815BF">
        <w:rPr>
          <w:highlight w:val="yellow"/>
        </w:rPr>
        <w:t>Basilotta</w:t>
      </w:r>
      <w:proofErr w:type="spellEnd"/>
      <w:r w:rsidRPr="002815BF">
        <w:rPr>
          <w:highlight w:val="yellow"/>
        </w:rPr>
        <w:t xml:space="preserve">-Gómez-Pablos et al., 2022; Inamorato dos Santos et al., 2023). In the Vietnamese context, studies on university lecturers similarly indicate uneven competence profiles, with digital assessment, learning analytics, and advanced resource design remaining persistent </w:t>
      </w:r>
      <w:r w:rsidRPr="002815BF">
        <w:rPr>
          <w:highlight w:val="yellow"/>
        </w:rPr>
        <w:lastRenderedPageBreak/>
        <w:t>gaps (Dang et al., 2024; Nguyen et al., 2024; Nguyen &amp; Le, 2024). These findings are relevant to the present study because they suggest that the key problem is not whether lecturers use technology, but whether they can integrate it meaningfully into pedagogy, assessment, research, and learner support.</w:t>
      </w:r>
    </w:p>
    <w:p w14:paraId="5F663F97" w14:textId="77777777" w:rsidR="002815BF" w:rsidRDefault="002815BF" w:rsidP="002815BF">
      <w:pPr>
        <w:shd w:val="clear" w:color="auto" w:fill="FFFFFF" w:themeFill="background1"/>
        <w:spacing w:after="0" w:line="240" w:lineRule="auto"/>
        <w:ind w:firstLine="432"/>
        <w:jc w:val="both"/>
      </w:pPr>
      <w:r w:rsidRPr="002815BF">
        <w:rPr>
          <w:highlight w:val="yellow"/>
        </w:rPr>
        <w:t xml:space="preserve">In physical education and sports, the literature also emphasizes the subject-specific nature of digital competence. Wallace et al. (2023) show that digital technology in physical education must be examined through both teacher and learner perspectives, particularly because technology use is linked to movement observation, feedback, motivation, and embodied learning. This view is consistent with broader digital-education policy debates that call for institutional ecosystems, human capacity development, ethical safeguards, and responsible AI use rather than isolated tool adoption (European Commission, 2020; Miao &amp; Holmes, 2023; OECD, 2023; </w:t>
      </w:r>
      <w:proofErr w:type="spellStart"/>
      <w:r w:rsidRPr="002815BF">
        <w:rPr>
          <w:highlight w:val="yellow"/>
        </w:rPr>
        <w:t>Vuorikari</w:t>
      </w:r>
      <w:proofErr w:type="spellEnd"/>
      <w:r w:rsidRPr="002815BF">
        <w:rPr>
          <w:highlight w:val="yellow"/>
        </w:rPr>
        <w:t xml:space="preserve"> et al., 2022). Therefore, assessing digital competence in a sports university requires attention to both general lecturer competence and the distinctive requirements of practical, technique-based, and performance-oriented teaching.</w:t>
      </w:r>
    </w:p>
    <w:p w14:paraId="70A27CF0" w14:textId="77777777" w:rsidR="002815BF" w:rsidRDefault="001E24BB" w:rsidP="002815B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In this study, the digital competence of lecturers at </w:t>
      </w:r>
      <w:r w:rsidR="00EA7AFF" w:rsidRPr="00FF4E0D">
        <w:rPr>
          <w:rFonts w:cs="Times New Roman"/>
          <w:szCs w:val="24"/>
        </w:rPr>
        <w:t>Da Nang Sports University</w:t>
      </w:r>
      <w:r w:rsidRPr="00FF4E0D">
        <w:rPr>
          <w:rFonts w:cs="Times New Roman"/>
          <w:szCs w:val="24"/>
        </w:rPr>
        <w:t xml:space="preserve"> is approached by selectively inheriting international competence frameworks while adapting them to the specific characteristics of the physical education and sports field. Training in physical education and sports combines theoretical teaching, technical practice, motor coaching, movement observation, and assessment of learners’ training outcomes. Therefore, in addition to universal digital competences, lecturers need to be able to use videos, visual learning resources, software for technical analysis, tools for managing training processes, and technology-enabled forms of practical assessment. On this basis, the article uses an assessment framework consisting of seven competence domains: basic digital technology use at work; design and use of digital learning resources; organization of teaching activities in digital environments; learner assessment using digital technology; communication, collaboration, and learner support in digital environments; professional development and research in digital environments; and digital safety, ethics, and responsibility. Each competence domain is specified into observed variables measured on a five-point Likert scale. This design allows digital competence to be assessed by component rather than merely offering a general judgment about lecturers’ level of technology use.</w:t>
      </w:r>
    </w:p>
    <w:p w14:paraId="249FF169" w14:textId="77777777" w:rsidR="002815BF" w:rsidRDefault="002815BF" w:rsidP="002815BF">
      <w:pPr>
        <w:shd w:val="clear" w:color="auto" w:fill="FFFFFF" w:themeFill="background1"/>
        <w:spacing w:after="0" w:line="240" w:lineRule="auto"/>
        <w:ind w:firstLine="432"/>
        <w:jc w:val="both"/>
        <w:rPr>
          <w:highlight w:val="yellow"/>
        </w:rPr>
      </w:pPr>
      <w:r w:rsidRPr="002815BF">
        <w:rPr>
          <w:highlight w:val="yellow"/>
        </w:rPr>
        <w:t>The study used a cross-sectional descriptive quantitative design, supplemented by open-ended responses to support the interpretation of findings and the formulation of solutions. The survey respondents were lecturers currently working and teaching at Da Nang Sports University. The questionnaire was developed from established digital-competence frameworks for educators and adapted to the distinctive features of physical education and sports training. It consisted of four sections: respondents’ general information; lecturers’ digital competence; factors affecting digital competence; and training needs and proposed solutions. The digital competence scale included 28 observed variables across seven competence domains, measured on a five-point Likert scale. Data were processed using descriptive statistics, including frequency, percentage, mean, and standard deviation. The reliability of the scale was tested using Cronbach’s Alpha. Where appropriate, mean scores could be compared across lecturer groups by age, academic qualification, teaching seniority, and course characteristics. Digital competence levels were classified by mean score as follows: 1.00-1.80 = very low; 1.81-2.60 = low; 2.61-3.40 = average; 3.41-4.20 = good; and 4.21-5.00 = very good. This processing strategy is suitable for the study’s objective because it identifies stronger competence domains, weaker domains, and priority areas for professional development without overextending the analysis beyond the available sample size.</w:t>
      </w:r>
    </w:p>
    <w:p w14:paraId="26FD041D" w14:textId="77777777" w:rsidR="002815BF" w:rsidRPr="002815BF" w:rsidRDefault="002815BF" w:rsidP="002815BF">
      <w:pPr>
        <w:shd w:val="clear" w:color="auto" w:fill="FFFFFF" w:themeFill="background1"/>
        <w:spacing w:after="0" w:line="240" w:lineRule="auto"/>
        <w:ind w:firstLine="432"/>
        <w:jc w:val="both"/>
        <w:rPr>
          <w:bCs/>
        </w:rPr>
      </w:pPr>
      <w:r w:rsidRPr="002815BF">
        <w:rPr>
          <w:bCs/>
          <w:highlight w:val="yellow"/>
        </w:rPr>
        <w:t>The study involved a voluntary questionnaire survey of lecturers and did not collect sensitive personal information. Respondents were informed about the academic purpose of the study, and their responses were treated anonymously and used only for aggregated statistical analysis. Participation was voluntary, and no individual lecturer was identified in the reporting of results. These procedures were adopted to ensure confidentiality, minimize potential risks, and meet basic ethical requirements for survey-based educational research.</w:t>
      </w:r>
    </w:p>
    <w:p w14:paraId="5393A480" w14:textId="77777777" w:rsidR="006027D5" w:rsidRPr="00FF4E0D" w:rsidRDefault="001E24BB" w:rsidP="00EA7AFF">
      <w:pPr>
        <w:pStyle w:val="Heading1"/>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lastRenderedPageBreak/>
        <w:t>3. Research Results</w:t>
      </w:r>
      <w:r w:rsidR="002F2EA1">
        <w:rPr>
          <w:rFonts w:ascii="Times New Roman" w:eastAsia="Times New Roman" w:hAnsi="Times New Roman" w:cs="Times New Roman"/>
          <w:color w:val="auto"/>
          <w:sz w:val="24"/>
          <w:szCs w:val="24"/>
        </w:rPr>
        <w:t xml:space="preserve"> &amp; Discussion</w:t>
      </w:r>
    </w:p>
    <w:p w14:paraId="621AA5C7" w14:textId="77777777" w:rsidR="006027D5" w:rsidRPr="00FF4E0D" w:rsidRDefault="001E24BB" w:rsidP="00EA7AFF">
      <w:pPr>
        <w:pStyle w:val="Heading2"/>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 xml:space="preserve">3.1. Current Status of Digital Competence among Lecturers at </w:t>
      </w:r>
      <w:r w:rsidR="00EA7AFF" w:rsidRPr="00FF4E0D">
        <w:rPr>
          <w:rFonts w:ascii="Times New Roman" w:eastAsia="Times New Roman" w:hAnsi="Times New Roman" w:cs="Times New Roman"/>
          <w:color w:val="auto"/>
          <w:sz w:val="24"/>
          <w:szCs w:val="24"/>
        </w:rPr>
        <w:t>Da Nang Sports</w:t>
      </w:r>
      <w:r w:rsidR="00EA7AFF" w:rsidRPr="00FF4E0D">
        <w:rPr>
          <w:rFonts w:ascii="Times New Roman" w:hAnsi="Times New Roman" w:cs="Times New Roman"/>
          <w:color w:val="auto"/>
          <w:szCs w:val="24"/>
        </w:rPr>
        <w:t xml:space="preserve"> </w:t>
      </w:r>
      <w:r w:rsidR="00EA7AFF" w:rsidRPr="00FF4E0D">
        <w:rPr>
          <w:rFonts w:ascii="Times New Roman" w:eastAsia="Times New Roman" w:hAnsi="Times New Roman" w:cs="Times New Roman"/>
          <w:color w:val="auto"/>
          <w:sz w:val="24"/>
          <w:szCs w:val="24"/>
        </w:rPr>
        <w:t>University</w:t>
      </w:r>
      <w:r w:rsidRPr="00FF4E0D">
        <w:rPr>
          <w:rFonts w:ascii="Times New Roman" w:eastAsia="Times New Roman" w:hAnsi="Times New Roman" w:cs="Times New Roman"/>
          <w:color w:val="auto"/>
          <w:sz w:val="24"/>
          <w:szCs w:val="24"/>
        </w:rPr>
        <w:t>, Vietnam</w:t>
      </w:r>
    </w:p>
    <w:p w14:paraId="3356B6FC"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study was conducted based on 86 valid survey responses collected from lecturers currently working and teaching at </w:t>
      </w:r>
      <w:r w:rsidR="00EA7AFF" w:rsidRPr="00FF4E0D">
        <w:rPr>
          <w:rFonts w:cs="Times New Roman"/>
          <w:szCs w:val="24"/>
        </w:rPr>
        <w:t>Da Nang Sports University</w:t>
      </w:r>
      <w:r w:rsidRPr="00FF4E0D">
        <w:rPr>
          <w:rFonts w:cs="Times New Roman"/>
          <w:szCs w:val="24"/>
        </w:rPr>
        <w:t xml:space="preserve">. The sample distribution was relatively consistent with the characteristics of the university’s lecturer workforce: males accounted for 57.0% and females for 43.0%; the age group from 40 to under 50 represented the largest proportion, at 39.5%; most lecturers held a master’s degree, at 74.4%; and the group with 10 to under 20 years of teaching experience accounted for 45.3%. Regarding teaching characteristics, lecturers in charge of practical courses accounted for 45.3%, those teaching both theory and practice accounted for 34.9%, and those mainly teaching theoretical courses accounted for 19.8%. These results clearly reflect the training characteristics of </w:t>
      </w:r>
      <w:r w:rsidR="00EA7AFF" w:rsidRPr="00FF4E0D">
        <w:rPr>
          <w:rFonts w:cs="Times New Roman"/>
          <w:szCs w:val="24"/>
        </w:rPr>
        <w:t>Da Nang Sports University</w:t>
      </w:r>
      <w:r w:rsidRPr="00FF4E0D">
        <w:rPr>
          <w:rFonts w:cs="Times New Roman"/>
          <w:szCs w:val="24"/>
        </w:rPr>
        <w:t>, where teaching activities are closely linked to technical practice, motor coaching, and physical competence assessment. Notably, only 45.3% of lecturers reported that they frequently or very frequently use digital technology in teaching, while the remaining 54.6% use it occasionally, rarely, or almost never. This indicates that the application of digital technology among lecturers has a certain foundation but is not yet truly consistent.</w:t>
      </w:r>
    </w:p>
    <w:p w14:paraId="20B6A669"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Before analyzing the current status of digital competence, the reliability of the scale was tested using Cronbach’s Alpha. The test results show that all scale domains achieved acceptable reliability, with Cronbach’s Alpha coefficients ranging from 0.748 to 0.821. The Cronbach’s Alpha coefficient for the entire scale was 0.908, indicating that the scale has good reliability for use in subsequent analyses.</w:t>
      </w:r>
    </w:p>
    <w:p w14:paraId="1A1ABADA"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1. Reliability Test Results for the Digital Competence Scale</w:t>
      </w:r>
    </w:p>
    <w:tbl>
      <w:tblPr>
        <w:tblStyle w:val="TableGrid"/>
        <w:tblW w:w="0" w:type="auto"/>
        <w:tblLook w:val="04A0" w:firstRow="1" w:lastRow="0" w:firstColumn="1" w:lastColumn="0" w:noHBand="0" w:noVBand="1"/>
      </w:tblPr>
      <w:tblGrid>
        <w:gridCol w:w="4071"/>
        <w:gridCol w:w="2125"/>
        <w:gridCol w:w="2124"/>
        <w:gridCol w:w="1462"/>
      </w:tblGrid>
      <w:tr w:rsidR="00FF4E0D" w:rsidRPr="00FF4E0D" w14:paraId="75A899AA" w14:textId="77777777" w:rsidTr="00EA7AFF">
        <w:tc>
          <w:tcPr>
            <w:tcW w:w="4077" w:type="dxa"/>
            <w:vAlign w:val="center"/>
          </w:tcPr>
          <w:p w14:paraId="0E7EF33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Competence domain</w:t>
            </w:r>
          </w:p>
        </w:tc>
        <w:tc>
          <w:tcPr>
            <w:tcW w:w="2127" w:type="dxa"/>
            <w:vAlign w:val="center"/>
          </w:tcPr>
          <w:p w14:paraId="374583C3"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Number of observed variables</w:t>
            </w:r>
          </w:p>
        </w:tc>
        <w:tc>
          <w:tcPr>
            <w:tcW w:w="2126" w:type="dxa"/>
            <w:vAlign w:val="center"/>
          </w:tcPr>
          <w:p w14:paraId="00DC9035"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Cronbach’s Alpha</w:t>
            </w:r>
          </w:p>
        </w:tc>
        <w:tc>
          <w:tcPr>
            <w:tcW w:w="1462" w:type="dxa"/>
            <w:vAlign w:val="center"/>
          </w:tcPr>
          <w:p w14:paraId="2894F5DB"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Conclusion</w:t>
            </w:r>
          </w:p>
        </w:tc>
      </w:tr>
      <w:tr w:rsidR="00FF4E0D" w:rsidRPr="00FF4E0D" w14:paraId="43AC6C11" w14:textId="77777777" w:rsidTr="00EA7AFF">
        <w:tc>
          <w:tcPr>
            <w:tcW w:w="4077" w:type="dxa"/>
          </w:tcPr>
          <w:p w14:paraId="601C028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Basic digital technology use at work</w:t>
            </w:r>
          </w:p>
        </w:tc>
        <w:tc>
          <w:tcPr>
            <w:tcW w:w="2127" w:type="dxa"/>
            <w:vAlign w:val="center"/>
          </w:tcPr>
          <w:p w14:paraId="2D9B0A7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2FEDE50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0.774</w:t>
            </w:r>
          </w:p>
        </w:tc>
        <w:tc>
          <w:tcPr>
            <w:tcW w:w="1462" w:type="dxa"/>
            <w:vAlign w:val="center"/>
          </w:tcPr>
          <w:p w14:paraId="547911C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055B7504" w14:textId="77777777" w:rsidTr="00EA7AFF">
        <w:tc>
          <w:tcPr>
            <w:tcW w:w="4077" w:type="dxa"/>
          </w:tcPr>
          <w:p w14:paraId="48BAA16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Design and use of digital learning resources</w:t>
            </w:r>
          </w:p>
        </w:tc>
        <w:tc>
          <w:tcPr>
            <w:tcW w:w="2127" w:type="dxa"/>
            <w:vAlign w:val="center"/>
          </w:tcPr>
          <w:p w14:paraId="3ACF462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3CC366E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0.821</w:t>
            </w:r>
          </w:p>
        </w:tc>
        <w:tc>
          <w:tcPr>
            <w:tcW w:w="1462" w:type="dxa"/>
            <w:vAlign w:val="center"/>
          </w:tcPr>
          <w:p w14:paraId="2F4F040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3FBF6CD3" w14:textId="77777777" w:rsidTr="00EA7AFF">
        <w:tc>
          <w:tcPr>
            <w:tcW w:w="4077" w:type="dxa"/>
          </w:tcPr>
          <w:p w14:paraId="20A4CB75"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Organization of teaching activities in digital environments</w:t>
            </w:r>
          </w:p>
        </w:tc>
        <w:tc>
          <w:tcPr>
            <w:tcW w:w="2127" w:type="dxa"/>
            <w:vAlign w:val="center"/>
          </w:tcPr>
          <w:p w14:paraId="6D1E196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36C14C5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0.796</w:t>
            </w:r>
          </w:p>
        </w:tc>
        <w:tc>
          <w:tcPr>
            <w:tcW w:w="1462" w:type="dxa"/>
            <w:vAlign w:val="center"/>
          </w:tcPr>
          <w:p w14:paraId="309ADA8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2340D633" w14:textId="77777777" w:rsidTr="00EA7AFF">
        <w:tc>
          <w:tcPr>
            <w:tcW w:w="4077" w:type="dxa"/>
          </w:tcPr>
          <w:p w14:paraId="2DBEC26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Learner assessment using digital technology</w:t>
            </w:r>
          </w:p>
        </w:tc>
        <w:tc>
          <w:tcPr>
            <w:tcW w:w="2127" w:type="dxa"/>
            <w:vAlign w:val="center"/>
          </w:tcPr>
          <w:p w14:paraId="0A35BF6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4AFC397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0.748</w:t>
            </w:r>
          </w:p>
        </w:tc>
        <w:tc>
          <w:tcPr>
            <w:tcW w:w="1462" w:type="dxa"/>
            <w:vAlign w:val="center"/>
          </w:tcPr>
          <w:p w14:paraId="493577C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7B03D69F" w14:textId="77777777" w:rsidTr="00EA7AFF">
        <w:tc>
          <w:tcPr>
            <w:tcW w:w="4077" w:type="dxa"/>
          </w:tcPr>
          <w:p w14:paraId="0966324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Communication, collaboration, and learner support in digital environments</w:t>
            </w:r>
          </w:p>
        </w:tc>
        <w:tc>
          <w:tcPr>
            <w:tcW w:w="2127" w:type="dxa"/>
            <w:vAlign w:val="center"/>
          </w:tcPr>
          <w:p w14:paraId="30A2A54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6AAB817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0.802</w:t>
            </w:r>
          </w:p>
        </w:tc>
        <w:tc>
          <w:tcPr>
            <w:tcW w:w="1462" w:type="dxa"/>
            <w:vAlign w:val="center"/>
          </w:tcPr>
          <w:p w14:paraId="50918E1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5FCF1A98" w14:textId="77777777" w:rsidTr="00EA7AFF">
        <w:tc>
          <w:tcPr>
            <w:tcW w:w="4077" w:type="dxa"/>
          </w:tcPr>
          <w:p w14:paraId="5D4D97A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Professional development and research in digital environments</w:t>
            </w:r>
          </w:p>
        </w:tc>
        <w:tc>
          <w:tcPr>
            <w:tcW w:w="2127" w:type="dxa"/>
            <w:vAlign w:val="center"/>
          </w:tcPr>
          <w:p w14:paraId="04BFF8A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53B2D25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0.783</w:t>
            </w:r>
          </w:p>
        </w:tc>
        <w:tc>
          <w:tcPr>
            <w:tcW w:w="1462" w:type="dxa"/>
            <w:vAlign w:val="center"/>
          </w:tcPr>
          <w:p w14:paraId="0E3D46B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4723DC36" w14:textId="77777777" w:rsidTr="00EA7AFF">
        <w:tc>
          <w:tcPr>
            <w:tcW w:w="4077" w:type="dxa"/>
          </w:tcPr>
          <w:p w14:paraId="273C2EE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Digital safety, ethics, and responsibility</w:t>
            </w:r>
          </w:p>
        </w:tc>
        <w:tc>
          <w:tcPr>
            <w:tcW w:w="2127" w:type="dxa"/>
            <w:vAlign w:val="center"/>
          </w:tcPr>
          <w:p w14:paraId="4AE1480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4</w:t>
            </w:r>
          </w:p>
        </w:tc>
        <w:tc>
          <w:tcPr>
            <w:tcW w:w="2126" w:type="dxa"/>
            <w:vAlign w:val="center"/>
          </w:tcPr>
          <w:p w14:paraId="3F9475F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0.759</w:t>
            </w:r>
          </w:p>
        </w:tc>
        <w:tc>
          <w:tcPr>
            <w:tcW w:w="1462" w:type="dxa"/>
            <w:vAlign w:val="center"/>
          </w:tcPr>
          <w:p w14:paraId="3D7EDE5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r w:rsidR="00FF4E0D" w:rsidRPr="00FF4E0D" w14:paraId="110EABDB" w14:textId="77777777" w:rsidTr="00EA7AFF">
        <w:tc>
          <w:tcPr>
            <w:tcW w:w="4077" w:type="dxa"/>
          </w:tcPr>
          <w:p w14:paraId="45C3D716"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Entire scale</w:t>
            </w:r>
          </w:p>
        </w:tc>
        <w:tc>
          <w:tcPr>
            <w:tcW w:w="2127" w:type="dxa"/>
            <w:vAlign w:val="center"/>
          </w:tcPr>
          <w:p w14:paraId="051F4E2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28</w:t>
            </w:r>
          </w:p>
        </w:tc>
        <w:tc>
          <w:tcPr>
            <w:tcW w:w="2126" w:type="dxa"/>
            <w:vAlign w:val="center"/>
          </w:tcPr>
          <w:p w14:paraId="1D06A60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0.908</w:t>
            </w:r>
          </w:p>
        </w:tc>
        <w:tc>
          <w:tcPr>
            <w:tcW w:w="1462" w:type="dxa"/>
            <w:vAlign w:val="center"/>
          </w:tcPr>
          <w:p w14:paraId="231C55A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Accepted</w:t>
            </w:r>
          </w:p>
        </w:tc>
      </w:tr>
    </w:tbl>
    <w:p w14:paraId="7AE3AF45" w14:textId="77777777" w:rsidR="006027D5" w:rsidRPr="00FF4E0D" w:rsidRDefault="006027D5" w:rsidP="00EA7AFF">
      <w:pPr>
        <w:shd w:val="clear" w:color="auto" w:fill="FFFFFF" w:themeFill="background1"/>
        <w:spacing w:after="0" w:line="240" w:lineRule="auto"/>
        <w:rPr>
          <w:rFonts w:cs="Times New Roman"/>
          <w:szCs w:val="24"/>
        </w:rPr>
      </w:pPr>
    </w:p>
    <w:p w14:paraId="0BC7EB8C"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results in Table 1 show that the digital competence scale has a relatively stable structure. The “design and use of digital learning resources” domain had the highest Cronbach’s Alpha coefficient, at 0.821, whereas the “learner assessment using digital technology” domain had the lowest coefficient, at 0.748, but still remained within the acceptable threshold. Thus, all 28 observed variables across the seven competence domains can be used to analyze the current status of digital competence among lecturers at </w:t>
      </w:r>
      <w:r w:rsidR="00EA7AFF" w:rsidRPr="00FF4E0D">
        <w:rPr>
          <w:rFonts w:cs="Times New Roman"/>
          <w:szCs w:val="24"/>
        </w:rPr>
        <w:t>Da Nang Sports University</w:t>
      </w:r>
      <w:r w:rsidRPr="00FF4E0D">
        <w:rPr>
          <w:rFonts w:cs="Times New Roman"/>
          <w:szCs w:val="24"/>
        </w:rPr>
        <w:t>.</w:t>
      </w:r>
    </w:p>
    <w:p w14:paraId="0FA4088B"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2. Descriptive Statistics for Basic Digital Technology Use at Work</w:t>
      </w:r>
    </w:p>
    <w:tbl>
      <w:tblPr>
        <w:tblStyle w:val="TableGrid"/>
        <w:tblW w:w="0" w:type="auto"/>
        <w:tblLook w:val="04A0" w:firstRow="1" w:lastRow="0" w:firstColumn="1" w:lastColumn="0" w:noHBand="0" w:noVBand="1"/>
      </w:tblPr>
      <w:tblGrid>
        <w:gridCol w:w="4923"/>
        <w:gridCol w:w="1275"/>
        <w:gridCol w:w="1133"/>
        <w:gridCol w:w="1133"/>
        <w:gridCol w:w="1318"/>
      </w:tblGrid>
      <w:tr w:rsidR="00FF4E0D" w:rsidRPr="00FF4E0D" w14:paraId="2E2C3743" w14:textId="77777777" w:rsidTr="00EA7AFF">
        <w:tc>
          <w:tcPr>
            <w:tcW w:w="4928" w:type="dxa"/>
            <w:vAlign w:val="center"/>
          </w:tcPr>
          <w:p w14:paraId="22E87631"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276" w:type="dxa"/>
            <w:vAlign w:val="center"/>
          </w:tcPr>
          <w:p w14:paraId="4B0B0A65"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134" w:type="dxa"/>
            <w:vAlign w:val="center"/>
          </w:tcPr>
          <w:p w14:paraId="019AA14F"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134" w:type="dxa"/>
            <w:vAlign w:val="center"/>
          </w:tcPr>
          <w:p w14:paraId="242AF44C"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318" w:type="dxa"/>
            <w:vAlign w:val="center"/>
          </w:tcPr>
          <w:p w14:paraId="1EEABB9D"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033EBAB1" w14:textId="77777777" w:rsidTr="00EA7AFF">
        <w:tc>
          <w:tcPr>
            <w:tcW w:w="4928" w:type="dxa"/>
          </w:tcPr>
          <w:p w14:paraId="7150D087"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lastRenderedPageBreak/>
              <w:t>DC1.1. Using basic digital devices in teaching work</w:t>
            </w:r>
          </w:p>
        </w:tc>
        <w:tc>
          <w:tcPr>
            <w:tcW w:w="1276" w:type="dxa"/>
            <w:vAlign w:val="center"/>
          </w:tcPr>
          <w:p w14:paraId="445CC2A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134" w:type="dxa"/>
            <w:vAlign w:val="center"/>
          </w:tcPr>
          <w:p w14:paraId="35A4E07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134" w:type="dxa"/>
            <w:vAlign w:val="center"/>
          </w:tcPr>
          <w:p w14:paraId="114497A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3.89</w:t>
            </w:r>
          </w:p>
        </w:tc>
        <w:tc>
          <w:tcPr>
            <w:tcW w:w="1318" w:type="dxa"/>
            <w:vAlign w:val="center"/>
          </w:tcPr>
          <w:p w14:paraId="0F7B2B7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0.81</w:t>
            </w:r>
          </w:p>
        </w:tc>
      </w:tr>
      <w:tr w:rsidR="00FF4E0D" w:rsidRPr="00FF4E0D" w14:paraId="13DE0670" w14:textId="77777777" w:rsidTr="00EA7AFF">
        <w:tc>
          <w:tcPr>
            <w:tcW w:w="4928" w:type="dxa"/>
          </w:tcPr>
          <w:p w14:paraId="188CB899"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DC1.2. Using office software for teaching and learning management</w:t>
            </w:r>
          </w:p>
        </w:tc>
        <w:tc>
          <w:tcPr>
            <w:tcW w:w="1276" w:type="dxa"/>
            <w:vAlign w:val="center"/>
          </w:tcPr>
          <w:p w14:paraId="6992841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134" w:type="dxa"/>
            <w:vAlign w:val="center"/>
          </w:tcPr>
          <w:p w14:paraId="34E1AA1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134" w:type="dxa"/>
            <w:vAlign w:val="center"/>
          </w:tcPr>
          <w:p w14:paraId="5047F2E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3.78</w:t>
            </w:r>
          </w:p>
        </w:tc>
        <w:tc>
          <w:tcPr>
            <w:tcW w:w="1318" w:type="dxa"/>
            <w:vAlign w:val="center"/>
          </w:tcPr>
          <w:p w14:paraId="733D5B2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0.76</w:t>
            </w:r>
          </w:p>
        </w:tc>
      </w:tr>
      <w:tr w:rsidR="00FF4E0D" w:rsidRPr="00FF4E0D" w14:paraId="1800C3C0" w14:textId="77777777" w:rsidTr="00EA7AFF">
        <w:tc>
          <w:tcPr>
            <w:tcW w:w="4928" w:type="dxa"/>
          </w:tcPr>
          <w:p w14:paraId="47A9BD7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DC1.3. Searching, selecting, and storing digital materials for professional purposes</w:t>
            </w:r>
          </w:p>
        </w:tc>
        <w:tc>
          <w:tcPr>
            <w:tcW w:w="1276" w:type="dxa"/>
            <w:vAlign w:val="center"/>
          </w:tcPr>
          <w:p w14:paraId="55D77D9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134" w:type="dxa"/>
            <w:vAlign w:val="center"/>
          </w:tcPr>
          <w:p w14:paraId="46F8E1A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134" w:type="dxa"/>
            <w:vAlign w:val="center"/>
          </w:tcPr>
          <w:p w14:paraId="54F532B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3.55</w:t>
            </w:r>
          </w:p>
        </w:tc>
        <w:tc>
          <w:tcPr>
            <w:tcW w:w="1318" w:type="dxa"/>
            <w:vAlign w:val="center"/>
          </w:tcPr>
          <w:p w14:paraId="5DA82E3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0.88</w:t>
            </w:r>
          </w:p>
        </w:tc>
      </w:tr>
      <w:tr w:rsidR="00FF4E0D" w:rsidRPr="00FF4E0D" w14:paraId="031DBD6D" w14:textId="77777777" w:rsidTr="00EA7AFF">
        <w:tc>
          <w:tcPr>
            <w:tcW w:w="4928" w:type="dxa"/>
          </w:tcPr>
          <w:p w14:paraId="70626E32"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DC1.4. Using online platforms in professional work</w:t>
            </w:r>
          </w:p>
        </w:tc>
        <w:tc>
          <w:tcPr>
            <w:tcW w:w="1276" w:type="dxa"/>
            <w:vAlign w:val="center"/>
          </w:tcPr>
          <w:p w14:paraId="0B2A5F0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134" w:type="dxa"/>
            <w:vAlign w:val="center"/>
          </w:tcPr>
          <w:p w14:paraId="738BD0D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134" w:type="dxa"/>
            <w:vAlign w:val="center"/>
          </w:tcPr>
          <w:p w14:paraId="55D72D9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3.58</w:t>
            </w:r>
          </w:p>
        </w:tc>
        <w:tc>
          <w:tcPr>
            <w:tcW w:w="1318" w:type="dxa"/>
            <w:vAlign w:val="center"/>
          </w:tcPr>
          <w:p w14:paraId="3AFC7B9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0.84</w:t>
            </w:r>
          </w:p>
        </w:tc>
      </w:tr>
    </w:tbl>
    <w:p w14:paraId="26F8BE37" w14:textId="77777777" w:rsidR="006027D5" w:rsidRPr="00FF4E0D" w:rsidRDefault="006027D5" w:rsidP="00EA7AFF">
      <w:pPr>
        <w:shd w:val="clear" w:color="auto" w:fill="FFFFFF" w:themeFill="background1"/>
        <w:spacing w:after="0" w:line="240" w:lineRule="auto"/>
        <w:rPr>
          <w:rFonts w:cs="Times New Roman"/>
          <w:szCs w:val="24"/>
        </w:rPr>
      </w:pPr>
    </w:p>
    <w:p w14:paraId="2FA5FFA1"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The results show that lecturers’ competence in basic digital technology use at work reached the good level in most observed variables. DC1.1 recorded the highest mean score, with Mean = 3.89, reflecting that lecturers are relatively familiar with basic digital devices such as computers, smartphones, projectors, cameras, or presentation devices. DC1.2 also reached the good level, with Mean = 3.78, indicating that office software is widely used in teaching, lesson preparation, grade management, and professional tasks. However, DC1.3 and DC1.4 had lower mean scores, at 3.55 and 3.58 respectively. This suggests that the ability to exploit, select, and store digital materials and to use online platforms has been formed but remains uneven.</w:t>
      </w:r>
    </w:p>
    <w:p w14:paraId="0E4C7E16"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3. Descriptive Statistics for the Design and Use of Digital Learning Resources</w:t>
      </w:r>
    </w:p>
    <w:tbl>
      <w:tblPr>
        <w:tblStyle w:val="TableGrid"/>
        <w:tblW w:w="0" w:type="auto"/>
        <w:tblLook w:val="04A0" w:firstRow="1" w:lastRow="0" w:firstColumn="1" w:lastColumn="0" w:noHBand="0" w:noVBand="1"/>
      </w:tblPr>
      <w:tblGrid>
        <w:gridCol w:w="4356"/>
        <w:gridCol w:w="1416"/>
        <w:gridCol w:w="1275"/>
        <w:gridCol w:w="1417"/>
        <w:gridCol w:w="1318"/>
      </w:tblGrid>
      <w:tr w:rsidR="00FF4E0D" w:rsidRPr="00FF4E0D" w14:paraId="00F9A50B" w14:textId="77777777" w:rsidTr="00EA7AFF">
        <w:tc>
          <w:tcPr>
            <w:tcW w:w="4361" w:type="dxa"/>
            <w:vAlign w:val="center"/>
          </w:tcPr>
          <w:p w14:paraId="278DC71E"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7" w:type="dxa"/>
            <w:vAlign w:val="center"/>
          </w:tcPr>
          <w:p w14:paraId="051C9B6D"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276" w:type="dxa"/>
            <w:vAlign w:val="center"/>
          </w:tcPr>
          <w:p w14:paraId="358349B0"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418" w:type="dxa"/>
            <w:vAlign w:val="center"/>
          </w:tcPr>
          <w:p w14:paraId="08AEBB6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318" w:type="dxa"/>
            <w:vAlign w:val="center"/>
          </w:tcPr>
          <w:p w14:paraId="32584FC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6D4695E0" w14:textId="77777777" w:rsidTr="00EA7AFF">
        <w:tc>
          <w:tcPr>
            <w:tcW w:w="4361" w:type="dxa"/>
          </w:tcPr>
          <w:p w14:paraId="043D545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DC2.1. Designing electronic lectures with images, audio, video, or interactive learning resources</w:t>
            </w:r>
          </w:p>
        </w:tc>
        <w:tc>
          <w:tcPr>
            <w:tcW w:w="1417" w:type="dxa"/>
            <w:vAlign w:val="center"/>
          </w:tcPr>
          <w:p w14:paraId="3FDA448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6" w:type="dxa"/>
            <w:vAlign w:val="center"/>
          </w:tcPr>
          <w:p w14:paraId="3384FFF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105BA0E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3.46</w:t>
            </w:r>
          </w:p>
        </w:tc>
        <w:tc>
          <w:tcPr>
            <w:tcW w:w="1318" w:type="dxa"/>
            <w:vAlign w:val="center"/>
          </w:tcPr>
          <w:p w14:paraId="2638D4C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0.87</w:t>
            </w:r>
          </w:p>
        </w:tc>
      </w:tr>
      <w:tr w:rsidR="00FF4E0D" w:rsidRPr="00FF4E0D" w14:paraId="756F00E0" w14:textId="77777777" w:rsidTr="00EA7AFF">
        <w:tc>
          <w:tcPr>
            <w:tcW w:w="4361" w:type="dxa"/>
          </w:tcPr>
          <w:p w14:paraId="47F0A132"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DC2.2. Developing or editing digital learning materials for students</w:t>
            </w:r>
          </w:p>
        </w:tc>
        <w:tc>
          <w:tcPr>
            <w:tcW w:w="1417" w:type="dxa"/>
            <w:vAlign w:val="center"/>
          </w:tcPr>
          <w:p w14:paraId="7564C78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6" w:type="dxa"/>
            <w:vAlign w:val="center"/>
          </w:tcPr>
          <w:p w14:paraId="3646F05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5A7E137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3.28</w:t>
            </w:r>
          </w:p>
        </w:tc>
        <w:tc>
          <w:tcPr>
            <w:tcW w:w="1318" w:type="dxa"/>
            <w:vAlign w:val="center"/>
          </w:tcPr>
          <w:p w14:paraId="31BE87D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0.91</w:t>
            </w:r>
          </w:p>
        </w:tc>
      </w:tr>
      <w:tr w:rsidR="00FF4E0D" w:rsidRPr="00FF4E0D" w14:paraId="0965D1BE" w14:textId="77777777" w:rsidTr="00EA7AFF">
        <w:tc>
          <w:tcPr>
            <w:tcW w:w="4361" w:type="dxa"/>
          </w:tcPr>
          <w:p w14:paraId="3E81782D"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DC2.3. Using videos, images, or software to illustrate techniques and practical movements</w:t>
            </w:r>
          </w:p>
        </w:tc>
        <w:tc>
          <w:tcPr>
            <w:tcW w:w="1417" w:type="dxa"/>
            <w:vAlign w:val="center"/>
          </w:tcPr>
          <w:p w14:paraId="07EC384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6" w:type="dxa"/>
            <w:vAlign w:val="center"/>
          </w:tcPr>
          <w:p w14:paraId="0C37E52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575E7EC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3.18</w:t>
            </w:r>
          </w:p>
        </w:tc>
        <w:tc>
          <w:tcPr>
            <w:tcW w:w="1318" w:type="dxa"/>
            <w:vAlign w:val="center"/>
          </w:tcPr>
          <w:p w14:paraId="5F31826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0.95</w:t>
            </w:r>
          </w:p>
        </w:tc>
      </w:tr>
      <w:tr w:rsidR="00FF4E0D" w:rsidRPr="00FF4E0D" w14:paraId="446A2B30" w14:textId="77777777" w:rsidTr="00EA7AFF">
        <w:tc>
          <w:tcPr>
            <w:tcW w:w="4361" w:type="dxa"/>
          </w:tcPr>
          <w:p w14:paraId="222C0B57"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DC2.4. Selecting digital learning resources appropriate to course objectives and characteristics</w:t>
            </w:r>
          </w:p>
        </w:tc>
        <w:tc>
          <w:tcPr>
            <w:tcW w:w="1417" w:type="dxa"/>
            <w:vAlign w:val="center"/>
          </w:tcPr>
          <w:p w14:paraId="0EBBCD9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276" w:type="dxa"/>
            <w:vAlign w:val="center"/>
          </w:tcPr>
          <w:p w14:paraId="55CBE50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0A1E84C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3.33</w:t>
            </w:r>
          </w:p>
        </w:tc>
        <w:tc>
          <w:tcPr>
            <w:tcW w:w="1318" w:type="dxa"/>
            <w:vAlign w:val="center"/>
          </w:tcPr>
          <w:p w14:paraId="4FD89F7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0.82</w:t>
            </w:r>
          </w:p>
        </w:tc>
      </w:tr>
    </w:tbl>
    <w:p w14:paraId="3807A88E" w14:textId="77777777" w:rsidR="006027D5" w:rsidRPr="00FF4E0D" w:rsidRDefault="006027D5" w:rsidP="00EA7AFF">
      <w:pPr>
        <w:shd w:val="clear" w:color="auto" w:fill="FFFFFF" w:themeFill="background1"/>
        <w:spacing w:after="0" w:line="240" w:lineRule="auto"/>
        <w:rPr>
          <w:rFonts w:cs="Times New Roman"/>
          <w:szCs w:val="24"/>
        </w:rPr>
      </w:pPr>
    </w:p>
    <w:p w14:paraId="18DA1A71"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Competence in designing and using digital learning resources ranged from 3.18 to 3.46 points. DC2.1 had the highest mean score, with Mean = 3.46, indicating that lecturers have initially learned to design electronic lectures incorporating images, videos, diagrams, or certain interactive learning resources. However, this score only slightly exceeded the good-level threshold, reflecting that digital learning-resource design competence remains at an initial stage and does not yet demonstrate a high level of proficiency. Notably, DC2.3 had the lowest score, with Mean = 3.18. This observed variable is directly associated with the distinctive characteristics of physical education and sports training, because the use of videos, images, or software to illustrate movement techniques plays an important role in practical teaching.</w:t>
      </w:r>
    </w:p>
    <w:p w14:paraId="02352624"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4. Descriptive Statistics for Organizing Teaching Activities in Digital Environments</w:t>
      </w:r>
    </w:p>
    <w:tbl>
      <w:tblPr>
        <w:tblStyle w:val="TableGrid"/>
        <w:tblW w:w="0" w:type="auto"/>
        <w:tblLook w:val="04A0" w:firstRow="1" w:lastRow="0" w:firstColumn="1" w:lastColumn="0" w:noHBand="0" w:noVBand="1"/>
      </w:tblPr>
      <w:tblGrid>
        <w:gridCol w:w="4214"/>
        <w:gridCol w:w="1417"/>
        <w:gridCol w:w="1416"/>
        <w:gridCol w:w="1275"/>
        <w:gridCol w:w="1460"/>
      </w:tblGrid>
      <w:tr w:rsidR="00FF4E0D" w:rsidRPr="00FF4E0D" w14:paraId="0EF01FC3" w14:textId="77777777" w:rsidTr="00EA7AFF">
        <w:tc>
          <w:tcPr>
            <w:tcW w:w="4219" w:type="dxa"/>
            <w:vAlign w:val="center"/>
          </w:tcPr>
          <w:p w14:paraId="4C04D253"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8" w:type="dxa"/>
            <w:vAlign w:val="center"/>
          </w:tcPr>
          <w:p w14:paraId="70058A2D"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417" w:type="dxa"/>
            <w:vAlign w:val="center"/>
          </w:tcPr>
          <w:p w14:paraId="1F92D0E4"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276" w:type="dxa"/>
            <w:vAlign w:val="center"/>
          </w:tcPr>
          <w:p w14:paraId="5E648E12"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460" w:type="dxa"/>
            <w:vAlign w:val="center"/>
          </w:tcPr>
          <w:p w14:paraId="52AB412C"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2D408DC3" w14:textId="77777777" w:rsidTr="00EA7AFF">
        <w:tc>
          <w:tcPr>
            <w:tcW w:w="4219" w:type="dxa"/>
          </w:tcPr>
          <w:p w14:paraId="2CFF2919"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DC3.1. Organizing learning activities on digital platforms or learning management systems</w:t>
            </w:r>
          </w:p>
        </w:tc>
        <w:tc>
          <w:tcPr>
            <w:tcW w:w="1418" w:type="dxa"/>
            <w:vAlign w:val="center"/>
          </w:tcPr>
          <w:p w14:paraId="53D872D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417" w:type="dxa"/>
            <w:vAlign w:val="center"/>
          </w:tcPr>
          <w:p w14:paraId="31BA2B8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276" w:type="dxa"/>
            <w:vAlign w:val="center"/>
          </w:tcPr>
          <w:p w14:paraId="4E256F5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3.29</w:t>
            </w:r>
          </w:p>
        </w:tc>
        <w:tc>
          <w:tcPr>
            <w:tcW w:w="1460" w:type="dxa"/>
            <w:vAlign w:val="center"/>
          </w:tcPr>
          <w:p w14:paraId="0D2DB33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0.86</w:t>
            </w:r>
          </w:p>
        </w:tc>
      </w:tr>
      <w:tr w:rsidR="00FF4E0D" w:rsidRPr="00FF4E0D" w14:paraId="0E667FBA" w14:textId="77777777" w:rsidTr="00EA7AFF">
        <w:tc>
          <w:tcPr>
            <w:tcW w:w="4219" w:type="dxa"/>
          </w:tcPr>
          <w:p w14:paraId="208B2A57"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lastRenderedPageBreak/>
              <w:t>DC3.2. Guiding students to exploit materials, submit assignments, and discuss in digital environments</w:t>
            </w:r>
          </w:p>
        </w:tc>
        <w:tc>
          <w:tcPr>
            <w:tcW w:w="1418" w:type="dxa"/>
            <w:vAlign w:val="center"/>
          </w:tcPr>
          <w:p w14:paraId="15E3FD7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417" w:type="dxa"/>
            <w:vAlign w:val="center"/>
          </w:tcPr>
          <w:p w14:paraId="667E5D2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276" w:type="dxa"/>
            <w:vAlign w:val="center"/>
          </w:tcPr>
          <w:p w14:paraId="18C83BC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3.41</w:t>
            </w:r>
          </w:p>
        </w:tc>
        <w:tc>
          <w:tcPr>
            <w:tcW w:w="1460" w:type="dxa"/>
            <w:vAlign w:val="center"/>
          </w:tcPr>
          <w:p w14:paraId="54A9BA8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0.79</w:t>
            </w:r>
          </w:p>
        </w:tc>
      </w:tr>
      <w:tr w:rsidR="00FF4E0D" w:rsidRPr="00FF4E0D" w14:paraId="5B59132F" w14:textId="77777777" w:rsidTr="00EA7AFF">
        <w:tc>
          <w:tcPr>
            <w:tcW w:w="4219" w:type="dxa"/>
          </w:tcPr>
          <w:p w14:paraId="0D3EC782"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DC3.3. Combining face-to-face teaching with online learning activities</w:t>
            </w:r>
          </w:p>
        </w:tc>
        <w:tc>
          <w:tcPr>
            <w:tcW w:w="1418" w:type="dxa"/>
            <w:vAlign w:val="center"/>
          </w:tcPr>
          <w:p w14:paraId="3C787DE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417" w:type="dxa"/>
            <w:vAlign w:val="center"/>
          </w:tcPr>
          <w:p w14:paraId="7582B8D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276" w:type="dxa"/>
            <w:vAlign w:val="center"/>
          </w:tcPr>
          <w:p w14:paraId="32F9291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3.37</w:t>
            </w:r>
          </w:p>
        </w:tc>
        <w:tc>
          <w:tcPr>
            <w:tcW w:w="1460" w:type="dxa"/>
            <w:vAlign w:val="center"/>
          </w:tcPr>
          <w:p w14:paraId="1BA9C78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0.88</w:t>
            </w:r>
          </w:p>
        </w:tc>
      </w:tr>
      <w:tr w:rsidR="00FF4E0D" w:rsidRPr="00FF4E0D" w14:paraId="112F335E" w14:textId="77777777" w:rsidTr="00EA7AFF">
        <w:tc>
          <w:tcPr>
            <w:tcW w:w="4219" w:type="dxa"/>
          </w:tcPr>
          <w:p w14:paraId="0341DD4D"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DC3.4. Using technology to support students’ self-study and out-of-class practice</w:t>
            </w:r>
          </w:p>
        </w:tc>
        <w:tc>
          <w:tcPr>
            <w:tcW w:w="1418" w:type="dxa"/>
            <w:vAlign w:val="center"/>
          </w:tcPr>
          <w:p w14:paraId="10D383A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417" w:type="dxa"/>
            <w:vAlign w:val="center"/>
          </w:tcPr>
          <w:p w14:paraId="1D6F603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276" w:type="dxa"/>
            <w:vAlign w:val="center"/>
          </w:tcPr>
          <w:p w14:paraId="54CBCD3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3.32</w:t>
            </w:r>
          </w:p>
        </w:tc>
        <w:tc>
          <w:tcPr>
            <w:tcW w:w="1460" w:type="dxa"/>
            <w:vAlign w:val="center"/>
          </w:tcPr>
          <w:p w14:paraId="298C94A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0.92</w:t>
            </w:r>
          </w:p>
        </w:tc>
      </w:tr>
    </w:tbl>
    <w:p w14:paraId="5AD2642E" w14:textId="77777777" w:rsidR="006027D5" w:rsidRPr="00FF4E0D" w:rsidRDefault="006027D5" w:rsidP="00EA7AFF">
      <w:pPr>
        <w:shd w:val="clear" w:color="auto" w:fill="FFFFFF" w:themeFill="background1"/>
        <w:spacing w:after="0" w:line="240" w:lineRule="auto"/>
        <w:rPr>
          <w:rFonts w:cs="Times New Roman"/>
          <w:szCs w:val="24"/>
        </w:rPr>
      </w:pPr>
    </w:p>
    <w:p w14:paraId="545A1A0B"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The survey results show that lecturers’ competence in organizing teaching activities in digital environments was mainly at a high average level. DC3.2 reached Mean = 3.41, just meeting the good-level threshold, indicating that lecturers have a certain capacity to guide students in exploiting materials, submitting assignments, discussing, or interacting academically on digital platforms. However, the remaining variables did not clearly exceed the good-level threshold. DC3.1 reached Mean = 3.29, DC3.3 reached Mean = 3.37, and DC3.4 reached Mean = 3.32. These results show that digital teaching organization has not yet become a stable pedagogical process. For practical courses in physical education and sports, supporting students’ self-study, independent practice, and progress monitoring outside class through digital technology remains a relatively new requirement.</w:t>
      </w:r>
    </w:p>
    <w:p w14:paraId="1FA5EFF7"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5. Descriptive Statistics for Learner Assessment Using Digital Technology</w:t>
      </w:r>
    </w:p>
    <w:tbl>
      <w:tblPr>
        <w:tblStyle w:val="TableGrid"/>
        <w:tblW w:w="0" w:type="auto"/>
        <w:tblLook w:val="04A0" w:firstRow="1" w:lastRow="0" w:firstColumn="1" w:lastColumn="0" w:noHBand="0" w:noVBand="1"/>
      </w:tblPr>
      <w:tblGrid>
        <w:gridCol w:w="4214"/>
        <w:gridCol w:w="1417"/>
        <w:gridCol w:w="1274"/>
        <w:gridCol w:w="1417"/>
        <w:gridCol w:w="1460"/>
      </w:tblGrid>
      <w:tr w:rsidR="00FF4E0D" w:rsidRPr="00FF4E0D" w14:paraId="3EACC248" w14:textId="77777777" w:rsidTr="00EA7AFF">
        <w:tc>
          <w:tcPr>
            <w:tcW w:w="4219" w:type="dxa"/>
            <w:vAlign w:val="center"/>
          </w:tcPr>
          <w:p w14:paraId="3BF393A6"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8" w:type="dxa"/>
            <w:vAlign w:val="center"/>
          </w:tcPr>
          <w:p w14:paraId="0A7414A2"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275" w:type="dxa"/>
            <w:vAlign w:val="center"/>
          </w:tcPr>
          <w:p w14:paraId="22484FB6"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418" w:type="dxa"/>
            <w:vAlign w:val="center"/>
          </w:tcPr>
          <w:p w14:paraId="4B26D02F"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460" w:type="dxa"/>
            <w:vAlign w:val="center"/>
          </w:tcPr>
          <w:p w14:paraId="2B0D7776"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5E7A5BE0" w14:textId="77777777" w:rsidTr="00EA7AFF">
        <w:tc>
          <w:tcPr>
            <w:tcW w:w="4219" w:type="dxa"/>
          </w:tcPr>
          <w:p w14:paraId="04A62AE3"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DC4.1. Designing questions, tests, or assessment tasks using digital tools</w:t>
            </w:r>
          </w:p>
        </w:tc>
        <w:tc>
          <w:tcPr>
            <w:tcW w:w="1418" w:type="dxa"/>
            <w:vAlign w:val="center"/>
          </w:tcPr>
          <w:p w14:paraId="75C7FB1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13F7824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194DEC8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3.18</w:t>
            </w:r>
          </w:p>
        </w:tc>
        <w:tc>
          <w:tcPr>
            <w:tcW w:w="1460" w:type="dxa"/>
            <w:vAlign w:val="center"/>
          </w:tcPr>
          <w:p w14:paraId="5D77F83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0.89</w:t>
            </w:r>
          </w:p>
        </w:tc>
      </w:tr>
      <w:tr w:rsidR="00FF4E0D" w:rsidRPr="00FF4E0D" w14:paraId="10628E73" w14:textId="77777777" w:rsidTr="00EA7AFF">
        <w:tc>
          <w:tcPr>
            <w:tcW w:w="4219" w:type="dxa"/>
          </w:tcPr>
          <w:p w14:paraId="172390EC"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DC4.2. Using digital tools to store and manage students’ learning outcomes</w:t>
            </w:r>
          </w:p>
        </w:tc>
        <w:tc>
          <w:tcPr>
            <w:tcW w:w="1418" w:type="dxa"/>
            <w:vAlign w:val="center"/>
          </w:tcPr>
          <w:p w14:paraId="4A7B5A7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794A71E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3801841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3.15</w:t>
            </w:r>
          </w:p>
        </w:tc>
        <w:tc>
          <w:tcPr>
            <w:tcW w:w="1460" w:type="dxa"/>
            <w:vAlign w:val="center"/>
          </w:tcPr>
          <w:p w14:paraId="2D361F7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0.94</w:t>
            </w:r>
          </w:p>
        </w:tc>
      </w:tr>
      <w:tr w:rsidR="00FF4E0D" w:rsidRPr="00FF4E0D" w14:paraId="49E01831" w14:textId="77777777" w:rsidTr="00EA7AFF">
        <w:tc>
          <w:tcPr>
            <w:tcW w:w="4219" w:type="dxa"/>
          </w:tcPr>
          <w:p w14:paraId="2FFF804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DC4.3. Using learning data to identify students’ progress and difficulties</w:t>
            </w:r>
          </w:p>
        </w:tc>
        <w:tc>
          <w:tcPr>
            <w:tcW w:w="1418" w:type="dxa"/>
            <w:vAlign w:val="center"/>
          </w:tcPr>
          <w:p w14:paraId="77EA28D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6D2CDD1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6D2BF08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3.02</w:t>
            </w:r>
          </w:p>
        </w:tc>
        <w:tc>
          <w:tcPr>
            <w:tcW w:w="1460" w:type="dxa"/>
            <w:vAlign w:val="center"/>
          </w:tcPr>
          <w:p w14:paraId="49B8995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0.97</w:t>
            </w:r>
          </w:p>
        </w:tc>
      </w:tr>
      <w:tr w:rsidR="00FF4E0D" w:rsidRPr="00FF4E0D" w14:paraId="688F948D" w14:textId="77777777" w:rsidTr="00EA7AFF">
        <w:tc>
          <w:tcPr>
            <w:tcW w:w="4219" w:type="dxa"/>
          </w:tcPr>
          <w:p w14:paraId="350CEB5D"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DC4.4. Using images, videos, or supporting devices to assess movement techniques</w:t>
            </w:r>
          </w:p>
        </w:tc>
        <w:tc>
          <w:tcPr>
            <w:tcW w:w="1418" w:type="dxa"/>
            <w:vAlign w:val="center"/>
          </w:tcPr>
          <w:p w14:paraId="4BAE274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7325961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03FD207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3.09</w:t>
            </w:r>
          </w:p>
        </w:tc>
        <w:tc>
          <w:tcPr>
            <w:tcW w:w="1460" w:type="dxa"/>
            <w:vAlign w:val="center"/>
          </w:tcPr>
          <w:p w14:paraId="20D3632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1.01</w:t>
            </w:r>
          </w:p>
        </w:tc>
      </w:tr>
    </w:tbl>
    <w:p w14:paraId="6742C6B4" w14:textId="77777777" w:rsidR="006027D5" w:rsidRPr="00FF4E0D" w:rsidRDefault="006027D5" w:rsidP="00EA7AFF">
      <w:pPr>
        <w:shd w:val="clear" w:color="auto" w:fill="FFFFFF" w:themeFill="background1"/>
        <w:spacing w:after="0" w:line="240" w:lineRule="auto"/>
        <w:rPr>
          <w:rFonts w:cs="Times New Roman"/>
          <w:szCs w:val="24"/>
        </w:rPr>
      </w:pPr>
    </w:p>
    <w:p w14:paraId="07CDCD4C"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Learner assessment using digital technology is one of the more limited competence domains. All observed variables were at the average level, ranging from 3.02 to 3.18. DC4.1 had the highest mean score within the domain, with Mean = 3.18, showing that some lecturers are able to use digital tools to design questions, tests, or assessment tasks, though proficiency remains limited. Two particularly meaningful variables, DC4.3 and DC4.4, both had low scores. DC4.3 reached Mean = 3.02, reflecting limitations in the use of learning data to identify students’ progress, difficulties, or support needs. DC4.4 reached Mean = 3.09, indicating that the use of images, videos, or supporting devices to assess movement techniques has not been widely implemented.</w:t>
      </w:r>
    </w:p>
    <w:p w14:paraId="7D499148"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6. Descriptive Statistics for Communication, Collaboration, and Learner Support in Digital Environments</w:t>
      </w:r>
    </w:p>
    <w:tbl>
      <w:tblPr>
        <w:tblStyle w:val="TableGrid"/>
        <w:tblW w:w="0" w:type="auto"/>
        <w:tblLook w:val="04A0" w:firstRow="1" w:lastRow="0" w:firstColumn="1" w:lastColumn="0" w:noHBand="0" w:noVBand="1"/>
      </w:tblPr>
      <w:tblGrid>
        <w:gridCol w:w="4214"/>
        <w:gridCol w:w="1417"/>
        <w:gridCol w:w="1274"/>
        <w:gridCol w:w="1417"/>
        <w:gridCol w:w="1460"/>
      </w:tblGrid>
      <w:tr w:rsidR="00FF4E0D" w:rsidRPr="00FF4E0D" w14:paraId="4F0FAB9A" w14:textId="77777777" w:rsidTr="00EA7AFF">
        <w:tc>
          <w:tcPr>
            <w:tcW w:w="4219" w:type="dxa"/>
            <w:vAlign w:val="center"/>
          </w:tcPr>
          <w:p w14:paraId="0A576B9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8" w:type="dxa"/>
            <w:vAlign w:val="center"/>
          </w:tcPr>
          <w:p w14:paraId="56C78A8C"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275" w:type="dxa"/>
            <w:vAlign w:val="center"/>
          </w:tcPr>
          <w:p w14:paraId="401AFF04"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418" w:type="dxa"/>
            <w:vAlign w:val="center"/>
          </w:tcPr>
          <w:p w14:paraId="66B61458"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460" w:type="dxa"/>
            <w:vAlign w:val="center"/>
          </w:tcPr>
          <w:p w14:paraId="72375047"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4D67FDC2" w14:textId="77777777" w:rsidTr="00EA7AFF">
        <w:tc>
          <w:tcPr>
            <w:tcW w:w="4219" w:type="dxa"/>
          </w:tcPr>
          <w:p w14:paraId="27371DD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DC5.1. Using email, online groups, or digital platforms to communicate with students</w:t>
            </w:r>
          </w:p>
        </w:tc>
        <w:tc>
          <w:tcPr>
            <w:tcW w:w="1418" w:type="dxa"/>
            <w:vAlign w:val="center"/>
          </w:tcPr>
          <w:p w14:paraId="0881AF3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275" w:type="dxa"/>
            <w:vAlign w:val="center"/>
          </w:tcPr>
          <w:p w14:paraId="722B4AC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01DFF1C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3.69</w:t>
            </w:r>
          </w:p>
        </w:tc>
        <w:tc>
          <w:tcPr>
            <w:tcW w:w="1460" w:type="dxa"/>
            <w:vAlign w:val="center"/>
          </w:tcPr>
          <w:p w14:paraId="074A6DE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0.77</w:t>
            </w:r>
          </w:p>
        </w:tc>
      </w:tr>
      <w:tr w:rsidR="00FF4E0D" w:rsidRPr="00FF4E0D" w14:paraId="077E631B" w14:textId="77777777" w:rsidTr="00EA7AFF">
        <w:tc>
          <w:tcPr>
            <w:tcW w:w="4219" w:type="dxa"/>
          </w:tcPr>
          <w:p w14:paraId="297ED216"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lastRenderedPageBreak/>
              <w:t>DC5.2. Providing feedback, support, or learning consultation to students through digital tools</w:t>
            </w:r>
          </w:p>
        </w:tc>
        <w:tc>
          <w:tcPr>
            <w:tcW w:w="1418" w:type="dxa"/>
            <w:vAlign w:val="center"/>
          </w:tcPr>
          <w:p w14:paraId="014E5FA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36B82BF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527C43B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3.52</w:t>
            </w:r>
          </w:p>
        </w:tc>
        <w:tc>
          <w:tcPr>
            <w:tcW w:w="1460" w:type="dxa"/>
            <w:vAlign w:val="center"/>
          </w:tcPr>
          <w:p w14:paraId="043F326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0.84</w:t>
            </w:r>
          </w:p>
        </w:tc>
      </w:tr>
      <w:tr w:rsidR="00FF4E0D" w:rsidRPr="00FF4E0D" w14:paraId="3AC00200" w14:textId="77777777" w:rsidTr="00EA7AFF">
        <w:tc>
          <w:tcPr>
            <w:tcW w:w="4219" w:type="dxa"/>
          </w:tcPr>
          <w:p w14:paraId="16ACBEA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DC5.3. Collaborating with colleagues in developing lectures, learning resources, or digital professional activities</w:t>
            </w:r>
          </w:p>
        </w:tc>
        <w:tc>
          <w:tcPr>
            <w:tcW w:w="1418" w:type="dxa"/>
            <w:vAlign w:val="center"/>
          </w:tcPr>
          <w:p w14:paraId="7C1BD1B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5248E4F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5183E9C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3.44</w:t>
            </w:r>
          </w:p>
        </w:tc>
        <w:tc>
          <w:tcPr>
            <w:tcW w:w="1460" w:type="dxa"/>
            <w:vAlign w:val="center"/>
          </w:tcPr>
          <w:p w14:paraId="4CAD987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0.88</w:t>
            </w:r>
          </w:p>
        </w:tc>
      </w:tr>
      <w:tr w:rsidR="00FF4E0D" w:rsidRPr="00FF4E0D" w14:paraId="5DEED06F" w14:textId="77777777" w:rsidTr="00EA7AFF">
        <w:tc>
          <w:tcPr>
            <w:tcW w:w="4219" w:type="dxa"/>
          </w:tcPr>
          <w:p w14:paraId="731986E0"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DC5.4. Sharing materials, teaching experience, or digital learning resources</w:t>
            </w:r>
          </w:p>
        </w:tc>
        <w:tc>
          <w:tcPr>
            <w:tcW w:w="1418" w:type="dxa"/>
            <w:vAlign w:val="center"/>
          </w:tcPr>
          <w:p w14:paraId="3558272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275" w:type="dxa"/>
            <w:vAlign w:val="center"/>
          </w:tcPr>
          <w:p w14:paraId="11E2CCA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44D2C39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3.56</w:t>
            </w:r>
          </w:p>
        </w:tc>
        <w:tc>
          <w:tcPr>
            <w:tcW w:w="1460" w:type="dxa"/>
            <w:vAlign w:val="center"/>
          </w:tcPr>
          <w:p w14:paraId="64A6614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0.80</w:t>
            </w:r>
          </w:p>
        </w:tc>
      </w:tr>
    </w:tbl>
    <w:p w14:paraId="2DBF24E4" w14:textId="77777777" w:rsidR="006027D5" w:rsidRPr="00FF4E0D" w:rsidRDefault="006027D5" w:rsidP="00EA7AFF">
      <w:pPr>
        <w:shd w:val="clear" w:color="auto" w:fill="FFFFFF" w:themeFill="background1"/>
        <w:spacing w:after="0" w:line="240" w:lineRule="auto"/>
        <w:rPr>
          <w:rFonts w:cs="Times New Roman"/>
          <w:szCs w:val="24"/>
        </w:rPr>
      </w:pPr>
    </w:p>
    <w:p w14:paraId="18F70E41"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Competence in communication, collaboration, and learner support in digital environments reached the good level across all four observed variables. DC5.1 had the highest mean score, with Mean = 3.69, reflecting that the use of email, online groups, learning-oriented social networks, or digital platforms to communicate with students has become a relatively familiar activity. DC5.4 reached Mean = 3.56, showing that lecturers have also developed a habit of sharing materials and digital learning resources in the teaching process. However, DC5.3 had the lowest score in the domain, with Mean = 3.44. This result indicates that professional collaboration among lecturers in digital environments remains insufficiently strong. In other words, lecturers can use digital tools to communicate with students, but collaboration with colleagues in developing digital lectures, digital learning resources, or shared resource banks remains limited.</w:t>
      </w:r>
    </w:p>
    <w:p w14:paraId="58EA9BC5"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7. Descriptive Statistics for Professional Development and Research in Digital Environments</w:t>
      </w:r>
    </w:p>
    <w:tbl>
      <w:tblPr>
        <w:tblStyle w:val="TableGrid"/>
        <w:tblW w:w="0" w:type="auto"/>
        <w:tblLook w:val="04A0" w:firstRow="1" w:lastRow="0" w:firstColumn="1" w:lastColumn="0" w:noHBand="0" w:noVBand="1"/>
      </w:tblPr>
      <w:tblGrid>
        <w:gridCol w:w="4214"/>
        <w:gridCol w:w="1417"/>
        <w:gridCol w:w="1274"/>
        <w:gridCol w:w="1417"/>
        <w:gridCol w:w="1460"/>
      </w:tblGrid>
      <w:tr w:rsidR="00FF4E0D" w:rsidRPr="00FF4E0D" w14:paraId="1DCF1420" w14:textId="77777777" w:rsidTr="00EA7AFF">
        <w:tc>
          <w:tcPr>
            <w:tcW w:w="4219" w:type="dxa"/>
            <w:vAlign w:val="center"/>
          </w:tcPr>
          <w:p w14:paraId="3B66AB55"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8" w:type="dxa"/>
            <w:vAlign w:val="center"/>
          </w:tcPr>
          <w:p w14:paraId="6CC7C2C1"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275" w:type="dxa"/>
            <w:vAlign w:val="center"/>
          </w:tcPr>
          <w:p w14:paraId="46874F03"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418" w:type="dxa"/>
            <w:vAlign w:val="center"/>
          </w:tcPr>
          <w:p w14:paraId="4FEF0B51"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460" w:type="dxa"/>
            <w:vAlign w:val="center"/>
          </w:tcPr>
          <w:p w14:paraId="20920B7A"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1E30FA60" w14:textId="77777777" w:rsidTr="00EA7AFF">
        <w:tc>
          <w:tcPr>
            <w:tcW w:w="4219" w:type="dxa"/>
          </w:tcPr>
          <w:p w14:paraId="2C43CA12"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DC6.1. Exploiting digital libraries, academic databases, or online sources</w:t>
            </w:r>
          </w:p>
        </w:tc>
        <w:tc>
          <w:tcPr>
            <w:tcW w:w="1418" w:type="dxa"/>
            <w:vAlign w:val="center"/>
          </w:tcPr>
          <w:p w14:paraId="3FABE21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400D661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5D137DF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3.22</w:t>
            </w:r>
          </w:p>
        </w:tc>
        <w:tc>
          <w:tcPr>
            <w:tcW w:w="1460" w:type="dxa"/>
            <w:vAlign w:val="center"/>
          </w:tcPr>
          <w:p w14:paraId="4FD44A3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0.91</w:t>
            </w:r>
          </w:p>
        </w:tc>
      </w:tr>
      <w:tr w:rsidR="00FF4E0D" w:rsidRPr="00FF4E0D" w14:paraId="71211E9D" w14:textId="77777777" w:rsidTr="00EA7AFF">
        <w:tc>
          <w:tcPr>
            <w:tcW w:w="4219" w:type="dxa"/>
          </w:tcPr>
          <w:p w14:paraId="58020426"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DC6.2. Using software for data processing, reference management, citation, or research support</w:t>
            </w:r>
          </w:p>
        </w:tc>
        <w:tc>
          <w:tcPr>
            <w:tcW w:w="1418" w:type="dxa"/>
            <w:vAlign w:val="center"/>
          </w:tcPr>
          <w:p w14:paraId="6066066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450FE2F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0D83509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2.94</w:t>
            </w:r>
          </w:p>
        </w:tc>
        <w:tc>
          <w:tcPr>
            <w:tcW w:w="1460" w:type="dxa"/>
            <w:vAlign w:val="center"/>
          </w:tcPr>
          <w:p w14:paraId="01B7541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1.03</w:t>
            </w:r>
          </w:p>
        </w:tc>
      </w:tr>
      <w:tr w:rsidR="00FF4E0D" w:rsidRPr="00FF4E0D" w14:paraId="36AB2CB7" w14:textId="77777777" w:rsidTr="00EA7AFF">
        <w:tc>
          <w:tcPr>
            <w:tcW w:w="4219" w:type="dxa"/>
          </w:tcPr>
          <w:p w14:paraId="1EA0525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DC6.3. Participating in online courses, seminars, or professional communities</w:t>
            </w:r>
          </w:p>
        </w:tc>
        <w:tc>
          <w:tcPr>
            <w:tcW w:w="1418" w:type="dxa"/>
            <w:vAlign w:val="center"/>
          </w:tcPr>
          <w:p w14:paraId="0783B45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62AA343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36A0F35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3.11</w:t>
            </w:r>
          </w:p>
        </w:tc>
        <w:tc>
          <w:tcPr>
            <w:tcW w:w="1460" w:type="dxa"/>
            <w:vAlign w:val="center"/>
          </w:tcPr>
          <w:p w14:paraId="57A3817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0.96</w:t>
            </w:r>
          </w:p>
        </w:tc>
      </w:tr>
      <w:tr w:rsidR="00FF4E0D" w:rsidRPr="00FF4E0D" w14:paraId="7F6CA128" w14:textId="77777777" w:rsidTr="00EA7AFF">
        <w:tc>
          <w:tcPr>
            <w:tcW w:w="4219" w:type="dxa"/>
          </w:tcPr>
          <w:p w14:paraId="5FDF4AE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DC6.4. Self-learning and adapting to new technologies such as AI or digital learning-resource creation software</w:t>
            </w:r>
          </w:p>
        </w:tc>
        <w:tc>
          <w:tcPr>
            <w:tcW w:w="1418" w:type="dxa"/>
            <w:vAlign w:val="center"/>
          </w:tcPr>
          <w:p w14:paraId="144AA69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0EE5BAB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1E379E8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3.05</w:t>
            </w:r>
          </w:p>
        </w:tc>
        <w:tc>
          <w:tcPr>
            <w:tcW w:w="1460" w:type="dxa"/>
            <w:vAlign w:val="center"/>
          </w:tcPr>
          <w:p w14:paraId="56C9311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0.99</w:t>
            </w:r>
          </w:p>
        </w:tc>
      </w:tr>
    </w:tbl>
    <w:p w14:paraId="056F7405" w14:textId="77777777" w:rsidR="006027D5" w:rsidRPr="00FF4E0D" w:rsidRDefault="006027D5" w:rsidP="00EA7AFF">
      <w:pPr>
        <w:shd w:val="clear" w:color="auto" w:fill="FFFFFF" w:themeFill="background1"/>
        <w:spacing w:after="0" w:line="240" w:lineRule="auto"/>
        <w:rPr>
          <w:rFonts w:cs="Times New Roman"/>
          <w:szCs w:val="24"/>
        </w:rPr>
      </w:pPr>
    </w:p>
    <w:p w14:paraId="1FC29A4B"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Professional development and research in digital environments </w:t>
      </w:r>
      <w:proofErr w:type="gramStart"/>
      <w:r w:rsidRPr="00FF4E0D">
        <w:rPr>
          <w:rFonts w:cs="Times New Roman"/>
          <w:szCs w:val="24"/>
        </w:rPr>
        <w:t>was</w:t>
      </w:r>
      <w:proofErr w:type="gramEnd"/>
      <w:r w:rsidRPr="00FF4E0D">
        <w:rPr>
          <w:rFonts w:cs="Times New Roman"/>
          <w:szCs w:val="24"/>
        </w:rPr>
        <w:t xml:space="preserve"> the domain with the lowest scores. DC6.2 reached only Mean = 2.94, below the average threshold of 3.00. This reflects that the use of software for data processing, reference management, citation, or research support is not yet common among lecturers. In the context of higher education increasingly emphasizing scientific research, academic publication, and data governance, this is a limitation requiring attention. DC6.4 reached Mean = 3.05, showing that lecturers’ ability to self-learn and adapt to new technologies such as artificial intelligence or digital learning-resource creation software remains at an average level. This result suggests that lecturers’ access to new digital tools is still largely individual and has not been supported by systematic professional development programs. Without appropriate orientation, the gap between digital transformation requirements and lecturers’ adaptive capacity may continue to widen.</w:t>
      </w:r>
    </w:p>
    <w:p w14:paraId="07A5E4C0"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8. Descriptive Statistics for Digital Safety, Ethics, and Responsibility</w:t>
      </w:r>
    </w:p>
    <w:tbl>
      <w:tblPr>
        <w:tblStyle w:val="TableGrid"/>
        <w:tblW w:w="0" w:type="auto"/>
        <w:tblLook w:val="04A0" w:firstRow="1" w:lastRow="0" w:firstColumn="1" w:lastColumn="0" w:noHBand="0" w:noVBand="1"/>
      </w:tblPr>
      <w:tblGrid>
        <w:gridCol w:w="4214"/>
        <w:gridCol w:w="1417"/>
        <w:gridCol w:w="1274"/>
        <w:gridCol w:w="1417"/>
        <w:gridCol w:w="1460"/>
      </w:tblGrid>
      <w:tr w:rsidR="00FF4E0D" w:rsidRPr="00FF4E0D" w14:paraId="22FD9CCA" w14:textId="77777777" w:rsidTr="00EA7AFF">
        <w:tc>
          <w:tcPr>
            <w:tcW w:w="4219" w:type="dxa"/>
            <w:vAlign w:val="center"/>
          </w:tcPr>
          <w:p w14:paraId="02454164"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418" w:type="dxa"/>
            <w:vAlign w:val="center"/>
          </w:tcPr>
          <w:p w14:paraId="35EA502D"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1275" w:type="dxa"/>
            <w:vAlign w:val="center"/>
          </w:tcPr>
          <w:p w14:paraId="7912A6B0"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418" w:type="dxa"/>
            <w:vAlign w:val="center"/>
          </w:tcPr>
          <w:p w14:paraId="5B91A4B3"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460" w:type="dxa"/>
            <w:vAlign w:val="center"/>
          </w:tcPr>
          <w:p w14:paraId="7D683D1E"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185145C3" w14:textId="77777777" w:rsidTr="00EA7AFF">
        <w:tc>
          <w:tcPr>
            <w:tcW w:w="4219" w:type="dxa"/>
          </w:tcPr>
          <w:p w14:paraId="7674B2A4"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lastRenderedPageBreak/>
              <w:t>DC7.1. Protecting accounts, passwords, personal data, and learning data</w:t>
            </w:r>
          </w:p>
        </w:tc>
        <w:tc>
          <w:tcPr>
            <w:tcW w:w="1418" w:type="dxa"/>
            <w:vAlign w:val="center"/>
          </w:tcPr>
          <w:p w14:paraId="75F645CB"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1275" w:type="dxa"/>
            <w:vAlign w:val="center"/>
          </w:tcPr>
          <w:p w14:paraId="03E085A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5773B90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3.55</w:t>
            </w:r>
          </w:p>
        </w:tc>
        <w:tc>
          <w:tcPr>
            <w:tcW w:w="1460" w:type="dxa"/>
            <w:vAlign w:val="center"/>
          </w:tcPr>
          <w:p w14:paraId="0D8DE9D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0.78</w:t>
            </w:r>
          </w:p>
        </w:tc>
      </w:tr>
      <w:tr w:rsidR="00FF4E0D" w:rsidRPr="00FF4E0D" w14:paraId="4CA7758B" w14:textId="77777777" w:rsidTr="00EA7AFF">
        <w:tc>
          <w:tcPr>
            <w:tcW w:w="4219" w:type="dxa"/>
          </w:tcPr>
          <w:p w14:paraId="00EDFD1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DC7.2. Complying with copyright, source citation, and lawful use of digital materials</w:t>
            </w:r>
          </w:p>
        </w:tc>
        <w:tc>
          <w:tcPr>
            <w:tcW w:w="1418" w:type="dxa"/>
            <w:vAlign w:val="center"/>
          </w:tcPr>
          <w:p w14:paraId="45133E7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0E5100C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5498910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3.42</w:t>
            </w:r>
          </w:p>
        </w:tc>
        <w:tc>
          <w:tcPr>
            <w:tcW w:w="1460" w:type="dxa"/>
            <w:vAlign w:val="center"/>
          </w:tcPr>
          <w:p w14:paraId="7C00FAE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0.86</w:t>
            </w:r>
          </w:p>
        </w:tc>
      </w:tr>
      <w:tr w:rsidR="00FF4E0D" w:rsidRPr="00FF4E0D" w14:paraId="4D170640" w14:textId="77777777" w:rsidTr="00EA7AFF">
        <w:tc>
          <w:tcPr>
            <w:tcW w:w="4219" w:type="dxa"/>
          </w:tcPr>
          <w:p w14:paraId="4F5543B7"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DC7.3. Guiding students to use digital technology safely and responsibly</w:t>
            </w:r>
          </w:p>
        </w:tc>
        <w:tc>
          <w:tcPr>
            <w:tcW w:w="1418" w:type="dxa"/>
            <w:vAlign w:val="center"/>
          </w:tcPr>
          <w:p w14:paraId="1513A4B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2DA3B7A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7CC98F6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3.36</w:t>
            </w:r>
          </w:p>
        </w:tc>
        <w:tc>
          <w:tcPr>
            <w:tcW w:w="1460" w:type="dxa"/>
            <w:vAlign w:val="center"/>
          </w:tcPr>
          <w:p w14:paraId="5B90624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0.91</w:t>
            </w:r>
          </w:p>
        </w:tc>
      </w:tr>
      <w:tr w:rsidR="00FF4E0D" w:rsidRPr="00FF4E0D" w14:paraId="4AA6B31A" w14:textId="77777777" w:rsidTr="00EA7AFF">
        <w:tc>
          <w:tcPr>
            <w:tcW w:w="4219" w:type="dxa"/>
          </w:tcPr>
          <w:p w14:paraId="0757918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DC7.4. Using AI or digital tools transparently in teaching, assessment, and research</w:t>
            </w:r>
          </w:p>
        </w:tc>
        <w:tc>
          <w:tcPr>
            <w:tcW w:w="1418" w:type="dxa"/>
            <w:vAlign w:val="center"/>
          </w:tcPr>
          <w:p w14:paraId="4576BE6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1275" w:type="dxa"/>
            <w:vAlign w:val="center"/>
          </w:tcPr>
          <w:p w14:paraId="777492B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418" w:type="dxa"/>
            <w:vAlign w:val="center"/>
          </w:tcPr>
          <w:p w14:paraId="4E2D9A5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3.41</w:t>
            </w:r>
          </w:p>
        </w:tc>
        <w:tc>
          <w:tcPr>
            <w:tcW w:w="1460" w:type="dxa"/>
            <w:vAlign w:val="center"/>
          </w:tcPr>
          <w:p w14:paraId="46872BC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0.88</w:t>
            </w:r>
          </w:p>
        </w:tc>
      </w:tr>
    </w:tbl>
    <w:p w14:paraId="7831CF6C" w14:textId="77777777" w:rsidR="006027D5" w:rsidRPr="00FF4E0D" w:rsidRDefault="006027D5" w:rsidP="00EA7AFF">
      <w:pPr>
        <w:shd w:val="clear" w:color="auto" w:fill="FFFFFF" w:themeFill="background1"/>
        <w:spacing w:after="0" w:line="240" w:lineRule="auto"/>
        <w:rPr>
          <w:rFonts w:cs="Times New Roman"/>
          <w:szCs w:val="24"/>
        </w:rPr>
      </w:pPr>
    </w:p>
    <w:p w14:paraId="29EF606A"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Lecturers’ competence in digital safety, ethics, and responsibility was at a high average level, with some variables reaching the good-level threshold. DC7.1 had the highest mean score, with Mean = 3.55, reflecting that lecturers have a certain awareness of protecting accounts, passwords, personal data, and students’ learning data. However, DC7.3 reached only Mean = 3.36, showing that guiding students to use digital technology safely, responsibly, and in accordance with academic ethical standards has not yet received adequate attention. DC7.4 reached Mean = 3.41, just meeting the good-level threshold, reflecting the new requirement to use artificial intelligence and digital tools transparently in teaching, assessment, and research.</w:t>
      </w:r>
    </w:p>
    <w:p w14:paraId="5F5297D9"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9. Summary of Mean Scores for Lecturers’ Digital Competence Domains</w:t>
      </w:r>
    </w:p>
    <w:tbl>
      <w:tblPr>
        <w:tblStyle w:val="TableGrid"/>
        <w:tblW w:w="0" w:type="auto"/>
        <w:tblLook w:val="04A0" w:firstRow="1" w:lastRow="0" w:firstColumn="1" w:lastColumn="0" w:noHBand="0" w:noVBand="1"/>
      </w:tblPr>
      <w:tblGrid>
        <w:gridCol w:w="4355"/>
        <w:gridCol w:w="1841"/>
        <w:gridCol w:w="1841"/>
        <w:gridCol w:w="1745"/>
      </w:tblGrid>
      <w:tr w:rsidR="00FF4E0D" w:rsidRPr="00FF4E0D" w14:paraId="1B74CAE8" w14:textId="77777777" w:rsidTr="00EA7AFF">
        <w:tc>
          <w:tcPr>
            <w:tcW w:w="4361" w:type="dxa"/>
            <w:vAlign w:val="center"/>
          </w:tcPr>
          <w:p w14:paraId="7E985BC3"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Competence domain</w:t>
            </w:r>
          </w:p>
        </w:tc>
        <w:tc>
          <w:tcPr>
            <w:tcW w:w="1843" w:type="dxa"/>
            <w:vAlign w:val="center"/>
          </w:tcPr>
          <w:p w14:paraId="36053250"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842" w:type="dxa"/>
            <w:vAlign w:val="center"/>
          </w:tcPr>
          <w:p w14:paraId="00680540"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c>
          <w:tcPr>
            <w:tcW w:w="1746" w:type="dxa"/>
            <w:vAlign w:val="center"/>
          </w:tcPr>
          <w:p w14:paraId="319E2817"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Assessment level</w:t>
            </w:r>
          </w:p>
        </w:tc>
      </w:tr>
      <w:tr w:rsidR="00FF4E0D" w:rsidRPr="00FF4E0D" w14:paraId="676E3DD1" w14:textId="77777777" w:rsidTr="00EA7AFF">
        <w:tc>
          <w:tcPr>
            <w:tcW w:w="4361" w:type="dxa"/>
          </w:tcPr>
          <w:p w14:paraId="6A98F242"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Basic digital technology use at work</w:t>
            </w:r>
          </w:p>
        </w:tc>
        <w:tc>
          <w:tcPr>
            <w:tcW w:w="1843" w:type="dxa"/>
            <w:vAlign w:val="center"/>
          </w:tcPr>
          <w:p w14:paraId="0892AED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3.70</w:t>
            </w:r>
          </w:p>
        </w:tc>
        <w:tc>
          <w:tcPr>
            <w:tcW w:w="1842" w:type="dxa"/>
            <w:vAlign w:val="center"/>
          </w:tcPr>
          <w:p w14:paraId="7E4B027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0.67</w:t>
            </w:r>
          </w:p>
        </w:tc>
        <w:tc>
          <w:tcPr>
            <w:tcW w:w="1746" w:type="dxa"/>
            <w:vAlign w:val="center"/>
          </w:tcPr>
          <w:p w14:paraId="1EA97EB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Good</w:t>
            </w:r>
          </w:p>
        </w:tc>
      </w:tr>
      <w:tr w:rsidR="00FF4E0D" w:rsidRPr="00FF4E0D" w14:paraId="710A4AC4" w14:textId="77777777" w:rsidTr="00EA7AFF">
        <w:tc>
          <w:tcPr>
            <w:tcW w:w="4361" w:type="dxa"/>
          </w:tcPr>
          <w:p w14:paraId="0B465BE3"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Design and use of digital learning resources</w:t>
            </w:r>
          </w:p>
        </w:tc>
        <w:tc>
          <w:tcPr>
            <w:tcW w:w="1843" w:type="dxa"/>
            <w:vAlign w:val="center"/>
          </w:tcPr>
          <w:p w14:paraId="253FC89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3.31</w:t>
            </w:r>
          </w:p>
        </w:tc>
        <w:tc>
          <w:tcPr>
            <w:tcW w:w="1842" w:type="dxa"/>
            <w:vAlign w:val="center"/>
          </w:tcPr>
          <w:p w14:paraId="1AFF1A6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0.73</w:t>
            </w:r>
          </w:p>
        </w:tc>
        <w:tc>
          <w:tcPr>
            <w:tcW w:w="1746" w:type="dxa"/>
            <w:vAlign w:val="center"/>
          </w:tcPr>
          <w:p w14:paraId="47A3C6B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Average</w:t>
            </w:r>
          </w:p>
        </w:tc>
      </w:tr>
      <w:tr w:rsidR="00FF4E0D" w:rsidRPr="00FF4E0D" w14:paraId="1F1349BF" w14:textId="77777777" w:rsidTr="00EA7AFF">
        <w:tc>
          <w:tcPr>
            <w:tcW w:w="4361" w:type="dxa"/>
          </w:tcPr>
          <w:p w14:paraId="32E33292"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Organization of teaching activities in digital environments</w:t>
            </w:r>
          </w:p>
        </w:tc>
        <w:tc>
          <w:tcPr>
            <w:tcW w:w="1843" w:type="dxa"/>
            <w:vAlign w:val="center"/>
          </w:tcPr>
          <w:p w14:paraId="5117DE2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3.35</w:t>
            </w:r>
          </w:p>
        </w:tc>
        <w:tc>
          <w:tcPr>
            <w:tcW w:w="1842" w:type="dxa"/>
            <w:vAlign w:val="center"/>
          </w:tcPr>
          <w:p w14:paraId="1BB1A90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0.69</w:t>
            </w:r>
          </w:p>
        </w:tc>
        <w:tc>
          <w:tcPr>
            <w:tcW w:w="1746" w:type="dxa"/>
            <w:vAlign w:val="center"/>
          </w:tcPr>
          <w:p w14:paraId="09AF246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Average</w:t>
            </w:r>
          </w:p>
        </w:tc>
      </w:tr>
      <w:tr w:rsidR="00FF4E0D" w:rsidRPr="00FF4E0D" w14:paraId="57BFC446" w14:textId="77777777" w:rsidTr="00EA7AFF">
        <w:tc>
          <w:tcPr>
            <w:tcW w:w="4361" w:type="dxa"/>
          </w:tcPr>
          <w:p w14:paraId="4200FA2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Learner assessment using digital technology</w:t>
            </w:r>
          </w:p>
        </w:tc>
        <w:tc>
          <w:tcPr>
            <w:tcW w:w="1843" w:type="dxa"/>
            <w:vAlign w:val="center"/>
          </w:tcPr>
          <w:p w14:paraId="3A8A8FB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3.11</w:t>
            </w:r>
          </w:p>
        </w:tc>
        <w:tc>
          <w:tcPr>
            <w:tcW w:w="1842" w:type="dxa"/>
            <w:vAlign w:val="center"/>
          </w:tcPr>
          <w:p w14:paraId="70B8A45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0.76</w:t>
            </w:r>
          </w:p>
        </w:tc>
        <w:tc>
          <w:tcPr>
            <w:tcW w:w="1746" w:type="dxa"/>
            <w:vAlign w:val="center"/>
          </w:tcPr>
          <w:p w14:paraId="768497C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Average</w:t>
            </w:r>
          </w:p>
        </w:tc>
      </w:tr>
      <w:tr w:rsidR="00FF4E0D" w:rsidRPr="00FF4E0D" w14:paraId="6527F649" w14:textId="77777777" w:rsidTr="00EA7AFF">
        <w:tc>
          <w:tcPr>
            <w:tcW w:w="4361" w:type="dxa"/>
          </w:tcPr>
          <w:p w14:paraId="72D98B9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Communication, collaboration, and learner support in digital environments</w:t>
            </w:r>
          </w:p>
        </w:tc>
        <w:tc>
          <w:tcPr>
            <w:tcW w:w="1843" w:type="dxa"/>
            <w:vAlign w:val="center"/>
          </w:tcPr>
          <w:p w14:paraId="1ECC273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3.55</w:t>
            </w:r>
          </w:p>
        </w:tc>
        <w:tc>
          <w:tcPr>
            <w:tcW w:w="1842" w:type="dxa"/>
            <w:vAlign w:val="center"/>
          </w:tcPr>
          <w:p w14:paraId="19097EC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0.66</w:t>
            </w:r>
          </w:p>
        </w:tc>
        <w:tc>
          <w:tcPr>
            <w:tcW w:w="1746" w:type="dxa"/>
            <w:vAlign w:val="center"/>
          </w:tcPr>
          <w:p w14:paraId="1C50DC8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Good</w:t>
            </w:r>
          </w:p>
        </w:tc>
      </w:tr>
      <w:tr w:rsidR="00FF4E0D" w:rsidRPr="00FF4E0D" w14:paraId="5F5398DB" w14:textId="77777777" w:rsidTr="00EA7AFF">
        <w:tc>
          <w:tcPr>
            <w:tcW w:w="4361" w:type="dxa"/>
          </w:tcPr>
          <w:p w14:paraId="49203BE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Professional development and research in digital environments</w:t>
            </w:r>
          </w:p>
        </w:tc>
        <w:tc>
          <w:tcPr>
            <w:tcW w:w="1843" w:type="dxa"/>
            <w:vAlign w:val="center"/>
          </w:tcPr>
          <w:p w14:paraId="74A7615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3.08</w:t>
            </w:r>
          </w:p>
        </w:tc>
        <w:tc>
          <w:tcPr>
            <w:tcW w:w="1842" w:type="dxa"/>
            <w:vAlign w:val="center"/>
          </w:tcPr>
          <w:p w14:paraId="544E1E9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0.74</w:t>
            </w:r>
          </w:p>
        </w:tc>
        <w:tc>
          <w:tcPr>
            <w:tcW w:w="1746" w:type="dxa"/>
            <w:vAlign w:val="center"/>
          </w:tcPr>
          <w:p w14:paraId="53F7AA7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Average</w:t>
            </w:r>
          </w:p>
        </w:tc>
      </w:tr>
      <w:tr w:rsidR="00FF4E0D" w:rsidRPr="00FF4E0D" w14:paraId="7CFDA1FC" w14:textId="77777777" w:rsidTr="00EA7AFF">
        <w:tc>
          <w:tcPr>
            <w:tcW w:w="4361" w:type="dxa"/>
          </w:tcPr>
          <w:p w14:paraId="251BEC8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Digital safety, ethics, and responsibility</w:t>
            </w:r>
          </w:p>
        </w:tc>
        <w:tc>
          <w:tcPr>
            <w:tcW w:w="1843" w:type="dxa"/>
            <w:vAlign w:val="center"/>
          </w:tcPr>
          <w:p w14:paraId="3B4E41F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3.44</w:t>
            </w:r>
          </w:p>
        </w:tc>
        <w:tc>
          <w:tcPr>
            <w:tcW w:w="1842" w:type="dxa"/>
            <w:vAlign w:val="center"/>
          </w:tcPr>
          <w:p w14:paraId="4444DC9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0.65</w:t>
            </w:r>
          </w:p>
        </w:tc>
        <w:tc>
          <w:tcPr>
            <w:tcW w:w="1746" w:type="dxa"/>
            <w:vAlign w:val="center"/>
          </w:tcPr>
          <w:p w14:paraId="20D0955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Good</w:t>
            </w:r>
          </w:p>
        </w:tc>
      </w:tr>
      <w:tr w:rsidR="00FF4E0D" w:rsidRPr="00FF4E0D" w14:paraId="7A625F7A" w14:textId="77777777" w:rsidTr="00EA7AFF">
        <w:tc>
          <w:tcPr>
            <w:tcW w:w="4361" w:type="dxa"/>
          </w:tcPr>
          <w:p w14:paraId="293C4506"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Overall mean score</w:t>
            </w:r>
          </w:p>
        </w:tc>
        <w:tc>
          <w:tcPr>
            <w:tcW w:w="1843" w:type="dxa"/>
            <w:vAlign w:val="center"/>
          </w:tcPr>
          <w:p w14:paraId="0830B00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3.36</w:t>
            </w:r>
          </w:p>
        </w:tc>
        <w:tc>
          <w:tcPr>
            <w:tcW w:w="1842" w:type="dxa"/>
            <w:vAlign w:val="center"/>
          </w:tcPr>
          <w:p w14:paraId="4EDEB764"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0.58</w:t>
            </w:r>
          </w:p>
        </w:tc>
        <w:tc>
          <w:tcPr>
            <w:tcW w:w="1746" w:type="dxa"/>
            <w:vAlign w:val="center"/>
          </w:tcPr>
          <w:p w14:paraId="512E5AE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Average</w:t>
            </w:r>
          </w:p>
        </w:tc>
      </w:tr>
    </w:tbl>
    <w:p w14:paraId="2AF5CC6C" w14:textId="77777777" w:rsidR="006027D5" w:rsidRPr="00FF4E0D" w:rsidRDefault="006027D5" w:rsidP="00EA7AFF">
      <w:pPr>
        <w:shd w:val="clear" w:color="auto" w:fill="FFFFFF" w:themeFill="background1"/>
        <w:spacing w:after="0" w:line="240" w:lineRule="auto"/>
        <w:rPr>
          <w:rFonts w:cs="Times New Roman"/>
          <w:szCs w:val="24"/>
        </w:rPr>
      </w:pPr>
    </w:p>
    <w:p w14:paraId="32B023E0" w14:textId="77777777" w:rsidR="002815BF" w:rsidRDefault="001E24BB" w:rsidP="002815B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research results show that the overall digital competence of lecturers at </w:t>
      </w:r>
      <w:r w:rsidR="00EA7AFF" w:rsidRPr="00FF4E0D">
        <w:rPr>
          <w:rFonts w:cs="Times New Roman"/>
          <w:szCs w:val="24"/>
        </w:rPr>
        <w:t>Da Nang Sports University</w:t>
      </w:r>
      <w:r w:rsidRPr="00FF4E0D">
        <w:rPr>
          <w:rFonts w:cs="Times New Roman"/>
          <w:szCs w:val="24"/>
        </w:rPr>
        <w:t xml:space="preserve"> reached Mean = 3.36, classified as average but approaching the good level. The domain of professional development and research in digital environments had the lowest score, with Mean = 3.08, followed by learner assessment using digital technology, with Mean = 3.11. These results indicate that lecturers’ digital competence is currently more clearly developed at the level of basic tool-use skills, whereas competences deeply integrated into pedagogy, assessment, research, and physical education and sports coaching remain limited.</w:t>
      </w:r>
    </w:p>
    <w:p w14:paraId="2A5D1DA5" w14:textId="77777777" w:rsidR="009A2F9B" w:rsidRDefault="002815BF" w:rsidP="002815BF">
      <w:pPr>
        <w:shd w:val="clear" w:color="auto" w:fill="FFFFFF" w:themeFill="background1"/>
        <w:spacing w:after="0" w:line="240" w:lineRule="auto"/>
        <w:ind w:firstLine="432"/>
        <w:jc w:val="both"/>
      </w:pPr>
      <w:r w:rsidRPr="002815BF">
        <w:rPr>
          <w:highlight w:val="yellow"/>
        </w:rPr>
        <w:t>This pattern is consistent with previous studies showing that lecturers tend to perform better in basic digital operations and professional communication than in digital assessment, data-informed pedagogy, and research-related digital practices (</w:t>
      </w:r>
      <w:proofErr w:type="spellStart"/>
      <w:r w:rsidRPr="002815BF">
        <w:rPr>
          <w:highlight w:val="yellow"/>
        </w:rPr>
        <w:t>Basilotta</w:t>
      </w:r>
      <w:proofErr w:type="spellEnd"/>
      <w:r w:rsidRPr="002815BF">
        <w:rPr>
          <w:highlight w:val="yellow"/>
        </w:rPr>
        <w:t xml:space="preserve">-Gómez-Pablos et al., 2022; Dang et al., 2024; Inamorato dos Santos et al., 2023). In addition, the relatively low scores in technology-supported assessment and practical-course integration confirm the argument that physical education and sports require a more contextualized approach to digital competence, because technology must support </w:t>
      </w:r>
      <w:r w:rsidRPr="002815BF">
        <w:rPr>
          <w:highlight w:val="yellow"/>
        </w:rPr>
        <w:lastRenderedPageBreak/>
        <w:t>observation, movement feedback, practice monitoring, and performance-based evaluation rather than merely online content delivery (Wallace et al., 2023).</w:t>
      </w:r>
    </w:p>
    <w:p w14:paraId="5147118A" w14:textId="77777777" w:rsidR="006027D5" w:rsidRPr="00FF4E0D" w:rsidRDefault="001E24BB" w:rsidP="00EA7AFF">
      <w:pPr>
        <w:pStyle w:val="Heading2"/>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 xml:space="preserve">3.2. Factors Affecting the Digital Competence of Lecturers at </w:t>
      </w:r>
      <w:r w:rsidR="00EA7AFF" w:rsidRPr="00FF4E0D">
        <w:rPr>
          <w:rFonts w:ascii="Times New Roman" w:eastAsia="Times New Roman" w:hAnsi="Times New Roman" w:cs="Times New Roman"/>
          <w:color w:val="auto"/>
          <w:sz w:val="24"/>
          <w:szCs w:val="24"/>
        </w:rPr>
        <w:t>Da Nang Sports</w:t>
      </w:r>
      <w:r w:rsidR="00EA7AFF" w:rsidRPr="00FF4E0D">
        <w:rPr>
          <w:rFonts w:ascii="Times New Roman" w:hAnsi="Times New Roman" w:cs="Times New Roman"/>
          <w:color w:val="auto"/>
          <w:szCs w:val="24"/>
        </w:rPr>
        <w:t xml:space="preserve"> </w:t>
      </w:r>
      <w:r w:rsidR="00EA7AFF" w:rsidRPr="00FF4E0D">
        <w:rPr>
          <w:rFonts w:ascii="Times New Roman" w:eastAsia="Times New Roman" w:hAnsi="Times New Roman" w:cs="Times New Roman"/>
          <w:color w:val="auto"/>
          <w:sz w:val="24"/>
          <w:szCs w:val="24"/>
        </w:rPr>
        <w:t>University</w:t>
      </w:r>
      <w:r w:rsidRPr="00FF4E0D">
        <w:rPr>
          <w:rFonts w:ascii="Times New Roman" w:eastAsia="Times New Roman" w:hAnsi="Times New Roman" w:cs="Times New Roman"/>
          <w:color w:val="auto"/>
          <w:sz w:val="24"/>
          <w:szCs w:val="24"/>
        </w:rPr>
        <w:t>, Vietnam</w:t>
      </w:r>
    </w:p>
    <w:p w14:paraId="2E78C9BA"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In addition to assessing the current status of digital competence, the study further examined factors affecting the formation and development of lecturers’ digital competence. These factors were identified based on the questionnaire, including facilities and technological infrastructure, university incentive policies, training programs, time for self-study and technology experimentation, the distinctive characteristics of practical physical education and sports courses, technical support, lecturers’ awareness and readiness for innovation, and their perceptions of the role of digital technology in improving the quality of teaching, coaching, and learner assessment.</w:t>
      </w:r>
    </w:p>
    <w:p w14:paraId="6ADFC24E"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10. Descriptive Statistics for Factors Affecting Lecturers’ Digital Competence</w:t>
      </w:r>
    </w:p>
    <w:tbl>
      <w:tblPr>
        <w:tblStyle w:val="TableGrid"/>
        <w:tblW w:w="0" w:type="auto"/>
        <w:tblLook w:val="04A0" w:firstRow="1" w:lastRow="0" w:firstColumn="1" w:lastColumn="0" w:noHBand="0" w:noVBand="1"/>
      </w:tblPr>
      <w:tblGrid>
        <w:gridCol w:w="5458"/>
        <w:gridCol w:w="1112"/>
        <w:gridCol w:w="978"/>
        <w:gridCol w:w="1031"/>
        <w:gridCol w:w="1203"/>
      </w:tblGrid>
      <w:tr w:rsidR="00FF4E0D" w:rsidRPr="00FF4E0D" w14:paraId="68F47B33" w14:textId="77777777" w:rsidTr="00EA7AFF">
        <w:tc>
          <w:tcPr>
            <w:tcW w:w="5637" w:type="dxa"/>
            <w:vAlign w:val="center"/>
          </w:tcPr>
          <w:p w14:paraId="252E0D18"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Observed variable</w:t>
            </w:r>
          </w:p>
        </w:tc>
        <w:tc>
          <w:tcPr>
            <w:tcW w:w="1134" w:type="dxa"/>
            <w:vAlign w:val="center"/>
          </w:tcPr>
          <w:p w14:paraId="72B914C7"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Min</w:t>
            </w:r>
          </w:p>
        </w:tc>
        <w:tc>
          <w:tcPr>
            <w:tcW w:w="992" w:type="dxa"/>
            <w:vAlign w:val="center"/>
          </w:tcPr>
          <w:p w14:paraId="415F05F0"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Max</w:t>
            </w:r>
          </w:p>
        </w:tc>
        <w:tc>
          <w:tcPr>
            <w:tcW w:w="1042" w:type="dxa"/>
            <w:vAlign w:val="center"/>
          </w:tcPr>
          <w:p w14:paraId="75739489"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Mean</w:t>
            </w:r>
          </w:p>
        </w:tc>
        <w:tc>
          <w:tcPr>
            <w:tcW w:w="1203" w:type="dxa"/>
            <w:vAlign w:val="center"/>
          </w:tcPr>
          <w:p w14:paraId="6E164F7E" w14:textId="77777777" w:rsidR="006027D5" w:rsidRPr="00FF4E0D" w:rsidRDefault="001E24BB" w:rsidP="00EA7AFF">
            <w:pPr>
              <w:shd w:val="clear" w:color="auto" w:fill="FFFFFF" w:themeFill="background1"/>
              <w:jc w:val="center"/>
              <w:rPr>
                <w:rFonts w:cs="Times New Roman"/>
                <w:szCs w:val="24"/>
              </w:rPr>
            </w:pPr>
            <w:r w:rsidRPr="00FF4E0D">
              <w:rPr>
                <w:rFonts w:cs="Times New Roman"/>
                <w:b/>
                <w:szCs w:val="24"/>
              </w:rPr>
              <w:t>Std. Deviation</w:t>
            </w:r>
          </w:p>
        </w:tc>
      </w:tr>
      <w:tr w:rsidR="00FF4E0D" w:rsidRPr="00FF4E0D" w14:paraId="2726C26F" w14:textId="77777777" w:rsidTr="00EA7AFF">
        <w:tc>
          <w:tcPr>
            <w:tcW w:w="5637" w:type="dxa"/>
          </w:tcPr>
          <w:p w14:paraId="0627390F"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AF1. The university’s facilities and technological infrastructure meet the needs of applying digital technology in teaching</w:t>
            </w:r>
          </w:p>
        </w:tc>
        <w:tc>
          <w:tcPr>
            <w:tcW w:w="1134" w:type="dxa"/>
            <w:vAlign w:val="center"/>
          </w:tcPr>
          <w:p w14:paraId="29C4ACA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992" w:type="dxa"/>
            <w:vAlign w:val="center"/>
          </w:tcPr>
          <w:p w14:paraId="7920189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5F5D6E1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3.12</w:t>
            </w:r>
          </w:p>
        </w:tc>
        <w:tc>
          <w:tcPr>
            <w:tcW w:w="1203" w:type="dxa"/>
            <w:vAlign w:val="center"/>
          </w:tcPr>
          <w:p w14:paraId="1E54680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0.82</w:t>
            </w:r>
          </w:p>
        </w:tc>
      </w:tr>
      <w:tr w:rsidR="00FF4E0D" w:rsidRPr="00FF4E0D" w14:paraId="5D537352" w14:textId="77777777" w:rsidTr="00EA7AFF">
        <w:tc>
          <w:tcPr>
            <w:tcW w:w="5637" w:type="dxa"/>
          </w:tcPr>
          <w:p w14:paraId="14FDEE86"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AF2. The university has policies to encourage lecturers to apply digital technology in teaching, coaching, and research</w:t>
            </w:r>
          </w:p>
        </w:tc>
        <w:tc>
          <w:tcPr>
            <w:tcW w:w="1134" w:type="dxa"/>
            <w:vAlign w:val="center"/>
          </w:tcPr>
          <w:p w14:paraId="6CB4481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992" w:type="dxa"/>
            <w:vAlign w:val="center"/>
          </w:tcPr>
          <w:p w14:paraId="5B3FA50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33A9E5D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3.01</w:t>
            </w:r>
          </w:p>
        </w:tc>
        <w:tc>
          <w:tcPr>
            <w:tcW w:w="1203" w:type="dxa"/>
            <w:vAlign w:val="center"/>
          </w:tcPr>
          <w:p w14:paraId="17E23D39"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0.79</w:t>
            </w:r>
          </w:p>
        </w:tc>
      </w:tr>
      <w:tr w:rsidR="00FF4E0D" w:rsidRPr="00FF4E0D" w14:paraId="7F5AE4DB" w14:textId="77777777" w:rsidTr="00EA7AFF">
        <w:tc>
          <w:tcPr>
            <w:tcW w:w="5637" w:type="dxa"/>
          </w:tcPr>
          <w:p w14:paraId="657BF2C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AF3. Training programs on digital technology are aligned with lecturers’ practical needs</w:t>
            </w:r>
          </w:p>
        </w:tc>
        <w:tc>
          <w:tcPr>
            <w:tcW w:w="1134" w:type="dxa"/>
            <w:vAlign w:val="center"/>
          </w:tcPr>
          <w:p w14:paraId="5F1E461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992" w:type="dxa"/>
            <w:vAlign w:val="center"/>
          </w:tcPr>
          <w:p w14:paraId="2772B85E"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7717BED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2.96</w:t>
            </w:r>
          </w:p>
        </w:tc>
        <w:tc>
          <w:tcPr>
            <w:tcW w:w="1203" w:type="dxa"/>
            <w:vAlign w:val="center"/>
          </w:tcPr>
          <w:p w14:paraId="6501565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0.84</w:t>
            </w:r>
          </w:p>
        </w:tc>
      </w:tr>
      <w:tr w:rsidR="00FF4E0D" w:rsidRPr="00FF4E0D" w14:paraId="5C3B01B8" w14:textId="77777777" w:rsidTr="00EA7AFF">
        <w:tc>
          <w:tcPr>
            <w:tcW w:w="5637" w:type="dxa"/>
          </w:tcPr>
          <w:p w14:paraId="5D0A92CD"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AF4. Lecturers have sufficient time to self-study, experiment with, and apply digital technology in professional activities</w:t>
            </w:r>
          </w:p>
        </w:tc>
        <w:tc>
          <w:tcPr>
            <w:tcW w:w="1134" w:type="dxa"/>
            <w:vAlign w:val="center"/>
          </w:tcPr>
          <w:p w14:paraId="79AEBC6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1</w:t>
            </w:r>
          </w:p>
        </w:tc>
        <w:tc>
          <w:tcPr>
            <w:tcW w:w="992" w:type="dxa"/>
            <w:vAlign w:val="center"/>
          </w:tcPr>
          <w:p w14:paraId="3F7DC362"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56BD610A"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2.87</w:t>
            </w:r>
          </w:p>
        </w:tc>
        <w:tc>
          <w:tcPr>
            <w:tcW w:w="1203" w:type="dxa"/>
            <w:vAlign w:val="center"/>
          </w:tcPr>
          <w:p w14:paraId="3A409FB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0.86</w:t>
            </w:r>
          </w:p>
        </w:tc>
      </w:tr>
      <w:tr w:rsidR="00FF4E0D" w:rsidRPr="00FF4E0D" w14:paraId="3DB3F1E0" w14:textId="77777777" w:rsidTr="00EA7AFF">
        <w:tc>
          <w:tcPr>
            <w:tcW w:w="5637" w:type="dxa"/>
          </w:tcPr>
          <w:p w14:paraId="5EBDE76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AF5. The distinctive characteristics of practical physical education and sports courses make the application of digital technology more difficult</w:t>
            </w:r>
          </w:p>
        </w:tc>
        <w:tc>
          <w:tcPr>
            <w:tcW w:w="1134" w:type="dxa"/>
            <w:vAlign w:val="center"/>
          </w:tcPr>
          <w:p w14:paraId="36643CE8"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992" w:type="dxa"/>
            <w:vAlign w:val="center"/>
          </w:tcPr>
          <w:p w14:paraId="3E8150DF"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0208448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3.64</w:t>
            </w:r>
          </w:p>
        </w:tc>
        <w:tc>
          <w:tcPr>
            <w:tcW w:w="1203" w:type="dxa"/>
            <w:vAlign w:val="center"/>
          </w:tcPr>
          <w:p w14:paraId="12395D10"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0.73</w:t>
            </w:r>
          </w:p>
        </w:tc>
      </w:tr>
      <w:tr w:rsidR="00FF4E0D" w:rsidRPr="00FF4E0D" w14:paraId="2479E7A4" w14:textId="77777777" w:rsidTr="00EA7AFF">
        <w:tc>
          <w:tcPr>
            <w:tcW w:w="5637" w:type="dxa"/>
          </w:tcPr>
          <w:p w14:paraId="3B52FEA9"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AF6. Technical support from the university greatly affects lecturers’ ability to apply digital technology</w:t>
            </w:r>
          </w:p>
        </w:tc>
        <w:tc>
          <w:tcPr>
            <w:tcW w:w="1134" w:type="dxa"/>
            <w:vAlign w:val="center"/>
          </w:tcPr>
          <w:p w14:paraId="7A005C8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992" w:type="dxa"/>
            <w:vAlign w:val="center"/>
          </w:tcPr>
          <w:p w14:paraId="7AEA9DA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15AEFE31"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3.57</w:t>
            </w:r>
          </w:p>
        </w:tc>
        <w:tc>
          <w:tcPr>
            <w:tcW w:w="1203" w:type="dxa"/>
            <w:vAlign w:val="center"/>
          </w:tcPr>
          <w:p w14:paraId="755A4E47"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0.75</w:t>
            </w:r>
          </w:p>
        </w:tc>
      </w:tr>
      <w:tr w:rsidR="00FF4E0D" w:rsidRPr="00FF4E0D" w14:paraId="27264C6B" w14:textId="77777777" w:rsidTr="00EA7AFF">
        <w:tc>
          <w:tcPr>
            <w:tcW w:w="5637" w:type="dxa"/>
          </w:tcPr>
          <w:p w14:paraId="73B83D24"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AF7. Lecturers’ awareness and readiness for innovation directly affect the development of digital competence</w:t>
            </w:r>
          </w:p>
        </w:tc>
        <w:tc>
          <w:tcPr>
            <w:tcW w:w="1134" w:type="dxa"/>
            <w:vAlign w:val="center"/>
          </w:tcPr>
          <w:p w14:paraId="7E0E819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992" w:type="dxa"/>
            <w:vAlign w:val="center"/>
          </w:tcPr>
          <w:p w14:paraId="0D8F67D6"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518F43B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3.71</w:t>
            </w:r>
          </w:p>
        </w:tc>
        <w:tc>
          <w:tcPr>
            <w:tcW w:w="1203" w:type="dxa"/>
            <w:vAlign w:val="center"/>
          </w:tcPr>
          <w:p w14:paraId="0025046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0.68</w:t>
            </w:r>
          </w:p>
        </w:tc>
      </w:tr>
      <w:tr w:rsidR="00FF4E0D" w:rsidRPr="00FF4E0D" w14:paraId="78F1A83F" w14:textId="77777777" w:rsidTr="00EA7AFF">
        <w:tc>
          <w:tcPr>
            <w:tcW w:w="5637" w:type="dxa"/>
          </w:tcPr>
          <w:p w14:paraId="034E616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AF8. The application of digital technology helps improve the quality of teaching, coaching, and learner assessment</w:t>
            </w:r>
          </w:p>
        </w:tc>
        <w:tc>
          <w:tcPr>
            <w:tcW w:w="1134" w:type="dxa"/>
            <w:vAlign w:val="center"/>
          </w:tcPr>
          <w:p w14:paraId="70FBFEBD"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2</w:t>
            </w:r>
          </w:p>
        </w:tc>
        <w:tc>
          <w:tcPr>
            <w:tcW w:w="992" w:type="dxa"/>
            <w:vAlign w:val="center"/>
          </w:tcPr>
          <w:p w14:paraId="0E6893B3"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5</w:t>
            </w:r>
          </w:p>
        </w:tc>
        <w:tc>
          <w:tcPr>
            <w:tcW w:w="1042" w:type="dxa"/>
            <w:vAlign w:val="center"/>
          </w:tcPr>
          <w:p w14:paraId="5CF6E7F5"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3.79</w:t>
            </w:r>
          </w:p>
        </w:tc>
        <w:tc>
          <w:tcPr>
            <w:tcW w:w="1203" w:type="dxa"/>
            <w:vAlign w:val="center"/>
          </w:tcPr>
          <w:p w14:paraId="072D891C" w14:textId="77777777" w:rsidR="006027D5" w:rsidRPr="00FF4E0D" w:rsidRDefault="001E24BB" w:rsidP="00EA7AFF">
            <w:pPr>
              <w:shd w:val="clear" w:color="auto" w:fill="FFFFFF" w:themeFill="background1"/>
              <w:jc w:val="center"/>
              <w:rPr>
                <w:rFonts w:cs="Times New Roman"/>
                <w:szCs w:val="24"/>
              </w:rPr>
            </w:pPr>
            <w:r w:rsidRPr="00FF4E0D">
              <w:rPr>
                <w:rFonts w:cs="Times New Roman"/>
                <w:szCs w:val="24"/>
              </w:rPr>
              <w:t>0.66</w:t>
            </w:r>
          </w:p>
        </w:tc>
      </w:tr>
    </w:tbl>
    <w:p w14:paraId="69D0781D" w14:textId="77777777" w:rsidR="006027D5" w:rsidRPr="00FF4E0D" w:rsidRDefault="006027D5" w:rsidP="00EA7AFF">
      <w:pPr>
        <w:shd w:val="clear" w:color="auto" w:fill="FFFFFF" w:themeFill="background1"/>
        <w:spacing w:after="0" w:line="240" w:lineRule="auto"/>
        <w:rPr>
          <w:rFonts w:cs="Times New Roman"/>
          <w:szCs w:val="24"/>
        </w:rPr>
      </w:pPr>
    </w:p>
    <w:p w14:paraId="7D9CDADB"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research results show a clear differentiation among the factors affecting lecturers’ digital competence. The two factors with the highest mean scores were awareness of the role of digital technology in improving the quality of teaching, coaching, and learner assessment (AF8, </w:t>
      </w:r>
      <w:proofErr w:type="gramStart"/>
      <w:r w:rsidRPr="00FF4E0D">
        <w:rPr>
          <w:rFonts w:cs="Times New Roman"/>
          <w:szCs w:val="24"/>
        </w:rPr>
        <w:t>Mean</w:t>
      </w:r>
      <w:proofErr w:type="gramEnd"/>
      <w:r w:rsidRPr="00FF4E0D">
        <w:rPr>
          <w:rFonts w:cs="Times New Roman"/>
          <w:szCs w:val="24"/>
        </w:rPr>
        <w:t xml:space="preserve"> = 3.79) and lecturers’ readiness for innovation (AF7, Mean = 3.71). This indicates that most lecturers are aware of the significance of digital technology and hold a positive attitude toward the requirement for professional innovation. Notably, the distinctive characteristics of practical physical education and sports courses also scored relatively high (AF5, Mean = 3.64). This result reflects the specific difficulties involved in applying digital technology to physical education and sports training, especially in content related to movement observation, technical assessment, physical-fitness monitoring, and feedback on training processes.</w:t>
      </w:r>
    </w:p>
    <w:p w14:paraId="0584FA19"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lastRenderedPageBreak/>
        <w:t xml:space="preserve">Meanwhile, support conditions were rated lower, including technological infrastructure (AF1, </w:t>
      </w:r>
      <w:proofErr w:type="gramStart"/>
      <w:r w:rsidRPr="00FF4E0D">
        <w:rPr>
          <w:rFonts w:cs="Times New Roman"/>
          <w:szCs w:val="24"/>
        </w:rPr>
        <w:t>Mean</w:t>
      </w:r>
      <w:proofErr w:type="gramEnd"/>
      <w:r w:rsidRPr="00FF4E0D">
        <w:rPr>
          <w:rFonts w:cs="Times New Roman"/>
          <w:szCs w:val="24"/>
        </w:rPr>
        <w:t xml:space="preserve"> = 3.12), incentive policies (AF2, </w:t>
      </w:r>
      <w:proofErr w:type="gramStart"/>
      <w:r w:rsidRPr="00FF4E0D">
        <w:rPr>
          <w:rFonts w:cs="Times New Roman"/>
          <w:szCs w:val="24"/>
        </w:rPr>
        <w:t>Mean</w:t>
      </w:r>
      <w:proofErr w:type="gramEnd"/>
      <w:r w:rsidRPr="00FF4E0D">
        <w:rPr>
          <w:rFonts w:cs="Times New Roman"/>
          <w:szCs w:val="24"/>
        </w:rPr>
        <w:t xml:space="preserve"> = 3.01), training programs (AF3, </w:t>
      </w:r>
      <w:proofErr w:type="gramStart"/>
      <w:r w:rsidRPr="00FF4E0D">
        <w:rPr>
          <w:rFonts w:cs="Times New Roman"/>
          <w:szCs w:val="24"/>
        </w:rPr>
        <w:t>Mean</w:t>
      </w:r>
      <w:proofErr w:type="gramEnd"/>
      <w:r w:rsidRPr="00FF4E0D">
        <w:rPr>
          <w:rFonts w:cs="Times New Roman"/>
          <w:szCs w:val="24"/>
        </w:rPr>
        <w:t xml:space="preserve"> = 2.96), and time for self-study and technology experimentation (AF4, Mean = 2.87). This shows that lecturers have a relatively positive perception of digital transformation, but the development of digital competence remains constrained by organizational conditions, support mechanisms, and the time available for professional innovation.</w:t>
      </w:r>
    </w:p>
    <w:p w14:paraId="597B5258"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The research results suggest that solutions to enhance lecturers’ digital competence should not focus solely on requiring individual lecturers to self-study or self-innovate. The university needs to create a synchronized support ecosystem, including training programs closely aligned with needs, technological infrastructure suitable for physical education and sports training, regular technical support mechanisms, policies encouraging the design of digital learning resources, and time allocated for experimenting with teaching innovation. This provides a direct basis for identifying training needs and proposing solutions in the following sections.</w:t>
      </w:r>
    </w:p>
    <w:p w14:paraId="6B12DBD3" w14:textId="77777777" w:rsidR="006027D5" w:rsidRPr="00FF4E0D" w:rsidRDefault="001E24BB" w:rsidP="00EA7AFF">
      <w:pPr>
        <w:pStyle w:val="Heading2"/>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 xml:space="preserve">3.3. Training Needs for Enhancing Digital Competence among Lecturers at </w:t>
      </w:r>
      <w:r w:rsidR="00EA7AFF" w:rsidRPr="00FF4E0D">
        <w:rPr>
          <w:rFonts w:ascii="Times New Roman" w:eastAsia="Times New Roman" w:hAnsi="Times New Roman" w:cs="Times New Roman"/>
          <w:color w:val="auto"/>
          <w:sz w:val="24"/>
          <w:szCs w:val="24"/>
        </w:rPr>
        <w:t>Da Nang Sports</w:t>
      </w:r>
      <w:r w:rsidR="00EA7AFF" w:rsidRPr="00FF4E0D">
        <w:rPr>
          <w:rFonts w:ascii="Times New Roman" w:hAnsi="Times New Roman" w:cs="Times New Roman"/>
          <w:color w:val="auto"/>
          <w:szCs w:val="24"/>
        </w:rPr>
        <w:t xml:space="preserve"> </w:t>
      </w:r>
      <w:r w:rsidR="00EA7AFF" w:rsidRPr="00FF4E0D">
        <w:rPr>
          <w:rFonts w:ascii="Times New Roman" w:eastAsia="Times New Roman" w:hAnsi="Times New Roman" w:cs="Times New Roman"/>
          <w:color w:val="auto"/>
          <w:sz w:val="24"/>
          <w:szCs w:val="24"/>
        </w:rPr>
        <w:t>University</w:t>
      </w:r>
      <w:r w:rsidRPr="00FF4E0D">
        <w:rPr>
          <w:rFonts w:ascii="Times New Roman" w:eastAsia="Times New Roman" w:hAnsi="Times New Roman" w:cs="Times New Roman"/>
          <w:color w:val="auto"/>
          <w:sz w:val="24"/>
          <w:szCs w:val="24"/>
        </w:rPr>
        <w:t>, Vietnam</w:t>
      </w:r>
    </w:p>
    <w:p w14:paraId="4D881008"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To establish the basis for proposing solutions, the study surveyed the digital competence training needs of 86 lecturers. The results show that lecturers have clear training needs, concentrated mainly on content directly associated with the distinctive characteristics of physical education and sports training.</w:t>
      </w:r>
    </w:p>
    <w:p w14:paraId="77DBEFC6" w14:textId="77777777" w:rsidR="006027D5" w:rsidRPr="00FF4E0D" w:rsidRDefault="001E24BB" w:rsidP="00EA7AFF">
      <w:pPr>
        <w:shd w:val="clear" w:color="auto" w:fill="FFFFFF" w:themeFill="background1"/>
        <w:spacing w:after="0" w:line="240" w:lineRule="auto"/>
        <w:jc w:val="center"/>
        <w:rPr>
          <w:rFonts w:cs="Times New Roman"/>
          <w:szCs w:val="24"/>
        </w:rPr>
      </w:pPr>
      <w:r w:rsidRPr="00FF4E0D">
        <w:rPr>
          <w:rFonts w:cs="Times New Roman"/>
          <w:b/>
          <w:szCs w:val="24"/>
        </w:rPr>
        <w:t>Table 11. Summary of Bases for Identifying Lecturers’ Digital Competence Training Needs</w:t>
      </w:r>
    </w:p>
    <w:tbl>
      <w:tblPr>
        <w:tblStyle w:val="TableGrid"/>
        <w:tblW w:w="0" w:type="auto"/>
        <w:tblLook w:val="04A0" w:firstRow="1" w:lastRow="0" w:firstColumn="1" w:lastColumn="0" w:noHBand="0" w:noVBand="1"/>
      </w:tblPr>
      <w:tblGrid>
        <w:gridCol w:w="3506"/>
        <w:gridCol w:w="1983"/>
        <w:gridCol w:w="2408"/>
        <w:gridCol w:w="1885"/>
      </w:tblGrid>
      <w:tr w:rsidR="00FF4E0D" w:rsidRPr="00FF4E0D" w14:paraId="284BF811" w14:textId="77777777" w:rsidTr="00FF4E0D">
        <w:tc>
          <w:tcPr>
            <w:tcW w:w="3510" w:type="dxa"/>
            <w:vAlign w:val="center"/>
          </w:tcPr>
          <w:p w14:paraId="4B8A7C36" w14:textId="77777777" w:rsidR="006027D5" w:rsidRPr="00FF4E0D" w:rsidRDefault="001E24BB" w:rsidP="00FF4E0D">
            <w:pPr>
              <w:shd w:val="clear" w:color="auto" w:fill="FFFFFF" w:themeFill="background1"/>
              <w:jc w:val="center"/>
              <w:rPr>
                <w:rFonts w:cs="Times New Roman"/>
                <w:szCs w:val="24"/>
              </w:rPr>
            </w:pPr>
            <w:r w:rsidRPr="00FF4E0D">
              <w:rPr>
                <w:rFonts w:cs="Times New Roman"/>
                <w:b/>
                <w:szCs w:val="24"/>
              </w:rPr>
              <w:t>Basis from survey results</w:t>
            </w:r>
          </w:p>
        </w:tc>
        <w:tc>
          <w:tcPr>
            <w:tcW w:w="1985" w:type="dxa"/>
            <w:vAlign w:val="center"/>
          </w:tcPr>
          <w:p w14:paraId="1ACBF212" w14:textId="77777777" w:rsidR="006027D5" w:rsidRPr="00FF4E0D" w:rsidRDefault="001E24BB" w:rsidP="00FF4E0D">
            <w:pPr>
              <w:shd w:val="clear" w:color="auto" w:fill="FFFFFF" w:themeFill="background1"/>
              <w:jc w:val="center"/>
              <w:rPr>
                <w:rFonts w:cs="Times New Roman"/>
                <w:szCs w:val="24"/>
              </w:rPr>
            </w:pPr>
            <w:r w:rsidRPr="00FF4E0D">
              <w:rPr>
                <w:rFonts w:cs="Times New Roman"/>
                <w:b/>
                <w:szCs w:val="24"/>
              </w:rPr>
              <w:t>Statistical evidence</w:t>
            </w:r>
          </w:p>
        </w:tc>
        <w:tc>
          <w:tcPr>
            <w:tcW w:w="2410" w:type="dxa"/>
            <w:vAlign w:val="center"/>
          </w:tcPr>
          <w:p w14:paraId="1D1256D6" w14:textId="77777777" w:rsidR="006027D5" w:rsidRPr="00FF4E0D" w:rsidRDefault="001E24BB" w:rsidP="00FF4E0D">
            <w:pPr>
              <w:shd w:val="clear" w:color="auto" w:fill="FFFFFF" w:themeFill="background1"/>
              <w:jc w:val="center"/>
              <w:rPr>
                <w:rFonts w:cs="Times New Roman"/>
                <w:szCs w:val="24"/>
              </w:rPr>
            </w:pPr>
            <w:r w:rsidRPr="00FF4E0D">
              <w:rPr>
                <w:rFonts w:cs="Times New Roman"/>
                <w:b/>
                <w:szCs w:val="24"/>
              </w:rPr>
              <w:t>Corresponding training need</w:t>
            </w:r>
          </w:p>
        </w:tc>
        <w:tc>
          <w:tcPr>
            <w:tcW w:w="1887" w:type="dxa"/>
            <w:vAlign w:val="center"/>
          </w:tcPr>
          <w:p w14:paraId="639A0F5B" w14:textId="77777777" w:rsidR="006027D5" w:rsidRPr="00FF4E0D" w:rsidRDefault="001E24BB" w:rsidP="00FF4E0D">
            <w:pPr>
              <w:shd w:val="clear" w:color="auto" w:fill="FFFFFF" w:themeFill="background1"/>
              <w:jc w:val="center"/>
              <w:rPr>
                <w:rFonts w:cs="Times New Roman"/>
                <w:szCs w:val="24"/>
              </w:rPr>
            </w:pPr>
            <w:r w:rsidRPr="00FF4E0D">
              <w:rPr>
                <w:rFonts w:cs="Times New Roman"/>
                <w:b/>
                <w:szCs w:val="24"/>
              </w:rPr>
              <w:t>Priority level</w:t>
            </w:r>
          </w:p>
        </w:tc>
      </w:tr>
      <w:tr w:rsidR="00FF4E0D" w:rsidRPr="00FF4E0D" w14:paraId="37B7519C" w14:textId="77777777" w:rsidTr="00FF4E0D">
        <w:tc>
          <w:tcPr>
            <w:tcW w:w="3510" w:type="dxa"/>
          </w:tcPr>
          <w:p w14:paraId="05786E22"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The distinctive characteristics of practical physical education and sports courses make digital technology application difficult</w:t>
            </w:r>
          </w:p>
        </w:tc>
        <w:tc>
          <w:tcPr>
            <w:tcW w:w="1985" w:type="dxa"/>
            <w:vAlign w:val="center"/>
          </w:tcPr>
          <w:p w14:paraId="7825CC8A"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AF5: Mean = 3.64</w:t>
            </w:r>
          </w:p>
        </w:tc>
        <w:tc>
          <w:tcPr>
            <w:tcW w:w="2410" w:type="dxa"/>
          </w:tcPr>
          <w:p w14:paraId="5D24C131"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Application of digital technology in teaching practical courses</w:t>
            </w:r>
          </w:p>
        </w:tc>
        <w:tc>
          <w:tcPr>
            <w:tcW w:w="1887" w:type="dxa"/>
            <w:vAlign w:val="center"/>
          </w:tcPr>
          <w:p w14:paraId="661466C4"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61 responses, 70.9%</w:t>
            </w:r>
          </w:p>
        </w:tc>
      </w:tr>
      <w:tr w:rsidR="00FF4E0D" w:rsidRPr="00FF4E0D" w14:paraId="7F01A7FE" w14:textId="77777777" w:rsidTr="00FF4E0D">
        <w:tc>
          <w:tcPr>
            <w:tcW w:w="3510" w:type="dxa"/>
          </w:tcPr>
          <w:p w14:paraId="0EC29070"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Competence in designing digital learning resources remains at the average level</w:t>
            </w:r>
          </w:p>
        </w:tc>
        <w:tc>
          <w:tcPr>
            <w:tcW w:w="1985" w:type="dxa"/>
            <w:vAlign w:val="center"/>
          </w:tcPr>
          <w:p w14:paraId="592BC618"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DC2: Mean = 3.31</w:t>
            </w:r>
          </w:p>
        </w:tc>
        <w:tc>
          <w:tcPr>
            <w:tcW w:w="2410" w:type="dxa"/>
          </w:tcPr>
          <w:p w14:paraId="7F5B6367"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Development of digital learning resources, lecture videos, and interactive materials</w:t>
            </w:r>
          </w:p>
        </w:tc>
        <w:tc>
          <w:tcPr>
            <w:tcW w:w="1887" w:type="dxa"/>
            <w:vAlign w:val="center"/>
          </w:tcPr>
          <w:p w14:paraId="70015AB4"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58 responses, 67.4%</w:t>
            </w:r>
          </w:p>
        </w:tc>
      </w:tr>
      <w:tr w:rsidR="00FF4E0D" w:rsidRPr="00FF4E0D" w14:paraId="4A4276D4" w14:textId="77777777" w:rsidTr="00FF4E0D">
        <w:tc>
          <w:tcPr>
            <w:tcW w:w="3510" w:type="dxa"/>
          </w:tcPr>
          <w:p w14:paraId="7D96BE2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Competence in using technology to assess movement techniques remains limited</w:t>
            </w:r>
          </w:p>
        </w:tc>
        <w:tc>
          <w:tcPr>
            <w:tcW w:w="1985" w:type="dxa"/>
            <w:vAlign w:val="center"/>
          </w:tcPr>
          <w:p w14:paraId="1B0A846A"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DC4.4: Mean = 3.09</w:t>
            </w:r>
          </w:p>
        </w:tc>
        <w:tc>
          <w:tcPr>
            <w:tcW w:w="2410" w:type="dxa"/>
          </w:tcPr>
          <w:p w14:paraId="7D8695A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Use of videos/software to analyze sport movement techniques</w:t>
            </w:r>
          </w:p>
        </w:tc>
        <w:tc>
          <w:tcPr>
            <w:tcW w:w="1887" w:type="dxa"/>
            <w:vAlign w:val="center"/>
          </w:tcPr>
          <w:p w14:paraId="2F28C60C"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56 responses, 65.1%</w:t>
            </w:r>
          </w:p>
        </w:tc>
      </w:tr>
      <w:tr w:rsidR="00FF4E0D" w:rsidRPr="00FF4E0D" w14:paraId="412E9E40" w14:textId="77777777" w:rsidTr="00FF4E0D">
        <w:tc>
          <w:tcPr>
            <w:tcW w:w="3510" w:type="dxa"/>
          </w:tcPr>
          <w:p w14:paraId="72D56CE4"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The ability to self-learn and adapt to new technologies is not yet high</w:t>
            </w:r>
          </w:p>
        </w:tc>
        <w:tc>
          <w:tcPr>
            <w:tcW w:w="1985" w:type="dxa"/>
            <w:vAlign w:val="center"/>
          </w:tcPr>
          <w:p w14:paraId="00BF6AC8"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DC6.4: Mean = 3.05</w:t>
            </w:r>
          </w:p>
        </w:tc>
        <w:tc>
          <w:tcPr>
            <w:tcW w:w="2410" w:type="dxa"/>
          </w:tcPr>
          <w:p w14:paraId="4A702930"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Application of artificial intelligence in teaching and research</w:t>
            </w:r>
          </w:p>
        </w:tc>
        <w:tc>
          <w:tcPr>
            <w:tcW w:w="1887" w:type="dxa"/>
            <w:vAlign w:val="center"/>
          </w:tcPr>
          <w:p w14:paraId="4BE8E88F"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49 responses, 57.0%</w:t>
            </w:r>
          </w:p>
        </w:tc>
      </w:tr>
      <w:tr w:rsidR="00FF4E0D" w:rsidRPr="00FF4E0D" w14:paraId="0173DBF6" w14:textId="77777777" w:rsidTr="00FF4E0D">
        <w:tc>
          <w:tcPr>
            <w:tcW w:w="3510" w:type="dxa"/>
          </w:tcPr>
          <w:p w14:paraId="3479D119"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Electronic lecture design competence is only at a relatively low good level</w:t>
            </w:r>
          </w:p>
        </w:tc>
        <w:tc>
          <w:tcPr>
            <w:tcW w:w="1985" w:type="dxa"/>
            <w:vAlign w:val="center"/>
          </w:tcPr>
          <w:p w14:paraId="40576960"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DC2.1: Mean = 3.46</w:t>
            </w:r>
          </w:p>
        </w:tc>
        <w:tc>
          <w:tcPr>
            <w:tcW w:w="2410" w:type="dxa"/>
          </w:tcPr>
          <w:p w14:paraId="747251AD"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Electronic lecture design</w:t>
            </w:r>
          </w:p>
        </w:tc>
        <w:tc>
          <w:tcPr>
            <w:tcW w:w="1887" w:type="dxa"/>
            <w:vAlign w:val="center"/>
          </w:tcPr>
          <w:p w14:paraId="60B456D4"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47 responses, 54.7%</w:t>
            </w:r>
          </w:p>
        </w:tc>
      </w:tr>
      <w:tr w:rsidR="00FF4E0D" w:rsidRPr="00FF4E0D" w14:paraId="06F46626" w14:textId="77777777" w:rsidTr="00FF4E0D">
        <w:tc>
          <w:tcPr>
            <w:tcW w:w="3510" w:type="dxa"/>
          </w:tcPr>
          <w:p w14:paraId="54CA10C8"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Teaching organization in digital environments is not yet stable</w:t>
            </w:r>
          </w:p>
        </w:tc>
        <w:tc>
          <w:tcPr>
            <w:tcW w:w="1985" w:type="dxa"/>
            <w:vAlign w:val="center"/>
          </w:tcPr>
          <w:p w14:paraId="66F2AD22"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DC3: Mean = 3.35</w:t>
            </w:r>
          </w:p>
        </w:tc>
        <w:tc>
          <w:tcPr>
            <w:tcW w:w="2410" w:type="dxa"/>
          </w:tcPr>
          <w:p w14:paraId="06E8ECEA"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Use of online teaching platforms/LMS</w:t>
            </w:r>
          </w:p>
        </w:tc>
        <w:tc>
          <w:tcPr>
            <w:tcW w:w="1887" w:type="dxa"/>
            <w:vAlign w:val="center"/>
          </w:tcPr>
          <w:p w14:paraId="30D56E47"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43 responses, 50.0%</w:t>
            </w:r>
          </w:p>
        </w:tc>
      </w:tr>
      <w:tr w:rsidR="00FF4E0D" w:rsidRPr="00FF4E0D" w14:paraId="24CAEED3" w14:textId="77777777" w:rsidTr="00FF4E0D">
        <w:tc>
          <w:tcPr>
            <w:tcW w:w="3510" w:type="dxa"/>
          </w:tcPr>
          <w:p w14:paraId="68FF76CD"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Digital assessment remains a weak area</w:t>
            </w:r>
          </w:p>
        </w:tc>
        <w:tc>
          <w:tcPr>
            <w:tcW w:w="1985" w:type="dxa"/>
            <w:vAlign w:val="center"/>
          </w:tcPr>
          <w:p w14:paraId="2B7D7CC0"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DC4: Mean = 3.11</w:t>
            </w:r>
          </w:p>
        </w:tc>
        <w:tc>
          <w:tcPr>
            <w:tcW w:w="2410" w:type="dxa"/>
          </w:tcPr>
          <w:p w14:paraId="0827A945"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Design of online testing and assessment</w:t>
            </w:r>
          </w:p>
        </w:tc>
        <w:tc>
          <w:tcPr>
            <w:tcW w:w="1887" w:type="dxa"/>
            <w:vAlign w:val="center"/>
          </w:tcPr>
          <w:p w14:paraId="74957589"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41 responses, 47.7%</w:t>
            </w:r>
          </w:p>
        </w:tc>
      </w:tr>
      <w:tr w:rsidR="00FF4E0D" w:rsidRPr="00FF4E0D" w14:paraId="340097EA" w14:textId="77777777" w:rsidTr="00FF4E0D">
        <w:tc>
          <w:tcPr>
            <w:tcW w:w="3510" w:type="dxa"/>
          </w:tcPr>
          <w:p w14:paraId="1838D76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Digital research competence is the lowest among all competence domains</w:t>
            </w:r>
          </w:p>
        </w:tc>
        <w:tc>
          <w:tcPr>
            <w:tcW w:w="1985" w:type="dxa"/>
            <w:vAlign w:val="center"/>
          </w:tcPr>
          <w:p w14:paraId="57ACD147"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DC6: Mean = 3.08</w:t>
            </w:r>
          </w:p>
        </w:tc>
        <w:tc>
          <w:tcPr>
            <w:tcW w:w="2410" w:type="dxa"/>
          </w:tcPr>
          <w:p w14:paraId="1BE56D7B"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 xml:space="preserve">Use of software for data processing, statistics, and </w:t>
            </w:r>
            <w:r w:rsidRPr="00FF4E0D">
              <w:rPr>
                <w:rFonts w:cs="Times New Roman"/>
                <w:szCs w:val="24"/>
              </w:rPr>
              <w:lastRenderedPageBreak/>
              <w:t>research-document management</w:t>
            </w:r>
          </w:p>
        </w:tc>
        <w:tc>
          <w:tcPr>
            <w:tcW w:w="1887" w:type="dxa"/>
            <w:vAlign w:val="center"/>
          </w:tcPr>
          <w:p w14:paraId="4BA5D59C"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lastRenderedPageBreak/>
              <w:t>39 responses, 45.3%</w:t>
            </w:r>
          </w:p>
        </w:tc>
      </w:tr>
      <w:tr w:rsidR="00FF4E0D" w:rsidRPr="00FF4E0D" w14:paraId="56FD95C6" w14:textId="77777777" w:rsidTr="00FF4E0D">
        <w:tc>
          <w:tcPr>
            <w:tcW w:w="3510" w:type="dxa"/>
          </w:tcPr>
          <w:p w14:paraId="15D0C879"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Digital safety, ethics, and responsibility need continued reinforcement</w:t>
            </w:r>
          </w:p>
        </w:tc>
        <w:tc>
          <w:tcPr>
            <w:tcW w:w="1985" w:type="dxa"/>
            <w:vAlign w:val="center"/>
          </w:tcPr>
          <w:p w14:paraId="05A782FB"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DC7: Mean = 3.44</w:t>
            </w:r>
          </w:p>
        </w:tc>
        <w:tc>
          <w:tcPr>
            <w:tcW w:w="2410" w:type="dxa"/>
          </w:tcPr>
          <w:p w14:paraId="0658936E" w14:textId="77777777" w:rsidR="006027D5" w:rsidRPr="00FF4E0D" w:rsidRDefault="001E24BB" w:rsidP="00FF4E0D">
            <w:pPr>
              <w:shd w:val="clear" w:color="auto" w:fill="FFFFFF" w:themeFill="background1"/>
              <w:jc w:val="both"/>
              <w:rPr>
                <w:rFonts w:cs="Times New Roman"/>
                <w:szCs w:val="24"/>
              </w:rPr>
            </w:pPr>
            <w:r w:rsidRPr="00FF4E0D">
              <w:rPr>
                <w:rFonts w:cs="Times New Roman"/>
                <w:szCs w:val="24"/>
              </w:rPr>
              <w:t>Information security, digital copyright, and academic ethics</w:t>
            </w:r>
          </w:p>
        </w:tc>
        <w:tc>
          <w:tcPr>
            <w:tcW w:w="1887" w:type="dxa"/>
            <w:vAlign w:val="center"/>
          </w:tcPr>
          <w:p w14:paraId="0F1C97F0" w14:textId="77777777" w:rsidR="006027D5" w:rsidRPr="00FF4E0D" w:rsidRDefault="001E24BB" w:rsidP="00FF4E0D">
            <w:pPr>
              <w:shd w:val="clear" w:color="auto" w:fill="FFFFFF" w:themeFill="background1"/>
              <w:jc w:val="center"/>
              <w:rPr>
                <w:rFonts w:cs="Times New Roman"/>
                <w:szCs w:val="24"/>
              </w:rPr>
            </w:pPr>
            <w:r w:rsidRPr="00FF4E0D">
              <w:rPr>
                <w:rFonts w:cs="Times New Roman"/>
                <w:szCs w:val="24"/>
              </w:rPr>
              <w:t>34 responses, 39.5%</w:t>
            </w:r>
          </w:p>
        </w:tc>
      </w:tr>
    </w:tbl>
    <w:p w14:paraId="5967A0A0" w14:textId="77777777" w:rsidR="006027D5" w:rsidRPr="00FF4E0D" w:rsidRDefault="006027D5" w:rsidP="00EA7AFF">
      <w:pPr>
        <w:shd w:val="clear" w:color="auto" w:fill="FFFFFF" w:themeFill="background1"/>
        <w:spacing w:after="0" w:line="240" w:lineRule="auto"/>
        <w:rPr>
          <w:rFonts w:cs="Times New Roman"/>
          <w:szCs w:val="24"/>
        </w:rPr>
      </w:pPr>
    </w:p>
    <w:p w14:paraId="7789EFD7"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The research results show that lecturers’ training needs are quite clearly aligned with the limitations identified in the assessment of the current situation and influencing factors. The most frequently selected content areas are all associated with the distinctive characteristics of physical education and sports training, including the application of digital technology in practical courses, the development of digital learning resources, and the use of videos/software to analyze movement techniques. This shows that lecturers’ training needs do not stop at general technological skills but are directed more toward competences that can be applied directly to teaching, coaching, and learner assessment. In addition, training needs related to artificial intelligence, electronic lecture design, LMS use, and online assessment also accounted for considerable proportions. These results reflect the need to develop digital competence in a direction that both strengthens foundational skills and gradually expands toward new technologies serving teaching and research. Therefore, future training programs should be designed in a tiered manner, prioritizing competences associated with practical physical education and sports teaching before expanding to digital assessment, digital research, and responsible AI use.</w:t>
      </w:r>
    </w:p>
    <w:p w14:paraId="01C30385"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The training needs with the highest selection rates are directly linked to the distinctive characteristics of physical education and sports training. Specifically, 70.9% of lecturers selected the application of digital technology in teaching practical courses; 67.4% selected the development of digital learning resources, lecture videos, and interactive materials; and 65.1% selected the use of videos or software to analyze sport movement techniques. This is consistent with the assessment results, in which competences related to digital learning-resource design, movement-technique assessment, and technology application in practical teaching remained mainly at the average level. In addition, training needs for applying artificial intelligence in teaching and research accounted for 57.0%; electronic lecture design accounted for 54.7%; and the use of online teaching platforms/LMS accounted for 50.0%. These figures show that lecturers have begun to pay attention to new digital tools, but their immediate priorities remain focused on skills that can be directly applied to teaching, coaching, assessment, and student support. In other words, lecturers’ training needs are clearly practical in nature and do not merely involve improving general understanding of digital transformation. Regarding training formats, the survey results show that lecturers prioritize flexible, practice-oriented forms linked to specific areas of professional expertise.</w:t>
      </w:r>
    </w:p>
    <w:p w14:paraId="316AB4E6" w14:textId="77777777" w:rsidR="006027D5" w:rsidRPr="00FF4E0D" w:rsidRDefault="001E24BB" w:rsidP="00EA7AFF">
      <w:pPr>
        <w:pStyle w:val="Heading1"/>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 xml:space="preserve">4. Solutions for Enhancing Digital Competence among Lecturers at </w:t>
      </w:r>
      <w:r w:rsidR="00EA7AFF" w:rsidRPr="00FF4E0D">
        <w:rPr>
          <w:rFonts w:ascii="Times New Roman" w:eastAsia="Times New Roman" w:hAnsi="Times New Roman" w:cs="Times New Roman"/>
          <w:color w:val="auto"/>
          <w:sz w:val="24"/>
          <w:szCs w:val="24"/>
        </w:rPr>
        <w:t>Da Nang Sports</w:t>
      </w:r>
      <w:r w:rsidR="00EA7AFF" w:rsidRPr="00FF4E0D">
        <w:rPr>
          <w:rFonts w:ascii="Times New Roman" w:hAnsi="Times New Roman" w:cs="Times New Roman"/>
          <w:color w:val="auto"/>
          <w:szCs w:val="24"/>
        </w:rPr>
        <w:t xml:space="preserve"> </w:t>
      </w:r>
      <w:r w:rsidR="00EA7AFF" w:rsidRPr="00FF4E0D">
        <w:rPr>
          <w:rFonts w:ascii="Times New Roman" w:eastAsia="Times New Roman" w:hAnsi="Times New Roman" w:cs="Times New Roman"/>
          <w:color w:val="auto"/>
          <w:sz w:val="24"/>
          <w:szCs w:val="24"/>
        </w:rPr>
        <w:t>University</w:t>
      </w:r>
      <w:r w:rsidRPr="00FF4E0D">
        <w:rPr>
          <w:rFonts w:ascii="Times New Roman" w:eastAsia="Times New Roman" w:hAnsi="Times New Roman" w:cs="Times New Roman"/>
          <w:color w:val="auto"/>
          <w:sz w:val="24"/>
          <w:szCs w:val="24"/>
        </w:rPr>
        <w:t>, Vietnam</w:t>
      </w:r>
    </w:p>
    <w:p w14:paraId="65AA9C25"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The survey results indicate that the digital competence of lecturers at </w:t>
      </w:r>
      <w:r w:rsidR="00EA7AFF" w:rsidRPr="00FF4E0D">
        <w:rPr>
          <w:rFonts w:cs="Times New Roman"/>
          <w:szCs w:val="24"/>
        </w:rPr>
        <w:t>Da Nang Sports University</w:t>
      </w:r>
      <w:r w:rsidRPr="00FF4E0D">
        <w:rPr>
          <w:rFonts w:cs="Times New Roman"/>
          <w:szCs w:val="24"/>
        </w:rPr>
        <w:t xml:space="preserve"> is currently at a high average level. Competences in basic technology use, digital communication, and digital safety are relatively strong, while more specialized competences such as digital learning-resource design, learner assessment using digital technology, technology application in practical courses, and professional development and digital research remain limited. These findings are consistent with the orientation of the research proposal, in which the research task is not limited to assessing the current situation but also aims to propose a feasible system of solutions for developing lecturers’ digital competence in the context of educational digital transformation. On this basis, the article proposes the following solutions:</w:t>
      </w:r>
    </w:p>
    <w:p w14:paraId="5D3517F3"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First, it is necessary to develop digital competence training programs in a tiered manner and in close connection with professional characteristics. The survey results show that lecturers’ training </w:t>
      </w:r>
      <w:r w:rsidRPr="00FF4E0D">
        <w:rPr>
          <w:rFonts w:cs="Times New Roman"/>
          <w:szCs w:val="24"/>
        </w:rPr>
        <w:lastRenderedPageBreak/>
        <w:t>needs are concentrated in content that can be directly applied to teaching, coaching, and learner assessment. Therefore, the university should not organize generic training courses that focus mainly on introducing tools. Instead, it needs to develop training programs based on specific competence domains. At the basic level, lecturers need to strengthen their skills in using online teaching platforms, managing digital materials, designing electronic lectures, and exploiting digital learning resources. At the advanced level, training should focus on the use of videos, movement-technique analysis software, online assessment design, exploitation of learning data, and the use of artificial intelligence in teaching and research. In particular, training programs should be grouped according to course characteristics: lecturers teaching theory, lecturers teaching practice, and lecturers teaching integrated theory-practice courses. This approach ensures that training activities are closely aligned with practical needs and avoids the situation in which broad-based training has limited transfer into teaching practice.</w:t>
      </w:r>
    </w:p>
    <w:p w14:paraId="58E49D51"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Second, the university should develop a system of digital learning resources serving both theoretical and practical physical education and sports courses. One of the clearest limitations revealed by the survey is that lecturers’ competence in designing and using digital learning resources remains at an average level, especially for practical courses. Therefore, the university needs to gradually build a shared digital resource repository, including electronic lectures, videos illustrating movement techniques, training guides, online question banks, practical-skill assessment rubrics, and resources supporting students’ out-of-class self-study. For practical subjects, technical videos and visual learning resources are especially important because they help students observe, compare, self-correct their movements, and monitor training progress. The development of digital learning resources should not be assigned entirely to individual lecturers; rather, it should be organized by professional groups, supported technically, and accompanied by quality appraisal mechanisms before resources are put into use.</w:t>
      </w:r>
    </w:p>
    <w:p w14:paraId="557416AC"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Third, technological infrastructure and technical support for digital teaching activities should be strengthened. The survey results show that technological infrastructure, technical support, and implementation conditions remain important factors affecting lecturers’ digital competence. Therefore, the university should prioritize upgrading internet connectivity, classrooms with stable presentation equipment, recording devices, cameras, microphones, software supporting learning-resource design, and tools for movement-technique analysis. For a university of physical education and sports, digital infrastructure is not limited to computers and internet networks; it should also include field-based recording equipment, video storage tools, motion-analysis software, and systems for managing students’ learning and training data. Alongside equipment investment, the university needs to establish a regular technical support unit or team to assist lecturers in addressing difficulties encountered during lecture design, operation of digital classes, resource development, and technology-enabled assessment.</w:t>
      </w:r>
    </w:p>
    <w:p w14:paraId="6196B40D"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Fourth, assessment activities should be innovated toward the integration of digital technology. Learner assessment using digital technology is one of the competence domains with low mean scores. This indicates that lecturers still face difficulties in designing online tests, using learning data, and assessing movement techniques through videos or supporting devices. Therefore, the university needs to guide lecturers in developing assessment forms that combine face-to-face and online methods, final outcome assessment and process-based assessment of learning and training. For practical courses, possible approaches include submission of technical videos, use of movement-assessment rubrics, storage of student progress portfolios, video feedback, or online comments. This approach makes assessment more transparent, more data-driven, and more supportive of learners’ self-adjustment.</w:t>
      </w:r>
    </w:p>
    <w:p w14:paraId="6D864251"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Fifth, the university should develop lecturers’ digital research competence and responsible use of artificial intelligence. The survey results show that professional development and research in digital environments is the competence domain with the lowest score. Therefore, lecturers need training in exploiting academic databases, using reference-management software, citation tools, data-processing software, and research-support platforms. In the context of the rapid development of artificial intelligence, the university should also organize specialized sessions on applying AI in lecture design, </w:t>
      </w:r>
      <w:r w:rsidRPr="00FF4E0D">
        <w:rPr>
          <w:rFonts w:cs="Times New Roman"/>
          <w:szCs w:val="24"/>
        </w:rPr>
        <w:lastRenderedPageBreak/>
        <w:t>literature search, question development, learning-feedback support, and research-data processing. However, the use of AI must be linked to the requirements of transparency, information verification, copyright protection, data security, and academic integrity. This is an important condition for ensuring that digital competence not only enables lecturers to work faster but also helps them work responsibly and in accordance with academic standards.</w:t>
      </w:r>
    </w:p>
    <w:p w14:paraId="52AB1755"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Sixth, it is necessary to establish incentive mechanisms and a culture of sharing in digital transformation. The development of digital competence cannot rely solely on the individual efforts of lecturers. The university needs clear mechanisms to encourage activities such as developing digital lectures, creating digital learning resources, innovating technology-enabled assessment, sharing learning resources, and applying technology in coaching. These products should be recognized in performance evaluation, emulation and commendation, professional appraisal, or teaching innovation activities. At the same time, communities of practice among lecturers should be established, in which experienced lecturers support those with more limited competence, departments jointly develop resource banks, and effective technology-application models are shared. A culture of sharing will help digital transformation cease to be merely an administrative task and become a continuous process of professional learning within the university.</w:t>
      </w:r>
    </w:p>
    <w:p w14:paraId="08AB061A" w14:textId="77777777" w:rsidR="009A2F9B" w:rsidRPr="002815BF" w:rsidRDefault="001E24BB" w:rsidP="002815B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Overall, solutions for enhancing the digital competence of lecturers at </w:t>
      </w:r>
      <w:r w:rsidR="00EA7AFF" w:rsidRPr="00FF4E0D">
        <w:rPr>
          <w:rFonts w:cs="Times New Roman"/>
          <w:szCs w:val="24"/>
        </w:rPr>
        <w:t>Da Nang Sports University</w:t>
      </w:r>
      <w:r w:rsidRPr="00FF4E0D">
        <w:rPr>
          <w:rFonts w:cs="Times New Roman"/>
          <w:szCs w:val="24"/>
        </w:rPr>
        <w:t xml:space="preserve"> need to be implemented synchronously across skill training, learning-resource development, infrastructure investment, assessment innovation, digital research capacity building, and incentive mechanisms. The focus of these solutions is not to require lecturers to use more digital tools, but to help them use technology appropriately, effectively, and in direct connection with the specific characteristics of teaching, coaching, and research in the field of physical education and sports.</w:t>
      </w:r>
    </w:p>
    <w:p w14:paraId="2415CE57" w14:textId="77777777" w:rsidR="006027D5" w:rsidRPr="002815BF" w:rsidRDefault="002815BF" w:rsidP="00EA7AFF">
      <w:pPr>
        <w:pStyle w:val="Heading1"/>
        <w:shd w:val="clear" w:color="auto" w:fill="FFFFFF" w:themeFill="background1"/>
        <w:spacing w:before="0" w:line="240" w:lineRule="auto"/>
        <w:rPr>
          <w:rFonts w:ascii="Times New Roman" w:hAnsi="Times New Roman" w:cs="Times New Roman"/>
          <w:color w:val="auto"/>
          <w:sz w:val="24"/>
          <w:szCs w:val="24"/>
        </w:rPr>
      </w:pPr>
      <w:r w:rsidRPr="002815BF">
        <w:rPr>
          <w:rFonts w:ascii="Times New Roman" w:hAnsi="Times New Roman" w:cs="Times New Roman"/>
          <w:color w:val="auto"/>
          <w:sz w:val="24"/>
          <w:szCs w:val="24"/>
        </w:rPr>
        <w:t>5</w:t>
      </w:r>
      <w:r w:rsidR="001E24BB" w:rsidRPr="002815BF">
        <w:rPr>
          <w:rFonts w:ascii="Times New Roman" w:hAnsi="Times New Roman" w:cs="Times New Roman"/>
          <w:color w:val="auto"/>
          <w:sz w:val="24"/>
          <w:szCs w:val="24"/>
        </w:rPr>
        <w:t>. Conclusion</w:t>
      </w:r>
    </w:p>
    <w:p w14:paraId="7399B09A" w14:textId="77777777" w:rsidR="006027D5" w:rsidRPr="00FF4E0D"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This study assessed the current status of digital competence among lecturers at </w:t>
      </w:r>
      <w:r w:rsidR="00EA7AFF" w:rsidRPr="00FF4E0D">
        <w:rPr>
          <w:rFonts w:cs="Times New Roman"/>
          <w:szCs w:val="24"/>
        </w:rPr>
        <w:t>Da Nang Sports University</w:t>
      </w:r>
      <w:r w:rsidRPr="00FF4E0D">
        <w:rPr>
          <w:rFonts w:cs="Times New Roman"/>
          <w:szCs w:val="24"/>
        </w:rPr>
        <w:t xml:space="preserve"> based on a survey of 86 lecturers, using a scale comprising seven competence domains and 28 observed variables. The results show that lecturers’ overall digital competence is at a high average level, approaching the good level, with an overall mean score of 3.36. Competences in basic digital technology use, communication and collaboration in digital environments, and digital safety and ethics reached the good level, while competences in digital learning-resource design, digital teaching organization, digital assessment, professional development, and digital research remained at the average level. The survey results also show that lecturers have a positive perception of the role of digital technology in improving the quality of teaching, coaching, and learner assessment. However, the development of digital competence continues to be influenced by technological infrastructure, incentive policies, training programs, technical support, time for self-study, and the distinctive characteristics of practical physical education and sports courses.</w:t>
      </w:r>
    </w:p>
    <w:p w14:paraId="6A18EB58" w14:textId="77777777" w:rsidR="006027D5" w:rsidRDefault="001E24BB" w:rsidP="00EA7AFF">
      <w:pPr>
        <w:shd w:val="clear" w:color="auto" w:fill="FFFFFF" w:themeFill="background1"/>
        <w:spacing w:after="0" w:line="240" w:lineRule="auto"/>
        <w:ind w:firstLine="432"/>
        <w:jc w:val="both"/>
        <w:rPr>
          <w:rFonts w:cs="Times New Roman"/>
          <w:szCs w:val="24"/>
        </w:rPr>
      </w:pPr>
      <w:r w:rsidRPr="00FF4E0D">
        <w:rPr>
          <w:rFonts w:cs="Times New Roman"/>
          <w:szCs w:val="24"/>
        </w:rPr>
        <w:t xml:space="preserve">On the basis of the research results, the article proposes several key solutions, including discipline-based digital competence training, the development of digital learning resources for theoretical and practical teaching, strengthened infrastructure and technical support, innovation in testing and assessment through digital technology, development of digital research competence, and responsible use of artificial intelligence. The synchronous implementation of these solutions will contribute to enhancing lecturers’ digital competence, meeting the requirements of digital transformation, and improving the training quality of </w:t>
      </w:r>
      <w:r w:rsidR="00EA7AFF" w:rsidRPr="00FF4E0D">
        <w:rPr>
          <w:rFonts w:cs="Times New Roman"/>
          <w:szCs w:val="24"/>
        </w:rPr>
        <w:t>Da Nang Sports University</w:t>
      </w:r>
      <w:r w:rsidRPr="00FF4E0D">
        <w:rPr>
          <w:rFonts w:cs="Times New Roman"/>
          <w:szCs w:val="24"/>
        </w:rPr>
        <w:t xml:space="preserve"> in the current period.</w:t>
      </w:r>
    </w:p>
    <w:p w14:paraId="59098248" w14:textId="77777777" w:rsidR="00B66CC7" w:rsidRDefault="00B66CC7" w:rsidP="00EA7AFF">
      <w:pPr>
        <w:shd w:val="clear" w:color="auto" w:fill="FFFFFF" w:themeFill="background1"/>
        <w:spacing w:after="0" w:line="240" w:lineRule="auto"/>
        <w:ind w:firstLine="432"/>
        <w:jc w:val="both"/>
        <w:rPr>
          <w:rFonts w:cs="Times New Roman"/>
          <w:szCs w:val="24"/>
        </w:rPr>
      </w:pPr>
    </w:p>
    <w:p w14:paraId="5CD7F2E6" w14:textId="77777777" w:rsidR="00B66CC7" w:rsidRDefault="00B66CC7" w:rsidP="00EA7AFF">
      <w:pPr>
        <w:shd w:val="clear" w:color="auto" w:fill="FFFFFF" w:themeFill="background1"/>
        <w:spacing w:after="0" w:line="240" w:lineRule="auto"/>
        <w:ind w:firstLine="432"/>
        <w:jc w:val="both"/>
        <w:rPr>
          <w:rFonts w:cs="Times New Roman"/>
          <w:szCs w:val="24"/>
        </w:rPr>
      </w:pPr>
    </w:p>
    <w:p w14:paraId="638E4D3A" w14:textId="77777777" w:rsidR="00B66CC7" w:rsidRPr="00B66CC7" w:rsidRDefault="00B66CC7" w:rsidP="00B66CC7">
      <w:pPr>
        <w:shd w:val="clear" w:color="auto" w:fill="FFFFFF" w:themeFill="background1"/>
        <w:spacing w:after="0" w:line="240" w:lineRule="auto"/>
        <w:ind w:firstLine="432"/>
        <w:jc w:val="both"/>
        <w:rPr>
          <w:rFonts w:cs="Times New Roman"/>
          <w:szCs w:val="24"/>
        </w:rPr>
      </w:pPr>
      <w:r w:rsidRPr="00B66CC7">
        <w:rPr>
          <w:rFonts w:cs="Times New Roman"/>
          <w:szCs w:val="24"/>
        </w:rPr>
        <w:t>COMPETING INTERESTS DISCLAIMER:</w:t>
      </w:r>
    </w:p>
    <w:p w14:paraId="65358495" w14:textId="77777777" w:rsidR="00B66CC7" w:rsidRDefault="00B66CC7" w:rsidP="00B66CC7">
      <w:pPr>
        <w:shd w:val="clear" w:color="auto" w:fill="FFFFFF" w:themeFill="background1"/>
        <w:spacing w:after="0" w:line="240" w:lineRule="auto"/>
        <w:ind w:firstLine="432"/>
        <w:jc w:val="both"/>
        <w:rPr>
          <w:rFonts w:cs="Times New Roman"/>
          <w:szCs w:val="24"/>
        </w:rPr>
      </w:pPr>
      <w:r w:rsidRPr="00B66CC7">
        <w:rPr>
          <w:rFonts w:cs="Times New Roman"/>
          <w:szCs w:val="24"/>
        </w:rPr>
        <w:t>Authors have declared that they have no known competing financial interests OR non-financial interests OR personal relationships that could have appeared to influence the work reported in this paper.</w:t>
      </w:r>
    </w:p>
    <w:p w14:paraId="512C3227" w14:textId="77777777" w:rsidR="005004EC" w:rsidRDefault="005004EC" w:rsidP="00B66CC7">
      <w:pPr>
        <w:shd w:val="clear" w:color="auto" w:fill="FFFFFF" w:themeFill="background1"/>
        <w:spacing w:after="0" w:line="240" w:lineRule="auto"/>
        <w:ind w:firstLine="432"/>
        <w:jc w:val="both"/>
        <w:rPr>
          <w:rFonts w:cs="Times New Roman"/>
          <w:szCs w:val="24"/>
        </w:rPr>
      </w:pPr>
    </w:p>
    <w:p w14:paraId="278CDCD5" w14:textId="77777777" w:rsidR="005004EC" w:rsidRPr="005004EC" w:rsidRDefault="005004EC" w:rsidP="002815BF">
      <w:pPr>
        <w:spacing w:after="0" w:line="240" w:lineRule="auto"/>
        <w:jc w:val="both"/>
        <w:rPr>
          <w:rFonts w:eastAsia="Calibri" w:cs="Times New Roman"/>
          <w:kern w:val="2"/>
          <w:sz w:val="22"/>
          <w:highlight w:val="yellow"/>
        </w:rPr>
      </w:pPr>
      <w:bookmarkStart w:id="0" w:name="_Hlk198031404"/>
      <w:r w:rsidRPr="005004EC">
        <w:rPr>
          <w:rFonts w:eastAsia="Calibri" w:cs="Times New Roman"/>
          <w:kern w:val="2"/>
          <w:sz w:val="22"/>
          <w:highlight w:val="yellow"/>
        </w:rPr>
        <w:lastRenderedPageBreak/>
        <w:t>Disclaimer (Artificial intelligence)</w:t>
      </w:r>
    </w:p>
    <w:p w14:paraId="6200A8F9" w14:textId="77777777" w:rsidR="005004EC" w:rsidRPr="005004EC" w:rsidRDefault="005004EC" w:rsidP="002815BF">
      <w:pPr>
        <w:spacing w:after="0" w:line="240" w:lineRule="auto"/>
        <w:jc w:val="both"/>
        <w:rPr>
          <w:rFonts w:eastAsia="Calibri" w:cs="Times New Roman"/>
          <w:kern w:val="2"/>
          <w:sz w:val="22"/>
          <w:highlight w:val="yellow"/>
        </w:rPr>
      </w:pPr>
    </w:p>
    <w:p w14:paraId="4E5F513E" w14:textId="77777777" w:rsidR="005004EC" w:rsidRPr="005004EC" w:rsidRDefault="005004EC" w:rsidP="002815BF">
      <w:pPr>
        <w:spacing w:after="0" w:line="240" w:lineRule="auto"/>
        <w:jc w:val="both"/>
        <w:rPr>
          <w:rFonts w:eastAsia="Calibri" w:cs="Times New Roman"/>
          <w:kern w:val="2"/>
          <w:sz w:val="22"/>
          <w:highlight w:val="yellow"/>
        </w:rPr>
      </w:pPr>
      <w:r>
        <w:rPr>
          <w:highlight w:val="yellow"/>
        </w:rPr>
        <w:t>Author(s) hereby declare that AI-assisted language editing tools were used only to support language polishing and revision. The authors remain fully responsible for the study design, data, analysis, interpretation, references, and final content of the manuscript.</w:t>
      </w:r>
    </w:p>
    <w:bookmarkEnd w:id="0"/>
    <w:p w14:paraId="39BC89DF" w14:textId="77777777" w:rsidR="005004EC" w:rsidRDefault="005004EC" w:rsidP="002815BF">
      <w:pPr>
        <w:shd w:val="clear" w:color="auto" w:fill="FFFFFF" w:themeFill="background1"/>
        <w:spacing w:after="0" w:line="240" w:lineRule="auto"/>
        <w:ind w:firstLine="432"/>
        <w:jc w:val="both"/>
        <w:rPr>
          <w:rFonts w:cs="Times New Roman"/>
          <w:szCs w:val="24"/>
        </w:rPr>
      </w:pPr>
    </w:p>
    <w:p w14:paraId="1101FB65" w14:textId="77777777" w:rsidR="00B66CC7" w:rsidRPr="00FF4E0D" w:rsidRDefault="00B66CC7" w:rsidP="00EA7AFF">
      <w:pPr>
        <w:shd w:val="clear" w:color="auto" w:fill="FFFFFF" w:themeFill="background1"/>
        <w:spacing w:after="0" w:line="240" w:lineRule="auto"/>
        <w:ind w:firstLine="432"/>
        <w:jc w:val="both"/>
        <w:rPr>
          <w:rFonts w:cs="Times New Roman"/>
          <w:szCs w:val="24"/>
        </w:rPr>
      </w:pPr>
    </w:p>
    <w:p w14:paraId="1415FAD4" w14:textId="77777777" w:rsidR="006027D5" w:rsidRPr="00FF4E0D" w:rsidRDefault="001E24BB" w:rsidP="00EA7AFF">
      <w:pPr>
        <w:pStyle w:val="Heading1"/>
        <w:shd w:val="clear" w:color="auto" w:fill="FFFFFF" w:themeFill="background1"/>
        <w:spacing w:before="0" w:line="240" w:lineRule="auto"/>
        <w:rPr>
          <w:rFonts w:ascii="Times New Roman" w:hAnsi="Times New Roman" w:cs="Times New Roman"/>
          <w:color w:val="auto"/>
          <w:sz w:val="24"/>
          <w:szCs w:val="24"/>
        </w:rPr>
      </w:pPr>
      <w:r w:rsidRPr="00FF4E0D">
        <w:rPr>
          <w:rFonts w:ascii="Times New Roman" w:eastAsia="Times New Roman" w:hAnsi="Times New Roman" w:cs="Times New Roman"/>
          <w:color w:val="auto"/>
          <w:sz w:val="24"/>
          <w:szCs w:val="24"/>
        </w:rPr>
        <w:t>References</w:t>
      </w:r>
    </w:p>
    <w:p w14:paraId="2A446624" w14:textId="77777777" w:rsidR="009A2F9B" w:rsidRPr="00CA50AE" w:rsidRDefault="00E55628" w:rsidP="00CA50AE">
      <w:pPr>
        <w:pStyle w:val="ListParagraph"/>
        <w:numPr>
          <w:ilvl w:val="0"/>
          <w:numId w:val="10"/>
        </w:numPr>
        <w:spacing w:after="0" w:line="240" w:lineRule="auto"/>
        <w:jc w:val="both"/>
        <w:rPr>
          <w:szCs w:val="24"/>
        </w:rPr>
      </w:pPr>
      <w:r w:rsidRPr="00CA50AE">
        <w:rPr>
          <w:szCs w:val="24"/>
        </w:rPr>
        <w:t>Basantes-Andrade, A., Casillas-Martín, S., Cabezas-González, M., Naranjo-Toro, M., &amp; Guerra-Reyes, F. (2022). Standards of teacher digital competence in higher education: A systematic literature review. Sustainability, 14(21), Article 13983. https://doi.org/10.3390/su142113983</w:t>
      </w:r>
    </w:p>
    <w:p w14:paraId="1D0F45BA"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Basilotta-Gómez-Pablos, V., Matarranz, A., Casado-Aranda, L., &amp; Otto, A. (2022). Teachers’ digital competencies in higher education: A systematic literature review. International Journal of Educational Technology in Higher Education, 19, Article 8. https://doi.org/10.1186/s41239-021-00312-8</w:t>
      </w:r>
    </w:p>
    <w:p w14:paraId="6DF2B175"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Dang, T. D., Phan, T. T., Vu, T. N. Q., La, T. D., &amp; Pham, V. K. (2024). Digital competence of lecturers and its impact on student learning value in higher education. Heliyon, 10(17), Article e37318. https://doi.org/10.1016/j.heliyon.2024.e37318</w:t>
      </w:r>
    </w:p>
    <w:p w14:paraId="128EBAE3"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European Commission. (2020). Digital Education Action Plan 2021-2027: Resetting education and training for the digital age. Publications Office of the European Union. https://education.ec.europa.eu/focus-topics/digital-education/actions</w:t>
      </w:r>
    </w:p>
    <w:p w14:paraId="08A440CE" w14:textId="77777777" w:rsidR="009A2F9B" w:rsidRPr="00CA50AE" w:rsidRDefault="00E55628" w:rsidP="00CA50AE">
      <w:pPr>
        <w:pStyle w:val="ListParagraph"/>
        <w:numPr>
          <w:ilvl w:val="0"/>
          <w:numId w:val="10"/>
        </w:numPr>
        <w:spacing w:after="0" w:line="240" w:lineRule="auto"/>
        <w:jc w:val="both"/>
        <w:rPr>
          <w:szCs w:val="24"/>
        </w:rPr>
      </w:pPr>
      <w:r w:rsidRPr="00CA50AE">
        <w:rPr>
          <w:szCs w:val="24"/>
        </w:rPr>
        <w:t>Fernández-Batanero, J. M., Román-Graván, P., Montenegro-Rueda, M., López-Meneses, E., &amp; Fernández-Cerero, J. (2021). Digital teaching competence in higher education: A systematic review. Education Sciences, 11(11), Article 689. https://doi.org/10.3390/educsci11110689</w:t>
      </w:r>
    </w:p>
    <w:p w14:paraId="2056C401"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Inamorato dos Santos, A., Chinkes, E., Carvalho, M. A. G., Solórzano, C. M. V., &amp; Marroni, L. S. (2023). The digital competence of academics in higher education: Is the glass half empty or half full? International Journal of Educational Technology in Higher Education, 20, Article 9. https://doi.org/10.1186/s41239-022-00376-0</w:t>
      </w:r>
    </w:p>
    <w:p w14:paraId="3BAA1170"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Koehler, M. J., &amp; Mishra, P. (2009). What is technological pedagogical content knowledge? Contemporary Issues in Technology and Teacher Education, 9(1), 60-70.</w:t>
      </w:r>
    </w:p>
    <w:p w14:paraId="066BBC93"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Miao, F., &amp; Holmes, W. (2023). Guidance for generative AI in education and research. UNESCO. https://unesdoc.unesco.org/ark:/48223/pf0000386693</w:t>
      </w:r>
    </w:p>
    <w:p w14:paraId="6E2E006F" w14:textId="77777777" w:rsidR="009A2F9B" w:rsidRPr="00CA50AE" w:rsidRDefault="00E55628" w:rsidP="00CA50AE">
      <w:pPr>
        <w:pStyle w:val="ListParagraph"/>
        <w:numPr>
          <w:ilvl w:val="0"/>
          <w:numId w:val="10"/>
        </w:numPr>
        <w:spacing w:after="0" w:line="240" w:lineRule="auto"/>
        <w:jc w:val="both"/>
        <w:rPr>
          <w:szCs w:val="24"/>
        </w:rPr>
      </w:pPr>
      <w:r w:rsidRPr="00CA50AE">
        <w:rPr>
          <w:szCs w:val="24"/>
        </w:rPr>
        <w:t>Ministry of Education and Training. (2025). Circular No. 02/2025/TT-BGDDT dated January 24, 2025, stipulating the Digital Competence Framework for Learners. Government Electronic Information Portal. https://congbao.chinhphu.vn/van-ban/thong-tu-so-02-2025-tt-bgddt-44148/54830.htm</w:t>
      </w:r>
    </w:p>
    <w:p w14:paraId="75D38287" w14:textId="77777777" w:rsidR="009A2F9B" w:rsidRPr="00CA50AE" w:rsidRDefault="00E55628" w:rsidP="00CA50AE">
      <w:pPr>
        <w:pStyle w:val="ListParagraph"/>
        <w:numPr>
          <w:ilvl w:val="0"/>
          <w:numId w:val="10"/>
        </w:numPr>
        <w:spacing w:after="0" w:line="240" w:lineRule="auto"/>
        <w:jc w:val="both"/>
        <w:rPr>
          <w:szCs w:val="24"/>
        </w:rPr>
      </w:pPr>
      <w:r w:rsidRPr="00CA50AE">
        <w:rPr>
          <w:szCs w:val="24"/>
        </w:rPr>
        <w:t>Moore, A., Butcher, N., &amp; Hoosen, S. (2016). Using UNESCO’s ICT competency framework for teachers in Guyana. In ICT integrated teacher education: A resource book (pp. 31-45). Commonwealth Educational Media Centre for Asia.</w:t>
      </w:r>
    </w:p>
    <w:p w14:paraId="4E437DF0" w14:textId="77777777" w:rsidR="009A2F9B" w:rsidRPr="00CA50AE" w:rsidRDefault="00E55628" w:rsidP="00CA50AE">
      <w:pPr>
        <w:pStyle w:val="ListParagraph"/>
        <w:numPr>
          <w:ilvl w:val="0"/>
          <w:numId w:val="10"/>
        </w:numPr>
        <w:spacing w:after="0" w:line="240" w:lineRule="auto"/>
        <w:jc w:val="both"/>
        <w:rPr>
          <w:szCs w:val="24"/>
        </w:rPr>
      </w:pPr>
      <w:r w:rsidRPr="00CA50AE">
        <w:rPr>
          <w:szCs w:val="24"/>
        </w:rPr>
        <w:t>Mtebe, J. S. (2020). Applying UNESCO ICT competency framework to evaluate teachers’ ICT competence levels in Tanzania. In J. Keengwe (Ed.), Handbook of research on innovative pedagogies and best practices in teacher education (pp. 350-366). IGI Global. https://doi.org/10.4018/978-1-5225-9232-7.ch020</w:t>
      </w:r>
    </w:p>
    <w:p w14:paraId="0E4334A3"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Nguyen, P. L., Nguyen, H. T. T., Truong, B. T., Mai, K. T., &amp; La, M. D. (2024). Digital competence for university lecturers in Vietnam: A case study result at 10 universities. International Journal of Religion, 5(10), 26-42. https://doi.org/10.61707/y3867b46</w:t>
      </w:r>
    </w:p>
    <w:p w14:paraId="4346F987"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 xml:space="preserve">Nguyen, L. P., &amp; Le, T. T. H. (2024). Phát triển năng lực số cho giảng viên đại học trong bối cảnh hội nhập: Nghiên cứu trường hợp tại Trường Đại học Nguyễn Tất Thành [Developing </w:t>
      </w:r>
      <w:r w:rsidRPr="00CA50AE">
        <w:rPr>
          <w:szCs w:val="24"/>
          <w:highlight w:val="yellow"/>
        </w:rPr>
        <w:lastRenderedPageBreak/>
        <w:t>digital competence for university lecturers in the context of integration: A case study at Nguyen Tat Thanh University]. Tạp chí Giáo dục, 24(9), 7-12. https://tcgd.tapchigiaoduc.edu.vn/index.php/tapchi/article/view/1755</w:t>
      </w:r>
    </w:p>
    <w:p w14:paraId="14DF7F3F"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OECD. (2023). OECD digital education outlook 2023: Towards an effective digital education ecosystem. OECD Publishing. https://doi.org/10.1787/c74f03de-en</w:t>
      </w:r>
    </w:p>
    <w:p w14:paraId="5D214723" w14:textId="77777777" w:rsidR="009A2F9B" w:rsidRPr="00CA50AE" w:rsidRDefault="00E55628" w:rsidP="00CA50AE">
      <w:pPr>
        <w:pStyle w:val="ListParagraph"/>
        <w:numPr>
          <w:ilvl w:val="0"/>
          <w:numId w:val="10"/>
        </w:numPr>
        <w:spacing w:after="0" w:line="240" w:lineRule="auto"/>
        <w:jc w:val="both"/>
        <w:rPr>
          <w:szCs w:val="24"/>
        </w:rPr>
      </w:pPr>
      <w:r w:rsidRPr="00CA50AE">
        <w:rPr>
          <w:szCs w:val="24"/>
        </w:rPr>
        <w:t>Prime Minister of Vietnam. (2020). Decision No. 749/QD-TTg dated June 3, 2020, approving the “National Digital Transformation Program to 2025, with orientations to 2030.” Government Electronic Information Portal. https://congbao.chinhphu.vn/van-ban/quyet-dinh-so-749-qd-ttg-31450.htm</w:t>
      </w:r>
    </w:p>
    <w:p w14:paraId="60B2ECD8"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Prime Minister of Vietnam. (2022a). Decision No. 131/QD-TTg dated January 25, 2022, approving the scheme “Strengthening application of information technology and digital transformation in education and training for the period of 2022-2025, with a vision toward 2030.” Government Electronic Information Portal. https://vanban.chinhphu.vn/?classid=2&amp;docid=205236&amp;pageid=27160</w:t>
      </w:r>
    </w:p>
    <w:p w14:paraId="4B350039"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Prime Minister of Vietnam. (2022b). Decision No. 146/QD-TTg dated January 28, 2022, approving the scheme “Raising awareness, universalizing skills, and developing human resources for national digital transformation to 2025, with orientations to 2030.” Government Electronic Information Portal. https://chinhphu.vn/?docid=205276&amp;pageid=27160</w:t>
      </w:r>
    </w:p>
    <w:p w14:paraId="4B5657CF" w14:textId="77777777" w:rsidR="009A2F9B" w:rsidRPr="00CA50AE" w:rsidRDefault="00E55628" w:rsidP="00CA50AE">
      <w:pPr>
        <w:pStyle w:val="ListParagraph"/>
        <w:numPr>
          <w:ilvl w:val="0"/>
          <w:numId w:val="10"/>
        </w:numPr>
        <w:spacing w:after="0" w:line="240" w:lineRule="auto"/>
        <w:jc w:val="both"/>
        <w:rPr>
          <w:szCs w:val="24"/>
        </w:rPr>
      </w:pPr>
      <w:r w:rsidRPr="00CA50AE">
        <w:rPr>
          <w:szCs w:val="24"/>
        </w:rPr>
        <w:t>Redecker, C. (2017). European framework for the digital competence of educators: DigCompEdu (Y. Punie, Ed.). Publications Office of the European Union. https://doi.org/10.2760/159770</w:t>
      </w:r>
    </w:p>
    <w:p w14:paraId="4A737684"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Uerz, D., van Zanten, M., van der Neut, I., Tondeur, J., Kral, M., Gorissen, P., &amp; Howard, S. (2021). A digital competences framework for lecturers in higher education. Acceleration Plan Educational Innovation with IT. https://www.versnellingsplan.nl/wp-content/uploads/2022/03/A-framework-for-digital-competences-of-lecturers.pdf</w:t>
      </w:r>
    </w:p>
    <w:p w14:paraId="4A968962" w14:textId="77777777" w:rsidR="009A2F9B" w:rsidRPr="00CA50AE" w:rsidRDefault="00E55628" w:rsidP="00CA50AE">
      <w:pPr>
        <w:pStyle w:val="ListParagraph"/>
        <w:numPr>
          <w:ilvl w:val="0"/>
          <w:numId w:val="10"/>
        </w:numPr>
        <w:spacing w:after="0" w:line="240" w:lineRule="auto"/>
        <w:jc w:val="both"/>
        <w:rPr>
          <w:szCs w:val="24"/>
        </w:rPr>
      </w:pPr>
      <w:r w:rsidRPr="00CA50AE">
        <w:rPr>
          <w:szCs w:val="24"/>
        </w:rPr>
        <w:t>UNESCO. (2018). UNESCO ICT competency framework for teachers (Version 3). UNESCO. https://unesdoc.unesco.org/ark:/48223/pf0000265721</w:t>
      </w:r>
    </w:p>
    <w:p w14:paraId="0C214FDE"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Vuorikari, R., Kluzer, S., &amp; Punie, Y. (2022). DigComp 2.2: The Digital Competence Framework for Citizens, with new examples of knowledge, skills and attitudes. Publications Office of the European Union. https://doi.org/10.2760/115376</w:t>
      </w:r>
    </w:p>
    <w:p w14:paraId="7501B443" w14:textId="77777777" w:rsidR="009A2F9B" w:rsidRPr="00CA50AE" w:rsidRDefault="00E55628" w:rsidP="00CA50AE">
      <w:pPr>
        <w:pStyle w:val="ListParagraph"/>
        <w:numPr>
          <w:ilvl w:val="0"/>
          <w:numId w:val="10"/>
        </w:numPr>
        <w:spacing w:after="0" w:line="240" w:lineRule="auto"/>
        <w:jc w:val="both"/>
        <w:rPr>
          <w:szCs w:val="24"/>
        </w:rPr>
      </w:pPr>
      <w:r w:rsidRPr="00CA50AE">
        <w:rPr>
          <w:szCs w:val="24"/>
          <w:highlight w:val="yellow"/>
        </w:rPr>
        <w:t>Wallace, J., Scanlon, D., &amp; Calderón, A. (2023). Digital technology and teacher digital competency in physical education: A holistic view of teacher and student perspectives. Curriculum Studies in Health and Physical Education, 14(3), 271-287. https://doi.org/10.1080/25742981.2022.2106881</w:t>
      </w:r>
    </w:p>
    <w:sectPr w:rsidR="009A2F9B" w:rsidRPr="00CA50AE" w:rsidSect="00034616">
      <w:headerReference w:type="even" r:id="rId8"/>
      <w:headerReference w:type="default" r:id="rId9"/>
      <w:footerReference w:type="even" r:id="rId10"/>
      <w:footerReference w:type="default" r:id="rId11"/>
      <w:headerReference w:type="first" r:id="rId12"/>
      <w:footerReference w:type="first" r:id="rId13"/>
      <w:pgSz w:w="12240" w:h="15840"/>
      <w:pgMar w:top="1152" w:right="1224" w:bottom="1152"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E1FB" w14:textId="77777777" w:rsidR="00A441C4" w:rsidRDefault="00A441C4" w:rsidP="00D92DB5">
      <w:pPr>
        <w:spacing w:after="0" w:line="240" w:lineRule="auto"/>
      </w:pPr>
      <w:r>
        <w:separator/>
      </w:r>
    </w:p>
  </w:endnote>
  <w:endnote w:type="continuationSeparator" w:id="0">
    <w:p w14:paraId="5BD866F9" w14:textId="77777777" w:rsidR="00A441C4" w:rsidRDefault="00A441C4" w:rsidP="00D9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87D8" w14:textId="77777777" w:rsidR="00D92DB5" w:rsidRDefault="00D92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6F57" w14:textId="77777777" w:rsidR="00D92DB5" w:rsidRDefault="00D92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51F2" w14:textId="77777777" w:rsidR="00D92DB5" w:rsidRDefault="00D9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1CFB" w14:textId="77777777" w:rsidR="00A441C4" w:rsidRDefault="00A441C4" w:rsidP="00D92DB5">
      <w:pPr>
        <w:spacing w:after="0" w:line="240" w:lineRule="auto"/>
      </w:pPr>
      <w:r>
        <w:separator/>
      </w:r>
    </w:p>
  </w:footnote>
  <w:footnote w:type="continuationSeparator" w:id="0">
    <w:p w14:paraId="51E13EA1" w14:textId="77777777" w:rsidR="00A441C4" w:rsidRDefault="00A441C4" w:rsidP="00D9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2596" w14:textId="77777777" w:rsidR="00D92DB5" w:rsidRDefault="00000000">
    <w:pPr>
      <w:pStyle w:val="Header"/>
    </w:pPr>
    <w:r>
      <w:rPr>
        <w:noProof/>
      </w:rPr>
      <w:pict w14:anchorId="1DBE2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969" o:spid="_x0000_s1026" type="#_x0000_t136" style="position:absolute;margin-left:0;margin-top:0;width:620.25pt;height:6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6B14" w14:textId="77777777" w:rsidR="00D92DB5" w:rsidRDefault="00000000">
    <w:pPr>
      <w:pStyle w:val="Header"/>
    </w:pPr>
    <w:r>
      <w:rPr>
        <w:noProof/>
      </w:rPr>
      <w:pict w14:anchorId="6B3DD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970" o:spid="_x0000_s1027" type="#_x0000_t136" style="position:absolute;margin-left:0;margin-top:0;width:620.25pt;height:6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DD07" w14:textId="77777777" w:rsidR="00D92DB5" w:rsidRDefault="00000000">
    <w:pPr>
      <w:pStyle w:val="Header"/>
    </w:pPr>
    <w:r>
      <w:rPr>
        <w:noProof/>
      </w:rPr>
      <w:pict w14:anchorId="3AEC1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968" o:spid="_x0000_s1025" type="#_x0000_t136" style="position:absolute;margin-left:0;margin-top:0;width:620.25pt;height:6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27A038B"/>
    <w:multiLevelType w:val="hybridMultilevel"/>
    <w:tmpl w:val="599AC8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8605115">
    <w:abstractNumId w:val="8"/>
  </w:num>
  <w:num w:numId="2" w16cid:durableId="2030183189">
    <w:abstractNumId w:val="6"/>
  </w:num>
  <w:num w:numId="3" w16cid:durableId="791366616">
    <w:abstractNumId w:val="5"/>
  </w:num>
  <w:num w:numId="4" w16cid:durableId="2105764892">
    <w:abstractNumId w:val="4"/>
  </w:num>
  <w:num w:numId="5" w16cid:durableId="1324627831">
    <w:abstractNumId w:val="7"/>
  </w:num>
  <w:num w:numId="6" w16cid:durableId="1024862777">
    <w:abstractNumId w:val="3"/>
  </w:num>
  <w:num w:numId="7" w16cid:durableId="1758941981">
    <w:abstractNumId w:val="2"/>
  </w:num>
  <w:num w:numId="8" w16cid:durableId="422577925">
    <w:abstractNumId w:val="1"/>
  </w:num>
  <w:num w:numId="9" w16cid:durableId="670064635">
    <w:abstractNumId w:val="0"/>
  </w:num>
  <w:num w:numId="10" w16cid:durableId="1550452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59D2"/>
    <w:rsid w:val="001E24BB"/>
    <w:rsid w:val="002815BF"/>
    <w:rsid w:val="00287667"/>
    <w:rsid w:val="0029639D"/>
    <w:rsid w:val="002F2EA1"/>
    <w:rsid w:val="00326F90"/>
    <w:rsid w:val="003A7D51"/>
    <w:rsid w:val="00493449"/>
    <w:rsid w:val="00496C77"/>
    <w:rsid w:val="004E613D"/>
    <w:rsid w:val="005004EC"/>
    <w:rsid w:val="006027D5"/>
    <w:rsid w:val="00671638"/>
    <w:rsid w:val="00720C24"/>
    <w:rsid w:val="00747BF1"/>
    <w:rsid w:val="009434B0"/>
    <w:rsid w:val="009A2F9B"/>
    <w:rsid w:val="00A2047D"/>
    <w:rsid w:val="00A441C4"/>
    <w:rsid w:val="00AA1D8D"/>
    <w:rsid w:val="00B47730"/>
    <w:rsid w:val="00B66CC7"/>
    <w:rsid w:val="00C47934"/>
    <w:rsid w:val="00CA50AE"/>
    <w:rsid w:val="00CB0664"/>
    <w:rsid w:val="00D92DB5"/>
    <w:rsid w:val="00E55628"/>
    <w:rsid w:val="00EA7AFF"/>
    <w:rsid w:val="00F74CF0"/>
    <w:rsid w:val="00FC693F"/>
    <w:rsid w:val="00FF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2F7F0B"/>
  <w14:defaultImageDpi w14:val="300"/>
  <w15:docId w15:val="{1B88B9A0-68C2-4613-82A2-F5D7EFF0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96C77"/>
    <w:rPr>
      <w:color w:val="0000FF" w:themeColor="hyperlink"/>
      <w:u w:val="single"/>
    </w:rPr>
  </w:style>
  <w:style w:type="character" w:styleId="UnresolvedMention">
    <w:name w:val="Unresolved Mention"/>
    <w:basedOn w:val="DefaultParagraphFont"/>
    <w:uiPriority w:val="99"/>
    <w:semiHidden/>
    <w:unhideWhenUsed/>
    <w:rsid w:val="00496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8D84-D016-49C1-924D-EB44A12A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7913</Words>
  <Characters>45105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1185</cp:lastModifiedBy>
  <cp:revision>5</cp:revision>
  <dcterms:created xsi:type="dcterms:W3CDTF">2026-05-23T14:16:00Z</dcterms:created>
  <dcterms:modified xsi:type="dcterms:W3CDTF">2026-05-25T07:52:00Z</dcterms:modified>
  <cp:category/>
</cp:coreProperties>
</file>