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D3F69" w14:textId="77777777" w:rsidR="005108DD" w:rsidRPr="001357D8" w:rsidRDefault="005108DD" w:rsidP="000C4E8B">
      <w:pPr>
        <w:spacing w:after="0" w:line="240" w:lineRule="auto"/>
        <w:ind w:right="288"/>
        <w:jc w:val="center"/>
        <w:rPr>
          <w:rFonts w:ascii="Arial" w:hAnsi="Arial" w:cs="Arial"/>
          <w:b/>
          <w:color w:val="000000" w:themeColor="text1"/>
          <w:sz w:val="20"/>
          <w:szCs w:val="20"/>
        </w:rPr>
      </w:pPr>
    </w:p>
    <w:p w14:paraId="24FC7FCC" w14:textId="77777777" w:rsidR="00E61685" w:rsidRPr="001357D8" w:rsidRDefault="00E61685" w:rsidP="000C4E8B">
      <w:pPr>
        <w:spacing w:after="0" w:line="240" w:lineRule="auto"/>
        <w:ind w:right="288"/>
        <w:jc w:val="center"/>
        <w:rPr>
          <w:rFonts w:ascii="Arial" w:hAnsi="Arial" w:cs="Arial"/>
          <w:b/>
          <w:color w:val="000000" w:themeColor="text1"/>
          <w:sz w:val="20"/>
          <w:szCs w:val="20"/>
        </w:rPr>
      </w:pPr>
    </w:p>
    <w:p w14:paraId="05BF69A3" w14:textId="77777777" w:rsidR="00E61685" w:rsidRPr="001357D8" w:rsidRDefault="00E61685" w:rsidP="000C4E8B">
      <w:pPr>
        <w:spacing w:after="0" w:line="240" w:lineRule="auto"/>
        <w:ind w:right="288"/>
        <w:jc w:val="center"/>
        <w:rPr>
          <w:rFonts w:ascii="Arial" w:hAnsi="Arial" w:cs="Arial"/>
          <w:b/>
          <w:color w:val="000000" w:themeColor="text1"/>
          <w:sz w:val="20"/>
          <w:szCs w:val="20"/>
        </w:rPr>
      </w:pPr>
    </w:p>
    <w:p w14:paraId="55206FDE" w14:textId="77777777" w:rsidR="005108DD" w:rsidRPr="001357D8" w:rsidRDefault="005108DD" w:rsidP="000C4E8B">
      <w:pPr>
        <w:spacing w:after="0" w:line="240" w:lineRule="auto"/>
        <w:ind w:right="288"/>
        <w:jc w:val="center"/>
        <w:rPr>
          <w:rFonts w:ascii="Arial" w:hAnsi="Arial" w:cs="Arial"/>
          <w:b/>
          <w:color w:val="000000" w:themeColor="text1"/>
          <w:sz w:val="20"/>
          <w:szCs w:val="20"/>
        </w:rPr>
      </w:pPr>
    </w:p>
    <w:p w14:paraId="6B546A60" w14:textId="77777777" w:rsidR="005108DD" w:rsidRPr="001357D8" w:rsidRDefault="005108DD" w:rsidP="000C4E8B">
      <w:pPr>
        <w:spacing w:after="0" w:line="240" w:lineRule="auto"/>
        <w:ind w:right="288"/>
        <w:jc w:val="center"/>
        <w:rPr>
          <w:rFonts w:ascii="Arial" w:hAnsi="Arial" w:cs="Arial"/>
          <w:b/>
          <w:color w:val="000000" w:themeColor="text1"/>
          <w:sz w:val="20"/>
          <w:szCs w:val="20"/>
        </w:rPr>
      </w:pPr>
    </w:p>
    <w:p w14:paraId="4D1FB603" w14:textId="28D40663" w:rsidR="00AF0E90" w:rsidRPr="001357D8" w:rsidRDefault="00C157F9" w:rsidP="000C4E8B">
      <w:pPr>
        <w:spacing w:after="0" w:line="240" w:lineRule="auto"/>
        <w:ind w:right="288"/>
        <w:jc w:val="center"/>
        <w:rPr>
          <w:rFonts w:ascii="Arial" w:hAnsi="Arial" w:cs="Arial"/>
          <w:b/>
          <w:color w:val="000000" w:themeColor="text1"/>
          <w:sz w:val="20"/>
          <w:szCs w:val="20"/>
        </w:rPr>
      </w:pPr>
      <w:r w:rsidRPr="001357D8">
        <w:rPr>
          <w:rFonts w:ascii="Arial" w:hAnsi="Arial" w:cs="Arial"/>
          <w:b/>
          <w:color w:val="000000" w:themeColor="text1"/>
          <w:sz w:val="20"/>
          <w:szCs w:val="20"/>
        </w:rPr>
        <w:t xml:space="preserve">Effectiveness of Head Teachers’ Administrative Strategies in Achieving Competency Based Education Learning Outcomes in Public Primary Schools in </w:t>
      </w:r>
      <w:proofErr w:type="spellStart"/>
      <w:r w:rsidRPr="001357D8">
        <w:rPr>
          <w:rFonts w:ascii="Arial" w:hAnsi="Arial" w:cs="Arial"/>
          <w:b/>
          <w:color w:val="000000" w:themeColor="text1"/>
          <w:sz w:val="20"/>
          <w:szCs w:val="20"/>
        </w:rPr>
        <w:t>Wajir</w:t>
      </w:r>
      <w:proofErr w:type="spellEnd"/>
      <w:r w:rsidRPr="001357D8">
        <w:rPr>
          <w:rFonts w:ascii="Arial" w:hAnsi="Arial" w:cs="Arial"/>
          <w:b/>
          <w:color w:val="000000" w:themeColor="text1"/>
          <w:sz w:val="20"/>
          <w:szCs w:val="20"/>
        </w:rPr>
        <w:t xml:space="preserve"> East Sub-County, Kenya</w:t>
      </w:r>
    </w:p>
    <w:p w14:paraId="54965C8B" w14:textId="77777777" w:rsidR="00AF0E90" w:rsidRPr="001357D8" w:rsidRDefault="00AF0E90" w:rsidP="000C4E8B">
      <w:pPr>
        <w:spacing w:after="0" w:line="240" w:lineRule="auto"/>
        <w:ind w:right="288"/>
        <w:jc w:val="center"/>
        <w:rPr>
          <w:rFonts w:ascii="Arial" w:hAnsi="Arial" w:cs="Arial"/>
          <w:b/>
          <w:color w:val="000000" w:themeColor="text1"/>
          <w:sz w:val="20"/>
          <w:szCs w:val="20"/>
        </w:rPr>
      </w:pPr>
    </w:p>
    <w:p w14:paraId="3F84EAD1" w14:textId="1183E8B6" w:rsidR="005108DD" w:rsidRPr="001357D8" w:rsidRDefault="005108DD" w:rsidP="005108DD">
      <w:pPr>
        <w:spacing w:after="0" w:line="240" w:lineRule="auto"/>
        <w:ind w:right="288"/>
        <w:jc w:val="center"/>
        <w:rPr>
          <w:rFonts w:ascii="Arial" w:hAnsi="Arial" w:cs="Arial"/>
          <w:b/>
          <w:color w:val="000000" w:themeColor="text1"/>
          <w:sz w:val="20"/>
          <w:szCs w:val="20"/>
        </w:rPr>
      </w:pPr>
    </w:p>
    <w:p w14:paraId="0C833CF3" w14:textId="77777777" w:rsidR="009B0400" w:rsidRPr="001357D8" w:rsidRDefault="009B0400" w:rsidP="005108DD">
      <w:pPr>
        <w:spacing w:after="0" w:line="240" w:lineRule="auto"/>
        <w:ind w:right="288"/>
        <w:jc w:val="center"/>
        <w:rPr>
          <w:rFonts w:ascii="Arial" w:hAnsi="Arial" w:cs="Arial"/>
          <w:b/>
          <w:color w:val="000000" w:themeColor="text1"/>
          <w:sz w:val="20"/>
          <w:szCs w:val="20"/>
        </w:rPr>
      </w:pPr>
    </w:p>
    <w:p w14:paraId="6045D627" w14:textId="77777777" w:rsidR="003C6050" w:rsidRPr="001357D8" w:rsidRDefault="003C6050" w:rsidP="000C4E8B">
      <w:pPr>
        <w:spacing w:after="0" w:line="240" w:lineRule="auto"/>
        <w:ind w:right="288"/>
        <w:jc w:val="center"/>
        <w:rPr>
          <w:rFonts w:ascii="Arial" w:hAnsi="Arial" w:cs="Arial"/>
          <w:b/>
          <w:color w:val="000000" w:themeColor="text1"/>
          <w:sz w:val="20"/>
          <w:szCs w:val="20"/>
        </w:rPr>
      </w:pPr>
    </w:p>
    <w:p w14:paraId="72358D4D" w14:textId="77777777" w:rsidR="006C7FE0" w:rsidRPr="001357D8" w:rsidRDefault="00617F25" w:rsidP="000C4E8B">
      <w:pPr>
        <w:jc w:val="both"/>
        <w:rPr>
          <w:rFonts w:ascii="Arial" w:hAnsi="Arial" w:cs="Arial"/>
          <w:b/>
          <w:color w:val="000000" w:themeColor="text1"/>
          <w:sz w:val="20"/>
          <w:szCs w:val="20"/>
        </w:rPr>
      </w:pPr>
      <w:bookmarkStart w:id="0" w:name="_Toc188281857"/>
      <w:bookmarkStart w:id="1" w:name="_Toc225232375"/>
      <w:r w:rsidRPr="001357D8">
        <w:rPr>
          <w:rFonts w:ascii="Arial" w:hAnsi="Arial" w:cs="Arial"/>
          <w:b/>
          <w:color w:val="000000" w:themeColor="text1"/>
          <w:sz w:val="20"/>
          <w:szCs w:val="20"/>
        </w:rPr>
        <w:t>ABSTRACT</w:t>
      </w:r>
      <w:bookmarkEnd w:id="0"/>
      <w:bookmarkEnd w:id="1"/>
    </w:p>
    <w:p w14:paraId="0B7ABBD6" w14:textId="7E22891C" w:rsidR="006C7FE0" w:rsidRPr="001357D8" w:rsidRDefault="001357D8" w:rsidP="006239BB">
      <w:pPr>
        <w:jc w:val="both"/>
        <w:rPr>
          <w:rFonts w:ascii="Arial" w:hAnsi="Arial" w:cs="Arial"/>
          <w:color w:val="000000" w:themeColor="text1"/>
          <w:sz w:val="20"/>
          <w:szCs w:val="20"/>
        </w:rPr>
      </w:pPr>
      <w:r w:rsidRPr="001357D8">
        <w:rPr>
          <w:rFonts w:ascii="Arial" w:hAnsi="Arial" w:cs="Arial"/>
          <w:sz w:val="20"/>
          <w:szCs w:val="20"/>
        </w:rPr>
        <w:t xml:space="preserve">Kenya introduced Competency-Based Education (CBE) to develop learners’ practical and 21st-century skills. However, implementing CBE in marginalized regions such as </w:t>
      </w:r>
      <w:proofErr w:type="spellStart"/>
      <w:r w:rsidRPr="001357D8">
        <w:rPr>
          <w:rFonts w:ascii="Arial" w:hAnsi="Arial" w:cs="Arial"/>
          <w:sz w:val="20"/>
          <w:szCs w:val="20"/>
        </w:rPr>
        <w:t>Wajir</w:t>
      </w:r>
      <w:proofErr w:type="spellEnd"/>
      <w:r w:rsidRPr="001357D8">
        <w:rPr>
          <w:rFonts w:ascii="Arial" w:hAnsi="Arial" w:cs="Arial"/>
          <w:sz w:val="20"/>
          <w:szCs w:val="20"/>
        </w:rPr>
        <w:t xml:space="preserve"> East Sub-County remains challenging due to limited resources, teacher shortages, and irregular learner attendance, making school leadership crucial in supporting effective learning </w:t>
      </w:r>
      <w:proofErr w:type="spellStart"/>
      <w:r w:rsidRPr="001357D8">
        <w:rPr>
          <w:rFonts w:ascii="Arial" w:hAnsi="Arial" w:cs="Arial"/>
          <w:sz w:val="20"/>
          <w:szCs w:val="20"/>
        </w:rPr>
        <w:t>outcomes.</w:t>
      </w:r>
      <w:r w:rsidRPr="001357D8">
        <w:rPr>
          <w:rFonts w:ascii="Arial" w:hAnsi="Arial" w:cs="Arial"/>
          <w:sz w:val="20"/>
          <w:szCs w:val="20"/>
        </w:rPr>
        <w:t xml:space="preserve"> </w:t>
      </w:r>
      <w:r w:rsidR="006C7FE0" w:rsidRPr="001357D8">
        <w:rPr>
          <w:rFonts w:ascii="Arial" w:hAnsi="Arial" w:cs="Arial"/>
          <w:color w:val="000000" w:themeColor="text1"/>
          <w:sz w:val="20"/>
          <w:szCs w:val="20"/>
        </w:rPr>
        <w:t>Thi</w:t>
      </w:r>
      <w:proofErr w:type="spellEnd"/>
      <w:r w:rsidR="006C7FE0" w:rsidRPr="001357D8">
        <w:rPr>
          <w:rFonts w:ascii="Arial" w:hAnsi="Arial" w:cs="Arial"/>
          <w:color w:val="000000" w:themeColor="text1"/>
          <w:sz w:val="20"/>
          <w:szCs w:val="20"/>
        </w:rPr>
        <w:t xml:space="preserve">s study assessed the effectiveness </w:t>
      </w:r>
      <w:r w:rsidR="00E61685" w:rsidRPr="001357D8">
        <w:rPr>
          <w:rFonts w:ascii="Arial" w:hAnsi="Arial" w:cs="Arial"/>
          <w:color w:val="000000" w:themeColor="text1"/>
          <w:sz w:val="20"/>
          <w:szCs w:val="20"/>
        </w:rPr>
        <w:t>of head teachers’ administrative strategies in achieving competency-based education</w:t>
      </w:r>
      <w:r w:rsidR="006239BB" w:rsidRPr="001357D8">
        <w:rPr>
          <w:rFonts w:ascii="Arial" w:hAnsi="Arial" w:cs="Arial"/>
          <w:color w:val="000000" w:themeColor="text1"/>
          <w:sz w:val="20"/>
          <w:szCs w:val="20"/>
        </w:rPr>
        <w:t xml:space="preserve"> (CBE)</w:t>
      </w:r>
      <w:r w:rsidR="00E61685" w:rsidRPr="001357D8">
        <w:rPr>
          <w:rFonts w:ascii="Arial" w:hAnsi="Arial" w:cs="Arial"/>
          <w:color w:val="000000" w:themeColor="text1"/>
          <w:sz w:val="20"/>
          <w:szCs w:val="20"/>
        </w:rPr>
        <w:t xml:space="preserve"> learning outcomes in public primary schools in Wajir East Sub-County, Kenya</w:t>
      </w:r>
      <w:r w:rsidR="006239BB" w:rsidRPr="001357D8">
        <w:rPr>
          <w:rFonts w:ascii="Arial" w:hAnsi="Arial" w:cs="Arial"/>
          <w:color w:val="000000" w:themeColor="text1"/>
          <w:sz w:val="20"/>
          <w:szCs w:val="20"/>
        </w:rPr>
        <w:t xml:space="preserve">. </w:t>
      </w:r>
      <w:r w:rsidR="003B01F0" w:rsidRPr="001357D8">
        <w:rPr>
          <w:rFonts w:ascii="Arial" w:hAnsi="Arial" w:cs="Arial"/>
          <w:color w:val="000000" w:themeColor="text1"/>
          <w:sz w:val="20"/>
          <w:szCs w:val="20"/>
        </w:rPr>
        <w:t>This research was conducted on a positivist research paradigm</w:t>
      </w:r>
      <w:r w:rsidR="00D61E4D" w:rsidRPr="001357D8">
        <w:rPr>
          <w:rFonts w:ascii="Arial" w:hAnsi="Arial" w:cs="Arial"/>
          <w:color w:val="000000" w:themeColor="text1"/>
          <w:sz w:val="20"/>
          <w:szCs w:val="20"/>
        </w:rPr>
        <w:t>. A</w:t>
      </w:r>
      <w:r w:rsidR="003B01F0" w:rsidRPr="001357D8">
        <w:rPr>
          <w:rFonts w:ascii="Arial" w:hAnsi="Arial" w:cs="Arial"/>
          <w:color w:val="000000" w:themeColor="text1"/>
          <w:sz w:val="20"/>
          <w:szCs w:val="20"/>
        </w:rPr>
        <w:t xml:space="preserve"> case study design with a combination of quantitative and qualitative approaches</w:t>
      </w:r>
      <w:r w:rsidR="00D61E4D" w:rsidRPr="001357D8">
        <w:rPr>
          <w:rFonts w:ascii="Arial" w:hAnsi="Arial" w:cs="Arial"/>
          <w:color w:val="000000" w:themeColor="text1"/>
          <w:sz w:val="20"/>
          <w:szCs w:val="20"/>
        </w:rPr>
        <w:t xml:space="preserve"> was utilized.</w:t>
      </w:r>
      <w:r w:rsidR="003B01F0" w:rsidRPr="001357D8">
        <w:rPr>
          <w:rFonts w:ascii="Arial" w:hAnsi="Arial" w:cs="Arial"/>
          <w:color w:val="000000" w:themeColor="text1"/>
          <w:sz w:val="20"/>
          <w:szCs w:val="20"/>
        </w:rPr>
        <w:t xml:space="preserve"> </w:t>
      </w:r>
      <w:r w:rsidR="00D61E4D" w:rsidRPr="001357D8">
        <w:rPr>
          <w:rFonts w:ascii="Arial" w:hAnsi="Arial" w:cs="Arial"/>
          <w:color w:val="000000" w:themeColor="text1"/>
          <w:sz w:val="20"/>
          <w:szCs w:val="20"/>
        </w:rPr>
        <w:t>The study was anchored on</w:t>
      </w:r>
      <w:r w:rsidR="003B01F0" w:rsidRPr="001357D8">
        <w:rPr>
          <w:rFonts w:ascii="Arial" w:hAnsi="Arial" w:cs="Arial"/>
          <w:color w:val="000000" w:themeColor="text1"/>
          <w:sz w:val="20"/>
          <w:szCs w:val="20"/>
        </w:rPr>
        <w:t xml:space="preserve"> i</w:t>
      </w:r>
      <w:r w:rsidR="00D61E4D" w:rsidRPr="001357D8">
        <w:rPr>
          <w:rFonts w:ascii="Arial" w:hAnsi="Arial" w:cs="Arial"/>
          <w:color w:val="000000" w:themeColor="text1"/>
          <w:sz w:val="20"/>
          <w:szCs w:val="20"/>
        </w:rPr>
        <w:t>nstructional leadership theory</w:t>
      </w:r>
      <w:r w:rsidR="003B01F0" w:rsidRPr="001357D8">
        <w:rPr>
          <w:rFonts w:ascii="Arial" w:hAnsi="Arial" w:cs="Arial"/>
          <w:color w:val="000000" w:themeColor="text1"/>
          <w:sz w:val="20"/>
          <w:szCs w:val="20"/>
        </w:rPr>
        <w:t>. The population targeted were 279 teachers and 27 head teachers</w:t>
      </w:r>
      <w:r w:rsidR="00794FB7" w:rsidRPr="001357D8">
        <w:rPr>
          <w:rFonts w:ascii="Arial" w:hAnsi="Arial" w:cs="Arial"/>
          <w:color w:val="000000" w:themeColor="text1"/>
          <w:sz w:val="20"/>
          <w:szCs w:val="20"/>
        </w:rPr>
        <w:t xml:space="preserve"> from</w:t>
      </w:r>
      <w:r w:rsidR="003B01F0" w:rsidRPr="001357D8">
        <w:rPr>
          <w:rFonts w:ascii="Arial" w:hAnsi="Arial" w:cs="Arial"/>
          <w:color w:val="000000" w:themeColor="text1"/>
          <w:sz w:val="20"/>
          <w:szCs w:val="20"/>
        </w:rPr>
        <w:t xml:space="preserve"> all the 27 public primary schools</w:t>
      </w:r>
      <w:r w:rsidR="00794FB7" w:rsidRPr="001357D8">
        <w:rPr>
          <w:rFonts w:ascii="Arial" w:hAnsi="Arial" w:cs="Arial"/>
          <w:sz w:val="20"/>
          <w:szCs w:val="20"/>
        </w:rPr>
        <w:t xml:space="preserve"> </w:t>
      </w:r>
      <w:r w:rsidR="00794FB7" w:rsidRPr="001357D8">
        <w:rPr>
          <w:rFonts w:ascii="Arial" w:hAnsi="Arial" w:cs="Arial"/>
          <w:color w:val="000000" w:themeColor="text1"/>
          <w:sz w:val="20"/>
          <w:szCs w:val="20"/>
        </w:rPr>
        <w:t>in Wajir East Sub-County</w:t>
      </w:r>
      <w:r w:rsidR="003B01F0" w:rsidRPr="001357D8">
        <w:rPr>
          <w:rFonts w:ascii="Arial" w:hAnsi="Arial" w:cs="Arial"/>
          <w:color w:val="000000" w:themeColor="text1"/>
          <w:sz w:val="20"/>
          <w:szCs w:val="20"/>
        </w:rPr>
        <w:t xml:space="preserve">. </w:t>
      </w:r>
      <w:r w:rsidR="006E7469" w:rsidRPr="001357D8">
        <w:rPr>
          <w:rFonts w:ascii="Arial" w:hAnsi="Arial" w:cs="Arial"/>
          <w:color w:val="000000" w:themeColor="text1"/>
          <w:sz w:val="20"/>
          <w:szCs w:val="20"/>
        </w:rPr>
        <w:t xml:space="preserve">Yamane's formula was utilized giving sample size of </w:t>
      </w:r>
      <w:r w:rsidR="003B01F0" w:rsidRPr="001357D8">
        <w:rPr>
          <w:rFonts w:ascii="Arial" w:hAnsi="Arial" w:cs="Arial"/>
          <w:color w:val="000000" w:themeColor="text1"/>
          <w:sz w:val="20"/>
          <w:szCs w:val="20"/>
        </w:rPr>
        <w:t xml:space="preserve">173 respondents (158 teachers and 15 head teachers). Structured questionnaires were used to collect the data from teachers and interview guides with head teachers. The instrument reliability was confirmed by Cronbach's alpha at 0.837. An actual response rate of 95.4% was achieved. Descriptive statistics and Pearson correlation were used for analysis. The findings revealed a moderate overall effectiveness mean of 3.14 (SD = .78) and instructional supervision was the most effective (M = 3.22, SD = .81), while promotion of learner-centered teaching was the weakest dimension (M = 3.09, SD = .82). The effectiveness of head teachers' strategies was meaningfully correlated with CBE implementation outcomes (r = .687, p &lt; .01) as a significant positive Pearson correlation was found. </w:t>
      </w:r>
      <w:r w:rsidR="006C7FE0" w:rsidRPr="001357D8">
        <w:rPr>
          <w:rFonts w:ascii="Arial" w:hAnsi="Arial" w:cs="Arial"/>
          <w:color w:val="000000" w:themeColor="text1"/>
          <w:sz w:val="20"/>
          <w:szCs w:val="20"/>
        </w:rPr>
        <w:t>Qualitative findings from interviews revealed that while supervisory engagement produced observable improvements in lesson delivery, teachers frequently reverted to teacher-centered methods without</w:t>
      </w:r>
      <w:r w:rsidR="007E7703" w:rsidRPr="001357D8">
        <w:rPr>
          <w:rFonts w:ascii="Arial" w:hAnsi="Arial" w:cs="Arial"/>
          <w:color w:val="000000" w:themeColor="text1"/>
          <w:sz w:val="20"/>
          <w:szCs w:val="20"/>
        </w:rPr>
        <w:t xml:space="preserve"> sustained professional support</w:t>
      </w:r>
      <w:r w:rsidR="006C7FE0" w:rsidRPr="001357D8">
        <w:rPr>
          <w:rFonts w:ascii="Arial" w:hAnsi="Arial" w:cs="Arial"/>
          <w:color w:val="000000" w:themeColor="text1"/>
          <w:sz w:val="20"/>
          <w:szCs w:val="20"/>
        </w:rPr>
        <w:t xml:space="preserve"> and irregular learner attendance in nomadic communities undermined competency progression. The study concludes that strategy effectiveness is constrained by insufficient embedded professional development and structural contextual barriers unique to marginalized settings. It recommends establishment of school-based instructional committees, structured peer coaching frameworks, and context-sensitive formative assessment toolkits tailored to arid and semi-arid educational environments.</w:t>
      </w:r>
    </w:p>
    <w:p w14:paraId="7E84B3C4" w14:textId="0FF87D12" w:rsidR="00121B07" w:rsidRPr="001357D8" w:rsidRDefault="006C7FE0" w:rsidP="000C4E8B">
      <w:pPr>
        <w:jc w:val="center"/>
        <w:rPr>
          <w:rFonts w:ascii="Arial" w:hAnsi="Arial" w:cs="Arial"/>
          <w:b/>
          <w:color w:val="000000" w:themeColor="text1"/>
          <w:sz w:val="20"/>
          <w:szCs w:val="20"/>
        </w:rPr>
      </w:pPr>
      <w:r w:rsidRPr="001357D8">
        <w:rPr>
          <w:rFonts w:ascii="Arial" w:hAnsi="Arial" w:cs="Arial"/>
          <w:b/>
          <w:color w:val="000000" w:themeColor="text1"/>
          <w:sz w:val="20"/>
          <w:szCs w:val="20"/>
        </w:rPr>
        <w:t>Key words: Head teachers; administrative strategies; effectiveness; CBE learning outcomes; instructional leadership</w:t>
      </w:r>
    </w:p>
    <w:p w14:paraId="43F15ACB" w14:textId="77777777" w:rsidR="008419B4" w:rsidRPr="001357D8" w:rsidRDefault="008419B4" w:rsidP="000C4E8B">
      <w:pPr>
        <w:rPr>
          <w:rFonts w:ascii="Arial" w:hAnsi="Arial" w:cs="Arial"/>
          <w:b/>
          <w:color w:val="000000" w:themeColor="text1"/>
          <w:sz w:val="20"/>
          <w:szCs w:val="20"/>
        </w:rPr>
      </w:pPr>
      <w:bookmarkStart w:id="2" w:name="_Toc188281860"/>
      <w:bookmarkStart w:id="3" w:name="_Toc225232379"/>
      <w:r w:rsidRPr="001357D8">
        <w:rPr>
          <w:rFonts w:ascii="Arial" w:hAnsi="Arial" w:cs="Arial"/>
          <w:b/>
          <w:color w:val="000000" w:themeColor="text1"/>
          <w:sz w:val="20"/>
          <w:szCs w:val="20"/>
        </w:rPr>
        <w:t xml:space="preserve">INTRODUCTION </w:t>
      </w:r>
    </w:p>
    <w:bookmarkEnd w:id="2"/>
    <w:bookmarkEnd w:id="3"/>
    <w:p w14:paraId="1D34E980" w14:textId="77777777" w:rsidR="008C0A6D" w:rsidRPr="001357D8" w:rsidRDefault="008C0A6D" w:rsidP="000C4E8B">
      <w:pPr>
        <w:spacing w:before="240" w:after="240" w:line="240" w:lineRule="auto"/>
        <w:jc w:val="both"/>
        <w:rPr>
          <w:rFonts w:ascii="Arial" w:hAnsi="Arial" w:cs="Arial"/>
          <w:color w:val="000000" w:themeColor="text1"/>
          <w:sz w:val="20"/>
          <w:szCs w:val="20"/>
        </w:rPr>
      </w:pPr>
      <w:r w:rsidRPr="001357D8">
        <w:rPr>
          <w:rFonts w:ascii="Arial" w:hAnsi="Arial" w:cs="Arial"/>
          <w:color w:val="000000" w:themeColor="text1"/>
          <w:sz w:val="20"/>
          <w:szCs w:val="20"/>
        </w:rPr>
        <w:t>The education system is shifting towards a competency-based approach that emphasizes skills for the 21</w:t>
      </w:r>
      <w:r w:rsidRPr="001357D8">
        <w:rPr>
          <w:rFonts w:ascii="Arial" w:hAnsi="Arial" w:cs="Arial"/>
          <w:color w:val="000000" w:themeColor="text1"/>
          <w:sz w:val="20"/>
          <w:szCs w:val="20"/>
          <w:vertAlign w:val="superscript"/>
        </w:rPr>
        <w:t>st</w:t>
      </w:r>
      <w:r w:rsidRPr="001357D8">
        <w:rPr>
          <w:rFonts w:ascii="Arial" w:hAnsi="Arial" w:cs="Arial"/>
          <w:color w:val="000000" w:themeColor="text1"/>
          <w:sz w:val="20"/>
          <w:szCs w:val="20"/>
        </w:rPr>
        <w:t xml:space="preserve"> century, including critical thinking, collaboration, creativity and digital literacy (Organisation for Economic Co-operation and Development [OECD], 2018). This shift was institutionalized in Kenya in 2017 with the implementation of Competency Based Education (CBE) which superseded the 8-4-4 curriculum framework which had been in operation in basic education since the early 1980s (Kenya Institute of Curriculum Development [KICD], 2017). The key competences of the core architecture of CBE are communication and collaboration, critical thinking and problem solving, imagination and creativity, citizenship, digital literacy, self-efficacy and learning to learn, designed to produce learners who are empowered, engaged, and ethically grounded citizens who can contribute productively to Kenyan society and the global economy (KICD, 2017).</w:t>
      </w:r>
    </w:p>
    <w:p w14:paraId="11EE9F7B" w14:textId="77777777" w:rsidR="008C0A6D" w:rsidRPr="001357D8" w:rsidRDefault="008C0A6D" w:rsidP="000C4E8B">
      <w:pPr>
        <w:spacing w:before="240" w:after="240" w:line="240" w:lineRule="auto"/>
        <w:jc w:val="both"/>
        <w:rPr>
          <w:rFonts w:ascii="Arial" w:hAnsi="Arial" w:cs="Arial"/>
          <w:color w:val="000000" w:themeColor="text1"/>
          <w:sz w:val="20"/>
          <w:szCs w:val="20"/>
        </w:rPr>
      </w:pPr>
      <w:r w:rsidRPr="001357D8">
        <w:rPr>
          <w:rFonts w:ascii="Arial" w:hAnsi="Arial" w:cs="Arial"/>
          <w:color w:val="000000" w:themeColor="text1"/>
          <w:sz w:val="20"/>
          <w:szCs w:val="20"/>
        </w:rPr>
        <w:t xml:space="preserve">Although this reform is driven by a strong vision, there have been many challenges in implementing CBE at the school level, especially in the marginalized and arid areas like Wajir East Sub-County. According to a </w:t>
      </w:r>
      <w:r w:rsidRPr="001357D8">
        <w:rPr>
          <w:rFonts w:ascii="Arial" w:hAnsi="Arial" w:cs="Arial"/>
          <w:color w:val="000000" w:themeColor="text1"/>
          <w:sz w:val="20"/>
          <w:szCs w:val="20"/>
        </w:rPr>
        <w:lastRenderedPageBreak/>
        <w:t>national assessment conducted by the Kenya National Examinations Council (KNEC, 2022), less than 40% of the public primary school teachers felt well equipped to teach CBE methodologies. The KICD (2023) also reported that there were chronic textbook and teaching materials shortages in arid counties, with more than 60% of the counties reporting such deficits. These systemic gaps have led to inconsistent implementation and to increased educational disparities between well-resourced urban schools and poorly-resourced rural schools.</w:t>
      </w:r>
    </w:p>
    <w:p w14:paraId="0A68EC35" w14:textId="77777777" w:rsidR="008C0A6D" w:rsidRPr="001357D8" w:rsidRDefault="008C0A6D" w:rsidP="000C4E8B">
      <w:pPr>
        <w:spacing w:before="240" w:after="240" w:line="240" w:lineRule="auto"/>
        <w:jc w:val="both"/>
        <w:rPr>
          <w:rFonts w:ascii="Arial" w:hAnsi="Arial" w:cs="Arial"/>
          <w:color w:val="000000" w:themeColor="text1"/>
          <w:sz w:val="20"/>
          <w:szCs w:val="20"/>
        </w:rPr>
      </w:pPr>
      <w:r w:rsidRPr="001357D8">
        <w:rPr>
          <w:rFonts w:ascii="Arial" w:hAnsi="Arial" w:cs="Arial"/>
          <w:color w:val="000000" w:themeColor="text1"/>
          <w:sz w:val="20"/>
          <w:szCs w:val="20"/>
        </w:rPr>
        <w:t>The school-level leadership becomes a key mediating variable between the national policy goal and the classroom reality. The head teachers are the operational leaders of public primary schools who are responsible for coordinating teacher professional development, mobilizing learning resources, managing community engagement and compliance with curriculum directives (</w:t>
      </w:r>
      <w:proofErr w:type="spellStart"/>
      <w:r w:rsidRPr="001357D8">
        <w:rPr>
          <w:rFonts w:ascii="Arial" w:hAnsi="Arial" w:cs="Arial"/>
          <w:color w:val="000000" w:themeColor="text1"/>
          <w:sz w:val="20"/>
          <w:szCs w:val="20"/>
        </w:rPr>
        <w:t>Ndiga</w:t>
      </w:r>
      <w:proofErr w:type="spellEnd"/>
      <w:r w:rsidRPr="001357D8">
        <w:rPr>
          <w:rFonts w:ascii="Arial" w:hAnsi="Arial" w:cs="Arial"/>
          <w:color w:val="000000" w:themeColor="text1"/>
          <w:sz w:val="20"/>
          <w:szCs w:val="20"/>
        </w:rPr>
        <w:t>, 2021). They have a direct impact on the school climate, the quality of the teaching and learning, the use of school resources, and the achievement of CBE learning outcomes. These strategies have, however, been less extensively examined in the empirical literature and have not been well studied, especially in sub-counties where the structural factors are overwhelming and limit leadership capacity.</w:t>
      </w:r>
    </w:p>
    <w:p w14:paraId="763A5B68" w14:textId="77777777" w:rsidR="00314879" w:rsidRPr="001357D8" w:rsidRDefault="008C0A6D" w:rsidP="000C4E8B">
      <w:pPr>
        <w:spacing w:before="240" w:after="240" w:line="240" w:lineRule="auto"/>
        <w:jc w:val="both"/>
        <w:rPr>
          <w:rFonts w:ascii="Arial" w:hAnsi="Arial" w:cs="Arial"/>
          <w:color w:val="000000" w:themeColor="text1"/>
          <w:sz w:val="20"/>
          <w:szCs w:val="20"/>
        </w:rPr>
      </w:pPr>
      <w:r w:rsidRPr="001357D8">
        <w:rPr>
          <w:rFonts w:ascii="Arial" w:hAnsi="Arial" w:cs="Arial"/>
          <w:color w:val="000000" w:themeColor="text1"/>
          <w:sz w:val="20"/>
          <w:szCs w:val="20"/>
        </w:rPr>
        <w:t>The context of Wajir East Sub-County is very unique. The sub-county's Net Enrolment Rate is about 52%, which is much lower than the national average of 84%, while dropouts are compounded by the pastoralist lifestyle, which requires that children participate in seasonal migration of livestock which interferes with their schooling (Ministry of Education, 2023). The teacher to pupil ratio in the sub-county is 1:65 which is higher than the national ratio of 1:40 (Teachers Service Commission [TSC], 2022). Insufficient WASH facilities in schools (UNICEF Kenya, 2022) and insecurity in areas along the borders further affects teacher deployment and learner attendance. Therefore, the structural and humanitarian factors that are out of the school's control can limit the effectiveness of the best intentions of the administration</w:t>
      </w:r>
      <w:r w:rsidR="00314879" w:rsidRPr="001357D8">
        <w:rPr>
          <w:rFonts w:ascii="Arial" w:hAnsi="Arial" w:cs="Arial"/>
          <w:color w:val="000000" w:themeColor="text1"/>
          <w:sz w:val="20"/>
          <w:szCs w:val="20"/>
        </w:rPr>
        <w:t>.</w:t>
      </w:r>
    </w:p>
    <w:p w14:paraId="37D1A0CA" w14:textId="77777777" w:rsidR="00121B07" w:rsidRPr="001357D8" w:rsidRDefault="00495388" w:rsidP="000C4E8B">
      <w:pPr>
        <w:jc w:val="both"/>
        <w:rPr>
          <w:rFonts w:ascii="Arial" w:hAnsi="Arial" w:cs="Arial"/>
          <w:b/>
          <w:color w:val="000000" w:themeColor="text1"/>
          <w:sz w:val="20"/>
          <w:szCs w:val="20"/>
        </w:rPr>
      </w:pPr>
      <w:bookmarkStart w:id="4" w:name="_Toc188281863"/>
      <w:bookmarkStart w:id="5" w:name="_Toc225232382"/>
      <w:r w:rsidRPr="001357D8">
        <w:rPr>
          <w:rFonts w:ascii="Arial" w:hAnsi="Arial" w:cs="Arial"/>
          <w:b/>
          <w:color w:val="000000" w:themeColor="text1"/>
          <w:sz w:val="20"/>
          <w:szCs w:val="20"/>
        </w:rPr>
        <w:t>OBJECTIVE</w:t>
      </w:r>
      <w:bookmarkEnd w:id="4"/>
      <w:bookmarkEnd w:id="5"/>
      <w:r w:rsidRPr="001357D8">
        <w:rPr>
          <w:rFonts w:ascii="Arial" w:hAnsi="Arial" w:cs="Arial"/>
          <w:b/>
          <w:color w:val="000000" w:themeColor="text1"/>
          <w:sz w:val="20"/>
          <w:szCs w:val="20"/>
        </w:rPr>
        <w:t xml:space="preserve"> OF THE STUDY </w:t>
      </w:r>
    </w:p>
    <w:p w14:paraId="315CDF91" w14:textId="102A2E74" w:rsidR="00D047F2" w:rsidRPr="001357D8" w:rsidRDefault="00617F25" w:rsidP="003A2626">
      <w:pPr>
        <w:pStyle w:val="ListParagraph"/>
        <w:spacing w:before="240" w:after="240" w:line="240" w:lineRule="auto"/>
        <w:ind w:left="0"/>
        <w:jc w:val="both"/>
        <w:rPr>
          <w:rFonts w:ascii="Arial" w:hAnsi="Arial" w:cs="Arial"/>
          <w:color w:val="000000" w:themeColor="text1"/>
          <w:sz w:val="20"/>
          <w:szCs w:val="20"/>
        </w:rPr>
      </w:pPr>
      <w:r w:rsidRPr="001357D8">
        <w:rPr>
          <w:rFonts w:ascii="Arial" w:hAnsi="Arial" w:cs="Arial"/>
          <w:color w:val="000000" w:themeColor="text1"/>
          <w:sz w:val="20"/>
          <w:szCs w:val="20"/>
        </w:rPr>
        <w:t xml:space="preserve">To </w:t>
      </w:r>
      <w:r w:rsidR="00314879" w:rsidRPr="001357D8">
        <w:rPr>
          <w:rFonts w:ascii="Arial" w:hAnsi="Arial" w:cs="Arial"/>
          <w:color w:val="000000" w:themeColor="text1"/>
          <w:sz w:val="20"/>
          <w:szCs w:val="20"/>
        </w:rPr>
        <w:t xml:space="preserve">assess the </w:t>
      </w:r>
      <w:r w:rsidR="00D047F2" w:rsidRPr="001357D8">
        <w:rPr>
          <w:rFonts w:ascii="Arial" w:hAnsi="Arial" w:cs="Arial"/>
          <w:color w:val="000000" w:themeColor="text1"/>
          <w:sz w:val="20"/>
          <w:szCs w:val="20"/>
        </w:rPr>
        <w:t xml:space="preserve">effectiveness of head teachers’ administrative strategies in achieving competency-based education learning outcomes in public primary schools in </w:t>
      </w:r>
      <w:r w:rsidR="003A2626" w:rsidRPr="001357D8">
        <w:rPr>
          <w:rFonts w:ascii="Arial" w:hAnsi="Arial" w:cs="Arial"/>
          <w:color w:val="000000" w:themeColor="text1"/>
          <w:sz w:val="20"/>
          <w:szCs w:val="20"/>
        </w:rPr>
        <w:t>Wajir East Sub-County, Kenya</w:t>
      </w:r>
    </w:p>
    <w:p w14:paraId="54DCD8BA" w14:textId="77777777" w:rsidR="00121B07" w:rsidRPr="001357D8" w:rsidRDefault="00495388" w:rsidP="000C4E8B">
      <w:pPr>
        <w:jc w:val="both"/>
        <w:rPr>
          <w:rFonts w:ascii="Arial" w:hAnsi="Arial" w:cs="Arial"/>
          <w:b/>
          <w:color w:val="000000" w:themeColor="text1"/>
          <w:sz w:val="20"/>
          <w:szCs w:val="20"/>
        </w:rPr>
      </w:pPr>
      <w:bookmarkStart w:id="6" w:name="_Toc225232384"/>
      <w:r w:rsidRPr="001357D8">
        <w:rPr>
          <w:rFonts w:ascii="Arial" w:hAnsi="Arial" w:cs="Arial"/>
          <w:b/>
          <w:color w:val="000000" w:themeColor="text1"/>
          <w:sz w:val="20"/>
          <w:szCs w:val="20"/>
        </w:rPr>
        <w:t>HYPOTHESIS</w:t>
      </w:r>
      <w:bookmarkEnd w:id="6"/>
      <w:r w:rsidRPr="001357D8">
        <w:rPr>
          <w:rFonts w:ascii="Arial" w:hAnsi="Arial" w:cs="Arial"/>
          <w:b/>
          <w:color w:val="000000" w:themeColor="text1"/>
          <w:sz w:val="20"/>
          <w:szCs w:val="20"/>
        </w:rPr>
        <w:t xml:space="preserve"> OF THE STUDY</w:t>
      </w:r>
    </w:p>
    <w:p w14:paraId="3773330F" w14:textId="558AE172" w:rsidR="00495388" w:rsidRPr="001357D8" w:rsidRDefault="00617F25" w:rsidP="000C4E8B">
      <w:pPr>
        <w:pStyle w:val="ListParagraph"/>
        <w:spacing w:before="240" w:after="240" w:line="240" w:lineRule="auto"/>
        <w:ind w:left="0"/>
        <w:jc w:val="both"/>
        <w:rPr>
          <w:rFonts w:ascii="Arial" w:hAnsi="Arial" w:cs="Arial"/>
          <w:color w:val="000000" w:themeColor="text1"/>
          <w:sz w:val="20"/>
          <w:szCs w:val="20"/>
        </w:rPr>
      </w:pPr>
      <w:r w:rsidRPr="001357D8">
        <w:rPr>
          <w:rFonts w:ascii="Arial" w:hAnsi="Arial" w:cs="Arial"/>
          <w:color w:val="000000" w:themeColor="text1"/>
          <w:sz w:val="20"/>
          <w:szCs w:val="20"/>
        </w:rPr>
        <w:t>H</w:t>
      </w:r>
      <w:r w:rsidR="00ED22CB" w:rsidRPr="001357D8">
        <w:rPr>
          <w:rFonts w:ascii="Arial" w:hAnsi="Arial" w:cs="Arial"/>
          <w:color w:val="000000" w:themeColor="text1"/>
          <w:sz w:val="20"/>
          <w:szCs w:val="20"/>
          <w:vertAlign w:val="subscript"/>
        </w:rPr>
        <w:t>0</w:t>
      </w:r>
      <w:r w:rsidR="00ED22CB" w:rsidRPr="001357D8">
        <w:rPr>
          <w:rFonts w:ascii="Arial" w:hAnsi="Arial" w:cs="Arial"/>
          <w:color w:val="000000" w:themeColor="text1"/>
          <w:sz w:val="20"/>
          <w:szCs w:val="20"/>
        </w:rPr>
        <w:t>1</w:t>
      </w:r>
      <w:r w:rsidRPr="001357D8">
        <w:rPr>
          <w:rFonts w:ascii="Arial" w:hAnsi="Arial" w:cs="Arial"/>
          <w:color w:val="000000" w:themeColor="text1"/>
          <w:sz w:val="20"/>
          <w:szCs w:val="20"/>
        </w:rPr>
        <w:t xml:space="preserve">: </w:t>
      </w:r>
      <w:r w:rsidR="00495388" w:rsidRPr="001357D8">
        <w:rPr>
          <w:rFonts w:ascii="Arial" w:hAnsi="Arial" w:cs="Arial"/>
          <w:color w:val="000000" w:themeColor="text1"/>
          <w:sz w:val="20"/>
          <w:szCs w:val="20"/>
        </w:rPr>
        <w:t xml:space="preserve">There is no statistically significant relationship between </w:t>
      </w:r>
      <w:r w:rsidR="003A2626" w:rsidRPr="001357D8">
        <w:rPr>
          <w:rFonts w:ascii="Arial" w:hAnsi="Arial" w:cs="Arial"/>
          <w:color w:val="000000" w:themeColor="text1"/>
          <w:sz w:val="20"/>
          <w:szCs w:val="20"/>
        </w:rPr>
        <w:t xml:space="preserve">head teachers’ administrative strategies </w:t>
      </w:r>
      <w:r w:rsidR="00D63B13" w:rsidRPr="001357D8">
        <w:rPr>
          <w:rFonts w:ascii="Arial" w:hAnsi="Arial" w:cs="Arial"/>
          <w:color w:val="000000" w:themeColor="text1"/>
          <w:sz w:val="20"/>
          <w:szCs w:val="20"/>
        </w:rPr>
        <w:t>and achievement of</w:t>
      </w:r>
      <w:r w:rsidR="003A2626" w:rsidRPr="001357D8">
        <w:rPr>
          <w:rFonts w:ascii="Arial" w:hAnsi="Arial" w:cs="Arial"/>
          <w:color w:val="000000" w:themeColor="text1"/>
          <w:sz w:val="20"/>
          <w:szCs w:val="20"/>
        </w:rPr>
        <w:t xml:space="preserve"> competency-based education learning outcomes in public primary schools in Wajir East Sub-County, Kenya</w:t>
      </w:r>
    </w:p>
    <w:p w14:paraId="597AA59B"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LITERATURE REVIEW</w:t>
      </w:r>
    </w:p>
    <w:p w14:paraId="51301F5F"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Theoretical Framework</w:t>
      </w:r>
    </w:p>
    <w:p w14:paraId="3E306737" w14:textId="77777777" w:rsidR="00F63AC1" w:rsidRPr="001357D8" w:rsidRDefault="008C0A6D"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This study draws on the theory of Instructional Leadership as developed by Hallinger and Murphy (1980), and further developed by Hallinger (2003) and Hallinger and Heck (1996). The theory suggests that the school leadership has a critical role in the quality of teaching and learning in the school, through </w:t>
      </w:r>
      <w:proofErr w:type="spellStart"/>
      <w:r w:rsidRPr="001357D8">
        <w:rPr>
          <w:rFonts w:ascii="Arial" w:eastAsia="Times New Roman" w:hAnsi="Arial" w:cs="Arial"/>
          <w:color w:val="000000" w:themeColor="text1"/>
          <w:sz w:val="20"/>
          <w:szCs w:val="20"/>
        </w:rPr>
        <w:t>behaviours</w:t>
      </w:r>
      <w:proofErr w:type="spellEnd"/>
      <w:r w:rsidRPr="001357D8">
        <w:rPr>
          <w:rFonts w:ascii="Arial" w:eastAsia="Times New Roman" w:hAnsi="Arial" w:cs="Arial"/>
          <w:color w:val="000000" w:themeColor="text1"/>
          <w:sz w:val="20"/>
          <w:szCs w:val="20"/>
        </w:rPr>
        <w:t xml:space="preserve"> that are grouped around 3 key functions: mission definition, instructional </w:t>
      </w:r>
      <w:proofErr w:type="spellStart"/>
      <w:r w:rsidRPr="001357D8">
        <w:rPr>
          <w:rFonts w:ascii="Arial" w:eastAsia="Times New Roman" w:hAnsi="Arial" w:cs="Arial"/>
          <w:color w:val="000000" w:themeColor="text1"/>
          <w:sz w:val="20"/>
          <w:szCs w:val="20"/>
        </w:rPr>
        <w:t>programme</w:t>
      </w:r>
      <w:proofErr w:type="spellEnd"/>
      <w:r w:rsidRPr="001357D8">
        <w:rPr>
          <w:rFonts w:ascii="Arial" w:eastAsia="Times New Roman" w:hAnsi="Arial" w:cs="Arial"/>
          <w:color w:val="000000" w:themeColor="text1"/>
          <w:sz w:val="20"/>
          <w:szCs w:val="20"/>
        </w:rPr>
        <w:t xml:space="preserve"> management and promotion of a positive school learning climate. Importantly, the theory states that instructional leaders who proactively monitor teachers, organize the content of instruction, and engage in professional development create the environment where learning outcomes are most likely to be positively and reliably enhanced. This theoretical basis offers a conceptual framework that can be systematically understood the relationship between head teachers' administrative actions and CBE learning outcomes</w:t>
      </w:r>
      <w:r w:rsidR="00F63AC1" w:rsidRPr="001357D8">
        <w:rPr>
          <w:rFonts w:ascii="Arial" w:eastAsia="Times New Roman" w:hAnsi="Arial" w:cs="Arial"/>
          <w:color w:val="000000" w:themeColor="text1"/>
          <w:sz w:val="20"/>
          <w:szCs w:val="20"/>
        </w:rPr>
        <w:t xml:space="preserve">. </w:t>
      </w:r>
    </w:p>
    <w:p w14:paraId="61F46B71"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Effectiveness of Head Teachers' Strategies in CBE Implementation</w:t>
      </w:r>
    </w:p>
    <w:p w14:paraId="78CAAC4F" w14:textId="77777777" w:rsidR="001E3B25" w:rsidRPr="001357D8" w:rsidRDefault="001E3B25"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There is an expanding empirical literature that supports a positive association between quality of school leadership and effectiveness of curriculum implementation, but this association is contingent upon other </w:t>
      </w:r>
      <w:r w:rsidRPr="001357D8">
        <w:rPr>
          <w:rFonts w:ascii="Arial" w:eastAsia="Times New Roman" w:hAnsi="Arial" w:cs="Arial"/>
          <w:color w:val="000000" w:themeColor="text1"/>
          <w:sz w:val="20"/>
          <w:szCs w:val="20"/>
        </w:rPr>
        <w:lastRenderedPageBreak/>
        <w:t xml:space="preserve">factors such as the presence of resources, teacher capacity, and community engagement. A study by </w:t>
      </w:r>
      <w:proofErr w:type="spellStart"/>
      <w:r w:rsidRPr="001357D8">
        <w:rPr>
          <w:rFonts w:ascii="Arial" w:eastAsia="Times New Roman" w:hAnsi="Arial" w:cs="Arial"/>
          <w:color w:val="000000" w:themeColor="text1"/>
          <w:sz w:val="20"/>
          <w:szCs w:val="20"/>
        </w:rPr>
        <w:t>Wairungu</w:t>
      </w:r>
      <w:proofErr w:type="spellEnd"/>
      <w:r w:rsidRPr="001357D8">
        <w:rPr>
          <w:rFonts w:ascii="Arial" w:eastAsia="Times New Roman" w:hAnsi="Arial" w:cs="Arial"/>
          <w:color w:val="000000" w:themeColor="text1"/>
          <w:sz w:val="20"/>
          <w:szCs w:val="20"/>
        </w:rPr>
        <w:t xml:space="preserve"> and </w:t>
      </w:r>
      <w:proofErr w:type="spellStart"/>
      <w:r w:rsidRPr="001357D8">
        <w:rPr>
          <w:rFonts w:ascii="Arial" w:eastAsia="Times New Roman" w:hAnsi="Arial" w:cs="Arial"/>
          <w:color w:val="000000" w:themeColor="text1"/>
          <w:sz w:val="20"/>
          <w:szCs w:val="20"/>
        </w:rPr>
        <w:t>Magoma</w:t>
      </w:r>
      <w:proofErr w:type="spellEnd"/>
      <w:r w:rsidRPr="001357D8">
        <w:rPr>
          <w:rFonts w:ascii="Arial" w:eastAsia="Times New Roman" w:hAnsi="Arial" w:cs="Arial"/>
          <w:color w:val="000000" w:themeColor="text1"/>
          <w:sz w:val="20"/>
          <w:szCs w:val="20"/>
        </w:rPr>
        <w:t xml:space="preserve"> (2024) in public primary schools of Kenya revealed that although head teachers promoted the use of learner-centered pedagogy, this did not necessarily translate into the classroom due to the capacity of the teachers, the resources available in the schools, and the consistency of leadership support. Sustained leadership interventions were more successful in schools where head teachers gave ongoing CBE coaching and structured peer learning, suggesting that sustained leadership interventions are more important than episodic.</w:t>
      </w:r>
    </w:p>
    <w:p w14:paraId="12413FDF" w14:textId="77777777" w:rsidR="001E3B25" w:rsidRPr="001357D8" w:rsidRDefault="001E3B25"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One of the more influential syntheses on the instructional leadership-student outcomes relationship was conducted by Robinson et al. (2008) who analyzed 27 studies from a variety of international settings. Their results showed that the most significant size effect was for leaders who directly encouraged and engaged in teacher professional learning, and then for leaders who organized, planned, and assessed the teaching and curriculum. The evidence is strong that when head teachers engage with the curriculum beyond administrative coordination, they lead to the most significant improvements in the quality of curriculum delivery.</w:t>
      </w:r>
    </w:p>
    <w:p w14:paraId="6C3C1A83" w14:textId="77777777" w:rsidR="001E3B25" w:rsidRPr="001357D8" w:rsidRDefault="001E3B25"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Lema and Otieno (2022) investigated the supervisory techniques and effects of head teachers on teacher's work performance in public primary schools of Arusha District Council in Tanzania. The study employed a </w:t>
      </w:r>
      <w:proofErr w:type="gramStart"/>
      <w:r w:rsidRPr="001357D8">
        <w:rPr>
          <w:rFonts w:ascii="Arial" w:eastAsia="Times New Roman" w:hAnsi="Arial" w:cs="Arial"/>
          <w:color w:val="000000" w:themeColor="text1"/>
          <w:sz w:val="20"/>
          <w:szCs w:val="20"/>
        </w:rPr>
        <w:t>convergent mixed methods</w:t>
      </w:r>
      <w:proofErr w:type="gramEnd"/>
      <w:r w:rsidRPr="001357D8">
        <w:rPr>
          <w:rFonts w:ascii="Arial" w:eastAsia="Times New Roman" w:hAnsi="Arial" w:cs="Arial"/>
          <w:color w:val="000000" w:themeColor="text1"/>
          <w:sz w:val="20"/>
          <w:szCs w:val="20"/>
        </w:rPr>
        <w:t xml:space="preserve"> design and revealed a statistically significant positive relationship between supervisory practices and the work performance of instructors, and a significant positive relationship between head teachers' observation practice and positive conditions in the classroom and the increase in teaching quality. This is similar to the rating of effectiveness for supervision that was found in the current study, when compared with the five dimensions measured.</w:t>
      </w:r>
    </w:p>
    <w:p w14:paraId="58D1FEE3" w14:textId="4242311A" w:rsidR="00F63AC1" w:rsidRPr="001357D8" w:rsidRDefault="00006904" w:rsidP="000C4E8B">
      <w:pPr>
        <w:spacing w:before="100" w:after="100" w:line="36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t>Kuviyo</w:t>
      </w:r>
      <w:proofErr w:type="spellEnd"/>
      <w:r w:rsidRPr="001357D8">
        <w:rPr>
          <w:rFonts w:ascii="Arial" w:eastAsia="Times New Roman" w:hAnsi="Arial" w:cs="Arial"/>
          <w:color w:val="000000" w:themeColor="text1"/>
          <w:sz w:val="20"/>
          <w:szCs w:val="20"/>
        </w:rPr>
        <w:t xml:space="preserve">, </w:t>
      </w:r>
      <w:proofErr w:type="spellStart"/>
      <w:r w:rsidRPr="001357D8">
        <w:rPr>
          <w:rFonts w:ascii="Arial" w:eastAsia="Times New Roman" w:hAnsi="Arial" w:cs="Arial"/>
          <w:color w:val="000000" w:themeColor="text1"/>
          <w:sz w:val="20"/>
          <w:szCs w:val="20"/>
        </w:rPr>
        <w:t>Piliyesi</w:t>
      </w:r>
      <w:proofErr w:type="spellEnd"/>
      <w:r w:rsidR="001E3B25" w:rsidRPr="001357D8">
        <w:rPr>
          <w:rFonts w:ascii="Arial" w:eastAsia="Times New Roman" w:hAnsi="Arial" w:cs="Arial"/>
          <w:color w:val="000000" w:themeColor="text1"/>
          <w:sz w:val="20"/>
          <w:szCs w:val="20"/>
        </w:rPr>
        <w:t xml:space="preserve"> and Kanga (2022) examined principals' instructional supervision practices in public secondary schools in Kajiado North Sub-County, demonstrating a positive correlation between principals' instructional supervision practices and the effectiveness of instructional practices and learning outcomes. </w:t>
      </w:r>
      <w:proofErr w:type="spellStart"/>
      <w:r w:rsidR="001E3B25" w:rsidRPr="001357D8">
        <w:rPr>
          <w:rFonts w:ascii="Arial" w:eastAsia="Times New Roman" w:hAnsi="Arial" w:cs="Arial"/>
          <w:color w:val="000000" w:themeColor="text1"/>
          <w:sz w:val="20"/>
          <w:szCs w:val="20"/>
        </w:rPr>
        <w:t>Kanuvi</w:t>
      </w:r>
      <w:proofErr w:type="spellEnd"/>
      <w:r w:rsidR="001E3B25" w:rsidRPr="001357D8">
        <w:rPr>
          <w:rFonts w:ascii="Arial" w:eastAsia="Times New Roman" w:hAnsi="Arial" w:cs="Arial"/>
          <w:color w:val="000000" w:themeColor="text1"/>
          <w:sz w:val="20"/>
          <w:szCs w:val="20"/>
        </w:rPr>
        <w:t xml:space="preserve">, Barat, and </w:t>
      </w:r>
      <w:proofErr w:type="spellStart"/>
      <w:r w:rsidR="001E3B25" w:rsidRPr="001357D8">
        <w:rPr>
          <w:rFonts w:ascii="Arial" w:eastAsia="Times New Roman" w:hAnsi="Arial" w:cs="Arial"/>
          <w:color w:val="000000" w:themeColor="text1"/>
          <w:sz w:val="20"/>
          <w:szCs w:val="20"/>
        </w:rPr>
        <w:t>Piliyesi</w:t>
      </w:r>
      <w:proofErr w:type="spellEnd"/>
      <w:r w:rsidR="001E3B25" w:rsidRPr="001357D8">
        <w:rPr>
          <w:rFonts w:ascii="Arial" w:eastAsia="Times New Roman" w:hAnsi="Arial" w:cs="Arial"/>
          <w:color w:val="000000" w:themeColor="text1"/>
          <w:sz w:val="20"/>
          <w:szCs w:val="20"/>
        </w:rPr>
        <w:t xml:space="preserve"> (2024) also reported that the following supervisory measures in primary schools led to improved instructional effectiveness: regular visits to the classrooms, examination of lesson plans, and the provision of structured feedback. These results are consistent with the current study's results which demonstrated that supervision is the most consistent dimension of head teachers' CBE strategy implementation.</w:t>
      </w:r>
    </w:p>
    <w:p w14:paraId="0B2C2881" w14:textId="77777777" w:rsidR="00193727" w:rsidRPr="001357D8" w:rsidRDefault="00193727"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most difficult area of alignment between the deployment of administrative strategy and curriculum outcomes is the promotion of learner-centered teaching. </w:t>
      </w:r>
      <w:proofErr w:type="spellStart"/>
      <w:r w:rsidRPr="001357D8">
        <w:rPr>
          <w:rFonts w:ascii="Arial" w:eastAsia="Times New Roman" w:hAnsi="Arial" w:cs="Arial"/>
          <w:color w:val="000000" w:themeColor="text1"/>
          <w:sz w:val="20"/>
          <w:szCs w:val="20"/>
        </w:rPr>
        <w:t>Maiyuria</w:t>
      </w:r>
      <w:proofErr w:type="spellEnd"/>
      <w:r w:rsidRPr="001357D8">
        <w:rPr>
          <w:rFonts w:ascii="Arial" w:eastAsia="Times New Roman" w:hAnsi="Arial" w:cs="Arial"/>
          <w:color w:val="000000" w:themeColor="text1"/>
          <w:sz w:val="20"/>
          <w:szCs w:val="20"/>
        </w:rPr>
        <w:t xml:space="preserve">, </w:t>
      </w:r>
      <w:proofErr w:type="spellStart"/>
      <w:r w:rsidRPr="001357D8">
        <w:rPr>
          <w:rFonts w:ascii="Arial" w:eastAsia="Times New Roman" w:hAnsi="Arial" w:cs="Arial"/>
          <w:color w:val="000000" w:themeColor="text1"/>
          <w:sz w:val="20"/>
          <w:szCs w:val="20"/>
        </w:rPr>
        <w:t>Mackatiani</w:t>
      </w:r>
      <w:proofErr w:type="spellEnd"/>
      <w:r w:rsidRPr="001357D8">
        <w:rPr>
          <w:rFonts w:ascii="Arial" w:eastAsia="Times New Roman" w:hAnsi="Arial" w:cs="Arial"/>
          <w:color w:val="000000" w:themeColor="text1"/>
          <w:sz w:val="20"/>
          <w:szCs w:val="20"/>
        </w:rPr>
        <w:t xml:space="preserve"> and </w:t>
      </w:r>
      <w:proofErr w:type="spellStart"/>
      <w:r w:rsidRPr="001357D8">
        <w:rPr>
          <w:rFonts w:ascii="Arial" w:eastAsia="Times New Roman" w:hAnsi="Arial" w:cs="Arial"/>
          <w:color w:val="000000" w:themeColor="text1"/>
          <w:sz w:val="20"/>
          <w:szCs w:val="20"/>
        </w:rPr>
        <w:t>Gakunga</w:t>
      </w:r>
      <w:proofErr w:type="spellEnd"/>
      <w:r w:rsidRPr="001357D8">
        <w:rPr>
          <w:rFonts w:ascii="Arial" w:eastAsia="Times New Roman" w:hAnsi="Arial" w:cs="Arial"/>
          <w:color w:val="000000" w:themeColor="text1"/>
          <w:sz w:val="20"/>
          <w:szCs w:val="20"/>
        </w:rPr>
        <w:t xml:space="preserve"> (2024) noted that the teachers in Kenyan public primary schools have good content knowledge but were deficient in pedagogical strategies needed to implement the competency-based learning activities. This pedagogical lack of confidence was related to the lack of support in professional development that can be provided in schools, which means that administrative supervision is not enough to fill this pedagogical void. This was confirmed by Mutua and Waweru (2023) who revealed that many teachers persisted with traditional teaching methods, instead of the learner-centered approach, especially in the absence of close supervision by their school leaders.</w:t>
      </w:r>
    </w:p>
    <w:p w14:paraId="381A8EC4" w14:textId="77777777" w:rsidR="00193727" w:rsidRPr="001357D8" w:rsidRDefault="00193727" w:rsidP="000C4E8B">
      <w:pPr>
        <w:spacing w:before="100" w:after="100" w:line="36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lastRenderedPageBreak/>
        <w:t>Ronguno</w:t>
      </w:r>
      <w:proofErr w:type="spellEnd"/>
      <w:r w:rsidRPr="001357D8">
        <w:rPr>
          <w:rFonts w:ascii="Arial" w:eastAsia="Times New Roman" w:hAnsi="Arial" w:cs="Arial"/>
          <w:color w:val="000000" w:themeColor="text1"/>
          <w:sz w:val="20"/>
          <w:szCs w:val="20"/>
        </w:rPr>
        <w:t xml:space="preserve"> (2025) also corroborated in </w:t>
      </w:r>
      <w:proofErr w:type="spellStart"/>
      <w:r w:rsidRPr="001357D8">
        <w:rPr>
          <w:rFonts w:ascii="Arial" w:eastAsia="Times New Roman" w:hAnsi="Arial" w:cs="Arial"/>
          <w:color w:val="000000" w:themeColor="text1"/>
          <w:sz w:val="20"/>
          <w:szCs w:val="20"/>
        </w:rPr>
        <w:t>Chesumei</w:t>
      </w:r>
      <w:proofErr w:type="spellEnd"/>
      <w:r w:rsidRPr="001357D8">
        <w:rPr>
          <w:rFonts w:ascii="Arial" w:eastAsia="Times New Roman" w:hAnsi="Arial" w:cs="Arial"/>
          <w:color w:val="000000" w:themeColor="text1"/>
          <w:sz w:val="20"/>
          <w:szCs w:val="20"/>
        </w:rPr>
        <w:t xml:space="preserve"> Sub-County that learner-centered teaching was not being fully practiced because of resource limitations and lack of professional development, which led to very few gains in CBE competency acquisition. The uniformity of the findings from geographically very distant and demographically very different Kenyan sub-counties indicates that the failure to achieve the desired outcomes in learners is not a local issue, but a systemic issue. In addition, Ngunjiri and Ng'ang'a (2021) reported that teacher training on CBE in Kenya was ad hoc, superficial, and inadequate to connect to the practical requirements of its implementation in classrooms, which led them to conclude that short-term, irregular training workshops were not sufficient to drive the desired pedagogical change necessary for CBE.</w:t>
      </w:r>
    </w:p>
    <w:p w14:paraId="6DE3CDFE" w14:textId="77777777" w:rsidR="00F63AC1" w:rsidRPr="001357D8" w:rsidRDefault="00193727"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Partially divergent, Situma, Macheso and Njogu (2024) found that CBE assessment alignment scores in highly active head teachers' schools in the better resourced Kenyan counties were above average, implying that there is a partial evidence that good head teacher leadership can help offset poor resource levels. The difference, however, is likely due to the worse structural barriers in Wajir East which are exacerbated by factors such as insecurity, lack of teachers, and poor infrastructure, making the context in which leadership operates more difficult than in the counties studied by Situma et al. (2024).</w:t>
      </w:r>
    </w:p>
    <w:p w14:paraId="57626C7A"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RESEARCH METHODOLOGY</w:t>
      </w:r>
    </w:p>
    <w:p w14:paraId="75E8710A" w14:textId="77777777" w:rsidR="001F5EFE" w:rsidRPr="001357D8" w:rsidRDefault="001F5EFE" w:rsidP="000C4E8B">
      <w:pPr>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The study was guided by a positivist research paradigm, which assumes that knowledge is objective and can be measured by empirical observation and statistical analysis (Creswell &amp; Creswell, 2023). The positivism was suitable because the study aimed to establish statistically verifiable relationships between the head teachers' administrative strategies and the CBE learning outcomes. A case study design with a mixed method approach was used. The mixed methods design allowed for the patterns found in the quantitative data to be seen and for the qualitative data from the interviews to provide context and explain the patterns found in the quantitative data (Creswell &amp; Creswell, 2023).</w:t>
      </w:r>
    </w:p>
    <w:p w14:paraId="71457BF9" w14:textId="08C0440E" w:rsidR="001F5EFE" w:rsidRPr="001357D8" w:rsidRDefault="001F5EFE" w:rsidP="000C4E8B">
      <w:pPr>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target population included 279 teachers and 27 head teachers who were selected from all 27 public primary schools in Wajir East Sub-County (Sub-County Education Office, Wajir East, 2025). The sample size was calculated from Yamane's formula (1967) at 95% confidence level to get 173 respondents, namely 158 teachers and 15 head teachers who participated in the study. </w:t>
      </w:r>
    </w:p>
    <w:p w14:paraId="11B1FCAA" w14:textId="77777777" w:rsidR="001F5EFE" w:rsidRPr="001357D8" w:rsidRDefault="001F5EFE" w:rsidP="000C4E8B">
      <w:pPr>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two main instruments used to gather data were: The quantitative data was collected using a structured questionnaire that was administered to teachers on five items that were rated on a </w:t>
      </w:r>
      <w:proofErr w:type="gramStart"/>
      <w:r w:rsidRPr="001357D8">
        <w:rPr>
          <w:rFonts w:ascii="Arial" w:eastAsia="Times New Roman" w:hAnsi="Arial" w:cs="Arial"/>
          <w:color w:val="000000" w:themeColor="text1"/>
          <w:sz w:val="20"/>
          <w:szCs w:val="20"/>
        </w:rPr>
        <w:t>4 point</w:t>
      </w:r>
      <w:proofErr w:type="gramEnd"/>
      <w:r w:rsidRPr="001357D8">
        <w:rPr>
          <w:rFonts w:ascii="Arial" w:eastAsia="Times New Roman" w:hAnsi="Arial" w:cs="Arial"/>
          <w:color w:val="000000" w:themeColor="text1"/>
          <w:sz w:val="20"/>
          <w:szCs w:val="20"/>
        </w:rPr>
        <w:t xml:space="preserve"> Likert scale ranging from strongly disagree (1) to strongly agree (4), using the head teachers' strategies to achieve the CBE learning outcomes. Head teachers were interviewed using a semi-structured interview guide to obtain qualitative, contextually rich descriptions of how their strategies had led to discernible improvements in learning outcomes, in classroom practice, and in assessment practices. The content of the instrument was validated by experts while appropriateness of the instrument was confirmed through a pilot study in Wajir West Sub-County with 16 teacher respondents. The Cronbach's alpha reliability analysis showed a coefficient of 0.837, which is above the accepted value of 0.70 (Bryman, 2021).</w:t>
      </w:r>
    </w:p>
    <w:p w14:paraId="7436CD50" w14:textId="77777777" w:rsidR="001F5EFE" w:rsidRPr="001357D8" w:rsidRDefault="001F5EFE" w:rsidP="000C4E8B">
      <w:pPr>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Teacher perceptions of strategy effectiveness were summarized using descriptive statistics (means and standard deviations). The null hypothesis was tested and the statistical relationship between the effectiveness of the strategies and the implementation of CBE was established using Pearson correlation analysis. The head teacher interviews were conducted to elicit qualitative data, which was transcribed verbatim and </w:t>
      </w:r>
      <w:proofErr w:type="spellStart"/>
      <w:r w:rsidRPr="001357D8">
        <w:rPr>
          <w:rFonts w:ascii="Arial" w:eastAsia="Times New Roman" w:hAnsi="Arial" w:cs="Arial"/>
          <w:color w:val="000000" w:themeColor="text1"/>
          <w:sz w:val="20"/>
          <w:szCs w:val="20"/>
        </w:rPr>
        <w:t>analysed</w:t>
      </w:r>
      <w:proofErr w:type="spellEnd"/>
      <w:r w:rsidRPr="001357D8">
        <w:rPr>
          <w:rFonts w:ascii="Arial" w:eastAsia="Times New Roman" w:hAnsi="Arial" w:cs="Arial"/>
          <w:color w:val="000000" w:themeColor="text1"/>
          <w:sz w:val="20"/>
          <w:szCs w:val="20"/>
        </w:rPr>
        <w:t xml:space="preserve"> using thematic analysis, deductively around the effectiveness dimensions used in the questionnaire and inductively by careful reading of the head teacher interviews.</w:t>
      </w:r>
    </w:p>
    <w:p w14:paraId="756F61CE" w14:textId="3779903E" w:rsidR="001F5EFE" w:rsidRPr="001357D8" w:rsidRDefault="001F5EFE" w:rsidP="000C4E8B">
      <w:pPr>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study was conducted in accordance with the internationally agreed research ethics guidelines with respect to the dignity, rights and wellbeing of all participants. Each participant (teacher and head teacher) received a detailed information sheet and an informed consent form, outlining the purpose of the study, the nature of their involvement, the voluntary nature of their involvement, and their right to withdraw from the </w:t>
      </w:r>
      <w:r w:rsidRPr="001357D8">
        <w:rPr>
          <w:rFonts w:ascii="Arial" w:eastAsia="Times New Roman" w:hAnsi="Arial" w:cs="Arial"/>
          <w:color w:val="000000" w:themeColor="text1"/>
          <w:sz w:val="20"/>
          <w:szCs w:val="20"/>
        </w:rPr>
        <w:lastRenderedPageBreak/>
        <w:t>study at any time without any consequence or penalty. All participants were informed and informed again about the nature and purpose of the study, respecting their autonomy (Saunders, Lewis, &amp; Thornhill, 2023).</w:t>
      </w:r>
      <w:r w:rsidR="00A10788" w:rsidRPr="001357D8">
        <w:rPr>
          <w:rFonts w:ascii="Arial" w:eastAsia="Times New Roman" w:hAnsi="Arial" w:cs="Arial"/>
          <w:color w:val="000000" w:themeColor="text1"/>
          <w:sz w:val="20"/>
          <w:szCs w:val="20"/>
        </w:rPr>
        <w:t xml:space="preserve"> </w:t>
      </w:r>
    </w:p>
    <w:p w14:paraId="4D0823D5" w14:textId="2DCFEDE1" w:rsidR="00F63AC1" w:rsidRPr="001357D8" w:rsidRDefault="001357D8" w:rsidP="000C4E8B">
      <w:pPr>
        <w:jc w:val="both"/>
        <w:rPr>
          <w:rFonts w:ascii="Arial" w:hAnsi="Arial" w:cs="Arial"/>
          <w:b/>
          <w:color w:val="000000" w:themeColor="text1"/>
          <w:sz w:val="20"/>
          <w:szCs w:val="20"/>
        </w:rPr>
      </w:pPr>
      <w:r>
        <w:rPr>
          <w:rFonts w:ascii="Arial" w:hAnsi="Arial" w:cs="Arial"/>
          <w:b/>
          <w:color w:val="000000" w:themeColor="text1"/>
          <w:sz w:val="20"/>
          <w:szCs w:val="20"/>
        </w:rPr>
        <w:t>RESULTS</w:t>
      </w:r>
      <w:r w:rsidR="00F63AC1" w:rsidRPr="001357D8">
        <w:rPr>
          <w:rFonts w:ascii="Arial" w:hAnsi="Arial" w:cs="Arial"/>
          <w:b/>
          <w:color w:val="000000" w:themeColor="text1"/>
          <w:sz w:val="20"/>
          <w:szCs w:val="20"/>
        </w:rPr>
        <w:t xml:space="preserve"> AND DISCUSSION</w:t>
      </w:r>
    </w:p>
    <w:p w14:paraId="4C536FEE"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Response Rate</w:t>
      </w:r>
    </w:p>
    <w:p w14:paraId="37F9D73A" w14:textId="77777777" w:rsidR="00F63AC1" w:rsidRPr="001357D8" w:rsidRDefault="006F4F40"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A total of 173 respondents (158 teachers and 15 head teachers) were targeted. Of the 158 teachers targeted, 150 returned and completed the questionnaire and all 15 head teachers attended the planned interviews. This yielded an overall response rate of 95.4% which exceeded the minimum recommended rate of 60% for survey-based educational research (Kombo &amp; Tromp, 2006). The high response rate minimizes non-response bias and increases the credibility and generalizability of the results in the context of the study</w:t>
      </w:r>
      <w:r w:rsidR="00F63AC1" w:rsidRPr="001357D8">
        <w:rPr>
          <w:rFonts w:ascii="Arial" w:eastAsia="Times New Roman" w:hAnsi="Arial" w:cs="Arial"/>
          <w:color w:val="000000" w:themeColor="text1"/>
          <w:sz w:val="20"/>
          <w:szCs w:val="20"/>
        </w:rPr>
        <w:t>.</w:t>
      </w:r>
    </w:p>
    <w:p w14:paraId="06C296C7" w14:textId="77777777" w:rsidR="00F63AC1" w:rsidRPr="001357D8" w:rsidRDefault="00205E08"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 xml:space="preserve"> </w:t>
      </w:r>
      <w:r w:rsidR="00F63AC1" w:rsidRPr="001357D8">
        <w:rPr>
          <w:rFonts w:ascii="Arial" w:hAnsi="Arial" w:cs="Arial"/>
          <w:b/>
          <w:color w:val="000000" w:themeColor="text1"/>
          <w:sz w:val="20"/>
          <w:szCs w:val="20"/>
        </w:rPr>
        <w:t>Descriptive Statistics: Effectiveness of Head Teachers' Strategies</w:t>
      </w:r>
    </w:p>
    <w:p w14:paraId="721F0770" w14:textId="77777777" w:rsidR="00F63AC1" w:rsidRPr="001357D8" w:rsidRDefault="00F63AC1"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Table 1 presents the descriptive statistics for the five items assessing the effectiveness of head teachers' strategies in achieving CBE intended learning outcomes.</w:t>
      </w:r>
    </w:p>
    <w:p w14:paraId="2B6D47E7" w14:textId="77777777" w:rsidR="00F63AC1" w:rsidRPr="001357D8" w:rsidRDefault="00F63AC1" w:rsidP="000C4E8B">
      <w:pPr>
        <w:spacing w:before="60" w:after="60" w:line="360" w:lineRule="auto"/>
        <w:jc w:val="center"/>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Table 1: Effectiveness of Head Teachers' Strategies in Achieving CBE Learning Outcomes</w:t>
      </w:r>
    </w:p>
    <w:p w14:paraId="1A6C3845" w14:textId="77777777" w:rsidR="00F63AC1" w:rsidRPr="001357D8" w:rsidRDefault="00F63AC1" w:rsidP="000C4E8B">
      <w:pPr>
        <w:spacing w:before="20" w:after="60" w:line="360" w:lineRule="auto"/>
        <w:jc w:val="center"/>
        <w:rPr>
          <w:rFonts w:ascii="Arial" w:eastAsia="Times New Roman" w:hAnsi="Arial" w:cs="Arial"/>
          <w:color w:val="000000" w:themeColor="text1"/>
          <w:sz w:val="20"/>
          <w:szCs w:val="20"/>
        </w:rPr>
      </w:pPr>
      <w:r w:rsidRPr="001357D8">
        <w:rPr>
          <w:rFonts w:ascii="Arial" w:eastAsia="Times New Roman" w:hAnsi="Arial" w:cs="Arial"/>
          <w:i/>
          <w:iCs/>
          <w:color w:val="000000" w:themeColor="text1"/>
          <w:sz w:val="20"/>
          <w:szCs w:val="20"/>
        </w:rPr>
        <w:t>SD = Strongly Disagree; D = Disagree; A = Agree; SA = Strongly Agree; N = Total respondents</w:t>
      </w:r>
    </w:p>
    <w:tbl>
      <w:tblPr>
        <w:tblW w:w="9220" w:type="dxa"/>
        <w:tblInd w:w="-15"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4712"/>
        <w:gridCol w:w="583"/>
        <w:gridCol w:w="583"/>
        <w:gridCol w:w="583"/>
        <w:gridCol w:w="583"/>
        <w:gridCol w:w="583"/>
        <w:gridCol w:w="808"/>
        <w:gridCol w:w="785"/>
      </w:tblGrid>
      <w:tr w:rsidR="004B65C0" w:rsidRPr="001357D8" w14:paraId="62404AD8" w14:textId="77777777" w:rsidTr="001C1BAF">
        <w:tc>
          <w:tcPr>
            <w:tcW w:w="4712" w:type="dxa"/>
            <w:tcBorders>
              <w:top w:val="single" w:sz="4" w:space="0" w:color="auto"/>
              <w:bottom w:val="single" w:sz="4" w:space="0" w:color="auto"/>
            </w:tcBorders>
            <w:tcMar>
              <w:top w:w="80" w:type="dxa"/>
              <w:left w:w="100" w:type="dxa"/>
              <w:bottom w:w="80" w:type="dxa"/>
              <w:right w:w="100" w:type="dxa"/>
            </w:tcMar>
          </w:tcPr>
          <w:p w14:paraId="44B77041"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Statement</w:t>
            </w:r>
          </w:p>
        </w:tc>
        <w:tc>
          <w:tcPr>
            <w:tcW w:w="583" w:type="dxa"/>
            <w:tcBorders>
              <w:top w:val="single" w:sz="4" w:space="0" w:color="auto"/>
              <w:bottom w:val="single" w:sz="4" w:space="0" w:color="auto"/>
            </w:tcBorders>
            <w:tcMar>
              <w:top w:w="80" w:type="dxa"/>
              <w:left w:w="100" w:type="dxa"/>
              <w:bottom w:w="80" w:type="dxa"/>
              <w:right w:w="100" w:type="dxa"/>
            </w:tcMar>
          </w:tcPr>
          <w:p w14:paraId="4C5A4880"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SD</w:t>
            </w:r>
          </w:p>
        </w:tc>
        <w:tc>
          <w:tcPr>
            <w:tcW w:w="583" w:type="dxa"/>
            <w:tcBorders>
              <w:top w:val="single" w:sz="4" w:space="0" w:color="auto"/>
              <w:bottom w:val="single" w:sz="4" w:space="0" w:color="auto"/>
            </w:tcBorders>
            <w:tcMar>
              <w:top w:w="80" w:type="dxa"/>
              <w:left w:w="100" w:type="dxa"/>
              <w:bottom w:w="80" w:type="dxa"/>
              <w:right w:w="100" w:type="dxa"/>
            </w:tcMar>
          </w:tcPr>
          <w:p w14:paraId="3E9C3D01"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D</w:t>
            </w:r>
          </w:p>
        </w:tc>
        <w:tc>
          <w:tcPr>
            <w:tcW w:w="583" w:type="dxa"/>
            <w:tcBorders>
              <w:top w:val="single" w:sz="4" w:space="0" w:color="auto"/>
              <w:bottom w:val="single" w:sz="4" w:space="0" w:color="auto"/>
            </w:tcBorders>
            <w:tcMar>
              <w:top w:w="80" w:type="dxa"/>
              <w:left w:w="100" w:type="dxa"/>
              <w:bottom w:w="80" w:type="dxa"/>
              <w:right w:w="100" w:type="dxa"/>
            </w:tcMar>
          </w:tcPr>
          <w:p w14:paraId="0ADD156D"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A</w:t>
            </w:r>
          </w:p>
        </w:tc>
        <w:tc>
          <w:tcPr>
            <w:tcW w:w="583" w:type="dxa"/>
            <w:tcBorders>
              <w:top w:val="single" w:sz="4" w:space="0" w:color="auto"/>
              <w:bottom w:val="single" w:sz="4" w:space="0" w:color="auto"/>
            </w:tcBorders>
            <w:tcMar>
              <w:top w:w="80" w:type="dxa"/>
              <w:left w:w="100" w:type="dxa"/>
              <w:bottom w:w="80" w:type="dxa"/>
              <w:right w:w="100" w:type="dxa"/>
            </w:tcMar>
          </w:tcPr>
          <w:p w14:paraId="5E8BA3B4"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SA</w:t>
            </w:r>
          </w:p>
        </w:tc>
        <w:tc>
          <w:tcPr>
            <w:tcW w:w="583" w:type="dxa"/>
            <w:tcBorders>
              <w:top w:val="single" w:sz="4" w:space="0" w:color="auto"/>
              <w:bottom w:val="single" w:sz="4" w:space="0" w:color="auto"/>
            </w:tcBorders>
            <w:tcMar>
              <w:top w:w="80" w:type="dxa"/>
              <w:left w:w="100" w:type="dxa"/>
              <w:bottom w:w="80" w:type="dxa"/>
              <w:right w:w="100" w:type="dxa"/>
            </w:tcMar>
          </w:tcPr>
          <w:p w14:paraId="2E141791"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N</w:t>
            </w:r>
          </w:p>
        </w:tc>
        <w:tc>
          <w:tcPr>
            <w:tcW w:w="808" w:type="dxa"/>
            <w:tcBorders>
              <w:top w:val="single" w:sz="4" w:space="0" w:color="auto"/>
              <w:bottom w:val="single" w:sz="4" w:space="0" w:color="auto"/>
            </w:tcBorders>
            <w:tcMar>
              <w:top w:w="80" w:type="dxa"/>
              <w:left w:w="100" w:type="dxa"/>
              <w:bottom w:w="80" w:type="dxa"/>
              <w:right w:w="100" w:type="dxa"/>
            </w:tcMar>
          </w:tcPr>
          <w:p w14:paraId="53D8F416"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Mean</w:t>
            </w:r>
          </w:p>
        </w:tc>
        <w:tc>
          <w:tcPr>
            <w:tcW w:w="785" w:type="dxa"/>
            <w:tcBorders>
              <w:top w:val="single" w:sz="4" w:space="0" w:color="auto"/>
              <w:bottom w:val="single" w:sz="4" w:space="0" w:color="auto"/>
            </w:tcBorders>
            <w:tcMar>
              <w:top w:w="80" w:type="dxa"/>
              <w:left w:w="100" w:type="dxa"/>
              <w:bottom w:w="80" w:type="dxa"/>
              <w:right w:w="100" w:type="dxa"/>
            </w:tcMar>
          </w:tcPr>
          <w:p w14:paraId="4518C4BC"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SD</w:t>
            </w:r>
          </w:p>
        </w:tc>
      </w:tr>
      <w:tr w:rsidR="004B65C0" w:rsidRPr="001357D8" w14:paraId="6B379DC8" w14:textId="77777777" w:rsidTr="001C1BAF">
        <w:tc>
          <w:tcPr>
            <w:tcW w:w="4712" w:type="dxa"/>
            <w:tcBorders>
              <w:top w:val="single" w:sz="4" w:space="0" w:color="auto"/>
            </w:tcBorders>
            <w:tcMar>
              <w:top w:w="80" w:type="dxa"/>
              <w:left w:w="100" w:type="dxa"/>
              <w:bottom w:w="80" w:type="dxa"/>
              <w:right w:w="100" w:type="dxa"/>
            </w:tcMar>
          </w:tcPr>
          <w:p w14:paraId="5784258C" w14:textId="77777777" w:rsidR="00F63AC1" w:rsidRPr="001357D8" w:rsidRDefault="00F63AC1" w:rsidP="000C4E8B">
            <w:pPr>
              <w:spacing w:before="30" w:after="3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HT strategies improve learners' acquisition of CBE competencies.</w:t>
            </w:r>
          </w:p>
        </w:tc>
        <w:tc>
          <w:tcPr>
            <w:tcW w:w="583" w:type="dxa"/>
            <w:tcBorders>
              <w:top w:val="single" w:sz="4" w:space="0" w:color="auto"/>
            </w:tcBorders>
            <w:tcMar>
              <w:top w:w="80" w:type="dxa"/>
              <w:left w:w="100" w:type="dxa"/>
              <w:bottom w:w="80" w:type="dxa"/>
              <w:right w:w="100" w:type="dxa"/>
            </w:tcMar>
          </w:tcPr>
          <w:p w14:paraId="03A146FA"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5</w:t>
            </w:r>
          </w:p>
        </w:tc>
        <w:tc>
          <w:tcPr>
            <w:tcW w:w="583" w:type="dxa"/>
            <w:tcBorders>
              <w:top w:val="single" w:sz="4" w:space="0" w:color="auto"/>
            </w:tcBorders>
            <w:tcMar>
              <w:top w:w="80" w:type="dxa"/>
              <w:left w:w="100" w:type="dxa"/>
              <w:bottom w:w="80" w:type="dxa"/>
              <w:right w:w="100" w:type="dxa"/>
            </w:tcMar>
          </w:tcPr>
          <w:p w14:paraId="5D2C9380"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18</w:t>
            </w:r>
          </w:p>
        </w:tc>
        <w:tc>
          <w:tcPr>
            <w:tcW w:w="583" w:type="dxa"/>
            <w:tcBorders>
              <w:top w:val="single" w:sz="4" w:space="0" w:color="auto"/>
            </w:tcBorders>
            <w:tcMar>
              <w:top w:w="80" w:type="dxa"/>
              <w:left w:w="100" w:type="dxa"/>
              <w:bottom w:w="80" w:type="dxa"/>
              <w:right w:w="100" w:type="dxa"/>
            </w:tcMar>
          </w:tcPr>
          <w:p w14:paraId="12237590"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82</w:t>
            </w:r>
          </w:p>
        </w:tc>
        <w:tc>
          <w:tcPr>
            <w:tcW w:w="583" w:type="dxa"/>
            <w:tcBorders>
              <w:top w:val="single" w:sz="4" w:space="0" w:color="auto"/>
            </w:tcBorders>
            <w:tcMar>
              <w:top w:w="80" w:type="dxa"/>
              <w:left w:w="100" w:type="dxa"/>
              <w:bottom w:w="80" w:type="dxa"/>
              <w:right w:w="100" w:type="dxa"/>
            </w:tcMar>
          </w:tcPr>
          <w:p w14:paraId="7561C38A"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45</w:t>
            </w:r>
          </w:p>
        </w:tc>
        <w:tc>
          <w:tcPr>
            <w:tcW w:w="583" w:type="dxa"/>
            <w:tcBorders>
              <w:top w:val="single" w:sz="4" w:space="0" w:color="auto"/>
            </w:tcBorders>
            <w:tcMar>
              <w:top w:w="80" w:type="dxa"/>
              <w:left w:w="100" w:type="dxa"/>
              <w:bottom w:w="80" w:type="dxa"/>
              <w:right w:w="100" w:type="dxa"/>
            </w:tcMar>
          </w:tcPr>
          <w:p w14:paraId="4297881C"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150</w:t>
            </w:r>
          </w:p>
        </w:tc>
        <w:tc>
          <w:tcPr>
            <w:tcW w:w="808" w:type="dxa"/>
            <w:tcBorders>
              <w:top w:val="single" w:sz="4" w:space="0" w:color="auto"/>
            </w:tcBorders>
            <w:tcMar>
              <w:top w:w="80" w:type="dxa"/>
              <w:left w:w="100" w:type="dxa"/>
              <w:bottom w:w="80" w:type="dxa"/>
              <w:right w:w="100" w:type="dxa"/>
            </w:tcMar>
          </w:tcPr>
          <w:p w14:paraId="4A4D6121"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3.11</w:t>
            </w:r>
          </w:p>
        </w:tc>
        <w:tc>
          <w:tcPr>
            <w:tcW w:w="785" w:type="dxa"/>
            <w:tcBorders>
              <w:top w:val="single" w:sz="4" w:space="0" w:color="auto"/>
            </w:tcBorders>
            <w:tcMar>
              <w:top w:w="80" w:type="dxa"/>
              <w:left w:w="100" w:type="dxa"/>
              <w:bottom w:w="80" w:type="dxa"/>
              <w:right w:w="100" w:type="dxa"/>
            </w:tcMar>
          </w:tcPr>
          <w:p w14:paraId="1594095B"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.81</w:t>
            </w:r>
          </w:p>
        </w:tc>
      </w:tr>
      <w:tr w:rsidR="004B65C0" w:rsidRPr="001357D8" w14:paraId="0549FEBA" w14:textId="77777777" w:rsidTr="001C1BAF">
        <w:tc>
          <w:tcPr>
            <w:tcW w:w="4712" w:type="dxa"/>
            <w:tcMar>
              <w:top w:w="80" w:type="dxa"/>
              <w:left w:w="100" w:type="dxa"/>
              <w:bottom w:w="80" w:type="dxa"/>
              <w:right w:w="100" w:type="dxa"/>
            </w:tcMar>
          </w:tcPr>
          <w:p w14:paraId="4FACE490" w14:textId="77777777" w:rsidR="00F63AC1" w:rsidRPr="001357D8" w:rsidRDefault="00F63AC1" w:rsidP="000C4E8B">
            <w:pPr>
              <w:spacing w:before="30" w:after="3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Supervision by HT enhances quality of CBE delivery.</w:t>
            </w:r>
          </w:p>
        </w:tc>
        <w:tc>
          <w:tcPr>
            <w:tcW w:w="583" w:type="dxa"/>
            <w:tcMar>
              <w:top w:w="80" w:type="dxa"/>
              <w:left w:w="100" w:type="dxa"/>
              <w:bottom w:w="80" w:type="dxa"/>
              <w:right w:w="100" w:type="dxa"/>
            </w:tcMar>
          </w:tcPr>
          <w:p w14:paraId="36C93929"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3</w:t>
            </w:r>
          </w:p>
        </w:tc>
        <w:tc>
          <w:tcPr>
            <w:tcW w:w="583" w:type="dxa"/>
            <w:tcMar>
              <w:top w:w="80" w:type="dxa"/>
              <w:left w:w="100" w:type="dxa"/>
              <w:bottom w:w="80" w:type="dxa"/>
              <w:right w:w="100" w:type="dxa"/>
            </w:tcMar>
          </w:tcPr>
          <w:p w14:paraId="60A2B35B"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12</w:t>
            </w:r>
          </w:p>
        </w:tc>
        <w:tc>
          <w:tcPr>
            <w:tcW w:w="583" w:type="dxa"/>
            <w:tcMar>
              <w:top w:w="80" w:type="dxa"/>
              <w:left w:w="100" w:type="dxa"/>
              <w:bottom w:w="80" w:type="dxa"/>
              <w:right w:w="100" w:type="dxa"/>
            </w:tcMar>
          </w:tcPr>
          <w:p w14:paraId="5CC7A59D"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84</w:t>
            </w:r>
          </w:p>
        </w:tc>
        <w:tc>
          <w:tcPr>
            <w:tcW w:w="583" w:type="dxa"/>
            <w:tcMar>
              <w:top w:w="80" w:type="dxa"/>
              <w:left w:w="100" w:type="dxa"/>
              <w:bottom w:w="80" w:type="dxa"/>
              <w:right w:w="100" w:type="dxa"/>
            </w:tcMar>
          </w:tcPr>
          <w:p w14:paraId="72296607"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51</w:t>
            </w:r>
          </w:p>
        </w:tc>
        <w:tc>
          <w:tcPr>
            <w:tcW w:w="583" w:type="dxa"/>
            <w:tcMar>
              <w:top w:w="80" w:type="dxa"/>
              <w:left w:w="100" w:type="dxa"/>
              <w:bottom w:w="80" w:type="dxa"/>
              <w:right w:w="100" w:type="dxa"/>
            </w:tcMar>
          </w:tcPr>
          <w:p w14:paraId="393C0D42"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150</w:t>
            </w:r>
          </w:p>
        </w:tc>
        <w:tc>
          <w:tcPr>
            <w:tcW w:w="808" w:type="dxa"/>
            <w:tcMar>
              <w:top w:w="80" w:type="dxa"/>
              <w:left w:w="100" w:type="dxa"/>
              <w:bottom w:w="80" w:type="dxa"/>
              <w:right w:w="100" w:type="dxa"/>
            </w:tcMar>
          </w:tcPr>
          <w:p w14:paraId="4FD57A69"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3.22</w:t>
            </w:r>
          </w:p>
        </w:tc>
        <w:tc>
          <w:tcPr>
            <w:tcW w:w="785" w:type="dxa"/>
            <w:tcMar>
              <w:top w:w="80" w:type="dxa"/>
              <w:left w:w="100" w:type="dxa"/>
              <w:bottom w:w="80" w:type="dxa"/>
              <w:right w:w="100" w:type="dxa"/>
            </w:tcMar>
          </w:tcPr>
          <w:p w14:paraId="4BC5FB64"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.73</w:t>
            </w:r>
          </w:p>
        </w:tc>
      </w:tr>
      <w:tr w:rsidR="004B65C0" w:rsidRPr="001357D8" w14:paraId="2938EE11" w14:textId="77777777" w:rsidTr="001C1BAF">
        <w:tc>
          <w:tcPr>
            <w:tcW w:w="4712" w:type="dxa"/>
            <w:tcMar>
              <w:top w:w="80" w:type="dxa"/>
              <w:left w:w="100" w:type="dxa"/>
              <w:bottom w:w="80" w:type="dxa"/>
              <w:right w:w="100" w:type="dxa"/>
            </w:tcMar>
          </w:tcPr>
          <w:p w14:paraId="02BDDF6B" w14:textId="77777777" w:rsidR="00F63AC1" w:rsidRPr="001357D8" w:rsidRDefault="00F63AC1" w:rsidP="000C4E8B">
            <w:pPr>
              <w:spacing w:before="30" w:after="3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Administrative strategies promote learner-centered teaching.</w:t>
            </w:r>
          </w:p>
        </w:tc>
        <w:tc>
          <w:tcPr>
            <w:tcW w:w="583" w:type="dxa"/>
            <w:tcMar>
              <w:top w:w="80" w:type="dxa"/>
              <w:left w:w="100" w:type="dxa"/>
              <w:bottom w:w="80" w:type="dxa"/>
              <w:right w:w="100" w:type="dxa"/>
            </w:tcMar>
          </w:tcPr>
          <w:p w14:paraId="4930C80A"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6</w:t>
            </w:r>
          </w:p>
        </w:tc>
        <w:tc>
          <w:tcPr>
            <w:tcW w:w="583" w:type="dxa"/>
            <w:tcMar>
              <w:top w:w="80" w:type="dxa"/>
              <w:left w:w="100" w:type="dxa"/>
              <w:bottom w:w="80" w:type="dxa"/>
              <w:right w:w="100" w:type="dxa"/>
            </w:tcMar>
          </w:tcPr>
          <w:p w14:paraId="6F76FC00"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19</w:t>
            </w:r>
          </w:p>
        </w:tc>
        <w:tc>
          <w:tcPr>
            <w:tcW w:w="583" w:type="dxa"/>
            <w:tcMar>
              <w:top w:w="80" w:type="dxa"/>
              <w:left w:w="100" w:type="dxa"/>
              <w:bottom w:w="80" w:type="dxa"/>
              <w:right w:w="100" w:type="dxa"/>
            </w:tcMar>
          </w:tcPr>
          <w:p w14:paraId="42AE9113"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80</w:t>
            </w:r>
          </w:p>
        </w:tc>
        <w:tc>
          <w:tcPr>
            <w:tcW w:w="583" w:type="dxa"/>
            <w:tcMar>
              <w:top w:w="80" w:type="dxa"/>
              <w:left w:w="100" w:type="dxa"/>
              <w:bottom w:w="80" w:type="dxa"/>
              <w:right w:w="100" w:type="dxa"/>
            </w:tcMar>
          </w:tcPr>
          <w:p w14:paraId="3E005028"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45</w:t>
            </w:r>
          </w:p>
        </w:tc>
        <w:tc>
          <w:tcPr>
            <w:tcW w:w="583" w:type="dxa"/>
            <w:tcMar>
              <w:top w:w="80" w:type="dxa"/>
              <w:left w:w="100" w:type="dxa"/>
              <w:bottom w:w="80" w:type="dxa"/>
              <w:right w:w="100" w:type="dxa"/>
            </w:tcMar>
          </w:tcPr>
          <w:p w14:paraId="2D0FE899"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150</w:t>
            </w:r>
          </w:p>
        </w:tc>
        <w:tc>
          <w:tcPr>
            <w:tcW w:w="808" w:type="dxa"/>
            <w:tcMar>
              <w:top w:w="80" w:type="dxa"/>
              <w:left w:w="100" w:type="dxa"/>
              <w:bottom w:w="80" w:type="dxa"/>
              <w:right w:w="100" w:type="dxa"/>
            </w:tcMar>
          </w:tcPr>
          <w:p w14:paraId="565AF5CB"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3.09</w:t>
            </w:r>
          </w:p>
        </w:tc>
        <w:tc>
          <w:tcPr>
            <w:tcW w:w="785" w:type="dxa"/>
            <w:tcMar>
              <w:top w:w="80" w:type="dxa"/>
              <w:left w:w="100" w:type="dxa"/>
              <w:bottom w:w="80" w:type="dxa"/>
              <w:right w:w="100" w:type="dxa"/>
            </w:tcMar>
          </w:tcPr>
          <w:p w14:paraId="7A946022"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.82</w:t>
            </w:r>
          </w:p>
        </w:tc>
      </w:tr>
      <w:tr w:rsidR="004B65C0" w:rsidRPr="001357D8" w14:paraId="55471540" w14:textId="77777777" w:rsidTr="001C1BAF">
        <w:tc>
          <w:tcPr>
            <w:tcW w:w="4712" w:type="dxa"/>
            <w:tcMar>
              <w:top w:w="80" w:type="dxa"/>
              <w:left w:w="100" w:type="dxa"/>
              <w:bottom w:w="80" w:type="dxa"/>
              <w:right w:w="100" w:type="dxa"/>
            </w:tcMar>
          </w:tcPr>
          <w:p w14:paraId="0811C371" w14:textId="77777777" w:rsidR="00F63AC1" w:rsidRPr="001357D8" w:rsidRDefault="00F63AC1" w:rsidP="000C4E8B">
            <w:pPr>
              <w:spacing w:before="30" w:after="3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Strategies improve assessment and feedback practices aligned with CBE.</w:t>
            </w:r>
          </w:p>
        </w:tc>
        <w:tc>
          <w:tcPr>
            <w:tcW w:w="583" w:type="dxa"/>
            <w:tcMar>
              <w:top w:w="80" w:type="dxa"/>
              <w:left w:w="100" w:type="dxa"/>
              <w:bottom w:w="80" w:type="dxa"/>
              <w:right w:w="100" w:type="dxa"/>
            </w:tcMar>
          </w:tcPr>
          <w:p w14:paraId="2C83818C"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4</w:t>
            </w:r>
          </w:p>
        </w:tc>
        <w:tc>
          <w:tcPr>
            <w:tcW w:w="583" w:type="dxa"/>
            <w:tcMar>
              <w:top w:w="80" w:type="dxa"/>
              <w:left w:w="100" w:type="dxa"/>
              <w:bottom w:w="80" w:type="dxa"/>
              <w:right w:w="100" w:type="dxa"/>
            </w:tcMar>
          </w:tcPr>
          <w:p w14:paraId="4C0D93E0"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w:t>
            </w:r>
          </w:p>
        </w:tc>
        <w:tc>
          <w:tcPr>
            <w:tcW w:w="583" w:type="dxa"/>
            <w:tcMar>
              <w:top w:w="80" w:type="dxa"/>
              <w:left w:w="100" w:type="dxa"/>
              <w:bottom w:w="80" w:type="dxa"/>
              <w:right w:w="100" w:type="dxa"/>
            </w:tcMar>
          </w:tcPr>
          <w:p w14:paraId="3FEEE52C"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85</w:t>
            </w:r>
          </w:p>
        </w:tc>
        <w:tc>
          <w:tcPr>
            <w:tcW w:w="583" w:type="dxa"/>
            <w:tcMar>
              <w:top w:w="80" w:type="dxa"/>
              <w:left w:w="100" w:type="dxa"/>
              <w:bottom w:w="80" w:type="dxa"/>
              <w:right w:w="100" w:type="dxa"/>
            </w:tcMar>
          </w:tcPr>
          <w:p w14:paraId="4ADA98EF"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46</w:t>
            </w:r>
          </w:p>
        </w:tc>
        <w:tc>
          <w:tcPr>
            <w:tcW w:w="583" w:type="dxa"/>
            <w:tcMar>
              <w:top w:w="80" w:type="dxa"/>
              <w:left w:w="100" w:type="dxa"/>
              <w:bottom w:w="80" w:type="dxa"/>
              <w:right w:w="100" w:type="dxa"/>
            </w:tcMar>
          </w:tcPr>
          <w:p w14:paraId="3F29DB65"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150</w:t>
            </w:r>
          </w:p>
        </w:tc>
        <w:tc>
          <w:tcPr>
            <w:tcW w:w="808" w:type="dxa"/>
            <w:tcMar>
              <w:top w:w="80" w:type="dxa"/>
              <w:left w:w="100" w:type="dxa"/>
              <w:bottom w:w="80" w:type="dxa"/>
              <w:right w:w="100" w:type="dxa"/>
            </w:tcMar>
          </w:tcPr>
          <w:p w14:paraId="43D291F9"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3.15</w:t>
            </w:r>
          </w:p>
        </w:tc>
        <w:tc>
          <w:tcPr>
            <w:tcW w:w="785" w:type="dxa"/>
            <w:tcMar>
              <w:top w:w="80" w:type="dxa"/>
              <w:left w:w="100" w:type="dxa"/>
              <w:bottom w:w="80" w:type="dxa"/>
              <w:right w:w="100" w:type="dxa"/>
            </w:tcMar>
          </w:tcPr>
          <w:p w14:paraId="0036E6F6"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.76</w:t>
            </w:r>
          </w:p>
        </w:tc>
      </w:tr>
      <w:tr w:rsidR="004B65C0" w:rsidRPr="001357D8" w14:paraId="7DECEFE5" w14:textId="77777777" w:rsidTr="001C1BAF">
        <w:tc>
          <w:tcPr>
            <w:tcW w:w="4712" w:type="dxa"/>
            <w:tcMar>
              <w:top w:w="80" w:type="dxa"/>
              <w:left w:w="100" w:type="dxa"/>
              <w:bottom w:w="80" w:type="dxa"/>
              <w:right w:w="100" w:type="dxa"/>
            </w:tcMar>
          </w:tcPr>
          <w:p w14:paraId="230726B3" w14:textId="77777777" w:rsidR="00F63AC1" w:rsidRPr="001357D8" w:rsidRDefault="00F63AC1" w:rsidP="000C4E8B">
            <w:pPr>
              <w:spacing w:before="30" w:after="3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Strategies contribute to improved learner performance in CBE.</w:t>
            </w:r>
          </w:p>
        </w:tc>
        <w:tc>
          <w:tcPr>
            <w:tcW w:w="583" w:type="dxa"/>
            <w:tcMar>
              <w:top w:w="80" w:type="dxa"/>
              <w:left w:w="100" w:type="dxa"/>
              <w:bottom w:w="80" w:type="dxa"/>
              <w:right w:w="100" w:type="dxa"/>
            </w:tcMar>
          </w:tcPr>
          <w:p w14:paraId="646458D9"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5</w:t>
            </w:r>
          </w:p>
        </w:tc>
        <w:tc>
          <w:tcPr>
            <w:tcW w:w="583" w:type="dxa"/>
            <w:tcMar>
              <w:top w:w="80" w:type="dxa"/>
              <w:left w:w="100" w:type="dxa"/>
              <w:bottom w:w="80" w:type="dxa"/>
              <w:right w:w="100" w:type="dxa"/>
            </w:tcMar>
          </w:tcPr>
          <w:p w14:paraId="78B16308"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17</w:t>
            </w:r>
          </w:p>
        </w:tc>
        <w:tc>
          <w:tcPr>
            <w:tcW w:w="583" w:type="dxa"/>
            <w:tcMar>
              <w:top w:w="80" w:type="dxa"/>
              <w:left w:w="100" w:type="dxa"/>
              <w:bottom w:w="80" w:type="dxa"/>
              <w:right w:w="100" w:type="dxa"/>
            </w:tcMar>
          </w:tcPr>
          <w:p w14:paraId="483120D1"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83</w:t>
            </w:r>
          </w:p>
        </w:tc>
        <w:tc>
          <w:tcPr>
            <w:tcW w:w="583" w:type="dxa"/>
            <w:tcMar>
              <w:top w:w="80" w:type="dxa"/>
              <w:left w:w="100" w:type="dxa"/>
              <w:bottom w:w="80" w:type="dxa"/>
              <w:right w:w="100" w:type="dxa"/>
            </w:tcMar>
          </w:tcPr>
          <w:p w14:paraId="1FC4D5F5"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45</w:t>
            </w:r>
          </w:p>
        </w:tc>
        <w:tc>
          <w:tcPr>
            <w:tcW w:w="583" w:type="dxa"/>
            <w:tcMar>
              <w:top w:w="80" w:type="dxa"/>
              <w:left w:w="100" w:type="dxa"/>
              <w:bottom w:w="80" w:type="dxa"/>
              <w:right w:w="100" w:type="dxa"/>
            </w:tcMar>
          </w:tcPr>
          <w:p w14:paraId="5D50DE49"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150</w:t>
            </w:r>
          </w:p>
        </w:tc>
        <w:tc>
          <w:tcPr>
            <w:tcW w:w="808" w:type="dxa"/>
            <w:tcMar>
              <w:top w:w="80" w:type="dxa"/>
              <w:left w:w="100" w:type="dxa"/>
              <w:bottom w:w="80" w:type="dxa"/>
              <w:right w:w="100" w:type="dxa"/>
            </w:tcMar>
          </w:tcPr>
          <w:p w14:paraId="026C7EE6"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3.12</w:t>
            </w:r>
          </w:p>
        </w:tc>
        <w:tc>
          <w:tcPr>
            <w:tcW w:w="785" w:type="dxa"/>
            <w:tcMar>
              <w:top w:w="80" w:type="dxa"/>
              <w:left w:w="100" w:type="dxa"/>
              <w:bottom w:w="80" w:type="dxa"/>
              <w:right w:w="100" w:type="dxa"/>
            </w:tcMar>
          </w:tcPr>
          <w:p w14:paraId="174CF202"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.79</w:t>
            </w:r>
          </w:p>
        </w:tc>
      </w:tr>
      <w:tr w:rsidR="004B65C0" w:rsidRPr="001357D8" w14:paraId="48CF850E" w14:textId="77777777" w:rsidTr="001C1BAF">
        <w:tc>
          <w:tcPr>
            <w:tcW w:w="4712" w:type="dxa"/>
            <w:tcMar>
              <w:top w:w="80" w:type="dxa"/>
              <w:left w:w="100" w:type="dxa"/>
              <w:bottom w:w="80" w:type="dxa"/>
              <w:right w:w="100" w:type="dxa"/>
            </w:tcMar>
          </w:tcPr>
          <w:p w14:paraId="05BC2BBE" w14:textId="77777777" w:rsidR="00F63AC1" w:rsidRPr="001357D8" w:rsidRDefault="00F63AC1" w:rsidP="000C4E8B">
            <w:pPr>
              <w:spacing w:before="30" w:after="30" w:line="240" w:lineRule="auto"/>
              <w:jc w:val="both"/>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Overall Mean</w:t>
            </w:r>
          </w:p>
        </w:tc>
        <w:tc>
          <w:tcPr>
            <w:tcW w:w="583" w:type="dxa"/>
            <w:tcMar>
              <w:top w:w="80" w:type="dxa"/>
              <w:left w:w="100" w:type="dxa"/>
              <w:bottom w:w="80" w:type="dxa"/>
              <w:right w:w="100" w:type="dxa"/>
            </w:tcMar>
          </w:tcPr>
          <w:p w14:paraId="1EE6BBC4"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p>
        </w:tc>
        <w:tc>
          <w:tcPr>
            <w:tcW w:w="583" w:type="dxa"/>
            <w:tcMar>
              <w:top w:w="80" w:type="dxa"/>
              <w:left w:w="100" w:type="dxa"/>
              <w:bottom w:w="80" w:type="dxa"/>
              <w:right w:w="100" w:type="dxa"/>
            </w:tcMar>
          </w:tcPr>
          <w:p w14:paraId="14BE1A55"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p>
        </w:tc>
        <w:tc>
          <w:tcPr>
            <w:tcW w:w="583" w:type="dxa"/>
            <w:tcMar>
              <w:top w:w="80" w:type="dxa"/>
              <w:left w:w="100" w:type="dxa"/>
              <w:bottom w:w="80" w:type="dxa"/>
              <w:right w:w="100" w:type="dxa"/>
            </w:tcMar>
          </w:tcPr>
          <w:p w14:paraId="5C04F755"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p>
        </w:tc>
        <w:tc>
          <w:tcPr>
            <w:tcW w:w="583" w:type="dxa"/>
            <w:tcMar>
              <w:top w:w="80" w:type="dxa"/>
              <w:left w:w="100" w:type="dxa"/>
              <w:bottom w:w="80" w:type="dxa"/>
              <w:right w:w="100" w:type="dxa"/>
            </w:tcMar>
          </w:tcPr>
          <w:p w14:paraId="45916A85"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p>
        </w:tc>
        <w:tc>
          <w:tcPr>
            <w:tcW w:w="583" w:type="dxa"/>
            <w:tcMar>
              <w:top w:w="80" w:type="dxa"/>
              <w:left w:w="100" w:type="dxa"/>
              <w:bottom w:w="80" w:type="dxa"/>
              <w:right w:w="100" w:type="dxa"/>
            </w:tcMar>
          </w:tcPr>
          <w:p w14:paraId="76B046B5" w14:textId="77777777" w:rsidR="00F63AC1" w:rsidRPr="001357D8" w:rsidRDefault="00F63AC1" w:rsidP="000C4E8B">
            <w:pPr>
              <w:spacing w:before="30" w:after="30" w:line="240" w:lineRule="auto"/>
              <w:rPr>
                <w:rFonts w:ascii="Arial" w:eastAsia="Times New Roman" w:hAnsi="Arial" w:cs="Arial"/>
                <w:b/>
                <w:color w:val="000000" w:themeColor="text1"/>
                <w:sz w:val="20"/>
                <w:szCs w:val="20"/>
              </w:rPr>
            </w:pPr>
            <w:r w:rsidRPr="001357D8">
              <w:rPr>
                <w:rFonts w:ascii="Arial" w:eastAsia="Times New Roman" w:hAnsi="Arial" w:cs="Arial"/>
                <w:b/>
                <w:color w:val="000000" w:themeColor="text1"/>
                <w:sz w:val="20"/>
                <w:szCs w:val="20"/>
              </w:rPr>
              <w:t>150</w:t>
            </w:r>
          </w:p>
        </w:tc>
        <w:tc>
          <w:tcPr>
            <w:tcW w:w="808" w:type="dxa"/>
            <w:tcMar>
              <w:top w:w="80" w:type="dxa"/>
              <w:left w:w="100" w:type="dxa"/>
              <w:bottom w:w="80" w:type="dxa"/>
              <w:right w:w="100" w:type="dxa"/>
            </w:tcMar>
          </w:tcPr>
          <w:p w14:paraId="63957826"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3.14</w:t>
            </w:r>
          </w:p>
        </w:tc>
        <w:tc>
          <w:tcPr>
            <w:tcW w:w="785" w:type="dxa"/>
            <w:tcMar>
              <w:top w:w="80" w:type="dxa"/>
              <w:left w:w="100" w:type="dxa"/>
              <w:bottom w:w="80" w:type="dxa"/>
              <w:right w:w="100" w:type="dxa"/>
            </w:tcMar>
          </w:tcPr>
          <w:p w14:paraId="782F474E" w14:textId="77777777" w:rsidR="00F63AC1" w:rsidRPr="001357D8" w:rsidRDefault="00F63AC1" w:rsidP="000C4E8B">
            <w:pPr>
              <w:spacing w:before="30" w:after="3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.78</w:t>
            </w:r>
          </w:p>
        </w:tc>
      </w:tr>
    </w:tbl>
    <w:p w14:paraId="5C303E87" w14:textId="77777777" w:rsidR="001C1BAF" w:rsidRPr="001357D8" w:rsidRDefault="001C1BA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The findings showed a moderate level of consistency among teacher respondents on the effectiveness of head teachers' strategies to fulfill CBE learning outcomes. The mean score of 3.14 (SD = .78) is slightly lower than that for administrative strategy deployment (3.26), indicating a meaningful difference between the level of administrative activity and the level of observable improvement in acquisition of learner competency and pedagogical quality.</w:t>
      </w:r>
    </w:p>
    <w:p w14:paraId="41DBB615" w14:textId="77777777" w:rsidR="001C1BAF" w:rsidRPr="001357D8" w:rsidRDefault="001C1BA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item that had the highest mean was the one that related to the quality of CBE delivery as a result of supervisory engagement (M = 3.22, SD = .73), meaning that instructional supervision is the strategy most directly and consistently linked to better delivery of CBE. The relatively small standard deviations indicate that there is a wide consensus among all the respondents and that supervision is a perceived effective driver and is consistent across the schools sampled. For strategies that are helping to improve assessment and </w:t>
      </w:r>
      <w:r w:rsidRPr="001357D8">
        <w:rPr>
          <w:rFonts w:ascii="Arial" w:eastAsia="Times New Roman" w:hAnsi="Arial" w:cs="Arial"/>
          <w:color w:val="000000" w:themeColor="text1"/>
          <w:sz w:val="20"/>
          <w:szCs w:val="20"/>
        </w:rPr>
        <w:lastRenderedPageBreak/>
        <w:t>feedback practices aligned to CBE, head teachers' efforts were rated 3.15 (SD = .76), which represents moderate agreement, with some variability in the extent to which this is experienced in different schools.</w:t>
      </w:r>
    </w:p>
    <w:p w14:paraId="24E512D5" w14:textId="77777777" w:rsidR="001C1BAF" w:rsidRPr="001357D8" w:rsidRDefault="001C1BA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Recorded is at 3.12 (SD = .79) and 3.11 (SD = .81) for enhanced learner performance and competency acquisition, respectively. The relatively high standard deviations on these items could be due to more variation in the perception of whether head teacher strategies can be seen in the observable results of learner achievement, and may reflect the multi-causal nature of the achievement of learners, and the fact that there are many other intervening variables such as teacher experience, availability of resources, and consistency of learners' attendance.</w:t>
      </w:r>
    </w:p>
    <w:p w14:paraId="031028A2" w14:textId="77777777" w:rsidR="00F63AC1" w:rsidRPr="001357D8" w:rsidRDefault="001C1BA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In regard to the administrative strategies encouraging learner-centered teaching, the mean score was the lowest (3.09, SD = .82) of the five dimensions of effectiveness. Theoretically, this finding is significant since CBE pedagogy is defined by its learner-centered approach as stated in the Basic Education Curriculum Framework (BECF) (KICD, 2017). The combination of a low mean of the dimension and a high standard deviation suggests that the dimension is the one in which the gap between the intent of the administration and actual practice in the classroom is largest and the variance between the schools is greatest, thus indicating that contextual and individual teacher factors have the greatest moderating influence on how well administrative strategies are translated into effective, learner-centered instruction</w:t>
      </w:r>
      <w:r w:rsidR="00F63AC1" w:rsidRPr="001357D8">
        <w:rPr>
          <w:rFonts w:ascii="Arial" w:eastAsia="Times New Roman" w:hAnsi="Arial" w:cs="Arial"/>
          <w:color w:val="000000" w:themeColor="text1"/>
          <w:sz w:val="20"/>
          <w:szCs w:val="20"/>
        </w:rPr>
        <w:t>.</w:t>
      </w:r>
    </w:p>
    <w:p w14:paraId="1DF38B9F"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Pearson Correlation: Effectiveness of Strategies and CBE Implementation</w:t>
      </w:r>
    </w:p>
    <w:p w14:paraId="23401228" w14:textId="77777777" w:rsidR="00F63AC1" w:rsidRPr="001357D8" w:rsidRDefault="00F63AC1"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A Pearson correlation analysis was conducted to test the null hypothesis H</w:t>
      </w:r>
      <w:r w:rsidRPr="001357D8">
        <w:rPr>
          <w:rFonts w:ascii="Arial" w:eastAsia="Times New Roman" w:hAnsi="Arial" w:cs="Arial"/>
          <w:color w:val="000000" w:themeColor="text1"/>
          <w:sz w:val="20"/>
          <w:szCs w:val="20"/>
          <w:vertAlign w:val="subscript"/>
        </w:rPr>
        <w:t>0</w:t>
      </w:r>
      <w:r w:rsidRPr="001357D8">
        <w:rPr>
          <w:rFonts w:ascii="Arial" w:eastAsia="Times New Roman" w:hAnsi="Arial" w:cs="Arial"/>
          <w:color w:val="000000" w:themeColor="text1"/>
          <w:sz w:val="20"/>
          <w:szCs w:val="20"/>
        </w:rPr>
        <w:t>: There is no statistically significant relationship between head teachers' administrative strategies and the achievement of CBE's intended learning outcomes in public primary schools in Wajir East. Table 2 presents the results.</w:t>
      </w:r>
    </w:p>
    <w:p w14:paraId="00A53B90" w14:textId="77777777" w:rsidR="00947742" w:rsidRPr="001357D8" w:rsidRDefault="00947742">
      <w:pPr>
        <w:spacing w:after="200" w:line="276" w:lineRule="auto"/>
        <w:rPr>
          <w:rFonts w:ascii="Arial" w:eastAsia="Times New Roman" w:hAnsi="Arial" w:cs="Arial"/>
          <w:b/>
          <w:bCs/>
          <w:color w:val="000000" w:themeColor="text1"/>
          <w:sz w:val="20"/>
          <w:szCs w:val="20"/>
        </w:rPr>
      </w:pPr>
      <w:r w:rsidRPr="001357D8">
        <w:rPr>
          <w:rFonts w:ascii="Arial" w:eastAsia="Times New Roman" w:hAnsi="Arial" w:cs="Arial"/>
          <w:b/>
          <w:bCs/>
          <w:color w:val="000000" w:themeColor="text1"/>
          <w:sz w:val="20"/>
          <w:szCs w:val="20"/>
        </w:rPr>
        <w:br w:type="page"/>
      </w:r>
    </w:p>
    <w:p w14:paraId="6C054645" w14:textId="75134E06" w:rsidR="00F63AC1" w:rsidRPr="001357D8" w:rsidRDefault="00F63AC1" w:rsidP="000C4E8B">
      <w:pPr>
        <w:spacing w:before="60" w:after="60" w:line="360" w:lineRule="auto"/>
        <w:jc w:val="center"/>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lastRenderedPageBreak/>
        <w:t>Table 2: Pearson Correlation on Effectiveness of Head Teachers' Strategies and CBE Implementation</w:t>
      </w:r>
    </w:p>
    <w:tbl>
      <w:tblPr>
        <w:tblW w:w="9220" w:type="dxa"/>
        <w:tblBorders>
          <w:top w:val="single" w:sz="4" w:space="0" w:color="auto"/>
        </w:tblBorders>
        <w:tblCellMar>
          <w:left w:w="10" w:type="dxa"/>
          <w:right w:w="10" w:type="dxa"/>
        </w:tblCellMar>
        <w:tblLook w:val="04A0" w:firstRow="1" w:lastRow="0" w:firstColumn="1" w:lastColumn="0" w:noHBand="0" w:noVBand="1"/>
      </w:tblPr>
      <w:tblGrid>
        <w:gridCol w:w="5045"/>
        <w:gridCol w:w="2020"/>
        <w:gridCol w:w="2155"/>
      </w:tblGrid>
      <w:tr w:rsidR="004B65C0" w:rsidRPr="001357D8" w14:paraId="1758C5C7" w14:textId="77777777" w:rsidTr="00601325">
        <w:tc>
          <w:tcPr>
            <w:tcW w:w="5045" w:type="dxa"/>
            <w:tcBorders>
              <w:top w:val="single" w:sz="4" w:space="0" w:color="auto"/>
              <w:bottom w:val="single" w:sz="4" w:space="0" w:color="auto"/>
            </w:tcBorders>
            <w:tcMar>
              <w:top w:w="80" w:type="dxa"/>
              <w:left w:w="120" w:type="dxa"/>
              <w:bottom w:w="80" w:type="dxa"/>
              <w:right w:w="120" w:type="dxa"/>
            </w:tcMar>
          </w:tcPr>
          <w:p w14:paraId="2165B8AF"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Variable</w:t>
            </w:r>
          </w:p>
        </w:tc>
        <w:tc>
          <w:tcPr>
            <w:tcW w:w="2020" w:type="dxa"/>
            <w:tcBorders>
              <w:top w:val="single" w:sz="4" w:space="0" w:color="auto"/>
              <w:bottom w:val="single" w:sz="4" w:space="0" w:color="auto"/>
            </w:tcBorders>
            <w:tcMar>
              <w:top w:w="80" w:type="dxa"/>
              <w:left w:w="120" w:type="dxa"/>
              <w:bottom w:w="80" w:type="dxa"/>
              <w:right w:w="120" w:type="dxa"/>
            </w:tcMar>
          </w:tcPr>
          <w:p w14:paraId="566ACF8A"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Effectiveness of Strategies</w:t>
            </w:r>
          </w:p>
        </w:tc>
        <w:tc>
          <w:tcPr>
            <w:tcW w:w="2155" w:type="dxa"/>
            <w:tcBorders>
              <w:top w:val="single" w:sz="4" w:space="0" w:color="auto"/>
              <w:bottom w:val="single" w:sz="4" w:space="0" w:color="auto"/>
            </w:tcBorders>
            <w:tcMar>
              <w:top w:w="80" w:type="dxa"/>
              <w:left w:w="120" w:type="dxa"/>
              <w:bottom w:w="80" w:type="dxa"/>
              <w:right w:w="120" w:type="dxa"/>
            </w:tcMar>
          </w:tcPr>
          <w:p w14:paraId="5AA8C34A"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b/>
                <w:bCs/>
                <w:color w:val="000000" w:themeColor="text1"/>
                <w:sz w:val="20"/>
                <w:szCs w:val="20"/>
              </w:rPr>
              <w:t>CBE Implementation</w:t>
            </w:r>
          </w:p>
        </w:tc>
      </w:tr>
      <w:tr w:rsidR="004B65C0" w:rsidRPr="001357D8" w14:paraId="6774EC23" w14:textId="77777777" w:rsidTr="00601325">
        <w:tc>
          <w:tcPr>
            <w:tcW w:w="5045" w:type="dxa"/>
            <w:tcBorders>
              <w:top w:val="single" w:sz="4" w:space="0" w:color="auto"/>
            </w:tcBorders>
            <w:tcMar>
              <w:top w:w="80" w:type="dxa"/>
              <w:left w:w="120" w:type="dxa"/>
              <w:bottom w:w="80" w:type="dxa"/>
              <w:right w:w="120" w:type="dxa"/>
            </w:tcMar>
          </w:tcPr>
          <w:p w14:paraId="43A8193E"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Effectiveness of Strategies – Pearson r</w:t>
            </w:r>
          </w:p>
        </w:tc>
        <w:tc>
          <w:tcPr>
            <w:tcW w:w="2020" w:type="dxa"/>
            <w:tcBorders>
              <w:top w:val="single" w:sz="4" w:space="0" w:color="auto"/>
            </w:tcBorders>
            <w:tcMar>
              <w:top w:w="80" w:type="dxa"/>
              <w:left w:w="120" w:type="dxa"/>
              <w:bottom w:w="80" w:type="dxa"/>
              <w:right w:w="120" w:type="dxa"/>
            </w:tcMar>
          </w:tcPr>
          <w:p w14:paraId="22DD30F9"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1.000</w:t>
            </w:r>
          </w:p>
        </w:tc>
        <w:tc>
          <w:tcPr>
            <w:tcW w:w="2155" w:type="dxa"/>
            <w:tcBorders>
              <w:top w:val="single" w:sz="4" w:space="0" w:color="auto"/>
            </w:tcBorders>
            <w:tcMar>
              <w:top w:w="80" w:type="dxa"/>
              <w:left w:w="120" w:type="dxa"/>
              <w:bottom w:w="80" w:type="dxa"/>
              <w:right w:w="120" w:type="dxa"/>
            </w:tcMar>
          </w:tcPr>
          <w:p w14:paraId="1AAC84F2"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.687**</w:t>
            </w:r>
          </w:p>
        </w:tc>
      </w:tr>
      <w:tr w:rsidR="004B65C0" w:rsidRPr="001357D8" w14:paraId="62462107" w14:textId="77777777" w:rsidTr="00601325">
        <w:tc>
          <w:tcPr>
            <w:tcW w:w="5045" w:type="dxa"/>
            <w:tcBorders>
              <w:bottom w:val="nil"/>
            </w:tcBorders>
            <w:tcMar>
              <w:top w:w="80" w:type="dxa"/>
              <w:left w:w="120" w:type="dxa"/>
              <w:bottom w:w="80" w:type="dxa"/>
              <w:right w:w="120" w:type="dxa"/>
            </w:tcMar>
          </w:tcPr>
          <w:p w14:paraId="0B93EBB6"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Sig. (2-tailed)</w:t>
            </w:r>
          </w:p>
        </w:tc>
        <w:tc>
          <w:tcPr>
            <w:tcW w:w="2020" w:type="dxa"/>
            <w:tcBorders>
              <w:bottom w:val="nil"/>
            </w:tcBorders>
            <w:tcMar>
              <w:top w:w="80" w:type="dxa"/>
              <w:left w:w="120" w:type="dxa"/>
              <w:bottom w:w="80" w:type="dxa"/>
              <w:right w:w="120" w:type="dxa"/>
            </w:tcMar>
          </w:tcPr>
          <w:p w14:paraId="44C6554C"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w:t>
            </w:r>
          </w:p>
        </w:tc>
        <w:tc>
          <w:tcPr>
            <w:tcW w:w="2155" w:type="dxa"/>
            <w:tcBorders>
              <w:bottom w:val="nil"/>
            </w:tcBorders>
            <w:tcMar>
              <w:top w:w="80" w:type="dxa"/>
              <w:left w:w="120" w:type="dxa"/>
              <w:bottom w:w="80" w:type="dxa"/>
              <w:right w:w="120" w:type="dxa"/>
            </w:tcMar>
          </w:tcPr>
          <w:p w14:paraId="07C31696"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.000</w:t>
            </w:r>
          </w:p>
        </w:tc>
      </w:tr>
      <w:tr w:rsidR="004B65C0" w:rsidRPr="001357D8" w14:paraId="0A94284C" w14:textId="77777777" w:rsidTr="00601325">
        <w:tc>
          <w:tcPr>
            <w:tcW w:w="5045" w:type="dxa"/>
            <w:tcBorders>
              <w:top w:val="nil"/>
              <w:bottom w:val="single" w:sz="4" w:space="0" w:color="auto"/>
            </w:tcBorders>
            <w:tcMar>
              <w:top w:w="80" w:type="dxa"/>
              <w:left w:w="120" w:type="dxa"/>
              <w:bottom w:w="80" w:type="dxa"/>
              <w:right w:w="120" w:type="dxa"/>
            </w:tcMar>
          </w:tcPr>
          <w:p w14:paraId="376DEDA6"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N</w:t>
            </w:r>
          </w:p>
        </w:tc>
        <w:tc>
          <w:tcPr>
            <w:tcW w:w="2020" w:type="dxa"/>
            <w:tcBorders>
              <w:top w:val="nil"/>
              <w:bottom w:val="single" w:sz="4" w:space="0" w:color="auto"/>
            </w:tcBorders>
            <w:tcMar>
              <w:top w:w="80" w:type="dxa"/>
              <w:left w:w="120" w:type="dxa"/>
              <w:bottom w:w="80" w:type="dxa"/>
              <w:right w:w="120" w:type="dxa"/>
            </w:tcMar>
          </w:tcPr>
          <w:p w14:paraId="0F42C68F"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150</w:t>
            </w:r>
          </w:p>
        </w:tc>
        <w:tc>
          <w:tcPr>
            <w:tcW w:w="2155" w:type="dxa"/>
            <w:tcBorders>
              <w:top w:val="nil"/>
              <w:bottom w:val="single" w:sz="4" w:space="0" w:color="auto"/>
            </w:tcBorders>
            <w:tcMar>
              <w:top w:w="80" w:type="dxa"/>
              <w:left w:w="120" w:type="dxa"/>
              <w:bottom w:w="80" w:type="dxa"/>
              <w:right w:w="120" w:type="dxa"/>
            </w:tcMar>
          </w:tcPr>
          <w:p w14:paraId="0FC819D8"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150</w:t>
            </w:r>
          </w:p>
        </w:tc>
      </w:tr>
      <w:tr w:rsidR="004B65C0" w:rsidRPr="001357D8" w14:paraId="0E693CEB" w14:textId="77777777" w:rsidTr="00601325">
        <w:trPr>
          <w:gridAfter w:val="2"/>
          <w:wAfter w:w="4175" w:type="dxa"/>
        </w:trPr>
        <w:tc>
          <w:tcPr>
            <w:tcW w:w="5045" w:type="dxa"/>
            <w:tcMar>
              <w:top w:w="80" w:type="dxa"/>
              <w:left w:w="120" w:type="dxa"/>
              <w:bottom w:w="80" w:type="dxa"/>
              <w:right w:w="120" w:type="dxa"/>
            </w:tcMar>
          </w:tcPr>
          <w:p w14:paraId="70DAA141" w14:textId="77777777" w:rsidR="00F63AC1" w:rsidRPr="001357D8" w:rsidRDefault="00F63AC1" w:rsidP="000C4E8B">
            <w:pPr>
              <w:spacing w:before="40" w:after="40" w:line="240"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Correlation is significant at the 0.01 level (2-tailed).</w:t>
            </w:r>
          </w:p>
        </w:tc>
      </w:tr>
    </w:tbl>
    <w:p w14:paraId="7652B20C" w14:textId="77777777" w:rsidR="00601325" w:rsidRPr="001357D8" w:rsidRDefault="00601325"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Pearson correlation analysis revealed a positive and significant relationship between the effectiveness of head teachers' strategies and CBE implementation (r = .687, p &lt; .01). Thus, the null hypothesis H</w:t>
      </w:r>
      <w:r w:rsidRPr="001357D8">
        <w:rPr>
          <w:rFonts w:ascii="Arial" w:eastAsia="Times New Roman" w:hAnsi="Arial" w:cs="Arial"/>
          <w:color w:val="000000" w:themeColor="text1"/>
          <w:sz w:val="20"/>
          <w:szCs w:val="20"/>
          <w:vertAlign w:val="subscript"/>
        </w:rPr>
        <w:t>0</w:t>
      </w:r>
      <w:r w:rsidRPr="001357D8">
        <w:rPr>
          <w:rFonts w:ascii="Arial" w:eastAsia="Times New Roman" w:hAnsi="Arial" w:cs="Arial"/>
          <w:color w:val="000000" w:themeColor="text1"/>
          <w:sz w:val="20"/>
          <w:szCs w:val="20"/>
        </w:rPr>
        <w:t xml:space="preserve"> is rejected. This result validates the meaningful relationship between perceived effectiveness of the head teachers' administrative strategies and the quality of curriculum implementation fidelity: CBE implementation fidelity is higher in schools with higher perceived effectiveness in their head teachers' administrative strategies. This correlation is moderate-to-strong (r = .687), and is both practically significant and recognizes that other factors (e.g., teacher capacity, resources, community support) also independently impact implementation outcomes.</w:t>
      </w:r>
    </w:p>
    <w:p w14:paraId="5D857CC7" w14:textId="77777777" w:rsidR="00F63AC1" w:rsidRPr="001357D8" w:rsidRDefault="00601325"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correlation coefficient for effectiveness (r = .687) is significantly lower than that of administrative strategy deployment (r = .886) and should be given attention when interpreting. The discrepancy indicates that while the presence of administrative strategies is associated with improved outcomes, the relationship between leadership and outcomes is also influenced by mediating and moderating factors that dampen the link between strategy presence and strategy effectiveness. These are related to the quality and ongoing availability of professional development support, how individual teachers </w:t>
      </w:r>
      <w:proofErr w:type="spellStart"/>
      <w:r w:rsidRPr="001357D8">
        <w:rPr>
          <w:rFonts w:ascii="Arial" w:eastAsia="Times New Roman" w:hAnsi="Arial" w:cs="Arial"/>
          <w:color w:val="000000" w:themeColor="text1"/>
          <w:sz w:val="20"/>
          <w:szCs w:val="20"/>
        </w:rPr>
        <w:t>internalise</w:t>
      </w:r>
      <w:proofErr w:type="spellEnd"/>
      <w:r w:rsidRPr="001357D8">
        <w:rPr>
          <w:rFonts w:ascii="Arial" w:eastAsia="Times New Roman" w:hAnsi="Arial" w:cs="Arial"/>
          <w:color w:val="000000" w:themeColor="text1"/>
          <w:sz w:val="20"/>
          <w:szCs w:val="20"/>
        </w:rPr>
        <w:t xml:space="preserve"> rather than just meet the pedagogical demands of CBE, and the extent to which structural contextual barriers constrict the space in which the strategies can operate.</w:t>
      </w:r>
    </w:p>
    <w:p w14:paraId="6510D966"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Qualitative Findings: Head Teacher Perspectives on Strategy Effectiveness</w:t>
      </w:r>
    </w:p>
    <w:p w14:paraId="5271089A" w14:textId="77777777" w:rsidR="00602C0F" w:rsidRPr="001357D8" w:rsidRDefault="00602C0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The interview responses of the 15 head teachers offered rich contextual elaboration of the quantitative results, reinforcing patterns of central interest, and providing important nuances that could not be captured in the descriptive statistics. Most head teachers were slightly positive about the impact of their plans and were aware of some aspects of the CBE that appeared to be working well, but had also openly reported the challenges that faced them in achieving the intended learning outcomes.</w:t>
      </w:r>
    </w:p>
    <w:p w14:paraId="5563E106" w14:textId="77777777" w:rsidR="00602C0F" w:rsidRPr="001357D8" w:rsidRDefault="00602C0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Head teachers consistently identified instructional supervision as the most effective intervention that they could implement. Some of the participants reported on weekly classroom observations and feedback to teachers about the structure of lessons, learning corners, competency-based activities in the lessons, and the integration of assessment tasks into the CBE framework. These head teachers found that teachers who were given regular, constructive feedback on their lessons demonstrated measurable improvements in the quality of their lesson delivery, in the completion of their portfolios and in the use of realia and manipulatives </w:t>
      </w:r>
      <w:r w:rsidRPr="001357D8">
        <w:rPr>
          <w:rFonts w:ascii="Arial" w:eastAsia="Times New Roman" w:hAnsi="Arial" w:cs="Arial"/>
          <w:color w:val="000000" w:themeColor="text1"/>
          <w:sz w:val="20"/>
          <w:szCs w:val="20"/>
        </w:rPr>
        <w:lastRenderedPageBreak/>
        <w:t>in science lessons. One headteacher commented that there was a change in the school culture with increased accountability for CBE delivery due to the consistent presence of the headteacher and the teachers' own reflection on their practice between visits.</w:t>
      </w:r>
    </w:p>
    <w:p w14:paraId="73BC7E4A" w14:textId="77777777" w:rsidR="00602C0F" w:rsidRPr="001357D8" w:rsidRDefault="00602C0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Head teachers, however, also highlighted the need for supervision to be used alongside other strategies. A number of teachers commented that when they were not observed closely at school or were not supervised during lessons due to administrative tasks or community events, or the head teacher was away from school at external meetings, teachers reverted to traditional teacher-</w:t>
      </w:r>
      <w:proofErr w:type="spellStart"/>
      <w:r w:rsidRPr="001357D8">
        <w:rPr>
          <w:rFonts w:ascii="Arial" w:eastAsia="Times New Roman" w:hAnsi="Arial" w:cs="Arial"/>
          <w:color w:val="000000" w:themeColor="text1"/>
          <w:sz w:val="20"/>
          <w:szCs w:val="20"/>
        </w:rPr>
        <w:t>centred</w:t>
      </w:r>
      <w:proofErr w:type="spellEnd"/>
      <w:r w:rsidRPr="001357D8">
        <w:rPr>
          <w:rFonts w:ascii="Arial" w:eastAsia="Times New Roman" w:hAnsi="Arial" w:cs="Arial"/>
          <w:color w:val="000000" w:themeColor="text1"/>
          <w:sz w:val="20"/>
          <w:szCs w:val="20"/>
        </w:rPr>
        <w:t xml:space="preserve"> approaches. This mode of supervision-dependent compliance was blamed on a lack of depth and length of support provided in professional development. The quantitative data showed that the effectiveness score for professional development was low with head teachers stating that government organized CBE training workshops were usually too short, too centralized, and too distant from classroom situations to change teaching practices.</w:t>
      </w:r>
    </w:p>
    <w:p w14:paraId="2145D84B" w14:textId="77777777" w:rsidR="00602C0F" w:rsidRPr="001357D8" w:rsidRDefault="00602C0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effectiveness of the strategies was most debated with respect to the promotion of learner </w:t>
      </w:r>
      <w:proofErr w:type="spellStart"/>
      <w:r w:rsidRPr="001357D8">
        <w:rPr>
          <w:rFonts w:ascii="Arial" w:eastAsia="Times New Roman" w:hAnsi="Arial" w:cs="Arial"/>
          <w:color w:val="000000" w:themeColor="text1"/>
          <w:sz w:val="20"/>
          <w:szCs w:val="20"/>
        </w:rPr>
        <w:t>centred</w:t>
      </w:r>
      <w:proofErr w:type="spellEnd"/>
      <w:r w:rsidRPr="001357D8">
        <w:rPr>
          <w:rFonts w:ascii="Arial" w:eastAsia="Times New Roman" w:hAnsi="Arial" w:cs="Arial"/>
          <w:color w:val="000000" w:themeColor="text1"/>
          <w:sz w:val="20"/>
          <w:szCs w:val="20"/>
        </w:rPr>
        <w:t xml:space="preserve"> teaching. Head teachers from schools where staffing and resource provision was relatively </w:t>
      </w:r>
      <w:proofErr w:type="spellStart"/>
      <w:r w:rsidRPr="001357D8">
        <w:rPr>
          <w:rFonts w:ascii="Arial" w:eastAsia="Times New Roman" w:hAnsi="Arial" w:cs="Arial"/>
          <w:color w:val="000000" w:themeColor="text1"/>
          <w:sz w:val="20"/>
          <w:szCs w:val="20"/>
        </w:rPr>
        <w:t>favourable</w:t>
      </w:r>
      <w:proofErr w:type="spellEnd"/>
      <w:r w:rsidRPr="001357D8">
        <w:rPr>
          <w:rFonts w:ascii="Arial" w:eastAsia="Times New Roman" w:hAnsi="Arial" w:cs="Arial"/>
          <w:color w:val="000000" w:themeColor="text1"/>
          <w:sz w:val="20"/>
          <w:szCs w:val="20"/>
        </w:rPr>
        <w:t xml:space="preserve"> reported that they had seen some success in supporting learner agency in group learning activities, </w:t>
      </w:r>
      <w:proofErr w:type="gramStart"/>
      <w:r w:rsidRPr="001357D8">
        <w:rPr>
          <w:rFonts w:ascii="Arial" w:eastAsia="Times New Roman" w:hAnsi="Arial" w:cs="Arial"/>
          <w:color w:val="000000" w:themeColor="text1"/>
          <w:sz w:val="20"/>
          <w:szCs w:val="20"/>
        </w:rPr>
        <w:t>project based</w:t>
      </w:r>
      <w:proofErr w:type="gramEnd"/>
      <w:r w:rsidRPr="001357D8">
        <w:rPr>
          <w:rFonts w:ascii="Arial" w:eastAsia="Times New Roman" w:hAnsi="Arial" w:cs="Arial"/>
          <w:color w:val="000000" w:themeColor="text1"/>
          <w:sz w:val="20"/>
          <w:szCs w:val="20"/>
        </w:rPr>
        <w:t xml:space="preserve"> learning and using community contexts as learning resources. Headteachers from the more resource-poor schools and those with highly nomadic communities, however, reported difficulties in even sustaining basic CBE activities, let alone regularly implementing the learner centered pedagogies, in classrooms with multi-grade classes, extreme resource limitations and irregular attendance of learners.</w:t>
      </w:r>
    </w:p>
    <w:p w14:paraId="0F876F05" w14:textId="77777777" w:rsidR="00602C0F" w:rsidRPr="001357D8" w:rsidRDefault="00602C0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Learner attendance and continuity emerged as a key structural constraint to the effectiveness of strategies in the qualitative data. Head teachers from schools in regions where there was livestock migration season reported that during migration seasons, learners' attendance in schools could be reduced by 30 – 50% and that no matter how good teachers were in their teaching, it would not be possible to achieve sustained competency progression during that period. This discovery contributes an additional layer to the quantitative effectiveness findings that has a gap in studies in more sedentary community settings, and it is an original contextual contribution of the present study to the CBE implementation literature.</w:t>
      </w:r>
    </w:p>
    <w:p w14:paraId="59BAC804" w14:textId="77777777" w:rsidR="00F63AC1" w:rsidRPr="001357D8" w:rsidRDefault="00602C0F"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Head teachers also made specific observations of effectiveness in the use of formative assessment. Some stated that their focus on portfolio completion and structured observation checklists had led to more uniform assessment of learners' progress throughout their schools leading to better informed decisions about individual progress. But others recognized that some teachers still saw portfolios as an administrative document and were still completing these documents after the fact instead of documenting work in an active and continuous manner. The disparity between formal introduction of CBE assessment practices and their meaningful application in classroom practices suggests a focus on pedagogical professional development, not on administrative oversight</w:t>
      </w:r>
      <w:r w:rsidR="00F63AC1" w:rsidRPr="001357D8">
        <w:rPr>
          <w:rFonts w:ascii="Arial" w:eastAsia="Times New Roman" w:hAnsi="Arial" w:cs="Arial"/>
          <w:color w:val="000000" w:themeColor="text1"/>
          <w:sz w:val="20"/>
          <w:szCs w:val="20"/>
        </w:rPr>
        <w:t>.</w:t>
      </w:r>
    </w:p>
    <w:p w14:paraId="6D9819F1"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Discussion</w:t>
      </w:r>
    </w:p>
    <w:p w14:paraId="7F28203E" w14:textId="77777777" w:rsidR="00BA64F9" w:rsidRPr="001357D8" w:rsidRDefault="00BA64F9"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A moderate mean </w:t>
      </w:r>
      <w:proofErr w:type="gramStart"/>
      <w:r w:rsidRPr="001357D8">
        <w:rPr>
          <w:rFonts w:ascii="Arial" w:eastAsia="Times New Roman" w:hAnsi="Arial" w:cs="Arial"/>
          <w:color w:val="000000" w:themeColor="text1"/>
          <w:sz w:val="20"/>
          <w:szCs w:val="20"/>
        </w:rPr>
        <w:t>score</w:t>
      </w:r>
      <w:proofErr w:type="gramEnd"/>
      <w:r w:rsidRPr="001357D8">
        <w:rPr>
          <w:rFonts w:ascii="Arial" w:eastAsia="Times New Roman" w:hAnsi="Arial" w:cs="Arial"/>
          <w:color w:val="000000" w:themeColor="text1"/>
          <w:sz w:val="20"/>
          <w:szCs w:val="20"/>
        </w:rPr>
        <w:t xml:space="preserve"> of 3.14 (SD = .78) and a significant Pearson correlation (r = .687, p &lt; .01) validates that the strategies that head teachers are using in Wajir East are moderately effective in promoting CBE implementation, but there is a significant gap between administration and impact. This is consistent with the larger implementation science literature, which has identified that the leadership strategies themselves are </w:t>
      </w:r>
      <w:r w:rsidRPr="001357D8">
        <w:rPr>
          <w:rFonts w:ascii="Arial" w:eastAsia="Times New Roman" w:hAnsi="Arial" w:cs="Arial"/>
          <w:color w:val="000000" w:themeColor="text1"/>
          <w:sz w:val="20"/>
          <w:szCs w:val="20"/>
        </w:rPr>
        <w:lastRenderedPageBreak/>
        <w:t>not enough to ensure that the curriculum outcomes will be realized, especially when enabling conditions are not in place or when leadership strategies are not sustained or pedagogically targeted.</w:t>
      </w:r>
    </w:p>
    <w:p w14:paraId="4169E7BB" w14:textId="77777777" w:rsidR="00BA64F9" w:rsidRPr="001357D8" w:rsidRDefault="00BA64F9"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This corroborates the study in Kenyan public primary schools by </w:t>
      </w:r>
      <w:proofErr w:type="spellStart"/>
      <w:r w:rsidRPr="001357D8">
        <w:rPr>
          <w:rFonts w:ascii="Arial" w:eastAsia="Times New Roman" w:hAnsi="Arial" w:cs="Arial"/>
          <w:color w:val="000000" w:themeColor="text1"/>
          <w:sz w:val="20"/>
          <w:szCs w:val="20"/>
        </w:rPr>
        <w:t>Wairungu</w:t>
      </w:r>
      <w:proofErr w:type="spellEnd"/>
      <w:r w:rsidRPr="001357D8">
        <w:rPr>
          <w:rFonts w:ascii="Arial" w:eastAsia="Times New Roman" w:hAnsi="Arial" w:cs="Arial"/>
          <w:color w:val="000000" w:themeColor="text1"/>
          <w:sz w:val="20"/>
          <w:szCs w:val="20"/>
        </w:rPr>
        <w:t xml:space="preserve"> and </w:t>
      </w:r>
      <w:proofErr w:type="spellStart"/>
      <w:r w:rsidRPr="001357D8">
        <w:rPr>
          <w:rFonts w:ascii="Arial" w:eastAsia="Times New Roman" w:hAnsi="Arial" w:cs="Arial"/>
          <w:color w:val="000000" w:themeColor="text1"/>
          <w:sz w:val="20"/>
          <w:szCs w:val="20"/>
        </w:rPr>
        <w:t>Magoma</w:t>
      </w:r>
      <w:proofErr w:type="spellEnd"/>
      <w:r w:rsidRPr="001357D8">
        <w:rPr>
          <w:rFonts w:ascii="Arial" w:eastAsia="Times New Roman" w:hAnsi="Arial" w:cs="Arial"/>
          <w:color w:val="000000" w:themeColor="text1"/>
          <w:sz w:val="20"/>
          <w:szCs w:val="20"/>
        </w:rPr>
        <w:t xml:space="preserve"> (2024), which demonstrated that the relationship between the CBE encouragement of head teachers and classroom practice was hinged on consistency and specificity of leadership support. They noted that schools in which head teachers were regularly coaching and facilitating structured peer learning experienced greater success in their adaptation to CBE methods, revealing the need for repeated rather than intermittent interventions. The qualitative findings of the current study confirm this and is in line with the findings of other studies that assert that the effectiveness of CBE hinges on embedding, not supervising pedagogical change.</w:t>
      </w:r>
    </w:p>
    <w:p w14:paraId="16EBB87E" w14:textId="77777777" w:rsidR="00BA64F9" w:rsidRPr="001357D8" w:rsidRDefault="00BA64F9"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This is consistent with the findings of Robinson et al. (2008), which revealed direct supervisory participation in teacher learning to have the largest effect size among all instructional leadership </w:t>
      </w:r>
      <w:proofErr w:type="spellStart"/>
      <w:r w:rsidRPr="001357D8">
        <w:rPr>
          <w:rFonts w:ascii="Arial" w:eastAsia="Times New Roman" w:hAnsi="Arial" w:cs="Arial"/>
          <w:color w:val="000000" w:themeColor="text1"/>
          <w:sz w:val="20"/>
          <w:szCs w:val="20"/>
        </w:rPr>
        <w:t>behaviours</w:t>
      </w:r>
      <w:proofErr w:type="spellEnd"/>
      <w:r w:rsidRPr="001357D8">
        <w:rPr>
          <w:rFonts w:ascii="Arial" w:eastAsia="Times New Roman" w:hAnsi="Arial" w:cs="Arial"/>
          <w:color w:val="000000" w:themeColor="text1"/>
          <w:sz w:val="20"/>
          <w:szCs w:val="20"/>
        </w:rPr>
        <w:t xml:space="preserve">, in the 27 international studies </w:t>
      </w:r>
      <w:proofErr w:type="spellStart"/>
      <w:r w:rsidRPr="001357D8">
        <w:rPr>
          <w:rFonts w:ascii="Arial" w:eastAsia="Times New Roman" w:hAnsi="Arial" w:cs="Arial"/>
          <w:color w:val="000000" w:themeColor="text1"/>
          <w:sz w:val="20"/>
          <w:szCs w:val="20"/>
        </w:rPr>
        <w:t>analysed</w:t>
      </w:r>
      <w:proofErr w:type="spellEnd"/>
      <w:r w:rsidRPr="001357D8">
        <w:rPr>
          <w:rFonts w:ascii="Arial" w:eastAsia="Times New Roman" w:hAnsi="Arial" w:cs="Arial"/>
          <w:color w:val="000000" w:themeColor="text1"/>
          <w:sz w:val="20"/>
          <w:szCs w:val="20"/>
        </w:rPr>
        <w:t>. This cross-contextual validity across geographically and culturally diverse research contexts validates the basic tenets of IL theory and strongly suggests that the principles of good supervisory leadership continue to explain effective leadership in a resource-limited and geographically isolated setting like Wajir East.</w:t>
      </w:r>
    </w:p>
    <w:p w14:paraId="6C117F28" w14:textId="77777777" w:rsidR="00BA64F9" w:rsidRPr="001357D8" w:rsidRDefault="00BA64F9"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lowest effectiveness </w:t>
      </w:r>
      <w:proofErr w:type="gramStart"/>
      <w:r w:rsidRPr="001357D8">
        <w:rPr>
          <w:rFonts w:ascii="Arial" w:eastAsia="Times New Roman" w:hAnsi="Arial" w:cs="Arial"/>
          <w:color w:val="000000" w:themeColor="text1"/>
          <w:sz w:val="20"/>
          <w:szCs w:val="20"/>
        </w:rPr>
        <w:t>mean</w:t>
      </w:r>
      <w:proofErr w:type="gramEnd"/>
      <w:r w:rsidRPr="001357D8">
        <w:rPr>
          <w:rFonts w:ascii="Arial" w:eastAsia="Times New Roman" w:hAnsi="Arial" w:cs="Arial"/>
          <w:color w:val="000000" w:themeColor="text1"/>
          <w:sz w:val="20"/>
          <w:szCs w:val="20"/>
        </w:rPr>
        <w:t xml:space="preserve"> for strategies that promote learner-centered teaching (M = 3.09, SD = .82) is significantly different from the learner </w:t>
      </w:r>
      <w:proofErr w:type="spellStart"/>
      <w:r w:rsidRPr="001357D8">
        <w:rPr>
          <w:rFonts w:ascii="Arial" w:eastAsia="Times New Roman" w:hAnsi="Arial" w:cs="Arial"/>
          <w:color w:val="000000" w:themeColor="text1"/>
          <w:sz w:val="20"/>
          <w:szCs w:val="20"/>
        </w:rPr>
        <w:t>centredness</w:t>
      </w:r>
      <w:proofErr w:type="spellEnd"/>
      <w:r w:rsidRPr="001357D8">
        <w:rPr>
          <w:rFonts w:ascii="Arial" w:eastAsia="Times New Roman" w:hAnsi="Arial" w:cs="Arial"/>
          <w:color w:val="000000" w:themeColor="text1"/>
          <w:sz w:val="20"/>
          <w:szCs w:val="20"/>
        </w:rPr>
        <w:t xml:space="preserve"> that the KICD (2017) envisions as the most important pedagogical aspect of CBE. Similarly, </w:t>
      </w:r>
      <w:proofErr w:type="spellStart"/>
      <w:r w:rsidRPr="001357D8">
        <w:rPr>
          <w:rFonts w:ascii="Arial" w:eastAsia="Times New Roman" w:hAnsi="Arial" w:cs="Arial"/>
          <w:color w:val="000000" w:themeColor="text1"/>
          <w:sz w:val="20"/>
          <w:szCs w:val="20"/>
        </w:rPr>
        <w:t>Maiyuria</w:t>
      </w:r>
      <w:proofErr w:type="spellEnd"/>
      <w:r w:rsidRPr="001357D8">
        <w:rPr>
          <w:rFonts w:ascii="Arial" w:eastAsia="Times New Roman" w:hAnsi="Arial" w:cs="Arial"/>
          <w:color w:val="000000" w:themeColor="text1"/>
          <w:sz w:val="20"/>
          <w:szCs w:val="20"/>
        </w:rPr>
        <w:t xml:space="preserve"> et al (2024) attributed this gap to inadequate school-based professional development as teachers in Kenyan public primary schools did not have specific pedagogical strategies needed to implement competency-based learning activities despite having content knowledge. This trend was supported by Mutua and Waweru (2023) who reported that teachers persisted in using the traditional methods of instruction when there was no continuous support. This result is consistent across several Kenyan county contexts and also in the context of the present study, which is in a </w:t>
      </w:r>
      <w:proofErr w:type="spellStart"/>
      <w:r w:rsidRPr="001357D8">
        <w:rPr>
          <w:rFonts w:ascii="Arial" w:eastAsia="Times New Roman" w:hAnsi="Arial" w:cs="Arial"/>
          <w:color w:val="000000" w:themeColor="text1"/>
          <w:sz w:val="20"/>
          <w:szCs w:val="20"/>
        </w:rPr>
        <w:t>marginalised</w:t>
      </w:r>
      <w:proofErr w:type="spellEnd"/>
      <w:r w:rsidRPr="001357D8">
        <w:rPr>
          <w:rFonts w:ascii="Arial" w:eastAsia="Times New Roman" w:hAnsi="Arial" w:cs="Arial"/>
          <w:color w:val="000000" w:themeColor="text1"/>
          <w:sz w:val="20"/>
          <w:szCs w:val="20"/>
        </w:rPr>
        <w:t xml:space="preserve"> sub-county context, indicating that pedagogical gaps in learner-</w:t>
      </w:r>
      <w:proofErr w:type="spellStart"/>
      <w:r w:rsidRPr="001357D8">
        <w:rPr>
          <w:rFonts w:ascii="Arial" w:eastAsia="Times New Roman" w:hAnsi="Arial" w:cs="Arial"/>
          <w:color w:val="000000" w:themeColor="text1"/>
          <w:sz w:val="20"/>
          <w:szCs w:val="20"/>
        </w:rPr>
        <w:t>centred</w:t>
      </w:r>
      <w:proofErr w:type="spellEnd"/>
      <w:r w:rsidRPr="001357D8">
        <w:rPr>
          <w:rFonts w:ascii="Arial" w:eastAsia="Times New Roman" w:hAnsi="Arial" w:cs="Arial"/>
          <w:color w:val="000000" w:themeColor="text1"/>
          <w:sz w:val="20"/>
          <w:szCs w:val="20"/>
        </w:rPr>
        <w:t xml:space="preserve"> education is a systemic issue that must be addressed at a national level and not through individual school contexts.</w:t>
      </w:r>
    </w:p>
    <w:p w14:paraId="76480303" w14:textId="77777777" w:rsidR="00BA64F9" w:rsidRPr="001357D8" w:rsidRDefault="00BA64F9" w:rsidP="000C4E8B">
      <w:pPr>
        <w:spacing w:before="100" w:after="100" w:line="36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t>Ronguno</w:t>
      </w:r>
      <w:proofErr w:type="spellEnd"/>
      <w:r w:rsidRPr="001357D8">
        <w:rPr>
          <w:rFonts w:ascii="Arial" w:eastAsia="Times New Roman" w:hAnsi="Arial" w:cs="Arial"/>
          <w:color w:val="000000" w:themeColor="text1"/>
          <w:sz w:val="20"/>
          <w:szCs w:val="20"/>
        </w:rPr>
        <w:t xml:space="preserve"> (2025) provided convergent evidence from </w:t>
      </w:r>
      <w:proofErr w:type="spellStart"/>
      <w:r w:rsidRPr="001357D8">
        <w:rPr>
          <w:rFonts w:ascii="Arial" w:eastAsia="Times New Roman" w:hAnsi="Arial" w:cs="Arial"/>
          <w:color w:val="000000" w:themeColor="text1"/>
          <w:sz w:val="20"/>
          <w:szCs w:val="20"/>
        </w:rPr>
        <w:t>Chesumei</w:t>
      </w:r>
      <w:proofErr w:type="spellEnd"/>
      <w:r w:rsidRPr="001357D8">
        <w:rPr>
          <w:rFonts w:ascii="Arial" w:eastAsia="Times New Roman" w:hAnsi="Arial" w:cs="Arial"/>
          <w:color w:val="000000" w:themeColor="text1"/>
          <w:sz w:val="20"/>
          <w:szCs w:val="20"/>
        </w:rPr>
        <w:t xml:space="preserve"> Sub-County which revealed that the delivery of learner-centered instruction was not satisfactory because of lack of resources and professional development, which led to the limited measurable CBE competency acquisition among learners. The overall cross-sub-county convergence bolsters the interpretation that the effectiveness gap between leadership strategies and learner-centered outcomes is systemic and is not due to the lack of commitment or intention of individual head teachers.</w:t>
      </w:r>
    </w:p>
    <w:p w14:paraId="43A87011" w14:textId="77777777" w:rsidR="00F63AC1" w:rsidRPr="001357D8" w:rsidRDefault="00BA64F9"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However, in more resourceful counties in Kenya, Situma et al (2024) suggest that active head teachers could attain above average alignment to the CBE assessment. This result is also different from the moderate effectiveness ratings seen in Wajir East, which may be due to the combined impact of structural barriers unique to </w:t>
      </w:r>
      <w:proofErr w:type="spellStart"/>
      <w:r w:rsidRPr="001357D8">
        <w:rPr>
          <w:rFonts w:ascii="Arial" w:eastAsia="Times New Roman" w:hAnsi="Arial" w:cs="Arial"/>
          <w:color w:val="000000" w:themeColor="text1"/>
          <w:sz w:val="20"/>
          <w:szCs w:val="20"/>
        </w:rPr>
        <w:t>marginalised</w:t>
      </w:r>
      <w:proofErr w:type="spellEnd"/>
      <w:r w:rsidRPr="001357D8">
        <w:rPr>
          <w:rFonts w:ascii="Arial" w:eastAsia="Times New Roman" w:hAnsi="Arial" w:cs="Arial"/>
          <w:color w:val="000000" w:themeColor="text1"/>
          <w:sz w:val="20"/>
          <w:szCs w:val="20"/>
        </w:rPr>
        <w:t xml:space="preserve"> arid sub-counties: insecurity, nomadic community patterns, resource scarcity, and high teacher turnover, which render the implementation context qualitatively more constraining than the counties studied by Situma et al. (2024). The difference highlights the need to have contextually </w:t>
      </w:r>
      <w:r w:rsidRPr="001357D8">
        <w:rPr>
          <w:rFonts w:ascii="Arial" w:eastAsia="Times New Roman" w:hAnsi="Arial" w:cs="Arial"/>
          <w:color w:val="000000" w:themeColor="text1"/>
          <w:sz w:val="20"/>
          <w:szCs w:val="20"/>
        </w:rPr>
        <w:lastRenderedPageBreak/>
        <w:t>differentiated CBE implementation strategies and policy frameworks which explicitly consider the unique context of marginalized learning environments</w:t>
      </w:r>
      <w:r w:rsidR="00F63AC1" w:rsidRPr="001357D8">
        <w:rPr>
          <w:rFonts w:ascii="Arial" w:eastAsia="Times New Roman" w:hAnsi="Arial" w:cs="Arial"/>
          <w:color w:val="000000" w:themeColor="text1"/>
          <w:sz w:val="20"/>
          <w:szCs w:val="20"/>
        </w:rPr>
        <w:t>.</w:t>
      </w:r>
    </w:p>
    <w:p w14:paraId="404449FD" w14:textId="77777777" w:rsidR="00F63AC1" w:rsidRPr="001357D8" w:rsidRDefault="00F63AC1"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CONCLUSIONS</w:t>
      </w:r>
    </w:p>
    <w:p w14:paraId="16D73FFC" w14:textId="77777777" w:rsidR="00F63AC1" w:rsidRPr="001357D8" w:rsidRDefault="00F63AC1"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Head teachers' administrative strategies are moderately effective in advancing CBE implementation outcomes. </w:t>
      </w:r>
      <w:r w:rsidR="00E61C6B" w:rsidRPr="001357D8">
        <w:rPr>
          <w:rFonts w:ascii="Arial" w:eastAsia="Times New Roman" w:hAnsi="Arial" w:cs="Arial"/>
          <w:color w:val="000000" w:themeColor="text1"/>
          <w:sz w:val="20"/>
          <w:szCs w:val="20"/>
        </w:rPr>
        <w:t xml:space="preserve">The overall effectiveness </w:t>
      </w:r>
      <w:proofErr w:type="gramStart"/>
      <w:r w:rsidR="00E61C6B" w:rsidRPr="001357D8">
        <w:rPr>
          <w:rFonts w:ascii="Arial" w:eastAsia="Times New Roman" w:hAnsi="Arial" w:cs="Arial"/>
          <w:color w:val="000000" w:themeColor="text1"/>
          <w:sz w:val="20"/>
          <w:szCs w:val="20"/>
        </w:rPr>
        <w:t>mean</w:t>
      </w:r>
      <w:proofErr w:type="gramEnd"/>
      <w:r w:rsidR="00E61C6B" w:rsidRPr="001357D8">
        <w:rPr>
          <w:rFonts w:ascii="Arial" w:eastAsia="Times New Roman" w:hAnsi="Arial" w:cs="Arial"/>
          <w:color w:val="000000" w:themeColor="text1"/>
          <w:sz w:val="20"/>
          <w:szCs w:val="20"/>
        </w:rPr>
        <w:t xml:space="preserve"> of 3.14 (SD = .78) and the high and positive Pearson correlation coefficient (r = .687, p &lt; .01) indicate that strategy effectiveness is a valid predictor of the quality of implementation of CBE. However, the moderate, not high effectiveness ratings indicate that there is an ongoing mismatch between leadership efforts and curriculum impact which needs to be addressed</w:t>
      </w:r>
      <w:r w:rsidRPr="001357D8">
        <w:rPr>
          <w:rFonts w:ascii="Arial" w:eastAsia="Times New Roman" w:hAnsi="Arial" w:cs="Arial"/>
          <w:color w:val="000000" w:themeColor="text1"/>
          <w:sz w:val="20"/>
          <w:szCs w:val="20"/>
        </w:rPr>
        <w:t>.</w:t>
      </w:r>
    </w:p>
    <w:p w14:paraId="5ABE6E8D" w14:textId="77777777" w:rsidR="00F63AC1" w:rsidRPr="001357D8" w:rsidRDefault="00B01CD7"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Instructional supervision is the most consistent successful dimension of head teachers' CBE leadership. The supervision effectiveness item had the highest mean (M = 3.22) and the lowest standard deviation of the five dimensions measured and was the strategy identified consistently across interviews as being the one to most clearly show improvement in the quality of lesson delivery, assessment practices, and teacher accountability for CBE delivery. This finding has direct implications for prioritizing the training and support of supervisors as part of head teacher professional development programmes</w:t>
      </w:r>
      <w:r w:rsidR="00F63AC1" w:rsidRPr="001357D8">
        <w:rPr>
          <w:rFonts w:ascii="Arial" w:eastAsia="Times New Roman" w:hAnsi="Arial" w:cs="Arial"/>
          <w:color w:val="000000" w:themeColor="text1"/>
          <w:sz w:val="20"/>
          <w:szCs w:val="20"/>
        </w:rPr>
        <w:t>.</w:t>
      </w:r>
    </w:p>
    <w:p w14:paraId="56A4066A" w14:textId="77777777" w:rsidR="00781E6A" w:rsidRPr="001357D8" w:rsidRDefault="00781E6A"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The learner-</w:t>
      </w:r>
      <w:proofErr w:type="spellStart"/>
      <w:r w:rsidRPr="001357D8">
        <w:rPr>
          <w:rFonts w:ascii="Arial" w:eastAsia="Times New Roman" w:hAnsi="Arial" w:cs="Arial"/>
          <w:color w:val="000000" w:themeColor="text1"/>
          <w:sz w:val="20"/>
          <w:szCs w:val="20"/>
        </w:rPr>
        <w:t>centred</w:t>
      </w:r>
      <w:proofErr w:type="spellEnd"/>
      <w:r w:rsidRPr="001357D8">
        <w:rPr>
          <w:rFonts w:ascii="Arial" w:eastAsia="Times New Roman" w:hAnsi="Arial" w:cs="Arial"/>
          <w:color w:val="000000" w:themeColor="text1"/>
          <w:sz w:val="20"/>
          <w:szCs w:val="20"/>
        </w:rPr>
        <w:t xml:space="preserve"> pedagogical approach is the most prominent gap between the implementation of the administration's strategy and the realization of the curriculum's outcomes. The lowest mean (M = 3.09) and highest standard deviation (SD = .82) was found on the item of learner centered teaching effectiveness, indicating a low average effectiveness and a high range of variability among schools. Interview evidence showed that teachers regularly switched back to teacher-</w:t>
      </w:r>
      <w:proofErr w:type="spellStart"/>
      <w:r w:rsidRPr="001357D8">
        <w:rPr>
          <w:rFonts w:ascii="Arial" w:eastAsia="Times New Roman" w:hAnsi="Arial" w:cs="Arial"/>
          <w:color w:val="000000" w:themeColor="text1"/>
          <w:sz w:val="20"/>
          <w:szCs w:val="20"/>
        </w:rPr>
        <w:t>centred</w:t>
      </w:r>
      <w:proofErr w:type="spellEnd"/>
      <w:r w:rsidRPr="001357D8">
        <w:rPr>
          <w:rFonts w:ascii="Arial" w:eastAsia="Times New Roman" w:hAnsi="Arial" w:cs="Arial"/>
          <w:color w:val="000000" w:themeColor="text1"/>
          <w:sz w:val="20"/>
          <w:szCs w:val="20"/>
        </w:rPr>
        <w:t xml:space="preserve"> approaches when not being on-site monitored, suggesting that without embedded and sustained professional development, teacher supervision is not enough to change pedagogical practices to the learner-</w:t>
      </w:r>
      <w:proofErr w:type="spellStart"/>
      <w:r w:rsidRPr="001357D8">
        <w:rPr>
          <w:rFonts w:ascii="Arial" w:eastAsia="Times New Roman" w:hAnsi="Arial" w:cs="Arial"/>
          <w:color w:val="000000" w:themeColor="text1"/>
          <w:sz w:val="20"/>
          <w:szCs w:val="20"/>
        </w:rPr>
        <w:t>centred</w:t>
      </w:r>
      <w:proofErr w:type="spellEnd"/>
      <w:r w:rsidRPr="001357D8">
        <w:rPr>
          <w:rFonts w:ascii="Arial" w:eastAsia="Times New Roman" w:hAnsi="Arial" w:cs="Arial"/>
          <w:color w:val="000000" w:themeColor="text1"/>
          <w:sz w:val="20"/>
          <w:szCs w:val="20"/>
        </w:rPr>
        <w:t xml:space="preserve"> approaches required for CBE.</w:t>
      </w:r>
    </w:p>
    <w:p w14:paraId="6D96FFA0" w14:textId="77777777" w:rsidR="00F63AC1" w:rsidRPr="001357D8" w:rsidRDefault="00781E6A"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School-level leadership cannot directly address the constraints of structural contextual barriers such as nomadic community patterns, irregular attendance of learners, teacher shortages, and insecurity. Current national CBE implementation frameworks are not sufficiently responsive to these barriers and require policy responses that are differentiated and contextual for marginalized arid and semi-arid educational contexts</w:t>
      </w:r>
      <w:r w:rsidR="00F63AC1" w:rsidRPr="001357D8">
        <w:rPr>
          <w:rFonts w:ascii="Arial" w:eastAsia="Times New Roman" w:hAnsi="Arial" w:cs="Arial"/>
          <w:color w:val="000000" w:themeColor="text1"/>
          <w:sz w:val="20"/>
          <w:szCs w:val="20"/>
        </w:rPr>
        <w:t>.</w:t>
      </w:r>
    </w:p>
    <w:p w14:paraId="54D98546" w14:textId="77777777" w:rsidR="00F63AC1" w:rsidRPr="001357D8" w:rsidRDefault="00BD2494" w:rsidP="000C4E8B">
      <w:pPr>
        <w:jc w:val="both"/>
        <w:rPr>
          <w:rFonts w:ascii="Arial" w:hAnsi="Arial" w:cs="Arial"/>
          <w:b/>
          <w:color w:val="000000" w:themeColor="text1"/>
          <w:sz w:val="20"/>
          <w:szCs w:val="20"/>
        </w:rPr>
      </w:pPr>
      <w:r w:rsidRPr="001357D8">
        <w:rPr>
          <w:rFonts w:ascii="Arial" w:hAnsi="Arial" w:cs="Arial"/>
          <w:b/>
          <w:color w:val="000000" w:themeColor="text1"/>
          <w:sz w:val="20"/>
          <w:szCs w:val="20"/>
        </w:rPr>
        <w:t>RECOMMENDATIONS</w:t>
      </w:r>
    </w:p>
    <w:p w14:paraId="37DABADA" w14:textId="77777777" w:rsidR="00F63AC1" w:rsidRPr="001357D8" w:rsidRDefault="00F63AC1"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Ministry of Education and the Teachers Service Commission should establish school-based Instructional Committees in all public primary schools in Wajir East, comprising curriculum champions and experienced CBE practitioners. </w:t>
      </w:r>
      <w:r w:rsidR="00414A49" w:rsidRPr="001357D8">
        <w:rPr>
          <w:rFonts w:ascii="Arial" w:eastAsia="Times New Roman" w:hAnsi="Arial" w:cs="Arial"/>
          <w:color w:val="000000" w:themeColor="text1"/>
          <w:sz w:val="20"/>
          <w:szCs w:val="20"/>
        </w:rPr>
        <w:t>These committees should be responsible for initiating regular peer mentoring, co-teaching opportunities, and cycles of lesson study for specific pedagogical skills needed for the delivery of learner-centered CBE. This recommendation is directly linked to the above finding that the current level of effectiveness of CBE in the sub-county is characterized by supervision dependent compliance and not pedagogical transformation.</w:t>
      </w:r>
    </w:p>
    <w:p w14:paraId="5D3F10AA" w14:textId="77777777" w:rsidR="00F63AC1" w:rsidRPr="001357D8" w:rsidRDefault="001225E1"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Head teachers should be supported to use structured post-observation coaching conversations and peer accountability systems in addition to classroom supervision. School improvement plans should have clear learner-</w:t>
      </w:r>
      <w:r w:rsidR="00912E00" w:rsidRPr="001357D8">
        <w:rPr>
          <w:rFonts w:ascii="Arial" w:eastAsia="Times New Roman" w:hAnsi="Arial" w:cs="Arial"/>
          <w:color w:val="000000" w:themeColor="text1"/>
          <w:sz w:val="20"/>
          <w:szCs w:val="20"/>
        </w:rPr>
        <w:t>centered</w:t>
      </w:r>
      <w:r w:rsidRPr="001357D8">
        <w:rPr>
          <w:rFonts w:ascii="Arial" w:eastAsia="Times New Roman" w:hAnsi="Arial" w:cs="Arial"/>
          <w:color w:val="000000" w:themeColor="text1"/>
          <w:sz w:val="20"/>
          <w:szCs w:val="20"/>
        </w:rPr>
        <w:t xml:space="preserve"> pedagogy targets with measurable indicators that are reviewed termly, allowing head teachers to monitor the progress from supervisory compliance to true internalization of CBE pedagogy. To </w:t>
      </w:r>
      <w:r w:rsidRPr="001357D8">
        <w:rPr>
          <w:rFonts w:ascii="Arial" w:eastAsia="Times New Roman" w:hAnsi="Arial" w:cs="Arial"/>
          <w:color w:val="000000" w:themeColor="text1"/>
          <w:sz w:val="20"/>
          <w:szCs w:val="20"/>
        </w:rPr>
        <w:lastRenderedPageBreak/>
        <w:t>support this recommendation, the Sub-County Education Office is expected to create a set of coaching frameworks and observation tools which will be standardized</w:t>
      </w:r>
      <w:r w:rsidR="00F63AC1" w:rsidRPr="001357D8">
        <w:rPr>
          <w:rFonts w:ascii="Arial" w:eastAsia="Times New Roman" w:hAnsi="Arial" w:cs="Arial"/>
          <w:color w:val="000000" w:themeColor="text1"/>
          <w:sz w:val="20"/>
          <w:szCs w:val="20"/>
        </w:rPr>
        <w:t>.</w:t>
      </w:r>
    </w:p>
    <w:p w14:paraId="576F30EF" w14:textId="77777777" w:rsidR="00F63AC1" w:rsidRPr="001357D8" w:rsidRDefault="00F63AC1"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KICD should develop and disseminate context-sensitive formative assessment toolkits specifically designed for use in resource-constrained and high-mobility community settings. </w:t>
      </w:r>
      <w:r w:rsidR="00122322" w:rsidRPr="001357D8">
        <w:rPr>
          <w:rFonts w:ascii="Arial" w:eastAsia="Times New Roman" w:hAnsi="Arial" w:cs="Arial"/>
          <w:color w:val="000000" w:themeColor="text1"/>
          <w:sz w:val="20"/>
          <w:szCs w:val="20"/>
        </w:rPr>
        <w:t>The toolkits should contain simple portfolio templates, an easy way to track competency progression that is suitable for the irregular attendance pattern, and guidance on how to incorporate continuous assessment into a multi-grade classroom setting without unnecessary additional administrative burden for teachers.</w:t>
      </w:r>
    </w:p>
    <w:p w14:paraId="5FB51F3B" w14:textId="77777777" w:rsidR="00F63AC1" w:rsidRPr="001357D8" w:rsidRDefault="005E4CB3" w:rsidP="000C4E8B">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Policy-wise, the Ministry of Education should establish a special support mechanism for the implementation of CBE in arid and semi-arid counties which explicitly considers security and mobility aspects in deployment of teachers, scheduling the delivery of the curriculum and management of learners' attendance. Schools in arid sub-counties should be given minimum posting periods to ensure institutional continuity and minimize the cost of retraining newly posted teachers on school specific CBE approaches.</w:t>
      </w:r>
    </w:p>
    <w:p w14:paraId="4831FDD5" w14:textId="77777777" w:rsidR="0032131D" w:rsidRPr="001357D8" w:rsidRDefault="0032131D" w:rsidP="0032131D">
      <w:pPr>
        <w:jc w:val="both"/>
        <w:rPr>
          <w:rFonts w:ascii="Arial" w:hAnsi="Arial" w:cs="Arial"/>
          <w:b/>
          <w:color w:val="000000" w:themeColor="text1"/>
          <w:sz w:val="20"/>
          <w:szCs w:val="20"/>
        </w:rPr>
      </w:pPr>
      <w:r w:rsidRPr="001357D8">
        <w:rPr>
          <w:rFonts w:ascii="Arial" w:hAnsi="Arial" w:cs="Arial"/>
          <w:b/>
          <w:color w:val="000000" w:themeColor="text1"/>
          <w:sz w:val="20"/>
          <w:szCs w:val="20"/>
        </w:rPr>
        <w:t>LIMITATIONS OF THE STUDY</w:t>
      </w:r>
    </w:p>
    <w:p w14:paraId="40E3A1EC" w14:textId="77777777" w:rsidR="0032131D" w:rsidRPr="001357D8" w:rsidRDefault="0032131D" w:rsidP="0032131D">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The study was mainly based upon self-reported data from teacher questionnaires and interviews with head teachers. Self-reported data can also be prone to social desirability bias, which means that respondents may be likely to report what they think is expected or institutional norm rather than what they assess for the effectiveness of strategies. This risk was partially addressed by the inclusion of both teacher and head teacher sources of data and the triangulation of findings across the quantitative and qualitative data, but the lack of direct classroom observation data limits the study to the measurement of perceived effectiveness rather than objective measurement of pedagogical </w:t>
      </w:r>
      <w:proofErr w:type="spellStart"/>
      <w:r w:rsidRPr="001357D8">
        <w:rPr>
          <w:rFonts w:ascii="Arial" w:eastAsia="Times New Roman" w:hAnsi="Arial" w:cs="Arial"/>
          <w:color w:val="000000" w:themeColor="text1"/>
          <w:sz w:val="20"/>
          <w:szCs w:val="20"/>
        </w:rPr>
        <w:t>behaviour</w:t>
      </w:r>
      <w:proofErr w:type="spellEnd"/>
      <w:r w:rsidRPr="001357D8">
        <w:rPr>
          <w:rFonts w:ascii="Arial" w:eastAsia="Times New Roman" w:hAnsi="Arial" w:cs="Arial"/>
          <w:color w:val="000000" w:themeColor="text1"/>
          <w:sz w:val="20"/>
          <w:szCs w:val="20"/>
        </w:rPr>
        <w:t xml:space="preserve"> change. </w:t>
      </w:r>
    </w:p>
    <w:p w14:paraId="0F3CC307" w14:textId="7F19BC1D" w:rsidR="00947742" w:rsidRDefault="00947742">
      <w:pPr>
        <w:spacing w:after="200" w:line="276" w:lineRule="auto"/>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br w:type="page"/>
      </w:r>
      <w:r w:rsidR="007E1186">
        <w:rPr>
          <w:rFonts w:ascii="Arial" w:eastAsia="Times New Roman" w:hAnsi="Arial" w:cs="Arial"/>
          <w:color w:val="000000" w:themeColor="text1"/>
          <w:sz w:val="20"/>
          <w:szCs w:val="20"/>
        </w:rPr>
        <w:lastRenderedPageBreak/>
        <w:t>ETHICAL APPROVAL AND CONSENT</w:t>
      </w:r>
    </w:p>
    <w:p w14:paraId="09636E41" w14:textId="3D6FB78A" w:rsidR="007E1186" w:rsidRPr="001357D8" w:rsidRDefault="007E1186" w:rsidP="007E1186">
      <w:pPr>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The researcher obtained ethical approval from all relevant institutions including the institution scientific ethics review committee from university, the national commission for science, technology and innovation in Kenya that permitted conduct of the study.</w:t>
      </w:r>
      <w:r w:rsidRPr="007E1186">
        <w:rPr>
          <w:rFonts w:ascii="Arial" w:eastAsia="Times New Roman" w:hAnsi="Arial" w:cs="Arial"/>
          <w:color w:val="000000" w:themeColor="text1"/>
          <w:sz w:val="20"/>
          <w:szCs w:val="20"/>
        </w:rPr>
        <w:t xml:space="preserve"> </w:t>
      </w:r>
      <w:r w:rsidRPr="001357D8">
        <w:rPr>
          <w:rFonts w:ascii="Arial" w:eastAsia="Times New Roman" w:hAnsi="Arial" w:cs="Arial"/>
          <w:color w:val="000000" w:themeColor="text1"/>
          <w:sz w:val="20"/>
          <w:szCs w:val="20"/>
        </w:rPr>
        <w:t>All participants were provided with informed consent in writing prior to data collection</w:t>
      </w:r>
      <w:r>
        <w:rPr>
          <w:rFonts w:ascii="Arial" w:eastAsia="Times New Roman" w:hAnsi="Arial" w:cs="Arial"/>
          <w:color w:val="000000" w:themeColor="text1"/>
          <w:sz w:val="20"/>
          <w:szCs w:val="20"/>
        </w:rPr>
        <w:t>.</w:t>
      </w:r>
      <w:bookmarkStart w:id="7" w:name="_GoBack"/>
      <w:bookmarkEnd w:id="7"/>
    </w:p>
    <w:p w14:paraId="102F808D" w14:textId="77777777" w:rsidR="007E1186" w:rsidRPr="001357D8" w:rsidRDefault="007E1186">
      <w:pPr>
        <w:spacing w:after="200" w:line="276" w:lineRule="auto"/>
        <w:rPr>
          <w:rFonts w:ascii="Arial" w:eastAsia="Times New Roman" w:hAnsi="Arial" w:cs="Arial"/>
          <w:color w:val="000000" w:themeColor="text1"/>
          <w:sz w:val="20"/>
          <w:szCs w:val="20"/>
        </w:rPr>
      </w:pPr>
    </w:p>
    <w:p w14:paraId="602D88AE" w14:textId="5DEAAEB2" w:rsidR="0032131D" w:rsidRPr="001357D8" w:rsidRDefault="0032131D" w:rsidP="0032131D">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COMPETING INTERESTS DISCLAIMER:</w:t>
      </w:r>
    </w:p>
    <w:p w14:paraId="77A25EDC" w14:textId="25553DA6" w:rsidR="0032131D" w:rsidRPr="001357D8" w:rsidRDefault="0032131D" w:rsidP="0032131D">
      <w:pPr>
        <w:spacing w:before="100" w:after="100" w:line="36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59251332" w14:textId="77777777" w:rsidR="00247F83" w:rsidRPr="001357D8" w:rsidRDefault="00247F83" w:rsidP="00247F83">
      <w:pPr>
        <w:spacing w:after="0" w:line="240" w:lineRule="auto"/>
        <w:rPr>
          <w:rFonts w:ascii="Arial" w:hAnsi="Arial" w:cs="Arial"/>
          <w:kern w:val="2"/>
          <w:sz w:val="20"/>
          <w:szCs w:val="20"/>
          <w:highlight w:val="yellow"/>
        </w:rPr>
      </w:pPr>
      <w:bookmarkStart w:id="8" w:name="_Hlk198031404"/>
      <w:r w:rsidRPr="001357D8">
        <w:rPr>
          <w:rFonts w:ascii="Arial" w:hAnsi="Arial" w:cs="Arial"/>
          <w:kern w:val="2"/>
          <w:sz w:val="20"/>
          <w:szCs w:val="20"/>
          <w:highlight w:val="yellow"/>
        </w:rPr>
        <w:t>Disclaimer (Artificial intelligence)</w:t>
      </w:r>
    </w:p>
    <w:p w14:paraId="7E5E44C5" w14:textId="77777777" w:rsidR="00247F83" w:rsidRPr="001357D8" w:rsidRDefault="00247F83" w:rsidP="00247F83">
      <w:pPr>
        <w:spacing w:after="0" w:line="240" w:lineRule="auto"/>
        <w:rPr>
          <w:rFonts w:ascii="Arial" w:hAnsi="Arial" w:cs="Arial"/>
          <w:kern w:val="2"/>
          <w:sz w:val="20"/>
          <w:szCs w:val="20"/>
          <w:highlight w:val="yellow"/>
        </w:rPr>
      </w:pPr>
    </w:p>
    <w:p w14:paraId="01813115" w14:textId="77777777" w:rsidR="00247F83" w:rsidRPr="001357D8" w:rsidRDefault="00247F83" w:rsidP="00247F83">
      <w:pPr>
        <w:spacing w:after="0" w:line="240" w:lineRule="auto"/>
        <w:rPr>
          <w:rFonts w:ascii="Arial" w:hAnsi="Arial" w:cs="Arial"/>
          <w:kern w:val="2"/>
          <w:sz w:val="20"/>
          <w:szCs w:val="20"/>
          <w:highlight w:val="yellow"/>
        </w:rPr>
      </w:pPr>
      <w:r w:rsidRPr="001357D8">
        <w:rPr>
          <w:rFonts w:ascii="Arial" w:hAnsi="Arial" w:cs="Arial"/>
          <w:kern w:val="2"/>
          <w:sz w:val="20"/>
          <w:szCs w:val="20"/>
          <w:highlight w:val="yellow"/>
        </w:rPr>
        <w:t>Author(s) hereby declare that NO generative AI technologies such as Large Language Models (</w:t>
      </w:r>
      <w:proofErr w:type="spellStart"/>
      <w:r w:rsidRPr="001357D8">
        <w:rPr>
          <w:rFonts w:ascii="Arial" w:hAnsi="Arial" w:cs="Arial"/>
          <w:kern w:val="2"/>
          <w:sz w:val="20"/>
          <w:szCs w:val="20"/>
          <w:highlight w:val="yellow"/>
        </w:rPr>
        <w:t>ChatGPT</w:t>
      </w:r>
      <w:proofErr w:type="spellEnd"/>
      <w:r w:rsidRPr="001357D8">
        <w:rPr>
          <w:rFonts w:ascii="Arial" w:hAnsi="Arial" w:cs="Arial"/>
          <w:kern w:val="2"/>
          <w:sz w:val="20"/>
          <w:szCs w:val="20"/>
          <w:highlight w:val="yellow"/>
        </w:rPr>
        <w:t xml:space="preserve">, COPILOT, etc.) and text-to-image generators have been used during the writing or editing of this manuscript. </w:t>
      </w:r>
    </w:p>
    <w:bookmarkEnd w:id="8"/>
    <w:p w14:paraId="3DFABD6C" w14:textId="77777777" w:rsidR="0032131D" w:rsidRPr="001357D8" w:rsidRDefault="0032131D" w:rsidP="000C4E8B">
      <w:pPr>
        <w:spacing w:before="100" w:after="100" w:line="360" w:lineRule="auto"/>
        <w:jc w:val="both"/>
        <w:rPr>
          <w:rFonts w:ascii="Arial" w:eastAsia="Times New Roman" w:hAnsi="Arial" w:cs="Arial"/>
          <w:color w:val="000000" w:themeColor="text1"/>
          <w:sz w:val="20"/>
          <w:szCs w:val="20"/>
        </w:rPr>
      </w:pPr>
    </w:p>
    <w:p w14:paraId="427C158A" w14:textId="77777777" w:rsidR="00F63AC1" w:rsidRPr="001357D8" w:rsidRDefault="00F63AC1" w:rsidP="009F220C">
      <w:pPr>
        <w:spacing w:after="0" w:line="240" w:lineRule="auto"/>
        <w:jc w:val="both"/>
        <w:rPr>
          <w:rFonts w:ascii="Arial" w:hAnsi="Arial" w:cs="Arial"/>
          <w:b/>
          <w:color w:val="000000" w:themeColor="text1"/>
          <w:sz w:val="20"/>
          <w:szCs w:val="20"/>
        </w:rPr>
      </w:pPr>
      <w:r w:rsidRPr="001357D8">
        <w:rPr>
          <w:rFonts w:ascii="Arial" w:hAnsi="Arial" w:cs="Arial"/>
          <w:b/>
          <w:color w:val="000000" w:themeColor="text1"/>
          <w:sz w:val="20"/>
          <w:szCs w:val="20"/>
        </w:rPr>
        <w:t>REFERENCES</w:t>
      </w:r>
    </w:p>
    <w:p w14:paraId="2D5339AF"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Bryman, A. (2021). </w:t>
      </w:r>
      <w:r w:rsidRPr="001357D8">
        <w:rPr>
          <w:rFonts w:ascii="Arial" w:eastAsia="Times New Roman" w:hAnsi="Arial" w:cs="Arial"/>
          <w:i/>
          <w:iCs/>
          <w:color w:val="000000" w:themeColor="text1"/>
          <w:sz w:val="20"/>
          <w:szCs w:val="20"/>
        </w:rPr>
        <w:t>Social research methods</w:t>
      </w:r>
      <w:r w:rsidRPr="001357D8">
        <w:rPr>
          <w:rFonts w:ascii="Arial" w:eastAsia="Times New Roman" w:hAnsi="Arial" w:cs="Arial"/>
          <w:color w:val="000000" w:themeColor="text1"/>
          <w:sz w:val="20"/>
          <w:szCs w:val="20"/>
        </w:rPr>
        <w:t xml:space="preserve"> (5</w:t>
      </w:r>
      <w:r w:rsidRPr="001357D8">
        <w:rPr>
          <w:rFonts w:ascii="Arial" w:eastAsia="Times New Roman" w:hAnsi="Arial" w:cs="Arial"/>
          <w:color w:val="000000" w:themeColor="text1"/>
          <w:sz w:val="20"/>
          <w:szCs w:val="20"/>
          <w:vertAlign w:val="superscript"/>
        </w:rPr>
        <w:t>th</w:t>
      </w:r>
      <w:r w:rsidR="009F220C" w:rsidRPr="001357D8">
        <w:rPr>
          <w:rFonts w:ascii="Arial" w:eastAsia="Times New Roman" w:hAnsi="Arial" w:cs="Arial"/>
          <w:color w:val="000000" w:themeColor="text1"/>
          <w:sz w:val="20"/>
          <w:szCs w:val="20"/>
        </w:rPr>
        <w:t>ed.). Oxford University Press.</w:t>
      </w:r>
      <w:r w:rsidR="009F220C"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https://doi.org/10.1093/he/9780198862192.001.0001</w:t>
      </w:r>
    </w:p>
    <w:p w14:paraId="6CD8AD49"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Creswell, J. W., &amp; Creswell, J. D. (2023). </w:t>
      </w:r>
      <w:r w:rsidRPr="001357D8">
        <w:rPr>
          <w:rFonts w:ascii="Arial" w:eastAsia="Times New Roman" w:hAnsi="Arial" w:cs="Arial"/>
          <w:i/>
          <w:iCs/>
          <w:color w:val="000000" w:themeColor="text1"/>
          <w:sz w:val="20"/>
          <w:szCs w:val="20"/>
        </w:rPr>
        <w:t>Research design: Quali</w:t>
      </w:r>
      <w:r w:rsidR="009F220C" w:rsidRPr="001357D8">
        <w:rPr>
          <w:rFonts w:ascii="Arial" w:eastAsia="Times New Roman" w:hAnsi="Arial" w:cs="Arial"/>
          <w:i/>
          <w:iCs/>
          <w:color w:val="000000" w:themeColor="text1"/>
          <w:sz w:val="20"/>
          <w:szCs w:val="20"/>
        </w:rPr>
        <w:t>tative, quantitative, and mixed</w:t>
      </w:r>
      <w:r w:rsidR="009F220C"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methods approaches</w:t>
      </w:r>
      <w:r w:rsidR="009F220C" w:rsidRPr="001357D8">
        <w:rPr>
          <w:rFonts w:ascii="Arial" w:eastAsia="Times New Roman" w:hAnsi="Arial" w:cs="Arial"/>
          <w:color w:val="000000" w:themeColor="text1"/>
          <w:sz w:val="20"/>
          <w:szCs w:val="20"/>
        </w:rPr>
        <w:t xml:space="preserve"> (5</w:t>
      </w:r>
      <w:r w:rsidR="009F220C" w:rsidRPr="001357D8">
        <w:rPr>
          <w:rFonts w:ascii="Arial" w:eastAsia="Times New Roman" w:hAnsi="Arial" w:cs="Arial"/>
          <w:color w:val="000000" w:themeColor="text1"/>
          <w:sz w:val="20"/>
          <w:szCs w:val="20"/>
          <w:vertAlign w:val="superscript"/>
        </w:rPr>
        <w:t>th</w:t>
      </w:r>
      <w:r w:rsidR="009F220C" w:rsidRPr="001357D8">
        <w:rPr>
          <w:rFonts w:ascii="Arial" w:eastAsia="Times New Roman" w:hAnsi="Arial" w:cs="Arial"/>
          <w:color w:val="000000" w:themeColor="text1"/>
          <w:sz w:val="20"/>
          <w:szCs w:val="20"/>
        </w:rPr>
        <w:t xml:space="preserve"> </w:t>
      </w:r>
      <w:r w:rsidR="00AA41D3" w:rsidRPr="001357D8">
        <w:rPr>
          <w:rFonts w:ascii="Arial" w:eastAsia="Times New Roman" w:hAnsi="Arial" w:cs="Arial"/>
          <w:color w:val="000000" w:themeColor="text1"/>
          <w:sz w:val="20"/>
          <w:szCs w:val="20"/>
        </w:rPr>
        <w:t xml:space="preserve">ed.). SAGE Publications. </w:t>
      </w:r>
      <w:r w:rsidRPr="001357D8">
        <w:rPr>
          <w:rFonts w:ascii="Arial" w:eastAsia="Times New Roman" w:hAnsi="Arial" w:cs="Arial"/>
          <w:color w:val="000000" w:themeColor="text1"/>
          <w:sz w:val="20"/>
          <w:szCs w:val="20"/>
        </w:rPr>
        <w:t>https://doi.org/10.4135/9781071925317</w:t>
      </w:r>
    </w:p>
    <w:p w14:paraId="4F7CCAFF"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Hallinger, P. (2003). Leading educational change: Reflections on th</w:t>
      </w:r>
      <w:r w:rsidR="009F220C" w:rsidRPr="001357D8">
        <w:rPr>
          <w:rFonts w:ascii="Arial" w:eastAsia="Times New Roman" w:hAnsi="Arial" w:cs="Arial"/>
          <w:color w:val="000000" w:themeColor="text1"/>
          <w:sz w:val="20"/>
          <w:szCs w:val="20"/>
        </w:rPr>
        <w:t>e practice of instructional and</w:t>
      </w:r>
      <w:r w:rsidR="009F220C"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transformational leadership. </w:t>
      </w:r>
      <w:r w:rsidRPr="001357D8">
        <w:rPr>
          <w:rFonts w:ascii="Arial" w:eastAsia="Times New Roman" w:hAnsi="Arial" w:cs="Arial"/>
          <w:i/>
          <w:iCs/>
          <w:color w:val="000000" w:themeColor="text1"/>
          <w:sz w:val="20"/>
          <w:szCs w:val="20"/>
        </w:rPr>
        <w:t>Cambridge Journal of Education, 33</w:t>
      </w:r>
      <w:r w:rsidRPr="001357D8">
        <w:rPr>
          <w:rFonts w:ascii="Arial" w:eastAsia="Times New Roman" w:hAnsi="Arial" w:cs="Arial"/>
          <w:color w:val="000000" w:themeColor="text1"/>
          <w:sz w:val="20"/>
          <w:szCs w:val="20"/>
        </w:rPr>
        <w:t>(3</w:t>
      </w:r>
      <w:r w:rsidR="009F220C" w:rsidRPr="001357D8">
        <w:rPr>
          <w:rFonts w:ascii="Arial" w:eastAsia="Times New Roman" w:hAnsi="Arial" w:cs="Arial"/>
          <w:color w:val="000000" w:themeColor="text1"/>
          <w:sz w:val="20"/>
          <w:szCs w:val="20"/>
        </w:rPr>
        <w:t>), 329–352.</w:t>
      </w:r>
      <w:r w:rsidR="009F220C"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https://doi.org/10.1080/0305764032000122005</w:t>
      </w:r>
    </w:p>
    <w:p w14:paraId="01846DAF"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Hallinger, P., &amp; Heck, R. H. (1996). Reassessing the principal's </w:t>
      </w:r>
      <w:r w:rsidR="009F220C" w:rsidRPr="001357D8">
        <w:rPr>
          <w:rFonts w:ascii="Arial" w:eastAsia="Times New Roman" w:hAnsi="Arial" w:cs="Arial"/>
          <w:color w:val="000000" w:themeColor="text1"/>
          <w:sz w:val="20"/>
          <w:szCs w:val="20"/>
        </w:rPr>
        <w:t>role in school effectiveness: A</w:t>
      </w:r>
      <w:r w:rsidR="009F220C"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review of empirical research, 1980–1995. </w:t>
      </w:r>
      <w:r w:rsidRPr="001357D8">
        <w:rPr>
          <w:rFonts w:ascii="Arial" w:eastAsia="Times New Roman" w:hAnsi="Arial" w:cs="Arial"/>
          <w:i/>
          <w:iCs/>
          <w:color w:val="000000" w:themeColor="text1"/>
          <w:sz w:val="20"/>
          <w:szCs w:val="20"/>
        </w:rPr>
        <w:t>Educational Administration Quarterly, 32</w:t>
      </w:r>
      <w:r w:rsidR="009F220C" w:rsidRPr="001357D8">
        <w:rPr>
          <w:rFonts w:ascii="Arial" w:eastAsia="Times New Roman" w:hAnsi="Arial" w:cs="Arial"/>
          <w:color w:val="000000" w:themeColor="text1"/>
          <w:sz w:val="20"/>
          <w:szCs w:val="20"/>
        </w:rPr>
        <w:t>(1), 5</w:t>
      </w:r>
      <w:r w:rsidR="009F220C"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44. https://doi.org/10.1177/0013161X96032001002</w:t>
      </w:r>
    </w:p>
    <w:p w14:paraId="50708C45"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t>Kanuvi</w:t>
      </w:r>
      <w:proofErr w:type="spellEnd"/>
      <w:r w:rsidRPr="001357D8">
        <w:rPr>
          <w:rFonts w:ascii="Arial" w:eastAsia="Times New Roman" w:hAnsi="Arial" w:cs="Arial"/>
          <w:color w:val="000000" w:themeColor="text1"/>
          <w:sz w:val="20"/>
          <w:szCs w:val="20"/>
        </w:rPr>
        <w:t xml:space="preserve">, J., Barat, M., &amp; </w:t>
      </w:r>
      <w:proofErr w:type="spellStart"/>
      <w:r w:rsidRPr="001357D8">
        <w:rPr>
          <w:rFonts w:ascii="Arial" w:eastAsia="Times New Roman" w:hAnsi="Arial" w:cs="Arial"/>
          <w:color w:val="000000" w:themeColor="text1"/>
          <w:sz w:val="20"/>
          <w:szCs w:val="20"/>
        </w:rPr>
        <w:t>Piliyesi</w:t>
      </w:r>
      <w:proofErr w:type="spellEnd"/>
      <w:r w:rsidRPr="001357D8">
        <w:rPr>
          <w:rFonts w:ascii="Arial" w:eastAsia="Times New Roman" w:hAnsi="Arial" w:cs="Arial"/>
          <w:color w:val="000000" w:themeColor="text1"/>
          <w:sz w:val="20"/>
          <w:szCs w:val="20"/>
        </w:rPr>
        <w:t>, I. (2024). Influence of instr</w:t>
      </w:r>
      <w:r w:rsidR="009F220C" w:rsidRPr="001357D8">
        <w:rPr>
          <w:rFonts w:ascii="Arial" w:eastAsia="Times New Roman" w:hAnsi="Arial" w:cs="Arial"/>
          <w:color w:val="000000" w:themeColor="text1"/>
          <w:sz w:val="20"/>
          <w:szCs w:val="20"/>
        </w:rPr>
        <w:t>uctional supervision on pupils'</w:t>
      </w:r>
      <w:r w:rsidR="009F220C"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academic performance in Kajiado North Sub-County, Kenya. </w:t>
      </w:r>
      <w:r w:rsidR="009F220C" w:rsidRPr="001357D8">
        <w:rPr>
          <w:rFonts w:ascii="Arial" w:eastAsia="Times New Roman" w:hAnsi="Arial" w:cs="Arial"/>
          <w:i/>
          <w:iCs/>
          <w:color w:val="000000" w:themeColor="text1"/>
          <w:sz w:val="20"/>
          <w:szCs w:val="20"/>
        </w:rPr>
        <w:t>East African Educational</w:t>
      </w:r>
      <w:r w:rsidR="009F220C"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Research Journal, 8</w:t>
      </w:r>
      <w:r w:rsidRPr="001357D8">
        <w:rPr>
          <w:rFonts w:ascii="Arial" w:eastAsia="Times New Roman" w:hAnsi="Arial" w:cs="Arial"/>
          <w:color w:val="000000" w:themeColor="text1"/>
          <w:sz w:val="20"/>
          <w:szCs w:val="20"/>
        </w:rPr>
        <w:t>(1), 44–58.</w:t>
      </w:r>
    </w:p>
    <w:p w14:paraId="08C207AA"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Kenya Institute of Curriculum Development (KICD). (2017). </w:t>
      </w:r>
      <w:r w:rsidR="009F220C" w:rsidRPr="001357D8">
        <w:rPr>
          <w:rFonts w:ascii="Arial" w:eastAsia="Times New Roman" w:hAnsi="Arial" w:cs="Arial"/>
          <w:i/>
          <w:iCs/>
          <w:color w:val="000000" w:themeColor="text1"/>
          <w:sz w:val="20"/>
          <w:szCs w:val="20"/>
        </w:rPr>
        <w:t>Basic education curriculum</w:t>
      </w:r>
      <w:r w:rsidR="009F220C"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framework</w:t>
      </w:r>
      <w:r w:rsidRPr="001357D8">
        <w:rPr>
          <w:rFonts w:ascii="Arial" w:eastAsia="Times New Roman" w:hAnsi="Arial" w:cs="Arial"/>
          <w:color w:val="000000" w:themeColor="text1"/>
          <w:sz w:val="20"/>
          <w:szCs w:val="20"/>
        </w:rPr>
        <w:t>. KICD. https://kicd.ac.ke/basic-education-curriculum-framework/</w:t>
      </w:r>
    </w:p>
    <w:p w14:paraId="16ACC679"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Kenya Institute of Curriculum Development (KICD). (2023). </w:t>
      </w:r>
      <w:r w:rsidR="009F220C" w:rsidRPr="001357D8">
        <w:rPr>
          <w:rFonts w:ascii="Arial" w:eastAsia="Times New Roman" w:hAnsi="Arial" w:cs="Arial"/>
          <w:i/>
          <w:iCs/>
          <w:color w:val="000000" w:themeColor="text1"/>
          <w:sz w:val="20"/>
          <w:szCs w:val="20"/>
        </w:rPr>
        <w:t>National assessment of CBC</w:t>
      </w:r>
      <w:r w:rsidR="009F220C"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instructional materials availability</w:t>
      </w:r>
      <w:r w:rsidRPr="001357D8">
        <w:rPr>
          <w:rFonts w:ascii="Arial" w:eastAsia="Times New Roman" w:hAnsi="Arial" w:cs="Arial"/>
          <w:color w:val="000000" w:themeColor="text1"/>
          <w:sz w:val="20"/>
          <w:szCs w:val="20"/>
        </w:rPr>
        <w:t>. KICD.</w:t>
      </w:r>
    </w:p>
    <w:p w14:paraId="7D46CEE5"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Kenya National Examinations Council (KNEC). (2022). </w:t>
      </w:r>
      <w:r w:rsidRPr="001357D8">
        <w:rPr>
          <w:rFonts w:ascii="Arial" w:eastAsia="Times New Roman" w:hAnsi="Arial" w:cs="Arial"/>
          <w:i/>
          <w:iCs/>
          <w:color w:val="000000" w:themeColor="text1"/>
          <w:sz w:val="20"/>
          <w:szCs w:val="20"/>
        </w:rPr>
        <w:t>Nation</w:t>
      </w:r>
      <w:r w:rsidR="009F220C" w:rsidRPr="001357D8">
        <w:rPr>
          <w:rFonts w:ascii="Arial" w:eastAsia="Times New Roman" w:hAnsi="Arial" w:cs="Arial"/>
          <w:i/>
          <w:iCs/>
          <w:color w:val="000000" w:themeColor="text1"/>
          <w:sz w:val="20"/>
          <w:szCs w:val="20"/>
        </w:rPr>
        <w:t>al assessment report on teacher</w:t>
      </w:r>
      <w:r w:rsidR="009F220C"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preparedness for CBC</w:t>
      </w:r>
      <w:r w:rsidRPr="001357D8">
        <w:rPr>
          <w:rFonts w:ascii="Arial" w:eastAsia="Times New Roman" w:hAnsi="Arial" w:cs="Arial"/>
          <w:color w:val="000000" w:themeColor="text1"/>
          <w:sz w:val="20"/>
          <w:szCs w:val="20"/>
        </w:rPr>
        <w:t>. KNEC. https://www.knec.ac.ke/national-assessment-reports/</w:t>
      </w:r>
    </w:p>
    <w:p w14:paraId="207C1736"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Kombo, D. K., &amp; Tromp, D. L. A. (2006). </w:t>
      </w:r>
      <w:r w:rsidRPr="001357D8">
        <w:rPr>
          <w:rFonts w:ascii="Arial" w:eastAsia="Times New Roman" w:hAnsi="Arial" w:cs="Arial"/>
          <w:i/>
          <w:iCs/>
          <w:color w:val="000000" w:themeColor="text1"/>
          <w:sz w:val="20"/>
          <w:szCs w:val="20"/>
        </w:rPr>
        <w:t>Project and thesis writing: An introduction</w:t>
      </w:r>
      <w:r w:rsidR="009F220C" w:rsidRPr="001357D8">
        <w:rPr>
          <w:rFonts w:ascii="Arial" w:eastAsia="Times New Roman" w:hAnsi="Arial" w:cs="Arial"/>
          <w:color w:val="000000" w:themeColor="text1"/>
          <w:sz w:val="20"/>
          <w:szCs w:val="20"/>
        </w:rPr>
        <w:t>. Pauline's</w:t>
      </w:r>
      <w:r w:rsidR="009F220C"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Publications Africa.</w:t>
      </w:r>
    </w:p>
    <w:p w14:paraId="53933B5F"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t>Kuviyo</w:t>
      </w:r>
      <w:proofErr w:type="spellEnd"/>
      <w:r w:rsidRPr="001357D8">
        <w:rPr>
          <w:rFonts w:ascii="Arial" w:eastAsia="Times New Roman" w:hAnsi="Arial" w:cs="Arial"/>
          <w:color w:val="000000" w:themeColor="text1"/>
          <w:sz w:val="20"/>
          <w:szCs w:val="20"/>
        </w:rPr>
        <w:t xml:space="preserve">, J., </w:t>
      </w:r>
      <w:proofErr w:type="spellStart"/>
      <w:r w:rsidRPr="001357D8">
        <w:rPr>
          <w:rFonts w:ascii="Arial" w:eastAsia="Times New Roman" w:hAnsi="Arial" w:cs="Arial"/>
          <w:color w:val="000000" w:themeColor="text1"/>
          <w:sz w:val="20"/>
          <w:szCs w:val="20"/>
        </w:rPr>
        <w:t>Piliyesi</w:t>
      </w:r>
      <w:proofErr w:type="spellEnd"/>
      <w:r w:rsidRPr="001357D8">
        <w:rPr>
          <w:rFonts w:ascii="Arial" w:eastAsia="Times New Roman" w:hAnsi="Arial" w:cs="Arial"/>
          <w:color w:val="000000" w:themeColor="text1"/>
          <w:sz w:val="20"/>
          <w:szCs w:val="20"/>
        </w:rPr>
        <w:t xml:space="preserve">, I., &amp; Kanga, T. (2022). Principals' instructional </w:t>
      </w:r>
      <w:r w:rsidR="00AA41D3" w:rsidRPr="001357D8">
        <w:rPr>
          <w:rFonts w:ascii="Arial" w:eastAsia="Times New Roman" w:hAnsi="Arial" w:cs="Arial"/>
          <w:color w:val="000000" w:themeColor="text1"/>
          <w:sz w:val="20"/>
          <w:szCs w:val="20"/>
        </w:rPr>
        <w:t>supervision practices and their</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relationship with effective teaching and learning in publ</w:t>
      </w:r>
      <w:r w:rsidR="00AA41D3" w:rsidRPr="001357D8">
        <w:rPr>
          <w:rFonts w:ascii="Arial" w:eastAsia="Times New Roman" w:hAnsi="Arial" w:cs="Arial"/>
          <w:color w:val="000000" w:themeColor="text1"/>
          <w:sz w:val="20"/>
          <w:szCs w:val="20"/>
        </w:rPr>
        <w:t>ic secondary schools in Kajiado</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North Sub-County, Kenya. </w:t>
      </w:r>
      <w:r w:rsidRPr="001357D8">
        <w:rPr>
          <w:rFonts w:ascii="Arial" w:eastAsia="Times New Roman" w:hAnsi="Arial" w:cs="Arial"/>
          <w:i/>
          <w:iCs/>
          <w:color w:val="000000" w:themeColor="text1"/>
          <w:sz w:val="20"/>
          <w:szCs w:val="20"/>
        </w:rPr>
        <w:t>East African Educational Research Journal, 6</w:t>
      </w:r>
      <w:r w:rsidRPr="001357D8">
        <w:rPr>
          <w:rFonts w:ascii="Arial" w:eastAsia="Times New Roman" w:hAnsi="Arial" w:cs="Arial"/>
          <w:color w:val="000000" w:themeColor="text1"/>
          <w:sz w:val="20"/>
          <w:szCs w:val="20"/>
        </w:rPr>
        <w:t>(2), 22–36.</w:t>
      </w:r>
    </w:p>
    <w:p w14:paraId="525993A9"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Lema, B., &amp; Otieno, P. (2022). Supervisory techniques of h</w:t>
      </w:r>
      <w:r w:rsidR="00AA41D3" w:rsidRPr="001357D8">
        <w:rPr>
          <w:rFonts w:ascii="Arial" w:eastAsia="Times New Roman" w:hAnsi="Arial" w:cs="Arial"/>
          <w:color w:val="000000" w:themeColor="text1"/>
          <w:sz w:val="20"/>
          <w:szCs w:val="20"/>
        </w:rPr>
        <w:t>ead teachers and teachers' work</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performance in public primary schools in Arusha District Council, Tanzania. </w:t>
      </w:r>
      <w:r w:rsidR="00AA41D3" w:rsidRPr="001357D8">
        <w:rPr>
          <w:rFonts w:ascii="Arial" w:eastAsia="Times New Roman" w:hAnsi="Arial" w:cs="Arial"/>
          <w:i/>
          <w:iCs/>
          <w:color w:val="000000" w:themeColor="text1"/>
          <w:sz w:val="20"/>
          <w:szCs w:val="20"/>
        </w:rPr>
        <w:t>African</w:t>
      </w:r>
      <w:r w:rsidR="00AA41D3"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Journal of Educational Management, 10</w:t>
      </w:r>
      <w:r w:rsidRPr="001357D8">
        <w:rPr>
          <w:rFonts w:ascii="Arial" w:eastAsia="Times New Roman" w:hAnsi="Arial" w:cs="Arial"/>
          <w:color w:val="000000" w:themeColor="text1"/>
          <w:sz w:val="20"/>
          <w:szCs w:val="20"/>
        </w:rPr>
        <w:t>(1), 44–60.</w:t>
      </w:r>
    </w:p>
    <w:p w14:paraId="5182A6AA"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t>Maiyuria</w:t>
      </w:r>
      <w:proofErr w:type="spellEnd"/>
      <w:r w:rsidRPr="001357D8">
        <w:rPr>
          <w:rFonts w:ascii="Arial" w:eastAsia="Times New Roman" w:hAnsi="Arial" w:cs="Arial"/>
          <w:color w:val="000000" w:themeColor="text1"/>
          <w:sz w:val="20"/>
          <w:szCs w:val="20"/>
        </w:rPr>
        <w:t xml:space="preserve">, P., Mackatiani, C., &amp; </w:t>
      </w:r>
      <w:proofErr w:type="spellStart"/>
      <w:r w:rsidRPr="001357D8">
        <w:rPr>
          <w:rFonts w:ascii="Arial" w:eastAsia="Times New Roman" w:hAnsi="Arial" w:cs="Arial"/>
          <w:color w:val="000000" w:themeColor="text1"/>
          <w:sz w:val="20"/>
          <w:szCs w:val="20"/>
        </w:rPr>
        <w:t>Gakunga</w:t>
      </w:r>
      <w:proofErr w:type="spellEnd"/>
      <w:r w:rsidRPr="001357D8">
        <w:rPr>
          <w:rFonts w:ascii="Arial" w:eastAsia="Times New Roman" w:hAnsi="Arial" w:cs="Arial"/>
          <w:color w:val="000000" w:themeColor="text1"/>
          <w:sz w:val="20"/>
          <w:szCs w:val="20"/>
        </w:rPr>
        <w:t>, D. (2024). Resou</w:t>
      </w:r>
      <w:r w:rsidR="00AA41D3" w:rsidRPr="001357D8">
        <w:rPr>
          <w:rFonts w:ascii="Arial" w:eastAsia="Times New Roman" w:hAnsi="Arial" w:cs="Arial"/>
          <w:color w:val="000000" w:themeColor="text1"/>
          <w:sz w:val="20"/>
          <w:szCs w:val="20"/>
        </w:rPr>
        <w:t>rces and their influence on CBC</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implementation in public and private primary schools in South </w:t>
      </w:r>
      <w:proofErr w:type="spellStart"/>
      <w:r w:rsidRPr="001357D8">
        <w:rPr>
          <w:rFonts w:ascii="Arial" w:eastAsia="Times New Roman" w:hAnsi="Arial" w:cs="Arial"/>
          <w:color w:val="000000" w:themeColor="text1"/>
          <w:sz w:val="20"/>
          <w:szCs w:val="20"/>
        </w:rPr>
        <w:t>Kinangop</w:t>
      </w:r>
      <w:proofErr w:type="spellEnd"/>
      <w:r w:rsidRPr="001357D8">
        <w:rPr>
          <w:rFonts w:ascii="Arial" w:eastAsia="Times New Roman" w:hAnsi="Arial" w:cs="Arial"/>
          <w:color w:val="000000" w:themeColor="text1"/>
          <w:sz w:val="20"/>
          <w:szCs w:val="20"/>
        </w:rPr>
        <w:t xml:space="preserve"> Sub-County</w:t>
      </w:r>
      <w:r w:rsidR="00AA41D3" w:rsidRPr="001357D8">
        <w:rPr>
          <w:rFonts w:ascii="Arial" w:eastAsia="Times New Roman" w:hAnsi="Arial" w:cs="Arial"/>
          <w:color w:val="000000" w:themeColor="text1"/>
          <w:sz w:val="20"/>
          <w:szCs w:val="20"/>
        </w:rPr>
        <w:t>,</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Kenya. </w:t>
      </w:r>
      <w:r w:rsidRPr="001357D8">
        <w:rPr>
          <w:rFonts w:ascii="Arial" w:eastAsia="Times New Roman" w:hAnsi="Arial" w:cs="Arial"/>
          <w:i/>
          <w:iCs/>
          <w:color w:val="000000" w:themeColor="text1"/>
          <w:sz w:val="20"/>
          <w:szCs w:val="20"/>
        </w:rPr>
        <w:t>African Journal of Educational Research, 11</w:t>
      </w:r>
      <w:r w:rsidRPr="001357D8">
        <w:rPr>
          <w:rFonts w:ascii="Arial" w:eastAsia="Times New Roman" w:hAnsi="Arial" w:cs="Arial"/>
          <w:color w:val="000000" w:themeColor="text1"/>
          <w:sz w:val="20"/>
          <w:szCs w:val="20"/>
        </w:rPr>
        <w:t>(2), 33–50.</w:t>
      </w:r>
    </w:p>
    <w:p w14:paraId="1C40B3A8"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Ministry of Education, Kenya. (2023). </w:t>
      </w:r>
      <w:r w:rsidRPr="001357D8">
        <w:rPr>
          <w:rFonts w:ascii="Arial" w:eastAsia="Times New Roman" w:hAnsi="Arial" w:cs="Arial"/>
          <w:i/>
          <w:iCs/>
          <w:color w:val="000000" w:themeColor="text1"/>
          <w:sz w:val="20"/>
          <w:szCs w:val="20"/>
        </w:rPr>
        <w:t>Education sector report 2023: Access, equity and quality in the CBC era</w:t>
      </w:r>
      <w:r w:rsidRPr="001357D8">
        <w:rPr>
          <w:rFonts w:ascii="Arial" w:eastAsia="Times New Roman" w:hAnsi="Arial" w:cs="Arial"/>
          <w:color w:val="000000" w:themeColor="text1"/>
          <w:sz w:val="20"/>
          <w:szCs w:val="20"/>
        </w:rPr>
        <w:t>. Government of Kenya.</w:t>
      </w:r>
    </w:p>
    <w:p w14:paraId="7938FD15"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Mutua, J., &amp; Waweru, P. (2023). Teachers' competence and its</w:t>
      </w:r>
      <w:r w:rsidR="00AA41D3" w:rsidRPr="001357D8">
        <w:rPr>
          <w:rFonts w:ascii="Arial" w:eastAsia="Times New Roman" w:hAnsi="Arial" w:cs="Arial"/>
          <w:color w:val="000000" w:themeColor="text1"/>
          <w:sz w:val="20"/>
          <w:szCs w:val="20"/>
        </w:rPr>
        <w:t xml:space="preserve"> influence on effective</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implementation of the Competency-Based Curricul</w:t>
      </w:r>
      <w:r w:rsidR="00AA41D3" w:rsidRPr="001357D8">
        <w:rPr>
          <w:rFonts w:ascii="Arial" w:eastAsia="Times New Roman" w:hAnsi="Arial" w:cs="Arial"/>
          <w:color w:val="000000" w:themeColor="text1"/>
          <w:sz w:val="20"/>
          <w:szCs w:val="20"/>
        </w:rPr>
        <w:t>um in public primary schools in</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Machakos County, Kenya. </w:t>
      </w:r>
      <w:r w:rsidRPr="001357D8">
        <w:rPr>
          <w:rFonts w:ascii="Arial" w:eastAsia="Times New Roman" w:hAnsi="Arial" w:cs="Arial"/>
          <w:i/>
          <w:iCs/>
          <w:color w:val="000000" w:themeColor="text1"/>
          <w:sz w:val="20"/>
          <w:szCs w:val="20"/>
        </w:rPr>
        <w:t>International Journal of Educational Research, 11</w:t>
      </w:r>
      <w:r w:rsidRPr="001357D8">
        <w:rPr>
          <w:rFonts w:ascii="Arial" w:eastAsia="Times New Roman" w:hAnsi="Arial" w:cs="Arial"/>
          <w:color w:val="000000" w:themeColor="text1"/>
          <w:sz w:val="20"/>
          <w:szCs w:val="20"/>
        </w:rPr>
        <w:t>(2), 44–60.</w:t>
      </w:r>
    </w:p>
    <w:p w14:paraId="1A5212A8"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lastRenderedPageBreak/>
        <w:t>Ndiga</w:t>
      </w:r>
      <w:proofErr w:type="spellEnd"/>
      <w:r w:rsidRPr="001357D8">
        <w:rPr>
          <w:rFonts w:ascii="Arial" w:eastAsia="Times New Roman" w:hAnsi="Arial" w:cs="Arial"/>
          <w:color w:val="000000" w:themeColor="text1"/>
          <w:sz w:val="20"/>
          <w:szCs w:val="20"/>
        </w:rPr>
        <w:t>, B. (2021). Instructional leadership and curriculum delivery i</w:t>
      </w:r>
      <w:r w:rsidR="00AA41D3" w:rsidRPr="001357D8">
        <w:rPr>
          <w:rFonts w:ascii="Arial" w:eastAsia="Times New Roman" w:hAnsi="Arial" w:cs="Arial"/>
          <w:color w:val="000000" w:themeColor="text1"/>
          <w:sz w:val="20"/>
          <w:szCs w:val="20"/>
        </w:rPr>
        <w:t>n Kenya's CBC schools.</w:t>
      </w:r>
      <w:r w:rsidR="00AA41D3" w:rsidRPr="001357D8">
        <w:rPr>
          <w:rFonts w:ascii="Arial" w:eastAsia="Times New Roman" w:hAnsi="Arial" w:cs="Arial"/>
          <w:color w:val="000000" w:themeColor="text1"/>
          <w:sz w:val="20"/>
          <w:szCs w:val="20"/>
        </w:rPr>
        <w:tab/>
      </w:r>
      <w:r w:rsidRPr="001357D8">
        <w:rPr>
          <w:rFonts w:ascii="Arial" w:eastAsia="Times New Roman" w:hAnsi="Arial" w:cs="Arial"/>
          <w:i/>
          <w:iCs/>
          <w:color w:val="000000" w:themeColor="text1"/>
          <w:sz w:val="20"/>
          <w:szCs w:val="20"/>
        </w:rPr>
        <w:t>Journal of School Leadership, 9</w:t>
      </w:r>
      <w:r w:rsidRPr="001357D8">
        <w:rPr>
          <w:rFonts w:ascii="Arial" w:eastAsia="Times New Roman" w:hAnsi="Arial" w:cs="Arial"/>
          <w:color w:val="000000" w:themeColor="text1"/>
          <w:sz w:val="20"/>
          <w:szCs w:val="20"/>
        </w:rPr>
        <w:t>(2), 33–47.</w:t>
      </w:r>
    </w:p>
    <w:p w14:paraId="59A26C9B"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Ngunjiri, P., &amp; Ng'ang'a, S. (2021). CBC-related professional </w:t>
      </w:r>
      <w:r w:rsidR="00AA41D3" w:rsidRPr="001357D8">
        <w:rPr>
          <w:rFonts w:ascii="Arial" w:eastAsia="Times New Roman" w:hAnsi="Arial" w:cs="Arial"/>
          <w:color w:val="000000" w:themeColor="text1"/>
          <w:sz w:val="20"/>
          <w:szCs w:val="20"/>
        </w:rPr>
        <w:t>development in Kenya: Episodic,</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superficial, and contextually misaligned. </w:t>
      </w:r>
      <w:r w:rsidRPr="001357D8">
        <w:rPr>
          <w:rFonts w:ascii="Arial" w:eastAsia="Times New Roman" w:hAnsi="Arial" w:cs="Arial"/>
          <w:i/>
          <w:iCs/>
          <w:color w:val="000000" w:themeColor="text1"/>
          <w:sz w:val="20"/>
          <w:szCs w:val="20"/>
        </w:rPr>
        <w:t>Kenya Journal of Education Policy, 6</w:t>
      </w:r>
      <w:r w:rsidRPr="001357D8">
        <w:rPr>
          <w:rFonts w:ascii="Arial" w:eastAsia="Times New Roman" w:hAnsi="Arial" w:cs="Arial"/>
          <w:color w:val="000000" w:themeColor="text1"/>
          <w:sz w:val="20"/>
          <w:szCs w:val="20"/>
        </w:rPr>
        <w:t>(2), 33–48.</w:t>
      </w:r>
    </w:p>
    <w:p w14:paraId="472D4B47"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Organisation for Economic Co-operation and Development (OECD). (2018). </w:t>
      </w:r>
      <w:r w:rsidR="00AA41D3" w:rsidRPr="001357D8">
        <w:rPr>
          <w:rFonts w:ascii="Arial" w:eastAsia="Times New Roman" w:hAnsi="Arial" w:cs="Arial"/>
          <w:i/>
          <w:iCs/>
          <w:color w:val="000000" w:themeColor="text1"/>
          <w:sz w:val="20"/>
          <w:szCs w:val="20"/>
        </w:rPr>
        <w:t>The future of</w:t>
      </w:r>
      <w:r w:rsidR="00AA41D3"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education and skills: Education 2030</w:t>
      </w:r>
      <w:r w:rsidR="00AA41D3" w:rsidRPr="001357D8">
        <w:rPr>
          <w:rFonts w:ascii="Arial" w:eastAsia="Times New Roman" w:hAnsi="Arial" w:cs="Arial"/>
          <w:color w:val="000000" w:themeColor="text1"/>
          <w:sz w:val="20"/>
          <w:szCs w:val="20"/>
        </w:rPr>
        <w:t>. OECD Publishing.</w:t>
      </w:r>
      <w:r w:rsidR="00AA41D3" w:rsidRPr="001357D8">
        <w:rPr>
          <w:rFonts w:ascii="Arial" w:eastAsia="Times New Roman" w:hAnsi="Arial" w:cs="Arial"/>
          <w:color w:val="000000" w:themeColor="text1"/>
          <w:sz w:val="20"/>
          <w:szCs w:val="20"/>
        </w:rPr>
        <w:tab/>
      </w:r>
      <w:hyperlink r:id="rId8" w:history="1">
        <w:r w:rsidRPr="001357D8">
          <w:rPr>
            <w:rFonts w:ascii="Arial" w:eastAsia="Times New Roman" w:hAnsi="Arial" w:cs="Arial"/>
            <w:color w:val="000000" w:themeColor="text1"/>
            <w:sz w:val="20"/>
            <w:szCs w:val="20"/>
          </w:rPr>
          <w:t>https://doi.org/10.1787/9789264307780-en</w:t>
        </w:r>
      </w:hyperlink>
    </w:p>
    <w:p w14:paraId="2FADBBE2"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Robinson, V. M. J., Lloyd, C. A., &amp; Rowe, K. J. (2008). The </w:t>
      </w:r>
      <w:r w:rsidR="00AA41D3" w:rsidRPr="001357D8">
        <w:rPr>
          <w:rFonts w:ascii="Arial" w:eastAsia="Times New Roman" w:hAnsi="Arial" w:cs="Arial"/>
          <w:color w:val="000000" w:themeColor="text1"/>
          <w:sz w:val="20"/>
          <w:szCs w:val="20"/>
        </w:rPr>
        <w:t>impact of leadership on student</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outcomes: An analysis of the differential effects of leadership types. </w:t>
      </w:r>
      <w:r w:rsidR="00AA41D3" w:rsidRPr="001357D8">
        <w:rPr>
          <w:rFonts w:ascii="Arial" w:eastAsia="Times New Roman" w:hAnsi="Arial" w:cs="Arial"/>
          <w:i/>
          <w:iCs/>
          <w:color w:val="000000" w:themeColor="text1"/>
          <w:sz w:val="20"/>
          <w:szCs w:val="20"/>
        </w:rPr>
        <w:t>Educational</w:t>
      </w:r>
      <w:r w:rsidR="00AA41D3"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Administration Quarterly, 44</w:t>
      </w:r>
      <w:r w:rsidRPr="001357D8">
        <w:rPr>
          <w:rFonts w:ascii="Arial" w:eastAsia="Times New Roman" w:hAnsi="Arial" w:cs="Arial"/>
          <w:color w:val="000000" w:themeColor="text1"/>
          <w:sz w:val="20"/>
          <w:szCs w:val="20"/>
        </w:rPr>
        <w:t>(5), 635–674. https://doi.org/10.1177/0013161X08321509</w:t>
      </w:r>
    </w:p>
    <w:p w14:paraId="370DA5D1"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Ronguno, A. S. (2025). Constraints in the implementation of</w:t>
      </w:r>
      <w:r w:rsidR="00AA41D3" w:rsidRPr="001357D8">
        <w:rPr>
          <w:rFonts w:ascii="Arial" w:eastAsia="Times New Roman" w:hAnsi="Arial" w:cs="Arial"/>
          <w:color w:val="000000" w:themeColor="text1"/>
          <w:sz w:val="20"/>
          <w:szCs w:val="20"/>
        </w:rPr>
        <w:t xml:space="preserve"> competency-based curriculum in</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public primary schools in Kenya: A case study of </w:t>
      </w:r>
      <w:proofErr w:type="spellStart"/>
      <w:r w:rsidRPr="001357D8">
        <w:rPr>
          <w:rFonts w:ascii="Arial" w:eastAsia="Times New Roman" w:hAnsi="Arial" w:cs="Arial"/>
          <w:color w:val="000000" w:themeColor="text1"/>
          <w:sz w:val="20"/>
          <w:szCs w:val="20"/>
        </w:rPr>
        <w:t>Chesumei</w:t>
      </w:r>
      <w:proofErr w:type="spellEnd"/>
      <w:r w:rsidRPr="001357D8">
        <w:rPr>
          <w:rFonts w:ascii="Arial" w:eastAsia="Times New Roman" w:hAnsi="Arial" w:cs="Arial"/>
          <w:color w:val="000000" w:themeColor="text1"/>
          <w:sz w:val="20"/>
          <w:szCs w:val="20"/>
        </w:rPr>
        <w:t xml:space="preserve"> Sub-County. </w:t>
      </w:r>
      <w:r w:rsidR="00AA41D3" w:rsidRPr="001357D8">
        <w:rPr>
          <w:rFonts w:ascii="Arial" w:eastAsia="Times New Roman" w:hAnsi="Arial" w:cs="Arial"/>
          <w:i/>
          <w:iCs/>
          <w:color w:val="000000" w:themeColor="text1"/>
          <w:sz w:val="20"/>
          <w:szCs w:val="20"/>
        </w:rPr>
        <w:t>British Journal</w:t>
      </w:r>
      <w:r w:rsidR="00AA41D3"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of Education, 13</w:t>
      </w:r>
      <w:r w:rsidRPr="001357D8">
        <w:rPr>
          <w:rFonts w:ascii="Arial" w:eastAsia="Times New Roman" w:hAnsi="Arial" w:cs="Arial"/>
          <w:color w:val="000000" w:themeColor="text1"/>
          <w:sz w:val="20"/>
          <w:szCs w:val="20"/>
        </w:rPr>
        <w:t>(1), 50–64. https://doi.org/10.37745/bje.2013</w:t>
      </w:r>
    </w:p>
    <w:p w14:paraId="219F1F2A"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Saunders, M., Lewis, P., &amp; Thornhill, A. (2023). </w:t>
      </w:r>
      <w:r w:rsidRPr="001357D8">
        <w:rPr>
          <w:rFonts w:ascii="Arial" w:eastAsia="Times New Roman" w:hAnsi="Arial" w:cs="Arial"/>
          <w:i/>
          <w:iCs/>
          <w:color w:val="000000" w:themeColor="text1"/>
          <w:sz w:val="20"/>
          <w:szCs w:val="20"/>
        </w:rPr>
        <w:t>Research methods for business students</w:t>
      </w:r>
      <w:r w:rsidR="00AA41D3" w:rsidRPr="001357D8">
        <w:rPr>
          <w:rFonts w:ascii="Arial" w:eastAsia="Times New Roman" w:hAnsi="Arial" w:cs="Arial"/>
          <w:color w:val="000000" w:themeColor="text1"/>
          <w:sz w:val="20"/>
          <w:szCs w:val="20"/>
        </w:rPr>
        <w:t xml:space="preserve"> (9</w:t>
      </w:r>
      <w:r w:rsidR="00AA41D3" w:rsidRPr="001357D8">
        <w:rPr>
          <w:rFonts w:ascii="Arial" w:eastAsia="Times New Roman" w:hAnsi="Arial" w:cs="Arial"/>
          <w:color w:val="000000" w:themeColor="text1"/>
          <w:sz w:val="20"/>
          <w:szCs w:val="20"/>
          <w:vertAlign w:val="superscript"/>
        </w:rPr>
        <w:t>th</w:t>
      </w:r>
      <w:r w:rsidR="004B65C0" w:rsidRPr="001357D8">
        <w:rPr>
          <w:rFonts w:ascii="Arial" w:eastAsia="Times New Roman" w:hAnsi="Arial" w:cs="Arial"/>
          <w:color w:val="000000" w:themeColor="text1"/>
          <w:sz w:val="20"/>
          <w:szCs w:val="20"/>
        </w:rPr>
        <w:t xml:space="preserve"> </w:t>
      </w:r>
      <w:r w:rsidR="00AA41D3" w:rsidRPr="001357D8">
        <w:rPr>
          <w:rFonts w:ascii="Arial" w:eastAsia="Times New Roman" w:hAnsi="Arial" w:cs="Arial"/>
          <w:color w:val="000000" w:themeColor="text1"/>
          <w:sz w:val="20"/>
          <w:szCs w:val="20"/>
        </w:rPr>
        <w:t>ed.).</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Pearson Education. https://doi.org/10.1017/9781108867498</w:t>
      </w:r>
    </w:p>
    <w:p w14:paraId="707B58BC"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Situma, G. M., Macheso, E. M., &amp; Njogu, P. (2024). Utilization</w:t>
      </w:r>
      <w:r w:rsidR="00AA41D3" w:rsidRPr="001357D8">
        <w:rPr>
          <w:rFonts w:ascii="Arial" w:eastAsia="Times New Roman" w:hAnsi="Arial" w:cs="Arial"/>
          <w:color w:val="000000" w:themeColor="text1"/>
          <w:sz w:val="20"/>
          <w:szCs w:val="20"/>
        </w:rPr>
        <w:t xml:space="preserve"> of competency-based assessment</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tools and types in the implementation of the compet</w:t>
      </w:r>
      <w:r w:rsidR="00AA41D3" w:rsidRPr="001357D8">
        <w:rPr>
          <w:rFonts w:ascii="Arial" w:eastAsia="Times New Roman" w:hAnsi="Arial" w:cs="Arial"/>
          <w:color w:val="000000" w:themeColor="text1"/>
          <w:sz w:val="20"/>
          <w:szCs w:val="20"/>
        </w:rPr>
        <w:t>ency-based assessment in Kenya.</w:t>
      </w:r>
      <w:r w:rsidR="00AA41D3" w:rsidRPr="001357D8">
        <w:rPr>
          <w:rFonts w:ascii="Arial" w:eastAsia="Times New Roman" w:hAnsi="Arial" w:cs="Arial"/>
          <w:color w:val="000000" w:themeColor="text1"/>
          <w:sz w:val="20"/>
          <w:szCs w:val="20"/>
        </w:rPr>
        <w:tab/>
      </w:r>
      <w:r w:rsidRPr="001357D8">
        <w:rPr>
          <w:rFonts w:ascii="Arial" w:eastAsia="Times New Roman" w:hAnsi="Arial" w:cs="Arial"/>
          <w:i/>
          <w:iCs/>
          <w:color w:val="000000" w:themeColor="text1"/>
          <w:sz w:val="20"/>
          <w:szCs w:val="20"/>
        </w:rPr>
        <w:t>International Journal of Research and Innovation in Social Science, 8</w:t>
      </w:r>
      <w:r w:rsidR="00AA41D3" w:rsidRPr="001357D8">
        <w:rPr>
          <w:rFonts w:ascii="Arial" w:eastAsia="Times New Roman" w:hAnsi="Arial" w:cs="Arial"/>
          <w:color w:val="000000" w:themeColor="text1"/>
          <w:sz w:val="20"/>
          <w:szCs w:val="20"/>
        </w:rPr>
        <w:t>(3), 1450–1459.</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https://doi.org/10.47772/IJRISS.2024.803107</w:t>
      </w:r>
    </w:p>
    <w:p w14:paraId="47081344"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Teachers Service Commission (TSC). (2022). </w:t>
      </w:r>
      <w:r w:rsidRPr="001357D8">
        <w:rPr>
          <w:rFonts w:ascii="Arial" w:eastAsia="Times New Roman" w:hAnsi="Arial" w:cs="Arial"/>
          <w:i/>
          <w:iCs/>
          <w:color w:val="000000" w:themeColor="text1"/>
          <w:sz w:val="20"/>
          <w:szCs w:val="20"/>
        </w:rPr>
        <w:t>Annual staffing</w:t>
      </w:r>
      <w:r w:rsidR="00AA41D3" w:rsidRPr="001357D8">
        <w:rPr>
          <w:rFonts w:ascii="Arial" w:eastAsia="Times New Roman" w:hAnsi="Arial" w:cs="Arial"/>
          <w:i/>
          <w:iCs/>
          <w:color w:val="000000" w:themeColor="text1"/>
          <w:sz w:val="20"/>
          <w:szCs w:val="20"/>
        </w:rPr>
        <w:t xml:space="preserve"> report: Teacher deployment and</w:t>
      </w:r>
      <w:r w:rsidR="00AA41D3"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pupil-teacher ratios</w:t>
      </w:r>
      <w:r w:rsidRPr="001357D8">
        <w:rPr>
          <w:rFonts w:ascii="Arial" w:eastAsia="Times New Roman" w:hAnsi="Arial" w:cs="Arial"/>
          <w:color w:val="000000" w:themeColor="text1"/>
          <w:sz w:val="20"/>
          <w:szCs w:val="20"/>
        </w:rPr>
        <w:t>. TSC. https://www.tsc.go.ke/annual-reports/</w:t>
      </w:r>
    </w:p>
    <w:p w14:paraId="1BD7F1FF"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UNICEF Kenya. (2022). </w:t>
      </w:r>
      <w:r w:rsidRPr="001357D8">
        <w:rPr>
          <w:rFonts w:ascii="Arial" w:eastAsia="Times New Roman" w:hAnsi="Arial" w:cs="Arial"/>
          <w:i/>
          <w:iCs/>
          <w:color w:val="000000" w:themeColor="text1"/>
          <w:sz w:val="20"/>
          <w:szCs w:val="20"/>
        </w:rPr>
        <w:t>Infrastructure and learning conditions in Kenya's arid regions</w:t>
      </w:r>
      <w:r w:rsidR="00AA41D3" w:rsidRPr="001357D8">
        <w:rPr>
          <w:rFonts w:ascii="Arial" w:eastAsia="Times New Roman" w:hAnsi="Arial" w:cs="Arial"/>
          <w:color w:val="000000" w:themeColor="text1"/>
          <w:sz w:val="20"/>
          <w:szCs w:val="20"/>
        </w:rPr>
        <w:t>. UNICEF.</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https://www.unicef.org/kenya/reports</w:t>
      </w:r>
    </w:p>
    <w:p w14:paraId="466B7264"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proofErr w:type="spellStart"/>
      <w:r w:rsidRPr="001357D8">
        <w:rPr>
          <w:rFonts w:ascii="Arial" w:eastAsia="Times New Roman" w:hAnsi="Arial" w:cs="Arial"/>
          <w:color w:val="000000" w:themeColor="text1"/>
          <w:sz w:val="20"/>
          <w:szCs w:val="20"/>
        </w:rPr>
        <w:t>Wairungu</w:t>
      </w:r>
      <w:proofErr w:type="spellEnd"/>
      <w:r w:rsidRPr="001357D8">
        <w:rPr>
          <w:rFonts w:ascii="Arial" w:eastAsia="Times New Roman" w:hAnsi="Arial" w:cs="Arial"/>
          <w:color w:val="000000" w:themeColor="text1"/>
          <w:sz w:val="20"/>
          <w:szCs w:val="20"/>
        </w:rPr>
        <w:t xml:space="preserve">, B. M., &amp; </w:t>
      </w:r>
      <w:proofErr w:type="spellStart"/>
      <w:r w:rsidRPr="001357D8">
        <w:rPr>
          <w:rFonts w:ascii="Arial" w:eastAsia="Times New Roman" w:hAnsi="Arial" w:cs="Arial"/>
          <w:color w:val="000000" w:themeColor="text1"/>
          <w:sz w:val="20"/>
          <w:szCs w:val="20"/>
        </w:rPr>
        <w:t>Magoma</w:t>
      </w:r>
      <w:proofErr w:type="spellEnd"/>
      <w:r w:rsidRPr="001357D8">
        <w:rPr>
          <w:rFonts w:ascii="Arial" w:eastAsia="Times New Roman" w:hAnsi="Arial" w:cs="Arial"/>
          <w:color w:val="000000" w:themeColor="text1"/>
          <w:sz w:val="20"/>
          <w:szCs w:val="20"/>
        </w:rPr>
        <w:t>, C. M. (2024). Teachers' perceptio</w:t>
      </w:r>
      <w:r w:rsidR="00AA41D3" w:rsidRPr="001357D8">
        <w:rPr>
          <w:rFonts w:ascii="Arial" w:eastAsia="Times New Roman" w:hAnsi="Arial" w:cs="Arial"/>
          <w:color w:val="000000" w:themeColor="text1"/>
          <w:sz w:val="20"/>
          <w:szCs w:val="20"/>
        </w:rPr>
        <w:t>ns of head teachers' support in</w:t>
      </w:r>
      <w:r w:rsidR="00AA41D3" w:rsidRPr="001357D8">
        <w:rPr>
          <w:rFonts w:ascii="Arial" w:eastAsia="Times New Roman" w:hAnsi="Arial" w:cs="Arial"/>
          <w:color w:val="000000" w:themeColor="text1"/>
          <w:sz w:val="20"/>
          <w:szCs w:val="20"/>
        </w:rPr>
        <w:tab/>
      </w:r>
      <w:r w:rsidRPr="001357D8">
        <w:rPr>
          <w:rFonts w:ascii="Arial" w:eastAsia="Times New Roman" w:hAnsi="Arial" w:cs="Arial"/>
          <w:color w:val="000000" w:themeColor="text1"/>
          <w:sz w:val="20"/>
          <w:szCs w:val="20"/>
        </w:rPr>
        <w:t xml:space="preserve">implementing CBC in public primary schools in Kenya. </w:t>
      </w:r>
      <w:r w:rsidRPr="001357D8">
        <w:rPr>
          <w:rFonts w:ascii="Arial" w:eastAsia="Times New Roman" w:hAnsi="Arial" w:cs="Arial"/>
          <w:i/>
          <w:iCs/>
          <w:color w:val="000000" w:themeColor="text1"/>
          <w:sz w:val="20"/>
          <w:szCs w:val="20"/>
        </w:rPr>
        <w:t>Af</w:t>
      </w:r>
      <w:r w:rsidR="00AA41D3" w:rsidRPr="001357D8">
        <w:rPr>
          <w:rFonts w:ascii="Arial" w:eastAsia="Times New Roman" w:hAnsi="Arial" w:cs="Arial"/>
          <w:i/>
          <w:iCs/>
          <w:color w:val="000000" w:themeColor="text1"/>
          <w:sz w:val="20"/>
          <w:szCs w:val="20"/>
        </w:rPr>
        <w:t>rican Multidisciplinary Journal</w:t>
      </w:r>
      <w:r w:rsidR="00AA41D3" w:rsidRPr="001357D8">
        <w:rPr>
          <w:rFonts w:ascii="Arial" w:eastAsia="Times New Roman" w:hAnsi="Arial" w:cs="Arial"/>
          <w:i/>
          <w:iCs/>
          <w:color w:val="000000" w:themeColor="text1"/>
          <w:sz w:val="20"/>
          <w:szCs w:val="20"/>
        </w:rPr>
        <w:tab/>
      </w:r>
      <w:r w:rsidRPr="001357D8">
        <w:rPr>
          <w:rFonts w:ascii="Arial" w:eastAsia="Times New Roman" w:hAnsi="Arial" w:cs="Arial"/>
          <w:i/>
          <w:iCs/>
          <w:color w:val="000000" w:themeColor="text1"/>
          <w:sz w:val="20"/>
          <w:szCs w:val="20"/>
        </w:rPr>
        <w:t>of Research, 9</w:t>
      </w:r>
      <w:r w:rsidRPr="001357D8">
        <w:rPr>
          <w:rFonts w:ascii="Arial" w:eastAsia="Times New Roman" w:hAnsi="Arial" w:cs="Arial"/>
          <w:color w:val="000000" w:themeColor="text1"/>
          <w:sz w:val="20"/>
          <w:szCs w:val="20"/>
        </w:rPr>
        <w:t>(1), 55–67.</w:t>
      </w:r>
    </w:p>
    <w:p w14:paraId="23104D5B" w14:textId="77777777" w:rsidR="006D2819" w:rsidRPr="001357D8" w:rsidRDefault="006D2819" w:rsidP="00AA41D3">
      <w:pPr>
        <w:spacing w:after="0" w:line="240" w:lineRule="auto"/>
        <w:jc w:val="both"/>
        <w:rPr>
          <w:rFonts w:ascii="Arial" w:eastAsia="Times New Roman" w:hAnsi="Arial" w:cs="Arial"/>
          <w:color w:val="000000" w:themeColor="text1"/>
          <w:sz w:val="20"/>
          <w:szCs w:val="20"/>
        </w:rPr>
      </w:pPr>
      <w:r w:rsidRPr="001357D8">
        <w:rPr>
          <w:rFonts w:ascii="Arial" w:eastAsia="Times New Roman" w:hAnsi="Arial" w:cs="Arial"/>
          <w:color w:val="000000" w:themeColor="text1"/>
          <w:sz w:val="20"/>
          <w:szCs w:val="20"/>
        </w:rPr>
        <w:t xml:space="preserve">Yamane, T. (1967). </w:t>
      </w:r>
      <w:r w:rsidRPr="001357D8">
        <w:rPr>
          <w:rFonts w:ascii="Arial" w:eastAsia="Times New Roman" w:hAnsi="Arial" w:cs="Arial"/>
          <w:i/>
          <w:iCs/>
          <w:color w:val="000000" w:themeColor="text1"/>
          <w:sz w:val="20"/>
          <w:szCs w:val="20"/>
        </w:rPr>
        <w:t>Statistics: An introductory analysis</w:t>
      </w:r>
      <w:r w:rsidRPr="001357D8">
        <w:rPr>
          <w:rFonts w:ascii="Arial" w:eastAsia="Times New Roman" w:hAnsi="Arial" w:cs="Arial"/>
          <w:color w:val="000000" w:themeColor="text1"/>
          <w:sz w:val="20"/>
          <w:szCs w:val="20"/>
        </w:rPr>
        <w:t xml:space="preserve"> (2</w:t>
      </w:r>
      <w:r w:rsidRPr="001357D8">
        <w:rPr>
          <w:rFonts w:ascii="Arial" w:eastAsia="Times New Roman" w:hAnsi="Arial" w:cs="Arial"/>
          <w:color w:val="000000" w:themeColor="text1"/>
          <w:sz w:val="20"/>
          <w:szCs w:val="20"/>
          <w:vertAlign w:val="superscript"/>
        </w:rPr>
        <w:t>nd</w:t>
      </w:r>
      <w:r w:rsidR="004B65C0" w:rsidRPr="001357D8">
        <w:rPr>
          <w:rFonts w:ascii="Arial" w:eastAsia="Times New Roman" w:hAnsi="Arial" w:cs="Arial"/>
          <w:color w:val="000000" w:themeColor="text1"/>
          <w:sz w:val="20"/>
          <w:szCs w:val="20"/>
        </w:rPr>
        <w:t xml:space="preserve"> </w:t>
      </w:r>
      <w:r w:rsidRPr="001357D8">
        <w:rPr>
          <w:rFonts w:ascii="Arial" w:eastAsia="Times New Roman" w:hAnsi="Arial" w:cs="Arial"/>
          <w:color w:val="000000" w:themeColor="text1"/>
          <w:sz w:val="20"/>
          <w:szCs w:val="20"/>
        </w:rPr>
        <w:t>ed.). Harper and Row.</w:t>
      </w:r>
    </w:p>
    <w:p w14:paraId="43746C88" w14:textId="77777777" w:rsidR="006D2819" w:rsidRPr="001357D8" w:rsidRDefault="006D2819" w:rsidP="000C4E8B">
      <w:pPr>
        <w:rPr>
          <w:rFonts w:ascii="Arial" w:hAnsi="Arial" w:cs="Arial"/>
          <w:color w:val="000000" w:themeColor="text1"/>
          <w:sz w:val="20"/>
          <w:szCs w:val="20"/>
        </w:rPr>
      </w:pPr>
    </w:p>
    <w:p w14:paraId="64747A64" w14:textId="77777777" w:rsidR="006D2819" w:rsidRPr="001357D8" w:rsidRDefault="006D2819" w:rsidP="000C4E8B">
      <w:pPr>
        <w:rPr>
          <w:rFonts w:ascii="Arial" w:hAnsi="Arial" w:cs="Arial"/>
          <w:color w:val="000000" w:themeColor="text1"/>
          <w:sz w:val="20"/>
          <w:szCs w:val="20"/>
        </w:rPr>
      </w:pPr>
    </w:p>
    <w:p w14:paraId="63883820" w14:textId="77777777" w:rsidR="006D2819" w:rsidRPr="001357D8" w:rsidRDefault="006D2819" w:rsidP="000C4E8B">
      <w:pPr>
        <w:rPr>
          <w:rFonts w:ascii="Arial" w:hAnsi="Arial" w:cs="Arial"/>
          <w:color w:val="000000" w:themeColor="text1"/>
          <w:sz w:val="20"/>
          <w:szCs w:val="20"/>
        </w:rPr>
      </w:pPr>
    </w:p>
    <w:sectPr w:rsidR="006D2819" w:rsidRPr="001357D8" w:rsidSect="00314A51">
      <w:headerReference w:type="even" r:id="rId9"/>
      <w:headerReference w:type="default" r:id="rId10"/>
      <w:footerReference w:type="even" r:id="rId11"/>
      <w:footerReference w:type="default" r:id="rId12"/>
      <w:headerReference w:type="first" r:id="rId13"/>
      <w:footerReference w:type="first" r:id="rId14"/>
      <w:pgSz w:w="12240" w:h="15840"/>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00734" w14:textId="77777777" w:rsidR="00DD0CAF" w:rsidRDefault="00DD0CAF">
      <w:pPr>
        <w:spacing w:after="0" w:line="240" w:lineRule="auto"/>
      </w:pPr>
      <w:r>
        <w:separator/>
      </w:r>
    </w:p>
  </w:endnote>
  <w:endnote w:type="continuationSeparator" w:id="0">
    <w:p w14:paraId="6B59248B" w14:textId="77777777" w:rsidR="00DD0CAF" w:rsidRDefault="00DD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6683" w14:textId="77777777" w:rsidR="009B0400" w:rsidRDefault="009B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14A2" w14:textId="77777777" w:rsidR="00FF7A8E" w:rsidRDefault="003F7D59">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sidR="00FF7A8E">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47742">
      <w:rPr>
        <w:rFonts w:ascii="Times New Roman" w:hAnsi="Times New Roman" w:cs="Times New Roman"/>
        <w:noProof/>
        <w:sz w:val="24"/>
        <w:szCs w:val="24"/>
      </w:rPr>
      <w:t>14</w:t>
    </w:r>
    <w:r>
      <w:rPr>
        <w:rFonts w:ascii="Times New Roman" w:hAnsi="Times New Roman" w:cs="Times New Roman"/>
        <w:sz w:val="24"/>
        <w:szCs w:val="24"/>
      </w:rPr>
      <w:fldChar w:fldCharType="end"/>
    </w:r>
  </w:p>
  <w:p w14:paraId="030D4F0A" w14:textId="77777777" w:rsidR="00FF7A8E" w:rsidRDefault="00FF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A5E5" w14:textId="77777777" w:rsidR="009B0400" w:rsidRDefault="009B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96006" w14:textId="77777777" w:rsidR="00DD0CAF" w:rsidRDefault="00DD0CAF">
      <w:pPr>
        <w:spacing w:after="0" w:line="240" w:lineRule="auto"/>
      </w:pPr>
      <w:r>
        <w:separator/>
      </w:r>
    </w:p>
  </w:footnote>
  <w:footnote w:type="continuationSeparator" w:id="0">
    <w:p w14:paraId="3B195961" w14:textId="77777777" w:rsidR="00DD0CAF" w:rsidRDefault="00DD0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9FFF" w14:textId="50019DA4" w:rsidR="009B0400" w:rsidRDefault="00DD0CAF">
    <w:pPr>
      <w:pStyle w:val="Header"/>
    </w:pPr>
    <w:r>
      <w:rPr>
        <w:noProof/>
      </w:rPr>
      <w:pict w14:anchorId="4E6D3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8"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DAEA" w14:textId="68152F55" w:rsidR="009B0400" w:rsidRDefault="00DD0CAF">
    <w:pPr>
      <w:pStyle w:val="Header"/>
    </w:pPr>
    <w:r>
      <w:rPr>
        <w:noProof/>
      </w:rPr>
      <w:pict w14:anchorId="70BE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9"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A7D7F" w14:textId="38496B4A" w:rsidR="009B0400" w:rsidRDefault="00DD0CAF">
    <w:pPr>
      <w:pStyle w:val="Header"/>
    </w:pPr>
    <w:r>
      <w:rPr>
        <w:noProof/>
      </w:rPr>
      <w:pict w14:anchorId="14F5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7"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7ACD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1F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C2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1E2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57C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070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3C668238"/>
    <w:lvl w:ilvl="0">
      <w:start w:val="1"/>
      <w:numFmt w:val="decimal"/>
      <w:lvlText w:val="%1."/>
      <w:lvlJc w:val="left"/>
      <w:pPr>
        <w:ind w:left="9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7" w15:restartNumberingAfterBreak="0">
    <w:nsid w:val="00000008"/>
    <w:multiLevelType w:val="hybridMultilevel"/>
    <w:tmpl w:val="3766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889656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821E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ADD08698"/>
    <w:lvl w:ilvl="0">
      <w:start w:val="1"/>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1" w15:restartNumberingAfterBreak="0">
    <w:nsid w:val="0000000C"/>
    <w:multiLevelType w:val="hybridMultilevel"/>
    <w:tmpl w:val="2DB4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AE1E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4CEA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D76C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FCAC0B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0000011"/>
    <w:multiLevelType w:val="multilevel"/>
    <w:tmpl w:val="26BAF658"/>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00000012"/>
    <w:multiLevelType w:val="multilevel"/>
    <w:tmpl w:val="507899B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4FAA90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00000014"/>
    <w:multiLevelType w:val="multilevel"/>
    <w:tmpl w:val="B992AA4A"/>
    <w:lvl w:ilvl="0">
      <w:start w:val="1"/>
      <w:numFmt w:val="decimal"/>
      <w:lvlText w:val="%1.0"/>
      <w:lvlJc w:val="left"/>
      <w:pPr>
        <w:ind w:left="113" w:hanging="293"/>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7020" w:hanging="1440"/>
      </w:pPr>
      <w:rPr>
        <w:rFonts w:hint="default"/>
      </w:rPr>
    </w:lvl>
  </w:abstractNum>
  <w:abstractNum w:abstractNumId="20" w15:restartNumberingAfterBreak="0">
    <w:nsid w:val="00000015"/>
    <w:multiLevelType w:val="hybridMultilevel"/>
    <w:tmpl w:val="3F3AFD74"/>
    <w:lvl w:ilvl="0" w:tplc="ED2C3B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0000016"/>
    <w:multiLevelType w:val="multilevel"/>
    <w:tmpl w:val="81D64D7E"/>
    <w:lvl w:ilvl="0">
      <w:start w:val="4"/>
      <w:numFmt w:val="decimal"/>
      <w:lvlText w:val="%1"/>
      <w:lvlJc w:val="left"/>
      <w:pPr>
        <w:ind w:left="1500" w:hanging="421"/>
      </w:pPr>
      <w:rPr>
        <w:rFonts w:hint="default"/>
        <w:lang w:val="en-US" w:eastAsia="en-US" w:bidi="ar-SA"/>
      </w:rPr>
    </w:lvl>
    <w:lvl w:ilvl="1">
      <w:start w:val="2"/>
      <w:numFmt w:val="decimal"/>
      <w:lvlText w:val="%1.%2."/>
      <w:lvlJc w:val="left"/>
      <w:pPr>
        <w:ind w:left="1500" w:hanging="4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3500" w:hanging="541"/>
      </w:pPr>
      <w:rPr>
        <w:rFonts w:hint="default"/>
        <w:lang w:val="en-US" w:eastAsia="en-US" w:bidi="ar-SA"/>
      </w:rPr>
    </w:lvl>
    <w:lvl w:ilvl="4">
      <w:start w:val="1"/>
      <w:numFmt w:val="bullet"/>
      <w:lvlText w:val="•"/>
      <w:lvlJc w:val="left"/>
      <w:pPr>
        <w:ind w:left="4440" w:hanging="541"/>
      </w:pPr>
      <w:rPr>
        <w:rFonts w:hint="default"/>
        <w:lang w:val="en-US" w:eastAsia="en-US" w:bidi="ar-SA"/>
      </w:rPr>
    </w:lvl>
    <w:lvl w:ilvl="5">
      <w:start w:val="1"/>
      <w:numFmt w:val="bullet"/>
      <w:lvlText w:val="•"/>
      <w:lvlJc w:val="left"/>
      <w:pPr>
        <w:ind w:left="5380" w:hanging="541"/>
      </w:pPr>
      <w:rPr>
        <w:rFonts w:hint="default"/>
        <w:lang w:val="en-US" w:eastAsia="en-US" w:bidi="ar-SA"/>
      </w:rPr>
    </w:lvl>
    <w:lvl w:ilvl="6">
      <w:start w:val="1"/>
      <w:numFmt w:val="bullet"/>
      <w:lvlText w:val="•"/>
      <w:lvlJc w:val="left"/>
      <w:pPr>
        <w:ind w:left="6320" w:hanging="541"/>
      </w:pPr>
      <w:rPr>
        <w:rFonts w:hint="default"/>
        <w:lang w:val="en-US" w:eastAsia="en-US" w:bidi="ar-SA"/>
      </w:rPr>
    </w:lvl>
    <w:lvl w:ilvl="7">
      <w:start w:val="1"/>
      <w:numFmt w:val="bullet"/>
      <w:lvlText w:val="•"/>
      <w:lvlJc w:val="left"/>
      <w:pPr>
        <w:ind w:left="7260" w:hanging="541"/>
      </w:pPr>
      <w:rPr>
        <w:rFonts w:hint="default"/>
        <w:lang w:val="en-US" w:eastAsia="en-US" w:bidi="ar-SA"/>
      </w:rPr>
    </w:lvl>
    <w:lvl w:ilvl="8">
      <w:start w:val="1"/>
      <w:numFmt w:val="bullet"/>
      <w:lvlText w:val="•"/>
      <w:lvlJc w:val="left"/>
      <w:pPr>
        <w:ind w:left="8200" w:hanging="541"/>
      </w:pPr>
      <w:rPr>
        <w:rFonts w:hint="default"/>
        <w:lang w:val="en-US" w:eastAsia="en-US" w:bidi="ar-SA"/>
      </w:rPr>
    </w:lvl>
  </w:abstractNum>
  <w:abstractNum w:abstractNumId="22" w15:restartNumberingAfterBreak="0">
    <w:nsid w:val="00000017"/>
    <w:multiLevelType w:val="multilevel"/>
    <w:tmpl w:val="176CEC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781E81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00000019"/>
    <w:multiLevelType w:val="multilevel"/>
    <w:tmpl w:val="7AEC16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26BAF658"/>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0000001B"/>
    <w:multiLevelType w:val="multilevel"/>
    <w:tmpl w:val="AD3418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hybridMultilevel"/>
    <w:tmpl w:val="D980A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E9FE45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E34A1612"/>
    <w:lvl w:ilvl="0">
      <w:start w:val="1"/>
      <w:numFmt w:val="low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0000001F"/>
    <w:multiLevelType w:val="hybridMultilevel"/>
    <w:tmpl w:val="C84A6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multilevel"/>
    <w:tmpl w:val="D794FFDE"/>
    <w:lvl w:ilvl="0">
      <w:start w:val="1"/>
      <w:numFmt w:val="lowerRoman"/>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00000021"/>
    <w:multiLevelType w:val="multilevel"/>
    <w:tmpl w:val="71A8999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0000022"/>
    <w:multiLevelType w:val="multilevel"/>
    <w:tmpl w:val="6AA2172E"/>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0000023"/>
    <w:multiLevelType w:val="hybridMultilevel"/>
    <w:tmpl w:val="E7683D50"/>
    <w:lvl w:ilvl="0" w:tplc="8D74332C">
      <w:start w:val="1"/>
      <w:numFmt w:val="lowerRoman"/>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7570EDB8"/>
    <w:lvl w:ilvl="0" w:tplc="4936ED9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00000025"/>
    <w:multiLevelType w:val="hybridMultilevel"/>
    <w:tmpl w:val="FF0894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00A44A63"/>
    <w:multiLevelType w:val="hybridMultilevel"/>
    <w:tmpl w:val="2D4E7F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3C66347"/>
    <w:multiLevelType w:val="hybridMultilevel"/>
    <w:tmpl w:val="F2DC7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1EAE354B"/>
    <w:multiLevelType w:val="hybridMultilevel"/>
    <w:tmpl w:val="8E76C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B603136"/>
    <w:multiLevelType w:val="multilevel"/>
    <w:tmpl w:val="3F2E17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9594184"/>
    <w:multiLevelType w:val="hybridMultilevel"/>
    <w:tmpl w:val="C3D688A4"/>
    <w:lvl w:ilvl="0" w:tplc="8D74332C">
      <w:start w:val="1"/>
      <w:numFmt w:val="lowerRoman"/>
      <w:lvlText w:val="%1)"/>
      <w:lvlJc w:val="left"/>
      <w:pPr>
        <w:ind w:left="360" w:hanging="360"/>
      </w:pPr>
      <w:rPr>
        <w:rFonts w:eastAsia="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420616F6"/>
    <w:multiLevelType w:val="multilevel"/>
    <w:tmpl w:val="1038988E"/>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4855ABD"/>
    <w:multiLevelType w:val="multilevel"/>
    <w:tmpl w:val="1DA25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3365BB9"/>
    <w:multiLevelType w:val="hybridMultilevel"/>
    <w:tmpl w:val="A44A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DD78A9"/>
    <w:multiLevelType w:val="hybridMultilevel"/>
    <w:tmpl w:val="BCD834F0"/>
    <w:lvl w:ilvl="0" w:tplc="2CA063C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7D00AC"/>
    <w:multiLevelType w:val="hybridMultilevel"/>
    <w:tmpl w:val="EC44A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8B2E71"/>
    <w:multiLevelType w:val="hybridMultilevel"/>
    <w:tmpl w:val="BC96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64E1B"/>
    <w:multiLevelType w:val="hybridMultilevel"/>
    <w:tmpl w:val="383A7B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7"/>
  </w:num>
  <w:num w:numId="4">
    <w:abstractNumId w:val="0"/>
  </w:num>
  <w:num w:numId="5">
    <w:abstractNumId w:val="2"/>
  </w:num>
  <w:num w:numId="6">
    <w:abstractNumId w:val="1"/>
  </w:num>
  <w:num w:numId="7">
    <w:abstractNumId w:val="44"/>
  </w:num>
  <w:num w:numId="8">
    <w:abstractNumId w:val="23"/>
  </w:num>
  <w:num w:numId="9">
    <w:abstractNumId w:val="36"/>
  </w:num>
  <w:num w:numId="10">
    <w:abstractNumId w:val="9"/>
  </w:num>
  <w:num w:numId="11">
    <w:abstractNumId w:val="3"/>
  </w:num>
  <w:num w:numId="12">
    <w:abstractNumId w:val="7"/>
  </w:num>
  <w:num w:numId="13">
    <w:abstractNumId w:val="5"/>
  </w:num>
  <w:num w:numId="14">
    <w:abstractNumId w:val="14"/>
  </w:num>
  <w:num w:numId="15">
    <w:abstractNumId w:val="11"/>
  </w:num>
  <w:num w:numId="16">
    <w:abstractNumId w:val="4"/>
  </w:num>
  <w:num w:numId="17">
    <w:abstractNumId w:val="13"/>
  </w:num>
  <w:num w:numId="18">
    <w:abstractNumId w:val="12"/>
  </w:num>
  <w:num w:numId="19">
    <w:abstractNumId w:val="6"/>
  </w:num>
  <w:num w:numId="20">
    <w:abstractNumId w:val="10"/>
  </w:num>
  <w:num w:numId="21">
    <w:abstractNumId w:val="8"/>
  </w:num>
  <w:num w:numId="22">
    <w:abstractNumId w:val="16"/>
  </w:num>
  <w:num w:numId="23">
    <w:abstractNumId w:val="18"/>
  </w:num>
  <w:num w:numId="24">
    <w:abstractNumId w:val="21"/>
  </w:num>
  <w:num w:numId="25">
    <w:abstractNumId w:val="25"/>
  </w:num>
  <w:num w:numId="26">
    <w:abstractNumId w:val="27"/>
  </w:num>
  <w:num w:numId="27">
    <w:abstractNumId w:val="30"/>
  </w:num>
  <w:num w:numId="28">
    <w:abstractNumId w:val="20"/>
  </w:num>
  <w:num w:numId="29">
    <w:abstractNumId w:val="29"/>
  </w:num>
  <w:num w:numId="30">
    <w:abstractNumId w:val="31"/>
  </w:num>
  <w:num w:numId="31">
    <w:abstractNumId w:val="34"/>
  </w:num>
  <w:num w:numId="32">
    <w:abstractNumId w:val="32"/>
  </w:num>
  <w:num w:numId="33">
    <w:abstractNumId w:val="33"/>
  </w:num>
  <w:num w:numId="34">
    <w:abstractNumId w:val="24"/>
  </w:num>
  <w:num w:numId="35">
    <w:abstractNumId w:val="28"/>
  </w:num>
  <w:num w:numId="36">
    <w:abstractNumId w:val="22"/>
  </w:num>
  <w:num w:numId="37">
    <w:abstractNumId w:val="26"/>
  </w:num>
  <w:num w:numId="38">
    <w:abstractNumId w:val="35"/>
  </w:num>
  <w:num w:numId="39">
    <w:abstractNumId w:val="40"/>
  </w:num>
  <w:num w:numId="40">
    <w:abstractNumId w:val="42"/>
  </w:num>
  <w:num w:numId="41">
    <w:abstractNumId w:val="46"/>
  </w:num>
  <w:num w:numId="42">
    <w:abstractNumId w:val="48"/>
  </w:num>
  <w:num w:numId="43">
    <w:abstractNumId w:val="37"/>
  </w:num>
  <w:num w:numId="44">
    <w:abstractNumId w:val="45"/>
  </w:num>
  <w:num w:numId="45">
    <w:abstractNumId w:val="41"/>
  </w:num>
  <w:num w:numId="46">
    <w:abstractNumId w:val="39"/>
  </w:num>
  <w:num w:numId="47">
    <w:abstractNumId w:val="47"/>
  </w:num>
  <w:num w:numId="48">
    <w:abstractNumId w:val="38"/>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07"/>
    <w:rsid w:val="00006904"/>
    <w:rsid w:val="0001024C"/>
    <w:rsid w:val="000240B9"/>
    <w:rsid w:val="00025310"/>
    <w:rsid w:val="00032E12"/>
    <w:rsid w:val="0003778B"/>
    <w:rsid w:val="00041399"/>
    <w:rsid w:val="00051E5A"/>
    <w:rsid w:val="000528A0"/>
    <w:rsid w:val="00054D02"/>
    <w:rsid w:val="00064CFB"/>
    <w:rsid w:val="00070F9B"/>
    <w:rsid w:val="00075207"/>
    <w:rsid w:val="00095BF1"/>
    <w:rsid w:val="000967F5"/>
    <w:rsid w:val="000A1AC3"/>
    <w:rsid w:val="000C4E8B"/>
    <w:rsid w:val="000D4ED4"/>
    <w:rsid w:val="001008A4"/>
    <w:rsid w:val="001110BD"/>
    <w:rsid w:val="001177C4"/>
    <w:rsid w:val="00121B07"/>
    <w:rsid w:val="00122322"/>
    <w:rsid w:val="001225E1"/>
    <w:rsid w:val="00127E68"/>
    <w:rsid w:val="001357D8"/>
    <w:rsid w:val="0013583A"/>
    <w:rsid w:val="001866C9"/>
    <w:rsid w:val="00191ACA"/>
    <w:rsid w:val="00192038"/>
    <w:rsid w:val="00193727"/>
    <w:rsid w:val="001A2E23"/>
    <w:rsid w:val="001B0015"/>
    <w:rsid w:val="001C1BAF"/>
    <w:rsid w:val="001C5536"/>
    <w:rsid w:val="001C582D"/>
    <w:rsid w:val="001E3B25"/>
    <w:rsid w:val="001E56B4"/>
    <w:rsid w:val="001F2C8E"/>
    <w:rsid w:val="001F5EFE"/>
    <w:rsid w:val="001F6E2D"/>
    <w:rsid w:val="00205E08"/>
    <w:rsid w:val="00240501"/>
    <w:rsid w:val="00244F14"/>
    <w:rsid w:val="002450F3"/>
    <w:rsid w:val="00247F83"/>
    <w:rsid w:val="0025414E"/>
    <w:rsid w:val="00256553"/>
    <w:rsid w:val="00275EB2"/>
    <w:rsid w:val="00287EFC"/>
    <w:rsid w:val="002A6933"/>
    <w:rsid w:val="002A7363"/>
    <w:rsid w:val="002C0ADC"/>
    <w:rsid w:val="002C2EAB"/>
    <w:rsid w:val="002D2FD1"/>
    <w:rsid w:val="002D7247"/>
    <w:rsid w:val="002E677F"/>
    <w:rsid w:val="002F0E8A"/>
    <w:rsid w:val="002F622B"/>
    <w:rsid w:val="00300C8B"/>
    <w:rsid w:val="00302675"/>
    <w:rsid w:val="00314879"/>
    <w:rsid w:val="00314A51"/>
    <w:rsid w:val="00316FC4"/>
    <w:rsid w:val="0032131D"/>
    <w:rsid w:val="0032618B"/>
    <w:rsid w:val="0034761D"/>
    <w:rsid w:val="00360D6A"/>
    <w:rsid w:val="003642EE"/>
    <w:rsid w:val="00365854"/>
    <w:rsid w:val="003811F8"/>
    <w:rsid w:val="003825A5"/>
    <w:rsid w:val="00385F7C"/>
    <w:rsid w:val="00386C44"/>
    <w:rsid w:val="0039163A"/>
    <w:rsid w:val="003916DB"/>
    <w:rsid w:val="003A2626"/>
    <w:rsid w:val="003B01F0"/>
    <w:rsid w:val="003B6930"/>
    <w:rsid w:val="003B6FD3"/>
    <w:rsid w:val="003C6050"/>
    <w:rsid w:val="003C65B5"/>
    <w:rsid w:val="003C74F5"/>
    <w:rsid w:val="003D25E6"/>
    <w:rsid w:val="003E44FB"/>
    <w:rsid w:val="003F7D59"/>
    <w:rsid w:val="00401412"/>
    <w:rsid w:val="004061DE"/>
    <w:rsid w:val="004112F6"/>
    <w:rsid w:val="00413643"/>
    <w:rsid w:val="00414A49"/>
    <w:rsid w:val="00422021"/>
    <w:rsid w:val="00437C46"/>
    <w:rsid w:val="00446766"/>
    <w:rsid w:val="00453F95"/>
    <w:rsid w:val="004558ED"/>
    <w:rsid w:val="00495388"/>
    <w:rsid w:val="004A272C"/>
    <w:rsid w:val="004B31F5"/>
    <w:rsid w:val="004B65C0"/>
    <w:rsid w:val="005108DD"/>
    <w:rsid w:val="005417C4"/>
    <w:rsid w:val="005429E1"/>
    <w:rsid w:val="005513CF"/>
    <w:rsid w:val="0055711B"/>
    <w:rsid w:val="0057261F"/>
    <w:rsid w:val="00587A92"/>
    <w:rsid w:val="00592553"/>
    <w:rsid w:val="00592A96"/>
    <w:rsid w:val="0059512D"/>
    <w:rsid w:val="005B7F00"/>
    <w:rsid w:val="005C398B"/>
    <w:rsid w:val="005E2460"/>
    <w:rsid w:val="005E4CB3"/>
    <w:rsid w:val="005E5910"/>
    <w:rsid w:val="005E7464"/>
    <w:rsid w:val="00601325"/>
    <w:rsid w:val="00602C0F"/>
    <w:rsid w:val="00617F25"/>
    <w:rsid w:val="006239BB"/>
    <w:rsid w:val="00624A99"/>
    <w:rsid w:val="0063284B"/>
    <w:rsid w:val="00642C82"/>
    <w:rsid w:val="00674952"/>
    <w:rsid w:val="0068039B"/>
    <w:rsid w:val="006A17A2"/>
    <w:rsid w:val="006A7402"/>
    <w:rsid w:val="006B4D08"/>
    <w:rsid w:val="006C648C"/>
    <w:rsid w:val="006C6513"/>
    <w:rsid w:val="006C6550"/>
    <w:rsid w:val="006C7FE0"/>
    <w:rsid w:val="006D2819"/>
    <w:rsid w:val="006D762E"/>
    <w:rsid w:val="006E7469"/>
    <w:rsid w:val="006F4F40"/>
    <w:rsid w:val="006F68BE"/>
    <w:rsid w:val="00707C8F"/>
    <w:rsid w:val="007109C3"/>
    <w:rsid w:val="00715C68"/>
    <w:rsid w:val="00722AC5"/>
    <w:rsid w:val="00725DE6"/>
    <w:rsid w:val="00733E60"/>
    <w:rsid w:val="00745955"/>
    <w:rsid w:val="00755606"/>
    <w:rsid w:val="007631B4"/>
    <w:rsid w:val="00770FE9"/>
    <w:rsid w:val="00781E6A"/>
    <w:rsid w:val="0078626B"/>
    <w:rsid w:val="00794FB7"/>
    <w:rsid w:val="007B2E88"/>
    <w:rsid w:val="007B3574"/>
    <w:rsid w:val="007B7597"/>
    <w:rsid w:val="007D27A8"/>
    <w:rsid w:val="007E1186"/>
    <w:rsid w:val="007E6CA6"/>
    <w:rsid w:val="007E7703"/>
    <w:rsid w:val="007F7D49"/>
    <w:rsid w:val="00807E02"/>
    <w:rsid w:val="0081405D"/>
    <w:rsid w:val="00815BD7"/>
    <w:rsid w:val="00816C89"/>
    <w:rsid w:val="00820168"/>
    <w:rsid w:val="0082170B"/>
    <w:rsid w:val="008327BA"/>
    <w:rsid w:val="00832BEC"/>
    <w:rsid w:val="008419B4"/>
    <w:rsid w:val="008771DD"/>
    <w:rsid w:val="00881A60"/>
    <w:rsid w:val="00890BDF"/>
    <w:rsid w:val="008A736B"/>
    <w:rsid w:val="008C0A6D"/>
    <w:rsid w:val="008C0B06"/>
    <w:rsid w:val="008C579B"/>
    <w:rsid w:val="008D4C9A"/>
    <w:rsid w:val="008E221C"/>
    <w:rsid w:val="008E3032"/>
    <w:rsid w:val="008F21EF"/>
    <w:rsid w:val="00905B34"/>
    <w:rsid w:val="00912E00"/>
    <w:rsid w:val="009162BC"/>
    <w:rsid w:val="00924E30"/>
    <w:rsid w:val="00945619"/>
    <w:rsid w:val="00947742"/>
    <w:rsid w:val="00957C95"/>
    <w:rsid w:val="00964ED3"/>
    <w:rsid w:val="00966B28"/>
    <w:rsid w:val="00974D01"/>
    <w:rsid w:val="009A2BDD"/>
    <w:rsid w:val="009B0400"/>
    <w:rsid w:val="009B4E0B"/>
    <w:rsid w:val="009D2EC9"/>
    <w:rsid w:val="009E4B0C"/>
    <w:rsid w:val="009F220C"/>
    <w:rsid w:val="00A10788"/>
    <w:rsid w:val="00A14169"/>
    <w:rsid w:val="00A23B32"/>
    <w:rsid w:val="00A2715C"/>
    <w:rsid w:val="00A32943"/>
    <w:rsid w:val="00A35D0F"/>
    <w:rsid w:val="00A46851"/>
    <w:rsid w:val="00A667CC"/>
    <w:rsid w:val="00A70C20"/>
    <w:rsid w:val="00A85638"/>
    <w:rsid w:val="00AA41D3"/>
    <w:rsid w:val="00AB3E25"/>
    <w:rsid w:val="00AB5637"/>
    <w:rsid w:val="00AE4A6C"/>
    <w:rsid w:val="00AF0E90"/>
    <w:rsid w:val="00B01CD7"/>
    <w:rsid w:val="00B0608E"/>
    <w:rsid w:val="00B212B0"/>
    <w:rsid w:val="00B4722D"/>
    <w:rsid w:val="00B53543"/>
    <w:rsid w:val="00B53AF5"/>
    <w:rsid w:val="00B60335"/>
    <w:rsid w:val="00B62EB8"/>
    <w:rsid w:val="00B64423"/>
    <w:rsid w:val="00B7505E"/>
    <w:rsid w:val="00B7706C"/>
    <w:rsid w:val="00B8175E"/>
    <w:rsid w:val="00B936C7"/>
    <w:rsid w:val="00BA64F9"/>
    <w:rsid w:val="00BC5FA9"/>
    <w:rsid w:val="00BC6FFA"/>
    <w:rsid w:val="00BD1C74"/>
    <w:rsid w:val="00BD2494"/>
    <w:rsid w:val="00BE5C1E"/>
    <w:rsid w:val="00C1008C"/>
    <w:rsid w:val="00C128C0"/>
    <w:rsid w:val="00C157F9"/>
    <w:rsid w:val="00C17A96"/>
    <w:rsid w:val="00C27025"/>
    <w:rsid w:val="00C41A75"/>
    <w:rsid w:val="00C5095B"/>
    <w:rsid w:val="00C52575"/>
    <w:rsid w:val="00C62C62"/>
    <w:rsid w:val="00C7441C"/>
    <w:rsid w:val="00C76BC7"/>
    <w:rsid w:val="00C83D28"/>
    <w:rsid w:val="00C8629F"/>
    <w:rsid w:val="00C917B6"/>
    <w:rsid w:val="00C91EF5"/>
    <w:rsid w:val="00C95BBF"/>
    <w:rsid w:val="00C95D07"/>
    <w:rsid w:val="00C96972"/>
    <w:rsid w:val="00CA0C6B"/>
    <w:rsid w:val="00CA26B7"/>
    <w:rsid w:val="00CA6925"/>
    <w:rsid w:val="00CC193A"/>
    <w:rsid w:val="00CE25FD"/>
    <w:rsid w:val="00CF179E"/>
    <w:rsid w:val="00CF1958"/>
    <w:rsid w:val="00D047F2"/>
    <w:rsid w:val="00D11E89"/>
    <w:rsid w:val="00D15C5E"/>
    <w:rsid w:val="00D15CA9"/>
    <w:rsid w:val="00D17C09"/>
    <w:rsid w:val="00D2313B"/>
    <w:rsid w:val="00D258E4"/>
    <w:rsid w:val="00D27D63"/>
    <w:rsid w:val="00D3277B"/>
    <w:rsid w:val="00D43FB5"/>
    <w:rsid w:val="00D579F8"/>
    <w:rsid w:val="00D61E4D"/>
    <w:rsid w:val="00D63B13"/>
    <w:rsid w:val="00D73E30"/>
    <w:rsid w:val="00D857B2"/>
    <w:rsid w:val="00D906B8"/>
    <w:rsid w:val="00DA3488"/>
    <w:rsid w:val="00DB1725"/>
    <w:rsid w:val="00DD0CAF"/>
    <w:rsid w:val="00DE1C58"/>
    <w:rsid w:val="00E13261"/>
    <w:rsid w:val="00E16817"/>
    <w:rsid w:val="00E249A9"/>
    <w:rsid w:val="00E36E8C"/>
    <w:rsid w:val="00E4134B"/>
    <w:rsid w:val="00E42D3C"/>
    <w:rsid w:val="00E5792C"/>
    <w:rsid w:val="00E61685"/>
    <w:rsid w:val="00E61C6B"/>
    <w:rsid w:val="00E85B79"/>
    <w:rsid w:val="00ED22CB"/>
    <w:rsid w:val="00ED5DB2"/>
    <w:rsid w:val="00ED7507"/>
    <w:rsid w:val="00ED7AC6"/>
    <w:rsid w:val="00EE0D40"/>
    <w:rsid w:val="00EE135D"/>
    <w:rsid w:val="00F00B87"/>
    <w:rsid w:val="00F13916"/>
    <w:rsid w:val="00F16BA8"/>
    <w:rsid w:val="00F24BA5"/>
    <w:rsid w:val="00F30B2D"/>
    <w:rsid w:val="00F31C59"/>
    <w:rsid w:val="00F37936"/>
    <w:rsid w:val="00F406E5"/>
    <w:rsid w:val="00F47D96"/>
    <w:rsid w:val="00F63AC1"/>
    <w:rsid w:val="00F70887"/>
    <w:rsid w:val="00F77A95"/>
    <w:rsid w:val="00F91CED"/>
    <w:rsid w:val="00F949E6"/>
    <w:rsid w:val="00FA4BA3"/>
    <w:rsid w:val="00FE5752"/>
    <w:rsid w:val="00FE7EA9"/>
    <w:rsid w:val="00FF02CE"/>
    <w:rsid w:val="00FF4583"/>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4610DD"/>
  <w15:docId w15:val="{B809CF4A-F9DF-4FBF-A039-F2606E57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D59"/>
    <w:pPr>
      <w:spacing w:after="160" w:line="259" w:lineRule="auto"/>
    </w:pPr>
  </w:style>
  <w:style w:type="paragraph" w:styleId="Heading1">
    <w:name w:val="heading 1"/>
    <w:basedOn w:val="Normal"/>
    <w:next w:val="Normal"/>
    <w:link w:val="Heading1Char"/>
    <w:uiPriority w:val="9"/>
    <w:qFormat/>
    <w:rsid w:val="003F7D59"/>
    <w:pPr>
      <w:keepNext/>
      <w:keepLines/>
      <w:spacing w:after="0" w:line="480" w:lineRule="auto"/>
      <w:ind w:left="180" w:hanging="360"/>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qFormat/>
    <w:rsid w:val="003F7D59"/>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3F7D59"/>
    <w:pPr>
      <w:keepNext/>
      <w:keepLines/>
      <w:spacing w:before="40" w:after="0"/>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D59"/>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3F7D59"/>
    <w:rPr>
      <w:rFonts w:ascii="Cambria" w:eastAsia="SimSun" w:hAnsi="Cambria" w:cs="SimSun"/>
      <w:color w:val="365F91"/>
      <w:sz w:val="26"/>
      <w:szCs w:val="26"/>
    </w:rPr>
  </w:style>
  <w:style w:type="character" w:customStyle="1" w:styleId="Heading3Char">
    <w:name w:val="Heading 3 Char"/>
    <w:basedOn w:val="DefaultParagraphFont"/>
    <w:link w:val="Heading3"/>
    <w:uiPriority w:val="9"/>
    <w:rsid w:val="003F7D59"/>
    <w:rPr>
      <w:rFonts w:ascii="Cambria" w:eastAsia="SimSun" w:hAnsi="Cambria" w:cs="SimSun"/>
      <w:color w:val="243F60"/>
      <w:sz w:val="24"/>
      <w:szCs w:val="24"/>
    </w:rPr>
  </w:style>
  <w:style w:type="paragraph" w:styleId="ListParagraph">
    <w:name w:val="List Paragraph"/>
    <w:basedOn w:val="Normal"/>
    <w:uiPriority w:val="34"/>
    <w:qFormat/>
    <w:rsid w:val="003F7D59"/>
    <w:pPr>
      <w:ind w:left="720"/>
      <w:contextualSpacing/>
    </w:pPr>
  </w:style>
  <w:style w:type="table" w:styleId="TableGrid">
    <w:name w:val="Table Grid"/>
    <w:basedOn w:val="TableNormal"/>
    <w:uiPriority w:val="39"/>
    <w:rsid w:val="003F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7D59"/>
    <w:rPr>
      <w:b/>
      <w:bCs/>
    </w:rPr>
  </w:style>
  <w:style w:type="paragraph" w:styleId="Header">
    <w:name w:val="header"/>
    <w:basedOn w:val="Normal"/>
    <w:link w:val="HeaderChar"/>
    <w:uiPriority w:val="99"/>
    <w:rsid w:val="003F7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59"/>
  </w:style>
  <w:style w:type="paragraph" w:styleId="Footer">
    <w:name w:val="footer"/>
    <w:basedOn w:val="Normal"/>
    <w:link w:val="FooterChar"/>
    <w:uiPriority w:val="99"/>
    <w:rsid w:val="003F7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59"/>
  </w:style>
  <w:style w:type="paragraph" w:styleId="BodyText">
    <w:name w:val="Body Text"/>
    <w:basedOn w:val="Normal"/>
    <w:link w:val="BodyTextChar"/>
    <w:uiPriority w:val="1"/>
    <w:qFormat/>
    <w:rsid w:val="003F7D59"/>
    <w:pPr>
      <w:widowControl w:val="0"/>
      <w:spacing w:before="10" w:after="0" w:line="240" w:lineRule="auto"/>
      <w:ind w:left="22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7D59"/>
    <w:rPr>
      <w:rFonts w:ascii="Times New Roman" w:eastAsia="Times New Roman" w:hAnsi="Times New Roman" w:cs="Times New Roman"/>
    </w:rPr>
  </w:style>
  <w:style w:type="paragraph" w:styleId="NoSpacing">
    <w:name w:val="No Spacing"/>
    <w:uiPriority w:val="1"/>
    <w:qFormat/>
    <w:rsid w:val="003F7D59"/>
    <w:pPr>
      <w:spacing w:after="0" w:line="240" w:lineRule="auto"/>
    </w:pPr>
  </w:style>
  <w:style w:type="paragraph" w:styleId="TOCHeading">
    <w:name w:val="TOC Heading"/>
    <w:basedOn w:val="Heading1"/>
    <w:next w:val="Normal"/>
    <w:uiPriority w:val="39"/>
    <w:qFormat/>
    <w:rsid w:val="003F7D59"/>
    <w:pPr>
      <w:spacing w:before="240" w:line="259" w:lineRule="auto"/>
      <w:ind w:left="0" w:firstLine="0"/>
      <w:jc w:val="left"/>
      <w:outlineLvl w:val="9"/>
    </w:pPr>
    <w:rPr>
      <w:rFonts w:ascii="Cambria" w:eastAsia="SimSun" w:hAnsi="Cambria" w:cs="SimSun"/>
      <w:b w:val="0"/>
      <w:color w:val="365F91"/>
      <w:sz w:val="32"/>
      <w:szCs w:val="32"/>
    </w:rPr>
  </w:style>
  <w:style w:type="paragraph" w:styleId="TOC1">
    <w:name w:val="toc 1"/>
    <w:basedOn w:val="Normal"/>
    <w:next w:val="Normal"/>
    <w:uiPriority w:val="39"/>
    <w:rsid w:val="003F7D59"/>
    <w:pPr>
      <w:spacing w:after="100"/>
    </w:pPr>
  </w:style>
  <w:style w:type="character" w:styleId="Hyperlink">
    <w:name w:val="Hyperlink"/>
    <w:basedOn w:val="DefaultParagraphFont"/>
    <w:uiPriority w:val="99"/>
    <w:rsid w:val="003F7D59"/>
    <w:rPr>
      <w:color w:val="0000FF"/>
      <w:u w:val="single"/>
    </w:rPr>
  </w:style>
  <w:style w:type="paragraph" w:styleId="BalloonText">
    <w:name w:val="Balloon Text"/>
    <w:basedOn w:val="Normal"/>
    <w:link w:val="BalloonTextChar"/>
    <w:uiPriority w:val="99"/>
    <w:rsid w:val="003F7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7D59"/>
    <w:rPr>
      <w:rFonts w:ascii="Tahoma" w:hAnsi="Tahoma" w:cs="Tahoma"/>
      <w:sz w:val="16"/>
      <w:szCs w:val="16"/>
    </w:rPr>
  </w:style>
  <w:style w:type="paragraph" w:styleId="TOC2">
    <w:name w:val="toc 2"/>
    <w:basedOn w:val="Normal"/>
    <w:next w:val="Normal"/>
    <w:uiPriority w:val="39"/>
    <w:rsid w:val="003F7D59"/>
    <w:pPr>
      <w:spacing w:after="100"/>
      <w:ind w:left="220"/>
    </w:pPr>
  </w:style>
  <w:style w:type="paragraph" w:styleId="TOC3">
    <w:name w:val="toc 3"/>
    <w:basedOn w:val="Normal"/>
    <w:next w:val="Normal"/>
    <w:uiPriority w:val="39"/>
    <w:rsid w:val="003F7D59"/>
    <w:pPr>
      <w:spacing w:after="100"/>
      <w:ind w:left="440"/>
    </w:pPr>
  </w:style>
  <w:style w:type="character" w:customStyle="1" w:styleId="ams">
    <w:name w:val="ams"/>
    <w:basedOn w:val="DefaultParagraphFont"/>
    <w:rsid w:val="003F7D59"/>
  </w:style>
  <w:style w:type="paragraph" w:styleId="NormalWeb">
    <w:name w:val="Normal (Web)"/>
    <w:basedOn w:val="Normal"/>
    <w:uiPriority w:val="99"/>
    <w:rsid w:val="003F7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
    <w:name w:val="TOT"/>
    <w:basedOn w:val="Caption"/>
    <w:next w:val="Caption"/>
    <w:qFormat/>
    <w:rsid w:val="003F7D59"/>
    <w:pPr>
      <w:spacing w:before="240" w:after="240" w:line="480" w:lineRule="auto"/>
      <w:jc w:val="both"/>
    </w:pPr>
    <w:rPr>
      <w:rFonts w:ascii="Times New Roman" w:hAnsi="Times New Roman" w:cs="Times New Roman"/>
      <w:color w:val="000000"/>
      <w:sz w:val="24"/>
      <w:szCs w:val="24"/>
    </w:rPr>
  </w:style>
  <w:style w:type="paragraph" w:styleId="Caption">
    <w:name w:val="caption"/>
    <w:basedOn w:val="Normal"/>
    <w:next w:val="Normal"/>
    <w:uiPriority w:val="35"/>
    <w:qFormat/>
    <w:rsid w:val="003F7D59"/>
    <w:pPr>
      <w:spacing w:after="200" w:line="240" w:lineRule="auto"/>
    </w:pPr>
    <w:rPr>
      <w:i/>
      <w:iCs/>
      <w:color w:val="1F497D"/>
      <w:sz w:val="18"/>
      <w:szCs w:val="18"/>
    </w:rPr>
  </w:style>
  <w:style w:type="character" w:styleId="Emphasis">
    <w:name w:val="Emphasis"/>
    <w:basedOn w:val="DefaultParagraphFont"/>
    <w:uiPriority w:val="20"/>
    <w:qFormat/>
    <w:rsid w:val="003F7D59"/>
    <w:rPr>
      <w:i/>
      <w:iCs/>
    </w:rPr>
  </w:style>
  <w:style w:type="character" w:customStyle="1" w:styleId="ms-1">
    <w:name w:val="ms-1"/>
    <w:basedOn w:val="DefaultParagraphFont"/>
    <w:rsid w:val="003F7D59"/>
  </w:style>
  <w:style w:type="character" w:customStyle="1" w:styleId="max-w-15ch">
    <w:name w:val="max-w-[15ch]"/>
    <w:basedOn w:val="DefaultParagraphFont"/>
    <w:rsid w:val="003F7D59"/>
  </w:style>
  <w:style w:type="character" w:customStyle="1" w:styleId="-me-1">
    <w:name w:val="-me-1"/>
    <w:basedOn w:val="DefaultParagraphFont"/>
    <w:rsid w:val="003F7D59"/>
  </w:style>
  <w:style w:type="paragraph" w:customStyle="1" w:styleId="font-claude-response-body">
    <w:name w:val="font-claude-response-body"/>
    <w:basedOn w:val="Normal"/>
    <w:rsid w:val="003F7D59"/>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3F7D59"/>
    <w:pPr>
      <w:spacing w:after="0"/>
    </w:pPr>
  </w:style>
  <w:style w:type="paragraph" w:customStyle="1" w:styleId="FOG">
    <w:name w:val="FOG"/>
    <w:basedOn w:val="Caption"/>
    <w:next w:val="Caption"/>
    <w:qFormat/>
    <w:rsid w:val="003F7D59"/>
    <w:pPr>
      <w:spacing w:before="240" w:after="0" w:line="480" w:lineRule="auto"/>
      <w:jc w:val="both"/>
    </w:pPr>
    <w:rPr>
      <w:rFonts w:ascii="Times New Roman" w:hAnsi="Times New Roman" w:cs="Times New Roman"/>
      <w:b/>
      <w:color w:val="000000"/>
      <w:sz w:val="24"/>
      <w:szCs w:val="24"/>
    </w:rPr>
  </w:style>
  <w:style w:type="character" w:styleId="CommentReference">
    <w:name w:val="annotation reference"/>
    <w:basedOn w:val="DefaultParagraphFont"/>
    <w:uiPriority w:val="99"/>
    <w:rsid w:val="003F7D59"/>
    <w:rPr>
      <w:sz w:val="16"/>
      <w:szCs w:val="16"/>
    </w:rPr>
  </w:style>
  <w:style w:type="paragraph" w:styleId="CommentText">
    <w:name w:val="annotation text"/>
    <w:basedOn w:val="Normal"/>
    <w:link w:val="CommentTextChar"/>
    <w:uiPriority w:val="99"/>
    <w:rsid w:val="003F7D59"/>
    <w:pPr>
      <w:spacing w:line="240" w:lineRule="auto"/>
    </w:pPr>
    <w:rPr>
      <w:sz w:val="20"/>
      <w:szCs w:val="20"/>
    </w:rPr>
  </w:style>
  <w:style w:type="character" w:customStyle="1" w:styleId="CommentTextChar">
    <w:name w:val="Comment Text Char"/>
    <w:basedOn w:val="DefaultParagraphFont"/>
    <w:link w:val="CommentText"/>
    <w:uiPriority w:val="99"/>
    <w:rsid w:val="003F7D59"/>
    <w:rPr>
      <w:sz w:val="20"/>
      <w:szCs w:val="20"/>
    </w:rPr>
  </w:style>
  <w:style w:type="paragraph" w:styleId="CommentSubject">
    <w:name w:val="annotation subject"/>
    <w:basedOn w:val="CommentText"/>
    <w:next w:val="CommentText"/>
    <w:link w:val="CommentSubjectChar"/>
    <w:uiPriority w:val="99"/>
    <w:rsid w:val="003F7D59"/>
    <w:rPr>
      <w:b/>
      <w:bCs/>
    </w:rPr>
  </w:style>
  <w:style w:type="character" w:customStyle="1" w:styleId="CommentSubjectChar">
    <w:name w:val="Comment Subject Char"/>
    <w:basedOn w:val="CommentTextChar"/>
    <w:link w:val="CommentSubject"/>
    <w:uiPriority w:val="99"/>
    <w:rsid w:val="003F7D59"/>
    <w:rPr>
      <w:b/>
      <w:bCs/>
      <w:sz w:val="20"/>
      <w:szCs w:val="20"/>
    </w:rPr>
  </w:style>
  <w:style w:type="character" w:customStyle="1" w:styleId="UnresolvedMention1">
    <w:name w:val="Unresolved Mention1"/>
    <w:basedOn w:val="DefaultParagraphFont"/>
    <w:uiPriority w:val="99"/>
    <w:semiHidden/>
    <w:unhideWhenUsed/>
    <w:rsid w:val="0051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1280">
      <w:bodyDiv w:val="1"/>
      <w:marLeft w:val="0"/>
      <w:marRight w:val="0"/>
      <w:marTop w:val="0"/>
      <w:marBottom w:val="0"/>
      <w:divBdr>
        <w:top w:val="none" w:sz="0" w:space="0" w:color="auto"/>
        <w:left w:val="none" w:sz="0" w:space="0" w:color="auto"/>
        <w:bottom w:val="none" w:sz="0" w:space="0" w:color="auto"/>
        <w:right w:val="none" w:sz="0" w:space="0" w:color="auto"/>
      </w:divBdr>
      <w:divsChild>
        <w:div w:id="1118372638">
          <w:marLeft w:val="0"/>
          <w:marRight w:val="0"/>
          <w:marTop w:val="0"/>
          <w:marBottom w:val="0"/>
          <w:divBdr>
            <w:top w:val="none" w:sz="0" w:space="0" w:color="auto"/>
            <w:left w:val="none" w:sz="0" w:space="0" w:color="auto"/>
            <w:bottom w:val="none" w:sz="0" w:space="0" w:color="auto"/>
            <w:right w:val="none" w:sz="0" w:space="0" w:color="auto"/>
          </w:divBdr>
          <w:divsChild>
            <w:div w:id="1270770690">
              <w:marLeft w:val="0"/>
              <w:marRight w:val="0"/>
              <w:marTop w:val="0"/>
              <w:marBottom w:val="0"/>
              <w:divBdr>
                <w:top w:val="none" w:sz="0" w:space="0" w:color="auto"/>
                <w:left w:val="none" w:sz="0" w:space="0" w:color="auto"/>
                <w:bottom w:val="none" w:sz="0" w:space="0" w:color="auto"/>
                <w:right w:val="none" w:sz="0" w:space="0" w:color="auto"/>
              </w:divBdr>
            </w:div>
          </w:divsChild>
        </w:div>
        <w:div w:id="1588658254">
          <w:marLeft w:val="0"/>
          <w:marRight w:val="0"/>
          <w:marTop w:val="0"/>
          <w:marBottom w:val="0"/>
          <w:divBdr>
            <w:top w:val="none" w:sz="0" w:space="0" w:color="auto"/>
            <w:left w:val="none" w:sz="0" w:space="0" w:color="auto"/>
            <w:bottom w:val="none" w:sz="0" w:space="0" w:color="auto"/>
            <w:right w:val="none" w:sz="0" w:space="0" w:color="auto"/>
          </w:divBdr>
          <w:divsChild>
            <w:div w:id="705061634">
              <w:marLeft w:val="0"/>
              <w:marRight w:val="0"/>
              <w:marTop w:val="0"/>
              <w:marBottom w:val="0"/>
              <w:divBdr>
                <w:top w:val="none" w:sz="0" w:space="0" w:color="auto"/>
                <w:left w:val="none" w:sz="0" w:space="0" w:color="auto"/>
                <w:bottom w:val="none" w:sz="0" w:space="0" w:color="auto"/>
                <w:right w:val="none" w:sz="0" w:space="0" w:color="auto"/>
              </w:divBdr>
            </w:div>
          </w:divsChild>
        </w:div>
        <w:div w:id="704985293">
          <w:marLeft w:val="0"/>
          <w:marRight w:val="0"/>
          <w:marTop w:val="0"/>
          <w:marBottom w:val="0"/>
          <w:divBdr>
            <w:top w:val="none" w:sz="0" w:space="0" w:color="auto"/>
            <w:left w:val="none" w:sz="0" w:space="0" w:color="auto"/>
            <w:bottom w:val="none" w:sz="0" w:space="0" w:color="auto"/>
            <w:right w:val="none" w:sz="0" w:space="0" w:color="auto"/>
          </w:divBdr>
          <w:divsChild>
            <w:div w:id="635646860">
              <w:marLeft w:val="0"/>
              <w:marRight w:val="0"/>
              <w:marTop w:val="0"/>
              <w:marBottom w:val="0"/>
              <w:divBdr>
                <w:top w:val="none" w:sz="0" w:space="0" w:color="auto"/>
                <w:left w:val="none" w:sz="0" w:space="0" w:color="auto"/>
                <w:bottom w:val="none" w:sz="0" w:space="0" w:color="auto"/>
                <w:right w:val="none" w:sz="0" w:space="0" w:color="auto"/>
              </w:divBdr>
            </w:div>
          </w:divsChild>
        </w:div>
        <w:div w:id="1804083123">
          <w:marLeft w:val="0"/>
          <w:marRight w:val="0"/>
          <w:marTop w:val="0"/>
          <w:marBottom w:val="0"/>
          <w:divBdr>
            <w:top w:val="none" w:sz="0" w:space="0" w:color="auto"/>
            <w:left w:val="none" w:sz="0" w:space="0" w:color="auto"/>
            <w:bottom w:val="none" w:sz="0" w:space="0" w:color="auto"/>
            <w:right w:val="none" w:sz="0" w:space="0" w:color="auto"/>
          </w:divBdr>
          <w:divsChild>
            <w:div w:id="997735531">
              <w:marLeft w:val="0"/>
              <w:marRight w:val="0"/>
              <w:marTop w:val="0"/>
              <w:marBottom w:val="0"/>
              <w:divBdr>
                <w:top w:val="none" w:sz="0" w:space="0" w:color="auto"/>
                <w:left w:val="none" w:sz="0" w:space="0" w:color="auto"/>
                <w:bottom w:val="none" w:sz="0" w:space="0" w:color="auto"/>
                <w:right w:val="none" w:sz="0" w:space="0" w:color="auto"/>
              </w:divBdr>
            </w:div>
          </w:divsChild>
        </w:div>
        <w:div w:id="469179363">
          <w:marLeft w:val="0"/>
          <w:marRight w:val="0"/>
          <w:marTop w:val="0"/>
          <w:marBottom w:val="0"/>
          <w:divBdr>
            <w:top w:val="none" w:sz="0" w:space="0" w:color="auto"/>
            <w:left w:val="none" w:sz="0" w:space="0" w:color="auto"/>
            <w:bottom w:val="none" w:sz="0" w:space="0" w:color="auto"/>
            <w:right w:val="none" w:sz="0" w:space="0" w:color="auto"/>
          </w:divBdr>
          <w:divsChild>
            <w:div w:id="541094704">
              <w:marLeft w:val="0"/>
              <w:marRight w:val="0"/>
              <w:marTop w:val="0"/>
              <w:marBottom w:val="0"/>
              <w:divBdr>
                <w:top w:val="none" w:sz="0" w:space="0" w:color="auto"/>
                <w:left w:val="none" w:sz="0" w:space="0" w:color="auto"/>
                <w:bottom w:val="none" w:sz="0" w:space="0" w:color="auto"/>
                <w:right w:val="none" w:sz="0" w:space="0" w:color="auto"/>
              </w:divBdr>
            </w:div>
          </w:divsChild>
        </w:div>
        <w:div w:id="251208456">
          <w:marLeft w:val="0"/>
          <w:marRight w:val="0"/>
          <w:marTop w:val="0"/>
          <w:marBottom w:val="0"/>
          <w:divBdr>
            <w:top w:val="none" w:sz="0" w:space="0" w:color="auto"/>
            <w:left w:val="none" w:sz="0" w:space="0" w:color="auto"/>
            <w:bottom w:val="none" w:sz="0" w:space="0" w:color="auto"/>
            <w:right w:val="none" w:sz="0" w:space="0" w:color="auto"/>
          </w:divBdr>
          <w:divsChild>
            <w:div w:id="1454446938">
              <w:marLeft w:val="0"/>
              <w:marRight w:val="0"/>
              <w:marTop w:val="0"/>
              <w:marBottom w:val="0"/>
              <w:divBdr>
                <w:top w:val="none" w:sz="0" w:space="0" w:color="auto"/>
                <w:left w:val="none" w:sz="0" w:space="0" w:color="auto"/>
                <w:bottom w:val="none" w:sz="0" w:space="0" w:color="auto"/>
                <w:right w:val="none" w:sz="0" w:space="0" w:color="auto"/>
              </w:divBdr>
            </w:div>
          </w:divsChild>
        </w:div>
        <w:div w:id="1563298244">
          <w:marLeft w:val="0"/>
          <w:marRight w:val="0"/>
          <w:marTop w:val="0"/>
          <w:marBottom w:val="0"/>
          <w:divBdr>
            <w:top w:val="none" w:sz="0" w:space="0" w:color="auto"/>
            <w:left w:val="none" w:sz="0" w:space="0" w:color="auto"/>
            <w:bottom w:val="none" w:sz="0" w:space="0" w:color="auto"/>
            <w:right w:val="none" w:sz="0" w:space="0" w:color="auto"/>
          </w:divBdr>
          <w:divsChild>
            <w:div w:id="2079940250">
              <w:marLeft w:val="0"/>
              <w:marRight w:val="0"/>
              <w:marTop w:val="0"/>
              <w:marBottom w:val="0"/>
              <w:divBdr>
                <w:top w:val="none" w:sz="0" w:space="0" w:color="auto"/>
                <w:left w:val="none" w:sz="0" w:space="0" w:color="auto"/>
                <w:bottom w:val="none" w:sz="0" w:space="0" w:color="auto"/>
                <w:right w:val="none" w:sz="0" w:space="0" w:color="auto"/>
              </w:divBdr>
            </w:div>
          </w:divsChild>
        </w:div>
        <w:div w:id="1191146194">
          <w:marLeft w:val="0"/>
          <w:marRight w:val="0"/>
          <w:marTop w:val="0"/>
          <w:marBottom w:val="0"/>
          <w:divBdr>
            <w:top w:val="none" w:sz="0" w:space="0" w:color="auto"/>
            <w:left w:val="none" w:sz="0" w:space="0" w:color="auto"/>
            <w:bottom w:val="none" w:sz="0" w:space="0" w:color="auto"/>
            <w:right w:val="none" w:sz="0" w:space="0" w:color="auto"/>
          </w:divBdr>
          <w:divsChild>
            <w:div w:id="564490236">
              <w:marLeft w:val="0"/>
              <w:marRight w:val="0"/>
              <w:marTop w:val="0"/>
              <w:marBottom w:val="0"/>
              <w:divBdr>
                <w:top w:val="none" w:sz="0" w:space="0" w:color="auto"/>
                <w:left w:val="none" w:sz="0" w:space="0" w:color="auto"/>
                <w:bottom w:val="none" w:sz="0" w:space="0" w:color="auto"/>
                <w:right w:val="none" w:sz="0" w:space="0" w:color="auto"/>
              </w:divBdr>
            </w:div>
          </w:divsChild>
        </w:div>
        <w:div w:id="1885361910">
          <w:marLeft w:val="0"/>
          <w:marRight w:val="0"/>
          <w:marTop w:val="0"/>
          <w:marBottom w:val="0"/>
          <w:divBdr>
            <w:top w:val="none" w:sz="0" w:space="0" w:color="auto"/>
            <w:left w:val="none" w:sz="0" w:space="0" w:color="auto"/>
            <w:bottom w:val="none" w:sz="0" w:space="0" w:color="auto"/>
            <w:right w:val="none" w:sz="0" w:space="0" w:color="auto"/>
          </w:divBdr>
          <w:divsChild>
            <w:div w:id="155072008">
              <w:marLeft w:val="0"/>
              <w:marRight w:val="0"/>
              <w:marTop w:val="0"/>
              <w:marBottom w:val="0"/>
              <w:divBdr>
                <w:top w:val="none" w:sz="0" w:space="0" w:color="auto"/>
                <w:left w:val="none" w:sz="0" w:space="0" w:color="auto"/>
                <w:bottom w:val="none" w:sz="0" w:space="0" w:color="auto"/>
                <w:right w:val="none" w:sz="0" w:space="0" w:color="auto"/>
              </w:divBdr>
            </w:div>
          </w:divsChild>
        </w:div>
        <w:div w:id="231619071">
          <w:marLeft w:val="0"/>
          <w:marRight w:val="0"/>
          <w:marTop w:val="0"/>
          <w:marBottom w:val="0"/>
          <w:divBdr>
            <w:top w:val="none" w:sz="0" w:space="0" w:color="auto"/>
            <w:left w:val="none" w:sz="0" w:space="0" w:color="auto"/>
            <w:bottom w:val="none" w:sz="0" w:space="0" w:color="auto"/>
            <w:right w:val="none" w:sz="0" w:space="0" w:color="auto"/>
          </w:divBdr>
          <w:divsChild>
            <w:div w:id="1100181649">
              <w:marLeft w:val="0"/>
              <w:marRight w:val="0"/>
              <w:marTop w:val="0"/>
              <w:marBottom w:val="0"/>
              <w:divBdr>
                <w:top w:val="none" w:sz="0" w:space="0" w:color="auto"/>
                <w:left w:val="none" w:sz="0" w:space="0" w:color="auto"/>
                <w:bottom w:val="none" w:sz="0" w:space="0" w:color="auto"/>
                <w:right w:val="none" w:sz="0" w:space="0" w:color="auto"/>
              </w:divBdr>
            </w:div>
          </w:divsChild>
        </w:div>
        <w:div w:id="1516113338">
          <w:marLeft w:val="0"/>
          <w:marRight w:val="0"/>
          <w:marTop w:val="0"/>
          <w:marBottom w:val="0"/>
          <w:divBdr>
            <w:top w:val="none" w:sz="0" w:space="0" w:color="auto"/>
            <w:left w:val="none" w:sz="0" w:space="0" w:color="auto"/>
            <w:bottom w:val="none" w:sz="0" w:space="0" w:color="auto"/>
            <w:right w:val="none" w:sz="0" w:space="0" w:color="auto"/>
          </w:divBdr>
          <w:divsChild>
            <w:div w:id="70322662">
              <w:marLeft w:val="0"/>
              <w:marRight w:val="0"/>
              <w:marTop w:val="0"/>
              <w:marBottom w:val="0"/>
              <w:divBdr>
                <w:top w:val="none" w:sz="0" w:space="0" w:color="auto"/>
                <w:left w:val="none" w:sz="0" w:space="0" w:color="auto"/>
                <w:bottom w:val="none" w:sz="0" w:space="0" w:color="auto"/>
                <w:right w:val="none" w:sz="0" w:space="0" w:color="auto"/>
              </w:divBdr>
            </w:div>
          </w:divsChild>
        </w:div>
        <w:div w:id="1939750265">
          <w:marLeft w:val="0"/>
          <w:marRight w:val="0"/>
          <w:marTop w:val="0"/>
          <w:marBottom w:val="0"/>
          <w:divBdr>
            <w:top w:val="none" w:sz="0" w:space="0" w:color="auto"/>
            <w:left w:val="none" w:sz="0" w:space="0" w:color="auto"/>
            <w:bottom w:val="none" w:sz="0" w:space="0" w:color="auto"/>
            <w:right w:val="none" w:sz="0" w:space="0" w:color="auto"/>
          </w:divBdr>
          <w:divsChild>
            <w:div w:id="412899047">
              <w:marLeft w:val="0"/>
              <w:marRight w:val="0"/>
              <w:marTop w:val="0"/>
              <w:marBottom w:val="0"/>
              <w:divBdr>
                <w:top w:val="none" w:sz="0" w:space="0" w:color="auto"/>
                <w:left w:val="none" w:sz="0" w:space="0" w:color="auto"/>
                <w:bottom w:val="none" w:sz="0" w:space="0" w:color="auto"/>
                <w:right w:val="none" w:sz="0" w:space="0" w:color="auto"/>
              </w:divBdr>
            </w:div>
          </w:divsChild>
        </w:div>
        <w:div w:id="1505319517">
          <w:marLeft w:val="0"/>
          <w:marRight w:val="0"/>
          <w:marTop w:val="0"/>
          <w:marBottom w:val="0"/>
          <w:divBdr>
            <w:top w:val="none" w:sz="0" w:space="0" w:color="auto"/>
            <w:left w:val="none" w:sz="0" w:space="0" w:color="auto"/>
            <w:bottom w:val="none" w:sz="0" w:space="0" w:color="auto"/>
            <w:right w:val="none" w:sz="0" w:space="0" w:color="auto"/>
          </w:divBdr>
          <w:divsChild>
            <w:div w:id="1596353646">
              <w:marLeft w:val="0"/>
              <w:marRight w:val="0"/>
              <w:marTop w:val="0"/>
              <w:marBottom w:val="0"/>
              <w:divBdr>
                <w:top w:val="none" w:sz="0" w:space="0" w:color="auto"/>
                <w:left w:val="none" w:sz="0" w:space="0" w:color="auto"/>
                <w:bottom w:val="none" w:sz="0" w:space="0" w:color="auto"/>
                <w:right w:val="none" w:sz="0" w:space="0" w:color="auto"/>
              </w:divBdr>
            </w:div>
          </w:divsChild>
        </w:div>
        <w:div w:id="214003691">
          <w:marLeft w:val="0"/>
          <w:marRight w:val="0"/>
          <w:marTop w:val="0"/>
          <w:marBottom w:val="0"/>
          <w:divBdr>
            <w:top w:val="none" w:sz="0" w:space="0" w:color="auto"/>
            <w:left w:val="none" w:sz="0" w:space="0" w:color="auto"/>
            <w:bottom w:val="none" w:sz="0" w:space="0" w:color="auto"/>
            <w:right w:val="none" w:sz="0" w:space="0" w:color="auto"/>
          </w:divBdr>
          <w:divsChild>
            <w:div w:id="952395697">
              <w:marLeft w:val="0"/>
              <w:marRight w:val="0"/>
              <w:marTop w:val="0"/>
              <w:marBottom w:val="0"/>
              <w:divBdr>
                <w:top w:val="none" w:sz="0" w:space="0" w:color="auto"/>
                <w:left w:val="none" w:sz="0" w:space="0" w:color="auto"/>
                <w:bottom w:val="none" w:sz="0" w:space="0" w:color="auto"/>
                <w:right w:val="none" w:sz="0" w:space="0" w:color="auto"/>
              </w:divBdr>
            </w:div>
          </w:divsChild>
        </w:div>
        <w:div w:id="1383364139">
          <w:marLeft w:val="0"/>
          <w:marRight w:val="0"/>
          <w:marTop w:val="0"/>
          <w:marBottom w:val="0"/>
          <w:divBdr>
            <w:top w:val="none" w:sz="0" w:space="0" w:color="auto"/>
            <w:left w:val="none" w:sz="0" w:space="0" w:color="auto"/>
            <w:bottom w:val="none" w:sz="0" w:space="0" w:color="auto"/>
            <w:right w:val="none" w:sz="0" w:space="0" w:color="auto"/>
          </w:divBdr>
          <w:divsChild>
            <w:div w:id="554783141">
              <w:marLeft w:val="0"/>
              <w:marRight w:val="0"/>
              <w:marTop w:val="0"/>
              <w:marBottom w:val="0"/>
              <w:divBdr>
                <w:top w:val="none" w:sz="0" w:space="0" w:color="auto"/>
                <w:left w:val="none" w:sz="0" w:space="0" w:color="auto"/>
                <w:bottom w:val="none" w:sz="0" w:space="0" w:color="auto"/>
                <w:right w:val="none" w:sz="0" w:space="0" w:color="auto"/>
              </w:divBdr>
            </w:div>
          </w:divsChild>
        </w:div>
        <w:div w:id="967052082">
          <w:marLeft w:val="0"/>
          <w:marRight w:val="0"/>
          <w:marTop w:val="0"/>
          <w:marBottom w:val="0"/>
          <w:divBdr>
            <w:top w:val="none" w:sz="0" w:space="0" w:color="auto"/>
            <w:left w:val="none" w:sz="0" w:space="0" w:color="auto"/>
            <w:bottom w:val="none" w:sz="0" w:space="0" w:color="auto"/>
            <w:right w:val="none" w:sz="0" w:space="0" w:color="auto"/>
          </w:divBdr>
          <w:divsChild>
            <w:div w:id="1969820681">
              <w:marLeft w:val="0"/>
              <w:marRight w:val="0"/>
              <w:marTop w:val="0"/>
              <w:marBottom w:val="0"/>
              <w:divBdr>
                <w:top w:val="none" w:sz="0" w:space="0" w:color="auto"/>
                <w:left w:val="none" w:sz="0" w:space="0" w:color="auto"/>
                <w:bottom w:val="none" w:sz="0" w:space="0" w:color="auto"/>
                <w:right w:val="none" w:sz="0" w:space="0" w:color="auto"/>
              </w:divBdr>
            </w:div>
          </w:divsChild>
        </w:div>
        <w:div w:id="1441948218">
          <w:marLeft w:val="0"/>
          <w:marRight w:val="0"/>
          <w:marTop w:val="0"/>
          <w:marBottom w:val="0"/>
          <w:divBdr>
            <w:top w:val="none" w:sz="0" w:space="0" w:color="auto"/>
            <w:left w:val="none" w:sz="0" w:space="0" w:color="auto"/>
            <w:bottom w:val="none" w:sz="0" w:space="0" w:color="auto"/>
            <w:right w:val="none" w:sz="0" w:space="0" w:color="auto"/>
          </w:divBdr>
          <w:divsChild>
            <w:div w:id="371728428">
              <w:marLeft w:val="0"/>
              <w:marRight w:val="0"/>
              <w:marTop w:val="0"/>
              <w:marBottom w:val="0"/>
              <w:divBdr>
                <w:top w:val="none" w:sz="0" w:space="0" w:color="auto"/>
                <w:left w:val="none" w:sz="0" w:space="0" w:color="auto"/>
                <w:bottom w:val="none" w:sz="0" w:space="0" w:color="auto"/>
                <w:right w:val="none" w:sz="0" w:space="0" w:color="auto"/>
              </w:divBdr>
            </w:div>
          </w:divsChild>
        </w:div>
        <w:div w:id="2030645860">
          <w:marLeft w:val="0"/>
          <w:marRight w:val="0"/>
          <w:marTop w:val="0"/>
          <w:marBottom w:val="0"/>
          <w:divBdr>
            <w:top w:val="none" w:sz="0" w:space="0" w:color="auto"/>
            <w:left w:val="none" w:sz="0" w:space="0" w:color="auto"/>
            <w:bottom w:val="none" w:sz="0" w:space="0" w:color="auto"/>
            <w:right w:val="none" w:sz="0" w:space="0" w:color="auto"/>
          </w:divBdr>
          <w:divsChild>
            <w:div w:id="1845123101">
              <w:marLeft w:val="0"/>
              <w:marRight w:val="0"/>
              <w:marTop w:val="0"/>
              <w:marBottom w:val="0"/>
              <w:divBdr>
                <w:top w:val="none" w:sz="0" w:space="0" w:color="auto"/>
                <w:left w:val="none" w:sz="0" w:space="0" w:color="auto"/>
                <w:bottom w:val="none" w:sz="0" w:space="0" w:color="auto"/>
                <w:right w:val="none" w:sz="0" w:space="0" w:color="auto"/>
              </w:divBdr>
            </w:div>
          </w:divsChild>
        </w:div>
        <w:div w:id="1583029989">
          <w:marLeft w:val="0"/>
          <w:marRight w:val="0"/>
          <w:marTop w:val="0"/>
          <w:marBottom w:val="0"/>
          <w:divBdr>
            <w:top w:val="none" w:sz="0" w:space="0" w:color="auto"/>
            <w:left w:val="none" w:sz="0" w:space="0" w:color="auto"/>
            <w:bottom w:val="none" w:sz="0" w:space="0" w:color="auto"/>
            <w:right w:val="none" w:sz="0" w:space="0" w:color="auto"/>
          </w:divBdr>
          <w:divsChild>
            <w:div w:id="1240673345">
              <w:marLeft w:val="0"/>
              <w:marRight w:val="0"/>
              <w:marTop w:val="0"/>
              <w:marBottom w:val="0"/>
              <w:divBdr>
                <w:top w:val="none" w:sz="0" w:space="0" w:color="auto"/>
                <w:left w:val="none" w:sz="0" w:space="0" w:color="auto"/>
                <w:bottom w:val="none" w:sz="0" w:space="0" w:color="auto"/>
                <w:right w:val="none" w:sz="0" w:space="0" w:color="auto"/>
              </w:divBdr>
            </w:div>
          </w:divsChild>
        </w:div>
        <w:div w:id="863904712">
          <w:marLeft w:val="0"/>
          <w:marRight w:val="0"/>
          <w:marTop w:val="0"/>
          <w:marBottom w:val="0"/>
          <w:divBdr>
            <w:top w:val="none" w:sz="0" w:space="0" w:color="auto"/>
            <w:left w:val="none" w:sz="0" w:space="0" w:color="auto"/>
            <w:bottom w:val="none" w:sz="0" w:space="0" w:color="auto"/>
            <w:right w:val="none" w:sz="0" w:space="0" w:color="auto"/>
          </w:divBdr>
          <w:divsChild>
            <w:div w:id="1073240642">
              <w:marLeft w:val="0"/>
              <w:marRight w:val="0"/>
              <w:marTop w:val="0"/>
              <w:marBottom w:val="0"/>
              <w:divBdr>
                <w:top w:val="none" w:sz="0" w:space="0" w:color="auto"/>
                <w:left w:val="none" w:sz="0" w:space="0" w:color="auto"/>
                <w:bottom w:val="none" w:sz="0" w:space="0" w:color="auto"/>
                <w:right w:val="none" w:sz="0" w:space="0" w:color="auto"/>
              </w:divBdr>
            </w:div>
          </w:divsChild>
        </w:div>
        <w:div w:id="1904220774">
          <w:marLeft w:val="0"/>
          <w:marRight w:val="0"/>
          <w:marTop w:val="0"/>
          <w:marBottom w:val="0"/>
          <w:divBdr>
            <w:top w:val="none" w:sz="0" w:space="0" w:color="auto"/>
            <w:left w:val="none" w:sz="0" w:space="0" w:color="auto"/>
            <w:bottom w:val="none" w:sz="0" w:space="0" w:color="auto"/>
            <w:right w:val="none" w:sz="0" w:space="0" w:color="auto"/>
          </w:divBdr>
          <w:divsChild>
            <w:div w:id="817041298">
              <w:marLeft w:val="0"/>
              <w:marRight w:val="0"/>
              <w:marTop w:val="0"/>
              <w:marBottom w:val="0"/>
              <w:divBdr>
                <w:top w:val="none" w:sz="0" w:space="0" w:color="auto"/>
                <w:left w:val="none" w:sz="0" w:space="0" w:color="auto"/>
                <w:bottom w:val="none" w:sz="0" w:space="0" w:color="auto"/>
                <w:right w:val="none" w:sz="0" w:space="0" w:color="auto"/>
              </w:divBdr>
            </w:div>
          </w:divsChild>
        </w:div>
        <w:div w:id="1482770684">
          <w:marLeft w:val="0"/>
          <w:marRight w:val="0"/>
          <w:marTop w:val="0"/>
          <w:marBottom w:val="0"/>
          <w:divBdr>
            <w:top w:val="none" w:sz="0" w:space="0" w:color="auto"/>
            <w:left w:val="none" w:sz="0" w:space="0" w:color="auto"/>
            <w:bottom w:val="none" w:sz="0" w:space="0" w:color="auto"/>
            <w:right w:val="none" w:sz="0" w:space="0" w:color="auto"/>
          </w:divBdr>
          <w:divsChild>
            <w:div w:id="1039939570">
              <w:marLeft w:val="0"/>
              <w:marRight w:val="0"/>
              <w:marTop w:val="0"/>
              <w:marBottom w:val="0"/>
              <w:divBdr>
                <w:top w:val="none" w:sz="0" w:space="0" w:color="auto"/>
                <w:left w:val="none" w:sz="0" w:space="0" w:color="auto"/>
                <w:bottom w:val="none" w:sz="0" w:space="0" w:color="auto"/>
                <w:right w:val="none" w:sz="0" w:space="0" w:color="auto"/>
              </w:divBdr>
            </w:div>
          </w:divsChild>
        </w:div>
        <w:div w:id="2061323993">
          <w:marLeft w:val="0"/>
          <w:marRight w:val="0"/>
          <w:marTop w:val="0"/>
          <w:marBottom w:val="0"/>
          <w:divBdr>
            <w:top w:val="none" w:sz="0" w:space="0" w:color="auto"/>
            <w:left w:val="none" w:sz="0" w:space="0" w:color="auto"/>
            <w:bottom w:val="none" w:sz="0" w:space="0" w:color="auto"/>
            <w:right w:val="none" w:sz="0" w:space="0" w:color="auto"/>
          </w:divBdr>
          <w:divsChild>
            <w:div w:id="2004622871">
              <w:marLeft w:val="0"/>
              <w:marRight w:val="0"/>
              <w:marTop w:val="0"/>
              <w:marBottom w:val="0"/>
              <w:divBdr>
                <w:top w:val="none" w:sz="0" w:space="0" w:color="auto"/>
                <w:left w:val="none" w:sz="0" w:space="0" w:color="auto"/>
                <w:bottom w:val="none" w:sz="0" w:space="0" w:color="auto"/>
                <w:right w:val="none" w:sz="0" w:space="0" w:color="auto"/>
              </w:divBdr>
            </w:div>
          </w:divsChild>
        </w:div>
        <w:div w:id="513768217">
          <w:marLeft w:val="0"/>
          <w:marRight w:val="0"/>
          <w:marTop w:val="0"/>
          <w:marBottom w:val="0"/>
          <w:divBdr>
            <w:top w:val="none" w:sz="0" w:space="0" w:color="auto"/>
            <w:left w:val="none" w:sz="0" w:space="0" w:color="auto"/>
            <w:bottom w:val="none" w:sz="0" w:space="0" w:color="auto"/>
            <w:right w:val="none" w:sz="0" w:space="0" w:color="auto"/>
          </w:divBdr>
          <w:divsChild>
            <w:div w:id="2074498208">
              <w:marLeft w:val="0"/>
              <w:marRight w:val="0"/>
              <w:marTop w:val="0"/>
              <w:marBottom w:val="0"/>
              <w:divBdr>
                <w:top w:val="none" w:sz="0" w:space="0" w:color="auto"/>
                <w:left w:val="none" w:sz="0" w:space="0" w:color="auto"/>
                <w:bottom w:val="none" w:sz="0" w:space="0" w:color="auto"/>
                <w:right w:val="none" w:sz="0" w:space="0" w:color="auto"/>
              </w:divBdr>
            </w:div>
          </w:divsChild>
        </w:div>
        <w:div w:id="721560498">
          <w:marLeft w:val="0"/>
          <w:marRight w:val="0"/>
          <w:marTop w:val="0"/>
          <w:marBottom w:val="0"/>
          <w:divBdr>
            <w:top w:val="none" w:sz="0" w:space="0" w:color="auto"/>
            <w:left w:val="none" w:sz="0" w:space="0" w:color="auto"/>
            <w:bottom w:val="none" w:sz="0" w:space="0" w:color="auto"/>
            <w:right w:val="none" w:sz="0" w:space="0" w:color="auto"/>
          </w:divBdr>
          <w:divsChild>
            <w:div w:id="3803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9789264307780-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532D1E45-8661-4936-8ED6-02B37851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6262</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SDI 1186</cp:lastModifiedBy>
  <cp:revision>56</cp:revision>
  <dcterms:created xsi:type="dcterms:W3CDTF">2026-05-08T12:08:00Z</dcterms:created>
  <dcterms:modified xsi:type="dcterms:W3CDTF">2026-05-13T07:38:00Z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1b9cad0faa3e4e1ca301383b5ad4c7da</vt:lpwstr>
  </property>
</Properties>
</file>