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D3F69" w14:textId="77777777" w:rsidR="005108DD" w:rsidRDefault="005108DD" w:rsidP="000C4E8B">
      <w:pPr>
        <w:spacing w:after="0" w:line="240" w:lineRule="auto"/>
        <w:ind w:right="288"/>
        <w:jc w:val="center"/>
        <w:rPr>
          <w:rFonts w:ascii="Times New Roman" w:hAnsi="Times New Roman" w:cs="Times New Roman"/>
          <w:b/>
          <w:color w:val="000000" w:themeColor="text1"/>
        </w:rPr>
      </w:pPr>
    </w:p>
    <w:p w14:paraId="24FC7FCC" w14:textId="77777777" w:rsidR="00E61685" w:rsidRDefault="00E61685" w:rsidP="000C4E8B">
      <w:pPr>
        <w:spacing w:after="0" w:line="240" w:lineRule="auto"/>
        <w:ind w:right="288"/>
        <w:jc w:val="center"/>
        <w:rPr>
          <w:rFonts w:ascii="Times New Roman" w:hAnsi="Times New Roman" w:cs="Times New Roman"/>
          <w:b/>
          <w:color w:val="000000" w:themeColor="text1"/>
        </w:rPr>
      </w:pPr>
    </w:p>
    <w:p w14:paraId="05BF69A3" w14:textId="77777777" w:rsidR="00E61685" w:rsidRDefault="00E61685" w:rsidP="000C4E8B">
      <w:pPr>
        <w:spacing w:after="0" w:line="240" w:lineRule="auto"/>
        <w:ind w:right="288"/>
        <w:jc w:val="center"/>
        <w:rPr>
          <w:rFonts w:ascii="Times New Roman" w:hAnsi="Times New Roman" w:cs="Times New Roman"/>
          <w:b/>
          <w:color w:val="000000" w:themeColor="text1"/>
        </w:rPr>
      </w:pPr>
    </w:p>
    <w:p w14:paraId="41AFD616" w14:textId="666DD95E" w:rsidR="005108DD" w:rsidRPr="005108DD" w:rsidRDefault="00E61685" w:rsidP="005108DD">
      <w:pPr>
        <w:spacing w:after="0" w:line="240" w:lineRule="auto"/>
        <w:ind w:right="288"/>
        <w:rPr>
          <w:rFonts w:ascii="Times New Roman" w:hAnsi="Times New Roman" w:cs="Times New Roman"/>
          <w:b/>
          <w:color w:val="000000" w:themeColor="text1"/>
          <w:u w:val="single"/>
        </w:rPr>
      </w:pPr>
      <w:r>
        <w:rPr>
          <w:rFonts w:ascii="Times New Roman" w:hAnsi="Times New Roman" w:cs="Times New Roman"/>
          <w:b/>
          <w:color w:val="000000" w:themeColor="text1"/>
          <w:u w:val="single"/>
        </w:rPr>
        <w:t>Revised</w:t>
      </w:r>
      <w:r w:rsidR="005108DD" w:rsidRPr="005108DD">
        <w:rPr>
          <w:rFonts w:ascii="Times New Roman" w:hAnsi="Times New Roman" w:cs="Times New Roman"/>
          <w:b/>
          <w:color w:val="000000" w:themeColor="text1"/>
          <w:u w:val="single"/>
        </w:rPr>
        <w:t xml:space="preserve"> Research Article</w:t>
      </w:r>
    </w:p>
    <w:p w14:paraId="55206FDE" w14:textId="77777777" w:rsidR="005108DD" w:rsidRDefault="005108DD" w:rsidP="000C4E8B">
      <w:pPr>
        <w:spacing w:after="0" w:line="240" w:lineRule="auto"/>
        <w:ind w:right="288"/>
        <w:jc w:val="center"/>
        <w:rPr>
          <w:rFonts w:ascii="Times New Roman" w:hAnsi="Times New Roman" w:cs="Times New Roman"/>
          <w:b/>
          <w:color w:val="000000" w:themeColor="text1"/>
        </w:rPr>
      </w:pPr>
    </w:p>
    <w:p w14:paraId="6B546A60" w14:textId="77777777" w:rsidR="005108DD" w:rsidRDefault="005108DD" w:rsidP="000C4E8B">
      <w:pPr>
        <w:spacing w:after="0" w:line="240" w:lineRule="auto"/>
        <w:ind w:right="288"/>
        <w:jc w:val="center"/>
        <w:rPr>
          <w:rFonts w:ascii="Times New Roman" w:hAnsi="Times New Roman" w:cs="Times New Roman"/>
          <w:b/>
          <w:color w:val="000000" w:themeColor="text1"/>
        </w:rPr>
      </w:pPr>
    </w:p>
    <w:p w14:paraId="4D1FB603" w14:textId="5870680C" w:rsidR="00AF0E90" w:rsidRPr="004B65C0" w:rsidRDefault="00EE0D40" w:rsidP="000C4E8B">
      <w:pPr>
        <w:spacing w:after="0" w:line="240" w:lineRule="auto"/>
        <w:ind w:right="288"/>
        <w:jc w:val="center"/>
        <w:rPr>
          <w:rFonts w:ascii="Times New Roman" w:hAnsi="Times New Roman" w:cs="Times New Roman"/>
          <w:b/>
          <w:color w:val="000000" w:themeColor="text1"/>
        </w:rPr>
      </w:pPr>
      <w:r w:rsidRPr="004B65C0">
        <w:rPr>
          <w:rFonts w:ascii="Times New Roman" w:hAnsi="Times New Roman" w:cs="Times New Roman"/>
          <w:b/>
          <w:color w:val="000000" w:themeColor="text1"/>
        </w:rPr>
        <w:t>EFFECTIVENESS OF HEAD TEACHERS’ ADMINISTRATIVE STRATEGIES IN ACHIEVING COMPETENCY-BASED EDUCATION LEARNING OUTCOMES IN PUBLIC PRIMARY SCHOOLS IN WAJIR EAST SUB-COUNTY, KENYA</w:t>
      </w:r>
    </w:p>
    <w:p w14:paraId="54965C8B" w14:textId="77777777" w:rsidR="00AF0E90" w:rsidRPr="004B65C0" w:rsidRDefault="00AF0E90" w:rsidP="000C4E8B">
      <w:pPr>
        <w:spacing w:after="0" w:line="240" w:lineRule="auto"/>
        <w:ind w:right="288"/>
        <w:jc w:val="center"/>
        <w:rPr>
          <w:rFonts w:ascii="Times New Roman" w:hAnsi="Times New Roman" w:cs="Times New Roman"/>
          <w:b/>
          <w:color w:val="000000" w:themeColor="text1"/>
          <w:sz w:val="24"/>
          <w:szCs w:val="24"/>
        </w:rPr>
      </w:pPr>
    </w:p>
    <w:p w14:paraId="3F84EAD1" w14:textId="1183E8B6" w:rsidR="005108DD" w:rsidRDefault="005108DD" w:rsidP="005108DD">
      <w:pPr>
        <w:spacing w:after="0" w:line="240" w:lineRule="auto"/>
        <w:ind w:right="288"/>
        <w:jc w:val="center"/>
        <w:rPr>
          <w:rFonts w:ascii="Times New Roman" w:hAnsi="Times New Roman" w:cs="Times New Roman"/>
          <w:b/>
          <w:color w:val="000000" w:themeColor="text1"/>
          <w:sz w:val="24"/>
          <w:szCs w:val="24"/>
        </w:rPr>
      </w:pPr>
    </w:p>
    <w:p w14:paraId="0C833CF3" w14:textId="77777777" w:rsidR="009B0400" w:rsidRPr="004B65C0" w:rsidRDefault="009B0400" w:rsidP="005108DD">
      <w:pPr>
        <w:spacing w:after="0" w:line="240" w:lineRule="auto"/>
        <w:ind w:right="288"/>
        <w:jc w:val="center"/>
        <w:rPr>
          <w:rFonts w:ascii="Times New Roman" w:hAnsi="Times New Roman" w:cs="Times New Roman"/>
          <w:b/>
          <w:color w:val="000000" w:themeColor="text1"/>
          <w:sz w:val="24"/>
          <w:szCs w:val="24"/>
        </w:rPr>
      </w:pPr>
    </w:p>
    <w:p w14:paraId="6045D627" w14:textId="77777777" w:rsidR="003C6050" w:rsidRPr="004B65C0" w:rsidRDefault="003C6050" w:rsidP="000C4E8B">
      <w:pPr>
        <w:spacing w:after="0" w:line="240" w:lineRule="auto"/>
        <w:ind w:right="288"/>
        <w:jc w:val="center"/>
        <w:rPr>
          <w:rFonts w:ascii="Times New Roman" w:hAnsi="Times New Roman" w:cs="Times New Roman"/>
          <w:b/>
          <w:color w:val="000000" w:themeColor="text1"/>
          <w:sz w:val="24"/>
          <w:szCs w:val="24"/>
        </w:rPr>
      </w:pPr>
    </w:p>
    <w:p w14:paraId="72358D4D" w14:textId="77777777" w:rsidR="006C7FE0" w:rsidRPr="004B65C0" w:rsidRDefault="00617F25" w:rsidP="000C4E8B">
      <w:pPr>
        <w:jc w:val="both"/>
        <w:rPr>
          <w:rFonts w:ascii="Times New Roman" w:hAnsi="Times New Roman" w:cs="Times New Roman"/>
          <w:b/>
          <w:color w:val="000000" w:themeColor="text1"/>
        </w:rPr>
      </w:pPr>
      <w:bookmarkStart w:id="0" w:name="_Toc188281857"/>
      <w:bookmarkStart w:id="1" w:name="_Toc225232375"/>
      <w:r w:rsidRPr="004B65C0">
        <w:rPr>
          <w:rFonts w:ascii="Times New Roman" w:hAnsi="Times New Roman" w:cs="Times New Roman"/>
          <w:b/>
          <w:color w:val="000000" w:themeColor="text1"/>
        </w:rPr>
        <w:t>ABSTRACT</w:t>
      </w:r>
      <w:bookmarkEnd w:id="0"/>
      <w:bookmarkEnd w:id="1"/>
    </w:p>
    <w:p w14:paraId="0B7ABBD6" w14:textId="4AB4CB8A" w:rsidR="006C7FE0" w:rsidRPr="004B65C0" w:rsidRDefault="006C7FE0" w:rsidP="006239BB">
      <w:pPr>
        <w:jc w:val="both"/>
        <w:rPr>
          <w:rFonts w:ascii="Times New Roman" w:hAnsi="Times New Roman" w:cs="Times New Roman"/>
          <w:color w:val="000000" w:themeColor="text1"/>
        </w:rPr>
      </w:pPr>
      <w:r w:rsidRPr="004B65C0">
        <w:rPr>
          <w:rFonts w:ascii="Times New Roman" w:hAnsi="Times New Roman" w:cs="Times New Roman"/>
          <w:color w:val="000000" w:themeColor="text1"/>
        </w:rPr>
        <w:t xml:space="preserve">This study assessed the effectiveness </w:t>
      </w:r>
      <w:r w:rsidR="00E61685" w:rsidRPr="00E61685">
        <w:rPr>
          <w:rFonts w:ascii="Times New Roman" w:hAnsi="Times New Roman" w:cs="Times New Roman"/>
          <w:color w:val="000000" w:themeColor="text1"/>
        </w:rPr>
        <w:t>of head teachers’ administrative strategies in achieving competency-based education</w:t>
      </w:r>
      <w:r w:rsidR="006239BB">
        <w:rPr>
          <w:rFonts w:ascii="Times New Roman" w:hAnsi="Times New Roman" w:cs="Times New Roman"/>
          <w:color w:val="000000" w:themeColor="text1"/>
        </w:rPr>
        <w:t xml:space="preserve"> (CBE)</w:t>
      </w:r>
      <w:r w:rsidR="00E61685" w:rsidRPr="00E61685">
        <w:rPr>
          <w:rFonts w:ascii="Times New Roman" w:hAnsi="Times New Roman" w:cs="Times New Roman"/>
          <w:color w:val="000000" w:themeColor="text1"/>
        </w:rPr>
        <w:t xml:space="preserve"> learning outcomes in public primary schools in Wajir East Sub-County, Kenya</w:t>
      </w:r>
      <w:r w:rsidR="006239BB">
        <w:rPr>
          <w:rFonts w:ascii="Times New Roman" w:hAnsi="Times New Roman" w:cs="Times New Roman"/>
          <w:color w:val="000000" w:themeColor="text1"/>
        </w:rPr>
        <w:t xml:space="preserve">. </w:t>
      </w:r>
      <w:r w:rsidR="003B01F0" w:rsidRPr="004B65C0">
        <w:rPr>
          <w:rFonts w:ascii="Times New Roman" w:hAnsi="Times New Roman" w:cs="Times New Roman"/>
          <w:color w:val="000000" w:themeColor="text1"/>
        </w:rPr>
        <w:t>This research was conducted on a positivist research paradigm</w:t>
      </w:r>
      <w:r w:rsidR="00D61E4D">
        <w:rPr>
          <w:rFonts w:ascii="Times New Roman" w:hAnsi="Times New Roman" w:cs="Times New Roman"/>
          <w:color w:val="000000" w:themeColor="text1"/>
        </w:rPr>
        <w:t>. A</w:t>
      </w:r>
      <w:r w:rsidR="003B01F0" w:rsidRPr="004B65C0">
        <w:rPr>
          <w:rFonts w:ascii="Times New Roman" w:hAnsi="Times New Roman" w:cs="Times New Roman"/>
          <w:color w:val="000000" w:themeColor="text1"/>
        </w:rPr>
        <w:t xml:space="preserve"> case study design with a combination of quantitative and qualitative approaches</w:t>
      </w:r>
      <w:r w:rsidR="00D61E4D">
        <w:rPr>
          <w:rFonts w:ascii="Times New Roman" w:hAnsi="Times New Roman" w:cs="Times New Roman"/>
          <w:color w:val="000000" w:themeColor="text1"/>
        </w:rPr>
        <w:t xml:space="preserve"> was utilized.</w:t>
      </w:r>
      <w:r w:rsidR="003B01F0" w:rsidRPr="004B65C0">
        <w:rPr>
          <w:rFonts w:ascii="Times New Roman" w:hAnsi="Times New Roman" w:cs="Times New Roman"/>
          <w:color w:val="000000" w:themeColor="text1"/>
        </w:rPr>
        <w:t xml:space="preserve"> </w:t>
      </w:r>
      <w:r w:rsidR="00D61E4D">
        <w:rPr>
          <w:rFonts w:ascii="Times New Roman" w:hAnsi="Times New Roman" w:cs="Times New Roman"/>
          <w:color w:val="000000" w:themeColor="text1"/>
        </w:rPr>
        <w:t>The study was anchored on</w:t>
      </w:r>
      <w:r w:rsidR="003B01F0" w:rsidRPr="004B65C0">
        <w:rPr>
          <w:rFonts w:ascii="Times New Roman" w:hAnsi="Times New Roman" w:cs="Times New Roman"/>
          <w:color w:val="000000" w:themeColor="text1"/>
        </w:rPr>
        <w:t xml:space="preserve"> i</w:t>
      </w:r>
      <w:r w:rsidR="00D61E4D">
        <w:rPr>
          <w:rFonts w:ascii="Times New Roman" w:hAnsi="Times New Roman" w:cs="Times New Roman"/>
          <w:color w:val="000000" w:themeColor="text1"/>
        </w:rPr>
        <w:t>nstructional leadership theory</w:t>
      </w:r>
      <w:r w:rsidR="003B01F0" w:rsidRPr="004B65C0">
        <w:rPr>
          <w:rFonts w:ascii="Times New Roman" w:hAnsi="Times New Roman" w:cs="Times New Roman"/>
          <w:color w:val="000000" w:themeColor="text1"/>
        </w:rPr>
        <w:t>. The population targeted were 279 teachers and 27 head teachers</w:t>
      </w:r>
      <w:r w:rsidR="00794FB7">
        <w:rPr>
          <w:rFonts w:ascii="Times New Roman" w:hAnsi="Times New Roman" w:cs="Times New Roman"/>
          <w:color w:val="000000" w:themeColor="text1"/>
        </w:rPr>
        <w:t xml:space="preserve"> from</w:t>
      </w:r>
      <w:r w:rsidR="003B01F0" w:rsidRPr="004B65C0">
        <w:rPr>
          <w:rFonts w:ascii="Times New Roman" w:hAnsi="Times New Roman" w:cs="Times New Roman"/>
          <w:color w:val="000000" w:themeColor="text1"/>
        </w:rPr>
        <w:t xml:space="preserve"> all the 27 public primary schools</w:t>
      </w:r>
      <w:r w:rsidR="00794FB7" w:rsidRPr="00794FB7">
        <w:t xml:space="preserve"> </w:t>
      </w:r>
      <w:r w:rsidR="00794FB7" w:rsidRPr="00794FB7">
        <w:rPr>
          <w:rFonts w:ascii="Times New Roman" w:hAnsi="Times New Roman" w:cs="Times New Roman"/>
          <w:color w:val="000000" w:themeColor="text1"/>
        </w:rPr>
        <w:t>in Wajir East Sub-County</w:t>
      </w:r>
      <w:r w:rsidR="003B01F0" w:rsidRPr="004B65C0">
        <w:rPr>
          <w:rFonts w:ascii="Times New Roman" w:hAnsi="Times New Roman" w:cs="Times New Roman"/>
          <w:color w:val="000000" w:themeColor="text1"/>
        </w:rPr>
        <w:t xml:space="preserve">. </w:t>
      </w:r>
      <w:r w:rsidR="006E7469" w:rsidRPr="006E7469">
        <w:rPr>
          <w:rFonts w:ascii="Times New Roman" w:hAnsi="Times New Roman" w:cs="Times New Roman"/>
          <w:color w:val="000000" w:themeColor="text1"/>
        </w:rPr>
        <w:t xml:space="preserve">Yamane's formula </w:t>
      </w:r>
      <w:r w:rsidR="006E7469">
        <w:rPr>
          <w:rFonts w:ascii="Times New Roman" w:hAnsi="Times New Roman" w:cs="Times New Roman"/>
          <w:color w:val="000000" w:themeColor="text1"/>
        </w:rPr>
        <w:t xml:space="preserve">was utilized giving sample size of </w:t>
      </w:r>
      <w:r w:rsidR="003B01F0" w:rsidRPr="004B65C0">
        <w:rPr>
          <w:rFonts w:ascii="Times New Roman" w:hAnsi="Times New Roman" w:cs="Times New Roman"/>
          <w:color w:val="000000" w:themeColor="text1"/>
        </w:rPr>
        <w:t xml:space="preserve">173 respondents (158 teachers and 15 head teachers). Structured questionnaires were used to collect the data from teachers and interview guides with head teachers. The instrument reliability was confirmed by Cronbach's alpha at 0.837. An actual response rate of 95.4% was achieved. Descriptive statistics and Pearson correlation were used for analysis. The findings revealed a moderate overall effectiveness mean of 3.14 (SD = .78) and instructional supervision was the most effective (M = 3.22, SD = .81), while promotion of learner-centered teaching was the weakest dimension (M = 3.09, SD = .82). The effectiveness of head teachers' strategies was meaningfully correlated with CBE implementation outcomes (r = .687, p &lt; .01) as a significant positive Pearson correlation was found. </w:t>
      </w:r>
      <w:r w:rsidRPr="004B65C0">
        <w:rPr>
          <w:rFonts w:ascii="Times New Roman" w:hAnsi="Times New Roman" w:cs="Times New Roman"/>
          <w:color w:val="000000" w:themeColor="text1"/>
        </w:rPr>
        <w:t>Qualitative findings from interviews revealed that while supervisory engagement produced observable improvements in lesson delivery, teachers frequently reverted to teacher-centered methods without</w:t>
      </w:r>
      <w:r w:rsidR="007E7703" w:rsidRPr="004B65C0">
        <w:rPr>
          <w:rFonts w:ascii="Times New Roman" w:hAnsi="Times New Roman" w:cs="Times New Roman"/>
          <w:color w:val="000000" w:themeColor="text1"/>
        </w:rPr>
        <w:t xml:space="preserve"> sustained professional support</w:t>
      </w:r>
      <w:r w:rsidRPr="004B65C0">
        <w:rPr>
          <w:rFonts w:ascii="Times New Roman" w:hAnsi="Times New Roman" w:cs="Times New Roman"/>
          <w:color w:val="000000" w:themeColor="text1"/>
        </w:rPr>
        <w:t xml:space="preserve"> and irregular learner attendance in nomadic communities undermined competency progression. The study concludes that strategy effectiveness is constrained by insufficient embedded professional development and structural contextual barriers unique to marginalized settings. It recommends establishment of school-based instructional committees, structured peer coaching frameworks, and context-sensitive formative assessment toolkits tailored to arid and semi-arid educational environments.</w:t>
      </w:r>
    </w:p>
    <w:p w14:paraId="7E84B3C4" w14:textId="77777777" w:rsidR="00121B07" w:rsidRPr="004B65C0" w:rsidRDefault="006C7FE0" w:rsidP="000C4E8B">
      <w:pPr>
        <w:jc w:val="center"/>
        <w:rPr>
          <w:rFonts w:ascii="Times New Roman" w:hAnsi="Times New Roman" w:cs="Times New Roman"/>
          <w:b/>
          <w:color w:val="000000" w:themeColor="text1"/>
        </w:rPr>
      </w:pPr>
      <w:r w:rsidRPr="004B65C0">
        <w:rPr>
          <w:rFonts w:ascii="Times New Roman" w:hAnsi="Times New Roman" w:cs="Times New Roman"/>
          <w:b/>
          <w:color w:val="000000" w:themeColor="text1"/>
        </w:rPr>
        <w:t>Key words: Head teachers; administrative strategies; effectiveness; CBE learning outcomes; instructional leadership; Wajir East; Kenya</w:t>
      </w:r>
      <w:r w:rsidR="00617F25" w:rsidRPr="004B65C0">
        <w:rPr>
          <w:rFonts w:ascii="Times New Roman" w:hAnsi="Times New Roman" w:cs="Times New Roman"/>
          <w:b/>
          <w:color w:val="000000" w:themeColor="text1"/>
        </w:rPr>
        <w:t>.</w:t>
      </w:r>
    </w:p>
    <w:p w14:paraId="43F15ACB" w14:textId="77777777" w:rsidR="008419B4" w:rsidRPr="004B65C0" w:rsidRDefault="008419B4" w:rsidP="000C4E8B">
      <w:pPr>
        <w:rPr>
          <w:rFonts w:ascii="Times New Roman" w:hAnsi="Times New Roman" w:cs="Times New Roman"/>
          <w:b/>
          <w:color w:val="000000" w:themeColor="text1"/>
        </w:rPr>
      </w:pPr>
      <w:bookmarkStart w:id="2" w:name="_Toc188281860"/>
      <w:bookmarkStart w:id="3" w:name="_Toc225232379"/>
      <w:r w:rsidRPr="004B65C0">
        <w:rPr>
          <w:rFonts w:ascii="Times New Roman" w:hAnsi="Times New Roman" w:cs="Times New Roman"/>
          <w:b/>
          <w:color w:val="000000" w:themeColor="text1"/>
        </w:rPr>
        <w:t xml:space="preserve">INTRODUCTION </w:t>
      </w:r>
    </w:p>
    <w:bookmarkEnd w:id="2"/>
    <w:bookmarkEnd w:id="3"/>
    <w:p w14:paraId="1D34E980" w14:textId="77777777" w:rsidR="008C0A6D"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The education system is shifting towards a competency-based approach that emphasizes skills for the 21</w:t>
      </w:r>
      <w:r w:rsidRPr="004B65C0">
        <w:rPr>
          <w:rFonts w:ascii="Times New Roman" w:hAnsi="Times New Roman" w:cs="Times New Roman"/>
          <w:color w:val="000000" w:themeColor="text1"/>
          <w:sz w:val="24"/>
          <w:szCs w:val="24"/>
          <w:vertAlign w:val="superscript"/>
        </w:rPr>
        <w:t>st</w:t>
      </w:r>
      <w:r w:rsidRPr="004B65C0">
        <w:rPr>
          <w:rFonts w:ascii="Times New Roman" w:hAnsi="Times New Roman" w:cs="Times New Roman"/>
          <w:color w:val="000000" w:themeColor="text1"/>
          <w:sz w:val="24"/>
          <w:szCs w:val="24"/>
        </w:rPr>
        <w:t xml:space="preserve"> century, including critical thinking, collaboration, creativity and digital literacy (Organisation for Economic Co-operation and Development [OECD], 2018). This shift was institutionalized in Kenya in 2017 with the implementation of Competency Based Education (CBE) which superseded the 8-4-4 curriculum framework which had been in operation in basic education since the early 1980s (Kenya Institute of Curriculum Development [KICD], 2017). The key competences of the core architecture of CBE are communication and collaboration, critical thinking and problem solving, imagination and creativity, citizenship, digital literacy, self-efficacy and learning to learn, designed to produce learners who are empowered, engaged, and ethically </w:t>
      </w:r>
      <w:r w:rsidRPr="004B65C0">
        <w:rPr>
          <w:rFonts w:ascii="Times New Roman" w:hAnsi="Times New Roman" w:cs="Times New Roman"/>
          <w:color w:val="000000" w:themeColor="text1"/>
          <w:sz w:val="24"/>
          <w:szCs w:val="24"/>
        </w:rPr>
        <w:lastRenderedPageBreak/>
        <w:t>grounded citizens who can contribute productively to Kenyan society and the global economy (KICD, 2017).</w:t>
      </w:r>
    </w:p>
    <w:p w14:paraId="11EE9F7B" w14:textId="77777777" w:rsidR="008C0A6D"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Although this reform is driven by a strong vision, there have been many challenges in implementing CBE at the school level, especially in the marginalized and arid areas like Wajir East Sub-County. According to a national assessment conducted by the Kenya National Examinations Council (KNEC, 2022), less than 40% of the public primary school teachers felt well equipped to teach CBE methodologies. The KICD (2023) also reported that there were chronic textbook and teaching materials shortages in arid counties, with more than 60% of the counties reporting such deficits. These systemic gaps have led to inconsistent implementation and to increased educational disparities between well-resourced urban schools and poorly-resourced rural schools.</w:t>
      </w:r>
    </w:p>
    <w:p w14:paraId="0A68EC35" w14:textId="77777777" w:rsidR="008C0A6D"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The school-level leadership becomes a key mediating variable between the national policy goal and the classroom reality. The head teachers are the operational leaders of public primary schools who are responsible for coordinating teacher professional development, mobilizing learning resources, managing community engagement and compliance with curriculum directives (</w:t>
      </w:r>
      <w:proofErr w:type="spellStart"/>
      <w:r w:rsidRPr="004B65C0">
        <w:rPr>
          <w:rFonts w:ascii="Times New Roman" w:hAnsi="Times New Roman" w:cs="Times New Roman"/>
          <w:color w:val="000000" w:themeColor="text1"/>
          <w:sz w:val="24"/>
          <w:szCs w:val="24"/>
        </w:rPr>
        <w:t>Ndiga</w:t>
      </w:r>
      <w:proofErr w:type="spellEnd"/>
      <w:r w:rsidRPr="004B65C0">
        <w:rPr>
          <w:rFonts w:ascii="Times New Roman" w:hAnsi="Times New Roman" w:cs="Times New Roman"/>
          <w:color w:val="000000" w:themeColor="text1"/>
          <w:sz w:val="24"/>
          <w:szCs w:val="24"/>
        </w:rPr>
        <w:t>, 2021). They have a direct impact on the school climate, the quality of the teaching and learning, the use of school resources, and the achievement of CBE learning outcomes. These strategies have, however, been less extensively examined in the empirical literature and have not been well studied, especially in sub-counties where the structural factors are overwhelming and limit leadership capacity.</w:t>
      </w:r>
    </w:p>
    <w:p w14:paraId="763A5B68" w14:textId="77777777" w:rsidR="00314879" w:rsidRPr="004B65C0" w:rsidRDefault="008C0A6D" w:rsidP="000C4E8B">
      <w:pPr>
        <w:spacing w:before="240" w:after="240" w:line="240" w:lineRule="auto"/>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The context of Wajir East Sub-County is very unique. The sub-county's Net Enrolment Rate is about 52%, which is much lower than the national average of 84%, while dropouts are compounded by the pastoralist lifestyle, which requires that children participate in seasonal migration of livestock which interferes with their schooling (Ministry of Education, 2023). The teacher to pupil ratio in the sub-county is 1:65 which is higher than the national ratio of 1:40 (Teachers Service Commission [TSC], 2022). Insufficient WASH facilities in schools (UNICEF Kenya, 2022) and insecurity in areas along the borders further affects teacher deployment and learner attendance. Therefore, the structural and humanitarian factors that are out of the school's control can limit the effectiveness of the best intentions of the administration</w:t>
      </w:r>
      <w:r w:rsidR="00314879" w:rsidRPr="004B65C0">
        <w:rPr>
          <w:rFonts w:ascii="Times New Roman" w:hAnsi="Times New Roman" w:cs="Times New Roman"/>
          <w:color w:val="000000" w:themeColor="text1"/>
          <w:sz w:val="24"/>
          <w:szCs w:val="24"/>
        </w:rPr>
        <w:t>.</w:t>
      </w:r>
    </w:p>
    <w:p w14:paraId="37D1A0CA" w14:textId="77777777" w:rsidR="00121B07" w:rsidRPr="004B65C0" w:rsidRDefault="00495388" w:rsidP="000C4E8B">
      <w:pPr>
        <w:jc w:val="both"/>
        <w:rPr>
          <w:rFonts w:ascii="Times New Roman" w:hAnsi="Times New Roman" w:cs="Times New Roman"/>
          <w:b/>
          <w:color w:val="000000" w:themeColor="text1"/>
        </w:rPr>
      </w:pPr>
      <w:bookmarkStart w:id="4" w:name="_Toc188281863"/>
      <w:bookmarkStart w:id="5" w:name="_Toc225232382"/>
      <w:r w:rsidRPr="004B65C0">
        <w:rPr>
          <w:rFonts w:ascii="Times New Roman" w:hAnsi="Times New Roman" w:cs="Times New Roman"/>
          <w:b/>
          <w:color w:val="000000" w:themeColor="text1"/>
        </w:rPr>
        <w:t>OBJECTIVE</w:t>
      </w:r>
      <w:bookmarkEnd w:id="4"/>
      <w:bookmarkEnd w:id="5"/>
      <w:r w:rsidRPr="004B65C0">
        <w:rPr>
          <w:rFonts w:ascii="Times New Roman" w:hAnsi="Times New Roman" w:cs="Times New Roman"/>
          <w:b/>
          <w:color w:val="000000" w:themeColor="text1"/>
        </w:rPr>
        <w:t xml:space="preserve"> OF THE STUDY </w:t>
      </w:r>
    </w:p>
    <w:p w14:paraId="315CDF91" w14:textId="102A2E74" w:rsidR="00D047F2" w:rsidRPr="00D047F2" w:rsidRDefault="00617F25" w:rsidP="003A2626">
      <w:pPr>
        <w:pStyle w:val="ListParagraph"/>
        <w:spacing w:before="240" w:after="240" w:line="240" w:lineRule="auto"/>
        <w:ind w:left="0"/>
        <w:jc w:val="both"/>
        <w:rPr>
          <w:rFonts w:ascii="Times New Roman" w:hAnsi="Times New Roman" w:cs="Times New Roman"/>
          <w:color w:val="000000" w:themeColor="text1"/>
        </w:rPr>
      </w:pPr>
      <w:r w:rsidRPr="004B65C0">
        <w:rPr>
          <w:rFonts w:ascii="Times New Roman" w:hAnsi="Times New Roman" w:cs="Times New Roman"/>
          <w:color w:val="000000" w:themeColor="text1"/>
          <w:sz w:val="24"/>
          <w:szCs w:val="24"/>
        </w:rPr>
        <w:t xml:space="preserve">To </w:t>
      </w:r>
      <w:r w:rsidR="00314879" w:rsidRPr="004B65C0">
        <w:rPr>
          <w:rFonts w:ascii="Times New Roman" w:hAnsi="Times New Roman" w:cs="Times New Roman"/>
          <w:color w:val="000000" w:themeColor="text1"/>
          <w:sz w:val="24"/>
          <w:szCs w:val="24"/>
        </w:rPr>
        <w:t xml:space="preserve">assess the </w:t>
      </w:r>
      <w:r w:rsidR="00D047F2" w:rsidRPr="00D047F2">
        <w:rPr>
          <w:rFonts w:ascii="Times New Roman" w:hAnsi="Times New Roman" w:cs="Times New Roman"/>
          <w:color w:val="000000" w:themeColor="text1"/>
        </w:rPr>
        <w:t xml:space="preserve">effectiveness of head teachers’ administrative strategies in achieving competency-based education learning outcomes in public primary schools in </w:t>
      </w:r>
      <w:r w:rsidR="003A2626" w:rsidRPr="00D047F2">
        <w:rPr>
          <w:rFonts w:ascii="Times New Roman" w:hAnsi="Times New Roman" w:cs="Times New Roman"/>
          <w:color w:val="000000" w:themeColor="text1"/>
        </w:rPr>
        <w:t>Wajir East Sub-County, Kenya</w:t>
      </w:r>
    </w:p>
    <w:p w14:paraId="54DCD8BA" w14:textId="77777777" w:rsidR="00121B07" w:rsidRPr="004B65C0" w:rsidRDefault="00495388" w:rsidP="000C4E8B">
      <w:pPr>
        <w:jc w:val="both"/>
        <w:rPr>
          <w:rFonts w:ascii="Times New Roman" w:hAnsi="Times New Roman" w:cs="Times New Roman"/>
          <w:b/>
          <w:color w:val="000000" w:themeColor="text1"/>
        </w:rPr>
      </w:pPr>
      <w:bookmarkStart w:id="6" w:name="_Toc225232384"/>
      <w:r w:rsidRPr="004B65C0">
        <w:rPr>
          <w:rFonts w:ascii="Times New Roman" w:hAnsi="Times New Roman" w:cs="Times New Roman"/>
          <w:b/>
          <w:color w:val="000000" w:themeColor="text1"/>
        </w:rPr>
        <w:t>HYPOTHESIS</w:t>
      </w:r>
      <w:bookmarkEnd w:id="6"/>
      <w:r w:rsidRPr="004B65C0">
        <w:rPr>
          <w:rFonts w:ascii="Times New Roman" w:hAnsi="Times New Roman" w:cs="Times New Roman"/>
          <w:b/>
          <w:color w:val="000000" w:themeColor="text1"/>
        </w:rPr>
        <w:t xml:space="preserve"> OF THE STUDY</w:t>
      </w:r>
    </w:p>
    <w:p w14:paraId="3773330F" w14:textId="558AE172" w:rsidR="00495388" w:rsidRPr="004B65C0" w:rsidRDefault="00617F25" w:rsidP="000C4E8B">
      <w:pPr>
        <w:pStyle w:val="ListParagraph"/>
        <w:spacing w:before="240" w:after="240" w:line="240" w:lineRule="auto"/>
        <w:ind w:left="0"/>
        <w:jc w:val="both"/>
        <w:rPr>
          <w:rFonts w:ascii="Times New Roman" w:hAnsi="Times New Roman" w:cs="Times New Roman"/>
          <w:color w:val="000000" w:themeColor="text1"/>
          <w:sz w:val="24"/>
          <w:szCs w:val="24"/>
        </w:rPr>
      </w:pPr>
      <w:r w:rsidRPr="004B65C0">
        <w:rPr>
          <w:rFonts w:ascii="Times New Roman" w:hAnsi="Times New Roman" w:cs="Times New Roman"/>
          <w:color w:val="000000" w:themeColor="text1"/>
          <w:sz w:val="24"/>
          <w:szCs w:val="24"/>
        </w:rPr>
        <w:t>H</w:t>
      </w:r>
      <w:r w:rsidR="00ED22CB" w:rsidRPr="004B65C0">
        <w:rPr>
          <w:rFonts w:ascii="Times New Roman" w:hAnsi="Times New Roman" w:cs="Times New Roman"/>
          <w:color w:val="000000" w:themeColor="text1"/>
          <w:sz w:val="24"/>
          <w:szCs w:val="24"/>
          <w:vertAlign w:val="subscript"/>
        </w:rPr>
        <w:t>0</w:t>
      </w:r>
      <w:r w:rsidR="00ED22CB" w:rsidRPr="004B65C0">
        <w:rPr>
          <w:rFonts w:ascii="Times New Roman" w:hAnsi="Times New Roman" w:cs="Times New Roman"/>
          <w:color w:val="000000" w:themeColor="text1"/>
          <w:sz w:val="24"/>
          <w:szCs w:val="24"/>
        </w:rPr>
        <w:t>1</w:t>
      </w:r>
      <w:r w:rsidRPr="004B65C0">
        <w:rPr>
          <w:rFonts w:ascii="Times New Roman" w:hAnsi="Times New Roman" w:cs="Times New Roman"/>
          <w:color w:val="000000" w:themeColor="text1"/>
          <w:sz w:val="24"/>
          <w:szCs w:val="24"/>
        </w:rPr>
        <w:t xml:space="preserve">: </w:t>
      </w:r>
      <w:r w:rsidR="00495388" w:rsidRPr="004B65C0">
        <w:rPr>
          <w:rFonts w:ascii="Times New Roman" w:hAnsi="Times New Roman" w:cs="Times New Roman"/>
          <w:color w:val="000000" w:themeColor="text1"/>
          <w:sz w:val="24"/>
          <w:szCs w:val="24"/>
        </w:rPr>
        <w:t xml:space="preserve">There is no statistically significant relationship between </w:t>
      </w:r>
      <w:r w:rsidR="003A2626" w:rsidRPr="003A2626">
        <w:rPr>
          <w:rFonts w:ascii="Times New Roman" w:hAnsi="Times New Roman" w:cs="Times New Roman"/>
          <w:color w:val="000000" w:themeColor="text1"/>
          <w:sz w:val="24"/>
          <w:szCs w:val="24"/>
        </w:rPr>
        <w:t xml:space="preserve">head teachers’ administrative strategies </w:t>
      </w:r>
      <w:r w:rsidR="00D63B13">
        <w:rPr>
          <w:rFonts w:ascii="Times New Roman" w:hAnsi="Times New Roman" w:cs="Times New Roman"/>
          <w:color w:val="000000" w:themeColor="text1"/>
          <w:sz w:val="24"/>
          <w:szCs w:val="24"/>
        </w:rPr>
        <w:t>and achievement of</w:t>
      </w:r>
      <w:r w:rsidR="003A2626" w:rsidRPr="003A2626">
        <w:rPr>
          <w:rFonts w:ascii="Times New Roman" w:hAnsi="Times New Roman" w:cs="Times New Roman"/>
          <w:color w:val="000000" w:themeColor="text1"/>
          <w:sz w:val="24"/>
          <w:szCs w:val="24"/>
        </w:rPr>
        <w:t xml:space="preserve"> competency-based education learning outcomes in public primary schools in Wajir East Sub-County, Kenya</w:t>
      </w:r>
    </w:p>
    <w:p w14:paraId="597AA59B"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LITERATURE REVIEW</w:t>
      </w:r>
    </w:p>
    <w:p w14:paraId="51301F5F"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Theoretical Framework</w:t>
      </w:r>
    </w:p>
    <w:p w14:paraId="3E306737" w14:textId="77777777" w:rsidR="00F63AC1" w:rsidRPr="00F63AC1" w:rsidRDefault="008C0A6D"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This study draws on the theory of Instructional Leadership as developed by Hallinger and Murphy (1980), and further developed by Hallinger (2003) and Hallinger and Heck (1996). The theory suggests that the school leadership has a critical role in the quality of teaching and learning in the </w:t>
      </w:r>
      <w:r w:rsidRPr="004B65C0">
        <w:rPr>
          <w:rFonts w:ascii="Times New Roman" w:eastAsia="Times New Roman" w:hAnsi="Times New Roman" w:cs="Times New Roman"/>
          <w:color w:val="000000" w:themeColor="text1"/>
          <w:sz w:val="24"/>
          <w:szCs w:val="24"/>
        </w:rPr>
        <w:lastRenderedPageBreak/>
        <w:t xml:space="preserve">school, through </w:t>
      </w:r>
      <w:proofErr w:type="spellStart"/>
      <w:r w:rsidRPr="004B65C0">
        <w:rPr>
          <w:rFonts w:ascii="Times New Roman" w:eastAsia="Times New Roman" w:hAnsi="Times New Roman" w:cs="Times New Roman"/>
          <w:color w:val="000000" w:themeColor="text1"/>
          <w:sz w:val="24"/>
          <w:szCs w:val="24"/>
        </w:rPr>
        <w:t>behaviours</w:t>
      </w:r>
      <w:proofErr w:type="spellEnd"/>
      <w:r w:rsidRPr="004B65C0">
        <w:rPr>
          <w:rFonts w:ascii="Times New Roman" w:eastAsia="Times New Roman" w:hAnsi="Times New Roman" w:cs="Times New Roman"/>
          <w:color w:val="000000" w:themeColor="text1"/>
          <w:sz w:val="24"/>
          <w:szCs w:val="24"/>
        </w:rPr>
        <w:t xml:space="preserve"> that are grouped around 3 key functions: mission definition, instructional </w:t>
      </w:r>
      <w:proofErr w:type="spellStart"/>
      <w:r w:rsidRPr="004B65C0">
        <w:rPr>
          <w:rFonts w:ascii="Times New Roman" w:eastAsia="Times New Roman" w:hAnsi="Times New Roman" w:cs="Times New Roman"/>
          <w:color w:val="000000" w:themeColor="text1"/>
          <w:sz w:val="24"/>
          <w:szCs w:val="24"/>
        </w:rPr>
        <w:t>programme</w:t>
      </w:r>
      <w:proofErr w:type="spellEnd"/>
      <w:r w:rsidRPr="004B65C0">
        <w:rPr>
          <w:rFonts w:ascii="Times New Roman" w:eastAsia="Times New Roman" w:hAnsi="Times New Roman" w:cs="Times New Roman"/>
          <w:color w:val="000000" w:themeColor="text1"/>
          <w:sz w:val="24"/>
          <w:szCs w:val="24"/>
        </w:rPr>
        <w:t xml:space="preserve"> management and promotion of a positive school learning climate. Importantly, the theory states that instructional leaders who proactively monitor teachers, organize the content of instruction, and engage in professional development create the environment where learning outcomes are most likely to be positively and reliably enhanced. This theoretical basis offers a conceptual framework that can be systematically understood the relationship between head teachers' administrative actions and CBE learning outcomes</w:t>
      </w:r>
      <w:r w:rsidR="00F63AC1" w:rsidRPr="00F63AC1">
        <w:rPr>
          <w:rFonts w:ascii="Times New Roman" w:eastAsia="Times New Roman" w:hAnsi="Times New Roman" w:cs="Times New Roman"/>
          <w:color w:val="000000" w:themeColor="text1"/>
          <w:sz w:val="24"/>
          <w:szCs w:val="24"/>
        </w:rPr>
        <w:t xml:space="preserve">. </w:t>
      </w:r>
    </w:p>
    <w:p w14:paraId="61F46B71"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Effectiveness of Head Teachers' Strategies in CBE Implementation</w:t>
      </w:r>
    </w:p>
    <w:p w14:paraId="78CAAC4F" w14:textId="77777777" w:rsidR="001E3B25" w:rsidRPr="004B65C0"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There is an expanding empirical literature that supports a positive association between quality of school leadership and effectiveness of curriculum implementation, but this association is contingent upon other factors such as the presence of resources, teacher capacity, and community engagement. A study by </w:t>
      </w:r>
      <w:proofErr w:type="spellStart"/>
      <w:r w:rsidRPr="004B65C0">
        <w:rPr>
          <w:rFonts w:ascii="Times New Roman" w:eastAsia="Times New Roman" w:hAnsi="Times New Roman" w:cs="Times New Roman"/>
          <w:color w:val="000000" w:themeColor="text1"/>
          <w:sz w:val="24"/>
          <w:szCs w:val="24"/>
        </w:rPr>
        <w:t>Wairungu</w:t>
      </w:r>
      <w:proofErr w:type="spellEnd"/>
      <w:r w:rsidRPr="004B65C0">
        <w:rPr>
          <w:rFonts w:ascii="Times New Roman" w:eastAsia="Times New Roman" w:hAnsi="Times New Roman" w:cs="Times New Roman"/>
          <w:color w:val="000000" w:themeColor="text1"/>
          <w:sz w:val="24"/>
          <w:szCs w:val="24"/>
        </w:rPr>
        <w:t xml:space="preserve"> and </w:t>
      </w:r>
      <w:proofErr w:type="spellStart"/>
      <w:r w:rsidRPr="004B65C0">
        <w:rPr>
          <w:rFonts w:ascii="Times New Roman" w:eastAsia="Times New Roman" w:hAnsi="Times New Roman" w:cs="Times New Roman"/>
          <w:color w:val="000000" w:themeColor="text1"/>
          <w:sz w:val="24"/>
          <w:szCs w:val="24"/>
        </w:rPr>
        <w:t>Magoma</w:t>
      </w:r>
      <w:proofErr w:type="spellEnd"/>
      <w:r w:rsidRPr="004B65C0">
        <w:rPr>
          <w:rFonts w:ascii="Times New Roman" w:eastAsia="Times New Roman" w:hAnsi="Times New Roman" w:cs="Times New Roman"/>
          <w:color w:val="000000" w:themeColor="text1"/>
          <w:sz w:val="24"/>
          <w:szCs w:val="24"/>
        </w:rPr>
        <w:t xml:space="preserve"> (2024) in public primary schools of Kenya revealed that although head teachers promoted the use of learner-centered pedagogy, this did not necessarily translate into the classroom due to the capacity of the teachers, the resources available in the schools, and the consistency of leadership support. Sustained leadership interventions were more successful in schools where head teachers gave ongoing CBE coaching and structured peer learning, suggesting that sustained leadership interventions are more important than episodic.</w:t>
      </w:r>
    </w:p>
    <w:p w14:paraId="12413FDF" w14:textId="77777777" w:rsidR="001E3B25" w:rsidRPr="004B65C0"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One of the more influential syntheses on the instructional leadership-student outcomes relationship was conducted by Robinson et al. (2008) who analyzed 27 studies from a variety of international settings. Their results showed that the most significant size effect was for leaders who directly encouraged and engaged in teacher professional learning, and then for leaders who organized, planned, and assessed the teaching and curriculum. The evidence is strong that when head teachers engage with the curriculum beyond administrative coordination, they lead to the most significant improvements in the quality of curriculum delivery.</w:t>
      </w:r>
    </w:p>
    <w:p w14:paraId="6C3C1A83" w14:textId="77777777" w:rsidR="001E3B25" w:rsidRPr="004B65C0" w:rsidRDefault="001E3B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Lema and Otieno (2022) investigated the supervisory techniques and effects of head teachers on teacher's work performance in public primary schools of Arusha District Council in Tanzania. The study employed a convergent mixed methods design and revealed a statistically significant positive relationship between supervisory practices and the work performance of instructors, and a significant positive relationship between head teachers' observation practice and positive conditions in the classroom and the increase in teaching quality. This is similar to the rating of effectiveness for supervision that was found in the current study, when compared with the five dimensions measured.</w:t>
      </w:r>
    </w:p>
    <w:p w14:paraId="58D1FEE3" w14:textId="4242311A" w:rsidR="00F63AC1" w:rsidRPr="00F63AC1" w:rsidRDefault="00006904" w:rsidP="000C4E8B">
      <w:pPr>
        <w:spacing w:before="100" w:after="10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lastRenderedPageBreak/>
        <w:t>Kuviyo</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Piliyesi</w:t>
      </w:r>
      <w:proofErr w:type="spellEnd"/>
      <w:r w:rsidR="001E3B25" w:rsidRPr="004B65C0">
        <w:rPr>
          <w:rFonts w:ascii="Times New Roman" w:eastAsia="Times New Roman" w:hAnsi="Times New Roman" w:cs="Times New Roman"/>
          <w:color w:val="000000" w:themeColor="text1"/>
          <w:sz w:val="24"/>
          <w:szCs w:val="24"/>
        </w:rPr>
        <w:t xml:space="preserve"> and Kanga (2022) examined principals' instructional supervision practices in public secondary schools in Kajiado North Sub-County, demonstrating a positive correlation between principals' instructional supervision practices and the effectiveness of instructional practices and learning outcomes. </w:t>
      </w:r>
      <w:proofErr w:type="spellStart"/>
      <w:r w:rsidR="001E3B25" w:rsidRPr="004B65C0">
        <w:rPr>
          <w:rFonts w:ascii="Times New Roman" w:eastAsia="Times New Roman" w:hAnsi="Times New Roman" w:cs="Times New Roman"/>
          <w:color w:val="000000" w:themeColor="text1"/>
          <w:sz w:val="24"/>
          <w:szCs w:val="24"/>
        </w:rPr>
        <w:t>Kanuvi</w:t>
      </w:r>
      <w:proofErr w:type="spellEnd"/>
      <w:r w:rsidR="001E3B25" w:rsidRPr="004B65C0">
        <w:rPr>
          <w:rFonts w:ascii="Times New Roman" w:eastAsia="Times New Roman" w:hAnsi="Times New Roman" w:cs="Times New Roman"/>
          <w:color w:val="000000" w:themeColor="text1"/>
          <w:sz w:val="24"/>
          <w:szCs w:val="24"/>
        </w:rPr>
        <w:t xml:space="preserve">, Barat, and </w:t>
      </w:r>
      <w:proofErr w:type="spellStart"/>
      <w:r w:rsidR="001E3B25" w:rsidRPr="004B65C0">
        <w:rPr>
          <w:rFonts w:ascii="Times New Roman" w:eastAsia="Times New Roman" w:hAnsi="Times New Roman" w:cs="Times New Roman"/>
          <w:color w:val="000000" w:themeColor="text1"/>
          <w:sz w:val="24"/>
          <w:szCs w:val="24"/>
        </w:rPr>
        <w:t>Piliyesi</w:t>
      </w:r>
      <w:proofErr w:type="spellEnd"/>
      <w:r w:rsidR="001E3B25" w:rsidRPr="004B65C0">
        <w:rPr>
          <w:rFonts w:ascii="Times New Roman" w:eastAsia="Times New Roman" w:hAnsi="Times New Roman" w:cs="Times New Roman"/>
          <w:color w:val="000000" w:themeColor="text1"/>
          <w:sz w:val="24"/>
          <w:szCs w:val="24"/>
        </w:rPr>
        <w:t xml:space="preserve"> (2024) also reported that the following supervisory measures in primary schools led to improved instructional effectiveness: regular visits to the classrooms, examination of lesson plans, and the provision of structured feedback. These results are consistent with the current study's results which demonstrated that supervision is the most consistent dimension of head teachers' CBE strategy implementation.</w:t>
      </w:r>
    </w:p>
    <w:p w14:paraId="0B2C2881" w14:textId="77777777" w:rsidR="00193727" w:rsidRPr="004B65C0" w:rsidRDefault="00193727"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most difficult area of alignment between the deployment of administrative strategy and curriculum outcomes is the promotion of learner-centered teaching. </w:t>
      </w:r>
      <w:proofErr w:type="spellStart"/>
      <w:r w:rsidRPr="004B65C0">
        <w:rPr>
          <w:rFonts w:ascii="Times New Roman" w:eastAsia="Times New Roman" w:hAnsi="Times New Roman" w:cs="Times New Roman"/>
          <w:color w:val="000000" w:themeColor="text1"/>
          <w:sz w:val="24"/>
          <w:szCs w:val="24"/>
        </w:rPr>
        <w:t>Maiyuria</w:t>
      </w:r>
      <w:proofErr w:type="spellEnd"/>
      <w:r w:rsidRPr="004B65C0">
        <w:rPr>
          <w:rFonts w:ascii="Times New Roman" w:eastAsia="Times New Roman" w:hAnsi="Times New Roman" w:cs="Times New Roman"/>
          <w:color w:val="000000" w:themeColor="text1"/>
          <w:sz w:val="24"/>
          <w:szCs w:val="24"/>
        </w:rPr>
        <w:t xml:space="preserve">, </w:t>
      </w:r>
      <w:proofErr w:type="spellStart"/>
      <w:r w:rsidRPr="004B65C0">
        <w:rPr>
          <w:rFonts w:ascii="Times New Roman" w:eastAsia="Times New Roman" w:hAnsi="Times New Roman" w:cs="Times New Roman"/>
          <w:color w:val="000000" w:themeColor="text1"/>
          <w:sz w:val="24"/>
          <w:szCs w:val="24"/>
        </w:rPr>
        <w:t>Mackatiani</w:t>
      </w:r>
      <w:proofErr w:type="spellEnd"/>
      <w:r w:rsidRPr="004B65C0">
        <w:rPr>
          <w:rFonts w:ascii="Times New Roman" w:eastAsia="Times New Roman" w:hAnsi="Times New Roman" w:cs="Times New Roman"/>
          <w:color w:val="000000" w:themeColor="text1"/>
          <w:sz w:val="24"/>
          <w:szCs w:val="24"/>
        </w:rPr>
        <w:t xml:space="preserve"> and </w:t>
      </w:r>
      <w:proofErr w:type="spellStart"/>
      <w:r w:rsidRPr="004B65C0">
        <w:rPr>
          <w:rFonts w:ascii="Times New Roman" w:eastAsia="Times New Roman" w:hAnsi="Times New Roman" w:cs="Times New Roman"/>
          <w:color w:val="000000" w:themeColor="text1"/>
          <w:sz w:val="24"/>
          <w:szCs w:val="24"/>
        </w:rPr>
        <w:t>Gakunga</w:t>
      </w:r>
      <w:proofErr w:type="spellEnd"/>
      <w:r w:rsidRPr="004B65C0">
        <w:rPr>
          <w:rFonts w:ascii="Times New Roman" w:eastAsia="Times New Roman" w:hAnsi="Times New Roman" w:cs="Times New Roman"/>
          <w:color w:val="000000" w:themeColor="text1"/>
          <w:sz w:val="24"/>
          <w:szCs w:val="24"/>
        </w:rPr>
        <w:t xml:space="preserve"> (2024) noted that the teachers in Kenyan public primary schools have good content knowledge but were deficient in pedagogical strategies needed to implement the competency-based learning activities. This pedagogical lack of confidence was related to the lack of support in professional development that can be provided in schools, which means that administrative supervision is not enough to fill this pedagogical void. This was confirmed by Mutua and Waweru (2023) who revealed that many teachers persisted with traditional teaching methods, instead of the learner-centered approach, especially in the absence of close supervision by their school leaders.</w:t>
      </w:r>
    </w:p>
    <w:p w14:paraId="381A8EC4" w14:textId="77777777" w:rsidR="00193727" w:rsidRPr="004B65C0" w:rsidRDefault="00193727" w:rsidP="000C4E8B">
      <w:pPr>
        <w:spacing w:before="100" w:after="100" w:line="360" w:lineRule="auto"/>
        <w:jc w:val="both"/>
        <w:rPr>
          <w:rFonts w:ascii="Times New Roman" w:eastAsia="Times New Roman" w:hAnsi="Times New Roman" w:cs="Times New Roman"/>
          <w:color w:val="000000" w:themeColor="text1"/>
          <w:sz w:val="24"/>
          <w:szCs w:val="24"/>
        </w:rPr>
      </w:pPr>
      <w:proofErr w:type="spellStart"/>
      <w:r w:rsidRPr="004B65C0">
        <w:rPr>
          <w:rFonts w:ascii="Times New Roman" w:eastAsia="Times New Roman" w:hAnsi="Times New Roman" w:cs="Times New Roman"/>
          <w:color w:val="000000" w:themeColor="text1"/>
          <w:sz w:val="24"/>
          <w:szCs w:val="24"/>
        </w:rPr>
        <w:t>Ronguno</w:t>
      </w:r>
      <w:proofErr w:type="spellEnd"/>
      <w:r w:rsidRPr="004B65C0">
        <w:rPr>
          <w:rFonts w:ascii="Times New Roman" w:eastAsia="Times New Roman" w:hAnsi="Times New Roman" w:cs="Times New Roman"/>
          <w:color w:val="000000" w:themeColor="text1"/>
          <w:sz w:val="24"/>
          <w:szCs w:val="24"/>
        </w:rPr>
        <w:t xml:space="preserve"> (2025) also corroborated in </w:t>
      </w:r>
      <w:proofErr w:type="spellStart"/>
      <w:r w:rsidRPr="004B65C0">
        <w:rPr>
          <w:rFonts w:ascii="Times New Roman" w:eastAsia="Times New Roman" w:hAnsi="Times New Roman" w:cs="Times New Roman"/>
          <w:color w:val="000000" w:themeColor="text1"/>
          <w:sz w:val="24"/>
          <w:szCs w:val="24"/>
        </w:rPr>
        <w:t>Chesumei</w:t>
      </w:r>
      <w:proofErr w:type="spellEnd"/>
      <w:r w:rsidRPr="004B65C0">
        <w:rPr>
          <w:rFonts w:ascii="Times New Roman" w:eastAsia="Times New Roman" w:hAnsi="Times New Roman" w:cs="Times New Roman"/>
          <w:color w:val="000000" w:themeColor="text1"/>
          <w:sz w:val="24"/>
          <w:szCs w:val="24"/>
        </w:rPr>
        <w:t xml:space="preserve"> Sub-County that learner-centered teaching was not being fully practiced because of resource limitations and lack of professional development, which led to very few gains in CBE competency acquisition. The uniformity of the findings from geographically very distant and demographically very different Kenyan sub-counties indicates that the failure to achieve the desired outcomes in learners is not a local issue, but a systemic issue. In addition, Ngunjiri and Ng'ang'a (2021) reported that teacher training on CBE in Kenya was ad hoc, superficial, and inadequate to connect to the practical requirements of its implementation in classrooms, which led them to conclude that short-term, irregular training workshops were not sufficient to drive the desired pedagogical change necessary for CBE.</w:t>
      </w:r>
    </w:p>
    <w:p w14:paraId="6DE3CDFE" w14:textId="77777777" w:rsidR="00F63AC1" w:rsidRPr="00F63AC1" w:rsidRDefault="00193727"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Partially divergent, Situma, Macheso and Njogu (2024) found that CBE assessment alignment scores in highly active head teachers' schools in the better resourced Kenyan counties were above average, implying that there is a partial evidence that good head teacher leadership can help offset poor resource levels. The difference, however, is likely due to the worse structural barriers in Wajir East which are exacerbated by factors such as insecurity, lack of teachers, and poor infrastructure, </w:t>
      </w:r>
      <w:r w:rsidRPr="004B65C0">
        <w:rPr>
          <w:rFonts w:ascii="Times New Roman" w:eastAsia="Times New Roman" w:hAnsi="Times New Roman" w:cs="Times New Roman"/>
          <w:color w:val="000000" w:themeColor="text1"/>
          <w:sz w:val="24"/>
          <w:szCs w:val="24"/>
        </w:rPr>
        <w:lastRenderedPageBreak/>
        <w:t>making the context in which leadership operates more difficult than in the counties studied by Situma et al. (2024).</w:t>
      </w:r>
    </w:p>
    <w:p w14:paraId="57626C7A"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RESEARCH METHODOLOGY</w:t>
      </w:r>
    </w:p>
    <w:p w14:paraId="75E8710A"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study was guided by a positivist research paradigm, which assumes that knowledge is objective and can be measured by empirical observation and statistical analysis (Creswell &amp; Creswell, 2023). The positivism was suitable because the study aimed to establish statistically verifiable relationships between the head teachers' administrative strategies and the CBE learning outcomes. A case study design with a mixed method approach was used. The mixed methods design allowed for the patterns found in the quantitative data to be seen and for the qualitative data from the interviews to provide context and explain the patterns found in the quantitative data (Creswell &amp; Creswell, 2023).</w:t>
      </w:r>
    </w:p>
    <w:p w14:paraId="71457BF9" w14:textId="08C0440E"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target population included 279 teachers and 27 head teachers who were selected from all 27 public primary schools in Wajir East Sub-County (Sub-County Education Office, Wajir East, 2025). The sample size was calculated from Yamane's formula (1967) at 95% confidence level to get 173 respondents, namely 158 teachers and 15 head teachers who participated in the study. </w:t>
      </w:r>
    </w:p>
    <w:p w14:paraId="11B1FCAA"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two main instruments used to gather data were: The quantitative data was collected using a structured questionnaire that was administered to teachers on five items that were rated on a 4 point Likert scale ranging from strongly disagree (1) to strongly agree (4), using the head teachers' strategies to achieve the CBE learning outcomes. Head teachers were interviewed using a semi-structured interview guide to obtain qualitative, contextually rich descriptions of how their strategies had led to discernible improvements in learning outcomes, in classroom practice, and in assessment practices. The content of the instrument was validated by experts while appropriateness of the instrument was confirmed through a pilot study in Wajir West Sub-County with 16 teacher respondents. The Cronbach's alpha reliability analysis showed a coefficient of 0.837, which is above the accepted value of 0.70 (Bryman, 2021).</w:t>
      </w:r>
    </w:p>
    <w:p w14:paraId="7436CD50" w14:textId="77777777"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Teacher perceptions of strategy effectiveness were summarized using descriptive statistics (means and standard deviations). The null hypothesis was tested and the statistical relationship between the effectiveness of the strategies and the implementation of CBE was established using Pearson correlation analysis. The head teacher interviews were conducted to elicit qualitative data, which was transcribed verbatim and </w:t>
      </w:r>
      <w:proofErr w:type="spellStart"/>
      <w:r w:rsidRPr="004B65C0">
        <w:rPr>
          <w:rFonts w:ascii="Times New Roman" w:eastAsia="Times New Roman" w:hAnsi="Times New Roman" w:cs="Times New Roman"/>
          <w:color w:val="000000" w:themeColor="text1"/>
          <w:sz w:val="24"/>
          <w:szCs w:val="24"/>
        </w:rPr>
        <w:t>analysed</w:t>
      </w:r>
      <w:proofErr w:type="spellEnd"/>
      <w:r w:rsidRPr="004B65C0">
        <w:rPr>
          <w:rFonts w:ascii="Times New Roman" w:eastAsia="Times New Roman" w:hAnsi="Times New Roman" w:cs="Times New Roman"/>
          <w:color w:val="000000" w:themeColor="text1"/>
          <w:sz w:val="24"/>
          <w:szCs w:val="24"/>
        </w:rPr>
        <w:t xml:space="preserve"> using thematic analysis, deductively around the effectiveness dimensions used in the questionnaire and inductively by careful reading of the head teacher interviews.</w:t>
      </w:r>
    </w:p>
    <w:p w14:paraId="756F61CE" w14:textId="5EB8DD6C" w:rsidR="001F5EFE" w:rsidRPr="004B65C0" w:rsidRDefault="001F5EFE" w:rsidP="000C4E8B">
      <w:pPr>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study was conducted in accordance with the internationally agreed research ethics guidelines with respect to the dignity, rights and wellbeing of all participants. Each participant (teacher and head teacher) received a detailed information sheet and an informed consent form, outlining the purpose of the study, the nature of their involvement, the voluntary nature of their involvement, and their right to withdraw from the study at any time without any consequence or penalty. All participants were provided with informed consent in writing prior to data collection. All participants were informed and informed again about the nature and purpose of the study, respecting their autonomy (Saunders, Lewis, &amp; </w:t>
      </w:r>
      <w:proofErr w:type="spellStart"/>
      <w:r w:rsidRPr="004B65C0">
        <w:rPr>
          <w:rFonts w:ascii="Times New Roman" w:eastAsia="Times New Roman" w:hAnsi="Times New Roman" w:cs="Times New Roman"/>
          <w:color w:val="000000" w:themeColor="text1"/>
          <w:sz w:val="24"/>
          <w:szCs w:val="24"/>
        </w:rPr>
        <w:t>Thornhill</w:t>
      </w:r>
      <w:proofErr w:type="spellEnd"/>
      <w:r w:rsidRPr="004B65C0">
        <w:rPr>
          <w:rFonts w:ascii="Times New Roman" w:eastAsia="Times New Roman" w:hAnsi="Times New Roman" w:cs="Times New Roman"/>
          <w:color w:val="000000" w:themeColor="text1"/>
          <w:sz w:val="24"/>
          <w:szCs w:val="24"/>
        </w:rPr>
        <w:t>, 2023).</w:t>
      </w:r>
      <w:r w:rsidR="00A10788">
        <w:rPr>
          <w:rFonts w:ascii="Times New Roman" w:eastAsia="Times New Roman" w:hAnsi="Times New Roman" w:cs="Times New Roman"/>
          <w:color w:val="000000" w:themeColor="text1"/>
          <w:sz w:val="24"/>
          <w:szCs w:val="24"/>
        </w:rPr>
        <w:t xml:space="preserve"> The researcher obtained ethical approval from all relevant institutions </w:t>
      </w:r>
      <w:r w:rsidR="00947742">
        <w:rPr>
          <w:rFonts w:ascii="Times New Roman" w:eastAsia="Times New Roman" w:hAnsi="Times New Roman" w:cs="Times New Roman"/>
          <w:color w:val="000000" w:themeColor="text1"/>
          <w:sz w:val="24"/>
          <w:szCs w:val="24"/>
        </w:rPr>
        <w:t xml:space="preserve">including </w:t>
      </w:r>
      <w:r w:rsidR="00A10788">
        <w:rPr>
          <w:rFonts w:ascii="Times New Roman" w:eastAsia="Times New Roman" w:hAnsi="Times New Roman" w:cs="Times New Roman"/>
          <w:color w:val="000000" w:themeColor="text1"/>
          <w:sz w:val="24"/>
          <w:szCs w:val="24"/>
        </w:rPr>
        <w:t xml:space="preserve">the institution scientific ethics review committee </w:t>
      </w:r>
      <w:r w:rsidR="00A10788">
        <w:rPr>
          <w:rFonts w:ascii="Times New Roman" w:eastAsia="Times New Roman" w:hAnsi="Times New Roman" w:cs="Times New Roman"/>
          <w:color w:val="000000" w:themeColor="text1"/>
          <w:sz w:val="24"/>
          <w:szCs w:val="24"/>
        </w:rPr>
        <w:lastRenderedPageBreak/>
        <w:t xml:space="preserve">from university, the national commission for science, </w:t>
      </w:r>
      <w:r w:rsidR="00947742">
        <w:rPr>
          <w:rFonts w:ascii="Times New Roman" w:eastAsia="Times New Roman" w:hAnsi="Times New Roman" w:cs="Times New Roman"/>
          <w:color w:val="000000" w:themeColor="text1"/>
          <w:sz w:val="24"/>
          <w:szCs w:val="24"/>
        </w:rPr>
        <w:t>technology and innovation in Kenya that permitted conduct of the study.</w:t>
      </w:r>
    </w:p>
    <w:p w14:paraId="4D0823D5"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FINDINGS AND DISCUSSION</w:t>
      </w:r>
    </w:p>
    <w:p w14:paraId="4C536FEE"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Response Rate</w:t>
      </w:r>
    </w:p>
    <w:p w14:paraId="37F9D73A" w14:textId="77777777" w:rsidR="00F63AC1" w:rsidRPr="00F63AC1" w:rsidRDefault="006F4F40"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A total of 173 respondents (158 teachers and 15 head teachers) were targeted. Of the 158 teachers targeted, 150 returned and completed the questionnaire and all 15 head teachers attended the planned interviews. This yielded an overall response rate of 95.4% which exceeded the minimum recommended rate of 60% for survey-based educational research (Kombo &amp; Tromp, 2006). The high response rate minimizes non-response bias and increases the credibility and generalizability of the results in the context of the study</w:t>
      </w:r>
      <w:r w:rsidR="00F63AC1" w:rsidRPr="00F63AC1">
        <w:rPr>
          <w:rFonts w:ascii="Times New Roman" w:eastAsia="Times New Roman" w:hAnsi="Times New Roman" w:cs="Times New Roman"/>
          <w:color w:val="000000" w:themeColor="text1"/>
          <w:sz w:val="24"/>
          <w:szCs w:val="24"/>
        </w:rPr>
        <w:t>.</w:t>
      </w:r>
    </w:p>
    <w:p w14:paraId="06C296C7" w14:textId="77777777" w:rsidR="00F63AC1" w:rsidRPr="004B65C0" w:rsidRDefault="00205E08"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 xml:space="preserve"> </w:t>
      </w:r>
      <w:r w:rsidR="00F63AC1" w:rsidRPr="004B65C0">
        <w:rPr>
          <w:rFonts w:ascii="Times New Roman" w:hAnsi="Times New Roman" w:cs="Times New Roman"/>
          <w:b/>
          <w:color w:val="000000" w:themeColor="text1"/>
        </w:rPr>
        <w:t>Descriptive Statistics: Effectiveness of Head Teachers' Strategies</w:t>
      </w:r>
    </w:p>
    <w:p w14:paraId="721F0770"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Table 1 presents the descriptive statistics for the five items assessing the effectiveness of head teachers' strategies in achieving CBE intended learning outcomes.</w:t>
      </w:r>
    </w:p>
    <w:p w14:paraId="2B6D47E7" w14:textId="77777777" w:rsidR="00F63AC1" w:rsidRPr="00F63AC1" w:rsidRDefault="00F63AC1" w:rsidP="000C4E8B">
      <w:pPr>
        <w:spacing w:before="60" w:after="60" w:line="360" w:lineRule="auto"/>
        <w:jc w:val="center"/>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rPr>
        <w:t>Table 1: Effectiveness of Head Teachers' Strategies in Achieving CBE Learning Outcomes</w:t>
      </w:r>
    </w:p>
    <w:p w14:paraId="1A6C3845" w14:textId="77777777" w:rsidR="00F63AC1" w:rsidRPr="00F63AC1" w:rsidRDefault="00F63AC1" w:rsidP="000C4E8B">
      <w:pPr>
        <w:spacing w:before="20" w:after="60" w:line="360" w:lineRule="auto"/>
        <w:jc w:val="center"/>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i/>
          <w:iCs/>
          <w:color w:val="000000" w:themeColor="text1"/>
          <w:sz w:val="20"/>
          <w:szCs w:val="20"/>
        </w:rPr>
        <w:t>SD = Strongly Disagree; D = Disagree; A = Agree; SA = Strongly Agree; N = Total respondents</w:t>
      </w:r>
    </w:p>
    <w:tbl>
      <w:tblPr>
        <w:tblW w:w="9220" w:type="dxa"/>
        <w:tblInd w:w="-15"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4712"/>
        <w:gridCol w:w="583"/>
        <w:gridCol w:w="583"/>
        <w:gridCol w:w="583"/>
        <w:gridCol w:w="583"/>
        <w:gridCol w:w="583"/>
        <w:gridCol w:w="808"/>
        <w:gridCol w:w="785"/>
      </w:tblGrid>
      <w:tr w:rsidR="004B65C0" w:rsidRPr="001E56B4" w14:paraId="62404AD8" w14:textId="77777777" w:rsidTr="001C1BAF">
        <w:tc>
          <w:tcPr>
            <w:tcW w:w="4712" w:type="dxa"/>
            <w:tcBorders>
              <w:top w:val="single" w:sz="4" w:space="0" w:color="auto"/>
              <w:bottom w:val="single" w:sz="4" w:space="0" w:color="auto"/>
            </w:tcBorders>
            <w:tcMar>
              <w:top w:w="80" w:type="dxa"/>
              <w:left w:w="100" w:type="dxa"/>
              <w:bottom w:w="80" w:type="dxa"/>
              <w:right w:w="100" w:type="dxa"/>
            </w:tcMar>
          </w:tcPr>
          <w:p w14:paraId="44B77041"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Statement</w:t>
            </w:r>
          </w:p>
        </w:tc>
        <w:tc>
          <w:tcPr>
            <w:tcW w:w="583" w:type="dxa"/>
            <w:tcBorders>
              <w:top w:val="single" w:sz="4" w:space="0" w:color="auto"/>
              <w:bottom w:val="single" w:sz="4" w:space="0" w:color="auto"/>
            </w:tcBorders>
            <w:tcMar>
              <w:top w:w="80" w:type="dxa"/>
              <w:left w:w="100" w:type="dxa"/>
              <w:bottom w:w="80" w:type="dxa"/>
              <w:right w:w="100" w:type="dxa"/>
            </w:tcMar>
          </w:tcPr>
          <w:p w14:paraId="4C5A4880"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SD</w:t>
            </w:r>
          </w:p>
        </w:tc>
        <w:tc>
          <w:tcPr>
            <w:tcW w:w="583" w:type="dxa"/>
            <w:tcBorders>
              <w:top w:val="single" w:sz="4" w:space="0" w:color="auto"/>
              <w:bottom w:val="single" w:sz="4" w:space="0" w:color="auto"/>
            </w:tcBorders>
            <w:tcMar>
              <w:top w:w="80" w:type="dxa"/>
              <w:left w:w="100" w:type="dxa"/>
              <w:bottom w:w="80" w:type="dxa"/>
              <w:right w:w="100" w:type="dxa"/>
            </w:tcMar>
          </w:tcPr>
          <w:p w14:paraId="3E9C3D01"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D</w:t>
            </w:r>
          </w:p>
        </w:tc>
        <w:tc>
          <w:tcPr>
            <w:tcW w:w="583" w:type="dxa"/>
            <w:tcBorders>
              <w:top w:val="single" w:sz="4" w:space="0" w:color="auto"/>
              <w:bottom w:val="single" w:sz="4" w:space="0" w:color="auto"/>
            </w:tcBorders>
            <w:tcMar>
              <w:top w:w="80" w:type="dxa"/>
              <w:left w:w="100" w:type="dxa"/>
              <w:bottom w:w="80" w:type="dxa"/>
              <w:right w:w="100" w:type="dxa"/>
            </w:tcMar>
          </w:tcPr>
          <w:p w14:paraId="0ADD156D"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A</w:t>
            </w:r>
          </w:p>
        </w:tc>
        <w:tc>
          <w:tcPr>
            <w:tcW w:w="583" w:type="dxa"/>
            <w:tcBorders>
              <w:top w:val="single" w:sz="4" w:space="0" w:color="auto"/>
              <w:bottom w:val="single" w:sz="4" w:space="0" w:color="auto"/>
            </w:tcBorders>
            <w:tcMar>
              <w:top w:w="80" w:type="dxa"/>
              <w:left w:w="100" w:type="dxa"/>
              <w:bottom w:w="80" w:type="dxa"/>
              <w:right w:w="100" w:type="dxa"/>
            </w:tcMar>
          </w:tcPr>
          <w:p w14:paraId="5E8BA3B4"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SA</w:t>
            </w:r>
          </w:p>
        </w:tc>
        <w:tc>
          <w:tcPr>
            <w:tcW w:w="583" w:type="dxa"/>
            <w:tcBorders>
              <w:top w:val="single" w:sz="4" w:space="0" w:color="auto"/>
              <w:bottom w:val="single" w:sz="4" w:space="0" w:color="auto"/>
            </w:tcBorders>
            <w:tcMar>
              <w:top w:w="80" w:type="dxa"/>
              <w:left w:w="100" w:type="dxa"/>
              <w:bottom w:w="80" w:type="dxa"/>
              <w:right w:w="100" w:type="dxa"/>
            </w:tcMar>
          </w:tcPr>
          <w:p w14:paraId="2E141791"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N</w:t>
            </w:r>
          </w:p>
        </w:tc>
        <w:tc>
          <w:tcPr>
            <w:tcW w:w="808" w:type="dxa"/>
            <w:tcBorders>
              <w:top w:val="single" w:sz="4" w:space="0" w:color="auto"/>
              <w:bottom w:val="single" w:sz="4" w:space="0" w:color="auto"/>
            </w:tcBorders>
            <w:tcMar>
              <w:top w:w="80" w:type="dxa"/>
              <w:left w:w="100" w:type="dxa"/>
              <w:bottom w:w="80" w:type="dxa"/>
              <w:right w:w="100" w:type="dxa"/>
            </w:tcMar>
          </w:tcPr>
          <w:p w14:paraId="53D8F416"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Mean</w:t>
            </w:r>
          </w:p>
        </w:tc>
        <w:tc>
          <w:tcPr>
            <w:tcW w:w="785" w:type="dxa"/>
            <w:tcBorders>
              <w:top w:val="single" w:sz="4" w:space="0" w:color="auto"/>
              <w:bottom w:val="single" w:sz="4" w:space="0" w:color="auto"/>
            </w:tcBorders>
            <w:tcMar>
              <w:top w:w="80" w:type="dxa"/>
              <w:left w:w="100" w:type="dxa"/>
              <w:bottom w:w="80" w:type="dxa"/>
              <w:right w:w="100" w:type="dxa"/>
            </w:tcMar>
          </w:tcPr>
          <w:p w14:paraId="4518C4BC"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SD</w:t>
            </w:r>
          </w:p>
        </w:tc>
      </w:tr>
      <w:tr w:rsidR="004B65C0" w:rsidRPr="001E56B4" w14:paraId="6B379DC8" w14:textId="77777777" w:rsidTr="001C1BAF">
        <w:tc>
          <w:tcPr>
            <w:tcW w:w="4712" w:type="dxa"/>
            <w:tcBorders>
              <w:top w:val="single" w:sz="4" w:space="0" w:color="auto"/>
            </w:tcBorders>
            <w:tcMar>
              <w:top w:w="80" w:type="dxa"/>
              <w:left w:w="100" w:type="dxa"/>
              <w:bottom w:w="80" w:type="dxa"/>
              <w:right w:w="100" w:type="dxa"/>
            </w:tcMar>
          </w:tcPr>
          <w:p w14:paraId="5784258C" w14:textId="77777777" w:rsidR="00F63AC1" w:rsidRPr="001E56B4"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HT strategies improve learners' acquisition of CBE competencies.</w:t>
            </w:r>
          </w:p>
        </w:tc>
        <w:tc>
          <w:tcPr>
            <w:tcW w:w="583" w:type="dxa"/>
            <w:tcBorders>
              <w:top w:val="single" w:sz="4" w:space="0" w:color="auto"/>
            </w:tcBorders>
            <w:tcMar>
              <w:top w:w="80" w:type="dxa"/>
              <w:left w:w="100" w:type="dxa"/>
              <w:bottom w:w="80" w:type="dxa"/>
              <w:right w:w="100" w:type="dxa"/>
            </w:tcMar>
          </w:tcPr>
          <w:p w14:paraId="03A146FA"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5</w:t>
            </w:r>
          </w:p>
        </w:tc>
        <w:tc>
          <w:tcPr>
            <w:tcW w:w="583" w:type="dxa"/>
            <w:tcBorders>
              <w:top w:val="single" w:sz="4" w:space="0" w:color="auto"/>
            </w:tcBorders>
            <w:tcMar>
              <w:top w:w="80" w:type="dxa"/>
              <w:left w:w="100" w:type="dxa"/>
              <w:bottom w:w="80" w:type="dxa"/>
              <w:right w:w="100" w:type="dxa"/>
            </w:tcMar>
          </w:tcPr>
          <w:p w14:paraId="5D2C9380"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18</w:t>
            </w:r>
          </w:p>
        </w:tc>
        <w:tc>
          <w:tcPr>
            <w:tcW w:w="583" w:type="dxa"/>
            <w:tcBorders>
              <w:top w:val="single" w:sz="4" w:space="0" w:color="auto"/>
            </w:tcBorders>
            <w:tcMar>
              <w:top w:w="80" w:type="dxa"/>
              <w:left w:w="100" w:type="dxa"/>
              <w:bottom w:w="80" w:type="dxa"/>
              <w:right w:w="100" w:type="dxa"/>
            </w:tcMar>
          </w:tcPr>
          <w:p w14:paraId="12237590"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82</w:t>
            </w:r>
          </w:p>
        </w:tc>
        <w:tc>
          <w:tcPr>
            <w:tcW w:w="583" w:type="dxa"/>
            <w:tcBorders>
              <w:top w:val="single" w:sz="4" w:space="0" w:color="auto"/>
            </w:tcBorders>
            <w:tcMar>
              <w:top w:w="80" w:type="dxa"/>
              <w:left w:w="100" w:type="dxa"/>
              <w:bottom w:w="80" w:type="dxa"/>
              <w:right w:w="100" w:type="dxa"/>
            </w:tcMar>
          </w:tcPr>
          <w:p w14:paraId="7561C38A"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45</w:t>
            </w:r>
          </w:p>
        </w:tc>
        <w:tc>
          <w:tcPr>
            <w:tcW w:w="583" w:type="dxa"/>
            <w:tcBorders>
              <w:top w:val="single" w:sz="4" w:space="0" w:color="auto"/>
            </w:tcBorders>
            <w:tcMar>
              <w:top w:w="80" w:type="dxa"/>
              <w:left w:w="100" w:type="dxa"/>
              <w:bottom w:w="80" w:type="dxa"/>
              <w:right w:w="100" w:type="dxa"/>
            </w:tcMar>
          </w:tcPr>
          <w:p w14:paraId="4297881C"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150</w:t>
            </w:r>
          </w:p>
        </w:tc>
        <w:tc>
          <w:tcPr>
            <w:tcW w:w="808" w:type="dxa"/>
            <w:tcBorders>
              <w:top w:val="single" w:sz="4" w:space="0" w:color="auto"/>
            </w:tcBorders>
            <w:tcMar>
              <w:top w:w="80" w:type="dxa"/>
              <w:left w:w="100" w:type="dxa"/>
              <w:bottom w:w="80" w:type="dxa"/>
              <w:right w:w="100" w:type="dxa"/>
            </w:tcMar>
          </w:tcPr>
          <w:p w14:paraId="4A4D6121"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3.11</w:t>
            </w:r>
          </w:p>
        </w:tc>
        <w:tc>
          <w:tcPr>
            <w:tcW w:w="785" w:type="dxa"/>
            <w:tcBorders>
              <w:top w:val="single" w:sz="4" w:space="0" w:color="auto"/>
            </w:tcBorders>
            <w:tcMar>
              <w:top w:w="80" w:type="dxa"/>
              <w:left w:w="100" w:type="dxa"/>
              <w:bottom w:w="80" w:type="dxa"/>
              <w:right w:w="100" w:type="dxa"/>
            </w:tcMar>
          </w:tcPr>
          <w:p w14:paraId="1594095B"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.81</w:t>
            </w:r>
          </w:p>
        </w:tc>
      </w:tr>
      <w:tr w:rsidR="004B65C0" w:rsidRPr="001E56B4" w14:paraId="0549FEBA" w14:textId="77777777" w:rsidTr="001C1BAF">
        <w:tc>
          <w:tcPr>
            <w:tcW w:w="4712" w:type="dxa"/>
            <w:tcMar>
              <w:top w:w="80" w:type="dxa"/>
              <w:left w:w="100" w:type="dxa"/>
              <w:bottom w:w="80" w:type="dxa"/>
              <w:right w:w="100" w:type="dxa"/>
            </w:tcMar>
          </w:tcPr>
          <w:p w14:paraId="4FACE490" w14:textId="77777777" w:rsidR="00F63AC1" w:rsidRPr="001E56B4"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Supervision by HT enhances quality of CBE delivery.</w:t>
            </w:r>
          </w:p>
        </w:tc>
        <w:tc>
          <w:tcPr>
            <w:tcW w:w="583" w:type="dxa"/>
            <w:tcMar>
              <w:top w:w="80" w:type="dxa"/>
              <w:left w:w="100" w:type="dxa"/>
              <w:bottom w:w="80" w:type="dxa"/>
              <w:right w:w="100" w:type="dxa"/>
            </w:tcMar>
          </w:tcPr>
          <w:p w14:paraId="36C93929"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3</w:t>
            </w:r>
          </w:p>
        </w:tc>
        <w:tc>
          <w:tcPr>
            <w:tcW w:w="583" w:type="dxa"/>
            <w:tcMar>
              <w:top w:w="80" w:type="dxa"/>
              <w:left w:w="100" w:type="dxa"/>
              <w:bottom w:w="80" w:type="dxa"/>
              <w:right w:w="100" w:type="dxa"/>
            </w:tcMar>
          </w:tcPr>
          <w:p w14:paraId="60A2B35B"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12</w:t>
            </w:r>
          </w:p>
        </w:tc>
        <w:tc>
          <w:tcPr>
            <w:tcW w:w="583" w:type="dxa"/>
            <w:tcMar>
              <w:top w:w="80" w:type="dxa"/>
              <w:left w:w="100" w:type="dxa"/>
              <w:bottom w:w="80" w:type="dxa"/>
              <w:right w:w="100" w:type="dxa"/>
            </w:tcMar>
          </w:tcPr>
          <w:p w14:paraId="5CC7A59D"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84</w:t>
            </w:r>
          </w:p>
        </w:tc>
        <w:tc>
          <w:tcPr>
            <w:tcW w:w="583" w:type="dxa"/>
            <w:tcMar>
              <w:top w:w="80" w:type="dxa"/>
              <w:left w:w="100" w:type="dxa"/>
              <w:bottom w:w="80" w:type="dxa"/>
              <w:right w:w="100" w:type="dxa"/>
            </w:tcMar>
          </w:tcPr>
          <w:p w14:paraId="72296607"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51</w:t>
            </w:r>
          </w:p>
        </w:tc>
        <w:tc>
          <w:tcPr>
            <w:tcW w:w="583" w:type="dxa"/>
            <w:tcMar>
              <w:top w:w="80" w:type="dxa"/>
              <w:left w:w="100" w:type="dxa"/>
              <w:bottom w:w="80" w:type="dxa"/>
              <w:right w:w="100" w:type="dxa"/>
            </w:tcMar>
          </w:tcPr>
          <w:p w14:paraId="393C0D42"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150</w:t>
            </w:r>
          </w:p>
        </w:tc>
        <w:tc>
          <w:tcPr>
            <w:tcW w:w="808" w:type="dxa"/>
            <w:tcMar>
              <w:top w:w="80" w:type="dxa"/>
              <w:left w:w="100" w:type="dxa"/>
              <w:bottom w:w="80" w:type="dxa"/>
              <w:right w:w="100" w:type="dxa"/>
            </w:tcMar>
          </w:tcPr>
          <w:p w14:paraId="4FD57A69"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3.22</w:t>
            </w:r>
          </w:p>
        </w:tc>
        <w:tc>
          <w:tcPr>
            <w:tcW w:w="785" w:type="dxa"/>
            <w:tcMar>
              <w:top w:w="80" w:type="dxa"/>
              <w:left w:w="100" w:type="dxa"/>
              <w:bottom w:w="80" w:type="dxa"/>
              <w:right w:w="100" w:type="dxa"/>
            </w:tcMar>
          </w:tcPr>
          <w:p w14:paraId="4BC5FB64"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.73</w:t>
            </w:r>
          </w:p>
        </w:tc>
      </w:tr>
      <w:tr w:rsidR="004B65C0" w:rsidRPr="001E56B4" w14:paraId="2938EE11" w14:textId="77777777" w:rsidTr="001C1BAF">
        <w:tc>
          <w:tcPr>
            <w:tcW w:w="4712" w:type="dxa"/>
            <w:tcMar>
              <w:top w:w="80" w:type="dxa"/>
              <w:left w:w="100" w:type="dxa"/>
              <w:bottom w:w="80" w:type="dxa"/>
              <w:right w:w="100" w:type="dxa"/>
            </w:tcMar>
          </w:tcPr>
          <w:p w14:paraId="02BDDF6B" w14:textId="77777777" w:rsidR="00F63AC1" w:rsidRPr="001E56B4"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Administrative strategies promote learner-centered teaching.</w:t>
            </w:r>
          </w:p>
        </w:tc>
        <w:tc>
          <w:tcPr>
            <w:tcW w:w="583" w:type="dxa"/>
            <w:tcMar>
              <w:top w:w="80" w:type="dxa"/>
              <w:left w:w="100" w:type="dxa"/>
              <w:bottom w:w="80" w:type="dxa"/>
              <w:right w:w="100" w:type="dxa"/>
            </w:tcMar>
          </w:tcPr>
          <w:p w14:paraId="4930C80A"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6</w:t>
            </w:r>
          </w:p>
        </w:tc>
        <w:tc>
          <w:tcPr>
            <w:tcW w:w="583" w:type="dxa"/>
            <w:tcMar>
              <w:top w:w="80" w:type="dxa"/>
              <w:left w:w="100" w:type="dxa"/>
              <w:bottom w:w="80" w:type="dxa"/>
              <w:right w:w="100" w:type="dxa"/>
            </w:tcMar>
          </w:tcPr>
          <w:p w14:paraId="6F76FC00"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19</w:t>
            </w:r>
          </w:p>
        </w:tc>
        <w:tc>
          <w:tcPr>
            <w:tcW w:w="583" w:type="dxa"/>
            <w:tcMar>
              <w:top w:w="80" w:type="dxa"/>
              <w:left w:w="100" w:type="dxa"/>
              <w:bottom w:w="80" w:type="dxa"/>
              <w:right w:w="100" w:type="dxa"/>
            </w:tcMar>
          </w:tcPr>
          <w:p w14:paraId="42AE9113"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80</w:t>
            </w:r>
          </w:p>
        </w:tc>
        <w:tc>
          <w:tcPr>
            <w:tcW w:w="583" w:type="dxa"/>
            <w:tcMar>
              <w:top w:w="80" w:type="dxa"/>
              <w:left w:w="100" w:type="dxa"/>
              <w:bottom w:w="80" w:type="dxa"/>
              <w:right w:w="100" w:type="dxa"/>
            </w:tcMar>
          </w:tcPr>
          <w:p w14:paraId="3E005028"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45</w:t>
            </w:r>
          </w:p>
        </w:tc>
        <w:tc>
          <w:tcPr>
            <w:tcW w:w="583" w:type="dxa"/>
            <w:tcMar>
              <w:top w:w="80" w:type="dxa"/>
              <w:left w:w="100" w:type="dxa"/>
              <w:bottom w:w="80" w:type="dxa"/>
              <w:right w:w="100" w:type="dxa"/>
            </w:tcMar>
          </w:tcPr>
          <w:p w14:paraId="2D0FE899"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150</w:t>
            </w:r>
          </w:p>
        </w:tc>
        <w:tc>
          <w:tcPr>
            <w:tcW w:w="808" w:type="dxa"/>
            <w:tcMar>
              <w:top w:w="80" w:type="dxa"/>
              <w:left w:w="100" w:type="dxa"/>
              <w:bottom w:w="80" w:type="dxa"/>
              <w:right w:w="100" w:type="dxa"/>
            </w:tcMar>
          </w:tcPr>
          <w:p w14:paraId="565AF5CB"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3.09</w:t>
            </w:r>
          </w:p>
        </w:tc>
        <w:tc>
          <w:tcPr>
            <w:tcW w:w="785" w:type="dxa"/>
            <w:tcMar>
              <w:top w:w="80" w:type="dxa"/>
              <w:left w:w="100" w:type="dxa"/>
              <w:bottom w:w="80" w:type="dxa"/>
              <w:right w:w="100" w:type="dxa"/>
            </w:tcMar>
          </w:tcPr>
          <w:p w14:paraId="7A946022"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.82</w:t>
            </w:r>
          </w:p>
        </w:tc>
      </w:tr>
      <w:tr w:rsidR="004B65C0" w:rsidRPr="001E56B4" w14:paraId="55471540" w14:textId="77777777" w:rsidTr="001C1BAF">
        <w:tc>
          <w:tcPr>
            <w:tcW w:w="4712" w:type="dxa"/>
            <w:tcMar>
              <w:top w:w="80" w:type="dxa"/>
              <w:left w:w="100" w:type="dxa"/>
              <w:bottom w:w="80" w:type="dxa"/>
              <w:right w:w="100" w:type="dxa"/>
            </w:tcMar>
          </w:tcPr>
          <w:p w14:paraId="0811C371" w14:textId="77777777" w:rsidR="00F63AC1" w:rsidRPr="001E56B4"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Strategies improve assessment and feedback practices aligned with CBE.</w:t>
            </w:r>
          </w:p>
        </w:tc>
        <w:tc>
          <w:tcPr>
            <w:tcW w:w="583" w:type="dxa"/>
            <w:tcMar>
              <w:top w:w="80" w:type="dxa"/>
              <w:left w:w="100" w:type="dxa"/>
              <w:bottom w:w="80" w:type="dxa"/>
              <w:right w:w="100" w:type="dxa"/>
            </w:tcMar>
          </w:tcPr>
          <w:p w14:paraId="2C83818C"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4</w:t>
            </w:r>
          </w:p>
        </w:tc>
        <w:tc>
          <w:tcPr>
            <w:tcW w:w="583" w:type="dxa"/>
            <w:tcMar>
              <w:top w:w="80" w:type="dxa"/>
              <w:left w:w="100" w:type="dxa"/>
              <w:bottom w:w="80" w:type="dxa"/>
              <w:right w:w="100" w:type="dxa"/>
            </w:tcMar>
          </w:tcPr>
          <w:p w14:paraId="4C0D93E0"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15</w:t>
            </w:r>
          </w:p>
        </w:tc>
        <w:tc>
          <w:tcPr>
            <w:tcW w:w="583" w:type="dxa"/>
            <w:tcMar>
              <w:top w:w="80" w:type="dxa"/>
              <w:left w:w="100" w:type="dxa"/>
              <w:bottom w:w="80" w:type="dxa"/>
              <w:right w:w="100" w:type="dxa"/>
            </w:tcMar>
          </w:tcPr>
          <w:p w14:paraId="3FEEE52C"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85</w:t>
            </w:r>
          </w:p>
        </w:tc>
        <w:tc>
          <w:tcPr>
            <w:tcW w:w="583" w:type="dxa"/>
            <w:tcMar>
              <w:top w:w="80" w:type="dxa"/>
              <w:left w:w="100" w:type="dxa"/>
              <w:bottom w:w="80" w:type="dxa"/>
              <w:right w:w="100" w:type="dxa"/>
            </w:tcMar>
          </w:tcPr>
          <w:p w14:paraId="4ADA98EF"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46</w:t>
            </w:r>
          </w:p>
        </w:tc>
        <w:tc>
          <w:tcPr>
            <w:tcW w:w="583" w:type="dxa"/>
            <w:tcMar>
              <w:top w:w="80" w:type="dxa"/>
              <w:left w:w="100" w:type="dxa"/>
              <w:bottom w:w="80" w:type="dxa"/>
              <w:right w:w="100" w:type="dxa"/>
            </w:tcMar>
          </w:tcPr>
          <w:p w14:paraId="3F29DB65"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150</w:t>
            </w:r>
          </w:p>
        </w:tc>
        <w:tc>
          <w:tcPr>
            <w:tcW w:w="808" w:type="dxa"/>
            <w:tcMar>
              <w:top w:w="80" w:type="dxa"/>
              <w:left w:w="100" w:type="dxa"/>
              <w:bottom w:w="80" w:type="dxa"/>
              <w:right w:w="100" w:type="dxa"/>
            </w:tcMar>
          </w:tcPr>
          <w:p w14:paraId="43D291F9"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3.15</w:t>
            </w:r>
          </w:p>
        </w:tc>
        <w:tc>
          <w:tcPr>
            <w:tcW w:w="785" w:type="dxa"/>
            <w:tcMar>
              <w:top w:w="80" w:type="dxa"/>
              <w:left w:w="100" w:type="dxa"/>
              <w:bottom w:w="80" w:type="dxa"/>
              <w:right w:w="100" w:type="dxa"/>
            </w:tcMar>
          </w:tcPr>
          <w:p w14:paraId="0036E6F6"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.76</w:t>
            </w:r>
          </w:p>
        </w:tc>
      </w:tr>
      <w:tr w:rsidR="004B65C0" w:rsidRPr="001E56B4" w14:paraId="7DECEFE5" w14:textId="77777777" w:rsidTr="001C1BAF">
        <w:tc>
          <w:tcPr>
            <w:tcW w:w="4712" w:type="dxa"/>
            <w:tcMar>
              <w:top w:w="80" w:type="dxa"/>
              <w:left w:w="100" w:type="dxa"/>
              <w:bottom w:w="80" w:type="dxa"/>
              <w:right w:w="100" w:type="dxa"/>
            </w:tcMar>
          </w:tcPr>
          <w:p w14:paraId="230726B3" w14:textId="77777777" w:rsidR="00F63AC1" w:rsidRPr="001E56B4"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Strategies contribute to improved learner performance in CBE.</w:t>
            </w:r>
          </w:p>
        </w:tc>
        <w:tc>
          <w:tcPr>
            <w:tcW w:w="583" w:type="dxa"/>
            <w:tcMar>
              <w:top w:w="80" w:type="dxa"/>
              <w:left w:w="100" w:type="dxa"/>
              <w:bottom w:w="80" w:type="dxa"/>
              <w:right w:w="100" w:type="dxa"/>
            </w:tcMar>
          </w:tcPr>
          <w:p w14:paraId="646458D9"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5</w:t>
            </w:r>
          </w:p>
        </w:tc>
        <w:tc>
          <w:tcPr>
            <w:tcW w:w="583" w:type="dxa"/>
            <w:tcMar>
              <w:top w:w="80" w:type="dxa"/>
              <w:left w:w="100" w:type="dxa"/>
              <w:bottom w:w="80" w:type="dxa"/>
              <w:right w:w="100" w:type="dxa"/>
            </w:tcMar>
          </w:tcPr>
          <w:p w14:paraId="78B16308"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17</w:t>
            </w:r>
          </w:p>
        </w:tc>
        <w:tc>
          <w:tcPr>
            <w:tcW w:w="583" w:type="dxa"/>
            <w:tcMar>
              <w:top w:w="80" w:type="dxa"/>
              <w:left w:w="100" w:type="dxa"/>
              <w:bottom w:w="80" w:type="dxa"/>
              <w:right w:w="100" w:type="dxa"/>
            </w:tcMar>
          </w:tcPr>
          <w:p w14:paraId="483120D1"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83</w:t>
            </w:r>
          </w:p>
        </w:tc>
        <w:tc>
          <w:tcPr>
            <w:tcW w:w="583" w:type="dxa"/>
            <w:tcMar>
              <w:top w:w="80" w:type="dxa"/>
              <w:left w:w="100" w:type="dxa"/>
              <w:bottom w:w="80" w:type="dxa"/>
              <w:right w:w="100" w:type="dxa"/>
            </w:tcMar>
          </w:tcPr>
          <w:p w14:paraId="1FC4D5F5"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45</w:t>
            </w:r>
          </w:p>
        </w:tc>
        <w:tc>
          <w:tcPr>
            <w:tcW w:w="583" w:type="dxa"/>
            <w:tcMar>
              <w:top w:w="80" w:type="dxa"/>
              <w:left w:w="100" w:type="dxa"/>
              <w:bottom w:w="80" w:type="dxa"/>
              <w:right w:w="100" w:type="dxa"/>
            </w:tcMar>
          </w:tcPr>
          <w:p w14:paraId="5D50DE49"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150</w:t>
            </w:r>
          </w:p>
        </w:tc>
        <w:tc>
          <w:tcPr>
            <w:tcW w:w="808" w:type="dxa"/>
            <w:tcMar>
              <w:top w:w="80" w:type="dxa"/>
              <w:left w:w="100" w:type="dxa"/>
              <w:bottom w:w="80" w:type="dxa"/>
              <w:right w:w="100" w:type="dxa"/>
            </w:tcMar>
          </w:tcPr>
          <w:p w14:paraId="026C7EE6"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3.12</w:t>
            </w:r>
          </w:p>
        </w:tc>
        <w:tc>
          <w:tcPr>
            <w:tcW w:w="785" w:type="dxa"/>
            <w:tcMar>
              <w:top w:w="80" w:type="dxa"/>
              <w:left w:w="100" w:type="dxa"/>
              <w:bottom w:w="80" w:type="dxa"/>
              <w:right w:w="100" w:type="dxa"/>
            </w:tcMar>
          </w:tcPr>
          <w:p w14:paraId="174CF202"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color w:val="000000" w:themeColor="text1"/>
                <w:sz w:val="24"/>
                <w:szCs w:val="24"/>
              </w:rPr>
              <w:t>.79</w:t>
            </w:r>
          </w:p>
        </w:tc>
      </w:tr>
      <w:tr w:rsidR="004B65C0" w:rsidRPr="001E56B4" w14:paraId="48CF850E" w14:textId="77777777" w:rsidTr="001C1BAF">
        <w:tc>
          <w:tcPr>
            <w:tcW w:w="4712" w:type="dxa"/>
            <w:tcMar>
              <w:top w:w="80" w:type="dxa"/>
              <w:left w:w="100" w:type="dxa"/>
              <w:bottom w:w="80" w:type="dxa"/>
              <w:right w:w="100" w:type="dxa"/>
            </w:tcMar>
          </w:tcPr>
          <w:p w14:paraId="05BC2BBE" w14:textId="77777777" w:rsidR="00F63AC1" w:rsidRPr="001E56B4" w:rsidRDefault="00F63AC1" w:rsidP="000C4E8B">
            <w:pPr>
              <w:spacing w:before="30" w:after="30" w:line="240" w:lineRule="auto"/>
              <w:jc w:val="both"/>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Overall Mean</w:t>
            </w:r>
          </w:p>
        </w:tc>
        <w:tc>
          <w:tcPr>
            <w:tcW w:w="583" w:type="dxa"/>
            <w:tcMar>
              <w:top w:w="80" w:type="dxa"/>
              <w:left w:w="100" w:type="dxa"/>
              <w:bottom w:w="80" w:type="dxa"/>
              <w:right w:w="100" w:type="dxa"/>
            </w:tcMar>
          </w:tcPr>
          <w:p w14:paraId="1EE6BBC4"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14BE1A55"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5C04F755"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45916A85"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p>
        </w:tc>
        <w:tc>
          <w:tcPr>
            <w:tcW w:w="583" w:type="dxa"/>
            <w:tcMar>
              <w:top w:w="80" w:type="dxa"/>
              <w:left w:w="100" w:type="dxa"/>
              <w:bottom w:w="80" w:type="dxa"/>
              <w:right w:w="100" w:type="dxa"/>
            </w:tcMar>
          </w:tcPr>
          <w:p w14:paraId="76B046B5" w14:textId="77777777" w:rsidR="00F63AC1" w:rsidRPr="001E56B4" w:rsidRDefault="00F63AC1" w:rsidP="000C4E8B">
            <w:pPr>
              <w:spacing w:before="30" w:after="30" w:line="240" w:lineRule="auto"/>
              <w:rPr>
                <w:rFonts w:ascii="Times New Roman" w:eastAsia="Times New Roman" w:hAnsi="Times New Roman" w:cs="Times New Roman"/>
                <w:b/>
                <w:color w:val="000000" w:themeColor="text1"/>
                <w:sz w:val="24"/>
                <w:szCs w:val="24"/>
              </w:rPr>
            </w:pPr>
            <w:r w:rsidRPr="001E56B4">
              <w:rPr>
                <w:rFonts w:ascii="Times New Roman" w:eastAsia="Times New Roman" w:hAnsi="Times New Roman" w:cs="Times New Roman"/>
                <w:b/>
                <w:color w:val="000000" w:themeColor="text1"/>
                <w:sz w:val="24"/>
                <w:szCs w:val="24"/>
              </w:rPr>
              <w:t>150</w:t>
            </w:r>
          </w:p>
        </w:tc>
        <w:tc>
          <w:tcPr>
            <w:tcW w:w="808" w:type="dxa"/>
            <w:tcMar>
              <w:top w:w="80" w:type="dxa"/>
              <w:left w:w="100" w:type="dxa"/>
              <w:bottom w:w="80" w:type="dxa"/>
              <w:right w:w="100" w:type="dxa"/>
            </w:tcMar>
          </w:tcPr>
          <w:p w14:paraId="63957826"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3.14</w:t>
            </w:r>
          </w:p>
        </w:tc>
        <w:tc>
          <w:tcPr>
            <w:tcW w:w="785" w:type="dxa"/>
            <w:tcMar>
              <w:top w:w="80" w:type="dxa"/>
              <w:left w:w="100" w:type="dxa"/>
              <w:bottom w:w="80" w:type="dxa"/>
              <w:right w:w="100" w:type="dxa"/>
            </w:tcMar>
          </w:tcPr>
          <w:p w14:paraId="782F474E" w14:textId="77777777" w:rsidR="00F63AC1" w:rsidRPr="001E56B4" w:rsidRDefault="00F63AC1" w:rsidP="000C4E8B">
            <w:pPr>
              <w:spacing w:before="30" w:after="30" w:line="240" w:lineRule="auto"/>
              <w:rPr>
                <w:rFonts w:ascii="Times New Roman" w:eastAsia="Times New Roman" w:hAnsi="Times New Roman" w:cs="Times New Roman"/>
                <w:color w:val="000000" w:themeColor="text1"/>
                <w:sz w:val="24"/>
                <w:szCs w:val="24"/>
              </w:rPr>
            </w:pPr>
            <w:r w:rsidRPr="001E56B4">
              <w:rPr>
                <w:rFonts w:ascii="Times New Roman" w:eastAsia="Times New Roman" w:hAnsi="Times New Roman" w:cs="Times New Roman"/>
                <w:b/>
                <w:bCs/>
                <w:color w:val="000000" w:themeColor="text1"/>
                <w:sz w:val="24"/>
                <w:szCs w:val="24"/>
              </w:rPr>
              <w:t>.78</w:t>
            </w:r>
          </w:p>
        </w:tc>
      </w:tr>
    </w:tbl>
    <w:p w14:paraId="5C303E87" w14:textId="77777777" w:rsidR="001C1BAF" w:rsidRPr="004B65C0"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findings showed a moderate level of consistency among teacher respondents on the effectiveness of head teachers' strategies to fulfill CBE learning outcomes. The mean score of 3.14 (SD = .78) is slightly lower than that for administrative strategy deployment (3.26), indicating a meaningful difference between the level of administrative activity and the level of observable improvement in acquisition of learner competency and pedagogical quality.</w:t>
      </w:r>
    </w:p>
    <w:p w14:paraId="41DBB615" w14:textId="77777777" w:rsidR="001C1BAF" w:rsidRPr="004B65C0"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lastRenderedPageBreak/>
        <w:t>The item that had the highest mean was the one that related to the quality of CBE delivery as a result of supervisory engagement (M = 3.22, SD = .73), meaning that instructional supervision is the strategy most directly and consistently linked to better delivery of CBE. The relatively small standard deviations indicate that there is a wide consensus among all the respondents and that supervision is a perceived effective driver and is consistent across the schools sampled. For strategies that are helping to improve assessment and feedback practices aligned to CBE, head teachers' efforts were rated 3.15 (SD = .76), which represents moderate agreement, with some variability in the extent to which this is experienced in different schools.</w:t>
      </w:r>
    </w:p>
    <w:p w14:paraId="24E512D5" w14:textId="77777777" w:rsidR="001C1BAF" w:rsidRPr="004B65C0"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Recorded is at 3.12 (SD = .79) and 3.11 (SD = .81) for enhanced learner performance and competency acquisition, respectively. The relatively high standard deviations on these items could be due to more variation in the perception of whether head teacher strategies can be seen in the observable results of learner achievement, and may reflect the multi-causal nature of the achievement of learners, and the fact that there are many other intervening variables such as teacher experience, availability of resources, and consistency of learners' attendance.</w:t>
      </w:r>
    </w:p>
    <w:p w14:paraId="031028A2" w14:textId="77777777" w:rsidR="00F63AC1" w:rsidRPr="00F63AC1" w:rsidRDefault="001C1BA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In regard to the administrative strategies encouraging learner-centered teaching, the mean score was the lowest (3.09, SD = .82) of the five dimensions of effectiveness. Theoretically, this finding is significant since CBE pedagogy is defined by its learner-centered approach as stated in the Basic Education Curriculum Framework (BECF) (KICD, 2017). The combination of a low mean of the dimension and a high standard deviation suggests that the dimension is the one in which the gap between the intent of the administration and actual practice in the classroom is largest and the variance between the schools is greatest, thus indicating that contextual and individual teacher factors have the greatest moderating influence on how well administrative strategies are translated into effective, learner-centered instruction</w:t>
      </w:r>
      <w:r w:rsidR="00F63AC1" w:rsidRPr="00F63AC1">
        <w:rPr>
          <w:rFonts w:ascii="Times New Roman" w:eastAsia="Times New Roman" w:hAnsi="Times New Roman" w:cs="Times New Roman"/>
          <w:color w:val="000000" w:themeColor="text1"/>
          <w:sz w:val="24"/>
          <w:szCs w:val="24"/>
        </w:rPr>
        <w:t>.</w:t>
      </w:r>
    </w:p>
    <w:p w14:paraId="1DF38B9F"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Pearson Correlation: Effectiveness of Strategies and CBE Implementation</w:t>
      </w:r>
    </w:p>
    <w:p w14:paraId="23401228"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A Pearson correlation analysis was conducted to test the null hypothesis H</w:t>
      </w:r>
      <w:r w:rsidRPr="00F63AC1">
        <w:rPr>
          <w:rFonts w:ascii="Times New Roman" w:eastAsia="Times New Roman" w:hAnsi="Times New Roman" w:cs="Times New Roman"/>
          <w:color w:val="000000" w:themeColor="text1"/>
          <w:sz w:val="24"/>
          <w:szCs w:val="24"/>
          <w:vertAlign w:val="subscript"/>
        </w:rPr>
        <w:t>0</w:t>
      </w:r>
      <w:r w:rsidRPr="00F63AC1">
        <w:rPr>
          <w:rFonts w:ascii="Times New Roman" w:eastAsia="Times New Roman" w:hAnsi="Times New Roman" w:cs="Times New Roman"/>
          <w:color w:val="000000" w:themeColor="text1"/>
          <w:sz w:val="24"/>
          <w:szCs w:val="24"/>
        </w:rPr>
        <w:t>: There is no statistically significant relationship between head teachers' administrative strategies and the achievement of CBE's intended learning outcomes in public primary schools in Wajir East. Table 2 presents the results.</w:t>
      </w:r>
    </w:p>
    <w:p w14:paraId="00A53B90" w14:textId="77777777" w:rsidR="00947742" w:rsidRDefault="00947742">
      <w:pPr>
        <w:spacing w:after="200"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6C054645" w14:textId="75134E06" w:rsidR="00F63AC1" w:rsidRPr="00F63AC1" w:rsidRDefault="00F63AC1" w:rsidP="000C4E8B">
      <w:pPr>
        <w:spacing w:before="60" w:after="60" w:line="360" w:lineRule="auto"/>
        <w:jc w:val="center"/>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rPr>
        <w:lastRenderedPageBreak/>
        <w:t>Table 2: Pearson Correlation on Effectiveness of Head Teachers' Strategies and CBE Implementation</w:t>
      </w:r>
    </w:p>
    <w:tbl>
      <w:tblPr>
        <w:tblW w:w="9220" w:type="dxa"/>
        <w:tblBorders>
          <w:top w:val="single" w:sz="4" w:space="0" w:color="auto"/>
        </w:tblBorders>
        <w:tblCellMar>
          <w:left w:w="10" w:type="dxa"/>
          <w:right w:w="10" w:type="dxa"/>
        </w:tblCellMar>
        <w:tblLook w:val="04A0" w:firstRow="1" w:lastRow="0" w:firstColumn="1" w:lastColumn="0" w:noHBand="0" w:noVBand="1"/>
      </w:tblPr>
      <w:tblGrid>
        <w:gridCol w:w="5045"/>
        <w:gridCol w:w="2020"/>
        <w:gridCol w:w="2155"/>
      </w:tblGrid>
      <w:tr w:rsidR="004B65C0" w:rsidRPr="004B65C0" w14:paraId="1758C5C7" w14:textId="77777777" w:rsidTr="00601325">
        <w:tc>
          <w:tcPr>
            <w:tcW w:w="5045" w:type="dxa"/>
            <w:tcBorders>
              <w:top w:val="single" w:sz="4" w:space="0" w:color="auto"/>
              <w:bottom w:val="single" w:sz="4" w:space="0" w:color="auto"/>
            </w:tcBorders>
            <w:tcMar>
              <w:top w:w="80" w:type="dxa"/>
              <w:left w:w="120" w:type="dxa"/>
              <w:bottom w:w="80" w:type="dxa"/>
              <w:right w:w="120" w:type="dxa"/>
            </w:tcMar>
          </w:tcPr>
          <w:p w14:paraId="2165B8AF"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20"/>
                <w:szCs w:val="20"/>
              </w:rPr>
              <w:t>Variable</w:t>
            </w:r>
          </w:p>
        </w:tc>
        <w:tc>
          <w:tcPr>
            <w:tcW w:w="2020" w:type="dxa"/>
            <w:tcBorders>
              <w:top w:val="single" w:sz="4" w:space="0" w:color="auto"/>
              <w:bottom w:val="single" w:sz="4" w:space="0" w:color="auto"/>
            </w:tcBorders>
            <w:tcMar>
              <w:top w:w="80" w:type="dxa"/>
              <w:left w:w="120" w:type="dxa"/>
              <w:bottom w:w="80" w:type="dxa"/>
              <w:right w:w="120" w:type="dxa"/>
            </w:tcMar>
          </w:tcPr>
          <w:p w14:paraId="566ACF8A"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20"/>
                <w:szCs w:val="20"/>
              </w:rPr>
              <w:t>Effectiveness of Strategies</w:t>
            </w:r>
          </w:p>
        </w:tc>
        <w:tc>
          <w:tcPr>
            <w:tcW w:w="2155" w:type="dxa"/>
            <w:tcBorders>
              <w:top w:val="single" w:sz="4" w:space="0" w:color="auto"/>
              <w:bottom w:val="single" w:sz="4" w:space="0" w:color="auto"/>
            </w:tcBorders>
            <w:tcMar>
              <w:top w:w="80" w:type="dxa"/>
              <w:left w:w="120" w:type="dxa"/>
              <w:bottom w:w="80" w:type="dxa"/>
              <w:right w:w="120" w:type="dxa"/>
            </w:tcMar>
          </w:tcPr>
          <w:p w14:paraId="5AA8C34A"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b/>
                <w:bCs/>
                <w:color w:val="000000" w:themeColor="text1"/>
                <w:sz w:val="20"/>
                <w:szCs w:val="20"/>
              </w:rPr>
              <w:t>CBE Implementation</w:t>
            </w:r>
          </w:p>
        </w:tc>
      </w:tr>
      <w:tr w:rsidR="004B65C0" w:rsidRPr="004B65C0" w14:paraId="6774EC23" w14:textId="77777777" w:rsidTr="00601325">
        <w:tc>
          <w:tcPr>
            <w:tcW w:w="5045" w:type="dxa"/>
            <w:tcBorders>
              <w:top w:val="single" w:sz="4" w:space="0" w:color="auto"/>
            </w:tcBorders>
            <w:tcMar>
              <w:top w:w="80" w:type="dxa"/>
              <w:left w:w="120" w:type="dxa"/>
              <w:bottom w:w="80" w:type="dxa"/>
              <w:right w:w="120" w:type="dxa"/>
            </w:tcMar>
          </w:tcPr>
          <w:p w14:paraId="43A8193E"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Effectiveness of Strategies – Pearson r</w:t>
            </w:r>
          </w:p>
        </w:tc>
        <w:tc>
          <w:tcPr>
            <w:tcW w:w="2020" w:type="dxa"/>
            <w:tcBorders>
              <w:top w:val="single" w:sz="4" w:space="0" w:color="auto"/>
            </w:tcBorders>
            <w:tcMar>
              <w:top w:w="80" w:type="dxa"/>
              <w:left w:w="120" w:type="dxa"/>
              <w:bottom w:w="80" w:type="dxa"/>
              <w:right w:w="120" w:type="dxa"/>
            </w:tcMar>
          </w:tcPr>
          <w:p w14:paraId="22DD30F9"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1.000</w:t>
            </w:r>
          </w:p>
        </w:tc>
        <w:tc>
          <w:tcPr>
            <w:tcW w:w="2155" w:type="dxa"/>
            <w:tcBorders>
              <w:top w:val="single" w:sz="4" w:space="0" w:color="auto"/>
            </w:tcBorders>
            <w:tcMar>
              <w:top w:w="80" w:type="dxa"/>
              <w:left w:w="120" w:type="dxa"/>
              <w:bottom w:w="80" w:type="dxa"/>
              <w:right w:w="120" w:type="dxa"/>
            </w:tcMar>
          </w:tcPr>
          <w:p w14:paraId="1AAC84F2"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.687**</w:t>
            </w:r>
          </w:p>
        </w:tc>
      </w:tr>
      <w:tr w:rsidR="004B65C0" w:rsidRPr="004B65C0" w14:paraId="62462107" w14:textId="77777777" w:rsidTr="00601325">
        <w:tc>
          <w:tcPr>
            <w:tcW w:w="5045" w:type="dxa"/>
            <w:tcBorders>
              <w:bottom w:val="nil"/>
            </w:tcBorders>
            <w:tcMar>
              <w:top w:w="80" w:type="dxa"/>
              <w:left w:w="120" w:type="dxa"/>
              <w:bottom w:w="80" w:type="dxa"/>
              <w:right w:w="120" w:type="dxa"/>
            </w:tcMar>
          </w:tcPr>
          <w:p w14:paraId="0B93EBB6"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Sig. (2-tailed)</w:t>
            </w:r>
          </w:p>
        </w:tc>
        <w:tc>
          <w:tcPr>
            <w:tcW w:w="2020" w:type="dxa"/>
            <w:tcBorders>
              <w:bottom w:val="nil"/>
            </w:tcBorders>
            <w:tcMar>
              <w:top w:w="80" w:type="dxa"/>
              <w:left w:w="120" w:type="dxa"/>
              <w:bottom w:w="80" w:type="dxa"/>
              <w:right w:w="120" w:type="dxa"/>
            </w:tcMar>
          </w:tcPr>
          <w:p w14:paraId="44C6554C"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w:t>
            </w:r>
          </w:p>
        </w:tc>
        <w:tc>
          <w:tcPr>
            <w:tcW w:w="2155" w:type="dxa"/>
            <w:tcBorders>
              <w:bottom w:val="nil"/>
            </w:tcBorders>
            <w:tcMar>
              <w:top w:w="80" w:type="dxa"/>
              <w:left w:w="120" w:type="dxa"/>
              <w:bottom w:w="80" w:type="dxa"/>
              <w:right w:w="120" w:type="dxa"/>
            </w:tcMar>
          </w:tcPr>
          <w:p w14:paraId="07C31696"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.000</w:t>
            </w:r>
          </w:p>
        </w:tc>
      </w:tr>
      <w:tr w:rsidR="004B65C0" w:rsidRPr="004B65C0" w14:paraId="0A94284C" w14:textId="77777777" w:rsidTr="00601325">
        <w:tc>
          <w:tcPr>
            <w:tcW w:w="5045" w:type="dxa"/>
            <w:tcBorders>
              <w:top w:val="nil"/>
              <w:bottom w:val="single" w:sz="4" w:space="0" w:color="auto"/>
            </w:tcBorders>
            <w:tcMar>
              <w:top w:w="80" w:type="dxa"/>
              <w:left w:w="120" w:type="dxa"/>
              <w:bottom w:w="80" w:type="dxa"/>
              <w:right w:w="120" w:type="dxa"/>
            </w:tcMar>
          </w:tcPr>
          <w:p w14:paraId="376DEDA6"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N</w:t>
            </w:r>
          </w:p>
        </w:tc>
        <w:tc>
          <w:tcPr>
            <w:tcW w:w="2020" w:type="dxa"/>
            <w:tcBorders>
              <w:top w:val="nil"/>
              <w:bottom w:val="single" w:sz="4" w:space="0" w:color="auto"/>
            </w:tcBorders>
            <w:tcMar>
              <w:top w:w="80" w:type="dxa"/>
              <w:left w:w="120" w:type="dxa"/>
              <w:bottom w:w="80" w:type="dxa"/>
              <w:right w:w="120" w:type="dxa"/>
            </w:tcMar>
          </w:tcPr>
          <w:p w14:paraId="0F42C68F"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150</w:t>
            </w:r>
          </w:p>
        </w:tc>
        <w:tc>
          <w:tcPr>
            <w:tcW w:w="2155" w:type="dxa"/>
            <w:tcBorders>
              <w:top w:val="nil"/>
              <w:bottom w:val="single" w:sz="4" w:space="0" w:color="auto"/>
            </w:tcBorders>
            <w:tcMar>
              <w:top w:w="80" w:type="dxa"/>
              <w:left w:w="120" w:type="dxa"/>
              <w:bottom w:w="80" w:type="dxa"/>
              <w:right w:w="120" w:type="dxa"/>
            </w:tcMar>
          </w:tcPr>
          <w:p w14:paraId="0FC819D8"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150</w:t>
            </w:r>
          </w:p>
        </w:tc>
      </w:tr>
      <w:tr w:rsidR="004B65C0" w:rsidRPr="004B65C0" w14:paraId="0E693CEB" w14:textId="77777777" w:rsidTr="00601325">
        <w:trPr>
          <w:gridAfter w:val="2"/>
          <w:wAfter w:w="4175" w:type="dxa"/>
        </w:trPr>
        <w:tc>
          <w:tcPr>
            <w:tcW w:w="5045" w:type="dxa"/>
            <w:tcMar>
              <w:top w:w="80" w:type="dxa"/>
              <w:left w:w="120" w:type="dxa"/>
              <w:bottom w:w="80" w:type="dxa"/>
              <w:right w:w="120" w:type="dxa"/>
            </w:tcMar>
          </w:tcPr>
          <w:p w14:paraId="70DAA141" w14:textId="77777777" w:rsidR="00F63AC1" w:rsidRPr="00F63AC1" w:rsidRDefault="00F63AC1" w:rsidP="000C4E8B">
            <w:pPr>
              <w:spacing w:before="40" w:after="40" w:line="240" w:lineRule="auto"/>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0"/>
                <w:szCs w:val="20"/>
              </w:rPr>
              <w:t>** Correlation is significant at the 0.01 level (2-tailed).</w:t>
            </w:r>
          </w:p>
        </w:tc>
      </w:tr>
    </w:tbl>
    <w:p w14:paraId="7652B20C" w14:textId="77777777" w:rsidR="00601325" w:rsidRPr="004B65C0" w:rsidRDefault="006013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Pearson correlation analysis revealed a positive and significant relationship between the effectiveness of head teachers' strategies and CBE implementation (r = .687, p &lt; .01). Thus, the null hypothesis H</w:t>
      </w:r>
      <w:r w:rsidRPr="004B65C0">
        <w:rPr>
          <w:rFonts w:ascii="Times New Roman" w:eastAsia="Times New Roman" w:hAnsi="Times New Roman" w:cs="Times New Roman"/>
          <w:color w:val="000000" w:themeColor="text1"/>
          <w:sz w:val="24"/>
          <w:szCs w:val="24"/>
          <w:vertAlign w:val="subscript"/>
        </w:rPr>
        <w:t>0</w:t>
      </w:r>
      <w:r w:rsidRPr="004B65C0">
        <w:rPr>
          <w:rFonts w:ascii="Times New Roman" w:eastAsia="Times New Roman" w:hAnsi="Times New Roman" w:cs="Times New Roman"/>
          <w:color w:val="000000" w:themeColor="text1"/>
          <w:sz w:val="24"/>
          <w:szCs w:val="24"/>
        </w:rPr>
        <w:t xml:space="preserve"> is rejected. This result validates the meaningful relationship between perceived effectiveness of the head teachers' administrative strategies and the quality of curriculum implementation fidelity: CBE implementation fidelity is higher in schools with higher perceived effectiveness in their head teachers' administrative strategies. This correlation is moderate-to-strong (r = .687), and is both practically significant and recognizes that other factors (e.g., teacher capacity, resources, community support) also independently impact implementation outcomes.</w:t>
      </w:r>
    </w:p>
    <w:p w14:paraId="5D857CC7" w14:textId="77777777" w:rsidR="00F63AC1" w:rsidRPr="00F63AC1" w:rsidRDefault="00601325"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correlation coefficient for effectiveness (r = .687) is significantly lower than that of administrative strategy deployment (r = .886) and should be given attention when interpreting. The discrepancy indicates that while the presence of administrative strategies is associated with improved outcomes, the relationship between leadership and outcomes is also influenced by mediating and moderating factors that dampen the link between strategy presence and strategy effectiveness. These are related to the quality and ongoing availability of professional development support, how individual teachers </w:t>
      </w:r>
      <w:proofErr w:type="spellStart"/>
      <w:r w:rsidRPr="004B65C0">
        <w:rPr>
          <w:rFonts w:ascii="Times New Roman" w:eastAsia="Times New Roman" w:hAnsi="Times New Roman" w:cs="Times New Roman"/>
          <w:color w:val="000000" w:themeColor="text1"/>
          <w:sz w:val="24"/>
          <w:szCs w:val="24"/>
        </w:rPr>
        <w:t>internalise</w:t>
      </w:r>
      <w:proofErr w:type="spellEnd"/>
      <w:r w:rsidRPr="004B65C0">
        <w:rPr>
          <w:rFonts w:ascii="Times New Roman" w:eastAsia="Times New Roman" w:hAnsi="Times New Roman" w:cs="Times New Roman"/>
          <w:color w:val="000000" w:themeColor="text1"/>
          <w:sz w:val="24"/>
          <w:szCs w:val="24"/>
        </w:rPr>
        <w:t xml:space="preserve"> rather than just meet the pedagogical demands of CBE, and the extent to which structural contextual barriers constrict the space in which the strategies can operate.</w:t>
      </w:r>
    </w:p>
    <w:p w14:paraId="6510D966"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Qualitative Findings: Head Teacher Perspectives on Strategy Effectiveness</w:t>
      </w:r>
    </w:p>
    <w:p w14:paraId="5271089A"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interview responses of the 15 head teachers offered rich contextual elaboration of the quantitative results, reinforcing patterns of central interest, and providing important nuances that could not be captured in the descriptive statistics. Most head teachers were slightly positive about the impact of their plans and were aware of some aspects of the CBE that appeared to be working well, but had also openly reported the challenges that faced them in achieving the intended learning outcomes.</w:t>
      </w:r>
    </w:p>
    <w:p w14:paraId="5563E106"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lastRenderedPageBreak/>
        <w:t>Head teachers consistently identified instructional supervision as the most effective intervention that they could implement. Some of the participants reported on weekly classroom observations and feedback to teachers about the structure of lessons, learning corners, competency-based activities in the lessons, and the integration of assessment tasks into the CBE framework. These head teachers found that teachers who were given regular, constructive feedback on their lessons demonstrated measurable improvements in the quality of their lesson delivery, in the completion of their portfolios and in the use of realia and manipulatives in science lessons. One headteacher commented that there was a change in the school culture with increased accountability for CBE delivery due to the consistent presence of the headteacher and the teachers' own reflection on their practice between visits.</w:t>
      </w:r>
    </w:p>
    <w:p w14:paraId="73BC7E4A"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Head teachers, however, also highlighted the need for supervision to be used alongside other strategies. A number of teachers commented that when they were not observed closely at school or were not supervised during lessons due to administrative tasks or community events, or the head teacher was away from school at external meetings, teachers reverted to traditional teacher-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approaches. This mode of supervision-dependent compliance was blamed on a lack of depth and length of support provided in professional development. The quantitative data showed that the effectiveness score for professional development was low with head teachers stating that government organized CBE training workshops were usually too short, too centralized, and too distant from classroom situations to change teaching practices.</w:t>
      </w:r>
    </w:p>
    <w:p w14:paraId="2145D84B"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effectiveness of the strategies was most debated with respect to the promotion of learner </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teaching. Head teachers from schools where staffing and resource provision was relatively </w:t>
      </w:r>
      <w:proofErr w:type="spellStart"/>
      <w:r w:rsidRPr="004B65C0">
        <w:rPr>
          <w:rFonts w:ascii="Times New Roman" w:eastAsia="Times New Roman" w:hAnsi="Times New Roman" w:cs="Times New Roman"/>
          <w:color w:val="000000" w:themeColor="text1"/>
          <w:sz w:val="24"/>
          <w:szCs w:val="24"/>
        </w:rPr>
        <w:t>favourable</w:t>
      </w:r>
      <w:proofErr w:type="spellEnd"/>
      <w:r w:rsidRPr="004B65C0">
        <w:rPr>
          <w:rFonts w:ascii="Times New Roman" w:eastAsia="Times New Roman" w:hAnsi="Times New Roman" w:cs="Times New Roman"/>
          <w:color w:val="000000" w:themeColor="text1"/>
          <w:sz w:val="24"/>
          <w:szCs w:val="24"/>
        </w:rPr>
        <w:t xml:space="preserve"> reported that they had seen some success in supporting learner agency in group learning activities, project based learning and using community contexts as learning resources. Headteachers from the more resource-poor schools and those with highly nomadic communities, however, reported difficulties in even sustaining basic CBE activities, let alone regularly implementing the learner centered pedagogies, in classrooms with multi-grade classes, extreme resource limitations and irregular attendance of learners.</w:t>
      </w:r>
    </w:p>
    <w:p w14:paraId="0F876F05" w14:textId="77777777" w:rsidR="00602C0F" w:rsidRPr="004B65C0"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Learner attendance and continuity emerged as a key structural constraint to the effectiveness of strategies in the qualitative data. Head teachers from schools in regions where there was livestock migration season reported that during migration seasons, learners' attendance in schools could be reduced by 30 – 50% and that no matter how good teachers were in their teaching, it would not be possible to achieve sustained competency progression during that period. This discovery </w:t>
      </w:r>
      <w:r w:rsidRPr="004B65C0">
        <w:rPr>
          <w:rFonts w:ascii="Times New Roman" w:eastAsia="Times New Roman" w:hAnsi="Times New Roman" w:cs="Times New Roman"/>
          <w:color w:val="000000" w:themeColor="text1"/>
          <w:sz w:val="24"/>
          <w:szCs w:val="24"/>
        </w:rPr>
        <w:lastRenderedPageBreak/>
        <w:t>contributes an additional layer to the quantitative effectiveness findings that has a gap in studies in more sedentary community settings, and it is an original contextual contribution of the present study to the CBE implementation literature.</w:t>
      </w:r>
    </w:p>
    <w:p w14:paraId="59BAC804" w14:textId="77777777" w:rsidR="00F63AC1" w:rsidRPr="00F63AC1" w:rsidRDefault="00602C0F"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Head teachers also made specific observations of effectiveness in the use of formative assessment. Some stated that their focus on portfolio completion and structured observation checklists had led to more uniform assessment of learners' progress throughout their schools leading to better informed decisions about individual progress. But others recognized that some teachers still saw portfolios as an administrative document and were still completing these documents after the fact instead of documenting work in an active and continuous manner. The disparity between formal introduction of CBE assessment practices and their meaningful application in classroom practices suggests a focus on pedagogical professional development, not on administrative oversight</w:t>
      </w:r>
      <w:r w:rsidR="00F63AC1" w:rsidRPr="00F63AC1">
        <w:rPr>
          <w:rFonts w:ascii="Times New Roman" w:eastAsia="Times New Roman" w:hAnsi="Times New Roman" w:cs="Times New Roman"/>
          <w:color w:val="000000" w:themeColor="text1"/>
          <w:sz w:val="24"/>
          <w:szCs w:val="24"/>
        </w:rPr>
        <w:t>.</w:t>
      </w:r>
    </w:p>
    <w:p w14:paraId="6D9819F1"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Discussion</w:t>
      </w:r>
    </w:p>
    <w:p w14:paraId="7F28203E"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A moderate mean score of 3.14 (SD = .78) and a significant Pearson correlation (r = .687, p &lt; .01) validates that the strategies that head teachers are using in Wajir East are moderately effective in promoting CBE implementation, but there is a significant gap between administration and impact. This is consistent with the larger implementation science literature, which has identified that the leadership strategies themselves are not enough to ensure that the curriculum outcomes will be realized, especially when enabling conditions are not in place or when leadership strategies are not sustained or pedagogically targeted.</w:t>
      </w:r>
    </w:p>
    <w:p w14:paraId="4169E7BB"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This corroborates the study in Kenyan public primary schools by </w:t>
      </w:r>
      <w:proofErr w:type="spellStart"/>
      <w:r w:rsidRPr="004B65C0">
        <w:rPr>
          <w:rFonts w:ascii="Times New Roman" w:eastAsia="Times New Roman" w:hAnsi="Times New Roman" w:cs="Times New Roman"/>
          <w:color w:val="000000" w:themeColor="text1"/>
          <w:sz w:val="24"/>
          <w:szCs w:val="24"/>
        </w:rPr>
        <w:t>Wairungu</w:t>
      </w:r>
      <w:proofErr w:type="spellEnd"/>
      <w:r w:rsidRPr="004B65C0">
        <w:rPr>
          <w:rFonts w:ascii="Times New Roman" w:eastAsia="Times New Roman" w:hAnsi="Times New Roman" w:cs="Times New Roman"/>
          <w:color w:val="000000" w:themeColor="text1"/>
          <w:sz w:val="24"/>
          <w:szCs w:val="24"/>
        </w:rPr>
        <w:t xml:space="preserve"> and </w:t>
      </w:r>
      <w:proofErr w:type="spellStart"/>
      <w:r w:rsidRPr="004B65C0">
        <w:rPr>
          <w:rFonts w:ascii="Times New Roman" w:eastAsia="Times New Roman" w:hAnsi="Times New Roman" w:cs="Times New Roman"/>
          <w:color w:val="000000" w:themeColor="text1"/>
          <w:sz w:val="24"/>
          <w:szCs w:val="24"/>
        </w:rPr>
        <w:t>Magoma</w:t>
      </w:r>
      <w:proofErr w:type="spellEnd"/>
      <w:r w:rsidRPr="004B65C0">
        <w:rPr>
          <w:rFonts w:ascii="Times New Roman" w:eastAsia="Times New Roman" w:hAnsi="Times New Roman" w:cs="Times New Roman"/>
          <w:color w:val="000000" w:themeColor="text1"/>
          <w:sz w:val="24"/>
          <w:szCs w:val="24"/>
        </w:rPr>
        <w:t xml:space="preserve"> (2024), which demonstrated that the relationship between the CBE encouragement of head teachers and classroom practice was hinged on consistency and specificity of leadership support. They noted that schools in which head teachers were regularly coaching and facilitating structured peer learning experienced greater success in their adaptation to CBE methods, revealing the need for repeated rather than intermittent interventions. The qualitative findings of the current study confirm this and is in line with the findings of other studies that assert that the effectiveness of CBE hinges on embedding, not supervising pedagogical change.</w:t>
      </w:r>
    </w:p>
    <w:p w14:paraId="16EBB87E"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This is consistent with the findings of Robinson et al. (2008), which revealed direct supervisory participation in teacher learning to have the largest effect size among all instructional leadership </w:t>
      </w:r>
      <w:proofErr w:type="spellStart"/>
      <w:r w:rsidRPr="004B65C0">
        <w:rPr>
          <w:rFonts w:ascii="Times New Roman" w:eastAsia="Times New Roman" w:hAnsi="Times New Roman" w:cs="Times New Roman"/>
          <w:color w:val="000000" w:themeColor="text1"/>
          <w:sz w:val="24"/>
          <w:szCs w:val="24"/>
        </w:rPr>
        <w:t>behaviours</w:t>
      </w:r>
      <w:proofErr w:type="spellEnd"/>
      <w:r w:rsidRPr="004B65C0">
        <w:rPr>
          <w:rFonts w:ascii="Times New Roman" w:eastAsia="Times New Roman" w:hAnsi="Times New Roman" w:cs="Times New Roman"/>
          <w:color w:val="000000" w:themeColor="text1"/>
          <w:sz w:val="24"/>
          <w:szCs w:val="24"/>
        </w:rPr>
        <w:t xml:space="preserve">, in the 27 international studies </w:t>
      </w:r>
      <w:proofErr w:type="spellStart"/>
      <w:r w:rsidRPr="004B65C0">
        <w:rPr>
          <w:rFonts w:ascii="Times New Roman" w:eastAsia="Times New Roman" w:hAnsi="Times New Roman" w:cs="Times New Roman"/>
          <w:color w:val="000000" w:themeColor="text1"/>
          <w:sz w:val="24"/>
          <w:szCs w:val="24"/>
        </w:rPr>
        <w:t>analysed</w:t>
      </w:r>
      <w:proofErr w:type="spellEnd"/>
      <w:r w:rsidRPr="004B65C0">
        <w:rPr>
          <w:rFonts w:ascii="Times New Roman" w:eastAsia="Times New Roman" w:hAnsi="Times New Roman" w:cs="Times New Roman"/>
          <w:color w:val="000000" w:themeColor="text1"/>
          <w:sz w:val="24"/>
          <w:szCs w:val="24"/>
        </w:rPr>
        <w:t xml:space="preserve">. This cross-contextual validity across geographically and culturally diverse research contexts validates the basic tenets of IL theory and </w:t>
      </w:r>
      <w:r w:rsidRPr="004B65C0">
        <w:rPr>
          <w:rFonts w:ascii="Times New Roman" w:eastAsia="Times New Roman" w:hAnsi="Times New Roman" w:cs="Times New Roman"/>
          <w:color w:val="000000" w:themeColor="text1"/>
          <w:sz w:val="24"/>
          <w:szCs w:val="24"/>
        </w:rPr>
        <w:lastRenderedPageBreak/>
        <w:t>strongly suggests that the principles of good supervisory leadership continue to explain effective leadership in a resource-limited and geographically isolated setting like Wajir East.</w:t>
      </w:r>
    </w:p>
    <w:p w14:paraId="6C117F28"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lowest effectiveness mean for strategies that promote learner-centered teaching (M = 3.09, SD = .82) is significantly different from the learner </w:t>
      </w:r>
      <w:proofErr w:type="spellStart"/>
      <w:r w:rsidRPr="004B65C0">
        <w:rPr>
          <w:rFonts w:ascii="Times New Roman" w:eastAsia="Times New Roman" w:hAnsi="Times New Roman" w:cs="Times New Roman"/>
          <w:color w:val="000000" w:themeColor="text1"/>
          <w:sz w:val="24"/>
          <w:szCs w:val="24"/>
        </w:rPr>
        <w:t>centredness</w:t>
      </w:r>
      <w:proofErr w:type="spellEnd"/>
      <w:r w:rsidRPr="004B65C0">
        <w:rPr>
          <w:rFonts w:ascii="Times New Roman" w:eastAsia="Times New Roman" w:hAnsi="Times New Roman" w:cs="Times New Roman"/>
          <w:color w:val="000000" w:themeColor="text1"/>
          <w:sz w:val="24"/>
          <w:szCs w:val="24"/>
        </w:rPr>
        <w:t xml:space="preserve"> that the KICD (2017) envisions as the most important pedagogical aspect of CBE. Similarly, </w:t>
      </w:r>
      <w:proofErr w:type="spellStart"/>
      <w:r w:rsidRPr="004B65C0">
        <w:rPr>
          <w:rFonts w:ascii="Times New Roman" w:eastAsia="Times New Roman" w:hAnsi="Times New Roman" w:cs="Times New Roman"/>
          <w:color w:val="000000" w:themeColor="text1"/>
          <w:sz w:val="24"/>
          <w:szCs w:val="24"/>
        </w:rPr>
        <w:t>Maiyuria</w:t>
      </w:r>
      <w:proofErr w:type="spellEnd"/>
      <w:r w:rsidRPr="004B65C0">
        <w:rPr>
          <w:rFonts w:ascii="Times New Roman" w:eastAsia="Times New Roman" w:hAnsi="Times New Roman" w:cs="Times New Roman"/>
          <w:color w:val="000000" w:themeColor="text1"/>
          <w:sz w:val="24"/>
          <w:szCs w:val="24"/>
        </w:rPr>
        <w:t xml:space="preserve"> et al (2024) attributed this gap to inadequate school-based professional development as teachers in Kenyan public primary schools did not have specific pedagogical strategies needed to implement competency-based learning activities despite having content knowledge. This trend was supported by Mutua and Waweru (2023) who reported that teachers persisted in using the traditional methods of instruction when there was no continuous support. This result is consistent across several Kenyan county contexts and also in the context of the present study, which is in a </w:t>
      </w:r>
      <w:proofErr w:type="spellStart"/>
      <w:r w:rsidRPr="004B65C0">
        <w:rPr>
          <w:rFonts w:ascii="Times New Roman" w:eastAsia="Times New Roman" w:hAnsi="Times New Roman" w:cs="Times New Roman"/>
          <w:color w:val="000000" w:themeColor="text1"/>
          <w:sz w:val="24"/>
          <w:szCs w:val="24"/>
        </w:rPr>
        <w:t>marginalised</w:t>
      </w:r>
      <w:proofErr w:type="spellEnd"/>
      <w:r w:rsidRPr="004B65C0">
        <w:rPr>
          <w:rFonts w:ascii="Times New Roman" w:eastAsia="Times New Roman" w:hAnsi="Times New Roman" w:cs="Times New Roman"/>
          <w:color w:val="000000" w:themeColor="text1"/>
          <w:sz w:val="24"/>
          <w:szCs w:val="24"/>
        </w:rPr>
        <w:t xml:space="preserve"> sub-county context, indicating that pedagogical gaps in learner-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education is a systemic issue that must be addressed at a national level and not through individual school contexts.</w:t>
      </w:r>
    </w:p>
    <w:p w14:paraId="76480303" w14:textId="77777777" w:rsidR="00BA64F9" w:rsidRPr="004B65C0"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proofErr w:type="spellStart"/>
      <w:r w:rsidRPr="004B65C0">
        <w:rPr>
          <w:rFonts w:ascii="Times New Roman" w:eastAsia="Times New Roman" w:hAnsi="Times New Roman" w:cs="Times New Roman"/>
          <w:color w:val="000000" w:themeColor="text1"/>
          <w:sz w:val="24"/>
          <w:szCs w:val="24"/>
        </w:rPr>
        <w:t>Ronguno</w:t>
      </w:r>
      <w:proofErr w:type="spellEnd"/>
      <w:r w:rsidRPr="004B65C0">
        <w:rPr>
          <w:rFonts w:ascii="Times New Roman" w:eastAsia="Times New Roman" w:hAnsi="Times New Roman" w:cs="Times New Roman"/>
          <w:color w:val="000000" w:themeColor="text1"/>
          <w:sz w:val="24"/>
          <w:szCs w:val="24"/>
        </w:rPr>
        <w:t xml:space="preserve"> (2025) provided convergent evidence from </w:t>
      </w:r>
      <w:proofErr w:type="spellStart"/>
      <w:r w:rsidRPr="004B65C0">
        <w:rPr>
          <w:rFonts w:ascii="Times New Roman" w:eastAsia="Times New Roman" w:hAnsi="Times New Roman" w:cs="Times New Roman"/>
          <w:color w:val="000000" w:themeColor="text1"/>
          <w:sz w:val="24"/>
          <w:szCs w:val="24"/>
        </w:rPr>
        <w:t>Chesumei</w:t>
      </w:r>
      <w:proofErr w:type="spellEnd"/>
      <w:r w:rsidRPr="004B65C0">
        <w:rPr>
          <w:rFonts w:ascii="Times New Roman" w:eastAsia="Times New Roman" w:hAnsi="Times New Roman" w:cs="Times New Roman"/>
          <w:color w:val="000000" w:themeColor="text1"/>
          <w:sz w:val="24"/>
          <w:szCs w:val="24"/>
        </w:rPr>
        <w:t xml:space="preserve"> Sub-County which revealed that the delivery of learner-centered instruction was not satisfactory because of lack of resources and professional development, which led to the limited measurable CBE competency acquisition among learners. The overall cross-sub-county convergence bolsters the interpretation that the effectiveness gap between leadership strategies and learner-centered outcomes is systemic and is not due to the lack of commitment or intention of individual head teachers.</w:t>
      </w:r>
    </w:p>
    <w:p w14:paraId="43A87011" w14:textId="77777777" w:rsidR="00F63AC1" w:rsidRPr="00F63AC1" w:rsidRDefault="00BA64F9"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However, in more resourceful counties in Kenya, Situma et al (2024) suggest that active head teachers could attain above average alignment to the CBE assessment. This result is also different from the moderate effectiveness ratings seen in Wajir East, which may be due to the combined impact of structural barriers unique to </w:t>
      </w:r>
      <w:proofErr w:type="spellStart"/>
      <w:r w:rsidRPr="004B65C0">
        <w:rPr>
          <w:rFonts w:ascii="Times New Roman" w:eastAsia="Times New Roman" w:hAnsi="Times New Roman" w:cs="Times New Roman"/>
          <w:color w:val="000000" w:themeColor="text1"/>
          <w:sz w:val="24"/>
          <w:szCs w:val="24"/>
        </w:rPr>
        <w:t>marginalised</w:t>
      </w:r>
      <w:proofErr w:type="spellEnd"/>
      <w:r w:rsidRPr="004B65C0">
        <w:rPr>
          <w:rFonts w:ascii="Times New Roman" w:eastAsia="Times New Roman" w:hAnsi="Times New Roman" w:cs="Times New Roman"/>
          <w:color w:val="000000" w:themeColor="text1"/>
          <w:sz w:val="24"/>
          <w:szCs w:val="24"/>
        </w:rPr>
        <w:t xml:space="preserve"> arid sub-counties: insecurity, nomadic community patterns, resource scarcity, and high teacher turnover, which render the implementation context qualitatively more constraining than the counties studied by Situma et al. (2024). The difference highlights the need to have contextually differentiated CBE implementation strategies and policy frameworks which explicitly consider the unique context of marginalized learning environments</w:t>
      </w:r>
      <w:r w:rsidR="00F63AC1" w:rsidRPr="00F63AC1">
        <w:rPr>
          <w:rFonts w:ascii="Times New Roman" w:eastAsia="Times New Roman" w:hAnsi="Times New Roman" w:cs="Times New Roman"/>
          <w:color w:val="000000" w:themeColor="text1"/>
          <w:sz w:val="24"/>
          <w:szCs w:val="24"/>
        </w:rPr>
        <w:t>.</w:t>
      </w:r>
    </w:p>
    <w:p w14:paraId="404449FD" w14:textId="77777777" w:rsidR="00F63AC1" w:rsidRPr="004B65C0" w:rsidRDefault="00F63AC1"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CONCLUSIONS</w:t>
      </w:r>
    </w:p>
    <w:p w14:paraId="16D73FFC"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 xml:space="preserve">Head teachers' administrative strategies are moderately effective in advancing CBE implementation outcomes. </w:t>
      </w:r>
      <w:r w:rsidR="00E61C6B" w:rsidRPr="004B65C0">
        <w:rPr>
          <w:rFonts w:ascii="Times New Roman" w:eastAsia="Times New Roman" w:hAnsi="Times New Roman" w:cs="Times New Roman"/>
          <w:color w:val="000000" w:themeColor="text1"/>
          <w:sz w:val="24"/>
          <w:szCs w:val="24"/>
        </w:rPr>
        <w:t xml:space="preserve">The overall effectiveness mean of 3.14 (SD = .78) and the high and positive Pearson correlation coefficient (r = .687, p &lt; .01) indicate that strategy effectiveness is a </w:t>
      </w:r>
      <w:r w:rsidR="00E61C6B" w:rsidRPr="004B65C0">
        <w:rPr>
          <w:rFonts w:ascii="Times New Roman" w:eastAsia="Times New Roman" w:hAnsi="Times New Roman" w:cs="Times New Roman"/>
          <w:color w:val="000000" w:themeColor="text1"/>
          <w:sz w:val="24"/>
          <w:szCs w:val="24"/>
        </w:rPr>
        <w:lastRenderedPageBreak/>
        <w:t>valid predictor of the quality of implementation of CBE. However, the moderate, not high effectiveness ratings indicate that there is an ongoing mismatch between leadership efforts and curriculum impact which needs to be addressed</w:t>
      </w:r>
      <w:r w:rsidRPr="00F63AC1">
        <w:rPr>
          <w:rFonts w:ascii="Times New Roman" w:eastAsia="Times New Roman" w:hAnsi="Times New Roman" w:cs="Times New Roman"/>
          <w:color w:val="000000" w:themeColor="text1"/>
          <w:sz w:val="24"/>
          <w:szCs w:val="24"/>
        </w:rPr>
        <w:t>.</w:t>
      </w:r>
    </w:p>
    <w:p w14:paraId="5ABE6E8D" w14:textId="77777777" w:rsidR="00F63AC1" w:rsidRPr="00F63AC1" w:rsidRDefault="00B01CD7"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Instructional supervision is the most consistent successful dimension of head teachers' CBE leadership. The supervision effectiveness item had the highest mean (M = 3.22) and the lowest standard deviation of the five dimensions measured and was the strategy identified consistently across interviews as being the one to most clearly show improvement in the quality of lesson delivery, assessment practices, and teacher accountability for CBE delivery. This finding has direct implications for prioritizing the training and support of supervisors as part of head teacher professional development programmes</w:t>
      </w:r>
      <w:r w:rsidR="00F63AC1" w:rsidRPr="00F63AC1">
        <w:rPr>
          <w:rFonts w:ascii="Times New Roman" w:eastAsia="Times New Roman" w:hAnsi="Times New Roman" w:cs="Times New Roman"/>
          <w:color w:val="000000" w:themeColor="text1"/>
          <w:sz w:val="24"/>
          <w:szCs w:val="24"/>
        </w:rPr>
        <w:t>.</w:t>
      </w:r>
    </w:p>
    <w:p w14:paraId="56A4066A" w14:textId="77777777" w:rsidR="00781E6A" w:rsidRPr="004B65C0" w:rsidRDefault="00781E6A"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The learner-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pedagogical approach is the most prominent gap between the implementation of the administration's strategy and the realization of the curriculum's outcomes. The lowest mean (M = 3.09) and highest standard deviation (SD = .82) was found on the item of learner centered teaching effectiveness, indicating a low average effectiveness and a high range of variability among schools. Interview evidence showed that teachers regularly switched back to teacher-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approaches when not being on-site monitored, suggesting that without embedded and sustained professional development, teacher supervision is not enough to change pedagogical practices to the learner-</w:t>
      </w:r>
      <w:proofErr w:type="spellStart"/>
      <w:r w:rsidRPr="004B65C0">
        <w:rPr>
          <w:rFonts w:ascii="Times New Roman" w:eastAsia="Times New Roman" w:hAnsi="Times New Roman" w:cs="Times New Roman"/>
          <w:color w:val="000000" w:themeColor="text1"/>
          <w:sz w:val="24"/>
          <w:szCs w:val="24"/>
        </w:rPr>
        <w:t>centred</w:t>
      </w:r>
      <w:proofErr w:type="spellEnd"/>
      <w:r w:rsidRPr="004B65C0">
        <w:rPr>
          <w:rFonts w:ascii="Times New Roman" w:eastAsia="Times New Roman" w:hAnsi="Times New Roman" w:cs="Times New Roman"/>
          <w:color w:val="000000" w:themeColor="text1"/>
          <w:sz w:val="24"/>
          <w:szCs w:val="24"/>
        </w:rPr>
        <w:t xml:space="preserve"> approaches required for CBE.</w:t>
      </w:r>
    </w:p>
    <w:p w14:paraId="6D96FFA0" w14:textId="77777777" w:rsidR="00F63AC1" w:rsidRPr="00F63AC1" w:rsidRDefault="00781E6A"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School-level leadership cannot directly address the constraints of structural contextual barriers such as nomadic community patterns, irregular attendance of learners, teacher shortages, and insecurity. Current national CBE implementation frameworks are not sufficiently responsive to these barriers and require policy responses that are differentiated and contextual for marginalized arid and semi-arid educational contexts</w:t>
      </w:r>
      <w:r w:rsidR="00F63AC1" w:rsidRPr="00F63AC1">
        <w:rPr>
          <w:rFonts w:ascii="Times New Roman" w:eastAsia="Times New Roman" w:hAnsi="Times New Roman" w:cs="Times New Roman"/>
          <w:color w:val="000000" w:themeColor="text1"/>
          <w:sz w:val="24"/>
          <w:szCs w:val="24"/>
        </w:rPr>
        <w:t>.</w:t>
      </w:r>
    </w:p>
    <w:p w14:paraId="54D98546" w14:textId="77777777" w:rsidR="00F63AC1" w:rsidRPr="004B65C0" w:rsidRDefault="00BD2494" w:rsidP="000C4E8B">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RECOMMENDATIONS</w:t>
      </w:r>
    </w:p>
    <w:p w14:paraId="37DABADA"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 xml:space="preserve">The Ministry of Education and the Teachers Service Commission should establish school-based Instructional Committees in all public primary schools in Wajir East, comprising curriculum champions and experienced CBE practitioners. </w:t>
      </w:r>
      <w:r w:rsidR="00414A49" w:rsidRPr="004B65C0">
        <w:rPr>
          <w:rFonts w:ascii="Times New Roman" w:eastAsia="Times New Roman" w:hAnsi="Times New Roman" w:cs="Times New Roman"/>
          <w:color w:val="000000" w:themeColor="text1"/>
          <w:sz w:val="24"/>
          <w:szCs w:val="24"/>
        </w:rPr>
        <w:t>These committees should be responsible for initiating regular peer mentoring, co-teaching opportunities, and cycles of lesson study for specific pedagogical skills needed for the delivery of learner-centered CBE. This recommendation is directly linked to the above finding that the current level of effectiveness of CBE in the sub-county is characterized by supervision dependent compliance and not pedagogical transformation.</w:t>
      </w:r>
    </w:p>
    <w:p w14:paraId="5D3F10AA" w14:textId="77777777" w:rsidR="00F63AC1" w:rsidRPr="00F63AC1" w:rsidRDefault="001225E1"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lastRenderedPageBreak/>
        <w:t>Head teachers should be supported to use structured post-observation coaching conversations and peer accountability systems in addition to classroom supervision. School improvement plans should have clear learner-</w:t>
      </w:r>
      <w:r w:rsidR="00912E00" w:rsidRPr="004B65C0">
        <w:rPr>
          <w:rFonts w:ascii="Times New Roman" w:eastAsia="Times New Roman" w:hAnsi="Times New Roman" w:cs="Times New Roman"/>
          <w:color w:val="000000" w:themeColor="text1"/>
          <w:sz w:val="24"/>
          <w:szCs w:val="24"/>
        </w:rPr>
        <w:t>centered</w:t>
      </w:r>
      <w:r w:rsidRPr="004B65C0">
        <w:rPr>
          <w:rFonts w:ascii="Times New Roman" w:eastAsia="Times New Roman" w:hAnsi="Times New Roman" w:cs="Times New Roman"/>
          <w:color w:val="000000" w:themeColor="text1"/>
          <w:sz w:val="24"/>
          <w:szCs w:val="24"/>
        </w:rPr>
        <w:t xml:space="preserve"> pedagogy targets with measurable indicators that are reviewed termly, allowing head teachers to monitor the progress from supervisory compliance to true internalization of CBE pedagogy. To support this recommendation, the Sub-County Education Office is expected to create a set of coaching frameworks and observation tools which will be standardized</w:t>
      </w:r>
      <w:r w:rsidR="00F63AC1" w:rsidRPr="00F63AC1">
        <w:rPr>
          <w:rFonts w:ascii="Times New Roman" w:eastAsia="Times New Roman" w:hAnsi="Times New Roman" w:cs="Times New Roman"/>
          <w:color w:val="000000" w:themeColor="text1"/>
          <w:sz w:val="24"/>
          <w:szCs w:val="24"/>
        </w:rPr>
        <w:t>.</w:t>
      </w:r>
    </w:p>
    <w:p w14:paraId="576F30EF" w14:textId="77777777" w:rsidR="00F63AC1" w:rsidRPr="00F63AC1" w:rsidRDefault="00F63AC1" w:rsidP="000C4E8B">
      <w:pPr>
        <w:spacing w:before="100" w:after="100" w:line="360" w:lineRule="auto"/>
        <w:jc w:val="both"/>
        <w:rPr>
          <w:rFonts w:ascii="Times New Roman" w:eastAsia="Times New Roman" w:hAnsi="Times New Roman" w:cs="Times New Roman"/>
          <w:color w:val="000000" w:themeColor="text1"/>
          <w:sz w:val="24"/>
          <w:szCs w:val="24"/>
        </w:rPr>
      </w:pPr>
      <w:r w:rsidRPr="00F63AC1">
        <w:rPr>
          <w:rFonts w:ascii="Times New Roman" w:eastAsia="Times New Roman" w:hAnsi="Times New Roman" w:cs="Times New Roman"/>
          <w:color w:val="000000" w:themeColor="text1"/>
          <w:sz w:val="24"/>
          <w:szCs w:val="24"/>
        </w:rPr>
        <w:t xml:space="preserve">The KICD should develop and disseminate context-sensitive formative assessment toolkits specifically designed for use in resource-constrained and high-mobility community settings. </w:t>
      </w:r>
      <w:r w:rsidR="00122322" w:rsidRPr="004B65C0">
        <w:rPr>
          <w:rFonts w:ascii="Times New Roman" w:eastAsia="Times New Roman" w:hAnsi="Times New Roman" w:cs="Times New Roman"/>
          <w:color w:val="000000" w:themeColor="text1"/>
          <w:sz w:val="24"/>
          <w:szCs w:val="24"/>
        </w:rPr>
        <w:t>The toolkits should contain simple portfolio templates, an easy way to track competency progression that is suitable for the irregular attendance pattern, and guidance on how to incorporate continuous assessment into a multi-grade classroom setting without unnecessary additional administrative burden for teachers.</w:t>
      </w:r>
    </w:p>
    <w:p w14:paraId="5FB51F3B" w14:textId="77777777" w:rsidR="00F63AC1" w:rsidRDefault="005E4CB3" w:rsidP="000C4E8B">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Policy-wise, the Ministry of Education should establish a special support mechanism for the implementation of CBE in arid and semi-arid counties which explicitly considers security and mobility aspects in deployment of teachers, scheduling the delivery of the curriculum and management of learners' attendance. Schools in arid sub-counties should be given minimum posting periods to ensure institutional continuity and minimize the cost of retraining newly posted teachers on school specific CBE approaches.</w:t>
      </w:r>
    </w:p>
    <w:p w14:paraId="4831FDD5" w14:textId="77777777" w:rsidR="0032131D" w:rsidRPr="004B65C0" w:rsidRDefault="0032131D" w:rsidP="0032131D">
      <w:pPr>
        <w:jc w:val="both"/>
        <w:rPr>
          <w:rFonts w:ascii="Times New Roman" w:hAnsi="Times New Roman" w:cs="Times New Roman"/>
          <w:b/>
          <w:color w:val="000000" w:themeColor="text1"/>
        </w:rPr>
      </w:pPr>
      <w:r w:rsidRPr="004B65C0">
        <w:rPr>
          <w:rFonts w:ascii="Times New Roman" w:hAnsi="Times New Roman" w:cs="Times New Roman"/>
          <w:b/>
          <w:color w:val="000000" w:themeColor="text1"/>
        </w:rPr>
        <w:t>LIMITATIONS OF THE STUDY</w:t>
      </w:r>
    </w:p>
    <w:p w14:paraId="40E3A1EC" w14:textId="77777777" w:rsidR="0032131D" w:rsidRPr="00F63AC1" w:rsidRDefault="0032131D" w:rsidP="0032131D">
      <w:pPr>
        <w:spacing w:before="100" w:after="100" w:line="360" w:lineRule="auto"/>
        <w:jc w:val="both"/>
        <w:rPr>
          <w:rFonts w:ascii="Times New Roman" w:eastAsia="Times New Roman" w:hAnsi="Times New Roman" w:cs="Times New Roman"/>
          <w:color w:val="000000" w:themeColor="text1"/>
          <w:sz w:val="24"/>
          <w:szCs w:val="24"/>
        </w:rPr>
      </w:pPr>
      <w:r w:rsidRPr="004B65C0">
        <w:rPr>
          <w:rFonts w:ascii="Times New Roman" w:eastAsia="Times New Roman" w:hAnsi="Times New Roman" w:cs="Times New Roman"/>
          <w:color w:val="000000" w:themeColor="text1"/>
          <w:sz w:val="24"/>
          <w:szCs w:val="24"/>
        </w:rPr>
        <w:t xml:space="preserve">The study was mainly based upon self-reported data from teacher questionnaires and interviews with head teachers. Self-reported data can also be prone to social desirability bias, which means that respondents may be likely to report what they think is expected or institutional norm rather than what they assess for the effectiveness of strategies. This risk was partially addressed by the inclusion of both teacher and head teacher sources of data and the triangulation of findings across the quantitative and qualitative data, but the lack of direct classroom observation data limits the study to the measurement of perceived effectiveness rather than objective measurement of pedagogical </w:t>
      </w:r>
      <w:proofErr w:type="spellStart"/>
      <w:r w:rsidRPr="004B65C0">
        <w:rPr>
          <w:rFonts w:ascii="Times New Roman" w:eastAsia="Times New Roman" w:hAnsi="Times New Roman" w:cs="Times New Roman"/>
          <w:color w:val="000000" w:themeColor="text1"/>
          <w:sz w:val="24"/>
          <w:szCs w:val="24"/>
        </w:rPr>
        <w:t>behaviour</w:t>
      </w:r>
      <w:proofErr w:type="spellEnd"/>
      <w:r w:rsidRPr="004B65C0">
        <w:rPr>
          <w:rFonts w:ascii="Times New Roman" w:eastAsia="Times New Roman" w:hAnsi="Times New Roman" w:cs="Times New Roman"/>
          <w:color w:val="000000" w:themeColor="text1"/>
          <w:sz w:val="24"/>
          <w:szCs w:val="24"/>
        </w:rPr>
        <w:t xml:space="preserve"> change</w:t>
      </w:r>
      <w:r w:rsidRPr="00F63AC1">
        <w:rPr>
          <w:rFonts w:ascii="Times New Roman" w:eastAsia="Times New Roman" w:hAnsi="Times New Roman" w:cs="Times New Roman"/>
          <w:color w:val="000000" w:themeColor="text1"/>
          <w:sz w:val="24"/>
          <w:szCs w:val="24"/>
        </w:rPr>
        <w:t xml:space="preserve">. </w:t>
      </w:r>
    </w:p>
    <w:p w14:paraId="0F3CC307" w14:textId="77777777" w:rsidR="00947742" w:rsidRDefault="00947742">
      <w:pPr>
        <w:spacing w:after="20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02D88AE" w14:textId="5DEAAEB2" w:rsidR="0032131D" w:rsidRPr="0032131D" w:rsidRDefault="0032131D" w:rsidP="0032131D">
      <w:pPr>
        <w:spacing w:before="100" w:after="100" w:line="360" w:lineRule="auto"/>
        <w:jc w:val="both"/>
        <w:rPr>
          <w:rFonts w:ascii="Times New Roman" w:eastAsia="Times New Roman" w:hAnsi="Times New Roman" w:cs="Times New Roman"/>
          <w:color w:val="000000" w:themeColor="text1"/>
          <w:sz w:val="24"/>
          <w:szCs w:val="24"/>
        </w:rPr>
      </w:pPr>
      <w:bookmarkStart w:id="7" w:name="_GoBack"/>
      <w:bookmarkEnd w:id="7"/>
      <w:r w:rsidRPr="0032131D">
        <w:rPr>
          <w:rFonts w:ascii="Times New Roman" w:eastAsia="Times New Roman" w:hAnsi="Times New Roman" w:cs="Times New Roman"/>
          <w:color w:val="000000" w:themeColor="text1"/>
          <w:sz w:val="24"/>
          <w:szCs w:val="24"/>
        </w:rPr>
        <w:lastRenderedPageBreak/>
        <w:t>COMPETING INTERESTS DISCLAIMER:</w:t>
      </w:r>
    </w:p>
    <w:p w14:paraId="77A25EDC" w14:textId="25553DA6" w:rsidR="0032131D" w:rsidRDefault="0032131D" w:rsidP="0032131D">
      <w:pPr>
        <w:spacing w:before="100" w:after="100" w:line="360" w:lineRule="auto"/>
        <w:jc w:val="both"/>
        <w:rPr>
          <w:rFonts w:ascii="Times New Roman" w:eastAsia="Times New Roman" w:hAnsi="Times New Roman" w:cs="Times New Roman"/>
          <w:color w:val="000000" w:themeColor="text1"/>
          <w:sz w:val="24"/>
          <w:szCs w:val="24"/>
        </w:rPr>
      </w:pPr>
      <w:r w:rsidRPr="0032131D">
        <w:rPr>
          <w:rFonts w:ascii="Times New Roman" w:eastAsia="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59251332" w14:textId="77777777" w:rsidR="00247F83" w:rsidRPr="00247F83" w:rsidRDefault="00247F83" w:rsidP="00247F83">
      <w:pPr>
        <w:spacing w:after="0" w:line="240" w:lineRule="auto"/>
        <w:rPr>
          <w:rFonts w:ascii="Times New Roman" w:hAnsi="Times New Roman" w:cs="Times New Roman"/>
          <w:kern w:val="2"/>
          <w:highlight w:val="yellow"/>
        </w:rPr>
      </w:pPr>
      <w:bookmarkStart w:id="8" w:name="_Hlk198031404"/>
      <w:r w:rsidRPr="00247F83">
        <w:rPr>
          <w:rFonts w:ascii="Times New Roman" w:hAnsi="Times New Roman" w:cs="Times New Roman"/>
          <w:kern w:val="2"/>
          <w:highlight w:val="yellow"/>
        </w:rPr>
        <w:t>Disclaimer (Artificial intelligence)</w:t>
      </w:r>
    </w:p>
    <w:p w14:paraId="7E5E44C5" w14:textId="77777777" w:rsidR="00247F83" w:rsidRPr="00247F83" w:rsidRDefault="00247F83" w:rsidP="00247F83">
      <w:pPr>
        <w:spacing w:after="0" w:line="240" w:lineRule="auto"/>
        <w:rPr>
          <w:rFonts w:ascii="Times New Roman" w:hAnsi="Times New Roman" w:cs="Times New Roman"/>
          <w:kern w:val="2"/>
          <w:highlight w:val="yellow"/>
        </w:rPr>
      </w:pPr>
    </w:p>
    <w:p w14:paraId="01813115" w14:textId="77777777" w:rsidR="00247F83" w:rsidRPr="00247F83" w:rsidRDefault="00247F83" w:rsidP="00247F83">
      <w:pPr>
        <w:spacing w:after="0" w:line="240" w:lineRule="auto"/>
        <w:rPr>
          <w:rFonts w:ascii="Times New Roman" w:hAnsi="Times New Roman" w:cs="Times New Roman"/>
          <w:kern w:val="2"/>
          <w:highlight w:val="yellow"/>
        </w:rPr>
      </w:pPr>
      <w:r w:rsidRPr="00247F83">
        <w:rPr>
          <w:rFonts w:ascii="Times New Roman" w:hAnsi="Times New Roman" w:cs="Times New Roman"/>
          <w:kern w:val="2"/>
          <w:highlight w:val="yellow"/>
        </w:rPr>
        <w:t>Author(s) hereby declare that NO generative AI technologies such as Large Language Models (</w:t>
      </w:r>
      <w:proofErr w:type="spellStart"/>
      <w:r w:rsidRPr="00247F83">
        <w:rPr>
          <w:rFonts w:ascii="Times New Roman" w:hAnsi="Times New Roman" w:cs="Times New Roman"/>
          <w:kern w:val="2"/>
          <w:highlight w:val="yellow"/>
        </w:rPr>
        <w:t>ChatGPT</w:t>
      </w:r>
      <w:proofErr w:type="spellEnd"/>
      <w:r w:rsidRPr="00247F83">
        <w:rPr>
          <w:rFonts w:ascii="Times New Roman" w:hAnsi="Times New Roman" w:cs="Times New Roman"/>
          <w:kern w:val="2"/>
          <w:highlight w:val="yellow"/>
        </w:rPr>
        <w:t xml:space="preserve">, COPILOT, etc.) and text-to-image generators have been used during the writing or editing of this manuscript. </w:t>
      </w:r>
    </w:p>
    <w:bookmarkEnd w:id="8"/>
    <w:p w14:paraId="3DFABD6C" w14:textId="77777777" w:rsidR="0032131D" w:rsidRPr="00F63AC1" w:rsidRDefault="0032131D" w:rsidP="000C4E8B">
      <w:pPr>
        <w:spacing w:before="100" w:after="100" w:line="360" w:lineRule="auto"/>
        <w:jc w:val="both"/>
        <w:rPr>
          <w:rFonts w:ascii="Times New Roman" w:eastAsia="Times New Roman" w:hAnsi="Times New Roman" w:cs="Times New Roman"/>
          <w:color w:val="000000" w:themeColor="text1"/>
          <w:sz w:val="24"/>
          <w:szCs w:val="24"/>
        </w:rPr>
      </w:pPr>
    </w:p>
    <w:p w14:paraId="427C158A" w14:textId="77777777" w:rsidR="00F63AC1" w:rsidRPr="004B65C0" w:rsidRDefault="00F63AC1" w:rsidP="009F220C">
      <w:pPr>
        <w:spacing w:after="0" w:line="240" w:lineRule="auto"/>
        <w:jc w:val="both"/>
        <w:rPr>
          <w:rFonts w:ascii="Times New Roman" w:hAnsi="Times New Roman" w:cs="Times New Roman"/>
          <w:b/>
          <w:color w:val="000000" w:themeColor="text1"/>
          <w:sz w:val="24"/>
          <w:szCs w:val="24"/>
        </w:rPr>
      </w:pPr>
      <w:r w:rsidRPr="004B65C0">
        <w:rPr>
          <w:rFonts w:ascii="Times New Roman" w:hAnsi="Times New Roman" w:cs="Times New Roman"/>
          <w:b/>
          <w:color w:val="000000" w:themeColor="text1"/>
          <w:sz w:val="24"/>
          <w:szCs w:val="24"/>
        </w:rPr>
        <w:t>REFERENCES</w:t>
      </w:r>
    </w:p>
    <w:p w14:paraId="2D5339A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Bryman, A. (2021). </w:t>
      </w:r>
      <w:r w:rsidRPr="006D2819">
        <w:rPr>
          <w:rFonts w:ascii="Times New Roman" w:eastAsia="Times New Roman" w:hAnsi="Times New Roman" w:cs="Times New Roman"/>
          <w:i/>
          <w:iCs/>
          <w:color w:val="000000" w:themeColor="text1"/>
          <w:sz w:val="24"/>
          <w:szCs w:val="24"/>
        </w:rPr>
        <w:t>Social research methods</w:t>
      </w:r>
      <w:r w:rsidRPr="006D2819">
        <w:rPr>
          <w:rFonts w:ascii="Times New Roman" w:eastAsia="Times New Roman" w:hAnsi="Times New Roman" w:cs="Times New Roman"/>
          <w:color w:val="000000" w:themeColor="text1"/>
          <w:sz w:val="24"/>
          <w:szCs w:val="24"/>
        </w:rPr>
        <w:t xml:space="preserve"> (5</w:t>
      </w:r>
      <w:r w:rsidRPr="006D2819">
        <w:rPr>
          <w:rFonts w:ascii="Times New Roman" w:eastAsia="Times New Roman" w:hAnsi="Times New Roman" w:cs="Times New Roman"/>
          <w:color w:val="000000" w:themeColor="text1"/>
          <w:sz w:val="24"/>
          <w:szCs w:val="24"/>
          <w:vertAlign w:val="superscript"/>
        </w:rPr>
        <w:t>th</w:t>
      </w:r>
      <w:r w:rsidR="009F220C" w:rsidRPr="004B65C0">
        <w:rPr>
          <w:rFonts w:ascii="Times New Roman" w:eastAsia="Times New Roman" w:hAnsi="Times New Roman" w:cs="Times New Roman"/>
          <w:color w:val="000000" w:themeColor="text1"/>
          <w:sz w:val="24"/>
          <w:szCs w:val="24"/>
        </w:rPr>
        <w:t>ed.). Oxford University Press.</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https://doi.org/10.1093/he/9780198862192.001.0001</w:t>
      </w:r>
    </w:p>
    <w:p w14:paraId="6CD8AD49"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Creswell, J. W., &amp; Creswell, J. D. (2023). </w:t>
      </w:r>
      <w:r w:rsidRPr="006D2819">
        <w:rPr>
          <w:rFonts w:ascii="Times New Roman" w:eastAsia="Times New Roman" w:hAnsi="Times New Roman" w:cs="Times New Roman"/>
          <w:i/>
          <w:iCs/>
          <w:color w:val="000000" w:themeColor="text1"/>
          <w:sz w:val="24"/>
          <w:szCs w:val="24"/>
        </w:rPr>
        <w:t>Research design: Quali</w:t>
      </w:r>
      <w:r w:rsidR="009F220C" w:rsidRPr="004B65C0">
        <w:rPr>
          <w:rFonts w:ascii="Times New Roman" w:eastAsia="Times New Roman" w:hAnsi="Times New Roman" w:cs="Times New Roman"/>
          <w:i/>
          <w:iCs/>
          <w:color w:val="000000" w:themeColor="text1"/>
          <w:sz w:val="24"/>
          <w:szCs w:val="24"/>
        </w:rPr>
        <w:t>tative, quantitative, and mixed</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methods approaches</w:t>
      </w:r>
      <w:r w:rsidR="009F220C" w:rsidRPr="004B65C0">
        <w:rPr>
          <w:rFonts w:ascii="Times New Roman" w:eastAsia="Times New Roman" w:hAnsi="Times New Roman" w:cs="Times New Roman"/>
          <w:color w:val="000000" w:themeColor="text1"/>
          <w:sz w:val="24"/>
          <w:szCs w:val="24"/>
        </w:rPr>
        <w:t xml:space="preserve"> (5</w:t>
      </w:r>
      <w:r w:rsidR="009F220C" w:rsidRPr="004B65C0">
        <w:rPr>
          <w:rFonts w:ascii="Times New Roman" w:eastAsia="Times New Roman" w:hAnsi="Times New Roman" w:cs="Times New Roman"/>
          <w:color w:val="000000" w:themeColor="text1"/>
          <w:sz w:val="24"/>
          <w:szCs w:val="24"/>
          <w:vertAlign w:val="superscript"/>
        </w:rPr>
        <w:t>th</w:t>
      </w:r>
      <w:r w:rsidR="009F220C" w:rsidRPr="004B65C0">
        <w:rPr>
          <w:rFonts w:ascii="Times New Roman" w:eastAsia="Times New Roman" w:hAnsi="Times New Roman" w:cs="Times New Roman"/>
          <w:color w:val="000000" w:themeColor="text1"/>
          <w:sz w:val="24"/>
          <w:szCs w:val="24"/>
        </w:rPr>
        <w:t xml:space="preserve"> </w:t>
      </w:r>
      <w:r w:rsidR="00AA41D3" w:rsidRPr="004B65C0">
        <w:rPr>
          <w:rFonts w:ascii="Times New Roman" w:eastAsia="Times New Roman" w:hAnsi="Times New Roman" w:cs="Times New Roman"/>
          <w:color w:val="000000" w:themeColor="text1"/>
          <w:sz w:val="24"/>
          <w:szCs w:val="24"/>
        </w:rPr>
        <w:t xml:space="preserve">ed.). SAGE Publications. </w:t>
      </w:r>
      <w:r w:rsidRPr="006D2819">
        <w:rPr>
          <w:rFonts w:ascii="Times New Roman" w:eastAsia="Times New Roman" w:hAnsi="Times New Roman" w:cs="Times New Roman"/>
          <w:color w:val="000000" w:themeColor="text1"/>
          <w:sz w:val="24"/>
          <w:szCs w:val="24"/>
        </w:rPr>
        <w:t>https://doi.org/10.4135/9781071925317</w:t>
      </w:r>
    </w:p>
    <w:p w14:paraId="4F7CCAF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Hallinger, P. (2003). Leading educational change: Reflections on th</w:t>
      </w:r>
      <w:r w:rsidR="009F220C" w:rsidRPr="004B65C0">
        <w:rPr>
          <w:rFonts w:ascii="Times New Roman" w:eastAsia="Times New Roman" w:hAnsi="Times New Roman" w:cs="Times New Roman"/>
          <w:color w:val="000000" w:themeColor="text1"/>
          <w:sz w:val="24"/>
          <w:szCs w:val="24"/>
        </w:rPr>
        <w:t>e practice of instructional and</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transformational leadership. </w:t>
      </w:r>
      <w:r w:rsidRPr="006D2819">
        <w:rPr>
          <w:rFonts w:ascii="Times New Roman" w:eastAsia="Times New Roman" w:hAnsi="Times New Roman" w:cs="Times New Roman"/>
          <w:i/>
          <w:iCs/>
          <w:color w:val="000000" w:themeColor="text1"/>
          <w:sz w:val="24"/>
          <w:szCs w:val="24"/>
        </w:rPr>
        <w:t>Cambridge Journal of Education, 33</w:t>
      </w:r>
      <w:r w:rsidRPr="006D2819">
        <w:rPr>
          <w:rFonts w:ascii="Times New Roman" w:eastAsia="Times New Roman" w:hAnsi="Times New Roman" w:cs="Times New Roman"/>
          <w:color w:val="000000" w:themeColor="text1"/>
          <w:sz w:val="24"/>
          <w:szCs w:val="24"/>
        </w:rPr>
        <w:t>(3</w:t>
      </w:r>
      <w:r w:rsidR="009F220C" w:rsidRPr="004B65C0">
        <w:rPr>
          <w:rFonts w:ascii="Times New Roman" w:eastAsia="Times New Roman" w:hAnsi="Times New Roman" w:cs="Times New Roman"/>
          <w:color w:val="000000" w:themeColor="text1"/>
          <w:sz w:val="24"/>
          <w:szCs w:val="24"/>
        </w:rPr>
        <w:t>), 329–352.</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https://doi.org/10.1080/0305764032000122005</w:t>
      </w:r>
    </w:p>
    <w:p w14:paraId="01846DA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Hallinger, P., &amp; Heck, R. H. (1996). Reassessing the principal's </w:t>
      </w:r>
      <w:r w:rsidR="009F220C" w:rsidRPr="004B65C0">
        <w:rPr>
          <w:rFonts w:ascii="Times New Roman" w:eastAsia="Times New Roman" w:hAnsi="Times New Roman" w:cs="Times New Roman"/>
          <w:color w:val="000000" w:themeColor="text1"/>
          <w:sz w:val="24"/>
          <w:szCs w:val="24"/>
        </w:rPr>
        <w:t>role in school effectiveness: A</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review of empirical research, 1980–1995. </w:t>
      </w:r>
      <w:r w:rsidRPr="006D2819">
        <w:rPr>
          <w:rFonts w:ascii="Times New Roman" w:eastAsia="Times New Roman" w:hAnsi="Times New Roman" w:cs="Times New Roman"/>
          <w:i/>
          <w:iCs/>
          <w:color w:val="000000" w:themeColor="text1"/>
          <w:sz w:val="24"/>
          <w:szCs w:val="24"/>
        </w:rPr>
        <w:t>Educational Administration Quarterly, 32</w:t>
      </w:r>
      <w:r w:rsidR="009F220C" w:rsidRPr="004B65C0">
        <w:rPr>
          <w:rFonts w:ascii="Times New Roman" w:eastAsia="Times New Roman" w:hAnsi="Times New Roman" w:cs="Times New Roman"/>
          <w:color w:val="000000" w:themeColor="text1"/>
          <w:sz w:val="24"/>
          <w:szCs w:val="24"/>
        </w:rPr>
        <w:t>(1), 5</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44. https://doi.org/10.1177/0013161X96032001002</w:t>
      </w:r>
    </w:p>
    <w:p w14:paraId="50708C45"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Kanuvi</w:t>
      </w:r>
      <w:proofErr w:type="spellEnd"/>
      <w:r w:rsidRPr="006D2819">
        <w:rPr>
          <w:rFonts w:ascii="Times New Roman" w:eastAsia="Times New Roman" w:hAnsi="Times New Roman" w:cs="Times New Roman"/>
          <w:color w:val="000000" w:themeColor="text1"/>
          <w:sz w:val="24"/>
          <w:szCs w:val="24"/>
        </w:rPr>
        <w:t xml:space="preserve">, J., Barat, M., &amp; </w:t>
      </w:r>
      <w:proofErr w:type="spellStart"/>
      <w:r w:rsidRPr="006D2819">
        <w:rPr>
          <w:rFonts w:ascii="Times New Roman" w:eastAsia="Times New Roman" w:hAnsi="Times New Roman" w:cs="Times New Roman"/>
          <w:color w:val="000000" w:themeColor="text1"/>
          <w:sz w:val="24"/>
          <w:szCs w:val="24"/>
        </w:rPr>
        <w:t>Piliyesi</w:t>
      </w:r>
      <w:proofErr w:type="spellEnd"/>
      <w:r w:rsidRPr="006D2819">
        <w:rPr>
          <w:rFonts w:ascii="Times New Roman" w:eastAsia="Times New Roman" w:hAnsi="Times New Roman" w:cs="Times New Roman"/>
          <w:color w:val="000000" w:themeColor="text1"/>
          <w:sz w:val="24"/>
          <w:szCs w:val="24"/>
        </w:rPr>
        <w:t>, I. (2024). Influence of instr</w:t>
      </w:r>
      <w:r w:rsidR="009F220C" w:rsidRPr="004B65C0">
        <w:rPr>
          <w:rFonts w:ascii="Times New Roman" w:eastAsia="Times New Roman" w:hAnsi="Times New Roman" w:cs="Times New Roman"/>
          <w:color w:val="000000" w:themeColor="text1"/>
          <w:sz w:val="24"/>
          <w:szCs w:val="24"/>
        </w:rPr>
        <w:t>uctional supervision on pupils'</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academic performance in Kajiado North Sub-County, Kenya. </w:t>
      </w:r>
      <w:r w:rsidR="009F220C" w:rsidRPr="004B65C0">
        <w:rPr>
          <w:rFonts w:ascii="Times New Roman" w:eastAsia="Times New Roman" w:hAnsi="Times New Roman" w:cs="Times New Roman"/>
          <w:i/>
          <w:iCs/>
          <w:color w:val="000000" w:themeColor="text1"/>
          <w:sz w:val="24"/>
          <w:szCs w:val="24"/>
        </w:rPr>
        <w:t>East African Educational</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Research Journal, 8</w:t>
      </w:r>
      <w:r w:rsidRPr="006D2819">
        <w:rPr>
          <w:rFonts w:ascii="Times New Roman" w:eastAsia="Times New Roman" w:hAnsi="Times New Roman" w:cs="Times New Roman"/>
          <w:color w:val="000000" w:themeColor="text1"/>
          <w:sz w:val="24"/>
          <w:szCs w:val="24"/>
        </w:rPr>
        <w:t>(1), 44–58.</w:t>
      </w:r>
    </w:p>
    <w:p w14:paraId="08C207AA"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Kenya Institute of Curriculum Development (KICD). (2017). </w:t>
      </w:r>
      <w:r w:rsidR="009F220C" w:rsidRPr="004B65C0">
        <w:rPr>
          <w:rFonts w:ascii="Times New Roman" w:eastAsia="Times New Roman" w:hAnsi="Times New Roman" w:cs="Times New Roman"/>
          <w:i/>
          <w:iCs/>
          <w:color w:val="000000" w:themeColor="text1"/>
          <w:sz w:val="24"/>
          <w:szCs w:val="24"/>
        </w:rPr>
        <w:t>Basic education curriculum</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framework</w:t>
      </w:r>
      <w:r w:rsidRPr="006D2819">
        <w:rPr>
          <w:rFonts w:ascii="Times New Roman" w:eastAsia="Times New Roman" w:hAnsi="Times New Roman" w:cs="Times New Roman"/>
          <w:color w:val="000000" w:themeColor="text1"/>
          <w:sz w:val="24"/>
          <w:szCs w:val="24"/>
        </w:rPr>
        <w:t>. KICD. https://kicd.ac.ke/basic-education-curriculum-framework/</w:t>
      </w:r>
    </w:p>
    <w:p w14:paraId="16ACC679"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Kenya Institute of Curriculum Development (KICD). (2023). </w:t>
      </w:r>
      <w:r w:rsidR="009F220C" w:rsidRPr="004B65C0">
        <w:rPr>
          <w:rFonts w:ascii="Times New Roman" w:eastAsia="Times New Roman" w:hAnsi="Times New Roman" w:cs="Times New Roman"/>
          <w:i/>
          <w:iCs/>
          <w:color w:val="000000" w:themeColor="text1"/>
          <w:sz w:val="24"/>
          <w:szCs w:val="24"/>
        </w:rPr>
        <w:t>National assessment of CBC</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instructional materials availability</w:t>
      </w:r>
      <w:r w:rsidRPr="006D2819">
        <w:rPr>
          <w:rFonts w:ascii="Times New Roman" w:eastAsia="Times New Roman" w:hAnsi="Times New Roman" w:cs="Times New Roman"/>
          <w:color w:val="000000" w:themeColor="text1"/>
          <w:sz w:val="24"/>
          <w:szCs w:val="24"/>
        </w:rPr>
        <w:t>. KICD.</w:t>
      </w:r>
    </w:p>
    <w:p w14:paraId="7D46CEE5"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Kenya National Examinations Council (KNEC). (2022). </w:t>
      </w:r>
      <w:r w:rsidRPr="006D2819">
        <w:rPr>
          <w:rFonts w:ascii="Times New Roman" w:eastAsia="Times New Roman" w:hAnsi="Times New Roman" w:cs="Times New Roman"/>
          <w:i/>
          <w:iCs/>
          <w:color w:val="000000" w:themeColor="text1"/>
          <w:sz w:val="24"/>
          <w:szCs w:val="24"/>
        </w:rPr>
        <w:t>Nation</w:t>
      </w:r>
      <w:r w:rsidR="009F220C" w:rsidRPr="004B65C0">
        <w:rPr>
          <w:rFonts w:ascii="Times New Roman" w:eastAsia="Times New Roman" w:hAnsi="Times New Roman" w:cs="Times New Roman"/>
          <w:i/>
          <w:iCs/>
          <w:color w:val="000000" w:themeColor="text1"/>
          <w:sz w:val="24"/>
          <w:szCs w:val="24"/>
        </w:rPr>
        <w:t>al assessment report on teacher</w:t>
      </w:r>
      <w:r w:rsidR="009F220C"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preparedness for CBC</w:t>
      </w:r>
      <w:r w:rsidRPr="006D2819">
        <w:rPr>
          <w:rFonts w:ascii="Times New Roman" w:eastAsia="Times New Roman" w:hAnsi="Times New Roman" w:cs="Times New Roman"/>
          <w:color w:val="000000" w:themeColor="text1"/>
          <w:sz w:val="24"/>
          <w:szCs w:val="24"/>
        </w:rPr>
        <w:t>. KNEC. https://www.knec.ac.ke/national-assessment-reports/</w:t>
      </w:r>
    </w:p>
    <w:p w14:paraId="207C1736"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Kombo, D. K., &amp; Tromp, D. L. A. (2006). </w:t>
      </w:r>
      <w:r w:rsidRPr="006D2819">
        <w:rPr>
          <w:rFonts w:ascii="Times New Roman" w:eastAsia="Times New Roman" w:hAnsi="Times New Roman" w:cs="Times New Roman"/>
          <w:i/>
          <w:iCs/>
          <w:color w:val="000000" w:themeColor="text1"/>
          <w:sz w:val="24"/>
          <w:szCs w:val="24"/>
        </w:rPr>
        <w:t>Project and thesis writing: An introduction</w:t>
      </w:r>
      <w:r w:rsidR="009F220C" w:rsidRPr="004B65C0">
        <w:rPr>
          <w:rFonts w:ascii="Times New Roman" w:eastAsia="Times New Roman" w:hAnsi="Times New Roman" w:cs="Times New Roman"/>
          <w:color w:val="000000" w:themeColor="text1"/>
          <w:sz w:val="24"/>
          <w:szCs w:val="24"/>
        </w:rPr>
        <w:t>. Pauline's</w:t>
      </w:r>
      <w:r w:rsidR="009F220C"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Publications Africa.</w:t>
      </w:r>
    </w:p>
    <w:p w14:paraId="53933B5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Kuviyo</w:t>
      </w:r>
      <w:proofErr w:type="spellEnd"/>
      <w:r w:rsidRPr="006D2819">
        <w:rPr>
          <w:rFonts w:ascii="Times New Roman" w:eastAsia="Times New Roman" w:hAnsi="Times New Roman" w:cs="Times New Roman"/>
          <w:color w:val="000000" w:themeColor="text1"/>
          <w:sz w:val="24"/>
          <w:szCs w:val="24"/>
        </w:rPr>
        <w:t xml:space="preserve">, J., </w:t>
      </w:r>
      <w:proofErr w:type="spellStart"/>
      <w:r w:rsidRPr="006D2819">
        <w:rPr>
          <w:rFonts w:ascii="Times New Roman" w:eastAsia="Times New Roman" w:hAnsi="Times New Roman" w:cs="Times New Roman"/>
          <w:color w:val="000000" w:themeColor="text1"/>
          <w:sz w:val="24"/>
          <w:szCs w:val="24"/>
        </w:rPr>
        <w:t>Piliyesi</w:t>
      </w:r>
      <w:proofErr w:type="spellEnd"/>
      <w:r w:rsidRPr="006D2819">
        <w:rPr>
          <w:rFonts w:ascii="Times New Roman" w:eastAsia="Times New Roman" w:hAnsi="Times New Roman" w:cs="Times New Roman"/>
          <w:color w:val="000000" w:themeColor="text1"/>
          <w:sz w:val="24"/>
          <w:szCs w:val="24"/>
        </w:rPr>
        <w:t xml:space="preserve">, I., &amp; Kanga, T. (2022). Principals' instructional </w:t>
      </w:r>
      <w:r w:rsidR="00AA41D3" w:rsidRPr="004B65C0">
        <w:rPr>
          <w:rFonts w:ascii="Times New Roman" w:eastAsia="Times New Roman" w:hAnsi="Times New Roman" w:cs="Times New Roman"/>
          <w:color w:val="000000" w:themeColor="text1"/>
          <w:sz w:val="24"/>
          <w:szCs w:val="24"/>
        </w:rPr>
        <w:t>supervision practices and their</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relationship with effective teaching and learning in publ</w:t>
      </w:r>
      <w:r w:rsidR="00AA41D3" w:rsidRPr="004B65C0">
        <w:rPr>
          <w:rFonts w:ascii="Times New Roman" w:eastAsia="Times New Roman" w:hAnsi="Times New Roman" w:cs="Times New Roman"/>
          <w:color w:val="000000" w:themeColor="text1"/>
          <w:sz w:val="24"/>
          <w:szCs w:val="24"/>
        </w:rPr>
        <w:t>ic secondary schools in Kajiado</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North Sub-County, Kenya. </w:t>
      </w:r>
      <w:r w:rsidRPr="006D2819">
        <w:rPr>
          <w:rFonts w:ascii="Times New Roman" w:eastAsia="Times New Roman" w:hAnsi="Times New Roman" w:cs="Times New Roman"/>
          <w:i/>
          <w:iCs/>
          <w:color w:val="000000" w:themeColor="text1"/>
          <w:sz w:val="24"/>
          <w:szCs w:val="24"/>
        </w:rPr>
        <w:t>East African Educational Research Journal, 6</w:t>
      </w:r>
      <w:r w:rsidRPr="006D2819">
        <w:rPr>
          <w:rFonts w:ascii="Times New Roman" w:eastAsia="Times New Roman" w:hAnsi="Times New Roman" w:cs="Times New Roman"/>
          <w:color w:val="000000" w:themeColor="text1"/>
          <w:sz w:val="24"/>
          <w:szCs w:val="24"/>
        </w:rPr>
        <w:t>(2), 22–36.</w:t>
      </w:r>
    </w:p>
    <w:p w14:paraId="525993A9"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Lema, B., &amp; Otieno, P. (2022). Supervisory techniques of h</w:t>
      </w:r>
      <w:r w:rsidR="00AA41D3" w:rsidRPr="004B65C0">
        <w:rPr>
          <w:rFonts w:ascii="Times New Roman" w:eastAsia="Times New Roman" w:hAnsi="Times New Roman" w:cs="Times New Roman"/>
          <w:color w:val="000000" w:themeColor="text1"/>
          <w:sz w:val="24"/>
          <w:szCs w:val="24"/>
        </w:rPr>
        <w:t>ead teachers and teachers' work</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performance in public primary schools in Arusha District Council, Tanzania. </w:t>
      </w:r>
      <w:r w:rsidR="00AA41D3" w:rsidRPr="004B65C0">
        <w:rPr>
          <w:rFonts w:ascii="Times New Roman" w:eastAsia="Times New Roman" w:hAnsi="Times New Roman" w:cs="Times New Roman"/>
          <w:i/>
          <w:iCs/>
          <w:color w:val="000000" w:themeColor="text1"/>
          <w:sz w:val="24"/>
          <w:szCs w:val="24"/>
        </w:rPr>
        <w:t>African</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Journal of Educational Management, 10</w:t>
      </w:r>
      <w:r w:rsidRPr="006D2819">
        <w:rPr>
          <w:rFonts w:ascii="Times New Roman" w:eastAsia="Times New Roman" w:hAnsi="Times New Roman" w:cs="Times New Roman"/>
          <w:color w:val="000000" w:themeColor="text1"/>
          <w:sz w:val="24"/>
          <w:szCs w:val="24"/>
        </w:rPr>
        <w:t>(1), 44–60.</w:t>
      </w:r>
    </w:p>
    <w:p w14:paraId="5182A6AA"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Maiyuria</w:t>
      </w:r>
      <w:proofErr w:type="spellEnd"/>
      <w:r w:rsidRPr="006D2819">
        <w:rPr>
          <w:rFonts w:ascii="Times New Roman" w:eastAsia="Times New Roman" w:hAnsi="Times New Roman" w:cs="Times New Roman"/>
          <w:color w:val="000000" w:themeColor="text1"/>
          <w:sz w:val="24"/>
          <w:szCs w:val="24"/>
        </w:rPr>
        <w:t xml:space="preserve">, P., Mackatiani, C., &amp; </w:t>
      </w:r>
      <w:proofErr w:type="spellStart"/>
      <w:r w:rsidRPr="006D2819">
        <w:rPr>
          <w:rFonts w:ascii="Times New Roman" w:eastAsia="Times New Roman" w:hAnsi="Times New Roman" w:cs="Times New Roman"/>
          <w:color w:val="000000" w:themeColor="text1"/>
          <w:sz w:val="24"/>
          <w:szCs w:val="24"/>
        </w:rPr>
        <w:t>Gakunga</w:t>
      </w:r>
      <w:proofErr w:type="spellEnd"/>
      <w:r w:rsidRPr="006D2819">
        <w:rPr>
          <w:rFonts w:ascii="Times New Roman" w:eastAsia="Times New Roman" w:hAnsi="Times New Roman" w:cs="Times New Roman"/>
          <w:color w:val="000000" w:themeColor="text1"/>
          <w:sz w:val="24"/>
          <w:szCs w:val="24"/>
        </w:rPr>
        <w:t>, D. (2024). Resou</w:t>
      </w:r>
      <w:r w:rsidR="00AA41D3" w:rsidRPr="004B65C0">
        <w:rPr>
          <w:rFonts w:ascii="Times New Roman" w:eastAsia="Times New Roman" w:hAnsi="Times New Roman" w:cs="Times New Roman"/>
          <w:color w:val="000000" w:themeColor="text1"/>
          <w:sz w:val="24"/>
          <w:szCs w:val="24"/>
        </w:rPr>
        <w:t>rces and their influence on CBC</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implementation in public and private primary schools in South </w:t>
      </w:r>
      <w:proofErr w:type="spellStart"/>
      <w:r w:rsidRPr="006D2819">
        <w:rPr>
          <w:rFonts w:ascii="Times New Roman" w:eastAsia="Times New Roman" w:hAnsi="Times New Roman" w:cs="Times New Roman"/>
          <w:color w:val="000000" w:themeColor="text1"/>
          <w:sz w:val="24"/>
          <w:szCs w:val="24"/>
        </w:rPr>
        <w:t>Kinangop</w:t>
      </w:r>
      <w:proofErr w:type="spellEnd"/>
      <w:r w:rsidRPr="006D2819">
        <w:rPr>
          <w:rFonts w:ascii="Times New Roman" w:eastAsia="Times New Roman" w:hAnsi="Times New Roman" w:cs="Times New Roman"/>
          <w:color w:val="000000" w:themeColor="text1"/>
          <w:sz w:val="24"/>
          <w:szCs w:val="24"/>
        </w:rPr>
        <w:t xml:space="preserve"> Sub-County</w:t>
      </w:r>
      <w:r w:rsidR="00AA41D3" w:rsidRPr="004B65C0">
        <w:rPr>
          <w:rFonts w:ascii="Times New Roman" w:eastAsia="Times New Roman" w:hAnsi="Times New Roman" w:cs="Times New Roman"/>
          <w:color w:val="000000" w:themeColor="text1"/>
          <w:sz w:val="24"/>
          <w:szCs w:val="24"/>
        </w:rPr>
        <w:t>,</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Kenya. </w:t>
      </w:r>
      <w:r w:rsidRPr="006D2819">
        <w:rPr>
          <w:rFonts w:ascii="Times New Roman" w:eastAsia="Times New Roman" w:hAnsi="Times New Roman" w:cs="Times New Roman"/>
          <w:i/>
          <w:iCs/>
          <w:color w:val="000000" w:themeColor="text1"/>
          <w:sz w:val="24"/>
          <w:szCs w:val="24"/>
        </w:rPr>
        <w:t>African Journal of Educational Research, 11</w:t>
      </w:r>
      <w:r w:rsidRPr="006D2819">
        <w:rPr>
          <w:rFonts w:ascii="Times New Roman" w:eastAsia="Times New Roman" w:hAnsi="Times New Roman" w:cs="Times New Roman"/>
          <w:color w:val="000000" w:themeColor="text1"/>
          <w:sz w:val="24"/>
          <w:szCs w:val="24"/>
        </w:rPr>
        <w:t>(2), 33–50.</w:t>
      </w:r>
    </w:p>
    <w:p w14:paraId="1C40B3A8"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Ministry of Education, Kenya. (2023). </w:t>
      </w:r>
      <w:r w:rsidRPr="006D2819">
        <w:rPr>
          <w:rFonts w:ascii="Times New Roman" w:eastAsia="Times New Roman" w:hAnsi="Times New Roman" w:cs="Times New Roman"/>
          <w:i/>
          <w:iCs/>
          <w:color w:val="000000" w:themeColor="text1"/>
          <w:sz w:val="24"/>
          <w:szCs w:val="24"/>
        </w:rPr>
        <w:t>Education sector report 2023: Access, equity and quality in the CBC era</w:t>
      </w:r>
      <w:r w:rsidRPr="006D2819">
        <w:rPr>
          <w:rFonts w:ascii="Times New Roman" w:eastAsia="Times New Roman" w:hAnsi="Times New Roman" w:cs="Times New Roman"/>
          <w:color w:val="000000" w:themeColor="text1"/>
          <w:sz w:val="24"/>
          <w:szCs w:val="24"/>
        </w:rPr>
        <w:t>. Government of Kenya.</w:t>
      </w:r>
    </w:p>
    <w:p w14:paraId="7938FD15"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lastRenderedPageBreak/>
        <w:t>Mutua, J., &amp; Waweru, P. (2023). Teachers' competence and its</w:t>
      </w:r>
      <w:r w:rsidR="00AA41D3" w:rsidRPr="004B65C0">
        <w:rPr>
          <w:rFonts w:ascii="Times New Roman" w:eastAsia="Times New Roman" w:hAnsi="Times New Roman" w:cs="Times New Roman"/>
          <w:color w:val="000000" w:themeColor="text1"/>
          <w:sz w:val="24"/>
          <w:szCs w:val="24"/>
        </w:rPr>
        <w:t xml:space="preserve"> influence on effective</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implementation of the Competency-Based Curricul</w:t>
      </w:r>
      <w:r w:rsidR="00AA41D3" w:rsidRPr="004B65C0">
        <w:rPr>
          <w:rFonts w:ascii="Times New Roman" w:eastAsia="Times New Roman" w:hAnsi="Times New Roman" w:cs="Times New Roman"/>
          <w:color w:val="000000" w:themeColor="text1"/>
          <w:sz w:val="24"/>
          <w:szCs w:val="24"/>
        </w:rPr>
        <w:t>um in public primary schools in</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Machakos County, Kenya. </w:t>
      </w:r>
      <w:r w:rsidRPr="006D2819">
        <w:rPr>
          <w:rFonts w:ascii="Times New Roman" w:eastAsia="Times New Roman" w:hAnsi="Times New Roman" w:cs="Times New Roman"/>
          <w:i/>
          <w:iCs/>
          <w:color w:val="000000" w:themeColor="text1"/>
          <w:sz w:val="24"/>
          <w:szCs w:val="24"/>
        </w:rPr>
        <w:t>International Journal of Educational Research, 11</w:t>
      </w:r>
      <w:r w:rsidRPr="006D2819">
        <w:rPr>
          <w:rFonts w:ascii="Times New Roman" w:eastAsia="Times New Roman" w:hAnsi="Times New Roman" w:cs="Times New Roman"/>
          <w:color w:val="000000" w:themeColor="text1"/>
          <w:sz w:val="24"/>
          <w:szCs w:val="24"/>
        </w:rPr>
        <w:t>(2), 44–60.</w:t>
      </w:r>
    </w:p>
    <w:p w14:paraId="1A5212A8"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Ndiga</w:t>
      </w:r>
      <w:proofErr w:type="spellEnd"/>
      <w:r w:rsidRPr="006D2819">
        <w:rPr>
          <w:rFonts w:ascii="Times New Roman" w:eastAsia="Times New Roman" w:hAnsi="Times New Roman" w:cs="Times New Roman"/>
          <w:color w:val="000000" w:themeColor="text1"/>
          <w:sz w:val="24"/>
          <w:szCs w:val="24"/>
        </w:rPr>
        <w:t>, B. (2021). Instructional leadership and curriculum delivery i</w:t>
      </w:r>
      <w:r w:rsidR="00AA41D3" w:rsidRPr="004B65C0">
        <w:rPr>
          <w:rFonts w:ascii="Times New Roman" w:eastAsia="Times New Roman" w:hAnsi="Times New Roman" w:cs="Times New Roman"/>
          <w:color w:val="000000" w:themeColor="text1"/>
          <w:sz w:val="24"/>
          <w:szCs w:val="24"/>
        </w:rPr>
        <w:t>n Kenya's CBC schools.</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i/>
          <w:iCs/>
          <w:color w:val="000000" w:themeColor="text1"/>
          <w:sz w:val="24"/>
          <w:szCs w:val="24"/>
        </w:rPr>
        <w:t>Journal of School Leadership, 9</w:t>
      </w:r>
      <w:r w:rsidRPr="006D2819">
        <w:rPr>
          <w:rFonts w:ascii="Times New Roman" w:eastAsia="Times New Roman" w:hAnsi="Times New Roman" w:cs="Times New Roman"/>
          <w:color w:val="000000" w:themeColor="text1"/>
          <w:sz w:val="24"/>
          <w:szCs w:val="24"/>
        </w:rPr>
        <w:t>(2), 33–47.</w:t>
      </w:r>
    </w:p>
    <w:p w14:paraId="59A26C9B"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Ngunjiri, P., &amp; Ng'ang'a, S. (2021). CBC-related professional </w:t>
      </w:r>
      <w:r w:rsidR="00AA41D3" w:rsidRPr="004B65C0">
        <w:rPr>
          <w:rFonts w:ascii="Times New Roman" w:eastAsia="Times New Roman" w:hAnsi="Times New Roman" w:cs="Times New Roman"/>
          <w:color w:val="000000" w:themeColor="text1"/>
          <w:sz w:val="24"/>
          <w:szCs w:val="24"/>
        </w:rPr>
        <w:t>development in Kenya: Episodic,</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superficial, and contextually misaligned. </w:t>
      </w:r>
      <w:r w:rsidRPr="006D2819">
        <w:rPr>
          <w:rFonts w:ascii="Times New Roman" w:eastAsia="Times New Roman" w:hAnsi="Times New Roman" w:cs="Times New Roman"/>
          <w:i/>
          <w:iCs/>
          <w:color w:val="000000" w:themeColor="text1"/>
          <w:sz w:val="24"/>
          <w:szCs w:val="24"/>
        </w:rPr>
        <w:t>Kenya Journal of Education Policy, 6</w:t>
      </w:r>
      <w:r w:rsidRPr="006D2819">
        <w:rPr>
          <w:rFonts w:ascii="Times New Roman" w:eastAsia="Times New Roman" w:hAnsi="Times New Roman" w:cs="Times New Roman"/>
          <w:color w:val="000000" w:themeColor="text1"/>
          <w:sz w:val="24"/>
          <w:szCs w:val="24"/>
        </w:rPr>
        <w:t>(2), 33–48.</w:t>
      </w:r>
    </w:p>
    <w:p w14:paraId="472D4B47"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Organisation for Economic Co-operation and Development (OECD). (2018). </w:t>
      </w:r>
      <w:r w:rsidR="00AA41D3" w:rsidRPr="004B65C0">
        <w:rPr>
          <w:rFonts w:ascii="Times New Roman" w:eastAsia="Times New Roman" w:hAnsi="Times New Roman" w:cs="Times New Roman"/>
          <w:i/>
          <w:iCs/>
          <w:color w:val="000000" w:themeColor="text1"/>
          <w:sz w:val="24"/>
          <w:szCs w:val="24"/>
        </w:rPr>
        <w:t>The future of</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education and skills: Education 2030</w:t>
      </w:r>
      <w:r w:rsidR="00AA41D3" w:rsidRPr="004B65C0">
        <w:rPr>
          <w:rFonts w:ascii="Times New Roman" w:eastAsia="Times New Roman" w:hAnsi="Times New Roman" w:cs="Times New Roman"/>
          <w:color w:val="000000" w:themeColor="text1"/>
          <w:sz w:val="24"/>
          <w:szCs w:val="24"/>
        </w:rPr>
        <w:t>. OECD Publishing.</w:t>
      </w:r>
      <w:r w:rsidR="00AA41D3" w:rsidRPr="004B65C0">
        <w:rPr>
          <w:rFonts w:ascii="Times New Roman" w:eastAsia="Times New Roman" w:hAnsi="Times New Roman" w:cs="Times New Roman"/>
          <w:color w:val="000000" w:themeColor="text1"/>
          <w:sz w:val="24"/>
          <w:szCs w:val="24"/>
        </w:rPr>
        <w:tab/>
      </w:r>
      <w:hyperlink r:id="rId8" w:history="1">
        <w:r w:rsidRPr="006D2819">
          <w:rPr>
            <w:rFonts w:ascii="Times New Roman" w:eastAsia="Times New Roman" w:hAnsi="Times New Roman" w:cs="Times New Roman"/>
            <w:color w:val="000000" w:themeColor="text1"/>
            <w:sz w:val="24"/>
            <w:szCs w:val="24"/>
          </w:rPr>
          <w:t>https://doi.org/10.1787/9789264307780-en</w:t>
        </w:r>
      </w:hyperlink>
    </w:p>
    <w:p w14:paraId="2FADBBE2"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Robinson, V. M. J., Lloyd, C. A., &amp; Rowe, K. J. (2008). The </w:t>
      </w:r>
      <w:r w:rsidR="00AA41D3" w:rsidRPr="004B65C0">
        <w:rPr>
          <w:rFonts w:ascii="Times New Roman" w:eastAsia="Times New Roman" w:hAnsi="Times New Roman" w:cs="Times New Roman"/>
          <w:color w:val="000000" w:themeColor="text1"/>
          <w:sz w:val="24"/>
          <w:szCs w:val="24"/>
        </w:rPr>
        <w:t>impact of leadership on student</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outcomes: An analysis of the differential effects of leadership types. </w:t>
      </w:r>
      <w:r w:rsidR="00AA41D3" w:rsidRPr="004B65C0">
        <w:rPr>
          <w:rFonts w:ascii="Times New Roman" w:eastAsia="Times New Roman" w:hAnsi="Times New Roman" w:cs="Times New Roman"/>
          <w:i/>
          <w:iCs/>
          <w:color w:val="000000" w:themeColor="text1"/>
          <w:sz w:val="24"/>
          <w:szCs w:val="24"/>
        </w:rPr>
        <w:t>Educational</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Administration Quarterly, 44</w:t>
      </w:r>
      <w:r w:rsidRPr="006D2819">
        <w:rPr>
          <w:rFonts w:ascii="Times New Roman" w:eastAsia="Times New Roman" w:hAnsi="Times New Roman" w:cs="Times New Roman"/>
          <w:color w:val="000000" w:themeColor="text1"/>
          <w:sz w:val="24"/>
          <w:szCs w:val="24"/>
        </w:rPr>
        <w:t>(5), 635–674. https://doi.org/10.1177/0013161X08321509</w:t>
      </w:r>
    </w:p>
    <w:p w14:paraId="370DA5D1"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Ronguno, A. S. (2025). Constraints in the implementation of</w:t>
      </w:r>
      <w:r w:rsidR="00AA41D3" w:rsidRPr="004B65C0">
        <w:rPr>
          <w:rFonts w:ascii="Times New Roman" w:eastAsia="Times New Roman" w:hAnsi="Times New Roman" w:cs="Times New Roman"/>
          <w:color w:val="000000" w:themeColor="text1"/>
          <w:sz w:val="24"/>
          <w:szCs w:val="24"/>
        </w:rPr>
        <w:t xml:space="preserve"> competency-based curriculum in</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public primary schools in Kenya: A case study of </w:t>
      </w:r>
      <w:proofErr w:type="spellStart"/>
      <w:r w:rsidRPr="006D2819">
        <w:rPr>
          <w:rFonts w:ascii="Times New Roman" w:eastAsia="Times New Roman" w:hAnsi="Times New Roman" w:cs="Times New Roman"/>
          <w:color w:val="000000" w:themeColor="text1"/>
          <w:sz w:val="24"/>
          <w:szCs w:val="24"/>
        </w:rPr>
        <w:t>Chesumei</w:t>
      </w:r>
      <w:proofErr w:type="spellEnd"/>
      <w:r w:rsidRPr="006D2819">
        <w:rPr>
          <w:rFonts w:ascii="Times New Roman" w:eastAsia="Times New Roman" w:hAnsi="Times New Roman" w:cs="Times New Roman"/>
          <w:color w:val="000000" w:themeColor="text1"/>
          <w:sz w:val="24"/>
          <w:szCs w:val="24"/>
        </w:rPr>
        <w:t xml:space="preserve"> Sub-County. </w:t>
      </w:r>
      <w:r w:rsidR="00AA41D3" w:rsidRPr="004B65C0">
        <w:rPr>
          <w:rFonts w:ascii="Times New Roman" w:eastAsia="Times New Roman" w:hAnsi="Times New Roman" w:cs="Times New Roman"/>
          <w:i/>
          <w:iCs/>
          <w:color w:val="000000" w:themeColor="text1"/>
          <w:sz w:val="24"/>
          <w:szCs w:val="24"/>
        </w:rPr>
        <w:t>British Journal</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of Education, 13</w:t>
      </w:r>
      <w:r w:rsidRPr="006D2819">
        <w:rPr>
          <w:rFonts w:ascii="Times New Roman" w:eastAsia="Times New Roman" w:hAnsi="Times New Roman" w:cs="Times New Roman"/>
          <w:color w:val="000000" w:themeColor="text1"/>
          <w:sz w:val="24"/>
          <w:szCs w:val="24"/>
        </w:rPr>
        <w:t>(1), 50–64. https://doi.org/10.37745/bje.2013</w:t>
      </w:r>
    </w:p>
    <w:p w14:paraId="219F1F2A"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Saunders, M., Lewis, P., &amp; Thornhill, A. (2023). </w:t>
      </w:r>
      <w:r w:rsidRPr="006D2819">
        <w:rPr>
          <w:rFonts w:ascii="Times New Roman" w:eastAsia="Times New Roman" w:hAnsi="Times New Roman" w:cs="Times New Roman"/>
          <w:i/>
          <w:iCs/>
          <w:color w:val="000000" w:themeColor="text1"/>
          <w:sz w:val="24"/>
          <w:szCs w:val="24"/>
        </w:rPr>
        <w:t>Research methods for business students</w:t>
      </w:r>
      <w:r w:rsidR="00AA41D3" w:rsidRPr="004B65C0">
        <w:rPr>
          <w:rFonts w:ascii="Times New Roman" w:eastAsia="Times New Roman" w:hAnsi="Times New Roman" w:cs="Times New Roman"/>
          <w:color w:val="000000" w:themeColor="text1"/>
          <w:sz w:val="24"/>
          <w:szCs w:val="24"/>
        </w:rPr>
        <w:t xml:space="preserve"> (9</w:t>
      </w:r>
      <w:r w:rsidR="00AA41D3" w:rsidRPr="004B65C0">
        <w:rPr>
          <w:rFonts w:ascii="Times New Roman" w:eastAsia="Times New Roman" w:hAnsi="Times New Roman" w:cs="Times New Roman"/>
          <w:color w:val="000000" w:themeColor="text1"/>
          <w:sz w:val="24"/>
          <w:szCs w:val="24"/>
          <w:vertAlign w:val="superscript"/>
        </w:rPr>
        <w:t>th</w:t>
      </w:r>
      <w:r w:rsidR="004B65C0" w:rsidRPr="004B65C0">
        <w:rPr>
          <w:rFonts w:ascii="Times New Roman" w:eastAsia="Times New Roman" w:hAnsi="Times New Roman" w:cs="Times New Roman"/>
          <w:color w:val="000000" w:themeColor="text1"/>
          <w:sz w:val="24"/>
          <w:szCs w:val="24"/>
        </w:rPr>
        <w:t xml:space="preserve"> </w:t>
      </w:r>
      <w:r w:rsidR="00AA41D3" w:rsidRPr="004B65C0">
        <w:rPr>
          <w:rFonts w:ascii="Times New Roman" w:eastAsia="Times New Roman" w:hAnsi="Times New Roman" w:cs="Times New Roman"/>
          <w:color w:val="000000" w:themeColor="text1"/>
          <w:sz w:val="24"/>
          <w:szCs w:val="24"/>
        </w:rPr>
        <w:t>ed.).</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Pearson Education. https://doi.org/10.1017/9781108867498</w:t>
      </w:r>
    </w:p>
    <w:p w14:paraId="707B58BC"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Situma, G. M., Macheso, E. M., &amp; Njogu, P. (2024). Utilization</w:t>
      </w:r>
      <w:r w:rsidR="00AA41D3" w:rsidRPr="004B65C0">
        <w:rPr>
          <w:rFonts w:ascii="Times New Roman" w:eastAsia="Times New Roman" w:hAnsi="Times New Roman" w:cs="Times New Roman"/>
          <w:color w:val="000000" w:themeColor="text1"/>
          <w:sz w:val="24"/>
          <w:szCs w:val="24"/>
        </w:rPr>
        <w:t xml:space="preserve"> of competency-based assessment</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tools and types in the implementation of the compet</w:t>
      </w:r>
      <w:r w:rsidR="00AA41D3" w:rsidRPr="004B65C0">
        <w:rPr>
          <w:rFonts w:ascii="Times New Roman" w:eastAsia="Times New Roman" w:hAnsi="Times New Roman" w:cs="Times New Roman"/>
          <w:color w:val="000000" w:themeColor="text1"/>
          <w:sz w:val="24"/>
          <w:szCs w:val="24"/>
        </w:rPr>
        <w:t>ency-based assessment in Kenya.</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i/>
          <w:iCs/>
          <w:color w:val="000000" w:themeColor="text1"/>
          <w:sz w:val="24"/>
          <w:szCs w:val="24"/>
        </w:rPr>
        <w:t>International Journal of Research and Innovation in Social Science, 8</w:t>
      </w:r>
      <w:r w:rsidR="00AA41D3" w:rsidRPr="004B65C0">
        <w:rPr>
          <w:rFonts w:ascii="Times New Roman" w:eastAsia="Times New Roman" w:hAnsi="Times New Roman" w:cs="Times New Roman"/>
          <w:color w:val="000000" w:themeColor="text1"/>
          <w:sz w:val="24"/>
          <w:szCs w:val="24"/>
        </w:rPr>
        <w:t>(3), 1450–1459.</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https://doi.org/10.47772/IJRISS.2024.803107</w:t>
      </w:r>
    </w:p>
    <w:p w14:paraId="47081344"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Teachers Service Commission (TSC). (2022). </w:t>
      </w:r>
      <w:r w:rsidRPr="006D2819">
        <w:rPr>
          <w:rFonts w:ascii="Times New Roman" w:eastAsia="Times New Roman" w:hAnsi="Times New Roman" w:cs="Times New Roman"/>
          <w:i/>
          <w:iCs/>
          <w:color w:val="000000" w:themeColor="text1"/>
          <w:sz w:val="24"/>
          <w:szCs w:val="24"/>
        </w:rPr>
        <w:t>Annual staffing</w:t>
      </w:r>
      <w:r w:rsidR="00AA41D3" w:rsidRPr="004B65C0">
        <w:rPr>
          <w:rFonts w:ascii="Times New Roman" w:eastAsia="Times New Roman" w:hAnsi="Times New Roman" w:cs="Times New Roman"/>
          <w:i/>
          <w:iCs/>
          <w:color w:val="000000" w:themeColor="text1"/>
          <w:sz w:val="24"/>
          <w:szCs w:val="24"/>
        </w:rPr>
        <w:t xml:space="preserve"> report: Teacher deployment and</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pupil-teacher ratios</w:t>
      </w:r>
      <w:r w:rsidRPr="006D2819">
        <w:rPr>
          <w:rFonts w:ascii="Times New Roman" w:eastAsia="Times New Roman" w:hAnsi="Times New Roman" w:cs="Times New Roman"/>
          <w:color w:val="000000" w:themeColor="text1"/>
          <w:sz w:val="24"/>
          <w:szCs w:val="24"/>
        </w:rPr>
        <w:t>. TSC. https://www.tsc.go.ke/annual-reports/</w:t>
      </w:r>
    </w:p>
    <w:p w14:paraId="1BD7F1FF"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UNICEF Kenya. (2022). </w:t>
      </w:r>
      <w:r w:rsidRPr="006D2819">
        <w:rPr>
          <w:rFonts w:ascii="Times New Roman" w:eastAsia="Times New Roman" w:hAnsi="Times New Roman" w:cs="Times New Roman"/>
          <w:i/>
          <w:iCs/>
          <w:color w:val="000000" w:themeColor="text1"/>
          <w:sz w:val="24"/>
          <w:szCs w:val="24"/>
        </w:rPr>
        <w:t>Infrastructure and learning conditions in Kenya's arid regions</w:t>
      </w:r>
      <w:r w:rsidR="00AA41D3" w:rsidRPr="004B65C0">
        <w:rPr>
          <w:rFonts w:ascii="Times New Roman" w:eastAsia="Times New Roman" w:hAnsi="Times New Roman" w:cs="Times New Roman"/>
          <w:color w:val="000000" w:themeColor="text1"/>
          <w:sz w:val="24"/>
          <w:szCs w:val="24"/>
        </w:rPr>
        <w:t>. UNICEF.</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https://www.unicef.org/kenya/reports</w:t>
      </w:r>
    </w:p>
    <w:p w14:paraId="466B7264"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proofErr w:type="spellStart"/>
      <w:r w:rsidRPr="006D2819">
        <w:rPr>
          <w:rFonts w:ascii="Times New Roman" w:eastAsia="Times New Roman" w:hAnsi="Times New Roman" w:cs="Times New Roman"/>
          <w:color w:val="000000" w:themeColor="text1"/>
          <w:sz w:val="24"/>
          <w:szCs w:val="24"/>
        </w:rPr>
        <w:t>Wairungu</w:t>
      </w:r>
      <w:proofErr w:type="spellEnd"/>
      <w:r w:rsidRPr="006D2819">
        <w:rPr>
          <w:rFonts w:ascii="Times New Roman" w:eastAsia="Times New Roman" w:hAnsi="Times New Roman" w:cs="Times New Roman"/>
          <w:color w:val="000000" w:themeColor="text1"/>
          <w:sz w:val="24"/>
          <w:szCs w:val="24"/>
        </w:rPr>
        <w:t xml:space="preserve">, B. M., &amp; </w:t>
      </w:r>
      <w:proofErr w:type="spellStart"/>
      <w:r w:rsidRPr="006D2819">
        <w:rPr>
          <w:rFonts w:ascii="Times New Roman" w:eastAsia="Times New Roman" w:hAnsi="Times New Roman" w:cs="Times New Roman"/>
          <w:color w:val="000000" w:themeColor="text1"/>
          <w:sz w:val="24"/>
          <w:szCs w:val="24"/>
        </w:rPr>
        <w:t>Magoma</w:t>
      </w:r>
      <w:proofErr w:type="spellEnd"/>
      <w:r w:rsidRPr="006D2819">
        <w:rPr>
          <w:rFonts w:ascii="Times New Roman" w:eastAsia="Times New Roman" w:hAnsi="Times New Roman" w:cs="Times New Roman"/>
          <w:color w:val="000000" w:themeColor="text1"/>
          <w:sz w:val="24"/>
          <w:szCs w:val="24"/>
        </w:rPr>
        <w:t>, C. M. (2024). Teachers' perceptio</w:t>
      </w:r>
      <w:r w:rsidR="00AA41D3" w:rsidRPr="004B65C0">
        <w:rPr>
          <w:rFonts w:ascii="Times New Roman" w:eastAsia="Times New Roman" w:hAnsi="Times New Roman" w:cs="Times New Roman"/>
          <w:color w:val="000000" w:themeColor="text1"/>
          <w:sz w:val="24"/>
          <w:szCs w:val="24"/>
        </w:rPr>
        <w:t>ns of head teachers' support in</w:t>
      </w:r>
      <w:r w:rsidR="00AA41D3" w:rsidRPr="004B65C0">
        <w:rPr>
          <w:rFonts w:ascii="Times New Roman" w:eastAsia="Times New Roman" w:hAnsi="Times New Roman" w:cs="Times New Roman"/>
          <w:color w:val="000000" w:themeColor="text1"/>
          <w:sz w:val="24"/>
          <w:szCs w:val="24"/>
        </w:rPr>
        <w:tab/>
      </w:r>
      <w:r w:rsidRPr="006D2819">
        <w:rPr>
          <w:rFonts w:ascii="Times New Roman" w:eastAsia="Times New Roman" w:hAnsi="Times New Roman" w:cs="Times New Roman"/>
          <w:color w:val="000000" w:themeColor="text1"/>
          <w:sz w:val="24"/>
          <w:szCs w:val="24"/>
        </w:rPr>
        <w:t xml:space="preserve">implementing CBC in public primary schools in Kenya. </w:t>
      </w:r>
      <w:r w:rsidRPr="006D2819">
        <w:rPr>
          <w:rFonts w:ascii="Times New Roman" w:eastAsia="Times New Roman" w:hAnsi="Times New Roman" w:cs="Times New Roman"/>
          <w:i/>
          <w:iCs/>
          <w:color w:val="000000" w:themeColor="text1"/>
          <w:sz w:val="24"/>
          <w:szCs w:val="24"/>
        </w:rPr>
        <w:t>Af</w:t>
      </w:r>
      <w:r w:rsidR="00AA41D3" w:rsidRPr="004B65C0">
        <w:rPr>
          <w:rFonts w:ascii="Times New Roman" w:eastAsia="Times New Roman" w:hAnsi="Times New Roman" w:cs="Times New Roman"/>
          <w:i/>
          <w:iCs/>
          <w:color w:val="000000" w:themeColor="text1"/>
          <w:sz w:val="24"/>
          <w:szCs w:val="24"/>
        </w:rPr>
        <w:t>rican Multidisciplinary Journal</w:t>
      </w:r>
      <w:r w:rsidR="00AA41D3" w:rsidRPr="004B65C0">
        <w:rPr>
          <w:rFonts w:ascii="Times New Roman" w:eastAsia="Times New Roman" w:hAnsi="Times New Roman" w:cs="Times New Roman"/>
          <w:i/>
          <w:iCs/>
          <w:color w:val="000000" w:themeColor="text1"/>
          <w:sz w:val="24"/>
          <w:szCs w:val="24"/>
        </w:rPr>
        <w:tab/>
      </w:r>
      <w:r w:rsidRPr="006D2819">
        <w:rPr>
          <w:rFonts w:ascii="Times New Roman" w:eastAsia="Times New Roman" w:hAnsi="Times New Roman" w:cs="Times New Roman"/>
          <w:i/>
          <w:iCs/>
          <w:color w:val="000000" w:themeColor="text1"/>
          <w:sz w:val="24"/>
          <w:szCs w:val="24"/>
        </w:rPr>
        <w:t>of Research, 9</w:t>
      </w:r>
      <w:r w:rsidRPr="006D2819">
        <w:rPr>
          <w:rFonts w:ascii="Times New Roman" w:eastAsia="Times New Roman" w:hAnsi="Times New Roman" w:cs="Times New Roman"/>
          <w:color w:val="000000" w:themeColor="text1"/>
          <w:sz w:val="24"/>
          <w:szCs w:val="24"/>
        </w:rPr>
        <w:t>(1), 55–67.</w:t>
      </w:r>
    </w:p>
    <w:p w14:paraId="23104D5B" w14:textId="77777777" w:rsidR="006D2819" w:rsidRPr="006D2819" w:rsidRDefault="006D2819" w:rsidP="00AA41D3">
      <w:pPr>
        <w:spacing w:after="0" w:line="240" w:lineRule="auto"/>
        <w:jc w:val="both"/>
        <w:rPr>
          <w:rFonts w:ascii="Times New Roman" w:eastAsia="Times New Roman" w:hAnsi="Times New Roman" w:cs="Times New Roman"/>
          <w:color w:val="000000" w:themeColor="text1"/>
          <w:sz w:val="24"/>
          <w:szCs w:val="24"/>
        </w:rPr>
      </w:pPr>
      <w:r w:rsidRPr="006D2819">
        <w:rPr>
          <w:rFonts w:ascii="Times New Roman" w:eastAsia="Times New Roman" w:hAnsi="Times New Roman" w:cs="Times New Roman"/>
          <w:color w:val="000000" w:themeColor="text1"/>
          <w:sz w:val="24"/>
          <w:szCs w:val="24"/>
        </w:rPr>
        <w:t xml:space="preserve">Yamane, T. (1967). </w:t>
      </w:r>
      <w:r w:rsidRPr="006D2819">
        <w:rPr>
          <w:rFonts w:ascii="Times New Roman" w:eastAsia="Times New Roman" w:hAnsi="Times New Roman" w:cs="Times New Roman"/>
          <w:i/>
          <w:iCs/>
          <w:color w:val="000000" w:themeColor="text1"/>
          <w:sz w:val="24"/>
          <w:szCs w:val="24"/>
        </w:rPr>
        <w:t>Statistics: An introductory analysis</w:t>
      </w:r>
      <w:r w:rsidRPr="006D2819">
        <w:rPr>
          <w:rFonts w:ascii="Times New Roman" w:eastAsia="Times New Roman" w:hAnsi="Times New Roman" w:cs="Times New Roman"/>
          <w:color w:val="000000" w:themeColor="text1"/>
          <w:sz w:val="24"/>
          <w:szCs w:val="24"/>
        </w:rPr>
        <w:t xml:space="preserve"> (2</w:t>
      </w:r>
      <w:r w:rsidRPr="006D2819">
        <w:rPr>
          <w:rFonts w:ascii="Times New Roman" w:eastAsia="Times New Roman" w:hAnsi="Times New Roman" w:cs="Times New Roman"/>
          <w:color w:val="000000" w:themeColor="text1"/>
          <w:sz w:val="24"/>
          <w:szCs w:val="24"/>
          <w:vertAlign w:val="superscript"/>
        </w:rPr>
        <w:t>nd</w:t>
      </w:r>
      <w:r w:rsidR="004B65C0" w:rsidRPr="004B65C0">
        <w:rPr>
          <w:rFonts w:ascii="Times New Roman" w:eastAsia="Times New Roman" w:hAnsi="Times New Roman" w:cs="Times New Roman"/>
          <w:color w:val="000000" w:themeColor="text1"/>
          <w:sz w:val="24"/>
          <w:szCs w:val="24"/>
        </w:rPr>
        <w:t xml:space="preserve"> </w:t>
      </w:r>
      <w:r w:rsidRPr="006D2819">
        <w:rPr>
          <w:rFonts w:ascii="Times New Roman" w:eastAsia="Times New Roman" w:hAnsi="Times New Roman" w:cs="Times New Roman"/>
          <w:color w:val="000000" w:themeColor="text1"/>
          <w:sz w:val="24"/>
          <w:szCs w:val="24"/>
        </w:rPr>
        <w:t>ed.). Harper and Row.</w:t>
      </w:r>
    </w:p>
    <w:p w14:paraId="43746C88" w14:textId="77777777" w:rsidR="006D2819" w:rsidRPr="004B65C0" w:rsidRDefault="006D2819" w:rsidP="000C4E8B">
      <w:pPr>
        <w:rPr>
          <w:color w:val="000000" w:themeColor="text1"/>
        </w:rPr>
      </w:pPr>
    </w:p>
    <w:p w14:paraId="64747A64" w14:textId="77777777" w:rsidR="006D2819" w:rsidRPr="004B65C0" w:rsidRDefault="006D2819" w:rsidP="000C4E8B">
      <w:pPr>
        <w:rPr>
          <w:color w:val="000000" w:themeColor="text1"/>
        </w:rPr>
      </w:pPr>
    </w:p>
    <w:p w14:paraId="63883820" w14:textId="77777777" w:rsidR="006D2819" w:rsidRPr="004B65C0" w:rsidRDefault="006D2819" w:rsidP="000C4E8B">
      <w:pPr>
        <w:rPr>
          <w:color w:val="000000" w:themeColor="text1"/>
        </w:rPr>
      </w:pPr>
    </w:p>
    <w:sectPr w:rsidR="006D2819" w:rsidRPr="004B65C0" w:rsidSect="00314A51">
      <w:headerReference w:type="even" r:id="rId9"/>
      <w:headerReference w:type="default" r:id="rId10"/>
      <w:footerReference w:type="even" r:id="rId11"/>
      <w:footerReference w:type="default" r:id="rId12"/>
      <w:headerReference w:type="first" r:id="rId13"/>
      <w:footerReference w:type="first" r:id="rId14"/>
      <w:pgSz w:w="12240" w:h="15840"/>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62989" w14:textId="77777777" w:rsidR="00945619" w:rsidRDefault="00945619">
      <w:pPr>
        <w:spacing w:after="0" w:line="240" w:lineRule="auto"/>
      </w:pPr>
      <w:r>
        <w:separator/>
      </w:r>
    </w:p>
  </w:endnote>
  <w:endnote w:type="continuationSeparator" w:id="0">
    <w:p w14:paraId="1CF37D2B" w14:textId="77777777" w:rsidR="00945619" w:rsidRDefault="0094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16683" w14:textId="77777777" w:rsidR="009B0400" w:rsidRDefault="009B0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14A2" w14:textId="77777777" w:rsidR="00FF7A8E" w:rsidRDefault="003F7D59">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sidR="00FF7A8E">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47742">
      <w:rPr>
        <w:rFonts w:ascii="Times New Roman" w:hAnsi="Times New Roman" w:cs="Times New Roman"/>
        <w:noProof/>
        <w:sz w:val="24"/>
        <w:szCs w:val="24"/>
      </w:rPr>
      <w:t>14</w:t>
    </w:r>
    <w:r>
      <w:rPr>
        <w:rFonts w:ascii="Times New Roman" w:hAnsi="Times New Roman" w:cs="Times New Roman"/>
        <w:sz w:val="24"/>
        <w:szCs w:val="24"/>
      </w:rPr>
      <w:fldChar w:fldCharType="end"/>
    </w:r>
  </w:p>
  <w:p w14:paraId="030D4F0A" w14:textId="77777777" w:rsidR="00FF7A8E" w:rsidRDefault="00FF7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FA5E5" w14:textId="77777777" w:rsidR="009B0400" w:rsidRDefault="009B0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20EEE" w14:textId="77777777" w:rsidR="00945619" w:rsidRDefault="00945619">
      <w:pPr>
        <w:spacing w:after="0" w:line="240" w:lineRule="auto"/>
      </w:pPr>
      <w:r>
        <w:separator/>
      </w:r>
    </w:p>
  </w:footnote>
  <w:footnote w:type="continuationSeparator" w:id="0">
    <w:p w14:paraId="2135CC18" w14:textId="77777777" w:rsidR="00945619" w:rsidRDefault="00945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A9FFF" w14:textId="50019DA4" w:rsidR="009B0400" w:rsidRDefault="00945619">
    <w:pPr>
      <w:pStyle w:val="Header"/>
    </w:pPr>
    <w:r>
      <w:rPr>
        <w:noProof/>
      </w:rPr>
      <w:pict w14:anchorId="4E6D3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8"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CDAEA" w14:textId="68152F55" w:rsidR="009B0400" w:rsidRDefault="00945619">
    <w:pPr>
      <w:pStyle w:val="Header"/>
    </w:pPr>
    <w:r>
      <w:rPr>
        <w:noProof/>
      </w:rPr>
      <w:pict w14:anchorId="70BE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9"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A7D7F" w14:textId="38496B4A" w:rsidR="009B0400" w:rsidRDefault="00945619">
    <w:pPr>
      <w:pStyle w:val="Header"/>
    </w:pPr>
    <w:r>
      <w:rPr>
        <w:noProof/>
      </w:rPr>
      <w:pict w14:anchorId="14F5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960437"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A7ACD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1F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3C2E0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61E2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857C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B070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3C668238"/>
    <w:lvl w:ilvl="0">
      <w:start w:val="1"/>
      <w:numFmt w:val="decimal"/>
      <w:lvlText w:val="%1."/>
      <w:lvlJc w:val="left"/>
      <w:pPr>
        <w:ind w:left="9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7">
    <w:nsid w:val="00000008"/>
    <w:multiLevelType w:val="hybridMultilevel"/>
    <w:tmpl w:val="3766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889656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A"/>
    <w:multiLevelType w:val="hybridMultilevel"/>
    <w:tmpl w:val="821E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ADD08698"/>
    <w:lvl w:ilvl="0">
      <w:start w:val="1"/>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1">
    <w:nsid w:val="0000000C"/>
    <w:multiLevelType w:val="hybridMultilevel"/>
    <w:tmpl w:val="2DB4A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E1E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4CEA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D76C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FCAC0B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0000011"/>
    <w:multiLevelType w:val="multilevel"/>
    <w:tmpl w:val="26BAF658"/>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00000012"/>
    <w:multiLevelType w:val="multilevel"/>
    <w:tmpl w:val="507899B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multilevel"/>
    <w:tmpl w:val="4FAA90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00000014"/>
    <w:multiLevelType w:val="multilevel"/>
    <w:tmpl w:val="B992AA4A"/>
    <w:lvl w:ilvl="0">
      <w:start w:val="1"/>
      <w:numFmt w:val="decimal"/>
      <w:lvlText w:val="%1.0"/>
      <w:lvlJc w:val="left"/>
      <w:pPr>
        <w:ind w:left="113" w:hanging="293"/>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7020" w:hanging="1440"/>
      </w:pPr>
      <w:rPr>
        <w:rFonts w:hint="default"/>
      </w:rPr>
    </w:lvl>
  </w:abstractNum>
  <w:abstractNum w:abstractNumId="20">
    <w:nsid w:val="00000015"/>
    <w:multiLevelType w:val="hybridMultilevel"/>
    <w:tmpl w:val="3F3AFD74"/>
    <w:lvl w:ilvl="0" w:tplc="ED2C3B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multilevel"/>
    <w:tmpl w:val="81D64D7E"/>
    <w:lvl w:ilvl="0">
      <w:start w:val="4"/>
      <w:numFmt w:val="decimal"/>
      <w:lvlText w:val="%1"/>
      <w:lvlJc w:val="left"/>
      <w:pPr>
        <w:ind w:left="1500" w:hanging="421"/>
      </w:pPr>
      <w:rPr>
        <w:rFonts w:hint="default"/>
        <w:lang w:val="en-US" w:eastAsia="en-US" w:bidi="ar-SA"/>
      </w:rPr>
    </w:lvl>
    <w:lvl w:ilvl="1">
      <w:start w:val="2"/>
      <w:numFmt w:val="decimal"/>
      <w:lvlText w:val="%1.%2."/>
      <w:lvlJc w:val="left"/>
      <w:pPr>
        <w:ind w:left="1500" w:hanging="4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3500" w:hanging="541"/>
      </w:pPr>
      <w:rPr>
        <w:rFonts w:hint="default"/>
        <w:lang w:val="en-US" w:eastAsia="en-US" w:bidi="ar-SA"/>
      </w:rPr>
    </w:lvl>
    <w:lvl w:ilvl="4">
      <w:start w:val="1"/>
      <w:numFmt w:val="bullet"/>
      <w:lvlText w:val="•"/>
      <w:lvlJc w:val="left"/>
      <w:pPr>
        <w:ind w:left="4440" w:hanging="541"/>
      </w:pPr>
      <w:rPr>
        <w:rFonts w:hint="default"/>
        <w:lang w:val="en-US" w:eastAsia="en-US" w:bidi="ar-SA"/>
      </w:rPr>
    </w:lvl>
    <w:lvl w:ilvl="5">
      <w:start w:val="1"/>
      <w:numFmt w:val="bullet"/>
      <w:lvlText w:val="•"/>
      <w:lvlJc w:val="left"/>
      <w:pPr>
        <w:ind w:left="5380" w:hanging="541"/>
      </w:pPr>
      <w:rPr>
        <w:rFonts w:hint="default"/>
        <w:lang w:val="en-US" w:eastAsia="en-US" w:bidi="ar-SA"/>
      </w:rPr>
    </w:lvl>
    <w:lvl w:ilvl="6">
      <w:start w:val="1"/>
      <w:numFmt w:val="bullet"/>
      <w:lvlText w:val="•"/>
      <w:lvlJc w:val="left"/>
      <w:pPr>
        <w:ind w:left="6320" w:hanging="541"/>
      </w:pPr>
      <w:rPr>
        <w:rFonts w:hint="default"/>
        <w:lang w:val="en-US" w:eastAsia="en-US" w:bidi="ar-SA"/>
      </w:rPr>
    </w:lvl>
    <w:lvl w:ilvl="7">
      <w:start w:val="1"/>
      <w:numFmt w:val="bullet"/>
      <w:lvlText w:val="•"/>
      <w:lvlJc w:val="left"/>
      <w:pPr>
        <w:ind w:left="7260" w:hanging="541"/>
      </w:pPr>
      <w:rPr>
        <w:rFonts w:hint="default"/>
        <w:lang w:val="en-US" w:eastAsia="en-US" w:bidi="ar-SA"/>
      </w:rPr>
    </w:lvl>
    <w:lvl w:ilvl="8">
      <w:start w:val="1"/>
      <w:numFmt w:val="bullet"/>
      <w:lvlText w:val="•"/>
      <w:lvlJc w:val="left"/>
      <w:pPr>
        <w:ind w:left="8200" w:hanging="541"/>
      </w:pPr>
      <w:rPr>
        <w:rFonts w:hint="default"/>
        <w:lang w:val="en-US" w:eastAsia="en-US" w:bidi="ar-SA"/>
      </w:rPr>
    </w:lvl>
  </w:abstractNum>
  <w:abstractNum w:abstractNumId="22">
    <w:nsid w:val="00000017"/>
    <w:multiLevelType w:val="multilevel"/>
    <w:tmpl w:val="176CEC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hybridMultilevel"/>
    <w:tmpl w:val="781E81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00000019"/>
    <w:multiLevelType w:val="multilevel"/>
    <w:tmpl w:val="7AEC16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multilevel"/>
    <w:tmpl w:val="26BAF658"/>
    <w:lvl w:ilvl="0">
      <w:start w:val="1"/>
      <w:numFmt w:val="decimal"/>
      <w:lvlText w:val="%1."/>
      <w:lvlJc w:val="left"/>
      <w:pPr>
        <w:ind w:left="360" w:hanging="360"/>
      </w:p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0000001B"/>
    <w:multiLevelType w:val="multilevel"/>
    <w:tmpl w:val="AD3418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hybridMultilevel"/>
    <w:tmpl w:val="D980A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multilevel"/>
    <w:tmpl w:val="E9FE45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E"/>
    <w:multiLevelType w:val="multilevel"/>
    <w:tmpl w:val="E34A1612"/>
    <w:lvl w:ilvl="0">
      <w:start w:val="1"/>
      <w:numFmt w:val="low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0000001F"/>
    <w:multiLevelType w:val="hybridMultilevel"/>
    <w:tmpl w:val="C84A6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multilevel"/>
    <w:tmpl w:val="D794FFDE"/>
    <w:lvl w:ilvl="0">
      <w:start w:val="1"/>
      <w:numFmt w:val="lowerRoman"/>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00000021"/>
    <w:multiLevelType w:val="multilevel"/>
    <w:tmpl w:val="71A8999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0000022"/>
    <w:multiLevelType w:val="multilevel"/>
    <w:tmpl w:val="6AA2172E"/>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0000023"/>
    <w:multiLevelType w:val="hybridMultilevel"/>
    <w:tmpl w:val="E7683D50"/>
    <w:lvl w:ilvl="0" w:tplc="8D74332C">
      <w:start w:val="1"/>
      <w:numFmt w:val="lowerRoman"/>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4"/>
    <w:multiLevelType w:val="hybridMultilevel"/>
    <w:tmpl w:val="7570EDB8"/>
    <w:lvl w:ilvl="0" w:tplc="4936ED9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00000025"/>
    <w:multiLevelType w:val="hybridMultilevel"/>
    <w:tmpl w:val="FF0894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00A44A63"/>
    <w:multiLevelType w:val="hybridMultilevel"/>
    <w:tmpl w:val="2D4E7F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3C66347"/>
    <w:multiLevelType w:val="hybridMultilevel"/>
    <w:tmpl w:val="F2DC7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1EAE354B"/>
    <w:multiLevelType w:val="hybridMultilevel"/>
    <w:tmpl w:val="8E76C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B603136"/>
    <w:multiLevelType w:val="multilevel"/>
    <w:tmpl w:val="3F2E17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39594184"/>
    <w:multiLevelType w:val="hybridMultilevel"/>
    <w:tmpl w:val="C3D688A4"/>
    <w:lvl w:ilvl="0" w:tplc="8D74332C">
      <w:start w:val="1"/>
      <w:numFmt w:val="lowerRoman"/>
      <w:lvlText w:val="%1)"/>
      <w:lvlJc w:val="left"/>
      <w:pPr>
        <w:ind w:left="360" w:hanging="360"/>
      </w:pPr>
      <w:rPr>
        <w:rFonts w:eastAsia="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420616F6"/>
    <w:multiLevelType w:val="multilevel"/>
    <w:tmpl w:val="1038988E"/>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44855ABD"/>
    <w:multiLevelType w:val="multilevel"/>
    <w:tmpl w:val="1DA25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63365BB9"/>
    <w:multiLevelType w:val="hybridMultilevel"/>
    <w:tmpl w:val="A44A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DD78A9"/>
    <w:multiLevelType w:val="hybridMultilevel"/>
    <w:tmpl w:val="BCD834F0"/>
    <w:lvl w:ilvl="0" w:tplc="2CA063C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7D00AC"/>
    <w:multiLevelType w:val="hybridMultilevel"/>
    <w:tmpl w:val="EC44A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58B2E71"/>
    <w:multiLevelType w:val="hybridMultilevel"/>
    <w:tmpl w:val="BC96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F64E1B"/>
    <w:multiLevelType w:val="hybridMultilevel"/>
    <w:tmpl w:val="383A7B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17"/>
  </w:num>
  <w:num w:numId="4">
    <w:abstractNumId w:val="0"/>
  </w:num>
  <w:num w:numId="5">
    <w:abstractNumId w:val="2"/>
  </w:num>
  <w:num w:numId="6">
    <w:abstractNumId w:val="1"/>
  </w:num>
  <w:num w:numId="7">
    <w:abstractNumId w:val="44"/>
  </w:num>
  <w:num w:numId="8">
    <w:abstractNumId w:val="23"/>
  </w:num>
  <w:num w:numId="9">
    <w:abstractNumId w:val="36"/>
  </w:num>
  <w:num w:numId="10">
    <w:abstractNumId w:val="9"/>
  </w:num>
  <w:num w:numId="11">
    <w:abstractNumId w:val="3"/>
  </w:num>
  <w:num w:numId="12">
    <w:abstractNumId w:val="7"/>
  </w:num>
  <w:num w:numId="13">
    <w:abstractNumId w:val="5"/>
  </w:num>
  <w:num w:numId="14">
    <w:abstractNumId w:val="14"/>
  </w:num>
  <w:num w:numId="15">
    <w:abstractNumId w:val="11"/>
  </w:num>
  <w:num w:numId="16">
    <w:abstractNumId w:val="4"/>
  </w:num>
  <w:num w:numId="17">
    <w:abstractNumId w:val="13"/>
  </w:num>
  <w:num w:numId="18">
    <w:abstractNumId w:val="12"/>
  </w:num>
  <w:num w:numId="19">
    <w:abstractNumId w:val="6"/>
  </w:num>
  <w:num w:numId="20">
    <w:abstractNumId w:val="10"/>
  </w:num>
  <w:num w:numId="21">
    <w:abstractNumId w:val="8"/>
  </w:num>
  <w:num w:numId="22">
    <w:abstractNumId w:val="16"/>
  </w:num>
  <w:num w:numId="23">
    <w:abstractNumId w:val="18"/>
  </w:num>
  <w:num w:numId="24">
    <w:abstractNumId w:val="21"/>
  </w:num>
  <w:num w:numId="25">
    <w:abstractNumId w:val="25"/>
  </w:num>
  <w:num w:numId="26">
    <w:abstractNumId w:val="27"/>
  </w:num>
  <w:num w:numId="27">
    <w:abstractNumId w:val="30"/>
  </w:num>
  <w:num w:numId="28">
    <w:abstractNumId w:val="20"/>
  </w:num>
  <w:num w:numId="29">
    <w:abstractNumId w:val="29"/>
  </w:num>
  <w:num w:numId="30">
    <w:abstractNumId w:val="31"/>
  </w:num>
  <w:num w:numId="31">
    <w:abstractNumId w:val="34"/>
  </w:num>
  <w:num w:numId="32">
    <w:abstractNumId w:val="32"/>
  </w:num>
  <w:num w:numId="33">
    <w:abstractNumId w:val="33"/>
  </w:num>
  <w:num w:numId="34">
    <w:abstractNumId w:val="24"/>
  </w:num>
  <w:num w:numId="35">
    <w:abstractNumId w:val="28"/>
  </w:num>
  <w:num w:numId="36">
    <w:abstractNumId w:val="22"/>
  </w:num>
  <w:num w:numId="37">
    <w:abstractNumId w:val="26"/>
  </w:num>
  <w:num w:numId="38">
    <w:abstractNumId w:val="35"/>
  </w:num>
  <w:num w:numId="39">
    <w:abstractNumId w:val="40"/>
  </w:num>
  <w:num w:numId="40">
    <w:abstractNumId w:val="42"/>
  </w:num>
  <w:num w:numId="41">
    <w:abstractNumId w:val="46"/>
  </w:num>
  <w:num w:numId="42">
    <w:abstractNumId w:val="48"/>
  </w:num>
  <w:num w:numId="43">
    <w:abstractNumId w:val="37"/>
  </w:num>
  <w:num w:numId="44">
    <w:abstractNumId w:val="45"/>
  </w:num>
  <w:num w:numId="45">
    <w:abstractNumId w:val="41"/>
  </w:num>
  <w:num w:numId="46">
    <w:abstractNumId w:val="39"/>
  </w:num>
  <w:num w:numId="47">
    <w:abstractNumId w:val="47"/>
  </w:num>
  <w:num w:numId="48">
    <w:abstractNumId w:val="38"/>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07"/>
    <w:rsid w:val="00006904"/>
    <w:rsid w:val="0001024C"/>
    <w:rsid w:val="000240B9"/>
    <w:rsid w:val="00025310"/>
    <w:rsid w:val="00032E12"/>
    <w:rsid w:val="0003778B"/>
    <w:rsid w:val="00041399"/>
    <w:rsid w:val="00051E5A"/>
    <w:rsid w:val="000528A0"/>
    <w:rsid w:val="00054D02"/>
    <w:rsid w:val="00064CFB"/>
    <w:rsid w:val="00070F9B"/>
    <w:rsid w:val="00075207"/>
    <w:rsid w:val="00095BF1"/>
    <w:rsid w:val="000967F5"/>
    <w:rsid w:val="000A1AC3"/>
    <w:rsid w:val="000C4E8B"/>
    <w:rsid w:val="000D4ED4"/>
    <w:rsid w:val="001008A4"/>
    <w:rsid w:val="001110BD"/>
    <w:rsid w:val="001177C4"/>
    <w:rsid w:val="00121B07"/>
    <w:rsid w:val="00122322"/>
    <w:rsid w:val="001225E1"/>
    <w:rsid w:val="00127E68"/>
    <w:rsid w:val="0013583A"/>
    <w:rsid w:val="001866C9"/>
    <w:rsid w:val="00191ACA"/>
    <w:rsid w:val="00192038"/>
    <w:rsid w:val="00193727"/>
    <w:rsid w:val="001A2E23"/>
    <w:rsid w:val="001B0015"/>
    <w:rsid w:val="001C1BAF"/>
    <w:rsid w:val="001C5536"/>
    <w:rsid w:val="001C582D"/>
    <w:rsid w:val="001E3B25"/>
    <w:rsid w:val="001E56B4"/>
    <w:rsid w:val="001F2C8E"/>
    <w:rsid w:val="001F5EFE"/>
    <w:rsid w:val="001F6E2D"/>
    <w:rsid w:val="00205E08"/>
    <w:rsid w:val="00240501"/>
    <w:rsid w:val="00244F14"/>
    <w:rsid w:val="002450F3"/>
    <w:rsid w:val="00247F83"/>
    <w:rsid w:val="0025414E"/>
    <w:rsid w:val="00256553"/>
    <w:rsid w:val="00275EB2"/>
    <w:rsid w:val="00287EFC"/>
    <w:rsid w:val="002A6933"/>
    <w:rsid w:val="002A7363"/>
    <w:rsid w:val="002C0ADC"/>
    <w:rsid w:val="002C2EAB"/>
    <w:rsid w:val="002D2FD1"/>
    <w:rsid w:val="002D7247"/>
    <w:rsid w:val="002E677F"/>
    <w:rsid w:val="002F0E8A"/>
    <w:rsid w:val="002F622B"/>
    <w:rsid w:val="00300C8B"/>
    <w:rsid w:val="00302675"/>
    <w:rsid w:val="00314879"/>
    <w:rsid w:val="00314A51"/>
    <w:rsid w:val="00316FC4"/>
    <w:rsid w:val="0032131D"/>
    <w:rsid w:val="0032618B"/>
    <w:rsid w:val="0034761D"/>
    <w:rsid w:val="00360D6A"/>
    <w:rsid w:val="003642EE"/>
    <w:rsid w:val="00365854"/>
    <w:rsid w:val="003811F8"/>
    <w:rsid w:val="003825A5"/>
    <w:rsid w:val="00385F7C"/>
    <w:rsid w:val="00386C44"/>
    <w:rsid w:val="0039163A"/>
    <w:rsid w:val="003916DB"/>
    <w:rsid w:val="003A2626"/>
    <w:rsid w:val="003B01F0"/>
    <w:rsid w:val="003B6930"/>
    <w:rsid w:val="003B6FD3"/>
    <w:rsid w:val="003C6050"/>
    <w:rsid w:val="003C65B5"/>
    <w:rsid w:val="003C74F5"/>
    <w:rsid w:val="003D25E6"/>
    <w:rsid w:val="003E44FB"/>
    <w:rsid w:val="003F7D59"/>
    <w:rsid w:val="00401412"/>
    <w:rsid w:val="004061DE"/>
    <w:rsid w:val="004112F6"/>
    <w:rsid w:val="00413643"/>
    <w:rsid w:val="00414A49"/>
    <w:rsid w:val="00422021"/>
    <w:rsid w:val="00437C46"/>
    <w:rsid w:val="00446766"/>
    <w:rsid w:val="00453F95"/>
    <w:rsid w:val="004558ED"/>
    <w:rsid w:val="00495388"/>
    <w:rsid w:val="004A272C"/>
    <w:rsid w:val="004B31F5"/>
    <w:rsid w:val="004B65C0"/>
    <w:rsid w:val="005108DD"/>
    <w:rsid w:val="005417C4"/>
    <w:rsid w:val="005429E1"/>
    <w:rsid w:val="005513CF"/>
    <w:rsid w:val="0055711B"/>
    <w:rsid w:val="0057261F"/>
    <w:rsid w:val="00587A92"/>
    <w:rsid w:val="00592553"/>
    <w:rsid w:val="00592A96"/>
    <w:rsid w:val="0059512D"/>
    <w:rsid w:val="005B7F00"/>
    <w:rsid w:val="005C398B"/>
    <w:rsid w:val="005E2460"/>
    <w:rsid w:val="005E4CB3"/>
    <w:rsid w:val="005E5910"/>
    <w:rsid w:val="005E7464"/>
    <w:rsid w:val="00601325"/>
    <w:rsid w:val="00602C0F"/>
    <w:rsid w:val="00617F25"/>
    <w:rsid w:val="006239BB"/>
    <w:rsid w:val="00624A99"/>
    <w:rsid w:val="0063284B"/>
    <w:rsid w:val="00642C82"/>
    <w:rsid w:val="00674952"/>
    <w:rsid w:val="0068039B"/>
    <w:rsid w:val="006A17A2"/>
    <w:rsid w:val="006A7402"/>
    <w:rsid w:val="006B4D08"/>
    <w:rsid w:val="006C648C"/>
    <w:rsid w:val="006C6513"/>
    <w:rsid w:val="006C6550"/>
    <w:rsid w:val="006C7FE0"/>
    <w:rsid w:val="006D2819"/>
    <w:rsid w:val="006D762E"/>
    <w:rsid w:val="006E7469"/>
    <w:rsid w:val="006F4F40"/>
    <w:rsid w:val="006F68BE"/>
    <w:rsid w:val="00707C8F"/>
    <w:rsid w:val="007109C3"/>
    <w:rsid w:val="00715C68"/>
    <w:rsid w:val="00722AC5"/>
    <w:rsid w:val="00725DE6"/>
    <w:rsid w:val="00733E60"/>
    <w:rsid w:val="00745955"/>
    <w:rsid w:val="00755606"/>
    <w:rsid w:val="007631B4"/>
    <w:rsid w:val="00770FE9"/>
    <w:rsid w:val="00781E6A"/>
    <w:rsid w:val="0078626B"/>
    <w:rsid w:val="00794FB7"/>
    <w:rsid w:val="007B2E88"/>
    <w:rsid w:val="007B3574"/>
    <w:rsid w:val="007B7597"/>
    <w:rsid w:val="007D27A8"/>
    <w:rsid w:val="007E6CA6"/>
    <w:rsid w:val="007E7703"/>
    <w:rsid w:val="007F7D49"/>
    <w:rsid w:val="00807E02"/>
    <w:rsid w:val="0081405D"/>
    <w:rsid w:val="00815BD7"/>
    <w:rsid w:val="00816C89"/>
    <w:rsid w:val="00820168"/>
    <w:rsid w:val="0082170B"/>
    <w:rsid w:val="008327BA"/>
    <w:rsid w:val="00832BEC"/>
    <w:rsid w:val="008419B4"/>
    <w:rsid w:val="008771DD"/>
    <w:rsid w:val="00881A60"/>
    <w:rsid w:val="00890BDF"/>
    <w:rsid w:val="008A736B"/>
    <w:rsid w:val="008C0A6D"/>
    <w:rsid w:val="008C0B06"/>
    <w:rsid w:val="008C579B"/>
    <w:rsid w:val="008D4C9A"/>
    <w:rsid w:val="008E221C"/>
    <w:rsid w:val="008E3032"/>
    <w:rsid w:val="008F21EF"/>
    <w:rsid w:val="00905B34"/>
    <w:rsid w:val="00912E00"/>
    <w:rsid w:val="009162BC"/>
    <w:rsid w:val="00924E30"/>
    <w:rsid w:val="00945619"/>
    <w:rsid w:val="00947742"/>
    <w:rsid w:val="00957C95"/>
    <w:rsid w:val="00964ED3"/>
    <w:rsid w:val="00966B28"/>
    <w:rsid w:val="00974D01"/>
    <w:rsid w:val="009A2BDD"/>
    <w:rsid w:val="009B0400"/>
    <w:rsid w:val="009B4E0B"/>
    <w:rsid w:val="009D2EC9"/>
    <w:rsid w:val="009E4B0C"/>
    <w:rsid w:val="009F220C"/>
    <w:rsid w:val="00A10788"/>
    <w:rsid w:val="00A14169"/>
    <w:rsid w:val="00A23B32"/>
    <w:rsid w:val="00A2715C"/>
    <w:rsid w:val="00A32943"/>
    <w:rsid w:val="00A35D0F"/>
    <w:rsid w:val="00A46851"/>
    <w:rsid w:val="00A667CC"/>
    <w:rsid w:val="00A70C20"/>
    <w:rsid w:val="00A85638"/>
    <w:rsid w:val="00AA41D3"/>
    <w:rsid w:val="00AB3E25"/>
    <w:rsid w:val="00AB5637"/>
    <w:rsid w:val="00AE4A6C"/>
    <w:rsid w:val="00AF0E90"/>
    <w:rsid w:val="00B01CD7"/>
    <w:rsid w:val="00B0608E"/>
    <w:rsid w:val="00B212B0"/>
    <w:rsid w:val="00B4722D"/>
    <w:rsid w:val="00B53543"/>
    <w:rsid w:val="00B53AF5"/>
    <w:rsid w:val="00B60335"/>
    <w:rsid w:val="00B62EB8"/>
    <w:rsid w:val="00B64423"/>
    <w:rsid w:val="00B7505E"/>
    <w:rsid w:val="00B7706C"/>
    <w:rsid w:val="00B8175E"/>
    <w:rsid w:val="00B936C7"/>
    <w:rsid w:val="00BA64F9"/>
    <w:rsid w:val="00BC5FA9"/>
    <w:rsid w:val="00BC6FFA"/>
    <w:rsid w:val="00BD1C74"/>
    <w:rsid w:val="00BD2494"/>
    <w:rsid w:val="00BE5C1E"/>
    <w:rsid w:val="00C1008C"/>
    <w:rsid w:val="00C128C0"/>
    <w:rsid w:val="00C17A96"/>
    <w:rsid w:val="00C27025"/>
    <w:rsid w:val="00C41A75"/>
    <w:rsid w:val="00C5095B"/>
    <w:rsid w:val="00C52575"/>
    <w:rsid w:val="00C62C62"/>
    <w:rsid w:val="00C7441C"/>
    <w:rsid w:val="00C76BC7"/>
    <w:rsid w:val="00C83D28"/>
    <w:rsid w:val="00C8629F"/>
    <w:rsid w:val="00C917B6"/>
    <w:rsid w:val="00C91EF5"/>
    <w:rsid w:val="00C95BBF"/>
    <w:rsid w:val="00C95D07"/>
    <w:rsid w:val="00C96972"/>
    <w:rsid w:val="00CA0C6B"/>
    <w:rsid w:val="00CA26B7"/>
    <w:rsid w:val="00CA6925"/>
    <w:rsid w:val="00CC193A"/>
    <w:rsid w:val="00CE25FD"/>
    <w:rsid w:val="00CF179E"/>
    <w:rsid w:val="00CF1958"/>
    <w:rsid w:val="00D047F2"/>
    <w:rsid w:val="00D11E89"/>
    <w:rsid w:val="00D15C5E"/>
    <w:rsid w:val="00D15CA9"/>
    <w:rsid w:val="00D17C09"/>
    <w:rsid w:val="00D2313B"/>
    <w:rsid w:val="00D258E4"/>
    <w:rsid w:val="00D27D63"/>
    <w:rsid w:val="00D3277B"/>
    <w:rsid w:val="00D43FB5"/>
    <w:rsid w:val="00D579F8"/>
    <w:rsid w:val="00D61E4D"/>
    <w:rsid w:val="00D63B13"/>
    <w:rsid w:val="00D73E30"/>
    <w:rsid w:val="00D857B2"/>
    <w:rsid w:val="00D906B8"/>
    <w:rsid w:val="00DA3488"/>
    <w:rsid w:val="00DB1725"/>
    <w:rsid w:val="00DE1C58"/>
    <w:rsid w:val="00E13261"/>
    <w:rsid w:val="00E16817"/>
    <w:rsid w:val="00E249A9"/>
    <w:rsid w:val="00E36E8C"/>
    <w:rsid w:val="00E4134B"/>
    <w:rsid w:val="00E42D3C"/>
    <w:rsid w:val="00E5792C"/>
    <w:rsid w:val="00E61685"/>
    <w:rsid w:val="00E61C6B"/>
    <w:rsid w:val="00E85B79"/>
    <w:rsid w:val="00ED22CB"/>
    <w:rsid w:val="00ED5DB2"/>
    <w:rsid w:val="00ED7507"/>
    <w:rsid w:val="00ED7AC6"/>
    <w:rsid w:val="00EE0D40"/>
    <w:rsid w:val="00EE135D"/>
    <w:rsid w:val="00F00B87"/>
    <w:rsid w:val="00F13916"/>
    <w:rsid w:val="00F16BA8"/>
    <w:rsid w:val="00F24BA5"/>
    <w:rsid w:val="00F30B2D"/>
    <w:rsid w:val="00F31C59"/>
    <w:rsid w:val="00F37936"/>
    <w:rsid w:val="00F406E5"/>
    <w:rsid w:val="00F47D96"/>
    <w:rsid w:val="00F63AC1"/>
    <w:rsid w:val="00F70887"/>
    <w:rsid w:val="00F77A95"/>
    <w:rsid w:val="00F91CED"/>
    <w:rsid w:val="00F949E6"/>
    <w:rsid w:val="00FA4BA3"/>
    <w:rsid w:val="00FE5752"/>
    <w:rsid w:val="00FE7EA9"/>
    <w:rsid w:val="00FF02CE"/>
    <w:rsid w:val="00FF4583"/>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4610DD"/>
  <w15:docId w15:val="{B809CF4A-F9DF-4FBF-A039-F2606E57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59"/>
    <w:pPr>
      <w:spacing w:after="160" w:line="259" w:lineRule="auto"/>
    </w:pPr>
  </w:style>
  <w:style w:type="paragraph" w:styleId="Heading1">
    <w:name w:val="heading 1"/>
    <w:basedOn w:val="Normal"/>
    <w:next w:val="Normal"/>
    <w:link w:val="Heading1Char"/>
    <w:uiPriority w:val="9"/>
    <w:qFormat/>
    <w:rsid w:val="003F7D59"/>
    <w:pPr>
      <w:keepNext/>
      <w:keepLines/>
      <w:spacing w:after="0" w:line="480" w:lineRule="auto"/>
      <w:ind w:left="180" w:hanging="360"/>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qFormat/>
    <w:rsid w:val="003F7D59"/>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3F7D59"/>
    <w:pPr>
      <w:keepNext/>
      <w:keepLines/>
      <w:spacing w:before="40" w:after="0"/>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D59"/>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rsid w:val="003F7D59"/>
    <w:rPr>
      <w:rFonts w:ascii="Cambria" w:eastAsia="SimSun" w:hAnsi="Cambria" w:cs="SimSun"/>
      <w:color w:val="365F91"/>
      <w:sz w:val="26"/>
      <w:szCs w:val="26"/>
    </w:rPr>
  </w:style>
  <w:style w:type="character" w:customStyle="1" w:styleId="Heading3Char">
    <w:name w:val="Heading 3 Char"/>
    <w:basedOn w:val="DefaultParagraphFont"/>
    <w:link w:val="Heading3"/>
    <w:uiPriority w:val="9"/>
    <w:rsid w:val="003F7D59"/>
    <w:rPr>
      <w:rFonts w:ascii="Cambria" w:eastAsia="SimSun" w:hAnsi="Cambria" w:cs="SimSun"/>
      <w:color w:val="243F60"/>
      <w:sz w:val="24"/>
      <w:szCs w:val="24"/>
    </w:rPr>
  </w:style>
  <w:style w:type="paragraph" w:styleId="ListParagraph">
    <w:name w:val="List Paragraph"/>
    <w:basedOn w:val="Normal"/>
    <w:uiPriority w:val="34"/>
    <w:qFormat/>
    <w:rsid w:val="003F7D59"/>
    <w:pPr>
      <w:ind w:left="720"/>
      <w:contextualSpacing/>
    </w:pPr>
  </w:style>
  <w:style w:type="table" w:styleId="TableGrid">
    <w:name w:val="Table Grid"/>
    <w:basedOn w:val="TableNormal"/>
    <w:uiPriority w:val="39"/>
    <w:rsid w:val="003F7D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F7D59"/>
    <w:rPr>
      <w:b/>
      <w:bCs/>
    </w:rPr>
  </w:style>
  <w:style w:type="paragraph" w:styleId="Header">
    <w:name w:val="header"/>
    <w:basedOn w:val="Normal"/>
    <w:link w:val="HeaderChar"/>
    <w:uiPriority w:val="99"/>
    <w:rsid w:val="003F7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D59"/>
  </w:style>
  <w:style w:type="paragraph" w:styleId="Footer">
    <w:name w:val="footer"/>
    <w:basedOn w:val="Normal"/>
    <w:link w:val="FooterChar"/>
    <w:uiPriority w:val="99"/>
    <w:rsid w:val="003F7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D59"/>
  </w:style>
  <w:style w:type="paragraph" w:styleId="BodyText">
    <w:name w:val="Body Text"/>
    <w:basedOn w:val="Normal"/>
    <w:link w:val="BodyTextChar"/>
    <w:uiPriority w:val="1"/>
    <w:qFormat/>
    <w:rsid w:val="003F7D59"/>
    <w:pPr>
      <w:widowControl w:val="0"/>
      <w:spacing w:before="10" w:after="0" w:line="240" w:lineRule="auto"/>
      <w:ind w:left="223"/>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7D59"/>
    <w:rPr>
      <w:rFonts w:ascii="Times New Roman" w:eastAsia="Times New Roman" w:hAnsi="Times New Roman" w:cs="Times New Roman"/>
    </w:rPr>
  </w:style>
  <w:style w:type="paragraph" w:styleId="NoSpacing">
    <w:name w:val="No Spacing"/>
    <w:uiPriority w:val="1"/>
    <w:qFormat/>
    <w:rsid w:val="003F7D59"/>
    <w:pPr>
      <w:spacing w:after="0" w:line="240" w:lineRule="auto"/>
    </w:pPr>
  </w:style>
  <w:style w:type="paragraph" w:styleId="TOCHeading">
    <w:name w:val="TOC Heading"/>
    <w:basedOn w:val="Heading1"/>
    <w:next w:val="Normal"/>
    <w:uiPriority w:val="39"/>
    <w:qFormat/>
    <w:rsid w:val="003F7D59"/>
    <w:pPr>
      <w:spacing w:before="240" w:line="259" w:lineRule="auto"/>
      <w:ind w:left="0" w:firstLine="0"/>
      <w:jc w:val="left"/>
      <w:outlineLvl w:val="9"/>
    </w:pPr>
    <w:rPr>
      <w:rFonts w:ascii="Cambria" w:eastAsia="SimSun" w:hAnsi="Cambria" w:cs="SimSun"/>
      <w:b w:val="0"/>
      <w:color w:val="365F91"/>
      <w:sz w:val="32"/>
      <w:szCs w:val="32"/>
    </w:rPr>
  </w:style>
  <w:style w:type="paragraph" w:styleId="TOC1">
    <w:name w:val="toc 1"/>
    <w:basedOn w:val="Normal"/>
    <w:next w:val="Normal"/>
    <w:uiPriority w:val="39"/>
    <w:rsid w:val="003F7D59"/>
    <w:pPr>
      <w:spacing w:after="100"/>
    </w:pPr>
  </w:style>
  <w:style w:type="character" w:styleId="Hyperlink">
    <w:name w:val="Hyperlink"/>
    <w:basedOn w:val="DefaultParagraphFont"/>
    <w:uiPriority w:val="99"/>
    <w:rsid w:val="003F7D59"/>
    <w:rPr>
      <w:color w:val="0000FF"/>
      <w:u w:val="single"/>
    </w:rPr>
  </w:style>
  <w:style w:type="paragraph" w:styleId="BalloonText">
    <w:name w:val="Balloon Text"/>
    <w:basedOn w:val="Normal"/>
    <w:link w:val="BalloonTextChar"/>
    <w:uiPriority w:val="99"/>
    <w:rsid w:val="003F7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7D59"/>
    <w:rPr>
      <w:rFonts w:ascii="Tahoma" w:hAnsi="Tahoma" w:cs="Tahoma"/>
      <w:sz w:val="16"/>
      <w:szCs w:val="16"/>
    </w:rPr>
  </w:style>
  <w:style w:type="paragraph" w:styleId="TOC2">
    <w:name w:val="toc 2"/>
    <w:basedOn w:val="Normal"/>
    <w:next w:val="Normal"/>
    <w:uiPriority w:val="39"/>
    <w:rsid w:val="003F7D59"/>
    <w:pPr>
      <w:spacing w:after="100"/>
      <w:ind w:left="220"/>
    </w:pPr>
  </w:style>
  <w:style w:type="paragraph" w:styleId="TOC3">
    <w:name w:val="toc 3"/>
    <w:basedOn w:val="Normal"/>
    <w:next w:val="Normal"/>
    <w:uiPriority w:val="39"/>
    <w:rsid w:val="003F7D59"/>
    <w:pPr>
      <w:spacing w:after="100"/>
      <w:ind w:left="440"/>
    </w:pPr>
  </w:style>
  <w:style w:type="character" w:customStyle="1" w:styleId="ams">
    <w:name w:val="ams"/>
    <w:basedOn w:val="DefaultParagraphFont"/>
    <w:rsid w:val="003F7D59"/>
  </w:style>
  <w:style w:type="paragraph" w:styleId="NormalWeb">
    <w:name w:val="Normal (Web)"/>
    <w:basedOn w:val="Normal"/>
    <w:uiPriority w:val="99"/>
    <w:rsid w:val="003F7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T">
    <w:name w:val="TOT"/>
    <w:basedOn w:val="Caption"/>
    <w:next w:val="Caption"/>
    <w:qFormat/>
    <w:rsid w:val="003F7D59"/>
    <w:pPr>
      <w:spacing w:before="240" w:after="240" w:line="480" w:lineRule="auto"/>
      <w:jc w:val="both"/>
    </w:pPr>
    <w:rPr>
      <w:rFonts w:ascii="Times New Roman" w:hAnsi="Times New Roman" w:cs="Times New Roman"/>
      <w:color w:val="000000"/>
      <w:sz w:val="24"/>
      <w:szCs w:val="24"/>
    </w:rPr>
  </w:style>
  <w:style w:type="paragraph" w:styleId="Caption">
    <w:name w:val="caption"/>
    <w:basedOn w:val="Normal"/>
    <w:next w:val="Normal"/>
    <w:uiPriority w:val="35"/>
    <w:qFormat/>
    <w:rsid w:val="003F7D59"/>
    <w:pPr>
      <w:spacing w:after="200" w:line="240" w:lineRule="auto"/>
    </w:pPr>
    <w:rPr>
      <w:i/>
      <w:iCs/>
      <w:color w:val="1F497D"/>
      <w:sz w:val="18"/>
      <w:szCs w:val="18"/>
    </w:rPr>
  </w:style>
  <w:style w:type="character" w:styleId="Emphasis">
    <w:name w:val="Emphasis"/>
    <w:basedOn w:val="DefaultParagraphFont"/>
    <w:uiPriority w:val="20"/>
    <w:qFormat/>
    <w:rsid w:val="003F7D59"/>
    <w:rPr>
      <w:i/>
      <w:iCs/>
    </w:rPr>
  </w:style>
  <w:style w:type="character" w:customStyle="1" w:styleId="ms-1">
    <w:name w:val="ms-1"/>
    <w:basedOn w:val="DefaultParagraphFont"/>
    <w:rsid w:val="003F7D59"/>
  </w:style>
  <w:style w:type="character" w:customStyle="1" w:styleId="max-w-15ch">
    <w:name w:val="max-w-[15ch]"/>
    <w:basedOn w:val="DefaultParagraphFont"/>
    <w:rsid w:val="003F7D59"/>
  </w:style>
  <w:style w:type="character" w:customStyle="1" w:styleId="-me-1">
    <w:name w:val="-me-1"/>
    <w:basedOn w:val="DefaultParagraphFont"/>
    <w:rsid w:val="003F7D59"/>
  </w:style>
  <w:style w:type="paragraph" w:customStyle="1" w:styleId="font-claude-response-body">
    <w:name w:val="font-claude-response-body"/>
    <w:basedOn w:val="Normal"/>
    <w:rsid w:val="003F7D59"/>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3F7D59"/>
    <w:pPr>
      <w:spacing w:after="0"/>
    </w:pPr>
  </w:style>
  <w:style w:type="paragraph" w:customStyle="1" w:styleId="FOG">
    <w:name w:val="FOG"/>
    <w:basedOn w:val="Caption"/>
    <w:next w:val="Caption"/>
    <w:qFormat/>
    <w:rsid w:val="003F7D59"/>
    <w:pPr>
      <w:spacing w:before="240" w:after="0" w:line="480" w:lineRule="auto"/>
      <w:jc w:val="both"/>
    </w:pPr>
    <w:rPr>
      <w:rFonts w:ascii="Times New Roman" w:hAnsi="Times New Roman" w:cs="Times New Roman"/>
      <w:b/>
      <w:color w:val="000000"/>
      <w:sz w:val="24"/>
      <w:szCs w:val="24"/>
    </w:rPr>
  </w:style>
  <w:style w:type="character" w:styleId="CommentReference">
    <w:name w:val="annotation reference"/>
    <w:basedOn w:val="DefaultParagraphFont"/>
    <w:uiPriority w:val="99"/>
    <w:rsid w:val="003F7D59"/>
    <w:rPr>
      <w:sz w:val="16"/>
      <w:szCs w:val="16"/>
    </w:rPr>
  </w:style>
  <w:style w:type="paragraph" w:styleId="CommentText">
    <w:name w:val="annotation text"/>
    <w:basedOn w:val="Normal"/>
    <w:link w:val="CommentTextChar"/>
    <w:uiPriority w:val="99"/>
    <w:rsid w:val="003F7D59"/>
    <w:pPr>
      <w:spacing w:line="240" w:lineRule="auto"/>
    </w:pPr>
    <w:rPr>
      <w:sz w:val="20"/>
      <w:szCs w:val="20"/>
    </w:rPr>
  </w:style>
  <w:style w:type="character" w:customStyle="1" w:styleId="CommentTextChar">
    <w:name w:val="Comment Text Char"/>
    <w:basedOn w:val="DefaultParagraphFont"/>
    <w:link w:val="CommentText"/>
    <w:uiPriority w:val="99"/>
    <w:rsid w:val="003F7D59"/>
    <w:rPr>
      <w:sz w:val="20"/>
      <w:szCs w:val="20"/>
    </w:rPr>
  </w:style>
  <w:style w:type="paragraph" w:styleId="CommentSubject">
    <w:name w:val="annotation subject"/>
    <w:basedOn w:val="CommentText"/>
    <w:next w:val="CommentText"/>
    <w:link w:val="CommentSubjectChar"/>
    <w:uiPriority w:val="99"/>
    <w:rsid w:val="003F7D59"/>
    <w:rPr>
      <w:b/>
      <w:bCs/>
    </w:rPr>
  </w:style>
  <w:style w:type="character" w:customStyle="1" w:styleId="CommentSubjectChar">
    <w:name w:val="Comment Subject Char"/>
    <w:basedOn w:val="CommentTextChar"/>
    <w:link w:val="CommentSubject"/>
    <w:uiPriority w:val="99"/>
    <w:rsid w:val="003F7D59"/>
    <w:rPr>
      <w:b/>
      <w:bCs/>
      <w:sz w:val="20"/>
      <w:szCs w:val="20"/>
    </w:rPr>
  </w:style>
  <w:style w:type="character" w:customStyle="1" w:styleId="UnresolvedMention">
    <w:name w:val="Unresolved Mention"/>
    <w:basedOn w:val="DefaultParagraphFont"/>
    <w:uiPriority w:val="99"/>
    <w:semiHidden/>
    <w:unhideWhenUsed/>
    <w:rsid w:val="0051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1280">
      <w:bodyDiv w:val="1"/>
      <w:marLeft w:val="0"/>
      <w:marRight w:val="0"/>
      <w:marTop w:val="0"/>
      <w:marBottom w:val="0"/>
      <w:divBdr>
        <w:top w:val="none" w:sz="0" w:space="0" w:color="auto"/>
        <w:left w:val="none" w:sz="0" w:space="0" w:color="auto"/>
        <w:bottom w:val="none" w:sz="0" w:space="0" w:color="auto"/>
        <w:right w:val="none" w:sz="0" w:space="0" w:color="auto"/>
      </w:divBdr>
      <w:divsChild>
        <w:div w:id="1118372638">
          <w:marLeft w:val="0"/>
          <w:marRight w:val="0"/>
          <w:marTop w:val="0"/>
          <w:marBottom w:val="0"/>
          <w:divBdr>
            <w:top w:val="none" w:sz="0" w:space="0" w:color="auto"/>
            <w:left w:val="none" w:sz="0" w:space="0" w:color="auto"/>
            <w:bottom w:val="none" w:sz="0" w:space="0" w:color="auto"/>
            <w:right w:val="none" w:sz="0" w:space="0" w:color="auto"/>
          </w:divBdr>
          <w:divsChild>
            <w:div w:id="1270770690">
              <w:marLeft w:val="0"/>
              <w:marRight w:val="0"/>
              <w:marTop w:val="0"/>
              <w:marBottom w:val="0"/>
              <w:divBdr>
                <w:top w:val="none" w:sz="0" w:space="0" w:color="auto"/>
                <w:left w:val="none" w:sz="0" w:space="0" w:color="auto"/>
                <w:bottom w:val="none" w:sz="0" w:space="0" w:color="auto"/>
                <w:right w:val="none" w:sz="0" w:space="0" w:color="auto"/>
              </w:divBdr>
            </w:div>
          </w:divsChild>
        </w:div>
        <w:div w:id="1588658254">
          <w:marLeft w:val="0"/>
          <w:marRight w:val="0"/>
          <w:marTop w:val="0"/>
          <w:marBottom w:val="0"/>
          <w:divBdr>
            <w:top w:val="none" w:sz="0" w:space="0" w:color="auto"/>
            <w:left w:val="none" w:sz="0" w:space="0" w:color="auto"/>
            <w:bottom w:val="none" w:sz="0" w:space="0" w:color="auto"/>
            <w:right w:val="none" w:sz="0" w:space="0" w:color="auto"/>
          </w:divBdr>
          <w:divsChild>
            <w:div w:id="705061634">
              <w:marLeft w:val="0"/>
              <w:marRight w:val="0"/>
              <w:marTop w:val="0"/>
              <w:marBottom w:val="0"/>
              <w:divBdr>
                <w:top w:val="none" w:sz="0" w:space="0" w:color="auto"/>
                <w:left w:val="none" w:sz="0" w:space="0" w:color="auto"/>
                <w:bottom w:val="none" w:sz="0" w:space="0" w:color="auto"/>
                <w:right w:val="none" w:sz="0" w:space="0" w:color="auto"/>
              </w:divBdr>
            </w:div>
          </w:divsChild>
        </w:div>
        <w:div w:id="704985293">
          <w:marLeft w:val="0"/>
          <w:marRight w:val="0"/>
          <w:marTop w:val="0"/>
          <w:marBottom w:val="0"/>
          <w:divBdr>
            <w:top w:val="none" w:sz="0" w:space="0" w:color="auto"/>
            <w:left w:val="none" w:sz="0" w:space="0" w:color="auto"/>
            <w:bottom w:val="none" w:sz="0" w:space="0" w:color="auto"/>
            <w:right w:val="none" w:sz="0" w:space="0" w:color="auto"/>
          </w:divBdr>
          <w:divsChild>
            <w:div w:id="635646860">
              <w:marLeft w:val="0"/>
              <w:marRight w:val="0"/>
              <w:marTop w:val="0"/>
              <w:marBottom w:val="0"/>
              <w:divBdr>
                <w:top w:val="none" w:sz="0" w:space="0" w:color="auto"/>
                <w:left w:val="none" w:sz="0" w:space="0" w:color="auto"/>
                <w:bottom w:val="none" w:sz="0" w:space="0" w:color="auto"/>
                <w:right w:val="none" w:sz="0" w:space="0" w:color="auto"/>
              </w:divBdr>
            </w:div>
          </w:divsChild>
        </w:div>
        <w:div w:id="1804083123">
          <w:marLeft w:val="0"/>
          <w:marRight w:val="0"/>
          <w:marTop w:val="0"/>
          <w:marBottom w:val="0"/>
          <w:divBdr>
            <w:top w:val="none" w:sz="0" w:space="0" w:color="auto"/>
            <w:left w:val="none" w:sz="0" w:space="0" w:color="auto"/>
            <w:bottom w:val="none" w:sz="0" w:space="0" w:color="auto"/>
            <w:right w:val="none" w:sz="0" w:space="0" w:color="auto"/>
          </w:divBdr>
          <w:divsChild>
            <w:div w:id="997735531">
              <w:marLeft w:val="0"/>
              <w:marRight w:val="0"/>
              <w:marTop w:val="0"/>
              <w:marBottom w:val="0"/>
              <w:divBdr>
                <w:top w:val="none" w:sz="0" w:space="0" w:color="auto"/>
                <w:left w:val="none" w:sz="0" w:space="0" w:color="auto"/>
                <w:bottom w:val="none" w:sz="0" w:space="0" w:color="auto"/>
                <w:right w:val="none" w:sz="0" w:space="0" w:color="auto"/>
              </w:divBdr>
            </w:div>
          </w:divsChild>
        </w:div>
        <w:div w:id="469179363">
          <w:marLeft w:val="0"/>
          <w:marRight w:val="0"/>
          <w:marTop w:val="0"/>
          <w:marBottom w:val="0"/>
          <w:divBdr>
            <w:top w:val="none" w:sz="0" w:space="0" w:color="auto"/>
            <w:left w:val="none" w:sz="0" w:space="0" w:color="auto"/>
            <w:bottom w:val="none" w:sz="0" w:space="0" w:color="auto"/>
            <w:right w:val="none" w:sz="0" w:space="0" w:color="auto"/>
          </w:divBdr>
          <w:divsChild>
            <w:div w:id="541094704">
              <w:marLeft w:val="0"/>
              <w:marRight w:val="0"/>
              <w:marTop w:val="0"/>
              <w:marBottom w:val="0"/>
              <w:divBdr>
                <w:top w:val="none" w:sz="0" w:space="0" w:color="auto"/>
                <w:left w:val="none" w:sz="0" w:space="0" w:color="auto"/>
                <w:bottom w:val="none" w:sz="0" w:space="0" w:color="auto"/>
                <w:right w:val="none" w:sz="0" w:space="0" w:color="auto"/>
              </w:divBdr>
            </w:div>
          </w:divsChild>
        </w:div>
        <w:div w:id="251208456">
          <w:marLeft w:val="0"/>
          <w:marRight w:val="0"/>
          <w:marTop w:val="0"/>
          <w:marBottom w:val="0"/>
          <w:divBdr>
            <w:top w:val="none" w:sz="0" w:space="0" w:color="auto"/>
            <w:left w:val="none" w:sz="0" w:space="0" w:color="auto"/>
            <w:bottom w:val="none" w:sz="0" w:space="0" w:color="auto"/>
            <w:right w:val="none" w:sz="0" w:space="0" w:color="auto"/>
          </w:divBdr>
          <w:divsChild>
            <w:div w:id="1454446938">
              <w:marLeft w:val="0"/>
              <w:marRight w:val="0"/>
              <w:marTop w:val="0"/>
              <w:marBottom w:val="0"/>
              <w:divBdr>
                <w:top w:val="none" w:sz="0" w:space="0" w:color="auto"/>
                <w:left w:val="none" w:sz="0" w:space="0" w:color="auto"/>
                <w:bottom w:val="none" w:sz="0" w:space="0" w:color="auto"/>
                <w:right w:val="none" w:sz="0" w:space="0" w:color="auto"/>
              </w:divBdr>
            </w:div>
          </w:divsChild>
        </w:div>
        <w:div w:id="1563298244">
          <w:marLeft w:val="0"/>
          <w:marRight w:val="0"/>
          <w:marTop w:val="0"/>
          <w:marBottom w:val="0"/>
          <w:divBdr>
            <w:top w:val="none" w:sz="0" w:space="0" w:color="auto"/>
            <w:left w:val="none" w:sz="0" w:space="0" w:color="auto"/>
            <w:bottom w:val="none" w:sz="0" w:space="0" w:color="auto"/>
            <w:right w:val="none" w:sz="0" w:space="0" w:color="auto"/>
          </w:divBdr>
          <w:divsChild>
            <w:div w:id="2079940250">
              <w:marLeft w:val="0"/>
              <w:marRight w:val="0"/>
              <w:marTop w:val="0"/>
              <w:marBottom w:val="0"/>
              <w:divBdr>
                <w:top w:val="none" w:sz="0" w:space="0" w:color="auto"/>
                <w:left w:val="none" w:sz="0" w:space="0" w:color="auto"/>
                <w:bottom w:val="none" w:sz="0" w:space="0" w:color="auto"/>
                <w:right w:val="none" w:sz="0" w:space="0" w:color="auto"/>
              </w:divBdr>
            </w:div>
          </w:divsChild>
        </w:div>
        <w:div w:id="1191146194">
          <w:marLeft w:val="0"/>
          <w:marRight w:val="0"/>
          <w:marTop w:val="0"/>
          <w:marBottom w:val="0"/>
          <w:divBdr>
            <w:top w:val="none" w:sz="0" w:space="0" w:color="auto"/>
            <w:left w:val="none" w:sz="0" w:space="0" w:color="auto"/>
            <w:bottom w:val="none" w:sz="0" w:space="0" w:color="auto"/>
            <w:right w:val="none" w:sz="0" w:space="0" w:color="auto"/>
          </w:divBdr>
          <w:divsChild>
            <w:div w:id="564490236">
              <w:marLeft w:val="0"/>
              <w:marRight w:val="0"/>
              <w:marTop w:val="0"/>
              <w:marBottom w:val="0"/>
              <w:divBdr>
                <w:top w:val="none" w:sz="0" w:space="0" w:color="auto"/>
                <w:left w:val="none" w:sz="0" w:space="0" w:color="auto"/>
                <w:bottom w:val="none" w:sz="0" w:space="0" w:color="auto"/>
                <w:right w:val="none" w:sz="0" w:space="0" w:color="auto"/>
              </w:divBdr>
            </w:div>
          </w:divsChild>
        </w:div>
        <w:div w:id="1885361910">
          <w:marLeft w:val="0"/>
          <w:marRight w:val="0"/>
          <w:marTop w:val="0"/>
          <w:marBottom w:val="0"/>
          <w:divBdr>
            <w:top w:val="none" w:sz="0" w:space="0" w:color="auto"/>
            <w:left w:val="none" w:sz="0" w:space="0" w:color="auto"/>
            <w:bottom w:val="none" w:sz="0" w:space="0" w:color="auto"/>
            <w:right w:val="none" w:sz="0" w:space="0" w:color="auto"/>
          </w:divBdr>
          <w:divsChild>
            <w:div w:id="155072008">
              <w:marLeft w:val="0"/>
              <w:marRight w:val="0"/>
              <w:marTop w:val="0"/>
              <w:marBottom w:val="0"/>
              <w:divBdr>
                <w:top w:val="none" w:sz="0" w:space="0" w:color="auto"/>
                <w:left w:val="none" w:sz="0" w:space="0" w:color="auto"/>
                <w:bottom w:val="none" w:sz="0" w:space="0" w:color="auto"/>
                <w:right w:val="none" w:sz="0" w:space="0" w:color="auto"/>
              </w:divBdr>
            </w:div>
          </w:divsChild>
        </w:div>
        <w:div w:id="231619071">
          <w:marLeft w:val="0"/>
          <w:marRight w:val="0"/>
          <w:marTop w:val="0"/>
          <w:marBottom w:val="0"/>
          <w:divBdr>
            <w:top w:val="none" w:sz="0" w:space="0" w:color="auto"/>
            <w:left w:val="none" w:sz="0" w:space="0" w:color="auto"/>
            <w:bottom w:val="none" w:sz="0" w:space="0" w:color="auto"/>
            <w:right w:val="none" w:sz="0" w:space="0" w:color="auto"/>
          </w:divBdr>
          <w:divsChild>
            <w:div w:id="1100181649">
              <w:marLeft w:val="0"/>
              <w:marRight w:val="0"/>
              <w:marTop w:val="0"/>
              <w:marBottom w:val="0"/>
              <w:divBdr>
                <w:top w:val="none" w:sz="0" w:space="0" w:color="auto"/>
                <w:left w:val="none" w:sz="0" w:space="0" w:color="auto"/>
                <w:bottom w:val="none" w:sz="0" w:space="0" w:color="auto"/>
                <w:right w:val="none" w:sz="0" w:space="0" w:color="auto"/>
              </w:divBdr>
            </w:div>
          </w:divsChild>
        </w:div>
        <w:div w:id="1516113338">
          <w:marLeft w:val="0"/>
          <w:marRight w:val="0"/>
          <w:marTop w:val="0"/>
          <w:marBottom w:val="0"/>
          <w:divBdr>
            <w:top w:val="none" w:sz="0" w:space="0" w:color="auto"/>
            <w:left w:val="none" w:sz="0" w:space="0" w:color="auto"/>
            <w:bottom w:val="none" w:sz="0" w:space="0" w:color="auto"/>
            <w:right w:val="none" w:sz="0" w:space="0" w:color="auto"/>
          </w:divBdr>
          <w:divsChild>
            <w:div w:id="70322662">
              <w:marLeft w:val="0"/>
              <w:marRight w:val="0"/>
              <w:marTop w:val="0"/>
              <w:marBottom w:val="0"/>
              <w:divBdr>
                <w:top w:val="none" w:sz="0" w:space="0" w:color="auto"/>
                <w:left w:val="none" w:sz="0" w:space="0" w:color="auto"/>
                <w:bottom w:val="none" w:sz="0" w:space="0" w:color="auto"/>
                <w:right w:val="none" w:sz="0" w:space="0" w:color="auto"/>
              </w:divBdr>
            </w:div>
          </w:divsChild>
        </w:div>
        <w:div w:id="1939750265">
          <w:marLeft w:val="0"/>
          <w:marRight w:val="0"/>
          <w:marTop w:val="0"/>
          <w:marBottom w:val="0"/>
          <w:divBdr>
            <w:top w:val="none" w:sz="0" w:space="0" w:color="auto"/>
            <w:left w:val="none" w:sz="0" w:space="0" w:color="auto"/>
            <w:bottom w:val="none" w:sz="0" w:space="0" w:color="auto"/>
            <w:right w:val="none" w:sz="0" w:space="0" w:color="auto"/>
          </w:divBdr>
          <w:divsChild>
            <w:div w:id="412899047">
              <w:marLeft w:val="0"/>
              <w:marRight w:val="0"/>
              <w:marTop w:val="0"/>
              <w:marBottom w:val="0"/>
              <w:divBdr>
                <w:top w:val="none" w:sz="0" w:space="0" w:color="auto"/>
                <w:left w:val="none" w:sz="0" w:space="0" w:color="auto"/>
                <w:bottom w:val="none" w:sz="0" w:space="0" w:color="auto"/>
                <w:right w:val="none" w:sz="0" w:space="0" w:color="auto"/>
              </w:divBdr>
            </w:div>
          </w:divsChild>
        </w:div>
        <w:div w:id="1505319517">
          <w:marLeft w:val="0"/>
          <w:marRight w:val="0"/>
          <w:marTop w:val="0"/>
          <w:marBottom w:val="0"/>
          <w:divBdr>
            <w:top w:val="none" w:sz="0" w:space="0" w:color="auto"/>
            <w:left w:val="none" w:sz="0" w:space="0" w:color="auto"/>
            <w:bottom w:val="none" w:sz="0" w:space="0" w:color="auto"/>
            <w:right w:val="none" w:sz="0" w:space="0" w:color="auto"/>
          </w:divBdr>
          <w:divsChild>
            <w:div w:id="1596353646">
              <w:marLeft w:val="0"/>
              <w:marRight w:val="0"/>
              <w:marTop w:val="0"/>
              <w:marBottom w:val="0"/>
              <w:divBdr>
                <w:top w:val="none" w:sz="0" w:space="0" w:color="auto"/>
                <w:left w:val="none" w:sz="0" w:space="0" w:color="auto"/>
                <w:bottom w:val="none" w:sz="0" w:space="0" w:color="auto"/>
                <w:right w:val="none" w:sz="0" w:space="0" w:color="auto"/>
              </w:divBdr>
            </w:div>
          </w:divsChild>
        </w:div>
        <w:div w:id="214003691">
          <w:marLeft w:val="0"/>
          <w:marRight w:val="0"/>
          <w:marTop w:val="0"/>
          <w:marBottom w:val="0"/>
          <w:divBdr>
            <w:top w:val="none" w:sz="0" w:space="0" w:color="auto"/>
            <w:left w:val="none" w:sz="0" w:space="0" w:color="auto"/>
            <w:bottom w:val="none" w:sz="0" w:space="0" w:color="auto"/>
            <w:right w:val="none" w:sz="0" w:space="0" w:color="auto"/>
          </w:divBdr>
          <w:divsChild>
            <w:div w:id="952395697">
              <w:marLeft w:val="0"/>
              <w:marRight w:val="0"/>
              <w:marTop w:val="0"/>
              <w:marBottom w:val="0"/>
              <w:divBdr>
                <w:top w:val="none" w:sz="0" w:space="0" w:color="auto"/>
                <w:left w:val="none" w:sz="0" w:space="0" w:color="auto"/>
                <w:bottom w:val="none" w:sz="0" w:space="0" w:color="auto"/>
                <w:right w:val="none" w:sz="0" w:space="0" w:color="auto"/>
              </w:divBdr>
            </w:div>
          </w:divsChild>
        </w:div>
        <w:div w:id="1383364139">
          <w:marLeft w:val="0"/>
          <w:marRight w:val="0"/>
          <w:marTop w:val="0"/>
          <w:marBottom w:val="0"/>
          <w:divBdr>
            <w:top w:val="none" w:sz="0" w:space="0" w:color="auto"/>
            <w:left w:val="none" w:sz="0" w:space="0" w:color="auto"/>
            <w:bottom w:val="none" w:sz="0" w:space="0" w:color="auto"/>
            <w:right w:val="none" w:sz="0" w:space="0" w:color="auto"/>
          </w:divBdr>
          <w:divsChild>
            <w:div w:id="554783141">
              <w:marLeft w:val="0"/>
              <w:marRight w:val="0"/>
              <w:marTop w:val="0"/>
              <w:marBottom w:val="0"/>
              <w:divBdr>
                <w:top w:val="none" w:sz="0" w:space="0" w:color="auto"/>
                <w:left w:val="none" w:sz="0" w:space="0" w:color="auto"/>
                <w:bottom w:val="none" w:sz="0" w:space="0" w:color="auto"/>
                <w:right w:val="none" w:sz="0" w:space="0" w:color="auto"/>
              </w:divBdr>
            </w:div>
          </w:divsChild>
        </w:div>
        <w:div w:id="967052082">
          <w:marLeft w:val="0"/>
          <w:marRight w:val="0"/>
          <w:marTop w:val="0"/>
          <w:marBottom w:val="0"/>
          <w:divBdr>
            <w:top w:val="none" w:sz="0" w:space="0" w:color="auto"/>
            <w:left w:val="none" w:sz="0" w:space="0" w:color="auto"/>
            <w:bottom w:val="none" w:sz="0" w:space="0" w:color="auto"/>
            <w:right w:val="none" w:sz="0" w:space="0" w:color="auto"/>
          </w:divBdr>
          <w:divsChild>
            <w:div w:id="1969820681">
              <w:marLeft w:val="0"/>
              <w:marRight w:val="0"/>
              <w:marTop w:val="0"/>
              <w:marBottom w:val="0"/>
              <w:divBdr>
                <w:top w:val="none" w:sz="0" w:space="0" w:color="auto"/>
                <w:left w:val="none" w:sz="0" w:space="0" w:color="auto"/>
                <w:bottom w:val="none" w:sz="0" w:space="0" w:color="auto"/>
                <w:right w:val="none" w:sz="0" w:space="0" w:color="auto"/>
              </w:divBdr>
            </w:div>
          </w:divsChild>
        </w:div>
        <w:div w:id="1441948218">
          <w:marLeft w:val="0"/>
          <w:marRight w:val="0"/>
          <w:marTop w:val="0"/>
          <w:marBottom w:val="0"/>
          <w:divBdr>
            <w:top w:val="none" w:sz="0" w:space="0" w:color="auto"/>
            <w:left w:val="none" w:sz="0" w:space="0" w:color="auto"/>
            <w:bottom w:val="none" w:sz="0" w:space="0" w:color="auto"/>
            <w:right w:val="none" w:sz="0" w:space="0" w:color="auto"/>
          </w:divBdr>
          <w:divsChild>
            <w:div w:id="371728428">
              <w:marLeft w:val="0"/>
              <w:marRight w:val="0"/>
              <w:marTop w:val="0"/>
              <w:marBottom w:val="0"/>
              <w:divBdr>
                <w:top w:val="none" w:sz="0" w:space="0" w:color="auto"/>
                <w:left w:val="none" w:sz="0" w:space="0" w:color="auto"/>
                <w:bottom w:val="none" w:sz="0" w:space="0" w:color="auto"/>
                <w:right w:val="none" w:sz="0" w:space="0" w:color="auto"/>
              </w:divBdr>
            </w:div>
          </w:divsChild>
        </w:div>
        <w:div w:id="2030645860">
          <w:marLeft w:val="0"/>
          <w:marRight w:val="0"/>
          <w:marTop w:val="0"/>
          <w:marBottom w:val="0"/>
          <w:divBdr>
            <w:top w:val="none" w:sz="0" w:space="0" w:color="auto"/>
            <w:left w:val="none" w:sz="0" w:space="0" w:color="auto"/>
            <w:bottom w:val="none" w:sz="0" w:space="0" w:color="auto"/>
            <w:right w:val="none" w:sz="0" w:space="0" w:color="auto"/>
          </w:divBdr>
          <w:divsChild>
            <w:div w:id="1845123101">
              <w:marLeft w:val="0"/>
              <w:marRight w:val="0"/>
              <w:marTop w:val="0"/>
              <w:marBottom w:val="0"/>
              <w:divBdr>
                <w:top w:val="none" w:sz="0" w:space="0" w:color="auto"/>
                <w:left w:val="none" w:sz="0" w:space="0" w:color="auto"/>
                <w:bottom w:val="none" w:sz="0" w:space="0" w:color="auto"/>
                <w:right w:val="none" w:sz="0" w:space="0" w:color="auto"/>
              </w:divBdr>
            </w:div>
          </w:divsChild>
        </w:div>
        <w:div w:id="1583029989">
          <w:marLeft w:val="0"/>
          <w:marRight w:val="0"/>
          <w:marTop w:val="0"/>
          <w:marBottom w:val="0"/>
          <w:divBdr>
            <w:top w:val="none" w:sz="0" w:space="0" w:color="auto"/>
            <w:left w:val="none" w:sz="0" w:space="0" w:color="auto"/>
            <w:bottom w:val="none" w:sz="0" w:space="0" w:color="auto"/>
            <w:right w:val="none" w:sz="0" w:space="0" w:color="auto"/>
          </w:divBdr>
          <w:divsChild>
            <w:div w:id="1240673345">
              <w:marLeft w:val="0"/>
              <w:marRight w:val="0"/>
              <w:marTop w:val="0"/>
              <w:marBottom w:val="0"/>
              <w:divBdr>
                <w:top w:val="none" w:sz="0" w:space="0" w:color="auto"/>
                <w:left w:val="none" w:sz="0" w:space="0" w:color="auto"/>
                <w:bottom w:val="none" w:sz="0" w:space="0" w:color="auto"/>
                <w:right w:val="none" w:sz="0" w:space="0" w:color="auto"/>
              </w:divBdr>
            </w:div>
          </w:divsChild>
        </w:div>
        <w:div w:id="863904712">
          <w:marLeft w:val="0"/>
          <w:marRight w:val="0"/>
          <w:marTop w:val="0"/>
          <w:marBottom w:val="0"/>
          <w:divBdr>
            <w:top w:val="none" w:sz="0" w:space="0" w:color="auto"/>
            <w:left w:val="none" w:sz="0" w:space="0" w:color="auto"/>
            <w:bottom w:val="none" w:sz="0" w:space="0" w:color="auto"/>
            <w:right w:val="none" w:sz="0" w:space="0" w:color="auto"/>
          </w:divBdr>
          <w:divsChild>
            <w:div w:id="1073240642">
              <w:marLeft w:val="0"/>
              <w:marRight w:val="0"/>
              <w:marTop w:val="0"/>
              <w:marBottom w:val="0"/>
              <w:divBdr>
                <w:top w:val="none" w:sz="0" w:space="0" w:color="auto"/>
                <w:left w:val="none" w:sz="0" w:space="0" w:color="auto"/>
                <w:bottom w:val="none" w:sz="0" w:space="0" w:color="auto"/>
                <w:right w:val="none" w:sz="0" w:space="0" w:color="auto"/>
              </w:divBdr>
            </w:div>
          </w:divsChild>
        </w:div>
        <w:div w:id="1904220774">
          <w:marLeft w:val="0"/>
          <w:marRight w:val="0"/>
          <w:marTop w:val="0"/>
          <w:marBottom w:val="0"/>
          <w:divBdr>
            <w:top w:val="none" w:sz="0" w:space="0" w:color="auto"/>
            <w:left w:val="none" w:sz="0" w:space="0" w:color="auto"/>
            <w:bottom w:val="none" w:sz="0" w:space="0" w:color="auto"/>
            <w:right w:val="none" w:sz="0" w:space="0" w:color="auto"/>
          </w:divBdr>
          <w:divsChild>
            <w:div w:id="817041298">
              <w:marLeft w:val="0"/>
              <w:marRight w:val="0"/>
              <w:marTop w:val="0"/>
              <w:marBottom w:val="0"/>
              <w:divBdr>
                <w:top w:val="none" w:sz="0" w:space="0" w:color="auto"/>
                <w:left w:val="none" w:sz="0" w:space="0" w:color="auto"/>
                <w:bottom w:val="none" w:sz="0" w:space="0" w:color="auto"/>
                <w:right w:val="none" w:sz="0" w:space="0" w:color="auto"/>
              </w:divBdr>
            </w:div>
          </w:divsChild>
        </w:div>
        <w:div w:id="1482770684">
          <w:marLeft w:val="0"/>
          <w:marRight w:val="0"/>
          <w:marTop w:val="0"/>
          <w:marBottom w:val="0"/>
          <w:divBdr>
            <w:top w:val="none" w:sz="0" w:space="0" w:color="auto"/>
            <w:left w:val="none" w:sz="0" w:space="0" w:color="auto"/>
            <w:bottom w:val="none" w:sz="0" w:space="0" w:color="auto"/>
            <w:right w:val="none" w:sz="0" w:space="0" w:color="auto"/>
          </w:divBdr>
          <w:divsChild>
            <w:div w:id="1039939570">
              <w:marLeft w:val="0"/>
              <w:marRight w:val="0"/>
              <w:marTop w:val="0"/>
              <w:marBottom w:val="0"/>
              <w:divBdr>
                <w:top w:val="none" w:sz="0" w:space="0" w:color="auto"/>
                <w:left w:val="none" w:sz="0" w:space="0" w:color="auto"/>
                <w:bottom w:val="none" w:sz="0" w:space="0" w:color="auto"/>
                <w:right w:val="none" w:sz="0" w:space="0" w:color="auto"/>
              </w:divBdr>
            </w:div>
          </w:divsChild>
        </w:div>
        <w:div w:id="2061323993">
          <w:marLeft w:val="0"/>
          <w:marRight w:val="0"/>
          <w:marTop w:val="0"/>
          <w:marBottom w:val="0"/>
          <w:divBdr>
            <w:top w:val="none" w:sz="0" w:space="0" w:color="auto"/>
            <w:left w:val="none" w:sz="0" w:space="0" w:color="auto"/>
            <w:bottom w:val="none" w:sz="0" w:space="0" w:color="auto"/>
            <w:right w:val="none" w:sz="0" w:space="0" w:color="auto"/>
          </w:divBdr>
          <w:divsChild>
            <w:div w:id="2004622871">
              <w:marLeft w:val="0"/>
              <w:marRight w:val="0"/>
              <w:marTop w:val="0"/>
              <w:marBottom w:val="0"/>
              <w:divBdr>
                <w:top w:val="none" w:sz="0" w:space="0" w:color="auto"/>
                <w:left w:val="none" w:sz="0" w:space="0" w:color="auto"/>
                <w:bottom w:val="none" w:sz="0" w:space="0" w:color="auto"/>
                <w:right w:val="none" w:sz="0" w:space="0" w:color="auto"/>
              </w:divBdr>
            </w:div>
          </w:divsChild>
        </w:div>
        <w:div w:id="513768217">
          <w:marLeft w:val="0"/>
          <w:marRight w:val="0"/>
          <w:marTop w:val="0"/>
          <w:marBottom w:val="0"/>
          <w:divBdr>
            <w:top w:val="none" w:sz="0" w:space="0" w:color="auto"/>
            <w:left w:val="none" w:sz="0" w:space="0" w:color="auto"/>
            <w:bottom w:val="none" w:sz="0" w:space="0" w:color="auto"/>
            <w:right w:val="none" w:sz="0" w:space="0" w:color="auto"/>
          </w:divBdr>
          <w:divsChild>
            <w:div w:id="2074498208">
              <w:marLeft w:val="0"/>
              <w:marRight w:val="0"/>
              <w:marTop w:val="0"/>
              <w:marBottom w:val="0"/>
              <w:divBdr>
                <w:top w:val="none" w:sz="0" w:space="0" w:color="auto"/>
                <w:left w:val="none" w:sz="0" w:space="0" w:color="auto"/>
                <w:bottom w:val="none" w:sz="0" w:space="0" w:color="auto"/>
                <w:right w:val="none" w:sz="0" w:space="0" w:color="auto"/>
              </w:divBdr>
            </w:div>
          </w:divsChild>
        </w:div>
        <w:div w:id="721560498">
          <w:marLeft w:val="0"/>
          <w:marRight w:val="0"/>
          <w:marTop w:val="0"/>
          <w:marBottom w:val="0"/>
          <w:divBdr>
            <w:top w:val="none" w:sz="0" w:space="0" w:color="auto"/>
            <w:left w:val="none" w:sz="0" w:space="0" w:color="auto"/>
            <w:bottom w:val="none" w:sz="0" w:space="0" w:color="auto"/>
            <w:right w:val="none" w:sz="0" w:space="0" w:color="auto"/>
          </w:divBdr>
          <w:divsChild>
            <w:div w:id="3803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9789264307780-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054EABBF-0668-4D3F-8FF6-93417D0B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6211</Words>
  <Characters>35406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port</cp:lastModifiedBy>
  <cp:revision>53</cp:revision>
  <dcterms:created xsi:type="dcterms:W3CDTF">2026-05-08T12:08:00Z</dcterms:created>
  <dcterms:modified xsi:type="dcterms:W3CDTF">2026-05-12T04:37:00Z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1b9cad0faa3e4e1ca301383b5ad4c7da</vt:lpwstr>
  </property>
</Properties>
</file>