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A3E55" w:rsidRDefault="004A3E55" w:rsidP="00441B6F">
      <w:pPr>
        <w:pStyle w:val="Author"/>
        <w:spacing w:line="240" w:lineRule="auto"/>
        <w:rPr>
          <w:rFonts w:ascii="Arial" w:hAnsi="Arial" w:cs="Arial"/>
          <w:bCs/>
          <w:iCs/>
          <w:kern w:val="28"/>
          <w:sz w:val="20"/>
        </w:rPr>
      </w:pPr>
    </w:p>
    <w:p w:rsidR="004A3E55" w:rsidRPr="004A3E55" w:rsidRDefault="004A3E55" w:rsidP="00441B6F">
      <w:pPr>
        <w:pStyle w:val="Author"/>
        <w:spacing w:line="240" w:lineRule="auto"/>
        <w:rPr>
          <w:rFonts w:ascii="Arial" w:hAnsi="Arial" w:cs="Arial"/>
          <w:bCs/>
          <w:iCs/>
          <w:kern w:val="28"/>
        </w:rPr>
      </w:pPr>
      <w:bookmarkStart w:id="0" w:name="_GoBack"/>
      <w:r w:rsidRPr="004A3E55">
        <w:rPr>
          <w:rFonts w:ascii="Arial" w:hAnsi="Arial" w:cs="Arial"/>
          <w:color w:val="000000"/>
        </w:rPr>
        <w:t>M</w:t>
      </w:r>
      <w:r w:rsidRPr="004A3E55">
        <w:rPr>
          <w:rFonts w:ascii="Arial" w:hAnsi="Arial" w:cs="Arial"/>
          <w:color w:val="000000"/>
        </w:rPr>
        <w:t xml:space="preserve">anagement of teaching and learning in secondary school </w:t>
      </w:r>
      <w:r w:rsidRPr="004A3E55">
        <w:rPr>
          <w:rFonts w:ascii="Arial" w:hAnsi="Arial" w:cs="Arial"/>
          <w:color w:val="000000"/>
        </w:rPr>
        <w:t>of</w:t>
      </w:r>
      <w:r w:rsidRPr="004A3E55">
        <w:rPr>
          <w:rFonts w:ascii="Arial" w:hAnsi="Arial" w:cs="Arial"/>
          <w:color w:val="000000"/>
        </w:rPr>
        <w:t xml:space="preserve"> </w:t>
      </w:r>
      <w:proofErr w:type="spellStart"/>
      <w:r w:rsidRPr="004A3E55">
        <w:rPr>
          <w:rFonts w:ascii="Arial" w:hAnsi="Arial" w:cs="Arial"/>
          <w:color w:val="000000"/>
        </w:rPr>
        <w:t>Matanao</w:t>
      </w:r>
      <w:proofErr w:type="spellEnd"/>
      <w:r w:rsidRPr="004A3E55">
        <w:rPr>
          <w:rFonts w:ascii="Arial" w:hAnsi="Arial" w:cs="Arial"/>
          <w:color w:val="000000"/>
        </w:rPr>
        <w:t xml:space="preserve">, </w:t>
      </w:r>
      <w:proofErr w:type="spellStart"/>
      <w:r w:rsidRPr="004A3E55">
        <w:rPr>
          <w:rFonts w:ascii="Arial" w:hAnsi="Arial" w:cs="Arial"/>
          <w:color w:val="000000"/>
        </w:rPr>
        <w:t>Bansalan</w:t>
      </w:r>
      <w:proofErr w:type="spellEnd"/>
      <w:r w:rsidRPr="004A3E55">
        <w:rPr>
          <w:rFonts w:ascii="Arial" w:hAnsi="Arial" w:cs="Arial"/>
          <w:color w:val="000000"/>
        </w:rPr>
        <w:t>, Magsaysay (MABAMA) Cluster, focusing on the lived experiences and leadership philosophies of school heads</w:t>
      </w:r>
    </w:p>
    <w:bookmarkEnd w:id="0"/>
    <w:p w:rsidR="00A258C3" w:rsidRPr="00AD3952" w:rsidRDefault="00A258C3" w:rsidP="00441B6F">
      <w:pPr>
        <w:pStyle w:val="Author"/>
        <w:spacing w:line="240" w:lineRule="auto"/>
        <w:jc w:val="both"/>
        <w:rPr>
          <w:rFonts w:ascii="Arial" w:hAnsi="Arial" w:cs="Arial"/>
          <w:sz w:val="20"/>
        </w:rPr>
      </w:pPr>
    </w:p>
    <w:p w:rsidR="002C57D2" w:rsidRPr="00AD3952" w:rsidRDefault="002C57D2" w:rsidP="00441B6F">
      <w:pPr>
        <w:pStyle w:val="Affiliation"/>
        <w:spacing w:after="0" w:line="240" w:lineRule="auto"/>
        <w:jc w:val="both"/>
        <w:rPr>
          <w:rFonts w:ascii="Arial" w:hAnsi="Arial" w:cs="Arial"/>
        </w:rPr>
      </w:pPr>
    </w:p>
    <w:p w:rsidR="00B01FCD" w:rsidRPr="00AD3952" w:rsidRDefault="004A3E55" w:rsidP="00441B6F">
      <w:pPr>
        <w:pStyle w:val="Copyright"/>
        <w:spacing w:after="0" w:line="240" w:lineRule="auto"/>
        <w:jc w:val="both"/>
        <w:rPr>
          <w:rFonts w:ascii="Arial" w:hAnsi="Arial" w:cs="Arial"/>
          <w:sz w:val="20"/>
        </w:rPr>
        <w:sectPr w:rsidR="00B01FCD" w:rsidRPr="00AD3952" w:rsidSect="00412475">
          <w:headerReference w:type="first" r:id="rId8"/>
          <w:footerReference w:type="first" r:id="rId9"/>
          <w:pgSz w:w="12240" w:h="15840" w:code="1"/>
          <w:pgMar w:top="1440" w:right="2016" w:bottom="2016" w:left="2016" w:header="720" w:footer="1296" w:gutter="0"/>
          <w:lnNumType w:countBy="1" w:restart="continuous"/>
          <w:cols w:space="720"/>
          <w:docGrid w:linePitch="272"/>
        </w:sectPr>
      </w:pPr>
      <w:r>
        <w:rPr>
          <w:rFonts w:ascii="Arial" w:hAnsi="Arial" w:cs="Arial"/>
          <w:sz w:val="20"/>
        </w:rPr>
      </w:r>
      <w:r>
        <w:rPr>
          <w:rFonts w:ascii="Arial" w:hAnsi="Arial" w:cs="Arial"/>
          <w:sz w:val="20"/>
        </w:rPr>
        <w:pict>
          <v:shapetype id="_x0000_t32" coordsize="21600,21600" o:spt="32" o:oned="t" path="m,l21600,21600e" filled="f">
            <v:path arrowok="t" fillok="f" o:connecttype="none"/>
            <o:lock v:ext="edit" shapetype="t"/>
          </v:shapetype>
          <v:shape id="_x0000_s1026" type="#_x0000_t32" alt="" style="width:417.6pt;height:.05pt;mso-width-percent:0;mso-height-percent:0;mso-left-percent:-10001;mso-top-percent:-10001;mso-position-horizontal:absolute;mso-position-horizontal-relative:char;mso-position-vertical:absolute;mso-position-vertical-relative:line;mso-width-percent:0;mso-height-percent:0;mso-left-percent:-10001;mso-top-percent:-10001" o:connectortype="straight" strokeweight="1.5pt">
            <w10:anchorlock/>
          </v:shape>
        </w:pict>
      </w:r>
      <w:r w:rsidR="00FB3A86" w:rsidRPr="00AD3952">
        <w:rPr>
          <w:rFonts w:ascii="Arial" w:hAnsi="Arial" w:cs="Arial"/>
          <w:sz w:val="20"/>
        </w:rPr>
        <w:t>.</w:t>
      </w:r>
    </w:p>
    <w:p w:rsidR="00B01FCD" w:rsidRPr="00AD3952" w:rsidRDefault="00B01FCD" w:rsidP="00441B6F">
      <w:pPr>
        <w:pStyle w:val="AbstHead"/>
        <w:spacing w:after="0"/>
        <w:jc w:val="both"/>
        <w:rPr>
          <w:rFonts w:ascii="Arial" w:hAnsi="Arial" w:cs="Arial"/>
          <w:sz w:val="20"/>
        </w:rPr>
      </w:pPr>
      <w:r w:rsidRPr="00AD3952">
        <w:rPr>
          <w:rFonts w:ascii="Arial" w:hAnsi="Arial" w:cs="Arial"/>
          <w:sz w:val="20"/>
        </w:rPr>
        <w:t>ABSTRACT</w:t>
      </w:r>
      <w:r w:rsidR="0066510A" w:rsidRPr="00AD3952">
        <w:rPr>
          <w:rFonts w:ascii="Arial" w:hAnsi="Arial" w:cs="Arial"/>
          <w:sz w:val="20"/>
        </w:rPr>
        <w:t xml:space="preserve"> </w:t>
      </w:r>
    </w:p>
    <w:p w:rsidR="00790ADA" w:rsidRPr="00AD3952" w:rsidRDefault="00790ADA" w:rsidP="00441B6F">
      <w:pPr>
        <w:pStyle w:val="AbstHead"/>
        <w:spacing w:after="0"/>
        <w:jc w:val="both"/>
        <w:rPr>
          <w:rFonts w:ascii="Arial" w:hAnsi="Arial" w:cs="Arial"/>
          <w:sz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AD3952" w:rsidTr="001E44FE">
        <w:tc>
          <w:tcPr>
            <w:tcW w:w="9576" w:type="dxa"/>
            <w:shd w:val="clear" w:color="auto" w:fill="F2F2F2"/>
          </w:tcPr>
          <w:p w:rsidR="00676C8E" w:rsidRPr="00AD3952" w:rsidRDefault="00AD3952" w:rsidP="00676C8E">
            <w:pPr>
              <w:pStyle w:val="NormalWeb"/>
              <w:spacing w:before="0" w:beforeAutospacing="0"/>
              <w:jc w:val="both"/>
              <w:rPr>
                <w:rFonts w:ascii="Arial" w:hAnsi="Arial" w:cs="Arial"/>
                <w:sz w:val="20"/>
                <w:szCs w:val="20"/>
              </w:rPr>
            </w:pPr>
            <w:r w:rsidRPr="00AD3952">
              <w:rPr>
                <w:rFonts w:ascii="Arial" w:hAnsi="Arial" w:cs="Arial"/>
                <w:sz w:val="20"/>
                <w:szCs w:val="20"/>
              </w:rPr>
              <w:t>Effective management of teaching and learning is essential for improving educational quality and student achievement, especially in rural secondary schools facing challenges related to limited resources, technological gaps, and increasing instructional demands.</w:t>
            </w:r>
            <w:r w:rsidR="00E10644">
              <w:rPr>
                <w:rFonts w:ascii="Arial" w:hAnsi="Arial" w:cs="Arial"/>
                <w:sz w:val="20"/>
                <w:szCs w:val="20"/>
              </w:rPr>
              <w:t xml:space="preserve"> </w:t>
            </w:r>
            <w:r w:rsidR="00676C8E" w:rsidRPr="00AD3952">
              <w:rPr>
                <w:rFonts w:ascii="Arial" w:hAnsi="Arial" w:cs="Arial"/>
                <w:color w:val="000000"/>
                <w:sz w:val="20"/>
                <w:szCs w:val="20"/>
              </w:rPr>
              <w:t xml:space="preserve">This study explores the management of teaching and learning in secondary schools within the </w:t>
            </w:r>
            <w:proofErr w:type="spellStart"/>
            <w:r w:rsidR="00676C8E" w:rsidRPr="00AD3952">
              <w:rPr>
                <w:rFonts w:ascii="Arial" w:hAnsi="Arial" w:cs="Arial"/>
                <w:color w:val="000000"/>
                <w:sz w:val="20"/>
                <w:szCs w:val="20"/>
              </w:rPr>
              <w:t>Matanao</w:t>
            </w:r>
            <w:proofErr w:type="spellEnd"/>
            <w:r w:rsidR="00676C8E" w:rsidRPr="00AD3952">
              <w:rPr>
                <w:rFonts w:ascii="Arial" w:hAnsi="Arial" w:cs="Arial"/>
                <w:color w:val="000000"/>
                <w:sz w:val="20"/>
                <w:szCs w:val="20"/>
              </w:rPr>
              <w:t xml:space="preserve">, </w:t>
            </w:r>
            <w:proofErr w:type="spellStart"/>
            <w:r w:rsidR="00676C8E" w:rsidRPr="00AD3952">
              <w:rPr>
                <w:rFonts w:ascii="Arial" w:hAnsi="Arial" w:cs="Arial"/>
                <w:color w:val="000000"/>
                <w:sz w:val="20"/>
                <w:szCs w:val="20"/>
              </w:rPr>
              <w:t>Bansalan</w:t>
            </w:r>
            <w:proofErr w:type="spellEnd"/>
            <w:r w:rsidR="00676C8E" w:rsidRPr="00AD3952">
              <w:rPr>
                <w:rFonts w:ascii="Arial" w:hAnsi="Arial" w:cs="Arial"/>
                <w:color w:val="000000"/>
                <w:sz w:val="20"/>
                <w:szCs w:val="20"/>
              </w:rPr>
              <w:t>, and Magsaysay (MABAMA) Cluster, focusing on the lived experiences and leadership philosophies of school heads. Utilizing a qualitative research design, we gathered data from</w:t>
            </w:r>
            <w:r w:rsidR="00676C8E" w:rsidRPr="00AD3952">
              <w:rPr>
                <w:rStyle w:val="apple-converted-space"/>
                <w:rFonts w:ascii="Arial" w:hAnsi="Arial" w:cs="Arial"/>
                <w:color w:val="000000"/>
                <w:sz w:val="20"/>
                <w:szCs w:val="20"/>
              </w:rPr>
              <w:t> </w:t>
            </w:r>
            <w:r w:rsidR="00676C8E" w:rsidRPr="00AD3952">
              <w:rPr>
                <w:rFonts w:ascii="Arial" w:hAnsi="Arial" w:cs="Arial"/>
                <w:color w:val="000000"/>
                <w:sz w:val="20"/>
                <w:szCs w:val="20"/>
              </w:rPr>
              <w:t>10 secondary school heads through semi-structured interviews, document analysis, and direct observations. This approach provided a holistic understanding of the administrative and pedagogical landscape in these rural institutions.</w:t>
            </w:r>
          </w:p>
          <w:p w:rsidR="00676C8E" w:rsidRPr="00AD3952" w:rsidRDefault="00676C8E" w:rsidP="00676C8E">
            <w:pPr>
              <w:pStyle w:val="NormalWeb"/>
              <w:spacing w:before="0" w:beforeAutospacing="0"/>
              <w:jc w:val="both"/>
              <w:rPr>
                <w:rFonts w:ascii="Arial" w:hAnsi="Arial" w:cs="Arial"/>
                <w:color w:val="000000"/>
                <w:sz w:val="20"/>
                <w:szCs w:val="20"/>
              </w:rPr>
            </w:pPr>
            <w:r w:rsidRPr="00AD3952">
              <w:rPr>
                <w:rFonts w:ascii="Arial" w:hAnsi="Arial" w:cs="Arial"/>
                <w:color w:val="000000"/>
                <w:sz w:val="20"/>
                <w:szCs w:val="20"/>
              </w:rPr>
              <w:t>Our findings reveal that effective management in the MABAMA Cluster stems from a synergy of strong instructional leadership, data-driven decision-making, continuous professional development, and active community engagement. We observed that school heads who prioritize pedagogical oversight and clinical coaching foster environments where instructional quality is a collective responsibility. Furthermore, the institutionalization of data analysis allows leaders to move beyond intuition, using performance metrics to guide remediation and resource allocation.</w:t>
            </w:r>
          </w:p>
          <w:p w:rsidR="00676C8E" w:rsidRPr="00AD3952" w:rsidRDefault="00676C8E" w:rsidP="00676C8E">
            <w:pPr>
              <w:pStyle w:val="NormalWeb"/>
              <w:spacing w:before="0" w:beforeAutospacing="0"/>
              <w:jc w:val="both"/>
              <w:rPr>
                <w:rFonts w:ascii="Arial" w:hAnsi="Arial" w:cs="Arial"/>
                <w:color w:val="000000"/>
                <w:sz w:val="20"/>
                <w:szCs w:val="20"/>
              </w:rPr>
            </w:pPr>
            <w:r w:rsidRPr="00AD3952">
              <w:rPr>
                <w:rFonts w:ascii="Arial" w:hAnsi="Arial" w:cs="Arial"/>
                <w:color w:val="000000"/>
                <w:sz w:val="20"/>
                <w:szCs w:val="20"/>
              </w:rPr>
              <w:t>However, we also identified significant systemic hurdles, including limited technological resources, heavy workloads, and large class sizes, which act as persistent barriers to optimal learning and contribute to educator burnout. Based on these insights, we recommend a comprehensive strategy to enhance educational quality. This includes specialized leadership training, emotional and professional support for teachers, and the full institutionalization of learner performance data in school planning. Additionally, fostering collaborative partnerships with local stakeholders is essential to bridge resource gaps. Ultimately, these measures are vital for improving instructional quality, enhancing learner achievement, and elevating overall school performance across the MABAMA Cluster.</w:t>
            </w:r>
          </w:p>
          <w:p w:rsidR="00505F06" w:rsidRPr="00AD3952" w:rsidRDefault="00505F06" w:rsidP="00676C8E">
            <w:pPr>
              <w:pStyle w:val="NormalWeb"/>
              <w:jc w:val="both"/>
              <w:rPr>
                <w:rFonts w:ascii="Arial" w:eastAsia="Calibri" w:hAnsi="Arial" w:cs="Arial"/>
                <w:sz w:val="20"/>
                <w:szCs w:val="20"/>
              </w:rPr>
            </w:pPr>
          </w:p>
        </w:tc>
      </w:tr>
    </w:tbl>
    <w:p w:rsidR="0024282C" w:rsidRPr="000345CF" w:rsidRDefault="000345CF" w:rsidP="000345CF">
      <w:pPr>
        <w:rPr>
          <w:rFonts w:ascii="Times New Roman" w:hAnsi="Times New Roman"/>
          <w:i/>
          <w:lang w:val="en-IN" w:eastAsia="en-IN"/>
        </w:rPr>
      </w:pPr>
      <w:r>
        <w:rPr>
          <w:rFonts w:ascii="Arial" w:hAnsi="Arial" w:cs="Arial"/>
          <w:i/>
        </w:rPr>
        <w:t xml:space="preserve">Key words: </w:t>
      </w:r>
      <w:r w:rsidRPr="000345CF">
        <w:rPr>
          <w:rFonts w:ascii="Times New Roman" w:hAnsi="Times New Roman"/>
          <w:i/>
          <w:lang w:val="en-IN" w:eastAsia="en-IN"/>
        </w:rPr>
        <w:t xml:space="preserve">Teaching and Learning Management, Secondary School Heads, </w:t>
      </w:r>
      <w:r w:rsidRPr="000345CF">
        <w:rPr>
          <w:i/>
        </w:rPr>
        <w:t xml:space="preserve">Educational </w:t>
      </w:r>
      <w:proofErr w:type="gramStart"/>
      <w:r w:rsidRPr="000345CF">
        <w:rPr>
          <w:i/>
        </w:rPr>
        <w:t>Quality</w:t>
      </w:r>
      <w:r w:rsidRPr="000345CF">
        <w:rPr>
          <w:rFonts w:hAnsi="Symbol"/>
          <w:i/>
        </w:rPr>
        <w:t xml:space="preserve"> </w:t>
      </w:r>
      <w:r w:rsidRPr="000345CF">
        <w:rPr>
          <w:rFonts w:ascii="Times New Roman" w:hAnsi="Symbol"/>
          <w:i/>
          <w:lang w:val="en-IN" w:eastAsia="en-IN"/>
        </w:rPr>
        <w:t>,</w:t>
      </w:r>
      <w:proofErr w:type="gramEnd"/>
      <w:r w:rsidRPr="000345CF">
        <w:rPr>
          <w:rFonts w:ascii="Times New Roman" w:hAnsi="Symbol"/>
          <w:i/>
          <w:lang w:val="en-IN" w:eastAsia="en-IN"/>
        </w:rPr>
        <w:t xml:space="preserve"> </w:t>
      </w:r>
      <w:r w:rsidRPr="000345CF">
        <w:rPr>
          <w:rFonts w:ascii="Times New Roman" w:hAnsi="Times New Roman"/>
          <w:i/>
          <w:lang w:val="en-IN" w:eastAsia="en-IN"/>
        </w:rPr>
        <w:t xml:space="preserve"> School Management , Teacher Development</w:t>
      </w:r>
    </w:p>
    <w:p w:rsidR="00505F06" w:rsidRPr="00AD3952" w:rsidRDefault="00505F06" w:rsidP="00441B6F">
      <w:pPr>
        <w:pStyle w:val="Body"/>
        <w:spacing w:after="0"/>
        <w:rPr>
          <w:rFonts w:ascii="Arial" w:hAnsi="Arial" w:cs="Arial"/>
          <w:i/>
        </w:rPr>
      </w:pPr>
    </w:p>
    <w:p w:rsidR="007F7B32" w:rsidRPr="00AD3952" w:rsidRDefault="00B01FCD" w:rsidP="007E55E1">
      <w:pPr>
        <w:pStyle w:val="AbstHead"/>
        <w:numPr>
          <w:ilvl w:val="0"/>
          <w:numId w:val="35"/>
        </w:numPr>
        <w:spacing w:after="0"/>
        <w:jc w:val="both"/>
        <w:rPr>
          <w:rFonts w:ascii="Arial" w:hAnsi="Arial" w:cs="Arial"/>
          <w:sz w:val="20"/>
        </w:rPr>
      </w:pPr>
      <w:r w:rsidRPr="00AD3952">
        <w:rPr>
          <w:rFonts w:ascii="Arial" w:hAnsi="Arial" w:cs="Arial"/>
          <w:sz w:val="20"/>
        </w:rPr>
        <w:t>INTRODUCTION</w:t>
      </w:r>
      <w:r w:rsidR="007F7B32" w:rsidRPr="00AD3952">
        <w:rPr>
          <w:rFonts w:ascii="Arial" w:hAnsi="Arial" w:cs="Arial"/>
          <w:sz w:val="20"/>
        </w:rPr>
        <w:t xml:space="preserve"> </w:t>
      </w:r>
    </w:p>
    <w:p w:rsidR="007E55E1" w:rsidRPr="00AD3952" w:rsidRDefault="007E55E1" w:rsidP="007E55E1">
      <w:pPr>
        <w:pStyle w:val="AbstHead"/>
        <w:spacing w:after="0"/>
        <w:ind w:left="720"/>
        <w:jc w:val="both"/>
        <w:rPr>
          <w:rFonts w:ascii="Arial" w:hAnsi="Arial" w:cs="Arial"/>
          <w:sz w:val="20"/>
        </w:rPr>
      </w:pPr>
    </w:p>
    <w:p w:rsidR="007E55E1" w:rsidRPr="00AD3952" w:rsidRDefault="007E55E1" w:rsidP="007E55E1">
      <w:pPr>
        <w:pStyle w:val="NormalWeb"/>
        <w:spacing w:before="0" w:beforeAutospacing="0"/>
        <w:jc w:val="both"/>
        <w:rPr>
          <w:rFonts w:ascii="Arial" w:hAnsi="Arial" w:cs="Arial"/>
          <w:color w:val="000000"/>
          <w:sz w:val="20"/>
          <w:szCs w:val="20"/>
        </w:rPr>
      </w:pPr>
      <w:r w:rsidRPr="00AD3952">
        <w:rPr>
          <w:rFonts w:ascii="Arial" w:hAnsi="Arial" w:cs="Arial"/>
          <w:color w:val="000000"/>
          <w:sz w:val="20"/>
          <w:szCs w:val="20"/>
        </w:rPr>
        <w:t>Effective management of teaching and learning plays a central role in shaping the quality of secondary education, directly correlating with improved student achievement and academic success. In the contemporary educational landscape, the management of a school is no longer viewed as a static administrative function but as a dynamic, multi-faceted process that directly influences the pedagogical core of the institution</w:t>
      </w:r>
      <w:r w:rsidR="005E1FA2">
        <w:rPr>
          <w:rFonts w:ascii="Arial" w:hAnsi="Arial" w:cs="Arial"/>
          <w:color w:val="000000"/>
          <w:sz w:val="20"/>
          <w:szCs w:val="20"/>
        </w:rPr>
        <w:t xml:space="preserve"> (</w:t>
      </w:r>
      <w:proofErr w:type="spellStart"/>
      <w:r w:rsidR="005E1FA2">
        <w:rPr>
          <w:rFonts w:ascii="Arial" w:hAnsi="Arial" w:cs="Arial"/>
          <w:color w:val="222222"/>
          <w:sz w:val="20"/>
          <w:szCs w:val="20"/>
          <w:shd w:val="clear" w:color="auto" w:fill="FFFFFF"/>
        </w:rPr>
        <w:t>Dacholfany</w:t>
      </w:r>
      <w:proofErr w:type="spellEnd"/>
      <w:r w:rsidR="005E1FA2">
        <w:rPr>
          <w:rFonts w:ascii="Arial" w:hAnsi="Arial" w:cs="Arial"/>
          <w:color w:val="222222"/>
          <w:sz w:val="20"/>
          <w:szCs w:val="20"/>
          <w:shd w:val="clear" w:color="auto" w:fill="FFFFFF"/>
        </w:rPr>
        <w:t xml:space="preserve"> et al., 2024</w:t>
      </w:r>
      <w:r w:rsidR="005E1FA2">
        <w:rPr>
          <w:rFonts w:ascii="Arial" w:hAnsi="Arial" w:cs="Arial"/>
          <w:color w:val="000000"/>
          <w:sz w:val="20"/>
          <w:szCs w:val="20"/>
        </w:rPr>
        <w:t>)</w:t>
      </w:r>
      <w:r w:rsidRPr="00AD3952">
        <w:rPr>
          <w:rFonts w:ascii="Arial" w:hAnsi="Arial" w:cs="Arial"/>
          <w:color w:val="000000"/>
          <w:sz w:val="20"/>
          <w:szCs w:val="20"/>
        </w:rPr>
        <w:t xml:space="preserve">. As schools globally navigate evolving academic standards and increasingly diverse student needs, the responsibilities of education leaders and teachers have become increasingly complex, demanding a high degree of professional agility and interconnectedness. This evolution requires a paradigm shift from traditional "gatekeeping" roles—focused on discipline and attendance—to "enabling" roles, where the primary objective of management is to facilitate optimal learning conditions through strategic support and resource </w:t>
      </w:r>
      <w:proofErr w:type="gramStart"/>
      <w:r w:rsidRPr="00AD3952">
        <w:rPr>
          <w:rFonts w:ascii="Arial" w:hAnsi="Arial" w:cs="Arial"/>
          <w:color w:val="000000"/>
          <w:sz w:val="20"/>
          <w:szCs w:val="20"/>
        </w:rPr>
        <w:t>alignment</w:t>
      </w:r>
      <w:r w:rsidR="005E1FA2">
        <w:rPr>
          <w:rFonts w:ascii="Arial" w:hAnsi="Arial" w:cs="Arial"/>
          <w:color w:val="000000"/>
          <w:sz w:val="20"/>
          <w:szCs w:val="20"/>
        </w:rPr>
        <w:t xml:space="preserve">  (</w:t>
      </w:r>
      <w:proofErr w:type="gramEnd"/>
      <w:r w:rsidR="005E1FA2" w:rsidRPr="00AD3952">
        <w:rPr>
          <w:rFonts w:ascii="Arial" w:hAnsi="Arial" w:cs="Arial"/>
          <w:color w:val="000000"/>
          <w:sz w:val="20"/>
          <w:szCs w:val="20"/>
        </w:rPr>
        <w:t>Oka</w:t>
      </w:r>
      <w:r w:rsidR="005E1FA2">
        <w:rPr>
          <w:rFonts w:ascii="Arial" w:hAnsi="Arial" w:cs="Arial"/>
          <w:color w:val="000000"/>
          <w:sz w:val="20"/>
          <w:szCs w:val="20"/>
        </w:rPr>
        <w:t xml:space="preserve"> et al., 2022)</w:t>
      </w:r>
      <w:r w:rsidRPr="00AD3952">
        <w:rPr>
          <w:rFonts w:ascii="Arial" w:hAnsi="Arial" w:cs="Arial"/>
          <w:color w:val="000000"/>
          <w:sz w:val="20"/>
          <w:szCs w:val="20"/>
        </w:rPr>
        <w:t>.</w:t>
      </w:r>
    </w:p>
    <w:p w:rsidR="007E55E1" w:rsidRPr="00AD3952" w:rsidRDefault="007E55E1" w:rsidP="007E55E1">
      <w:pPr>
        <w:pStyle w:val="NormalWeb"/>
        <w:spacing w:before="0" w:beforeAutospacing="0"/>
        <w:jc w:val="both"/>
        <w:rPr>
          <w:rFonts w:ascii="Arial" w:hAnsi="Arial" w:cs="Arial"/>
          <w:color w:val="000000"/>
          <w:sz w:val="20"/>
          <w:szCs w:val="20"/>
        </w:rPr>
      </w:pPr>
      <w:r w:rsidRPr="00AD3952">
        <w:rPr>
          <w:rFonts w:ascii="Arial" w:hAnsi="Arial" w:cs="Arial"/>
          <w:color w:val="000000"/>
          <w:sz w:val="20"/>
          <w:szCs w:val="20"/>
        </w:rPr>
        <w:t>This complexity is significantly heightened by rapid technological advancement, which has redefined the physical and conceptual boundaries of the classroom</w:t>
      </w:r>
      <w:r w:rsidR="005E1FA2">
        <w:rPr>
          <w:rFonts w:ascii="Arial" w:hAnsi="Arial" w:cs="Arial"/>
          <w:color w:val="000000"/>
          <w:sz w:val="20"/>
          <w:szCs w:val="20"/>
        </w:rPr>
        <w:t xml:space="preserve"> (</w:t>
      </w:r>
      <w:proofErr w:type="spellStart"/>
      <w:r w:rsidR="005E1FA2">
        <w:rPr>
          <w:rFonts w:ascii="Arial" w:hAnsi="Arial" w:cs="Arial"/>
          <w:color w:val="222222"/>
          <w:sz w:val="20"/>
          <w:szCs w:val="20"/>
          <w:shd w:val="clear" w:color="auto" w:fill="FFFFFF"/>
        </w:rPr>
        <w:t>Olowo</w:t>
      </w:r>
      <w:proofErr w:type="spellEnd"/>
      <w:r w:rsidR="005E1FA2">
        <w:rPr>
          <w:rFonts w:ascii="Arial" w:hAnsi="Arial" w:cs="Arial"/>
          <w:color w:val="222222"/>
          <w:sz w:val="20"/>
          <w:szCs w:val="20"/>
          <w:shd w:val="clear" w:color="auto" w:fill="FFFFFF"/>
        </w:rPr>
        <w:t xml:space="preserve"> &amp; </w:t>
      </w:r>
      <w:proofErr w:type="spellStart"/>
      <w:r w:rsidR="005E1FA2">
        <w:rPr>
          <w:rFonts w:ascii="Arial" w:hAnsi="Arial" w:cs="Arial"/>
          <w:color w:val="222222"/>
          <w:sz w:val="20"/>
          <w:szCs w:val="20"/>
          <w:shd w:val="clear" w:color="auto" w:fill="FFFFFF"/>
        </w:rPr>
        <w:t>Akinguloye</w:t>
      </w:r>
      <w:proofErr w:type="spellEnd"/>
      <w:r w:rsidR="005E1FA2">
        <w:rPr>
          <w:rFonts w:ascii="Arial" w:hAnsi="Arial" w:cs="Arial"/>
          <w:color w:val="222222"/>
          <w:sz w:val="20"/>
          <w:szCs w:val="20"/>
          <w:shd w:val="clear" w:color="auto" w:fill="FFFFFF"/>
        </w:rPr>
        <w:t>, 2025</w:t>
      </w:r>
      <w:r w:rsidR="005E1FA2">
        <w:rPr>
          <w:rFonts w:ascii="Arial" w:hAnsi="Arial" w:cs="Arial"/>
          <w:color w:val="000000"/>
          <w:sz w:val="20"/>
          <w:szCs w:val="20"/>
        </w:rPr>
        <w:t>)</w:t>
      </w:r>
      <w:r w:rsidRPr="00AD3952">
        <w:rPr>
          <w:rFonts w:ascii="Arial" w:hAnsi="Arial" w:cs="Arial"/>
          <w:color w:val="000000"/>
          <w:sz w:val="20"/>
          <w:szCs w:val="20"/>
        </w:rPr>
        <w:t xml:space="preserve">. Modern educational shifts require leaders to move </w:t>
      </w:r>
      <w:r w:rsidRPr="00AD3952">
        <w:rPr>
          <w:rFonts w:ascii="Arial" w:hAnsi="Arial" w:cs="Arial"/>
          <w:color w:val="000000"/>
          <w:sz w:val="20"/>
          <w:szCs w:val="20"/>
        </w:rPr>
        <w:lastRenderedPageBreak/>
        <w:t>beyond traditional administrative oversight and adopt transformational and digital leadership styles to maintain instructional quality in an era of constant change. Transformational leadership, in particular, allows school heads to inspire a shared vision among staff, fostering an environment where innovation is encouraged rather than stifled by bureaucratic red tape (</w:t>
      </w:r>
      <w:proofErr w:type="spellStart"/>
      <w:r w:rsidRPr="00AD3952">
        <w:rPr>
          <w:rFonts w:ascii="Arial" w:hAnsi="Arial" w:cs="Arial"/>
          <w:color w:val="000000"/>
          <w:sz w:val="20"/>
          <w:szCs w:val="20"/>
        </w:rPr>
        <w:t>Leithwood</w:t>
      </w:r>
      <w:proofErr w:type="spellEnd"/>
      <w:r w:rsidRPr="00AD3952">
        <w:rPr>
          <w:rFonts w:ascii="Arial" w:hAnsi="Arial" w:cs="Arial"/>
          <w:color w:val="000000"/>
          <w:sz w:val="20"/>
          <w:szCs w:val="20"/>
        </w:rPr>
        <w:t xml:space="preserve"> &amp; </w:t>
      </w:r>
      <w:proofErr w:type="spellStart"/>
      <w:r w:rsidRPr="00AD3952">
        <w:rPr>
          <w:rFonts w:ascii="Arial" w:hAnsi="Arial" w:cs="Arial"/>
          <w:color w:val="000000"/>
          <w:sz w:val="20"/>
          <w:szCs w:val="20"/>
        </w:rPr>
        <w:t>Jantzi</w:t>
      </w:r>
      <w:proofErr w:type="spellEnd"/>
      <w:r w:rsidRPr="00AD3952">
        <w:rPr>
          <w:rFonts w:ascii="Arial" w:hAnsi="Arial" w:cs="Arial"/>
          <w:color w:val="000000"/>
          <w:sz w:val="20"/>
          <w:szCs w:val="20"/>
        </w:rPr>
        <w:t xml:space="preserve">, 2005). Ensuring that classrooms function as dynamic environments for meaningful learning requires thoughtful planning, evidence-based strategies, and strong instructional leadership that prioritizes pedagogical support over mere bureaucratic </w:t>
      </w:r>
      <w:r w:rsidR="002720BA" w:rsidRPr="00AD3952">
        <w:rPr>
          <w:rFonts w:ascii="Arial" w:hAnsi="Arial" w:cs="Arial"/>
          <w:color w:val="000000"/>
          <w:sz w:val="20"/>
          <w:szCs w:val="20"/>
        </w:rPr>
        <w:t>compliance. This</w:t>
      </w:r>
      <w:r w:rsidRPr="00AD3952">
        <w:rPr>
          <w:rFonts w:ascii="Arial" w:hAnsi="Arial" w:cs="Arial"/>
          <w:color w:val="000000"/>
          <w:sz w:val="20"/>
          <w:szCs w:val="20"/>
        </w:rPr>
        <w:t xml:space="preserve"> transition is essential for developing "schools of the future" that can equip students with the critical thinking and problem-solving skills necessary for a globalized economy.</w:t>
      </w:r>
    </w:p>
    <w:p w:rsidR="007E55E1" w:rsidRPr="00AD3952" w:rsidRDefault="007E55E1" w:rsidP="005E1FA2">
      <w:pPr>
        <w:pStyle w:val="NormalWeb"/>
        <w:spacing w:before="0" w:beforeAutospacing="0"/>
        <w:rPr>
          <w:rFonts w:ascii="Arial" w:hAnsi="Arial" w:cs="Arial"/>
          <w:color w:val="000000"/>
          <w:sz w:val="20"/>
          <w:szCs w:val="20"/>
        </w:rPr>
      </w:pPr>
      <w:r w:rsidRPr="00AD3952">
        <w:rPr>
          <w:rFonts w:ascii="Arial" w:hAnsi="Arial" w:cs="Arial"/>
          <w:color w:val="000000"/>
          <w:sz w:val="20"/>
          <w:szCs w:val="20"/>
        </w:rPr>
        <w:t xml:space="preserve">Furthermore, the integration of 21st-century skills—such as collaboration, digital literacy, and emotional intelligence—necessitates that management practices evolve from rigid, top-down structures toward more fluid, collaborative models. These modern models empower educators to innovate within their local contexts, allowing for a "bottom-up" approach to school improvement where teachers are recognized as curriculum experts rather than just implementers (Harris &amp; Jones, 2023). However, despite the recognized importance of instructional leadership and classroom management, a significant gap exists in the literature regarding the practical integration of digital innovations in underserved or rural secondary schools. This is particularly evident in regions such as the </w:t>
      </w:r>
      <w:proofErr w:type="spellStart"/>
      <w:r w:rsidRPr="00AD3952">
        <w:rPr>
          <w:rFonts w:ascii="Arial" w:hAnsi="Arial" w:cs="Arial"/>
          <w:color w:val="000000"/>
          <w:sz w:val="20"/>
          <w:szCs w:val="20"/>
        </w:rPr>
        <w:t>Matanao</w:t>
      </w:r>
      <w:proofErr w:type="spellEnd"/>
      <w:r w:rsidRPr="00AD3952">
        <w:rPr>
          <w:rFonts w:ascii="Arial" w:hAnsi="Arial" w:cs="Arial"/>
          <w:color w:val="000000"/>
          <w:sz w:val="20"/>
          <w:szCs w:val="20"/>
        </w:rPr>
        <w:t xml:space="preserve">, </w:t>
      </w:r>
      <w:proofErr w:type="spellStart"/>
      <w:r w:rsidRPr="00AD3952">
        <w:rPr>
          <w:rFonts w:ascii="Arial" w:hAnsi="Arial" w:cs="Arial"/>
          <w:color w:val="000000"/>
          <w:sz w:val="20"/>
          <w:szCs w:val="20"/>
        </w:rPr>
        <w:t>Bansalan</w:t>
      </w:r>
      <w:proofErr w:type="spellEnd"/>
      <w:r w:rsidRPr="00AD3952">
        <w:rPr>
          <w:rFonts w:ascii="Arial" w:hAnsi="Arial" w:cs="Arial"/>
          <w:color w:val="000000"/>
          <w:sz w:val="20"/>
          <w:szCs w:val="20"/>
        </w:rPr>
        <w:t>, and Magsaysay (MABAMA) cluster in the Philippines, where the intersection of high academic expectations and limited physical resources creates a unique set of management pressures</w:t>
      </w:r>
      <w:r w:rsidR="005E1FA2">
        <w:rPr>
          <w:rFonts w:ascii="Arial" w:hAnsi="Arial" w:cs="Arial"/>
          <w:color w:val="000000"/>
          <w:sz w:val="20"/>
          <w:szCs w:val="20"/>
        </w:rPr>
        <w:t xml:space="preserve"> (</w:t>
      </w:r>
      <w:r w:rsidR="005E1FA2">
        <w:rPr>
          <w:rFonts w:ascii="Arial" w:hAnsi="Arial" w:cs="Arial"/>
          <w:color w:val="222222"/>
          <w:sz w:val="20"/>
          <w:szCs w:val="20"/>
          <w:shd w:val="clear" w:color="auto" w:fill="FFFFFF"/>
        </w:rPr>
        <w:t xml:space="preserve">Ayaz &amp; Abbas, 2025; </w:t>
      </w:r>
      <w:proofErr w:type="spellStart"/>
      <w:r w:rsidR="005E1FA2">
        <w:rPr>
          <w:rFonts w:ascii="Arial" w:hAnsi="Arial" w:cs="Arial"/>
          <w:color w:val="222222"/>
          <w:sz w:val="20"/>
          <w:szCs w:val="20"/>
          <w:shd w:val="clear" w:color="auto" w:fill="FFFFFF"/>
        </w:rPr>
        <w:t>Belina</w:t>
      </w:r>
      <w:proofErr w:type="spellEnd"/>
      <w:r w:rsidR="005E1FA2">
        <w:rPr>
          <w:rFonts w:ascii="Arial" w:hAnsi="Arial" w:cs="Arial"/>
          <w:color w:val="222222"/>
          <w:sz w:val="20"/>
          <w:szCs w:val="20"/>
          <w:shd w:val="clear" w:color="auto" w:fill="FFFFFF"/>
        </w:rPr>
        <w:t xml:space="preserve"> et al., 2026; </w:t>
      </w:r>
      <w:proofErr w:type="spellStart"/>
      <w:r w:rsidR="005E1FA2">
        <w:rPr>
          <w:rFonts w:ascii="Arial" w:hAnsi="Arial" w:cs="Arial"/>
          <w:color w:val="222222"/>
          <w:sz w:val="20"/>
          <w:szCs w:val="20"/>
          <w:shd w:val="clear" w:color="auto" w:fill="FFFFFF"/>
        </w:rPr>
        <w:t>Supriatna</w:t>
      </w:r>
      <w:proofErr w:type="spellEnd"/>
      <w:r w:rsidR="005E1FA2">
        <w:rPr>
          <w:rFonts w:ascii="Arial" w:hAnsi="Arial" w:cs="Arial"/>
          <w:color w:val="222222"/>
          <w:sz w:val="20"/>
          <w:szCs w:val="20"/>
          <w:shd w:val="clear" w:color="auto" w:fill="FFFFFF"/>
        </w:rPr>
        <w:t xml:space="preserve"> et al., 2026; Nwankwo &amp; Sunday-</w:t>
      </w:r>
      <w:proofErr w:type="spellStart"/>
      <w:r w:rsidR="005E1FA2">
        <w:rPr>
          <w:rFonts w:ascii="Arial" w:hAnsi="Arial" w:cs="Arial"/>
          <w:color w:val="222222"/>
          <w:sz w:val="20"/>
          <w:szCs w:val="20"/>
          <w:shd w:val="clear" w:color="auto" w:fill="FFFFFF"/>
        </w:rPr>
        <w:t>Cookey</w:t>
      </w:r>
      <w:proofErr w:type="spellEnd"/>
      <w:r w:rsidR="005E1FA2">
        <w:rPr>
          <w:rFonts w:ascii="Arial" w:hAnsi="Arial" w:cs="Arial"/>
          <w:color w:val="222222"/>
          <w:sz w:val="20"/>
          <w:szCs w:val="20"/>
          <w:shd w:val="clear" w:color="auto" w:fill="FFFFFF"/>
        </w:rPr>
        <w:t xml:space="preserve">, 2025; </w:t>
      </w:r>
      <w:proofErr w:type="spellStart"/>
      <w:r w:rsidR="005E1FA2">
        <w:rPr>
          <w:rFonts w:ascii="Arial" w:hAnsi="Arial" w:cs="Arial"/>
          <w:color w:val="222222"/>
          <w:sz w:val="20"/>
          <w:szCs w:val="20"/>
          <w:shd w:val="clear" w:color="auto" w:fill="FFFFFF"/>
        </w:rPr>
        <w:t>Kotirde</w:t>
      </w:r>
      <w:proofErr w:type="spellEnd"/>
      <w:r w:rsidR="005E1FA2">
        <w:rPr>
          <w:rFonts w:ascii="Arial" w:hAnsi="Arial" w:cs="Arial"/>
          <w:color w:val="222222"/>
          <w:sz w:val="20"/>
          <w:szCs w:val="20"/>
          <w:shd w:val="clear" w:color="auto" w:fill="FFFFFF"/>
        </w:rPr>
        <w:t xml:space="preserve"> &amp; </w:t>
      </w:r>
      <w:proofErr w:type="spellStart"/>
      <w:r w:rsidR="005E1FA2">
        <w:rPr>
          <w:rFonts w:ascii="Arial" w:hAnsi="Arial" w:cs="Arial"/>
          <w:color w:val="222222"/>
          <w:sz w:val="20"/>
          <w:szCs w:val="20"/>
          <w:shd w:val="clear" w:color="auto" w:fill="FFFFFF"/>
        </w:rPr>
        <w:t>Yunos</w:t>
      </w:r>
      <w:proofErr w:type="spellEnd"/>
      <w:r w:rsidR="005E1FA2">
        <w:rPr>
          <w:rFonts w:ascii="Arial" w:hAnsi="Arial" w:cs="Arial"/>
          <w:color w:val="222222"/>
          <w:sz w:val="20"/>
          <w:szCs w:val="20"/>
          <w:shd w:val="clear" w:color="auto" w:fill="FFFFFF"/>
        </w:rPr>
        <w:t>, 2014</w:t>
      </w:r>
      <w:r w:rsidR="005E1FA2">
        <w:rPr>
          <w:rFonts w:ascii="Arial" w:hAnsi="Arial" w:cs="Arial"/>
          <w:color w:val="000000"/>
          <w:sz w:val="20"/>
          <w:szCs w:val="20"/>
        </w:rPr>
        <w:t>)</w:t>
      </w:r>
      <w:r w:rsidRPr="00AD3952">
        <w:rPr>
          <w:rFonts w:ascii="Arial" w:hAnsi="Arial" w:cs="Arial"/>
          <w:color w:val="000000"/>
          <w:sz w:val="20"/>
          <w:szCs w:val="20"/>
        </w:rPr>
        <w:t>.</w:t>
      </w:r>
    </w:p>
    <w:p w:rsidR="007E55E1" w:rsidRPr="00AD3952" w:rsidRDefault="007E55E1" w:rsidP="007E55E1">
      <w:pPr>
        <w:pStyle w:val="NormalWeb"/>
        <w:spacing w:before="0" w:beforeAutospacing="0"/>
        <w:jc w:val="both"/>
        <w:rPr>
          <w:rFonts w:ascii="Arial" w:hAnsi="Arial" w:cs="Arial"/>
          <w:color w:val="000000"/>
          <w:sz w:val="20"/>
          <w:szCs w:val="20"/>
        </w:rPr>
      </w:pPr>
      <w:r w:rsidRPr="00AD3952">
        <w:rPr>
          <w:rFonts w:ascii="Arial" w:hAnsi="Arial" w:cs="Arial"/>
          <w:color w:val="000000"/>
          <w:sz w:val="20"/>
          <w:szCs w:val="20"/>
        </w:rPr>
        <w:t xml:space="preserve">While digital tools like Artificial Intelligence (AI) and mobile learning offer innovative pathways for growth and personalized instruction, many educational institutions in rural clusters continue to face severe infrastructure challenges. These challenges are compounded by digital literacy gaps among both staff and students, and a persistent "digital divide" that hinders effective management and equitable access to information (Putra &amp; </w:t>
      </w:r>
      <w:proofErr w:type="spellStart"/>
      <w:r w:rsidRPr="00AD3952">
        <w:rPr>
          <w:rFonts w:ascii="Arial" w:hAnsi="Arial" w:cs="Arial"/>
          <w:color w:val="000000"/>
          <w:sz w:val="20"/>
          <w:szCs w:val="20"/>
        </w:rPr>
        <w:t>Yanto</w:t>
      </w:r>
      <w:proofErr w:type="spellEnd"/>
      <w:r w:rsidRPr="00AD3952">
        <w:rPr>
          <w:rFonts w:ascii="Arial" w:hAnsi="Arial" w:cs="Arial"/>
          <w:color w:val="000000"/>
          <w:sz w:val="20"/>
          <w:szCs w:val="20"/>
        </w:rPr>
        <w:t>, 2025). In many ways, technology has become a double-edged sword; while it offers the potential for radical improvement, it also risks widening the gap between urban centers and rural clusters. School heads in these regions often struggle to balance the national mandate for modernization with the harsh reality of limited connectivity, unreliable power supplies, and a lack of modern computing equipment. This necessitates a more nuanced and "</w:t>
      </w:r>
      <w:proofErr w:type="spellStart"/>
      <w:r w:rsidRPr="00AD3952">
        <w:rPr>
          <w:rFonts w:ascii="Arial" w:hAnsi="Arial" w:cs="Arial"/>
          <w:color w:val="000000"/>
          <w:sz w:val="20"/>
          <w:szCs w:val="20"/>
        </w:rPr>
        <w:t>glocal</w:t>
      </w:r>
      <w:proofErr w:type="spellEnd"/>
      <w:r w:rsidRPr="00AD3952">
        <w:rPr>
          <w:rFonts w:ascii="Arial" w:hAnsi="Arial" w:cs="Arial"/>
          <w:color w:val="000000"/>
          <w:sz w:val="20"/>
          <w:szCs w:val="20"/>
        </w:rPr>
        <w:t>" approach to resource allocation and teacher training—one that acknowledges global digital trends while remaining grounded in local constraints.</w:t>
      </w:r>
    </w:p>
    <w:p w:rsidR="007E55E1" w:rsidRPr="00AD3952" w:rsidRDefault="007E55E1" w:rsidP="007E55E1">
      <w:pPr>
        <w:pStyle w:val="NormalWeb"/>
        <w:spacing w:before="0" w:beforeAutospacing="0"/>
        <w:jc w:val="both"/>
        <w:rPr>
          <w:rFonts w:ascii="Arial" w:hAnsi="Arial" w:cs="Arial"/>
          <w:color w:val="000000"/>
          <w:sz w:val="20"/>
          <w:szCs w:val="20"/>
        </w:rPr>
      </w:pPr>
      <w:r w:rsidRPr="00AD3952">
        <w:rPr>
          <w:rFonts w:ascii="Arial" w:hAnsi="Arial" w:cs="Arial"/>
          <w:color w:val="000000"/>
          <w:sz w:val="20"/>
          <w:szCs w:val="20"/>
        </w:rPr>
        <w:t xml:space="preserve">In the specific context of the Philippine </w:t>
      </w:r>
      <w:proofErr w:type="gramStart"/>
      <w:r w:rsidRPr="00AD3952">
        <w:rPr>
          <w:rFonts w:ascii="Arial" w:hAnsi="Arial" w:cs="Arial"/>
          <w:color w:val="000000"/>
          <w:sz w:val="20"/>
          <w:szCs w:val="20"/>
        </w:rPr>
        <w:t>public school</w:t>
      </w:r>
      <w:proofErr w:type="gramEnd"/>
      <w:r w:rsidRPr="00AD3952">
        <w:rPr>
          <w:rFonts w:ascii="Arial" w:hAnsi="Arial" w:cs="Arial"/>
          <w:color w:val="000000"/>
          <w:sz w:val="20"/>
          <w:szCs w:val="20"/>
        </w:rPr>
        <w:t xml:space="preserve"> system, these geographical and socio-economic barriers often exacerbate existing educational inequalities. The role of the school head in the MABAMA cluster, therefore, extends far beyond that of a typical administrator; they must act simultaneously as resource managers, instructional coaches, and community diplomats. The school head’s ability to navigate these roles is more critical than ever, as they are tasked with ensuring that rural students receive a quality of education that is comparable to their urban counterparts despite the systemic disadvantages they may face. This requires a specialized form of resilience and a commitment to "leadership at the margins," where success is measured by the ability to innovate within scarcity and leverage existing community strengths.</w:t>
      </w:r>
    </w:p>
    <w:p w:rsidR="007E55E1" w:rsidRPr="00AD3952" w:rsidRDefault="007E55E1" w:rsidP="007E55E1">
      <w:pPr>
        <w:pStyle w:val="NormalWeb"/>
        <w:spacing w:before="0" w:beforeAutospacing="0"/>
        <w:jc w:val="both"/>
        <w:rPr>
          <w:rFonts w:ascii="Arial" w:hAnsi="Arial" w:cs="Arial"/>
          <w:color w:val="000000"/>
          <w:sz w:val="20"/>
          <w:szCs w:val="20"/>
        </w:rPr>
      </w:pPr>
      <w:r w:rsidRPr="00AD3952">
        <w:rPr>
          <w:rFonts w:ascii="Arial" w:hAnsi="Arial" w:cs="Arial"/>
          <w:color w:val="000000"/>
          <w:sz w:val="20"/>
          <w:szCs w:val="20"/>
        </w:rPr>
        <w:t>Furthermore, while current meta-analyses confirm the strong link between school management and student achievement</w:t>
      </w:r>
      <w:r w:rsidR="002720BA" w:rsidRPr="00AD3952">
        <w:rPr>
          <w:rFonts w:ascii="Arial" w:hAnsi="Arial" w:cs="Arial"/>
          <w:color w:val="000000"/>
          <w:sz w:val="20"/>
          <w:szCs w:val="20"/>
        </w:rPr>
        <w:t xml:space="preserve"> </w:t>
      </w:r>
      <w:r w:rsidRPr="00AD3952">
        <w:rPr>
          <w:rFonts w:ascii="Arial" w:hAnsi="Arial" w:cs="Arial"/>
          <w:color w:val="000000"/>
          <w:sz w:val="20"/>
          <w:szCs w:val="20"/>
        </w:rPr>
        <w:t>there is a distinct lack of longitudinal research on how teachers' management self-efficacy evolves in response to rapidly shifting 21st-century classroom dynamics. As the "classroom" moves from a physical space to a hybrid or purely digital one, the traditional methods of maintaining discipline and engagement are being challenged. In many public secondary schools, heavy teacher workloads and excessively large class sizes further complicate the delivery of individualized instruction, often leading to educator burnout and a decline in the quality of student-teacher interactions. Management must therefore focus not only on student outcomes but also on the psychological and professional well-being of the faculty, recognizing that teacher health is a prerequisite for learner success.</w:t>
      </w:r>
    </w:p>
    <w:p w:rsidR="007E55E1" w:rsidRPr="00AD3952" w:rsidRDefault="007E55E1" w:rsidP="007E55E1">
      <w:pPr>
        <w:pStyle w:val="NormalWeb"/>
        <w:spacing w:before="0" w:beforeAutospacing="0"/>
        <w:jc w:val="both"/>
        <w:rPr>
          <w:rFonts w:ascii="Arial" w:hAnsi="Arial" w:cs="Arial"/>
          <w:color w:val="000000"/>
          <w:sz w:val="20"/>
          <w:szCs w:val="20"/>
        </w:rPr>
      </w:pPr>
      <w:r w:rsidRPr="00AD3952">
        <w:rPr>
          <w:rFonts w:ascii="Arial" w:hAnsi="Arial" w:cs="Arial"/>
          <w:color w:val="000000"/>
          <w:sz w:val="20"/>
          <w:szCs w:val="20"/>
        </w:rPr>
        <w:t>To bridge these systemic and research gaps, contemporary leadership must fully embrace a culture of data-driven decision-making. This involves the systematic utilization of learner performance data and meticulous item analysis to identify competency gaps early in the academic year. By moving away from "intuitive management" and toward "evidence-based management," school heads can ensure that remediation programs are targeted, resources are used efficiently, and instructional coaching is focused on the areas where teachers need the most support. Data should not be used as a tool for surveillance or punishment, but as a "diagnostic mirror" that reflects the actual learning needs of the student body, allowing for precise pedagogical interventions.</w:t>
      </w:r>
    </w:p>
    <w:p w:rsidR="007E55E1" w:rsidRPr="00AD3952" w:rsidRDefault="007E55E1" w:rsidP="007E55E1">
      <w:pPr>
        <w:pStyle w:val="NormalWeb"/>
        <w:spacing w:before="0" w:beforeAutospacing="0"/>
        <w:jc w:val="both"/>
        <w:rPr>
          <w:rFonts w:ascii="Arial" w:hAnsi="Arial" w:cs="Arial"/>
          <w:color w:val="000000"/>
          <w:sz w:val="20"/>
          <w:szCs w:val="20"/>
        </w:rPr>
      </w:pPr>
      <w:r w:rsidRPr="00AD3952">
        <w:rPr>
          <w:rFonts w:ascii="Arial" w:hAnsi="Arial" w:cs="Arial"/>
          <w:color w:val="000000"/>
          <w:sz w:val="20"/>
          <w:szCs w:val="20"/>
        </w:rPr>
        <w:t xml:space="preserve">This study seeks to address these critical gaps by examining the intricate intersection of leadership, technology, and pedagogical strategy in contemporary secondary education. By exploring the lived experiences of school heads specifically within the MABAMA cluster, the research aims to uncover the "hidden" strategies that successful leaders use to mitigate systemic barriers. Through a focus on instructional coaching and collaborative community engagement, the study investigates how social capital can be leveraged to foster an environment of sustained academic excellence and </w:t>
      </w:r>
      <w:r w:rsidRPr="00AD3952">
        <w:rPr>
          <w:rFonts w:ascii="Arial" w:hAnsi="Arial" w:cs="Arial"/>
          <w:color w:val="000000"/>
          <w:sz w:val="20"/>
          <w:szCs w:val="20"/>
        </w:rPr>
        <w:lastRenderedPageBreak/>
        <w:t>school improvement. Whether it is through the mobilization of local stakeholders for school repairs or the implementation of peer-to-peer mentoring for teachers, the goal is to identify scalable models of success that can be applied to other rural clusters.</w:t>
      </w:r>
    </w:p>
    <w:p w:rsidR="007E55E1" w:rsidRPr="00AD3952" w:rsidRDefault="007E55E1" w:rsidP="007E55E1">
      <w:pPr>
        <w:pStyle w:val="NormalWeb"/>
        <w:spacing w:before="0" w:beforeAutospacing="0"/>
        <w:jc w:val="both"/>
        <w:rPr>
          <w:rFonts w:ascii="Arial" w:hAnsi="Arial" w:cs="Arial"/>
          <w:color w:val="000000"/>
          <w:sz w:val="20"/>
          <w:szCs w:val="20"/>
        </w:rPr>
      </w:pPr>
      <w:r w:rsidRPr="00AD3952">
        <w:rPr>
          <w:rFonts w:ascii="Arial" w:hAnsi="Arial" w:cs="Arial"/>
          <w:color w:val="000000"/>
          <w:sz w:val="20"/>
          <w:szCs w:val="20"/>
        </w:rPr>
        <w:t>Ultimately, this inquiry serves to redefine the parameters of effective educational management in the modern era. It posits that true management efficacy is found at the crossroads of visionary leadership and practical, data-informed action. By giving voice to the school heads who navigate these challenges daily, this research contributes to a more inclusive and comprehensive understanding of what it means to lead a school in the 21st century—ensuring that the promise of quality education remains accessible to all learners, regardless of their zip code. The findings of this study will provide a roadmap for policymakers and practitioners alike, highlighting the essential interventions needed to support school heads as they lead their institutions toward a future of excellence and equity.</w:t>
      </w:r>
    </w:p>
    <w:p w:rsidR="007A64BB" w:rsidRPr="00AD3952" w:rsidRDefault="007A64BB" w:rsidP="007A64BB">
      <w:pPr>
        <w:pStyle w:val="Body"/>
        <w:spacing w:after="0"/>
        <w:rPr>
          <w:rFonts w:ascii="Arial" w:hAnsi="Arial" w:cs="Arial"/>
        </w:rPr>
      </w:pPr>
    </w:p>
    <w:p w:rsidR="007F7B32" w:rsidRPr="00AD3952" w:rsidRDefault="00902823" w:rsidP="00441B6F">
      <w:pPr>
        <w:pStyle w:val="AbstHead"/>
        <w:spacing w:after="0"/>
        <w:jc w:val="both"/>
        <w:rPr>
          <w:rFonts w:ascii="Arial" w:hAnsi="Arial" w:cs="Arial"/>
          <w:sz w:val="20"/>
        </w:rPr>
      </w:pPr>
      <w:r w:rsidRPr="00AD3952">
        <w:rPr>
          <w:rFonts w:ascii="Arial" w:hAnsi="Arial" w:cs="Arial"/>
          <w:sz w:val="20"/>
        </w:rPr>
        <w:t xml:space="preserve">2. </w:t>
      </w:r>
      <w:r w:rsidR="006B57D0" w:rsidRPr="00AD3952">
        <w:rPr>
          <w:rFonts w:ascii="Arial" w:hAnsi="Arial" w:cs="Arial"/>
          <w:sz w:val="20"/>
        </w:rPr>
        <w:t>methodology</w:t>
      </w:r>
      <w:r w:rsidR="007F7B32" w:rsidRPr="00AD3952">
        <w:rPr>
          <w:rFonts w:ascii="Arial" w:hAnsi="Arial" w:cs="Arial"/>
          <w:sz w:val="20"/>
        </w:rPr>
        <w:t xml:space="preserve"> </w:t>
      </w:r>
    </w:p>
    <w:p w:rsidR="00790ADA" w:rsidRPr="00AD3952" w:rsidRDefault="00790ADA" w:rsidP="00441B6F">
      <w:pPr>
        <w:pStyle w:val="AbstHead"/>
        <w:spacing w:after="0"/>
        <w:jc w:val="both"/>
        <w:rPr>
          <w:rFonts w:ascii="Arial" w:hAnsi="Arial" w:cs="Arial"/>
          <w:sz w:val="20"/>
        </w:rPr>
      </w:pPr>
    </w:p>
    <w:p w:rsidR="00484013" w:rsidRPr="00AD3952" w:rsidRDefault="00484013" w:rsidP="00484013">
      <w:pPr>
        <w:pStyle w:val="NormalWeb"/>
        <w:jc w:val="both"/>
        <w:rPr>
          <w:rFonts w:ascii="Arial" w:hAnsi="Arial" w:cs="Arial"/>
          <w:color w:val="000000"/>
          <w:sz w:val="20"/>
          <w:szCs w:val="20"/>
        </w:rPr>
      </w:pPr>
      <w:r w:rsidRPr="00AD3952">
        <w:rPr>
          <w:rFonts w:ascii="Arial" w:hAnsi="Arial" w:cs="Arial"/>
          <w:color w:val="000000"/>
          <w:sz w:val="20"/>
          <w:szCs w:val="20"/>
        </w:rPr>
        <w:t>This study employed a rigorous</w:t>
      </w:r>
      <w:r w:rsidRPr="00AD3952">
        <w:rPr>
          <w:rStyle w:val="apple-converted-space"/>
          <w:rFonts w:ascii="Arial" w:hAnsi="Arial" w:cs="Arial"/>
          <w:color w:val="000000"/>
          <w:sz w:val="20"/>
          <w:szCs w:val="20"/>
        </w:rPr>
        <w:t> </w:t>
      </w:r>
      <w:r w:rsidRPr="00AD3952">
        <w:rPr>
          <w:rFonts w:ascii="Arial" w:hAnsi="Arial" w:cs="Arial"/>
          <w:color w:val="000000"/>
          <w:sz w:val="20"/>
          <w:szCs w:val="20"/>
        </w:rPr>
        <w:t>qualitative research design, specifically adopting a</w:t>
      </w:r>
      <w:r w:rsidRPr="00AD3952">
        <w:rPr>
          <w:rStyle w:val="apple-converted-space"/>
          <w:rFonts w:ascii="Arial" w:hAnsi="Arial" w:cs="Arial"/>
          <w:color w:val="000000"/>
          <w:sz w:val="20"/>
          <w:szCs w:val="20"/>
        </w:rPr>
        <w:t> </w:t>
      </w:r>
      <w:r w:rsidRPr="00AD3952">
        <w:rPr>
          <w:rFonts w:ascii="Arial" w:hAnsi="Arial" w:cs="Arial"/>
          <w:color w:val="000000"/>
          <w:sz w:val="20"/>
          <w:szCs w:val="20"/>
        </w:rPr>
        <w:t xml:space="preserve">phenomenological approach, to explore the intricate and multifaceted ways in which secondary school heads within the </w:t>
      </w:r>
      <w:proofErr w:type="spellStart"/>
      <w:r w:rsidRPr="00AD3952">
        <w:rPr>
          <w:rFonts w:ascii="Arial" w:hAnsi="Arial" w:cs="Arial"/>
          <w:color w:val="000000"/>
          <w:sz w:val="20"/>
          <w:szCs w:val="20"/>
        </w:rPr>
        <w:t>Matanao</w:t>
      </w:r>
      <w:proofErr w:type="spellEnd"/>
      <w:r w:rsidRPr="00AD3952">
        <w:rPr>
          <w:rFonts w:ascii="Arial" w:hAnsi="Arial" w:cs="Arial"/>
          <w:color w:val="000000"/>
          <w:sz w:val="20"/>
          <w:szCs w:val="20"/>
        </w:rPr>
        <w:t xml:space="preserve">, </w:t>
      </w:r>
      <w:proofErr w:type="spellStart"/>
      <w:r w:rsidRPr="00AD3952">
        <w:rPr>
          <w:rFonts w:ascii="Arial" w:hAnsi="Arial" w:cs="Arial"/>
          <w:color w:val="000000"/>
          <w:sz w:val="20"/>
          <w:szCs w:val="20"/>
        </w:rPr>
        <w:t>Bansalan</w:t>
      </w:r>
      <w:proofErr w:type="spellEnd"/>
      <w:r w:rsidRPr="00AD3952">
        <w:rPr>
          <w:rFonts w:ascii="Arial" w:hAnsi="Arial" w:cs="Arial"/>
          <w:color w:val="000000"/>
          <w:sz w:val="20"/>
          <w:szCs w:val="20"/>
        </w:rPr>
        <w:t>, Magsaysay (MABAMA) cluster manage teaching and learning. Our research focused on a select group of</w:t>
      </w:r>
      <w:r w:rsidRPr="00AD3952">
        <w:rPr>
          <w:rStyle w:val="apple-converted-space"/>
          <w:rFonts w:ascii="Arial" w:hAnsi="Arial" w:cs="Arial"/>
          <w:color w:val="000000"/>
          <w:sz w:val="20"/>
          <w:szCs w:val="20"/>
        </w:rPr>
        <w:t> </w:t>
      </w:r>
      <w:r w:rsidRPr="00AD3952">
        <w:rPr>
          <w:rFonts w:ascii="Arial" w:hAnsi="Arial" w:cs="Arial"/>
          <w:color w:val="000000"/>
          <w:sz w:val="20"/>
          <w:szCs w:val="20"/>
        </w:rPr>
        <w:t>10 secondary school heads, identified through a</w:t>
      </w:r>
      <w:r w:rsidRPr="00AD3952">
        <w:rPr>
          <w:rStyle w:val="apple-converted-space"/>
          <w:rFonts w:ascii="Arial" w:hAnsi="Arial" w:cs="Arial"/>
          <w:color w:val="000000"/>
          <w:sz w:val="20"/>
          <w:szCs w:val="20"/>
        </w:rPr>
        <w:t> </w:t>
      </w:r>
      <w:r w:rsidRPr="00AD3952">
        <w:rPr>
          <w:rFonts w:ascii="Arial" w:hAnsi="Arial" w:cs="Arial"/>
          <w:color w:val="000000"/>
          <w:sz w:val="20"/>
          <w:szCs w:val="20"/>
        </w:rPr>
        <w:t>purposive sampling strategy. This intentional selection was guided by specific criteria, including a minimum of three years in a leadership position and active involvement in the MABAMA cluster's instructional supervision programs, ensuring that the participants possessed the deep "lived experiences" necessary to provide granular, high-quality insights. By engaging with these specific leaders, we were able to move beyond surface-level observations to uncover the subjective realities, personal philosophies, and leadership nuances that define daily instructional management in diverse and often challenging educational settings.</w:t>
      </w:r>
    </w:p>
    <w:p w:rsidR="00484013" w:rsidRPr="00AD3952" w:rsidRDefault="00484013" w:rsidP="00484013">
      <w:pPr>
        <w:pStyle w:val="NormalWeb"/>
        <w:jc w:val="both"/>
        <w:rPr>
          <w:rFonts w:ascii="Arial" w:hAnsi="Arial" w:cs="Arial"/>
          <w:color w:val="000000"/>
          <w:sz w:val="20"/>
          <w:szCs w:val="20"/>
        </w:rPr>
      </w:pPr>
      <w:r w:rsidRPr="00AD3952">
        <w:rPr>
          <w:rFonts w:ascii="Arial" w:hAnsi="Arial" w:cs="Arial"/>
          <w:color w:val="000000"/>
          <w:sz w:val="20"/>
          <w:szCs w:val="20"/>
        </w:rPr>
        <w:t>To transform these raw narratives into meaningful scholarly findings, we utilized</w:t>
      </w:r>
      <w:r w:rsidRPr="00AD3952">
        <w:rPr>
          <w:rStyle w:val="apple-converted-space"/>
          <w:rFonts w:ascii="Arial" w:hAnsi="Arial" w:cs="Arial"/>
          <w:color w:val="000000"/>
          <w:sz w:val="20"/>
          <w:szCs w:val="20"/>
        </w:rPr>
        <w:t> </w:t>
      </w:r>
      <w:r w:rsidRPr="00AD3952">
        <w:rPr>
          <w:rFonts w:ascii="Arial" w:hAnsi="Arial" w:cs="Arial"/>
          <w:color w:val="000000"/>
          <w:sz w:val="20"/>
          <w:szCs w:val="20"/>
        </w:rPr>
        <w:t>Braun and Clarke’s (2006) six-step thematic analysis</w:t>
      </w:r>
      <w:r w:rsidRPr="00AD3952">
        <w:rPr>
          <w:rStyle w:val="apple-converted-space"/>
          <w:rFonts w:ascii="Arial" w:hAnsi="Arial" w:cs="Arial"/>
          <w:color w:val="000000"/>
          <w:sz w:val="20"/>
          <w:szCs w:val="20"/>
        </w:rPr>
        <w:t> </w:t>
      </w:r>
      <w:r w:rsidRPr="00AD3952">
        <w:rPr>
          <w:rFonts w:ascii="Arial" w:hAnsi="Arial" w:cs="Arial"/>
          <w:color w:val="000000"/>
          <w:sz w:val="20"/>
          <w:szCs w:val="20"/>
        </w:rPr>
        <w:t>framework as our primary data analysis procedure. This systematic process began with an intensive familiarization phase, where we repeatedly engaged with interview transcripts and field notes to immerse ourselves in the data. We then proceeded to generate initial codes, which were iteratively refined into broader candidate themes. These themes were rigorously reviewed against the entire dataset to ensure they accurately reflected the participants' collective voice before we reached the final stages of defining and naming the themes that characterize the cluster’s management landscape. This structured approach allowed us to identify shared meanings and common hurdles, such as resource limitations and pedagogical coaching needs, while maintaining the integrity of individual perspectives.</w:t>
      </w:r>
    </w:p>
    <w:p w:rsidR="00484013" w:rsidRPr="00AD3952" w:rsidRDefault="00484013" w:rsidP="00484013">
      <w:pPr>
        <w:pStyle w:val="NormalWeb"/>
        <w:jc w:val="both"/>
        <w:rPr>
          <w:rFonts w:ascii="Arial" w:hAnsi="Arial" w:cs="Arial"/>
          <w:color w:val="000000"/>
          <w:sz w:val="20"/>
          <w:szCs w:val="20"/>
        </w:rPr>
      </w:pPr>
      <w:r w:rsidRPr="00AD3952">
        <w:rPr>
          <w:rFonts w:ascii="Arial" w:hAnsi="Arial" w:cs="Arial"/>
          <w:color w:val="000000"/>
          <w:sz w:val="20"/>
          <w:szCs w:val="20"/>
        </w:rPr>
        <w:t>Furthermore, we placed a high premium on the</w:t>
      </w:r>
      <w:r w:rsidRPr="00AD3952">
        <w:rPr>
          <w:rStyle w:val="apple-converted-space"/>
          <w:rFonts w:ascii="Arial" w:hAnsi="Arial" w:cs="Arial"/>
          <w:color w:val="000000"/>
          <w:sz w:val="20"/>
          <w:szCs w:val="20"/>
        </w:rPr>
        <w:t> </w:t>
      </w:r>
      <w:r w:rsidRPr="00AD3952">
        <w:rPr>
          <w:rFonts w:ascii="Arial" w:hAnsi="Arial" w:cs="Arial"/>
          <w:color w:val="000000"/>
          <w:sz w:val="20"/>
          <w:szCs w:val="20"/>
        </w:rPr>
        <w:t>trustworthiness</w:t>
      </w:r>
      <w:r w:rsidRPr="00AD3952">
        <w:rPr>
          <w:rStyle w:val="apple-converted-space"/>
          <w:rFonts w:ascii="Arial" w:hAnsi="Arial" w:cs="Arial"/>
          <w:color w:val="000000"/>
          <w:sz w:val="20"/>
          <w:szCs w:val="20"/>
        </w:rPr>
        <w:t> </w:t>
      </w:r>
      <w:r w:rsidRPr="00AD3952">
        <w:rPr>
          <w:rFonts w:ascii="Arial" w:hAnsi="Arial" w:cs="Arial"/>
          <w:color w:val="000000"/>
          <w:sz w:val="20"/>
          <w:szCs w:val="20"/>
        </w:rPr>
        <w:t>of our findings by strictly adhering to the criteria of credibility, transferability, dependability, and confirmability.</w:t>
      </w:r>
      <w:r w:rsidRPr="00AD3952">
        <w:rPr>
          <w:rStyle w:val="apple-converted-space"/>
          <w:rFonts w:ascii="Arial" w:hAnsi="Arial" w:cs="Arial"/>
          <w:color w:val="000000"/>
          <w:sz w:val="20"/>
          <w:szCs w:val="20"/>
        </w:rPr>
        <w:t> </w:t>
      </w:r>
      <w:r w:rsidRPr="00AD3952">
        <w:rPr>
          <w:rFonts w:ascii="Arial" w:hAnsi="Arial" w:cs="Arial"/>
          <w:color w:val="000000"/>
          <w:sz w:val="20"/>
          <w:szCs w:val="20"/>
        </w:rPr>
        <w:t>Credibility</w:t>
      </w:r>
      <w:r w:rsidRPr="00AD3952">
        <w:rPr>
          <w:rStyle w:val="apple-converted-space"/>
          <w:rFonts w:ascii="Arial" w:hAnsi="Arial" w:cs="Arial"/>
          <w:color w:val="000000"/>
          <w:sz w:val="20"/>
          <w:szCs w:val="20"/>
        </w:rPr>
        <w:t> </w:t>
      </w:r>
      <w:r w:rsidRPr="00AD3952">
        <w:rPr>
          <w:rFonts w:ascii="Arial" w:hAnsi="Arial" w:cs="Arial"/>
          <w:color w:val="000000"/>
          <w:sz w:val="20"/>
          <w:szCs w:val="20"/>
        </w:rPr>
        <w:t>was established through the triangulation of data sources—including semi-structured interviews, document analysis, and direct observations—and was further strengthened by conducting member-checking sessions where participants validated our thematic interpretations. To ensure</w:t>
      </w:r>
      <w:r w:rsidRPr="00AD3952">
        <w:rPr>
          <w:rStyle w:val="apple-converted-space"/>
          <w:rFonts w:ascii="Arial" w:hAnsi="Arial" w:cs="Arial"/>
          <w:color w:val="000000"/>
          <w:sz w:val="20"/>
          <w:szCs w:val="20"/>
        </w:rPr>
        <w:t> </w:t>
      </w:r>
      <w:r w:rsidRPr="00AD3952">
        <w:rPr>
          <w:rFonts w:ascii="Arial" w:hAnsi="Arial" w:cs="Arial"/>
          <w:color w:val="000000"/>
          <w:sz w:val="20"/>
          <w:szCs w:val="20"/>
        </w:rPr>
        <w:t>transferability, we provided thick, vivid descriptions of the MABAMA cluster’s unique socio-economic and educational context, allowing other researchers to assess the applicability of our results to similar rural school environments. We maintained</w:t>
      </w:r>
      <w:r w:rsidRPr="00AD3952">
        <w:rPr>
          <w:rStyle w:val="apple-converted-space"/>
          <w:rFonts w:ascii="Arial" w:hAnsi="Arial" w:cs="Arial"/>
          <w:color w:val="000000"/>
          <w:sz w:val="20"/>
          <w:szCs w:val="20"/>
        </w:rPr>
        <w:t> </w:t>
      </w:r>
      <w:r w:rsidRPr="00AD3952">
        <w:rPr>
          <w:rFonts w:ascii="Arial" w:hAnsi="Arial" w:cs="Arial"/>
          <w:color w:val="000000"/>
          <w:sz w:val="20"/>
          <w:szCs w:val="20"/>
        </w:rPr>
        <w:t>dependability</w:t>
      </w:r>
      <w:r w:rsidRPr="00AD3952">
        <w:rPr>
          <w:rStyle w:val="apple-converted-space"/>
          <w:rFonts w:ascii="Arial" w:hAnsi="Arial" w:cs="Arial"/>
          <w:color w:val="000000"/>
          <w:sz w:val="20"/>
          <w:szCs w:val="20"/>
        </w:rPr>
        <w:t> </w:t>
      </w:r>
      <w:r w:rsidRPr="00AD3952">
        <w:rPr>
          <w:rFonts w:ascii="Arial" w:hAnsi="Arial" w:cs="Arial"/>
          <w:color w:val="000000"/>
          <w:sz w:val="20"/>
          <w:szCs w:val="20"/>
        </w:rPr>
        <w:t>through a transparent and meticulously documented audit trail of all methodological decisions, and achieved</w:t>
      </w:r>
      <w:r w:rsidRPr="00AD3952">
        <w:rPr>
          <w:rStyle w:val="apple-converted-space"/>
          <w:rFonts w:ascii="Arial" w:hAnsi="Arial" w:cs="Arial"/>
          <w:color w:val="000000"/>
          <w:sz w:val="20"/>
          <w:szCs w:val="20"/>
        </w:rPr>
        <w:t> </w:t>
      </w:r>
      <w:r w:rsidRPr="00AD3952">
        <w:rPr>
          <w:rFonts w:ascii="Arial" w:hAnsi="Arial" w:cs="Arial"/>
          <w:color w:val="000000"/>
          <w:sz w:val="20"/>
          <w:szCs w:val="20"/>
        </w:rPr>
        <w:t>confirmability</w:t>
      </w:r>
      <w:r w:rsidRPr="00AD3952">
        <w:rPr>
          <w:rStyle w:val="apple-converted-space"/>
          <w:rFonts w:ascii="Arial" w:hAnsi="Arial" w:cs="Arial"/>
          <w:color w:val="000000"/>
          <w:sz w:val="20"/>
          <w:szCs w:val="20"/>
        </w:rPr>
        <w:t> </w:t>
      </w:r>
      <w:r w:rsidRPr="00AD3952">
        <w:rPr>
          <w:rFonts w:ascii="Arial" w:hAnsi="Arial" w:cs="Arial"/>
          <w:color w:val="000000"/>
          <w:sz w:val="20"/>
          <w:szCs w:val="20"/>
        </w:rPr>
        <w:t>by practicing constant reflexivity to ensure that the findings were a product of the participants’ experiences rather than researcher bias. Ultimately, this comprehensive methodological framework ensures that our study provides a rich, grounded, and scientifically sound narrative that can effectively inform future policy, professional development, and leadership practices across the region.</w:t>
      </w:r>
    </w:p>
    <w:p w:rsidR="00790ADA" w:rsidRPr="00AD3952" w:rsidRDefault="00790ADA" w:rsidP="00441B6F">
      <w:pPr>
        <w:pStyle w:val="Body"/>
        <w:spacing w:after="0"/>
        <w:rPr>
          <w:rFonts w:ascii="Arial" w:hAnsi="Arial" w:cs="Arial"/>
        </w:rPr>
      </w:pPr>
    </w:p>
    <w:p w:rsidR="00902823" w:rsidRPr="00AD3952" w:rsidRDefault="00000F8F" w:rsidP="00441B6F">
      <w:pPr>
        <w:pStyle w:val="Head1"/>
        <w:spacing w:after="0"/>
        <w:jc w:val="both"/>
        <w:rPr>
          <w:rFonts w:ascii="Arial" w:hAnsi="Arial" w:cs="Arial"/>
          <w:sz w:val="20"/>
        </w:rPr>
      </w:pPr>
      <w:r w:rsidRPr="00AD3952">
        <w:rPr>
          <w:rFonts w:ascii="Arial" w:hAnsi="Arial" w:cs="Arial"/>
          <w:sz w:val="20"/>
        </w:rPr>
        <w:t>3</w:t>
      </w:r>
      <w:r w:rsidR="00902823" w:rsidRPr="00AD3952">
        <w:rPr>
          <w:rFonts w:ascii="Arial" w:hAnsi="Arial" w:cs="Arial"/>
          <w:sz w:val="20"/>
        </w:rPr>
        <w:t xml:space="preserve">. </w:t>
      </w:r>
      <w:r w:rsidRPr="00AD3952">
        <w:rPr>
          <w:rFonts w:ascii="Arial" w:hAnsi="Arial" w:cs="Arial"/>
          <w:sz w:val="20"/>
        </w:rPr>
        <w:t>results and discussion</w:t>
      </w:r>
    </w:p>
    <w:p w:rsidR="00790ADA" w:rsidRPr="00AD3952" w:rsidRDefault="00790ADA" w:rsidP="00441B6F">
      <w:pPr>
        <w:pStyle w:val="Head1"/>
        <w:spacing w:after="0"/>
        <w:jc w:val="both"/>
        <w:rPr>
          <w:rFonts w:ascii="Arial" w:hAnsi="Arial" w:cs="Arial"/>
          <w:sz w:val="20"/>
        </w:rPr>
      </w:pPr>
    </w:p>
    <w:p w:rsidR="00CD582A" w:rsidRPr="00AD3952" w:rsidRDefault="00CD582A" w:rsidP="00CD582A">
      <w:pPr>
        <w:pStyle w:val="NormalWeb"/>
        <w:spacing w:before="0" w:beforeAutospacing="0"/>
        <w:jc w:val="both"/>
        <w:rPr>
          <w:rFonts w:ascii="Arial" w:hAnsi="Arial" w:cs="Arial"/>
          <w:color w:val="000000"/>
          <w:sz w:val="20"/>
          <w:szCs w:val="20"/>
        </w:rPr>
      </w:pPr>
      <w:r w:rsidRPr="00AD3952">
        <w:rPr>
          <w:rFonts w:ascii="Arial" w:hAnsi="Arial" w:cs="Arial"/>
          <w:color w:val="000000"/>
          <w:sz w:val="20"/>
          <w:szCs w:val="20"/>
        </w:rPr>
        <w:t xml:space="preserve">Within the </w:t>
      </w:r>
      <w:proofErr w:type="spellStart"/>
      <w:r w:rsidRPr="00AD3952">
        <w:rPr>
          <w:rFonts w:ascii="Arial" w:hAnsi="Arial" w:cs="Arial"/>
          <w:color w:val="000000"/>
          <w:sz w:val="20"/>
          <w:szCs w:val="20"/>
        </w:rPr>
        <w:t>Matanao</w:t>
      </w:r>
      <w:proofErr w:type="spellEnd"/>
      <w:r w:rsidRPr="00AD3952">
        <w:rPr>
          <w:rFonts w:ascii="Arial" w:hAnsi="Arial" w:cs="Arial"/>
          <w:color w:val="000000"/>
          <w:sz w:val="20"/>
          <w:szCs w:val="20"/>
        </w:rPr>
        <w:t xml:space="preserve">, </w:t>
      </w:r>
      <w:proofErr w:type="spellStart"/>
      <w:r w:rsidRPr="00AD3952">
        <w:rPr>
          <w:rFonts w:ascii="Arial" w:hAnsi="Arial" w:cs="Arial"/>
          <w:color w:val="000000"/>
          <w:sz w:val="20"/>
          <w:szCs w:val="20"/>
        </w:rPr>
        <w:t>Bansalan</w:t>
      </w:r>
      <w:proofErr w:type="spellEnd"/>
      <w:r w:rsidRPr="00AD3952">
        <w:rPr>
          <w:rFonts w:ascii="Arial" w:hAnsi="Arial" w:cs="Arial"/>
          <w:color w:val="000000"/>
          <w:sz w:val="20"/>
          <w:szCs w:val="20"/>
        </w:rPr>
        <w:t>, and Magsaysay (MABAMA) Cluster, school heads have reached a firm consensus that</w:t>
      </w:r>
      <w:r w:rsidRPr="00AD3952">
        <w:rPr>
          <w:rStyle w:val="apple-converted-space"/>
          <w:rFonts w:ascii="Arial" w:hAnsi="Arial" w:cs="Arial"/>
          <w:color w:val="000000"/>
          <w:sz w:val="20"/>
          <w:szCs w:val="20"/>
        </w:rPr>
        <w:t> </w:t>
      </w:r>
      <w:r w:rsidRPr="00AD3952">
        <w:rPr>
          <w:rFonts w:ascii="Arial" w:hAnsi="Arial" w:cs="Arial"/>
          <w:color w:val="000000"/>
          <w:sz w:val="20"/>
          <w:szCs w:val="20"/>
        </w:rPr>
        <w:t>instructional leadership</w:t>
      </w:r>
      <w:r w:rsidRPr="00AD3952">
        <w:rPr>
          <w:rStyle w:val="apple-converted-space"/>
          <w:rFonts w:ascii="Arial" w:hAnsi="Arial" w:cs="Arial"/>
          <w:color w:val="000000"/>
          <w:sz w:val="20"/>
          <w:szCs w:val="20"/>
        </w:rPr>
        <w:t> </w:t>
      </w:r>
      <w:r w:rsidRPr="00AD3952">
        <w:rPr>
          <w:rFonts w:ascii="Arial" w:hAnsi="Arial" w:cs="Arial"/>
          <w:color w:val="000000"/>
          <w:sz w:val="20"/>
          <w:szCs w:val="20"/>
        </w:rPr>
        <w:t>serves as the vital bedrock of effective school management and organizational success. This localized perspective aligns seamlessly with the global findings of</w:t>
      </w:r>
      <w:r w:rsidRPr="00AD3952">
        <w:rPr>
          <w:rStyle w:val="apple-converted-space"/>
          <w:rFonts w:ascii="Arial" w:hAnsi="Arial" w:cs="Arial"/>
          <w:color w:val="000000"/>
          <w:sz w:val="20"/>
          <w:szCs w:val="20"/>
        </w:rPr>
        <w:t> </w:t>
      </w:r>
      <w:proofErr w:type="spellStart"/>
      <w:r w:rsidRPr="00AD3952">
        <w:rPr>
          <w:rFonts w:ascii="Arial" w:hAnsi="Arial" w:cs="Arial"/>
          <w:color w:val="000000"/>
          <w:sz w:val="20"/>
          <w:szCs w:val="20"/>
        </w:rPr>
        <w:t>Hallinger</w:t>
      </w:r>
      <w:proofErr w:type="spellEnd"/>
      <w:r w:rsidRPr="00AD3952">
        <w:rPr>
          <w:rFonts w:ascii="Arial" w:hAnsi="Arial" w:cs="Arial"/>
          <w:color w:val="000000"/>
          <w:sz w:val="20"/>
          <w:szCs w:val="20"/>
        </w:rPr>
        <w:t xml:space="preserve"> and Murphy (2020), who assert that the continuous improvement of teaching and learning is fundamentally predicated on the school head’s direct and consistent engagement in pedagogical oversight. In these secondary schools, this proactive approach manifests in the institutionalization of regular classroom observations and structured clinical coaching. These practices are no longer viewed as mere administrative formalities but are deemed indispensable tools for upholding instructional quality, providing teachers with the reflexive feedback necessary to refine their craft and adapt to the diverse needs of the modern learner.</w:t>
      </w:r>
    </w:p>
    <w:p w:rsidR="00CD582A" w:rsidRPr="00AD3952" w:rsidRDefault="00CD582A" w:rsidP="00CD582A">
      <w:pPr>
        <w:pStyle w:val="NormalWeb"/>
        <w:spacing w:before="0" w:beforeAutospacing="0"/>
        <w:jc w:val="both"/>
        <w:rPr>
          <w:rFonts w:ascii="Arial" w:hAnsi="Arial" w:cs="Arial"/>
          <w:color w:val="000000"/>
          <w:sz w:val="20"/>
          <w:szCs w:val="20"/>
        </w:rPr>
      </w:pPr>
      <w:r w:rsidRPr="00AD3952">
        <w:rPr>
          <w:rFonts w:ascii="Arial" w:hAnsi="Arial" w:cs="Arial"/>
          <w:color w:val="000000"/>
          <w:sz w:val="20"/>
          <w:szCs w:val="20"/>
        </w:rPr>
        <w:lastRenderedPageBreak/>
        <w:t>To ensure that these leadership efforts translate into tangible academic achievement, leaders within the cluster have intentionally adopted a culture of</w:t>
      </w:r>
      <w:r w:rsidRPr="00AD3952">
        <w:rPr>
          <w:rStyle w:val="apple-converted-space"/>
          <w:rFonts w:ascii="Arial" w:hAnsi="Arial" w:cs="Arial"/>
          <w:color w:val="000000"/>
          <w:sz w:val="20"/>
          <w:szCs w:val="20"/>
        </w:rPr>
        <w:t> </w:t>
      </w:r>
      <w:r w:rsidRPr="00AD3952">
        <w:rPr>
          <w:rFonts w:ascii="Arial" w:hAnsi="Arial" w:cs="Arial"/>
          <w:color w:val="000000"/>
          <w:sz w:val="20"/>
          <w:szCs w:val="20"/>
        </w:rPr>
        <w:t>data-driven decision-making. As emphasized by</w:t>
      </w:r>
      <w:r w:rsidRPr="00AD3952">
        <w:rPr>
          <w:rStyle w:val="apple-converted-space"/>
          <w:rFonts w:ascii="Arial" w:hAnsi="Arial" w:cs="Arial"/>
          <w:color w:val="000000"/>
          <w:sz w:val="20"/>
          <w:szCs w:val="20"/>
        </w:rPr>
        <w:t> </w:t>
      </w:r>
      <w:proofErr w:type="spellStart"/>
      <w:r w:rsidRPr="00AD3952">
        <w:rPr>
          <w:rFonts w:ascii="Arial" w:hAnsi="Arial" w:cs="Arial"/>
          <w:color w:val="000000"/>
          <w:sz w:val="20"/>
          <w:szCs w:val="20"/>
        </w:rPr>
        <w:t>Schildkamp</w:t>
      </w:r>
      <w:proofErr w:type="spellEnd"/>
      <w:r w:rsidRPr="00AD3952">
        <w:rPr>
          <w:rFonts w:ascii="Arial" w:hAnsi="Arial" w:cs="Arial"/>
          <w:color w:val="000000"/>
          <w:sz w:val="20"/>
          <w:szCs w:val="20"/>
        </w:rPr>
        <w:t xml:space="preserve"> (2021), the meticulous analysis of diagnostic tests, quarterly assessments, and item analysis reports allows educational leaders to move beyond professional intuition. Instead, they utilize empirical evidence to pinpoint specific competency gaps and deploy sophisticated early warning systems for at-risk students. By transforming raw data into actionable instructional intelligence, school heads can direct resources where they are most needed, ensuring that pedagogical interventions are both timely and effective.</w:t>
      </w:r>
    </w:p>
    <w:p w:rsidR="00CD582A" w:rsidRPr="00AD3952" w:rsidRDefault="00CD582A" w:rsidP="00CD582A">
      <w:pPr>
        <w:pStyle w:val="NormalWeb"/>
        <w:spacing w:before="0" w:beforeAutospacing="0"/>
        <w:jc w:val="both"/>
        <w:rPr>
          <w:rFonts w:ascii="Arial" w:hAnsi="Arial" w:cs="Arial"/>
          <w:color w:val="000000"/>
          <w:sz w:val="20"/>
          <w:szCs w:val="20"/>
        </w:rPr>
      </w:pPr>
      <w:r w:rsidRPr="00AD3952">
        <w:rPr>
          <w:rFonts w:ascii="Arial" w:hAnsi="Arial" w:cs="Arial"/>
          <w:color w:val="000000"/>
          <w:sz w:val="20"/>
          <w:szCs w:val="20"/>
        </w:rPr>
        <w:t>Despite this robust leadership framework, the path to academic excellence in the region is often obstructed by persistent</w:t>
      </w:r>
      <w:r w:rsidRPr="00AD3952">
        <w:rPr>
          <w:rStyle w:val="apple-converted-space"/>
          <w:rFonts w:ascii="Arial" w:hAnsi="Arial" w:cs="Arial"/>
          <w:color w:val="000000"/>
          <w:sz w:val="20"/>
          <w:szCs w:val="20"/>
        </w:rPr>
        <w:t> </w:t>
      </w:r>
      <w:r w:rsidRPr="00AD3952">
        <w:rPr>
          <w:rFonts w:ascii="Arial" w:hAnsi="Arial" w:cs="Arial"/>
          <w:color w:val="000000"/>
          <w:sz w:val="20"/>
          <w:szCs w:val="20"/>
        </w:rPr>
        <w:t>systemic challenges</w:t>
      </w:r>
      <w:r w:rsidRPr="00AD3952">
        <w:rPr>
          <w:rStyle w:val="apple-converted-space"/>
          <w:rFonts w:ascii="Arial" w:hAnsi="Arial" w:cs="Arial"/>
          <w:color w:val="000000"/>
          <w:sz w:val="20"/>
          <w:szCs w:val="20"/>
        </w:rPr>
        <w:t> </w:t>
      </w:r>
      <w:r w:rsidRPr="00AD3952">
        <w:rPr>
          <w:rFonts w:ascii="Arial" w:hAnsi="Arial" w:cs="Arial"/>
          <w:color w:val="000000"/>
          <w:sz w:val="20"/>
          <w:szCs w:val="20"/>
        </w:rPr>
        <w:t>that reside outside the immediate control of school heads. The scarcity of modern technological resources and the high prevalence of teacher burnout identified in the cluster echo the critical concerns raised by</w:t>
      </w:r>
      <w:r w:rsidRPr="00AD3952">
        <w:rPr>
          <w:rStyle w:val="apple-converted-space"/>
          <w:rFonts w:ascii="Arial" w:hAnsi="Arial" w:cs="Arial"/>
          <w:color w:val="000000"/>
          <w:sz w:val="20"/>
          <w:szCs w:val="20"/>
        </w:rPr>
        <w:t> </w:t>
      </w:r>
      <w:r w:rsidRPr="00AD3952">
        <w:rPr>
          <w:rFonts w:ascii="Arial" w:hAnsi="Arial" w:cs="Arial"/>
          <w:color w:val="000000"/>
          <w:sz w:val="20"/>
          <w:szCs w:val="20"/>
        </w:rPr>
        <w:t>Darling-Hammond et al. (2020). Their research highlights that heavy administrative workloads, coupled with excessively large class sizes, significantly diminish the efficacy of even the most proactive and visionary leadership. In the MABAMA context, these barriers necessitate a resilient form of management that seeks to protect the instructional core from being overwhelmed by bureaucratic and environmental pressures.</w:t>
      </w:r>
    </w:p>
    <w:p w:rsidR="00CD582A" w:rsidRPr="00AD3952" w:rsidRDefault="00CD582A" w:rsidP="00CD582A">
      <w:pPr>
        <w:pStyle w:val="NormalWeb"/>
        <w:spacing w:before="0" w:beforeAutospacing="0"/>
        <w:jc w:val="both"/>
        <w:rPr>
          <w:rFonts w:ascii="Arial" w:hAnsi="Arial" w:cs="Arial"/>
          <w:color w:val="000000"/>
          <w:sz w:val="20"/>
          <w:szCs w:val="20"/>
        </w:rPr>
      </w:pPr>
      <w:r w:rsidRPr="00AD3952">
        <w:rPr>
          <w:rFonts w:ascii="Arial" w:hAnsi="Arial" w:cs="Arial"/>
          <w:color w:val="000000"/>
          <w:sz w:val="20"/>
          <w:szCs w:val="20"/>
        </w:rPr>
        <w:t>To mitigate these systemic hurdles, school heads have prioritized</w:t>
      </w:r>
      <w:r w:rsidRPr="00AD3952">
        <w:rPr>
          <w:rStyle w:val="apple-converted-space"/>
          <w:rFonts w:ascii="Arial" w:hAnsi="Arial" w:cs="Arial"/>
          <w:color w:val="000000"/>
          <w:sz w:val="20"/>
          <w:szCs w:val="20"/>
        </w:rPr>
        <w:t> </w:t>
      </w:r>
      <w:r w:rsidRPr="00AD3952">
        <w:rPr>
          <w:rFonts w:ascii="Arial" w:hAnsi="Arial" w:cs="Arial"/>
          <w:color w:val="000000"/>
          <w:sz w:val="20"/>
          <w:szCs w:val="20"/>
        </w:rPr>
        <w:t>strengthening school-community partnerships</w:t>
      </w:r>
      <w:r w:rsidRPr="00AD3952">
        <w:rPr>
          <w:rStyle w:val="apple-converted-space"/>
          <w:rFonts w:ascii="Arial" w:hAnsi="Arial" w:cs="Arial"/>
          <w:color w:val="000000"/>
          <w:sz w:val="20"/>
          <w:szCs w:val="20"/>
        </w:rPr>
        <w:t> </w:t>
      </w:r>
      <w:r w:rsidRPr="00AD3952">
        <w:rPr>
          <w:rFonts w:ascii="Arial" w:hAnsi="Arial" w:cs="Arial"/>
          <w:color w:val="000000"/>
          <w:sz w:val="20"/>
          <w:szCs w:val="20"/>
        </w:rPr>
        <w:t>as a core management strategy. This approach reflects the "Social Capital" theory discussed by</w:t>
      </w:r>
      <w:r w:rsidRPr="00AD3952">
        <w:rPr>
          <w:rStyle w:val="apple-converted-space"/>
          <w:rFonts w:ascii="Arial" w:hAnsi="Arial" w:cs="Arial"/>
          <w:color w:val="000000"/>
          <w:sz w:val="20"/>
          <w:szCs w:val="20"/>
        </w:rPr>
        <w:t> </w:t>
      </w:r>
      <w:r w:rsidRPr="00AD3952">
        <w:rPr>
          <w:rFonts w:ascii="Arial" w:hAnsi="Arial" w:cs="Arial"/>
          <w:color w:val="000000"/>
          <w:sz w:val="20"/>
          <w:szCs w:val="20"/>
        </w:rPr>
        <w:t>Epstein (2022), which posits that school success is deeply intertwined with family and community involvement. By actively involving barangay officials, parents, and private stakeholders in initiatives such as</w:t>
      </w:r>
      <w:r w:rsidRPr="00AD3952">
        <w:rPr>
          <w:rStyle w:val="apple-converted-space"/>
          <w:rFonts w:ascii="Arial" w:hAnsi="Arial" w:cs="Arial"/>
          <w:color w:val="000000"/>
          <w:sz w:val="20"/>
          <w:szCs w:val="20"/>
        </w:rPr>
        <w:t> </w:t>
      </w:r>
      <w:proofErr w:type="spellStart"/>
      <w:r w:rsidRPr="00AD3952">
        <w:rPr>
          <w:rFonts w:ascii="Arial" w:hAnsi="Arial" w:cs="Arial"/>
          <w:i/>
          <w:iCs/>
          <w:color w:val="000000"/>
          <w:sz w:val="20"/>
          <w:szCs w:val="20"/>
        </w:rPr>
        <w:t>Brigada</w:t>
      </w:r>
      <w:proofErr w:type="spellEnd"/>
      <w:r w:rsidRPr="00AD3952">
        <w:rPr>
          <w:rFonts w:ascii="Arial" w:hAnsi="Arial" w:cs="Arial"/>
          <w:i/>
          <w:iCs/>
          <w:color w:val="000000"/>
          <w:sz w:val="20"/>
          <w:szCs w:val="20"/>
        </w:rPr>
        <w:t xml:space="preserve"> </w:t>
      </w:r>
      <w:proofErr w:type="spellStart"/>
      <w:r w:rsidRPr="00AD3952">
        <w:rPr>
          <w:rFonts w:ascii="Arial" w:hAnsi="Arial" w:cs="Arial"/>
          <w:i/>
          <w:iCs/>
          <w:color w:val="000000"/>
          <w:sz w:val="20"/>
          <w:szCs w:val="20"/>
        </w:rPr>
        <w:t>Eskwela</w:t>
      </w:r>
      <w:proofErr w:type="spellEnd"/>
      <w:r w:rsidRPr="00AD3952">
        <w:rPr>
          <w:rStyle w:val="apple-converted-space"/>
          <w:rFonts w:ascii="Arial" w:hAnsi="Arial" w:cs="Arial"/>
          <w:color w:val="000000"/>
          <w:sz w:val="20"/>
          <w:szCs w:val="20"/>
        </w:rPr>
        <w:t> </w:t>
      </w:r>
      <w:r w:rsidRPr="00AD3952">
        <w:rPr>
          <w:rFonts w:ascii="Arial" w:hAnsi="Arial" w:cs="Arial"/>
          <w:color w:val="000000"/>
          <w:sz w:val="20"/>
          <w:szCs w:val="20"/>
        </w:rPr>
        <w:t>and community-based reading programs, school heads create a holistic support ecosystem. This collaboration extends the school’s reach beyond the classroom walls, securing the physical and financial resources necessary to maintain a conducive learning environment despite budget limitations.</w:t>
      </w:r>
    </w:p>
    <w:p w:rsidR="00CD582A" w:rsidRDefault="00CD582A" w:rsidP="00CD582A">
      <w:pPr>
        <w:pStyle w:val="NormalWeb"/>
        <w:spacing w:before="0" w:beforeAutospacing="0"/>
        <w:jc w:val="both"/>
        <w:rPr>
          <w:rFonts w:ascii="Arial" w:hAnsi="Arial" w:cs="Arial"/>
          <w:color w:val="000000"/>
          <w:sz w:val="20"/>
          <w:szCs w:val="20"/>
        </w:rPr>
      </w:pPr>
      <w:r w:rsidRPr="00AD3952">
        <w:rPr>
          <w:rFonts w:ascii="Arial" w:hAnsi="Arial" w:cs="Arial"/>
          <w:color w:val="000000"/>
          <w:sz w:val="20"/>
          <w:szCs w:val="20"/>
        </w:rPr>
        <w:t>Ultimately, management effectiveness in the cluster is reinforced by</w:t>
      </w:r>
      <w:r w:rsidRPr="00AD3952">
        <w:rPr>
          <w:rStyle w:val="apple-converted-space"/>
          <w:rFonts w:ascii="Arial" w:hAnsi="Arial" w:cs="Arial"/>
          <w:color w:val="000000"/>
          <w:sz w:val="20"/>
          <w:szCs w:val="20"/>
        </w:rPr>
        <w:t> </w:t>
      </w:r>
      <w:r w:rsidRPr="00AD3952">
        <w:rPr>
          <w:rFonts w:ascii="Arial" w:hAnsi="Arial" w:cs="Arial"/>
          <w:color w:val="000000"/>
          <w:sz w:val="20"/>
          <w:szCs w:val="20"/>
        </w:rPr>
        <w:t>strategic interventions</w:t>
      </w:r>
      <w:r w:rsidRPr="00AD3952">
        <w:rPr>
          <w:rStyle w:val="apple-converted-space"/>
          <w:rFonts w:ascii="Arial" w:hAnsi="Arial" w:cs="Arial"/>
          <w:color w:val="000000"/>
          <w:sz w:val="20"/>
          <w:szCs w:val="20"/>
        </w:rPr>
        <w:t> </w:t>
      </w:r>
      <w:r w:rsidRPr="00AD3952">
        <w:rPr>
          <w:rFonts w:ascii="Arial" w:hAnsi="Arial" w:cs="Arial"/>
          <w:color w:val="000000"/>
          <w:sz w:val="20"/>
          <w:szCs w:val="20"/>
        </w:rPr>
        <w:t>designed to foster long-term sustainability. This includes promoting teacher agency through the designation of specialized coordinator roles—a practice that</w:t>
      </w:r>
      <w:r w:rsidRPr="00AD3952">
        <w:rPr>
          <w:rStyle w:val="apple-converted-space"/>
          <w:rFonts w:ascii="Arial" w:hAnsi="Arial" w:cs="Arial"/>
          <w:color w:val="000000"/>
          <w:sz w:val="20"/>
          <w:szCs w:val="20"/>
        </w:rPr>
        <w:t> </w:t>
      </w:r>
      <w:r w:rsidRPr="00AD3952">
        <w:rPr>
          <w:rFonts w:ascii="Arial" w:hAnsi="Arial" w:cs="Arial"/>
          <w:color w:val="000000"/>
          <w:sz w:val="20"/>
          <w:szCs w:val="20"/>
        </w:rPr>
        <w:t>describe as</w:t>
      </w:r>
      <w:r w:rsidRPr="00AD3952">
        <w:rPr>
          <w:rStyle w:val="apple-converted-space"/>
          <w:rFonts w:ascii="Arial" w:hAnsi="Arial" w:cs="Arial"/>
          <w:color w:val="000000"/>
          <w:sz w:val="20"/>
          <w:szCs w:val="20"/>
        </w:rPr>
        <w:t> </w:t>
      </w:r>
      <w:r w:rsidRPr="00AD3952">
        <w:rPr>
          <w:rFonts w:ascii="Arial" w:hAnsi="Arial" w:cs="Arial"/>
          <w:color w:val="000000"/>
          <w:sz w:val="20"/>
          <w:szCs w:val="20"/>
        </w:rPr>
        <w:t>"distributed leadership."</w:t>
      </w:r>
      <w:r w:rsidRPr="00AD3952">
        <w:rPr>
          <w:rStyle w:val="apple-converted-space"/>
          <w:rFonts w:ascii="Arial" w:hAnsi="Arial" w:cs="Arial"/>
          <w:color w:val="000000"/>
          <w:sz w:val="20"/>
          <w:szCs w:val="20"/>
        </w:rPr>
        <w:t> </w:t>
      </w:r>
      <w:r w:rsidRPr="00AD3952">
        <w:rPr>
          <w:rFonts w:ascii="Arial" w:hAnsi="Arial" w:cs="Arial"/>
          <w:color w:val="000000"/>
          <w:sz w:val="20"/>
          <w:szCs w:val="20"/>
        </w:rPr>
        <w:t>By empowering teachers to take ownership of specific instructional domains, school heads cultivate a collaborative culture that increases organizational resilience. These efforts are further codified within the School Improvement Plan (SIP) and Annual Implementation Plan (AIP), ensuring that clear academic targets are set and that every stakeholder is aligned toward a unified vision of academic excellence and continuous institutional growth.</w:t>
      </w:r>
    </w:p>
    <w:p w:rsidR="001555BF" w:rsidRPr="00AD3952" w:rsidRDefault="001555BF" w:rsidP="00CD582A">
      <w:pPr>
        <w:pStyle w:val="NormalWeb"/>
        <w:spacing w:before="0" w:beforeAutospacing="0"/>
        <w:jc w:val="both"/>
        <w:rPr>
          <w:rFonts w:ascii="Arial" w:hAnsi="Arial" w:cs="Arial"/>
          <w:color w:val="000000"/>
          <w:sz w:val="20"/>
          <w:szCs w:val="20"/>
        </w:rPr>
      </w:pPr>
      <w:r>
        <w:t>Table 1. Comprehensive Findings and Strategic Actions on the Management of Teaching and Learning in the MABAMA Cluster</w:t>
      </w:r>
    </w:p>
    <w:p w:rsidR="007A64BB" w:rsidRPr="00AD3952" w:rsidRDefault="007A64BB" w:rsidP="00EE7F61">
      <w:pPr>
        <w:pStyle w:val="NormalWeb"/>
        <w:jc w:val="both"/>
        <w:rPr>
          <w:rFonts w:ascii="Arial" w:hAnsi="Arial" w:cs="Arial"/>
          <w:color w:val="000000"/>
          <w:sz w:val="20"/>
          <w:szCs w:val="20"/>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61"/>
        <w:gridCol w:w="5542"/>
        <w:gridCol w:w="3917"/>
      </w:tblGrid>
      <w:tr w:rsidR="00E306F3" w:rsidRPr="00AD3952" w:rsidTr="00E306F3">
        <w:trPr>
          <w:tblHeade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E306F3" w:rsidRPr="00AD3952" w:rsidRDefault="00E306F3" w:rsidP="00E306F3">
            <w:pPr>
              <w:rPr>
                <w:rFonts w:ascii="Arial" w:hAnsi="Arial" w:cs="Arial"/>
                <w:color w:val="000000"/>
                <w:lang w:val="en-PH"/>
              </w:rPr>
            </w:pPr>
            <w:r w:rsidRPr="00AD3952">
              <w:rPr>
                <w:rFonts w:ascii="Arial" w:hAnsi="Arial" w:cs="Arial"/>
                <w:color w:val="000000"/>
                <w:lang w:val="en-PH"/>
              </w:rPr>
              <w:t>Theme</w:t>
            </w:r>
          </w:p>
        </w:tc>
        <w:tc>
          <w:tcPr>
            <w:tcW w:w="0" w:type="auto"/>
            <w:tcBorders>
              <w:top w:val="single" w:sz="6" w:space="0" w:color="auto"/>
              <w:left w:val="single" w:sz="6" w:space="0" w:color="auto"/>
              <w:bottom w:val="single" w:sz="6" w:space="0" w:color="auto"/>
              <w:right w:val="single" w:sz="6" w:space="0" w:color="auto"/>
            </w:tcBorders>
            <w:vAlign w:val="center"/>
            <w:hideMark/>
          </w:tcPr>
          <w:p w:rsidR="00E306F3" w:rsidRPr="00AD3952" w:rsidRDefault="00E306F3" w:rsidP="00E306F3">
            <w:pPr>
              <w:rPr>
                <w:rFonts w:ascii="Arial" w:hAnsi="Arial" w:cs="Arial"/>
                <w:color w:val="000000"/>
                <w:lang w:val="en-PH"/>
              </w:rPr>
            </w:pPr>
            <w:r w:rsidRPr="00AD3952">
              <w:rPr>
                <w:rFonts w:ascii="Arial" w:hAnsi="Arial" w:cs="Arial"/>
                <w:color w:val="000000"/>
                <w:lang w:val="en-PH"/>
              </w:rPr>
              <w:t>Comprehensive Findings &amp; Strategic Actions</w:t>
            </w:r>
          </w:p>
        </w:tc>
        <w:tc>
          <w:tcPr>
            <w:tcW w:w="0" w:type="auto"/>
            <w:tcBorders>
              <w:top w:val="single" w:sz="6" w:space="0" w:color="auto"/>
              <w:left w:val="single" w:sz="6" w:space="0" w:color="auto"/>
              <w:bottom w:val="single" w:sz="6" w:space="0" w:color="auto"/>
              <w:right w:val="single" w:sz="6" w:space="0" w:color="auto"/>
            </w:tcBorders>
            <w:vAlign w:val="center"/>
            <w:hideMark/>
          </w:tcPr>
          <w:p w:rsidR="00E306F3" w:rsidRPr="00AD3952" w:rsidRDefault="00E306F3" w:rsidP="00E306F3">
            <w:pPr>
              <w:rPr>
                <w:rFonts w:ascii="Arial" w:hAnsi="Arial" w:cs="Arial"/>
                <w:color w:val="000000"/>
                <w:lang w:val="en-PH"/>
              </w:rPr>
            </w:pPr>
            <w:r w:rsidRPr="00AD3952">
              <w:rPr>
                <w:rFonts w:ascii="Arial" w:hAnsi="Arial" w:cs="Arial"/>
                <w:color w:val="000000"/>
                <w:lang w:val="en-PH"/>
              </w:rPr>
              <w:t>Supporting Literature (Current &amp; Peer-Reviewed)</w:t>
            </w:r>
          </w:p>
        </w:tc>
      </w:tr>
      <w:tr w:rsidR="00E306F3" w:rsidRPr="00AD3952" w:rsidTr="00E306F3">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E306F3" w:rsidRPr="00AD3952" w:rsidRDefault="00E306F3" w:rsidP="00E306F3">
            <w:pPr>
              <w:rPr>
                <w:rFonts w:ascii="Arial" w:hAnsi="Arial" w:cs="Arial"/>
                <w:color w:val="000000"/>
                <w:lang w:val="en-PH"/>
              </w:rPr>
            </w:pPr>
            <w:r w:rsidRPr="00AD3952">
              <w:rPr>
                <w:rFonts w:ascii="Arial" w:hAnsi="Arial" w:cs="Arial"/>
                <w:color w:val="000000"/>
                <w:lang w:val="en-PH"/>
              </w:rPr>
              <w:t>Instructional Leadership</w:t>
            </w:r>
          </w:p>
        </w:tc>
        <w:tc>
          <w:tcPr>
            <w:tcW w:w="0" w:type="auto"/>
            <w:tcBorders>
              <w:top w:val="single" w:sz="6" w:space="0" w:color="auto"/>
              <w:left w:val="single" w:sz="6" w:space="0" w:color="auto"/>
              <w:bottom w:val="single" w:sz="6" w:space="0" w:color="auto"/>
              <w:right w:val="single" w:sz="6" w:space="0" w:color="auto"/>
            </w:tcBorders>
            <w:vAlign w:val="center"/>
            <w:hideMark/>
          </w:tcPr>
          <w:p w:rsidR="00E306F3" w:rsidRPr="00AD3952" w:rsidRDefault="00E306F3" w:rsidP="00E306F3">
            <w:pPr>
              <w:rPr>
                <w:rFonts w:ascii="Arial" w:hAnsi="Arial" w:cs="Arial"/>
                <w:color w:val="000000"/>
                <w:lang w:val="en-PH"/>
              </w:rPr>
            </w:pPr>
            <w:r w:rsidRPr="00AD3952">
              <w:rPr>
                <w:rFonts w:ascii="Arial" w:hAnsi="Arial" w:cs="Arial"/>
                <w:color w:val="000000"/>
                <w:lang w:val="en-PH"/>
              </w:rPr>
              <w:t xml:space="preserve">School heads within the </w:t>
            </w:r>
            <w:proofErr w:type="spellStart"/>
            <w:r w:rsidRPr="00AD3952">
              <w:rPr>
                <w:rFonts w:ascii="Arial" w:hAnsi="Arial" w:cs="Arial"/>
                <w:color w:val="000000"/>
                <w:lang w:val="en-PH"/>
              </w:rPr>
              <w:t>Matanao</w:t>
            </w:r>
            <w:proofErr w:type="spellEnd"/>
            <w:r w:rsidRPr="00AD3952">
              <w:rPr>
                <w:rFonts w:ascii="Arial" w:hAnsi="Arial" w:cs="Arial"/>
                <w:color w:val="000000"/>
                <w:lang w:val="en-PH"/>
              </w:rPr>
              <w:t xml:space="preserve">, </w:t>
            </w:r>
            <w:proofErr w:type="spellStart"/>
            <w:r w:rsidRPr="00AD3952">
              <w:rPr>
                <w:rFonts w:ascii="Arial" w:hAnsi="Arial" w:cs="Arial"/>
                <w:color w:val="000000"/>
                <w:lang w:val="en-PH"/>
              </w:rPr>
              <w:t>Bansalan</w:t>
            </w:r>
            <w:proofErr w:type="spellEnd"/>
            <w:r w:rsidRPr="00AD3952">
              <w:rPr>
                <w:rFonts w:ascii="Arial" w:hAnsi="Arial" w:cs="Arial"/>
                <w:color w:val="000000"/>
                <w:lang w:val="en-PH"/>
              </w:rPr>
              <w:t>, and Magsaysay (MABAMA) Cluster have firmly established instructional leadership as the non-negotiable bedrock of school management. Moving beyond the limitations of traditional administrative oversight, these leaders prioritize the quality of teaching through a hands-on, proactive approach. This manifests in the institutionalization of systematic classroom observations and structured clinical coaching, where feedback is immediate, actionable, and focused on pedagogical growth rather than punitive evaluation. By maintaining a consistent presence in the learning environment, school heads ensure that the curriculum is delivered effectively and that teaching methodologies remain aligned with modern standards, effectively shifting the school’s focus from bureaucratic compliance to the core business of academic achievement.</w:t>
            </w:r>
          </w:p>
        </w:tc>
        <w:tc>
          <w:tcPr>
            <w:tcW w:w="0" w:type="auto"/>
            <w:tcBorders>
              <w:top w:val="single" w:sz="6" w:space="0" w:color="auto"/>
              <w:left w:val="single" w:sz="6" w:space="0" w:color="auto"/>
              <w:bottom w:val="single" w:sz="6" w:space="0" w:color="auto"/>
              <w:right w:val="single" w:sz="6" w:space="0" w:color="auto"/>
            </w:tcBorders>
            <w:vAlign w:val="center"/>
            <w:hideMark/>
          </w:tcPr>
          <w:p w:rsidR="00E306F3" w:rsidRPr="00AD3952" w:rsidRDefault="00E306F3" w:rsidP="00E306F3">
            <w:pPr>
              <w:rPr>
                <w:rFonts w:ascii="Arial" w:hAnsi="Arial" w:cs="Arial"/>
                <w:color w:val="000000"/>
                <w:lang w:val="en-PH"/>
              </w:rPr>
            </w:pPr>
            <w:proofErr w:type="spellStart"/>
            <w:r w:rsidRPr="00AD3952">
              <w:rPr>
                <w:rFonts w:ascii="Arial" w:hAnsi="Arial" w:cs="Arial"/>
                <w:color w:val="000000"/>
                <w:lang w:val="en-PH"/>
              </w:rPr>
              <w:t>Hallinger</w:t>
            </w:r>
            <w:proofErr w:type="spellEnd"/>
            <w:r w:rsidRPr="00AD3952">
              <w:rPr>
                <w:rFonts w:ascii="Arial" w:hAnsi="Arial" w:cs="Arial"/>
                <w:color w:val="000000"/>
                <w:lang w:val="en-PH"/>
              </w:rPr>
              <w:t xml:space="preserve"> &amp; Murphy (</w:t>
            </w:r>
            <w:proofErr w:type="gramStart"/>
            <w:r w:rsidRPr="00AD3952">
              <w:rPr>
                <w:rFonts w:ascii="Arial" w:hAnsi="Arial" w:cs="Arial"/>
                <w:color w:val="000000"/>
                <w:lang w:val="en-PH"/>
              </w:rPr>
              <w:t>2020)emphasize</w:t>
            </w:r>
            <w:proofErr w:type="gramEnd"/>
            <w:r w:rsidRPr="00AD3952">
              <w:rPr>
                <w:rFonts w:ascii="Arial" w:hAnsi="Arial" w:cs="Arial"/>
                <w:color w:val="000000"/>
                <w:lang w:val="en-PH"/>
              </w:rPr>
              <w:t xml:space="preserve"> that school heads who move beyond administrative duties to actively supervise instruction and promote a positive school learning climate significantly boost student outcomes and teacher efficacy.</w:t>
            </w:r>
          </w:p>
        </w:tc>
      </w:tr>
      <w:tr w:rsidR="00E306F3" w:rsidRPr="00AD3952" w:rsidTr="00E306F3">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E306F3" w:rsidRPr="00AD3952" w:rsidRDefault="00E306F3" w:rsidP="00E306F3">
            <w:pPr>
              <w:rPr>
                <w:rFonts w:ascii="Arial" w:hAnsi="Arial" w:cs="Arial"/>
                <w:color w:val="000000"/>
                <w:lang w:val="en-PH"/>
              </w:rPr>
            </w:pPr>
            <w:r w:rsidRPr="00AD3952">
              <w:rPr>
                <w:rFonts w:ascii="Arial" w:hAnsi="Arial" w:cs="Arial"/>
                <w:color w:val="000000"/>
                <w:lang w:val="en-PH"/>
              </w:rPr>
              <w:t>Data-Driven Management</w:t>
            </w:r>
          </w:p>
        </w:tc>
        <w:tc>
          <w:tcPr>
            <w:tcW w:w="0" w:type="auto"/>
            <w:tcBorders>
              <w:top w:val="single" w:sz="6" w:space="0" w:color="auto"/>
              <w:left w:val="single" w:sz="6" w:space="0" w:color="auto"/>
              <w:bottom w:val="single" w:sz="6" w:space="0" w:color="auto"/>
              <w:right w:val="single" w:sz="6" w:space="0" w:color="auto"/>
            </w:tcBorders>
            <w:vAlign w:val="center"/>
            <w:hideMark/>
          </w:tcPr>
          <w:p w:rsidR="00E306F3" w:rsidRPr="00AD3952" w:rsidRDefault="00E306F3" w:rsidP="00E306F3">
            <w:pPr>
              <w:rPr>
                <w:rFonts w:ascii="Arial" w:hAnsi="Arial" w:cs="Arial"/>
                <w:color w:val="000000"/>
                <w:lang w:val="en-PH"/>
              </w:rPr>
            </w:pPr>
            <w:r w:rsidRPr="00AD3952">
              <w:rPr>
                <w:rFonts w:ascii="Arial" w:hAnsi="Arial" w:cs="Arial"/>
                <w:color w:val="000000"/>
                <w:lang w:val="en-PH"/>
              </w:rPr>
              <w:t xml:space="preserve">To ensure that leadership efforts translate into measurable success, the cluster has adopted a rigorous culture of data-driven decision-making. Management decisions are no longer </w:t>
            </w:r>
            <w:r w:rsidRPr="00AD3952">
              <w:rPr>
                <w:rFonts w:ascii="Arial" w:hAnsi="Arial" w:cs="Arial"/>
                <w:color w:val="000000"/>
                <w:lang w:val="en-PH"/>
              </w:rPr>
              <w:lastRenderedPageBreak/>
              <w:t>based on professional intuition but are grounded in empirical evidence derived from quarterly examinations, diagnostic tests, and meticulous item analysis. By identifying specific "least learned competencies," leaders can design targeted remediation programs and deploy sophisticated early warning systems for at-risk students. This scientific approach allows for the precise allocation of scarce academic resources, ensuring that pedagogical interventions are both timely and effective in bridging learning gaps before they become insurmountable.</w:t>
            </w:r>
          </w:p>
        </w:tc>
        <w:tc>
          <w:tcPr>
            <w:tcW w:w="0" w:type="auto"/>
            <w:tcBorders>
              <w:top w:val="single" w:sz="6" w:space="0" w:color="auto"/>
              <w:left w:val="single" w:sz="6" w:space="0" w:color="auto"/>
              <w:bottom w:val="single" w:sz="6" w:space="0" w:color="auto"/>
              <w:right w:val="single" w:sz="6" w:space="0" w:color="auto"/>
            </w:tcBorders>
            <w:vAlign w:val="center"/>
            <w:hideMark/>
          </w:tcPr>
          <w:p w:rsidR="00E306F3" w:rsidRPr="00AD3952" w:rsidRDefault="00E306F3" w:rsidP="00E306F3">
            <w:pPr>
              <w:rPr>
                <w:rFonts w:ascii="Arial" w:hAnsi="Arial" w:cs="Arial"/>
                <w:color w:val="000000"/>
                <w:lang w:val="en-PH"/>
              </w:rPr>
            </w:pPr>
            <w:proofErr w:type="spellStart"/>
            <w:r w:rsidRPr="00AD3952">
              <w:rPr>
                <w:rFonts w:ascii="Arial" w:hAnsi="Arial" w:cs="Arial"/>
                <w:color w:val="000000"/>
                <w:lang w:val="en-PH"/>
              </w:rPr>
              <w:lastRenderedPageBreak/>
              <w:t>Schildkamp</w:t>
            </w:r>
            <w:proofErr w:type="spellEnd"/>
            <w:r w:rsidRPr="00AD3952">
              <w:rPr>
                <w:rFonts w:ascii="Arial" w:hAnsi="Arial" w:cs="Arial"/>
                <w:color w:val="000000"/>
                <w:lang w:val="en-PH"/>
              </w:rPr>
              <w:t xml:space="preserve"> (2021) argues that the "data-informed" approach is vital for school improvement, as it transforms raw student </w:t>
            </w:r>
            <w:r w:rsidRPr="00AD3952">
              <w:rPr>
                <w:rFonts w:ascii="Arial" w:hAnsi="Arial" w:cs="Arial"/>
                <w:color w:val="000000"/>
                <w:lang w:val="en-PH"/>
              </w:rPr>
              <w:lastRenderedPageBreak/>
              <w:t>results into a strategic roadmap for pedagogical intervention and long-term organizational growth.</w:t>
            </w:r>
          </w:p>
        </w:tc>
      </w:tr>
      <w:tr w:rsidR="00E306F3" w:rsidRPr="00AD3952" w:rsidTr="00E306F3">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E306F3" w:rsidRPr="00AD3952" w:rsidRDefault="00E306F3" w:rsidP="00E306F3">
            <w:pPr>
              <w:rPr>
                <w:rFonts w:ascii="Arial" w:hAnsi="Arial" w:cs="Arial"/>
                <w:color w:val="000000"/>
                <w:lang w:val="en-PH"/>
              </w:rPr>
            </w:pPr>
            <w:r w:rsidRPr="00AD3952">
              <w:rPr>
                <w:rFonts w:ascii="Arial" w:hAnsi="Arial" w:cs="Arial"/>
                <w:color w:val="000000"/>
                <w:lang w:val="en-PH"/>
              </w:rPr>
              <w:lastRenderedPageBreak/>
              <w:t>Operational Challenges</w:t>
            </w:r>
          </w:p>
        </w:tc>
        <w:tc>
          <w:tcPr>
            <w:tcW w:w="0" w:type="auto"/>
            <w:tcBorders>
              <w:top w:val="single" w:sz="6" w:space="0" w:color="auto"/>
              <w:left w:val="single" w:sz="6" w:space="0" w:color="auto"/>
              <w:bottom w:val="single" w:sz="6" w:space="0" w:color="auto"/>
              <w:right w:val="single" w:sz="6" w:space="0" w:color="auto"/>
            </w:tcBorders>
            <w:vAlign w:val="center"/>
            <w:hideMark/>
          </w:tcPr>
          <w:p w:rsidR="00E306F3" w:rsidRPr="00AD3952" w:rsidRDefault="00E306F3" w:rsidP="00E306F3">
            <w:pPr>
              <w:rPr>
                <w:rFonts w:ascii="Arial" w:hAnsi="Arial" w:cs="Arial"/>
                <w:color w:val="000000"/>
                <w:lang w:val="en-PH"/>
              </w:rPr>
            </w:pPr>
            <w:r w:rsidRPr="00AD3952">
              <w:rPr>
                <w:rFonts w:ascii="Arial" w:hAnsi="Arial" w:cs="Arial"/>
                <w:color w:val="000000"/>
                <w:lang w:val="en-PH"/>
              </w:rPr>
              <w:t>Despite the presence of strong, visionary leadership, the path to academic excellence in the MABAMA Cluster is frequently obstructed by persistent systemic challenges. These include a critical deficiency in modern technological tools and digital infrastructure, which hinders the integration of 21st-century learning practices. Furthermore, high levels of teacher burnout—driven by heavy administrative workloads and excessively large class sizes—create a high-pressure environment that can stifle innovation. In these rural settings, such factors represent a major hurdle for educational equity, as the lack of individualized student support directly threatens the overall sustainability of high-performance standards in the province.</w:t>
            </w:r>
          </w:p>
        </w:tc>
        <w:tc>
          <w:tcPr>
            <w:tcW w:w="0" w:type="auto"/>
            <w:tcBorders>
              <w:top w:val="single" w:sz="6" w:space="0" w:color="auto"/>
              <w:left w:val="single" w:sz="6" w:space="0" w:color="auto"/>
              <w:bottom w:val="single" w:sz="6" w:space="0" w:color="auto"/>
              <w:right w:val="single" w:sz="6" w:space="0" w:color="auto"/>
            </w:tcBorders>
            <w:vAlign w:val="center"/>
            <w:hideMark/>
          </w:tcPr>
          <w:p w:rsidR="00E306F3" w:rsidRPr="00AD3952" w:rsidRDefault="00E306F3" w:rsidP="00E306F3">
            <w:pPr>
              <w:rPr>
                <w:rFonts w:ascii="Arial" w:hAnsi="Arial" w:cs="Arial"/>
                <w:color w:val="000000"/>
                <w:lang w:val="en-PH"/>
              </w:rPr>
            </w:pPr>
            <w:r w:rsidRPr="00AD3952">
              <w:rPr>
                <w:rFonts w:ascii="Arial" w:hAnsi="Arial" w:cs="Arial"/>
                <w:color w:val="000000"/>
                <w:lang w:val="en-PH"/>
              </w:rPr>
              <w:t>Darling-Hammond et al. (</w:t>
            </w:r>
            <w:proofErr w:type="gramStart"/>
            <w:r w:rsidRPr="00AD3952">
              <w:rPr>
                <w:rFonts w:ascii="Arial" w:hAnsi="Arial" w:cs="Arial"/>
                <w:color w:val="000000"/>
                <w:lang w:val="en-PH"/>
              </w:rPr>
              <w:t>2020)highlight</w:t>
            </w:r>
            <w:proofErr w:type="gramEnd"/>
            <w:r w:rsidRPr="00AD3952">
              <w:rPr>
                <w:rFonts w:ascii="Arial" w:hAnsi="Arial" w:cs="Arial"/>
                <w:color w:val="000000"/>
                <w:lang w:val="en-PH"/>
              </w:rPr>
              <w:t xml:space="preserve"> that systemic inequities and resource scarcity are the primary detractors from the efficacy of high-quality teaching, regardless of how skilled the individual leaders may be.</w:t>
            </w:r>
          </w:p>
        </w:tc>
      </w:tr>
      <w:tr w:rsidR="00E306F3" w:rsidRPr="00AD3952" w:rsidTr="00E306F3">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E306F3" w:rsidRPr="00AD3952" w:rsidRDefault="00E306F3" w:rsidP="00E306F3">
            <w:pPr>
              <w:rPr>
                <w:rFonts w:ascii="Arial" w:hAnsi="Arial" w:cs="Arial"/>
                <w:color w:val="000000"/>
                <w:lang w:val="en-PH"/>
              </w:rPr>
            </w:pPr>
            <w:r w:rsidRPr="00AD3952">
              <w:rPr>
                <w:rFonts w:ascii="Arial" w:hAnsi="Arial" w:cs="Arial"/>
                <w:color w:val="000000"/>
                <w:lang w:val="en-PH"/>
              </w:rPr>
              <w:t>Community Engagement</w:t>
            </w:r>
          </w:p>
        </w:tc>
        <w:tc>
          <w:tcPr>
            <w:tcW w:w="0" w:type="auto"/>
            <w:tcBorders>
              <w:top w:val="single" w:sz="6" w:space="0" w:color="auto"/>
              <w:left w:val="single" w:sz="6" w:space="0" w:color="auto"/>
              <w:bottom w:val="single" w:sz="6" w:space="0" w:color="auto"/>
              <w:right w:val="single" w:sz="6" w:space="0" w:color="auto"/>
            </w:tcBorders>
            <w:vAlign w:val="center"/>
            <w:hideMark/>
          </w:tcPr>
          <w:p w:rsidR="00E306F3" w:rsidRPr="00AD3952" w:rsidRDefault="00E306F3" w:rsidP="00E306F3">
            <w:pPr>
              <w:rPr>
                <w:rFonts w:ascii="Arial" w:hAnsi="Arial" w:cs="Arial"/>
                <w:color w:val="000000"/>
                <w:lang w:val="en-PH"/>
              </w:rPr>
            </w:pPr>
            <w:r w:rsidRPr="00AD3952">
              <w:rPr>
                <w:rFonts w:ascii="Arial" w:hAnsi="Arial" w:cs="Arial"/>
                <w:color w:val="000000"/>
                <w:lang w:val="en-PH"/>
              </w:rPr>
              <w:t>In a strategic move to compensate for severe resource gaps, school heads actively mobilize local stakeholders through a "village" approach to student success. This involves the active participation of parents, local government units (LGUs), and private businesses in initiatives such as </w:t>
            </w:r>
            <w:proofErr w:type="spellStart"/>
            <w:r w:rsidRPr="00AD3952">
              <w:rPr>
                <w:rFonts w:ascii="Arial" w:hAnsi="Arial" w:cs="Arial"/>
                <w:i/>
                <w:iCs/>
                <w:color w:val="000000"/>
                <w:lang w:val="en-PH"/>
              </w:rPr>
              <w:t>Brigada</w:t>
            </w:r>
            <w:proofErr w:type="spellEnd"/>
            <w:r w:rsidRPr="00AD3952">
              <w:rPr>
                <w:rFonts w:ascii="Arial" w:hAnsi="Arial" w:cs="Arial"/>
                <w:i/>
                <w:iCs/>
                <w:color w:val="000000"/>
                <w:lang w:val="en-PH"/>
              </w:rPr>
              <w:t xml:space="preserve"> </w:t>
            </w:r>
            <w:proofErr w:type="spellStart"/>
            <w:r w:rsidRPr="00AD3952">
              <w:rPr>
                <w:rFonts w:ascii="Arial" w:hAnsi="Arial" w:cs="Arial"/>
                <w:i/>
                <w:iCs/>
                <w:color w:val="000000"/>
                <w:lang w:val="en-PH"/>
              </w:rPr>
              <w:t>Eskwela</w:t>
            </w:r>
            <w:proofErr w:type="spellEnd"/>
            <w:r w:rsidRPr="00AD3952">
              <w:rPr>
                <w:rFonts w:ascii="Arial" w:hAnsi="Arial" w:cs="Arial"/>
                <w:color w:val="000000"/>
                <w:lang w:val="en-PH"/>
              </w:rPr>
              <w:t> and community-based reading programs. By fostering a sense of shared ownership and social capital, schools are able to leverage external support to improve their physical and academic environments. This collaborative ecosystem extends the school’s reach beyond the traditional gate, securing the necessary support systems to maintain a conducive learning environment despite significant budget limitations.</w:t>
            </w:r>
          </w:p>
        </w:tc>
        <w:tc>
          <w:tcPr>
            <w:tcW w:w="0" w:type="auto"/>
            <w:tcBorders>
              <w:top w:val="single" w:sz="6" w:space="0" w:color="auto"/>
              <w:left w:val="single" w:sz="6" w:space="0" w:color="auto"/>
              <w:bottom w:val="single" w:sz="6" w:space="0" w:color="auto"/>
              <w:right w:val="single" w:sz="6" w:space="0" w:color="auto"/>
            </w:tcBorders>
            <w:vAlign w:val="center"/>
            <w:hideMark/>
          </w:tcPr>
          <w:p w:rsidR="00E306F3" w:rsidRPr="00AD3952" w:rsidRDefault="00E306F3" w:rsidP="00E306F3">
            <w:pPr>
              <w:rPr>
                <w:rFonts w:ascii="Arial" w:hAnsi="Arial" w:cs="Arial"/>
                <w:color w:val="000000"/>
                <w:lang w:val="en-PH"/>
              </w:rPr>
            </w:pPr>
            <w:r w:rsidRPr="00AD3952">
              <w:rPr>
                <w:rFonts w:ascii="Arial" w:hAnsi="Arial" w:cs="Arial"/>
                <w:color w:val="000000"/>
                <w:lang w:val="en-PH"/>
              </w:rPr>
              <w:t>Epstein (</w:t>
            </w:r>
            <w:proofErr w:type="gramStart"/>
            <w:r w:rsidRPr="00AD3952">
              <w:rPr>
                <w:rFonts w:ascii="Arial" w:hAnsi="Arial" w:cs="Arial"/>
                <w:color w:val="000000"/>
                <w:lang w:val="en-PH"/>
              </w:rPr>
              <w:t>2022)provides</w:t>
            </w:r>
            <w:proofErr w:type="gramEnd"/>
            <w:r w:rsidRPr="00AD3952">
              <w:rPr>
                <w:rFonts w:ascii="Arial" w:hAnsi="Arial" w:cs="Arial"/>
                <w:color w:val="000000"/>
                <w:lang w:val="en-PH"/>
              </w:rPr>
              <w:t xml:space="preserve"> the definitive framework for school-family-community partnerships, noting that academic success is more sustainable when the community is an active participant in the educational process.</w:t>
            </w:r>
          </w:p>
        </w:tc>
      </w:tr>
      <w:tr w:rsidR="00E306F3" w:rsidRPr="00AD3952" w:rsidTr="00E306F3">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E306F3" w:rsidRPr="00AD3952" w:rsidRDefault="00E306F3" w:rsidP="00E306F3">
            <w:pPr>
              <w:rPr>
                <w:rFonts w:ascii="Arial" w:hAnsi="Arial" w:cs="Arial"/>
                <w:color w:val="000000"/>
                <w:lang w:val="en-PH"/>
              </w:rPr>
            </w:pPr>
            <w:r w:rsidRPr="00AD3952">
              <w:rPr>
                <w:rFonts w:ascii="Arial" w:hAnsi="Arial" w:cs="Arial"/>
                <w:color w:val="000000"/>
                <w:lang w:val="en-PH"/>
              </w:rPr>
              <w:t>Enhancement Strategies</w:t>
            </w:r>
          </w:p>
        </w:tc>
        <w:tc>
          <w:tcPr>
            <w:tcW w:w="0" w:type="auto"/>
            <w:tcBorders>
              <w:top w:val="single" w:sz="6" w:space="0" w:color="auto"/>
              <w:left w:val="single" w:sz="6" w:space="0" w:color="auto"/>
              <w:bottom w:val="single" w:sz="6" w:space="0" w:color="auto"/>
              <w:right w:val="single" w:sz="6" w:space="0" w:color="auto"/>
            </w:tcBorders>
            <w:vAlign w:val="center"/>
            <w:hideMark/>
          </w:tcPr>
          <w:p w:rsidR="00E306F3" w:rsidRPr="00AD3952" w:rsidRDefault="00E306F3" w:rsidP="00E306F3">
            <w:pPr>
              <w:rPr>
                <w:rFonts w:ascii="Arial" w:hAnsi="Arial" w:cs="Arial"/>
                <w:color w:val="000000"/>
                <w:lang w:val="en-PH"/>
              </w:rPr>
            </w:pPr>
            <w:r w:rsidRPr="00AD3952">
              <w:rPr>
                <w:rFonts w:ascii="Arial" w:hAnsi="Arial" w:cs="Arial"/>
                <w:color w:val="000000"/>
                <w:lang w:val="en-PH"/>
              </w:rPr>
              <w:t>To future-proof the educational landscape, leaders in the cluster are adopting distributed leadership models that empower the entire teaching force. This includes the implementation of peer mentoring programs and the designation of specialized teacher-coordinators to handle specific instructional domains. Furthermore, by setting rigorous, measurable targets within the School Improvement Plan (SIP) and Annual Implementation Plan (AIP), school heads ensure that every stakeholder is aligned with a unified vision of excellence. This strategy increases organizational resilience, allowing schools to thrive and maintain their instructional core even when faced with complex external pressures or changing mandates.</w:t>
            </w:r>
          </w:p>
        </w:tc>
        <w:tc>
          <w:tcPr>
            <w:tcW w:w="0" w:type="auto"/>
            <w:tcBorders>
              <w:top w:val="single" w:sz="6" w:space="0" w:color="auto"/>
              <w:left w:val="single" w:sz="6" w:space="0" w:color="auto"/>
              <w:bottom w:val="single" w:sz="6" w:space="0" w:color="auto"/>
              <w:right w:val="single" w:sz="6" w:space="0" w:color="auto"/>
            </w:tcBorders>
            <w:vAlign w:val="center"/>
            <w:hideMark/>
          </w:tcPr>
          <w:p w:rsidR="00E306F3" w:rsidRPr="00AD3952" w:rsidRDefault="00E306F3" w:rsidP="00E306F3">
            <w:pPr>
              <w:rPr>
                <w:rFonts w:ascii="Arial" w:hAnsi="Arial" w:cs="Arial"/>
                <w:color w:val="000000"/>
                <w:lang w:val="en-PH"/>
              </w:rPr>
            </w:pPr>
            <w:r w:rsidRPr="00AD3952">
              <w:rPr>
                <w:rFonts w:ascii="Arial" w:hAnsi="Arial" w:cs="Arial"/>
                <w:color w:val="000000"/>
                <w:lang w:val="en-PH"/>
              </w:rPr>
              <w:t>Harris &amp; Jones (2023) underscore that distributed leadership increases teacher agency and organizational resilience, allowing schools to thrive despite complex external pressures and changing mandates.</w:t>
            </w:r>
          </w:p>
        </w:tc>
      </w:tr>
    </w:tbl>
    <w:p w:rsidR="00E306F3" w:rsidRPr="00AD3952" w:rsidRDefault="00E306F3" w:rsidP="00E306F3">
      <w:pPr>
        <w:rPr>
          <w:rFonts w:ascii="Arial" w:hAnsi="Arial" w:cs="Arial"/>
          <w:lang w:val="en-PH"/>
        </w:rPr>
      </w:pPr>
    </w:p>
    <w:p w:rsidR="00790ADA" w:rsidRPr="00AD3952" w:rsidRDefault="00790ADA" w:rsidP="00441B6F">
      <w:pPr>
        <w:pStyle w:val="Body"/>
        <w:spacing w:after="0"/>
        <w:rPr>
          <w:rFonts w:ascii="Arial" w:hAnsi="Arial" w:cs="Arial"/>
        </w:rPr>
      </w:pPr>
    </w:p>
    <w:p w:rsidR="00B01FCD" w:rsidRPr="00AD3952" w:rsidRDefault="00000F8F" w:rsidP="00441B6F">
      <w:pPr>
        <w:pStyle w:val="ConcHead"/>
        <w:spacing w:after="0"/>
        <w:jc w:val="both"/>
        <w:rPr>
          <w:rFonts w:ascii="Arial" w:hAnsi="Arial" w:cs="Arial"/>
          <w:sz w:val="20"/>
        </w:rPr>
      </w:pPr>
      <w:r w:rsidRPr="00AD3952">
        <w:rPr>
          <w:rFonts w:ascii="Arial" w:hAnsi="Arial" w:cs="Arial"/>
          <w:sz w:val="20"/>
        </w:rPr>
        <w:t xml:space="preserve">4. </w:t>
      </w:r>
      <w:r w:rsidR="00B01FCD" w:rsidRPr="00AD3952">
        <w:rPr>
          <w:rFonts w:ascii="Arial" w:hAnsi="Arial" w:cs="Arial"/>
          <w:sz w:val="20"/>
        </w:rPr>
        <w:t>Conclusion</w:t>
      </w:r>
    </w:p>
    <w:p w:rsidR="00CD582A" w:rsidRPr="00AD3952" w:rsidRDefault="00CD582A" w:rsidP="00CD582A">
      <w:pPr>
        <w:pStyle w:val="NormalWeb"/>
        <w:jc w:val="both"/>
        <w:rPr>
          <w:rFonts w:ascii="Arial" w:hAnsi="Arial" w:cs="Arial"/>
          <w:color w:val="000000"/>
          <w:sz w:val="20"/>
          <w:szCs w:val="20"/>
        </w:rPr>
      </w:pPr>
      <w:r w:rsidRPr="00AD3952">
        <w:rPr>
          <w:rFonts w:ascii="Arial" w:hAnsi="Arial" w:cs="Arial"/>
          <w:color w:val="000000"/>
          <w:sz w:val="20"/>
          <w:szCs w:val="20"/>
        </w:rPr>
        <w:t xml:space="preserve">Based on the comprehensive findings of this study, it is recommended that the management of teaching and learning within the MABAMA Cluster be fundamentally strengthened through a multi-dimensional approach focusing on enhanced leadership, robust teacher support systems, and strategic community engagement. The complexity of modern secondary education demands that school heads evolve beyond administrative roles; therefore, it is strongly advised that school </w:t>
      </w:r>
      <w:r w:rsidRPr="00AD3952">
        <w:rPr>
          <w:rFonts w:ascii="Arial" w:hAnsi="Arial" w:cs="Arial"/>
          <w:color w:val="000000"/>
          <w:sz w:val="20"/>
          <w:szCs w:val="20"/>
        </w:rPr>
        <w:lastRenderedPageBreak/>
        <w:t>leaders actively develop their instructional leadership skills. This can be achieved through targeted professional development programs and the institutionalization of peer collaboration networks, where heads can share best practices for clinical supervision and pedagogical oversight. By fostering a "leadership of learning," school heads can better mentor their staff and create an environment where instructional quality is the primary metric of success.</w:t>
      </w:r>
    </w:p>
    <w:p w:rsidR="00CD582A" w:rsidRPr="00AD3952" w:rsidRDefault="00CD582A" w:rsidP="00CD582A">
      <w:pPr>
        <w:pStyle w:val="NormalWeb"/>
        <w:jc w:val="both"/>
        <w:rPr>
          <w:rFonts w:ascii="Arial" w:hAnsi="Arial" w:cs="Arial"/>
          <w:color w:val="000000"/>
          <w:sz w:val="20"/>
          <w:szCs w:val="20"/>
        </w:rPr>
      </w:pPr>
      <w:r w:rsidRPr="00AD3952">
        <w:rPr>
          <w:rFonts w:ascii="Arial" w:hAnsi="Arial" w:cs="Arial"/>
          <w:color w:val="000000"/>
          <w:sz w:val="20"/>
          <w:szCs w:val="20"/>
        </w:rPr>
        <w:t>Simultaneously, the study highlights a critical need for the continuous empowerment of the teaching force. Teachers should be provided with ongoing, specialized training that focuses on learner-centered methodologies and data-driven instructional strategies. In the context of 21st-century classrooms, moving away from traditional rote-</w:t>
      </w:r>
      <w:proofErr w:type="spellStart"/>
      <w:r w:rsidRPr="00AD3952">
        <w:rPr>
          <w:rFonts w:ascii="Arial" w:hAnsi="Arial" w:cs="Arial"/>
          <w:color w:val="000000"/>
          <w:sz w:val="20"/>
          <w:szCs w:val="20"/>
        </w:rPr>
        <w:t>learning</w:t>
      </w:r>
      <w:proofErr w:type="spellEnd"/>
      <w:r w:rsidRPr="00AD3952">
        <w:rPr>
          <w:rFonts w:ascii="Arial" w:hAnsi="Arial" w:cs="Arial"/>
          <w:color w:val="000000"/>
          <w:sz w:val="20"/>
          <w:szCs w:val="20"/>
        </w:rPr>
        <w:t xml:space="preserve"> toward active, participatory models is essential. This professional growth should be supported by a culture of data-driven decision-making, where the systematic use of learner performance data—such as item analysis and diagnostic results serves as the primary guide for academic planning and the design of specific remedial interventions. When data informs instruction, educators can precisely target competency gaps, ensuring that no student is left behind due to generalized teaching approaches.</w:t>
      </w:r>
    </w:p>
    <w:p w:rsidR="00CD582A" w:rsidRPr="00AD3952" w:rsidRDefault="00CD582A" w:rsidP="00CD582A">
      <w:pPr>
        <w:pStyle w:val="NormalWeb"/>
        <w:jc w:val="both"/>
        <w:rPr>
          <w:rFonts w:ascii="Arial" w:hAnsi="Arial" w:cs="Arial"/>
          <w:color w:val="000000"/>
          <w:sz w:val="20"/>
          <w:szCs w:val="20"/>
        </w:rPr>
      </w:pPr>
      <w:r w:rsidRPr="00AD3952">
        <w:rPr>
          <w:rFonts w:ascii="Arial" w:hAnsi="Arial" w:cs="Arial"/>
          <w:color w:val="000000"/>
          <w:sz w:val="20"/>
          <w:szCs w:val="20"/>
        </w:rPr>
        <w:t>Addressing the identified barriers of resource gaps and heavy teacher workloads requires a shift from reliance on centralized funding to the cultivation of local resilience. It is recommended that schools bridge these gaps by intensifying community partnerships and securing local support. By engaging stakeholders—including parents, local government units, and private sector partners—schools can mobilize the necessary resources for infrastructure improvements and digital tools. Furthermore, such partnerships can help alleviate teacher burdens through volunteer support programs or the provision of additional learning materials, allowing educators to focus more intently on their core instructional duties.</w:t>
      </w:r>
    </w:p>
    <w:p w:rsidR="00CD582A" w:rsidRDefault="00CD582A" w:rsidP="00CD582A">
      <w:pPr>
        <w:pStyle w:val="NormalWeb"/>
        <w:jc w:val="both"/>
        <w:rPr>
          <w:rFonts w:ascii="Arial" w:hAnsi="Arial" w:cs="Arial"/>
          <w:color w:val="000000"/>
          <w:sz w:val="20"/>
          <w:szCs w:val="20"/>
        </w:rPr>
      </w:pPr>
      <w:r w:rsidRPr="00AD3952">
        <w:rPr>
          <w:rFonts w:ascii="Arial" w:hAnsi="Arial" w:cs="Arial"/>
          <w:color w:val="000000"/>
          <w:sz w:val="20"/>
          <w:szCs w:val="20"/>
        </w:rPr>
        <w:t xml:space="preserve">To ensure the sustainability of these improvements, a cluster-wide culture of academic excellence must be promoted. This involves not only setting high expectations for students and staff but also creating a collaborative ecosystem across the </w:t>
      </w:r>
      <w:proofErr w:type="spellStart"/>
      <w:r w:rsidRPr="00AD3952">
        <w:rPr>
          <w:rFonts w:ascii="Arial" w:hAnsi="Arial" w:cs="Arial"/>
          <w:color w:val="000000"/>
          <w:sz w:val="20"/>
          <w:szCs w:val="20"/>
        </w:rPr>
        <w:t>Matanao</w:t>
      </w:r>
      <w:proofErr w:type="spellEnd"/>
      <w:r w:rsidRPr="00AD3952">
        <w:rPr>
          <w:rFonts w:ascii="Arial" w:hAnsi="Arial" w:cs="Arial"/>
          <w:color w:val="000000"/>
          <w:sz w:val="20"/>
          <w:szCs w:val="20"/>
        </w:rPr>
        <w:t xml:space="preserve">, </w:t>
      </w:r>
      <w:proofErr w:type="spellStart"/>
      <w:r w:rsidRPr="00AD3952">
        <w:rPr>
          <w:rFonts w:ascii="Arial" w:hAnsi="Arial" w:cs="Arial"/>
          <w:color w:val="000000"/>
          <w:sz w:val="20"/>
          <w:szCs w:val="20"/>
        </w:rPr>
        <w:t>Bansalan</w:t>
      </w:r>
      <w:proofErr w:type="spellEnd"/>
      <w:r w:rsidRPr="00AD3952">
        <w:rPr>
          <w:rFonts w:ascii="Arial" w:hAnsi="Arial" w:cs="Arial"/>
          <w:color w:val="000000"/>
          <w:sz w:val="20"/>
          <w:szCs w:val="20"/>
        </w:rPr>
        <w:t>, and Magsaysay regions. The establishment of cluster-based knowledge-sharing platforms—where successful management models and innovative teaching strategies are documented and disseminated will foster a sense of collective responsibility for educational quality. Such a unified approach will allow smaller or more remote schools to benefit from the expertise found in larger centers. Ultimately, by integrating strong instructional leadership with data-informed practices and deep community integration, the MABAMA secondary schools can establish a resilient management framework that ensures effective teaching and learning for all students, regardless of the socio-economic challenges they may face.</w:t>
      </w:r>
    </w:p>
    <w:p w:rsidR="008702F8" w:rsidRDefault="008702F8" w:rsidP="00CD582A">
      <w:pPr>
        <w:pStyle w:val="NormalWeb"/>
        <w:jc w:val="both"/>
        <w:rPr>
          <w:rFonts w:ascii="Arial" w:hAnsi="Arial" w:cs="Arial"/>
          <w:color w:val="000000"/>
          <w:sz w:val="20"/>
          <w:szCs w:val="20"/>
        </w:rPr>
      </w:pPr>
    </w:p>
    <w:p w:rsidR="008702F8" w:rsidRPr="00AD3952" w:rsidRDefault="008702F8" w:rsidP="008702F8">
      <w:pPr>
        <w:pStyle w:val="NormalWeb"/>
        <w:jc w:val="both"/>
        <w:rPr>
          <w:rFonts w:ascii="Arial" w:hAnsi="Arial" w:cs="Arial"/>
          <w:b/>
          <w:bCs/>
          <w:color w:val="000000"/>
          <w:sz w:val="20"/>
          <w:szCs w:val="20"/>
        </w:rPr>
      </w:pPr>
      <w:r w:rsidRPr="00AD3952">
        <w:rPr>
          <w:rFonts w:ascii="Arial" w:hAnsi="Arial" w:cs="Arial"/>
          <w:b/>
          <w:bCs/>
          <w:color w:val="000000"/>
          <w:sz w:val="20"/>
          <w:szCs w:val="20"/>
        </w:rPr>
        <w:t>LIMITATION OF THE STUDY</w:t>
      </w:r>
    </w:p>
    <w:p w:rsidR="008702F8" w:rsidRPr="00AD3952" w:rsidRDefault="008702F8" w:rsidP="008702F8">
      <w:pPr>
        <w:pStyle w:val="NormalWeb"/>
        <w:jc w:val="both"/>
        <w:rPr>
          <w:rFonts w:ascii="Arial" w:hAnsi="Arial" w:cs="Arial"/>
          <w:b/>
          <w:bCs/>
          <w:color w:val="000000"/>
          <w:sz w:val="20"/>
          <w:szCs w:val="20"/>
        </w:rPr>
      </w:pPr>
      <w:r w:rsidRPr="00AD3952">
        <w:rPr>
          <w:rFonts w:ascii="Arial" w:hAnsi="Arial" w:cs="Arial"/>
          <w:color w:val="000000"/>
          <w:sz w:val="20"/>
          <w:szCs w:val="20"/>
        </w:rPr>
        <w:t xml:space="preserve">While this research provides deep qualitative insights into the management of teaching and learning, we acknowledge several inherent limitations that warrant consideration when interpreting the results. Primarily, the study’s geographic and contextual scope was intentionally confined to the </w:t>
      </w:r>
      <w:proofErr w:type="spellStart"/>
      <w:r w:rsidRPr="00AD3952">
        <w:rPr>
          <w:rFonts w:ascii="Arial" w:hAnsi="Arial" w:cs="Arial"/>
          <w:color w:val="000000"/>
          <w:sz w:val="20"/>
          <w:szCs w:val="20"/>
        </w:rPr>
        <w:t>Matanao</w:t>
      </w:r>
      <w:proofErr w:type="spellEnd"/>
      <w:r w:rsidRPr="00AD3952">
        <w:rPr>
          <w:rFonts w:ascii="Arial" w:hAnsi="Arial" w:cs="Arial"/>
          <w:color w:val="000000"/>
          <w:sz w:val="20"/>
          <w:szCs w:val="20"/>
        </w:rPr>
        <w:t xml:space="preserve">, </w:t>
      </w:r>
      <w:proofErr w:type="spellStart"/>
      <w:r w:rsidRPr="00AD3952">
        <w:rPr>
          <w:rFonts w:ascii="Arial" w:hAnsi="Arial" w:cs="Arial"/>
          <w:color w:val="000000"/>
          <w:sz w:val="20"/>
          <w:szCs w:val="20"/>
        </w:rPr>
        <w:t>Bansalan</w:t>
      </w:r>
      <w:proofErr w:type="spellEnd"/>
      <w:r w:rsidRPr="00AD3952">
        <w:rPr>
          <w:rFonts w:ascii="Arial" w:hAnsi="Arial" w:cs="Arial"/>
          <w:color w:val="000000"/>
          <w:sz w:val="20"/>
          <w:szCs w:val="20"/>
        </w:rPr>
        <w:t>, and Magsaysay (MABAMA) Cluster; while this allowed for a highly nuanced analysis, the findings are specific to this region's unique socio-economic landscape and may not be directly generalizable to urban settings or different administrative structures. Furthermore, in alignment with our phenomenological approach, we focused on a purposive sample of 10 secondary school heads; although this was sufficient to reach data saturation and capture rich "lived experiences," it does not aim for statistical representativeness across all secondary schools. We also recognize the potential for self-reporting bias within the semi-structured interviews, as participants might have presented their leadership practices in a socially desirable manner despite our use of triangulation and member checking. Additionally, this study is subject to temporal constraints, capturing a specific "snapshot" of practices that may evolve as new Department of Education mandates are introduced or as the local technological landscape shifts. Finally, as the primary instruments for data collection and analysis, our own researcher reflexivity must be noted; while we maintained rigorous efforts to ensure confirmability, our personal perspectives and academic backgrounds may have subtly influenced the interpretation of the emerging themes.</w:t>
      </w:r>
    </w:p>
    <w:p w:rsidR="008702F8" w:rsidRPr="00AD3952" w:rsidRDefault="008702F8" w:rsidP="00CD582A">
      <w:pPr>
        <w:pStyle w:val="NormalWeb"/>
        <w:jc w:val="both"/>
        <w:rPr>
          <w:rFonts w:ascii="Arial" w:hAnsi="Arial" w:cs="Arial"/>
          <w:color w:val="000000"/>
          <w:sz w:val="20"/>
          <w:szCs w:val="20"/>
        </w:rPr>
      </w:pPr>
    </w:p>
    <w:p w:rsidR="00790ADA" w:rsidRPr="00AD3952" w:rsidRDefault="005E4741" w:rsidP="00441B6F">
      <w:pPr>
        <w:pStyle w:val="Body"/>
        <w:spacing w:after="0"/>
        <w:rPr>
          <w:rFonts w:ascii="Arial" w:hAnsi="Arial" w:cs="Arial"/>
          <w:b/>
          <w:bCs/>
        </w:rPr>
      </w:pPr>
      <w:r w:rsidRPr="00AD3952">
        <w:rPr>
          <w:rFonts w:ascii="Arial" w:hAnsi="Arial" w:cs="Arial"/>
          <w:b/>
          <w:bCs/>
        </w:rPr>
        <w:t>ETHICAL APPROVAL</w:t>
      </w:r>
    </w:p>
    <w:p w:rsidR="005E4741" w:rsidRPr="00AD3952" w:rsidRDefault="005E4741" w:rsidP="005E4741">
      <w:pPr>
        <w:pStyle w:val="NormalWeb"/>
        <w:jc w:val="both"/>
        <w:rPr>
          <w:rFonts w:ascii="Arial" w:hAnsi="Arial" w:cs="Arial"/>
          <w:color w:val="000000"/>
          <w:sz w:val="20"/>
          <w:szCs w:val="20"/>
        </w:rPr>
      </w:pPr>
      <w:r w:rsidRPr="00AD3952">
        <w:rPr>
          <w:rFonts w:ascii="Arial" w:hAnsi="Arial" w:cs="Arial"/>
          <w:color w:val="000000"/>
          <w:sz w:val="20"/>
          <w:szCs w:val="20"/>
        </w:rPr>
        <w:t>In accordance with institutional and international research standards, we ensured that this study adhered to strict ethical protocols to protect the rights, privacy, and well-being of all participants. Prior to the commencement of data collection, formal</w:t>
      </w:r>
      <w:r w:rsidRPr="00AD3952">
        <w:rPr>
          <w:rStyle w:val="apple-converted-space"/>
          <w:rFonts w:ascii="Arial" w:hAnsi="Arial" w:cs="Arial"/>
          <w:color w:val="000000"/>
          <w:sz w:val="20"/>
          <w:szCs w:val="20"/>
        </w:rPr>
        <w:t> </w:t>
      </w:r>
      <w:r w:rsidRPr="00AD3952">
        <w:rPr>
          <w:rFonts w:ascii="Arial" w:hAnsi="Arial" w:cs="Arial"/>
          <w:color w:val="000000"/>
          <w:sz w:val="20"/>
          <w:szCs w:val="20"/>
        </w:rPr>
        <w:t>ethical clearance</w:t>
      </w:r>
      <w:r w:rsidRPr="00AD3952">
        <w:rPr>
          <w:rStyle w:val="apple-converted-space"/>
          <w:rFonts w:ascii="Arial" w:hAnsi="Arial" w:cs="Arial"/>
          <w:color w:val="000000"/>
          <w:sz w:val="20"/>
          <w:szCs w:val="20"/>
        </w:rPr>
        <w:t> </w:t>
      </w:r>
      <w:r w:rsidRPr="00AD3952">
        <w:rPr>
          <w:rFonts w:ascii="Arial" w:hAnsi="Arial" w:cs="Arial"/>
          <w:color w:val="000000"/>
          <w:sz w:val="20"/>
          <w:szCs w:val="20"/>
        </w:rPr>
        <w:t>was obtained from the relevant review board, and permission to conduct the study was granted by the</w:t>
      </w:r>
      <w:r w:rsidRPr="00AD3952">
        <w:rPr>
          <w:rStyle w:val="apple-converted-space"/>
          <w:rFonts w:ascii="Arial" w:hAnsi="Arial" w:cs="Arial"/>
          <w:color w:val="000000"/>
          <w:sz w:val="20"/>
          <w:szCs w:val="20"/>
        </w:rPr>
        <w:t> </w:t>
      </w:r>
      <w:r w:rsidRPr="00AD3952">
        <w:rPr>
          <w:rFonts w:ascii="Arial" w:hAnsi="Arial" w:cs="Arial"/>
          <w:color w:val="000000"/>
          <w:sz w:val="20"/>
          <w:szCs w:val="20"/>
        </w:rPr>
        <w:t>Department of Education (DepEd)</w:t>
      </w:r>
      <w:r w:rsidRPr="00AD3952">
        <w:rPr>
          <w:rStyle w:val="apple-converted-space"/>
          <w:rFonts w:ascii="Arial" w:hAnsi="Arial" w:cs="Arial"/>
          <w:color w:val="000000"/>
          <w:sz w:val="20"/>
          <w:szCs w:val="20"/>
        </w:rPr>
        <w:t> </w:t>
      </w:r>
      <w:r w:rsidRPr="00AD3952">
        <w:rPr>
          <w:rFonts w:ascii="Arial" w:hAnsi="Arial" w:cs="Arial"/>
          <w:color w:val="000000"/>
          <w:sz w:val="20"/>
          <w:szCs w:val="20"/>
        </w:rPr>
        <w:t>officials within the</w:t>
      </w:r>
      <w:r w:rsidRPr="00AD3952">
        <w:rPr>
          <w:rStyle w:val="apple-converted-space"/>
          <w:rFonts w:ascii="Arial" w:hAnsi="Arial" w:cs="Arial"/>
          <w:color w:val="000000"/>
          <w:sz w:val="20"/>
          <w:szCs w:val="20"/>
        </w:rPr>
        <w:t> </w:t>
      </w:r>
      <w:proofErr w:type="spellStart"/>
      <w:r w:rsidRPr="00AD3952">
        <w:rPr>
          <w:rFonts w:ascii="Arial" w:hAnsi="Arial" w:cs="Arial"/>
          <w:color w:val="000000"/>
          <w:sz w:val="20"/>
          <w:szCs w:val="20"/>
        </w:rPr>
        <w:t>Matanao</w:t>
      </w:r>
      <w:proofErr w:type="spellEnd"/>
      <w:r w:rsidRPr="00AD3952">
        <w:rPr>
          <w:rFonts w:ascii="Arial" w:hAnsi="Arial" w:cs="Arial"/>
          <w:color w:val="000000"/>
          <w:sz w:val="20"/>
          <w:szCs w:val="20"/>
        </w:rPr>
        <w:t xml:space="preserve">, </w:t>
      </w:r>
      <w:proofErr w:type="spellStart"/>
      <w:r w:rsidRPr="00AD3952">
        <w:rPr>
          <w:rFonts w:ascii="Arial" w:hAnsi="Arial" w:cs="Arial"/>
          <w:color w:val="000000"/>
          <w:sz w:val="20"/>
          <w:szCs w:val="20"/>
        </w:rPr>
        <w:t>Bansalan</w:t>
      </w:r>
      <w:proofErr w:type="spellEnd"/>
      <w:r w:rsidRPr="00AD3952">
        <w:rPr>
          <w:rFonts w:ascii="Arial" w:hAnsi="Arial" w:cs="Arial"/>
          <w:color w:val="000000"/>
          <w:sz w:val="20"/>
          <w:szCs w:val="20"/>
        </w:rPr>
        <w:t>, and Magsaysay (MABAMA) Cluster.</w:t>
      </w:r>
    </w:p>
    <w:p w:rsidR="005E4741" w:rsidRPr="00AD3952" w:rsidRDefault="005E4741" w:rsidP="005E4741">
      <w:pPr>
        <w:pStyle w:val="NormalWeb"/>
        <w:jc w:val="both"/>
        <w:rPr>
          <w:rFonts w:ascii="Arial" w:hAnsi="Arial" w:cs="Arial"/>
          <w:color w:val="000000"/>
          <w:sz w:val="20"/>
          <w:szCs w:val="20"/>
        </w:rPr>
      </w:pPr>
      <w:r w:rsidRPr="00AD3952">
        <w:rPr>
          <w:rFonts w:ascii="Arial" w:hAnsi="Arial" w:cs="Arial"/>
          <w:color w:val="000000"/>
          <w:sz w:val="20"/>
          <w:szCs w:val="20"/>
        </w:rPr>
        <w:lastRenderedPageBreak/>
        <w:t>Informed Consent: Every participant—specifically the</w:t>
      </w:r>
      <w:r w:rsidRPr="00AD3952">
        <w:rPr>
          <w:rStyle w:val="apple-converted-space"/>
          <w:rFonts w:ascii="Arial" w:hAnsi="Arial" w:cs="Arial"/>
          <w:color w:val="000000"/>
          <w:sz w:val="20"/>
          <w:szCs w:val="20"/>
        </w:rPr>
        <w:t> </w:t>
      </w:r>
      <w:r w:rsidRPr="00AD3952">
        <w:rPr>
          <w:rFonts w:ascii="Arial" w:hAnsi="Arial" w:cs="Arial"/>
          <w:color w:val="000000"/>
          <w:sz w:val="20"/>
          <w:szCs w:val="20"/>
        </w:rPr>
        <w:t>10 secondary school heads—was provided with a clear and comprehensive disclosure statement. We explained the study's purpose, the nature of their involvement, and their right to withdraw at any stage without penalty. Written informed consent was obtained from all participants before any interviews or observations took place.</w:t>
      </w:r>
    </w:p>
    <w:p w:rsidR="005E4741" w:rsidRPr="00AD3952" w:rsidRDefault="005E4741" w:rsidP="005E4741">
      <w:pPr>
        <w:pStyle w:val="NormalWeb"/>
        <w:jc w:val="both"/>
        <w:rPr>
          <w:rFonts w:ascii="Arial" w:hAnsi="Arial" w:cs="Arial"/>
          <w:color w:val="000000"/>
          <w:sz w:val="20"/>
          <w:szCs w:val="20"/>
        </w:rPr>
      </w:pPr>
      <w:r w:rsidRPr="00AD3952">
        <w:rPr>
          <w:rFonts w:ascii="Arial" w:hAnsi="Arial" w:cs="Arial"/>
          <w:color w:val="000000"/>
          <w:sz w:val="20"/>
          <w:szCs w:val="20"/>
        </w:rPr>
        <w:t>Confidentiality and Anonymity: To safeguard the identities of the participants and their respective institutions, we utilized</w:t>
      </w:r>
      <w:r w:rsidRPr="00AD3952">
        <w:rPr>
          <w:rStyle w:val="apple-converted-space"/>
          <w:rFonts w:ascii="Arial" w:hAnsi="Arial" w:cs="Arial"/>
          <w:color w:val="000000"/>
          <w:sz w:val="20"/>
          <w:szCs w:val="20"/>
        </w:rPr>
        <w:t> </w:t>
      </w:r>
      <w:r w:rsidRPr="00AD3952">
        <w:rPr>
          <w:rFonts w:ascii="Arial" w:hAnsi="Arial" w:cs="Arial"/>
          <w:color w:val="000000"/>
          <w:sz w:val="20"/>
          <w:szCs w:val="20"/>
        </w:rPr>
        <w:t>pseudonyms and coding systems. All raw data, including audio recordings and transcripts, were stored in encrypted files accessible only to the research team. Any identifying geographical or personal markers were neutralized in the final manuscript to ensure that findings could not be traced back to specific individuals.</w:t>
      </w:r>
    </w:p>
    <w:p w:rsidR="005E4741" w:rsidRPr="00AD3952" w:rsidRDefault="005E4741" w:rsidP="005E4741">
      <w:pPr>
        <w:pStyle w:val="NormalWeb"/>
        <w:jc w:val="both"/>
        <w:rPr>
          <w:rFonts w:ascii="Arial" w:hAnsi="Arial" w:cs="Arial"/>
          <w:color w:val="000000"/>
          <w:sz w:val="20"/>
          <w:szCs w:val="20"/>
        </w:rPr>
      </w:pPr>
      <w:r w:rsidRPr="00AD3952">
        <w:rPr>
          <w:rFonts w:ascii="Arial" w:hAnsi="Arial" w:cs="Arial"/>
          <w:color w:val="000000"/>
          <w:sz w:val="20"/>
          <w:szCs w:val="20"/>
        </w:rPr>
        <w:t>Non-Maleficence and Beneficence: We ensured that the research process posed no physical, psychological, or professional risk to the participants. The interviews were scheduled at the convenience of the school heads to avoid disrupting their administrative duties. Furthermore, we committed to sharing the summarized findings with the MABAMA cluster to ensure the research serves as a tool for professional growth and institutional improvement.</w:t>
      </w:r>
    </w:p>
    <w:p w:rsidR="005E4741" w:rsidRPr="00AD3952" w:rsidRDefault="005E4741" w:rsidP="005E4741">
      <w:pPr>
        <w:pStyle w:val="NormalWeb"/>
        <w:jc w:val="both"/>
        <w:rPr>
          <w:rFonts w:ascii="Arial" w:hAnsi="Arial" w:cs="Arial"/>
          <w:color w:val="000000"/>
          <w:sz w:val="20"/>
          <w:szCs w:val="20"/>
        </w:rPr>
      </w:pPr>
      <w:r w:rsidRPr="00AD3952">
        <w:rPr>
          <w:rFonts w:ascii="Arial" w:hAnsi="Arial" w:cs="Arial"/>
          <w:color w:val="000000"/>
          <w:sz w:val="20"/>
          <w:szCs w:val="20"/>
        </w:rPr>
        <w:t>Data Integrity: We maintained an objective and transparent approach to data management, ensuring that the "lived experiences" of the participants were represented accurately and without fabrication or undue influence.</w:t>
      </w:r>
    </w:p>
    <w:p w:rsidR="005E4741" w:rsidRPr="00AD3952" w:rsidRDefault="005E4741" w:rsidP="00441B6F">
      <w:pPr>
        <w:pStyle w:val="Body"/>
        <w:spacing w:after="0"/>
        <w:rPr>
          <w:rFonts w:ascii="Arial" w:hAnsi="Arial" w:cs="Arial"/>
          <w:b/>
          <w:bCs/>
        </w:rPr>
      </w:pPr>
    </w:p>
    <w:p w:rsidR="00315186" w:rsidRPr="00AD3952" w:rsidRDefault="00315186" w:rsidP="00441B6F">
      <w:pPr>
        <w:rPr>
          <w:rFonts w:ascii="Arial" w:hAnsi="Arial" w:cs="Arial"/>
        </w:rPr>
      </w:pPr>
    </w:p>
    <w:p w:rsidR="00315186" w:rsidRPr="00AD3952" w:rsidRDefault="00315186" w:rsidP="00441B6F">
      <w:pPr>
        <w:rPr>
          <w:rFonts w:ascii="Arial" w:hAnsi="Arial" w:cs="Arial"/>
        </w:rPr>
      </w:pPr>
    </w:p>
    <w:p w:rsidR="00315186" w:rsidRPr="00AD3952" w:rsidRDefault="00315186" w:rsidP="00441B6F">
      <w:pPr>
        <w:rPr>
          <w:rFonts w:ascii="Arial" w:hAnsi="Arial" w:cs="Arial"/>
        </w:rPr>
      </w:pPr>
    </w:p>
    <w:p w:rsidR="00860000" w:rsidRPr="00AD3952" w:rsidRDefault="00860000" w:rsidP="00441B6F">
      <w:pPr>
        <w:pStyle w:val="ReferHead"/>
        <w:spacing w:after="0"/>
        <w:jc w:val="both"/>
        <w:rPr>
          <w:rFonts w:ascii="Arial" w:hAnsi="Arial" w:cs="Arial"/>
          <w:sz w:val="20"/>
        </w:rPr>
      </w:pPr>
    </w:p>
    <w:p w:rsidR="00371FB6" w:rsidRPr="00AD3952" w:rsidRDefault="00371FB6" w:rsidP="00441B6F">
      <w:pPr>
        <w:pStyle w:val="ReferHead"/>
        <w:spacing w:after="0"/>
        <w:jc w:val="both"/>
        <w:rPr>
          <w:rFonts w:ascii="Arial" w:hAnsi="Arial" w:cs="Arial"/>
          <w:b w:val="0"/>
          <w:caps w:val="0"/>
          <w:sz w:val="20"/>
        </w:rPr>
      </w:pPr>
    </w:p>
    <w:p w:rsidR="00371FB6" w:rsidRPr="00AD3952" w:rsidRDefault="00371FB6" w:rsidP="00441B6F">
      <w:pPr>
        <w:pStyle w:val="ReferHead"/>
        <w:spacing w:after="0"/>
        <w:jc w:val="both"/>
        <w:rPr>
          <w:rFonts w:ascii="Arial" w:hAnsi="Arial" w:cs="Arial"/>
          <w:bCs/>
          <w:sz w:val="20"/>
        </w:rPr>
      </w:pPr>
      <w:r w:rsidRPr="00AD3952">
        <w:rPr>
          <w:rFonts w:ascii="Arial" w:hAnsi="Arial" w:cs="Arial"/>
          <w:bCs/>
          <w:sz w:val="20"/>
        </w:rPr>
        <w:t>Authors’ Contributions</w:t>
      </w:r>
    </w:p>
    <w:p w:rsidR="00371FB6" w:rsidRPr="00AD3952" w:rsidRDefault="00371FB6" w:rsidP="00441B6F">
      <w:pPr>
        <w:pStyle w:val="ReferHead"/>
        <w:spacing w:after="0"/>
        <w:jc w:val="both"/>
        <w:rPr>
          <w:rFonts w:ascii="Arial" w:hAnsi="Arial" w:cs="Arial"/>
          <w:bCs/>
          <w:sz w:val="20"/>
        </w:rPr>
      </w:pPr>
    </w:p>
    <w:p w:rsidR="005C1788" w:rsidRPr="00AD3952" w:rsidRDefault="005C1788" w:rsidP="005C1788">
      <w:pPr>
        <w:jc w:val="both"/>
        <w:rPr>
          <w:rFonts w:ascii="Arial" w:hAnsi="Arial" w:cs="Arial"/>
          <w:bCs/>
        </w:rPr>
      </w:pPr>
      <w:r w:rsidRPr="00AD3952">
        <w:rPr>
          <w:rFonts w:ascii="Arial" w:hAnsi="Arial" w:cs="Arial"/>
          <w:bCs/>
        </w:rPr>
        <w:t>Author 1: Conceptualization, Data Gathering, Writing of the Manuscript, Editing</w:t>
      </w:r>
    </w:p>
    <w:p w:rsidR="005C1788" w:rsidRPr="00AD3952" w:rsidRDefault="005C1788" w:rsidP="005C1788">
      <w:pPr>
        <w:jc w:val="both"/>
        <w:rPr>
          <w:rFonts w:ascii="Arial" w:hAnsi="Arial" w:cs="Arial"/>
          <w:bCs/>
        </w:rPr>
      </w:pPr>
      <w:r w:rsidRPr="00AD3952">
        <w:rPr>
          <w:rFonts w:ascii="Arial" w:hAnsi="Arial" w:cs="Arial"/>
          <w:bCs/>
        </w:rPr>
        <w:t>Author 2: Data Analysis, Editing, Supervising</w:t>
      </w:r>
    </w:p>
    <w:p w:rsidR="002B685A" w:rsidRDefault="002B685A" w:rsidP="00441B6F">
      <w:pPr>
        <w:pStyle w:val="ReferHead"/>
        <w:spacing w:after="0"/>
        <w:jc w:val="both"/>
        <w:rPr>
          <w:rFonts w:ascii="Arial" w:hAnsi="Arial" w:cs="Arial"/>
          <w:b w:val="0"/>
          <w:caps w:val="0"/>
          <w:sz w:val="20"/>
        </w:rPr>
      </w:pPr>
    </w:p>
    <w:p w:rsidR="000F3B30" w:rsidRPr="00005ED1" w:rsidRDefault="000F3B30" w:rsidP="000F3B30">
      <w:pPr>
        <w:pStyle w:val="NoSpacing"/>
        <w:rPr>
          <w:rFonts w:ascii="Arial" w:hAnsi="Arial" w:cs="Arial"/>
          <w:highlight w:val="yellow"/>
        </w:rPr>
      </w:pPr>
      <w:bookmarkStart w:id="1" w:name="_Hlk198031404"/>
      <w:r w:rsidRPr="00005ED1">
        <w:rPr>
          <w:rFonts w:ascii="Arial" w:hAnsi="Arial" w:cs="Arial"/>
          <w:highlight w:val="yellow"/>
        </w:rPr>
        <w:t>Disclaimer (Artificial intelligence)</w:t>
      </w:r>
    </w:p>
    <w:p w:rsidR="000F3B30" w:rsidRPr="00005ED1" w:rsidRDefault="000F3B30" w:rsidP="000F3B30">
      <w:pPr>
        <w:pStyle w:val="NoSpacing"/>
        <w:rPr>
          <w:rFonts w:ascii="Arial" w:hAnsi="Arial" w:cs="Arial"/>
          <w:highlight w:val="yellow"/>
        </w:rPr>
      </w:pPr>
    </w:p>
    <w:p w:rsidR="000F3B30" w:rsidRPr="00005ED1" w:rsidRDefault="000F3B30" w:rsidP="000F3B30">
      <w:pPr>
        <w:pStyle w:val="NoSpacing"/>
        <w:rPr>
          <w:rFonts w:ascii="Arial" w:hAnsi="Arial" w:cs="Arial"/>
          <w:highlight w:val="yellow"/>
        </w:rPr>
      </w:pPr>
      <w:r w:rsidRPr="00005ED1">
        <w:rPr>
          <w:rFonts w:ascii="Arial" w:hAnsi="Arial" w:cs="Arial"/>
          <w:highlight w:val="yellow"/>
        </w:rPr>
        <w:t>Author(s) hereby declare that NO generative AI technologies such as Large Language Models (</w:t>
      </w:r>
      <w:proofErr w:type="spellStart"/>
      <w:r w:rsidRPr="00005ED1">
        <w:rPr>
          <w:rFonts w:ascii="Arial" w:hAnsi="Arial" w:cs="Arial"/>
          <w:highlight w:val="yellow"/>
        </w:rPr>
        <w:t>ChatGPT</w:t>
      </w:r>
      <w:proofErr w:type="spellEnd"/>
      <w:r w:rsidRPr="00005ED1">
        <w:rPr>
          <w:rFonts w:ascii="Arial" w:hAnsi="Arial" w:cs="Arial"/>
          <w:highlight w:val="yellow"/>
        </w:rPr>
        <w:t xml:space="preserve">, COPILOT, etc.) and text-to-image generators have been used during the writing or editing of this manuscript. </w:t>
      </w:r>
    </w:p>
    <w:bookmarkEnd w:id="1"/>
    <w:p w:rsidR="000F3B30" w:rsidRDefault="000F3B30" w:rsidP="000F3B30">
      <w:pPr>
        <w:pStyle w:val="NoSpacing"/>
        <w:rPr>
          <w:rFonts w:ascii="Arial" w:hAnsi="Arial" w:cs="Arial"/>
        </w:rPr>
      </w:pPr>
    </w:p>
    <w:p w:rsidR="000F3B30" w:rsidRDefault="000F3B30" w:rsidP="000F3B30">
      <w:pPr>
        <w:pStyle w:val="NoSpacing"/>
        <w:rPr>
          <w:rFonts w:ascii="Arial" w:hAnsi="Arial" w:cs="Arial"/>
        </w:rPr>
      </w:pPr>
    </w:p>
    <w:p w:rsidR="000F3B30" w:rsidRPr="00005ED1" w:rsidRDefault="000F3B30" w:rsidP="000F3B30">
      <w:pPr>
        <w:pStyle w:val="NoSpacing"/>
        <w:rPr>
          <w:rFonts w:ascii="Arial" w:hAnsi="Arial" w:cs="Arial"/>
        </w:rPr>
      </w:pPr>
    </w:p>
    <w:p w:rsidR="000F3B30" w:rsidRPr="00AD3952" w:rsidRDefault="000F3B30" w:rsidP="00441B6F">
      <w:pPr>
        <w:pStyle w:val="ReferHead"/>
        <w:spacing w:after="0"/>
        <w:jc w:val="both"/>
        <w:rPr>
          <w:rFonts w:ascii="Arial" w:hAnsi="Arial" w:cs="Arial"/>
          <w:b w:val="0"/>
          <w:caps w:val="0"/>
          <w:sz w:val="20"/>
        </w:rPr>
      </w:pPr>
    </w:p>
    <w:p w:rsidR="00860000" w:rsidRPr="00AD3952" w:rsidRDefault="00860000" w:rsidP="00441B6F">
      <w:pPr>
        <w:pStyle w:val="ReferHead"/>
        <w:spacing w:after="0"/>
        <w:jc w:val="both"/>
        <w:rPr>
          <w:rFonts w:ascii="Arial" w:hAnsi="Arial" w:cs="Arial"/>
          <w:sz w:val="20"/>
        </w:rPr>
      </w:pPr>
    </w:p>
    <w:p w:rsidR="00B01FCD" w:rsidRPr="00AD3952" w:rsidRDefault="00B01FCD" w:rsidP="00441B6F">
      <w:pPr>
        <w:pStyle w:val="ReferHead"/>
        <w:spacing w:after="0"/>
        <w:jc w:val="both"/>
        <w:rPr>
          <w:rFonts w:ascii="Arial" w:hAnsi="Arial" w:cs="Arial"/>
          <w:sz w:val="20"/>
        </w:rPr>
      </w:pPr>
      <w:r w:rsidRPr="00AD3952">
        <w:rPr>
          <w:rFonts w:ascii="Arial" w:hAnsi="Arial" w:cs="Arial"/>
          <w:sz w:val="20"/>
        </w:rPr>
        <w:t>References</w:t>
      </w:r>
    </w:p>
    <w:p w:rsidR="00F454F5" w:rsidRPr="00AD3952" w:rsidRDefault="00F454F5" w:rsidP="00F454F5">
      <w:pPr>
        <w:pStyle w:val="Heading3"/>
        <w:spacing w:before="0"/>
        <w:rPr>
          <w:rFonts w:ascii="Arial" w:hAnsi="Arial" w:cs="Arial"/>
          <w:color w:val="000000"/>
          <w:sz w:val="20"/>
          <w:szCs w:val="20"/>
        </w:rPr>
      </w:pPr>
    </w:p>
    <w:p w:rsidR="00F454F5" w:rsidRPr="00AD3952" w:rsidRDefault="00F454F5" w:rsidP="00F454F5">
      <w:pPr>
        <w:rPr>
          <w:rFonts w:ascii="Arial" w:hAnsi="Arial" w:cs="Arial"/>
        </w:rPr>
      </w:pPr>
    </w:p>
    <w:p w:rsidR="00F454F5" w:rsidRPr="00AD3952" w:rsidRDefault="00F454F5" w:rsidP="00F454F5">
      <w:pPr>
        <w:pStyle w:val="NormalWeb"/>
        <w:spacing w:before="0" w:beforeAutospacing="0"/>
        <w:rPr>
          <w:rFonts w:ascii="Arial" w:hAnsi="Arial" w:cs="Arial"/>
          <w:color w:val="000000"/>
          <w:sz w:val="20"/>
          <w:szCs w:val="20"/>
        </w:rPr>
      </w:pPr>
      <w:r w:rsidRPr="00AD3952">
        <w:rPr>
          <w:rFonts w:ascii="Arial" w:hAnsi="Arial" w:cs="Arial"/>
          <w:color w:val="000000"/>
          <w:sz w:val="20"/>
          <w:szCs w:val="20"/>
        </w:rPr>
        <w:t>Braun, V., &amp; Clarke, V. (2006).</w:t>
      </w:r>
      <w:r w:rsidRPr="00AD3952">
        <w:rPr>
          <w:rStyle w:val="apple-converted-space"/>
          <w:rFonts w:ascii="Arial" w:hAnsi="Arial" w:cs="Arial"/>
          <w:color w:val="000000"/>
          <w:sz w:val="20"/>
          <w:szCs w:val="20"/>
        </w:rPr>
        <w:t> </w:t>
      </w:r>
      <w:r w:rsidRPr="00AD3952">
        <w:rPr>
          <w:rFonts w:ascii="Arial" w:hAnsi="Arial" w:cs="Arial"/>
          <w:color w:val="000000"/>
          <w:sz w:val="20"/>
          <w:szCs w:val="20"/>
        </w:rPr>
        <w:t>Using thematic analysis in psychology.</w:t>
      </w:r>
      <w:r w:rsidRPr="00AD3952">
        <w:rPr>
          <w:rStyle w:val="apple-converted-space"/>
          <w:rFonts w:ascii="Arial" w:hAnsi="Arial" w:cs="Arial"/>
          <w:color w:val="000000"/>
          <w:sz w:val="20"/>
          <w:szCs w:val="20"/>
        </w:rPr>
        <w:t> </w:t>
      </w:r>
      <w:r w:rsidRPr="00AD3952">
        <w:rPr>
          <w:rStyle w:val="citation-306"/>
          <w:rFonts w:ascii="Arial" w:hAnsi="Arial" w:cs="Arial"/>
          <w:i/>
          <w:iCs/>
          <w:color w:val="000000"/>
          <w:sz w:val="20"/>
          <w:szCs w:val="20"/>
        </w:rPr>
        <w:t>Qualitative Research in Psychology</w:t>
      </w:r>
      <w:r w:rsidRPr="00AD3952">
        <w:rPr>
          <w:rStyle w:val="citation-306"/>
          <w:rFonts w:ascii="Arial" w:hAnsi="Arial" w:cs="Arial"/>
          <w:color w:val="000000"/>
          <w:sz w:val="20"/>
          <w:szCs w:val="20"/>
        </w:rPr>
        <w:t>, 3(2), 77–</w:t>
      </w:r>
      <w:proofErr w:type="gramStart"/>
      <w:r w:rsidRPr="00AD3952">
        <w:rPr>
          <w:rStyle w:val="citation-306"/>
          <w:rFonts w:ascii="Arial" w:hAnsi="Arial" w:cs="Arial"/>
          <w:color w:val="000000"/>
          <w:sz w:val="20"/>
          <w:szCs w:val="20"/>
        </w:rPr>
        <w:t>101.</w:t>
      </w:r>
      <w:r w:rsidRPr="00AD3952">
        <w:rPr>
          <w:rFonts w:ascii="Arial" w:hAnsi="Arial" w:cs="Arial"/>
          <w:color w:val="000000"/>
          <w:sz w:val="20"/>
          <w:szCs w:val="20"/>
        </w:rPr>
        <w:t>.</w:t>
      </w:r>
      <w:proofErr w:type="gramEnd"/>
    </w:p>
    <w:p w:rsidR="00C23BF7" w:rsidRPr="00AD3952" w:rsidRDefault="00C23BF7" w:rsidP="00C23BF7">
      <w:pPr>
        <w:rPr>
          <w:rFonts w:ascii="Arial" w:hAnsi="Arial" w:cs="Arial"/>
          <w:lang w:val="en-GB"/>
        </w:rPr>
      </w:pPr>
      <w:r w:rsidRPr="00AD3952">
        <w:rPr>
          <w:rFonts w:ascii="Arial" w:hAnsi="Arial" w:cs="Arial"/>
          <w:lang w:val="en-GB"/>
        </w:rPr>
        <w:t>Bush, T., Joubert, R., Kiggundu, E., &amp; van Rooyen, J. (2010). Managing teaching and learning in South African schools. International journal of educational development, 30(2), 162-168.</w:t>
      </w:r>
    </w:p>
    <w:p w:rsidR="00C23BF7" w:rsidRPr="00AD3952" w:rsidRDefault="00C23BF7" w:rsidP="00C23BF7">
      <w:pPr>
        <w:rPr>
          <w:rFonts w:ascii="Arial" w:hAnsi="Arial" w:cs="Arial"/>
          <w:lang w:val="en-GB"/>
        </w:rPr>
      </w:pPr>
    </w:p>
    <w:p w:rsidR="00F454F5" w:rsidRPr="00AD3952" w:rsidRDefault="00F454F5" w:rsidP="00F454F5">
      <w:pPr>
        <w:pStyle w:val="NormalWeb"/>
        <w:spacing w:before="0" w:beforeAutospacing="0"/>
        <w:rPr>
          <w:rFonts w:ascii="Arial" w:hAnsi="Arial" w:cs="Arial"/>
          <w:color w:val="000000"/>
          <w:sz w:val="20"/>
          <w:szCs w:val="20"/>
        </w:rPr>
      </w:pPr>
      <w:r w:rsidRPr="00AD3952">
        <w:rPr>
          <w:rFonts w:ascii="Arial" w:hAnsi="Arial" w:cs="Arial"/>
          <w:color w:val="000000"/>
          <w:sz w:val="20"/>
          <w:szCs w:val="20"/>
        </w:rPr>
        <w:t xml:space="preserve">Darling-Hammond, L., </w:t>
      </w:r>
      <w:proofErr w:type="spellStart"/>
      <w:r w:rsidRPr="00AD3952">
        <w:rPr>
          <w:rFonts w:ascii="Arial" w:hAnsi="Arial" w:cs="Arial"/>
          <w:color w:val="000000"/>
          <w:sz w:val="20"/>
          <w:szCs w:val="20"/>
        </w:rPr>
        <w:t>Flook</w:t>
      </w:r>
      <w:proofErr w:type="spellEnd"/>
      <w:r w:rsidRPr="00AD3952">
        <w:rPr>
          <w:rFonts w:ascii="Arial" w:hAnsi="Arial" w:cs="Arial"/>
          <w:color w:val="000000"/>
          <w:sz w:val="20"/>
          <w:szCs w:val="20"/>
        </w:rPr>
        <w:t xml:space="preserve">, L., Cook-Harvey, C., Barron, B., &amp; </w:t>
      </w:r>
      <w:proofErr w:type="spellStart"/>
      <w:r w:rsidRPr="00AD3952">
        <w:rPr>
          <w:rFonts w:ascii="Arial" w:hAnsi="Arial" w:cs="Arial"/>
          <w:color w:val="000000"/>
          <w:sz w:val="20"/>
          <w:szCs w:val="20"/>
        </w:rPr>
        <w:t>Osher</w:t>
      </w:r>
      <w:proofErr w:type="spellEnd"/>
      <w:r w:rsidRPr="00AD3952">
        <w:rPr>
          <w:rFonts w:ascii="Arial" w:hAnsi="Arial" w:cs="Arial"/>
          <w:color w:val="000000"/>
          <w:sz w:val="20"/>
          <w:szCs w:val="20"/>
        </w:rPr>
        <w:t>, D. (2020).</w:t>
      </w:r>
      <w:r w:rsidRPr="00AD3952">
        <w:rPr>
          <w:rStyle w:val="apple-converted-space"/>
          <w:rFonts w:ascii="Arial" w:hAnsi="Arial" w:cs="Arial"/>
          <w:color w:val="000000"/>
          <w:sz w:val="20"/>
          <w:szCs w:val="20"/>
        </w:rPr>
        <w:t> </w:t>
      </w:r>
      <w:r w:rsidRPr="00AD3952">
        <w:rPr>
          <w:rFonts w:ascii="Arial" w:hAnsi="Arial" w:cs="Arial"/>
          <w:color w:val="000000"/>
          <w:sz w:val="20"/>
          <w:szCs w:val="20"/>
        </w:rPr>
        <w:t>Implications for educational practice of the science of learning and development.</w:t>
      </w:r>
      <w:r w:rsidRPr="00AD3952">
        <w:rPr>
          <w:rStyle w:val="apple-converted-space"/>
          <w:rFonts w:ascii="Arial" w:hAnsi="Arial" w:cs="Arial"/>
          <w:color w:val="000000"/>
          <w:sz w:val="20"/>
          <w:szCs w:val="20"/>
        </w:rPr>
        <w:t> </w:t>
      </w:r>
      <w:r w:rsidRPr="00AD3952">
        <w:rPr>
          <w:rStyle w:val="citation-304"/>
          <w:rFonts w:ascii="Arial" w:hAnsi="Arial" w:cs="Arial"/>
          <w:i/>
          <w:iCs/>
          <w:color w:val="000000"/>
          <w:sz w:val="20"/>
          <w:szCs w:val="20"/>
        </w:rPr>
        <w:t>Applied Developmental Science</w:t>
      </w:r>
      <w:r w:rsidRPr="00AD3952">
        <w:rPr>
          <w:rStyle w:val="citation-304"/>
          <w:rFonts w:ascii="Arial" w:hAnsi="Arial" w:cs="Arial"/>
          <w:color w:val="000000"/>
          <w:sz w:val="20"/>
          <w:szCs w:val="20"/>
        </w:rPr>
        <w:t>, 24(2), 97–</w:t>
      </w:r>
      <w:proofErr w:type="gramStart"/>
      <w:r w:rsidRPr="00AD3952">
        <w:rPr>
          <w:rStyle w:val="citation-304"/>
          <w:rFonts w:ascii="Arial" w:hAnsi="Arial" w:cs="Arial"/>
          <w:color w:val="000000"/>
          <w:sz w:val="20"/>
          <w:szCs w:val="20"/>
        </w:rPr>
        <w:t>140.</w:t>
      </w:r>
      <w:r w:rsidRPr="00AD3952">
        <w:rPr>
          <w:rFonts w:ascii="Arial" w:hAnsi="Arial" w:cs="Arial"/>
          <w:color w:val="000000"/>
          <w:sz w:val="20"/>
          <w:szCs w:val="20"/>
        </w:rPr>
        <w:t>.</w:t>
      </w:r>
      <w:proofErr w:type="gramEnd"/>
    </w:p>
    <w:p w:rsidR="00F454F5" w:rsidRPr="00AD3952" w:rsidRDefault="00F454F5" w:rsidP="00F454F5">
      <w:pPr>
        <w:pStyle w:val="NormalWeb"/>
        <w:spacing w:before="0" w:beforeAutospacing="0"/>
        <w:rPr>
          <w:rFonts w:ascii="Arial" w:hAnsi="Arial" w:cs="Arial"/>
          <w:color w:val="000000"/>
          <w:sz w:val="20"/>
          <w:szCs w:val="20"/>
        </w:rPr>
      </w:pPr>
      <w:r w:rsidRPr="00AD3952">
        <w:rPr>
          <w:rFonts w:ascii="Arial" w:hAnsi="Arial" w:cs="Arial"/>
          <w:color w:val="000000"/>
          <w:sz w:val="20"/>
          <w:szCs w:val="20"/>
        </w:rPr>
        <w:t>Dong, H., Li, L., &amp; Zhang, J. (2020).</w:t>
      </w:r>
      <w:r w:rsidRPr="00AD3952">
        <w:rPr>
          <w:rStyle w:val="apple-converted-space"/>
          <w:rFonts w:ascii="Arial" w:hAnsi="Arial" w:cs="Arial"/>
          <w:color w:val="000000"/>
          <w:sz w:val="20"/>
          <w:szCs w:val="20"/>
        </w:rPr>
        <w:t> </w:t>
      </w:r>
      <w:r w:rsidRPr="00AD3952">
        <w:rPr>
          <w:rFonts w:ascii="Arial" w:hAnsi="Arial" w:cs="Arial"/>
          <w:color w:val="000000"/>
          <w:sz w:val="20"/>
          <w:szCs w:val="20"/>
        </w:rPr>
        <w:t xml:space="preserve">The conceptualization and model building of instructional leadership: Based on the interview with Philip </w:t>
      </w:r>
      <w:proofErr w:type="spellStart"/>
      <w:r w:rsidRPr="00AD3952">
        <w:rPr>
          <w:rFonts w:ascii="Arial" w:hAnsi="Arial" w:cs="Arial"/>
          <w:color w:val="000000"/>
          <w:sz w:val="20"/>
          <w:szCs w:val="20"/>
        </w:rPr>
        <w:t>Hallinger</w:t>
      </w:r>
      <w:proofErr w:type="spellEnd"/>
      <w:r w:rsidRPr="00AD3952">
        <w:rPr>
          <w:rFonts w:ascii="Arial" w:hAnsi="Arial" w:cs="Arial"/>
          <w:color w:val="000000"/>
          <w:sz w:val="20"/>
          <w:szCs w:val="20"/>
        </w:rPr>
        <w:t>.</w:t>
      </w:r>
      <w:r w:rsidRPr="00AD3952">
        <w:rPr>
          <w:rStyle w:val="apple-converted-space"/>
          <w:rFonts w:ascii="Arial" w:hAnsi="Arial" w:cs="Arial"/>
          <w:color w:val="000000"/>
          <w:sz w:val="20"/>
          <w:szCs w:val="20"/>
        </w:rPr>
        <w:t> </w:t>
      </w:r>
      <w:r w:rsidRPr="00AD3952">
        <w:rPr>
          <w:rStyle w:val="citation-303"/>
          <w:rFonts w:ascii="Arial" w:hAnsi="Arial" w:cs="Arial"/>
          <w:i/>
          <w:iCs/>
          <w:color w:val="000000"/>
          <w:sz w:val="20"/>
          <w:szCs w:val="20"/>
        </w:rPr>
        <w:t>Journal of East China Normal University (Educational Sciences)</w:t>
      </w:r>
      <w:r w:rsidRPr="00AD3952">
        <w:rPr>
          <w:rStyle w:val="citation-303"/>
          <w:rFonts w:ascii="Arial" w:hAnsi="Arial" w:cs="Arial"/>
          <w:color w:val="000000"/>
          <w:sz w:val="20"/>
          <w:szCs w:val="20"/>
        </w:rPr>
        <w:t>, 38(7), 87–</w:t>
      </w:r>
      <w:proofErr w:type="gramStart"/>
      <w:r w:rsidRPr="00AD3952">
        <w:rPr>
          <w:rStyle w:val="citation-303"/>
          <w:rFonts w:ascii="Arial" w:hAnsi="Arial" w:cs="Arial"/>
          <w:color w:val="000000"/>
          <w:sz w:val="20"/>
          <w:szCs w:val="20"/>
        </w:rPr>
        <w:t>96.</w:t>
      </w:r>
      <w:r w:rsidRPr="00AD3952">
        <w:rPr>
          <w:rFonts w:ascii="Arial" w:hAnsi="Arial" w:cs="Arial"/>
          <w:color w:val="000000"/>
          <w:sz w:val="20"/>
          <w:szCs w:val="20"/>
        </w:rPr>
        <w:t>.</w:t>
      </w:r>
      <w:proofErr w:type="gramEnd"/>
    </w:p>
    <w:p w:rsidR="00F454F5" w:rsidRPr="00AD3952" w:rsidRDefault="00F454F5" w:rsidP="00F454F5">
      <w:pPr>
        <w:pStyle w:val="NormalWeb"/>
        <w:spacing w:before="0" w:beforeAutospacing="0"/>
        <w:rPr>
          <w:rFonts w:ascii="Arial" w:hAnsi="Arial" w:cs="Arial"/>
          <w:color w:val="000000"/>
          <w:sz w:val="20"/>
          <w:szCs w:val="20"/>
        </w:rPr>
      </w:pPr>
      <w:proofErr w:type="spellStart"/>
      <w:r w:rsidRPr="00AD3952">
        <w:rPr>
          <w:rFonts w:ascii="Arial" w:hAnsi="Arial" w:cs="Arial"/>
          <w:color w:val="000000"/>
          <w:sz w:val="20"/>
          <w:szCs w:val="20"/>
        </w:rPr>
        <w:t>Hallinger</w:t>
      </w:r>
      <w:proofErr w:type="spellEnd"/>
      <w:r w:rsidRPr="00AD3952">
        <w:rPr>
          <w:rFonts w:ascii="Arial" w:hAnsi="Arial" w:cs="Arial"/>
          <w:color w:val="000000"/>
          <w:sz w:val="20"/>
          <w:szCs w:val="20"/>
        </w:rPr>
        <w:t>, P. (2011).</w:t>
      </w:r>
      <w:r w:rsidRPr="00AD3952">
        <w:rPr>
          <w:rStyle w:val="apple-converted-space"/>
          <w:rFonts w:ascii="Arial" w:hAnsi="Arial" w:cs="Arial"/>
          <w:color w:val="000000"/>
          <w:sz w:val="20"/>
          <w:szCs w:val="20"/>
        </w:rPr>
        <w:t> </w:t>
      </w:r>
      <w:r w:rsidRPr="00AD3952">
        <w:rPr>
          <w:rFonts w:ascii="Arial" w:hAnsi="Arial" w:cs="Arial"/>
          <w:color w:val="000000"/>
          <w:sz w:val="20"/>
          <w:szCs w:val="20"/>
        </w:rPr>
        <w:t>Leadership for learning: Lessons from 40 years of empirical research.</w:t>
      </w:r>
      <w:r w:rsidRPr="00AD3952">
        <w:rPr>
          <w:rStyle w:val="apple-converted-space"/>
          <w:rFonts w:ascii="Arial" w:hAnsi="Arial" w:cs="Arial"/>
          <w:color w:val="000000"/>
          <w:sz w:val="20"/>
          <w:szCs w:val="20"/>
        </w:rPr>
        <w:t> </w:t>
      </w:r>
      <w:r w:rsidRPr="00AD3952">
        <w:rPr>
          <w:rStyle w:val="citation-300"/>
          <w:rFonts w:ascii="Arial" w:hAnsi="Arial" w:cs="Arial"/>
          <w:i/>
          <w:iCs/>
          <w:color w:val="000000"/>
          <w:sz w:val="20"/>
          <w:szCs w:val="20"/>
        </w:rPr>
        <w:t>Journal of Educational Administration</w:t>
      </w:r>
      <w:r w:rsidRPr="00AD3952">
        <w:rPr>
          <w:rStyle w:val="citation-300"/>
          <w:rFonts w:ascii="Arial" w:hAnsi="Arial" w:cs="Arial"/>
          <w:color w:val="000000"/>
          <w:sz w:val="20"/>
          <w:szCs w:val="20"/>
        </w:rPr>
        <w:t>, 49(2), 125–</w:t>
      </w:r>
      <w:proofErr w:type="gramStart"/>
      <w:r w:rsidRPr="00AD3952">
        <w:rPr>
          <w:rStyle w:val="citation-300"/>
          <w:rFonts w:ascii="Arial" w:hAnsi="Arial" w:cs="Arial"/>
          <w:color w:val="000000"/>
          <w:sz w:val="20"/>
          <w:szCs w:val="20"/>
        </w:rPr>
        <w:t>142.</w:t>
      </w:r>
      <w:r w:rsidRPr="00AD3952">
        <w:rPr>
          <w:rFonts w:ascii="Arial" w:hAnsi="Arial" w:cs="Arial"/>
          <w:color w:val="000000"/>
          <w:sz w:val="20"/>
          <w:szCs w:val="20"/>
        </w:rPr>
        <w:t>.</w:t>
      </w:r>
      <w:proofErr w:type="gramEnd"/>
    </w:p>
    <w:p w:rsidR="00F454F5" w:rsidRPr="00AD3952" w:rsidRDefault="00F454F5" w:rsidP="00F454F5">
      <w:pPr>
        <w:pStyle w:val="NormalWeb"/>
        <w:spacing w:before="0" w:beforeAutospacing="0"/>
        <w:rPr>
          <w:rFonts w:ascii="Arial" w:hAnsi="Arial" w:cs="Arial"/>
          <w:color w:val="000000"/>
          <w:sz w:val="20"/>
          <w:szCs w:val="20"/>
        </w:rPr>
      </w:pPr>
      <w:proofErr w:type="spellStart"/>
      <w:r w:rsidRPr="00AD3952">
        <w:rPr>
          <w:rFonts w:ascii="Arial" w:hAnsi="Arial" w:cs="Arial"/>
          <w:color w:val="000000"/>
          <w:sz w:val="20"/>
          <w:szCs w:val="20"/>
        </w:rPr>
        <w:t>Leithwood</w:t>
      </w:r>
      <w:proofErr w:type="spellEnd"/>
      <w:r w:rsidRPr="00AD3952">
        <w:rPr>
          <w:rFonts w:ascii="Arial" w:hAnsi="Arial" w:cs="Arial"/>
          <w:color w:val="000000"/>
          <w:sz w:val="20"/>
          <w:szCs w:val="20"/>
        </w:rPr>
        <w:t xml:space="preserve">, K., &amp; </w:t>
      </w:r>
      <w:proofErr w:type="spellStart"/>
      <w:r w:rsidRPr="00AD3952">
        <w:rPr>
          <w:rFonts w:ascii="Arial" w:hAnsi="Arial" w:cs="Arial"/>
          <w:color w:val="000000"/>
          <w:sz w:val="20"/>
          <w:szCs w:val="20"/>
        </w:rPr>
        <w:t>Jantzi</w:t>
      </w:r>
      <w:proofErr w:type="spellEnd"/>
      <w:r w:rsidRPr="00AD3952">
        <w:rPr>
          <w:rFonts w:ascii="Arial" w:hAnsi="Arial" w:cs="Arial"/>
          <w:color w:val="000000"/>
          <w:sz w:val="20"/>
          <w:szCs w:val="20"/>
        </w:rPr>
        <w:t>, D. (2005).</w:t>
      </w:r>
      <w:r w:rsidRPr="00AD3952">
        <w:rPr>
          <w:rStyle w:val="apple-converted-space"/>
          <w:rFonts w:ascii="Arial" w:hAnsi="Arial" w:cs="Arial"/>
          <w:color w:val="000000"/>
          <w:sz w:val="20"/>
          <w:szCs w:val="20"/>
        </w:rPr>
        <w:t> </w:t>
      </w:r>
      <w:r w:rsidRPr="00AD3952">
        <w:rPr>
          <w:rFonts w:ascii="Arial" w:hAnsi="Arial" w:cs="Arial"/>
          <w:color w:val="000000"/>
          <w:sz w:val="20"/>
          <w:szCs w:val="20"/>
        </w:rPr>
        <w:t>A review of transformational school leadership research 1996–2005.</w:t>
      </w:r>
      <w:r w:rsidRPr="00AD3952">
        <w:rPr>
          <w:rStyle w:val="apple-converted-space"/>
          <w:rFonts w:ascii="Arial" w:hAnsi="Arial" w:cs="Arial"/>
          <w:color w:val="000000"/>
          <w:sz w:val="20"/>
          <w:szCs w:val="20"/>
        </w:rPr>
        <w:t> </w:t>
      </w:r>
      <w:r w:rsidRPr="00AD3952">
        <w:rPr>
          <w:rStyle w:val="citation-296"/>
          <w:rFonts w:ascii="Arial" w:hAnsi="Arial" w:cs="Arial"/>
          <w:i/>
          <w:iCs/>
          <w:color w:val="000000"/>
          <w:sz w:val="20"/>
          <w:szCs w:val="20"/>
        </w:rPr>
        <w:t>Leadership &amp; Policy in Schools</w:t>
      </w:r>
      <w:r w:rsidRPr="00AD3952">
        <w:rPr>
          <w:rStyle w:val="citation-296"/>
          <w:rFonts w:ascii="Arial" w:hAnsi="Arial" w:cs="Arial"/>
          <w:color w:val="000000"/>
          <w:sz w:val="20"/>
          <w:szCs w:val="20"/>
        </w:rPr>
        <w:t>, 4(3), 177–</w:t>
      </w:r>
      <w:proofErr w:type="gramStart"/>
      <w:r w:rsidRPr="00AD3952">
        <w:rPr>
          <w:rStyle w:val="citation-296"/>
          <w:rFonts w:ascii="Arial" w:hAnsi="Arial" w:cs="Arial"/>
          <w:color w:val="000000"/>
          <w:sz w:val="20"/>
          <w:szCs w:val="20"/>
        </w:rPr>
        <w:t>199.</w:t>
      </w:r>
      <w:r w:rsidRPr="00AD3952">
        <w:rPr>
          <w:rFonts w:ascii="Arial" w:hAnsi="Arial" w:cs="Arial"/>
          <w:color w:val="000000"/>
          <w:sz w:val="20"/>
          <w:szCs w:val="20"/>
        </w:rPr>
        <w:t>.</w:t>
      </w:r>
      <w:proofErr w:type="gramEnd"/>
    </w:p>
    <w:p w:rsidR="00F454F5" w:rsidRDefault="00F454F5" w:rsidP="00F454F5">
      <w:pPr>
        <w:pStyle w:val="NormalWeb"/>
        <w:spacing w:before="0" w:beforeAutospacing="0"/>
        <w:rPr>
          <w:rFonts w:ascii="Arial" w:hAnsi="Arial" w:cs="Arial"/>
          <w:color w:val="000000"/>
          <w:sz w:val="20"/>
          <w:szCs w:val="20"/>
        </w:rPr>
      </w:pPr>
      <w:r w:rsidRPr="00AD3952">
        <w:rPr>
          <w:rFonts w:ascii="Arial" w:hAnsi="Arial" w:cs="Arial"/>
          <w:color w:val="000000"/>
          <w:sz w:val="20"/>
          <w:szCs w:val="20"/>
        </w:rPr>
        <w:lastRenderedPageBreak/>
        <w:t>Oka, M., et al. (2022).</w:t>
      </w:r>
      <w:r w:rsidRPr="00AD3952">
        <w:rPr>
          <w:rStyle w:val="apple-converted-space"/>
          <w:rFonts w:ascii="Arial" w:hAnsi="Arial" w:cs="Arial"/>
          <w:color w:val="000000"/>
          <w:sz w:val="20"/>
          <w:szCs w:val="20"/>
        </w:rPr>
        <w:t> </w:t>
      </w:r>
      <w:r w:rsidRPr="00AD3952">
        <w:rPr>
          <w:rFonts w:ascii="Arial" w:hAnsi="Arial" w:cs="Arial"/>
          <w:color w:val="000000"/>
          <w:sz w:val="20"/>
          <w:szCs w:val="20"/>
        </w:rPr>
        <w:t>Overview and procedure of thematic analysis focusing on reflexive thematic analysis by Braun and Clarke.</w:t>
      </w:r>
      <w:r w:rsidRPr="00AD3952">
        <w:rPr>
          <w:rStyle w:val="apple-converted-space"/>
          <w:rFonts w:ascii="Arial" w:hAnsi="Arial" w:cs="Arial"/>
          <w:color w:val="000000"/>
          <w:sz w:val="20"/>
          <w:szCs w:val="20"/>
        </w:rPr>
        <w:t> </w:t>
      </w:r>
      <w:r w:rsidRPr="00AD3952">
        <w:rPr>
          <w:rStyle w:val="citation-294"/>
          <w:rFonts w:ascii="Arial" w:hAnsi="Arial" w:cs="Arial"/>
          <w:i/>
          <w:iCs/>
          <w:color w:val="000000"/>
          <w:sz w:val="20"/>
          <w:szCs w:val="20"/>
        </w:rPr>
        <w:t>Journal of Japan Society of Nursing Research</w:t>
      </w:r>
      <w:r w:rsidRPr="00AD3952">
        <w:rPr>
          <w:rStyle w:val="citation-294"/>
          <w:rFonts w:ascii="Arial" w:hAnsi="Arial" w:cs="Arial"/>
          <w:color w:val="000000"/>
          <w:sz w:val="20"/>
          <w:szCs w:val="20"/>
        </w:rPr>
        <w:t>, 45(2), 145–158.</w:t>
      </w:r>
    </w:p>
    <w:p w:rsidR="005E1FA2" w:rsidRDefault="005E1FA2" w:rsidP="00F454F5">
      <w:pPr>
        <w:pStyle w:val="NormalWeb"/>
        <w:spacing w:before="0" w:beforeAutospacing="0"/>
        <w:rPr>
          <w:rFonts w:ascii="Arial" w:hAnsi="Arial" w:cs="Arial"/>
          <w:color w:val="222222"/>
          <w:sz w:val="20"/>
          <w:szCs w:val="20"/>
          <w:shd w:val="clear" w:color="auto" w:fill="FFFFFF"/>
        </w:rPr>
      </w:pPr>
      <w:proofErr w:type="spellStart"/>
      <w:r>
        <w:rPr>
          <w:rFonts w:ascii="Arial" w:hAnsi="Arial" w:cs="Arial"/>
          <w:color w:val="222222"/>
          <w:sz w:val="20"/>
          <w:szCs w:val="20"/>
          <w:shd w:val="clear" w:color="auto" w:fill="FFFFFF"/>
        </w:rPr>
        <w:t>Dacholfany</w:t>
      </w:r>
      <w:proofErr w:type="spellEnd"/>
      <w:r>
        <w:rPr>
          <w:rFonts w:ascii="Arial" w:hAnsi="Arial" w:cs="Arial"/>
          <w:color w:val="222222"/>
          <w:sz w:val="20"/>
          <w:szCs w:val="20"/>
          <w:shd w:val="clear" w:color="auto" w:fill="FFFFFF"/>
        </w:rPr>
        <w:t xml:space="preserve">, M. I., </w:t>
      </w:r>
      <w:proofErr w:type="spellStart"/>
      <w:r>
        <w:rPr>
          <w:rFonts w:ascii="Arial" w:hAnsi="Arial" w:cs="Arial"/>
          <w:color w:val="222222"/>
          <w:sz w:val="20"/>
          <w:szCs w:val="20"/>
          <w:shd w:val="clear" w:color="auto" w:fill="FFFFFF"/>
        </w:rPr>
        <w:t>Suseno</w:t>
      </w:r>
      <w:proofErr w:type="spellEnd"/>
      <w:r>
        <w:rPr>
          <w:rFonts w:ascii="Arial" w:hAnsi="Arial" w:cs="Arial"/>
          <w:color w:val="222222"/>
          <w:sz w:val="20"/>
          <w:szCs w:val="20"/>
          <w:shd w:val="clear" w:color="auto" w:fill="FFFFFF"/>
        </w:rPr>
        <w:t xml:space="preserve">, N., </w:t>
      </w:r>
      <w:proofErr w:type="spellStart"/>
      <w:r>
        <w:rPr>
          <w:rFonts w:ascii="Arial" w:hAnsi="Arial" w:cs="Arial"/>
          <w:color w:val="222222"/>
          <w:sz w:val="20"/>
          <w:szCs w:val="20"/>
          <w:shd w:val="clear" w:color="auto" w:fill="FFFFFF"/>
        </w:rPr>
        <w:t>Syofyan</w:t>
      </w:r>
      <w:proofErr w:type="spellEnd"/>
      <w:r>
        <w:rPr>
          <w:rFonts w:ascii="Arial" w:hAnsi="Arial" w:cs="Arial"/>
          <w:color w:val="222222"/>
          <w:sz w:val="20"/>
          <w:szCs w:val="20"/>
          <w:shd w:val="clear" w:color="auto" w:fill="FFFFFF"/>
        </w:rPr>
        <w:t xml:space="preserve">, H., &amp; </w:t>
      </w:r>
      <w:proofErr w:type="spellStart"/>
      <w:r>
        <w:rPr>
          <w:rFonts w:ascii="Arial" w:hAnsi="Arial" w:cs="Arial"/>
          <w:color w:val="222222"/>
          <w:sz w:val="20"/>
          <w:szCs w:val="20"/>
          <w:shd w:val="clear" w:color="auto" w:fill="FFFFFF"/>
        </w:rPr>
        <w:t>Fadli</w:t>
      </w:r>
      <w:proofErr w:type="spellEnd"/>
      <w:r>
        <w:rPr>
          <w:rFonts w:ascii="Arial" w:hAnsi="Arial" w:cs="Arial"/>
          <w:color w:val="222222"/>
          <w:sz w:val="20"/>
          <w:szCs w:val="20"/>
          <w:shd w:val="clear" w:color="auto" w:fill="FFFFFF"/>
        </w:rPr>
        <w:t>, M. R. (2024). Educational management in improving the quality of teachers in senior high schools. </w:t>
      </w:r>
      <w:r>
        <w:rPr>
          <w:rFonts w:ascii="Arial" w:hAnsi="Arial" w:cs="Arial"/>
          <w:i/>
          <w:iCs/>
          <w:color w:val="222222"/>
          <w:sz w:val="20"/>
          <w:szCs w:val="20"/>
          <w:shd w:val="clear" w:color="auto" w:fill="FFFFFF"/>
        </w:rPr>
        <w:t>Int J Eval &amp; Res Educ ISSN</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2252</w:t>
      </w:r>
      <w:r>
        <w:rPr>
          <w:rFonts w:ascii="Arial" w:hAnsi="Arial" w:cs="Arial"/>
          <w:color w:val="222222"/>
          <w:sz w:val="20"/>
          <w:szCs w:val="20"/>
          <w:shd w:val="clear" w:color="auto" w:fill="FFFFFF"/>
        </w:rPr>
        <w:t>(8822), 3101.</w:t>
      </w:r>
    </w:p>
    <w:p w:rsidR="005E1FA2" w:rsidRDefault="005E1FA2" w:rsidP="00F454F5">
      <w:pPr>
        <w:pStyle w:val="NormalWeb"/>
        <w:spacing w:before="0" w:beforeAutospacing="0"/>
        <w:rPr>
          <w:rFonts w:ascii="Arial" w:hAnsi="Arial" w:cs="Arial"/>
          <w:color w:val="222222"/>
          <w:sz w:val="20"/>
          <w:szCs w:val="20"/>
          <w:shd w:val="clear" w:color="auto" w:fill="FFFFFF"/>
        </w:rPr>
      </w:pPr>
      <w:proofErr w:type="spellStart"/>
      <w:r>
        <w:rPr>
          <w:rFonts w:ascii="Arial" w:hAnsi="Arial" w:cs="Arial"/>
          <w:color w:val="222222"/>
          <w:sz w:val="20"/>
          <w:szCs w:val="20"/>
          <w:shd w:val="clear" w:color="auto" w:fill="FFFFFF"/>
        </w:rPr>
        <w:t>Olowo</w:t>
      </w:r>
      <w:proofErr w:type="spellEnd"/>
      <w:r>
        <w:rPr>
          <w:rFonts w:ascii="Arial" w:hAnsi="Arial" w:cs="Arial"/>
          <w:color w:val="222222"/>
          <w:sz w:val="20"/>
          <w:szCs w:val="20"/>
          <w:shd w:val="clear" w:color="auto" w:fill="FFFFFF"/>
        </w:rPr>
        <w:t xml:space="preserve">, B. F., &amp; </w:t>
      </w:r>
      <w:proofErr w:type="spellStart"/>
      <w:r>
        <w:rPr>
          <w:rFonts w:ascii="Arial" w:hAnsi="Arial" w:cs="Arial"/>
          <w:color w:val="222222"/>
          <w:sz w:val="20"/>
          <w:szCs w:val="20"/>
          <w:shd w:val="clear" w:color="auto" w:fill="FFFFFF"/>
        </w:rPr>
        <w:t>Akinguloye</w:t>
      </w:r>
      <w:proofErr w:type="spellEnd"/>
      <w:r>
        <w:rPr>
          <w:rFonts w:ascii="Arial" w:hAnsi="Arial" w:cs="Arial"/>
          <w:color w:val="222222"/>
          <w:sz w:val="20"/>
          <w:szCs w:val="20"/>
          <w:shd w:val="clear" w:color="auto" w:fill="FFFFFF"/>
        </w:rPr>
        <w:t>, A. A. (2025). Repositioning teachers’ professionalism and efficiency for quality secondary education in Nigeria. </w:t>
      </w:r>
      <w:r>
        <w:rPr>
          <w:rFonts w:ascii="Arial" w:hAnsi="Arial" w:cs="Arial"/>
          <w:i/>
          <w:iCs/>
          <w:color w:val="222222"/>
          <w:sz w:val="20"/>
          <w:szCs w:val="20"/>
          <w:shd w:val="clear" w:color="auto" w:fill="FFFFFF"/>
        </w:rPr>
        <w:t>Aminu Kano Academic Scholars Association Multidisciplinary Journal</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2</w:t>
      </w:r>
      <w:r>
        <w:rPr>
          <w:rFonts w:ascii="Arial" w:hAnsi="Arial" w:cs="Arial"/>
          <w:color w:val="222222"/>
          <w:sz w:val="20"/>
          <w:szCs w:val="20"/>
          <w:shd w:val="clear" w:color="auto" w:fill="FFFFFF"/>
        </w:rPr>
        <w:t>(6), 340-401.</w:t>
      </w:r>
    </w:p>
    <w:p w:rsidR="005E1FA2" w:rsidRDefault="005E1FA2" w:rsidP="00F454F5">
      <w:pPr>
        <w:pStyle w:val="NormalWeb"/>
        <w:spacing w:before="0" w:beforeAutospacing="0"/>
        <w:rPr>
          <w:rFonts w:ascii="Arial" w:hAnsi="Arial" w:cs="Arial"/>
          <w:color w:val="222222"/>
          <w:sz w:val="20"/>
          <w:szCs w:val="20"/>
          <w:shd w:val="clear" w:color="auto" w:fill="FFFFFF"/>
        </w:rPr>
      </w:pPr>
      <w:r>
        <w:rPr>
          <w:rFonts w:ascii="Arial" w:hAnsi="Arial" w:cs="Arial"/>
          <w:color w:val="222222"/>
          <w:sz w:val="20"/>
          <w:szCs w:val="20"/>
          <w:shd w:val="clear" w:color="auto" w:fill="FFFFFF"/>
        </w:rPr>
        <w:t>Ayaz, N., &amp; Abbas, S. G. (2025). Teachers as catalysts: Understanding their role in shaping secondary school students’ growth. </w:t>
      </w:r>
      <w:r>
        <w:rPr>
          <w:rFonts w:ascii="Arial" w:hAnsi="Arial" w:cs="Arial"/>
          <w:i/>
          <w:iCs/>
          <w:color w:val="222222"/>
          <w:sz w:val="20"/>
          <w:szCs w:val="20"/>
          <w:shd w:val="clear" w:color="auto" w:fill="FFFFFF"/>
        </w:rPr>
        <w:t>ACADEMIA International Journal for Social Sciences</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4</w:t>
      </w:r>
      <w:r>
        <w:rPr>
          <w:rFonts w:ascii="Arial" w:hAnsi="Arial" w:cs="Arial"/>
          <w:color w:val="222222"/>
          <w:sz w:val="20"/>
          <w:szCs w:val="20"/>
          <w:shd w:val="clear" w:color="auto" w:fill="FFFFFF"/>
        </w:rPr>
        <w:t>(1), 851-862.</w:t>
      </w:r>
    </w:p>
    <w:p w:rsidR="005E1FA2" w:rsidRDefault="005E1FA2" w:rsidP="00F454F5">
      <w:pPr>
        <w:pStyle w:val="NormalWeb"/>
        <w:spacing w:before="0" w:beforeAutospacing="0"/>
        <w:rPr>
          <w:rFonts w:ascii="Arial" w:hAnsi="Arial" w:cs="Arial"/>
          <w:color w:val="222222"/>
          <w:sz w:val="20"/>
          <w:szCs w:val="20"/>
          <w:shd w:val="clear" w:color="auto" w:fill="FFFFFF"/>
        </w:rPr>
      </w:pPr>
      <w:proofErr w:type="spellStart"/>
      <w:r>
        <w:rPr>
          <w:rFonts w:ascii="Arial" w:hAnsi="Arial" w:cs="Arial"/>
          <w:color w:val="222222"/>
          <w:sz w:val="20"/>
          <w:szCs w:val="20"/>
          <w:shd w:val="clear" w:color="auto" w:fill="FFFFFF"/>
        </w:rPr>
        <w:t>Belina</w:t>
      </w:r>
      <w:proofErr w:type="spellEnd"/>
      <w:r>
        <w:rPr>
          <w:rFonts w:ascii="Arial" w:hAnsi="Arial" w:cs="Arial"/>
          <w:color w:val="222222"/>
          <w:sz w:val="20"/>
          <w:szCs w:val="20"/>
          <w:shd w:val="clear" w:color="auto" w:fill="FFFFFF"/>
        </w:rPr>
        <w:t xml:space="preserve">, D., </w:t>
      </w:r>
      <w:proofErr w:type="spellStart"/>
      <w:r>
        <w:rPr>
          <w:rFonts w:ascii="Arial" w:hAnsi="Arial" w:cs="Arial"/>
          <w:color w:val="222222"/>
          <w:sz w:val="20"/>
          <w:szCs w:val="20"/>
          <w:shd w:val="clear" w:color="auto" w:fill="FFFFFF"/>
        </w:rPr>
        <w:t>Geleta</w:t>
      </w:r>
      <w:proofErr w:type="spellEnd"/>
      <w:r>
        <w:rPr>
          <w:rFonts w:ascii="Arial" w:hAnsi="Arial" w:cs="Arial"/>
          <w:color w:val="222222"/>
          <w:sz w:val="20"/>
          <w:szCs w:val="20"/>
          <w:shd w:val="clear" w:color="auto" w:fill="FFFFFF"/>
        </w:rPr>
        <w:t xml:space="preserve">, A., </w:t>
      </w:r>
      <w:proofErr w:type="spellStart"/>
      <w:r>
        <w:rPr>
          <w:rFonts w:ascii="Arial" w:hAnsi="Arial" w:cs="Arial"/>
          <w:color w:val="222222"/>
          <w:sz w:val="20"/>
          <w:szCs w:val="20"/>
          <w:shd w:val="clear" w:color="auto" w:fill="FFFFFF"/>
        </w:rPr>
        <w:t>Beyene</w:t>
      </w:r>
      <w:proofErr w:type="spellEnd"/>
      <w:r>
        <w:rPr>
          <w:rFonts w:ascii="Arial" w:hAnsi="Arial" w:cs="Arial"/>
          <w:color w:val="222222"/>
          <w:sz w:val="20"/>
          <w:szCs w:val="20"/>
          <w:shd w:val="clear" w:color="auto" w:fill="FFFFFF"/>
        </w:rPr>
        <w:t xml:space="preserve">, D., &amp; </w:t>
      </w:r>
      <w:proofErr w:type="spellStart"/>
      <w:r>
        <w:rPr>
          <w:rFonts w:ascii="Arial" w:hAnsi="Arial" w:cs="Arial"/>
          <w:color w:val="222222"/>
          <w:sz w:val="20"/>
          <w:szCs w:val="20"/>
          <w:shd w:val="clear" w:color="auto" w:fill="FFFFFF"/>
        </w:rPr>
        <w:t>Tafesse</w:t>
      </w:r>
      <w:proofErr w:type="spellEnd"/>
      <w:r>
        <w:rPr>
          <w:rFonts w:ascii="Arial" w:hAnsi="Arial" w:cs="Arial"/>
          <w:color w:val="222222"/>
          <w:sz w:val="20"/>
          <w:szCs w:val="20"/>
          <w:shd w:val="clear" w:color="auto" w:fill="FFFFFF"/>
        </w:rPr>
        <w:t>, M. (2026). School Quality Enhancement in Secondary Education: Multi-Level School-Based Strategies and Insights That Contribute to Educational Improvement. </w:t>
      </w:r>
      <w:r>
        <w:rPr>
          <w:rFonts w:ascii="Arial" w:hAnsi="Arial" w:cs="Arial"/>
          <w:i/>
          <w:iCs/>
          <w:color w:val="222222"/>
          <w:sz w:val="20"/>
          <w:szCs w:val="20"/>
          <w:shd w:val="clear" w:color="auto" w:fill="FFFFFF"/>
        </w:rPr>
        <w:t>Journal of Education and Learning Environments</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2</w:t>
      </w:r>
      <w:r>
        <w:rPr>
          <w:rFonts w:ascii="Arial" w:hAnsi="Arial" w:cs="Arial"/>
          <w:color w:val="222222"/>
          <w:sz w:val="20"/>
          <w:szCs w:val="20"/>
          <w:shd w:val="clear" w:color="auto" w:fill="FFFFFF"/>
        </w:rPr>
        <w:t>(1), 51-61.</w:t>
      </w:r>
    </w:p>
    <w:p w:rsidR="005E1FA2" w:rsidRDefault="005E1FA2" w:rsidP="00F454F5">
      <w:pPr>
        <w:pStyle w:val="NormalWeb"/>
        <w:spacing w:before="0" w:beforeAutospacing="0"/>
        <w:rPr>
          <w:rFonts w:ascii="Arial" w:hAnsi="Arial" w:cs="Arial"/>
          <w:color w:val="222222"/>
          <w:sz w:val="20"/>
          <w:szCs w:val="20"/>
          <w:shd w:val="clear" w:color="auto" w:fill="FFFFFF"/>
        </w:rPr>
      </w:pPr>
      <w:r>
        <w:rPr>
          <w:rFonts w:ascii="Arial" w:hAnsi="Arial" w:cs="Arial"/>
          <w:color w:val="222222"/>
          <w:sz w:val="20"/>
          <w:szCs w:val="20"/>
          <w:shd w:val="clear" w:color="auto" w:fill="FFFFFF"/>
        </w:rPr>
        <w:t>Nwankwo, N. E., &amp; Sunday-</w:t>
      </w:r>
      <w:proofErr w:type="spellStart"/>
      <w:r>
        <w:rPr>
          <w:rFonts w:ascii="Arial" w:hAnsi="Arial" w:cs="Arial"/>
          <w:color w:val="222222"/>
          <w:sz w:val="20"/>
          <w:szCs w:val="20"/>
          <w:shd w:val="clear" w:color="auto" w:fill="FFFFFF"/>
        </w:rPr>
        <w:t>Cookey</w:t>
      </w:r>
      <w:proofErr w:type="spellEnd"/>
      <w:r>
        <w:rPr>
          <w:rFonts w:ascii="Arial" w:hAnsi="Arial" w:cs="Arial"/>
          <w:color w:val="222222"/>
          <w:sz w:val="20"/>
          <w:szCs w:val="20"/>
          <w:shd w:val="clear" w:color="auto" w:fill="FFFFFF"/>
        </w:rPr>
        <w:t>, L. I. (2025). Effect of Teacher Qualifications and Skills on Student Performance in Public Secondary Education. </w:t>
      </w:r>
      <w:r>
        <w:rPr>
          <w:rFonts w:ascii="Arial" w:hAnsi="Arial" w:cs="Arial"/>
          <w:i/>
          <w:iCs/>
          <w:color w:val="222222"/>
          <w:sz w:val="20"/>
          <w:szCs w:val="20"/>
          <w:shd w:val="clear" w:color="auto" w:fill="FFFFFF"/>
        </w:rPr>
        <w:t>Education</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18</w:t>
      </w:r>
      <w:r>
        <w:rPr>
          <w:rFonts w:ascii="Arial" w:hAnsi="Arial" w:cs="Arial"/>
          <w:color w:val="222222"/>
          <w:sz w:val="20"/>
          <w:szCs w:val="20"/>
          <w:shd w:val="clear" w:color="auto" w:fill="FFFFFF"/>
        </w:rPr>
        <w:t>(3), 453-481.</w:t>
      </w:r>
    </w:p>
    <w:p w:rsidR="005E1FA2" w:rsidRDefault="005E1FA2" w:rsidP="00F454F5">
      <w:pPr>
        <w:pStyle w:val="NormalWeb"/>
        <w:spacing w:before="0" w:beforeAutospacing="0"/>
        <w:rPr>
          <w:rFonts w:ascii="Arial" w:hAnsi="Arial" w:cs="Arial"/>
          <w:color w:val="222222"/>
          <w:sz w:val="20"/>
          <w:szCs w:val="20"/>
          <w:shd w:val="clear" w:color="auto" w:fill="FFFFFF"/>
        </w:rPr>
      </w:pPr>
      <w:proofErr w:type="spellStart"/>
      <w:r>
        <w:rPr>
          <w:rFonts w:ascii="Arial" w:hAnsi="Arial" w:cs="Arial"/>
          <w:color w:val="222222"/>
          <w:sz w:val="20"/>
          <w:szCs w:val="20"/>
          <w:shd w:val="clear" w:color="auto" w:fill="FFFFFF"/>
        </w:rPr>
        <w:t>Supriatna</w:t>
      </w:r>
      <w:proofErr w:type="spellEnd"/>
      <w:r>
        <w:rPr>
          <w:rFonts w:ascii="Arial" w:hAnsi="Arial" w:cs="Arial"/>
          <w:color w:val="222222"/>
          <w:sz w:val="20"/>
          <w:szCs w:val="20"/>
          <w:shd w:val="clear" w:color="auto" w:fill="FFFFFF"/>
        </w:rPr>
        <w:t xml:space="preserve">, U., </w:t>
      </w:r>
      <w:proofErr w:type="spellStart"/>
      <w:r>
        <w:rPr>
          <w:rFonts w:ascii="Arial" w:hAnsi="Arial" w:cs="Arial"/>
          <w:color w:val="222222"/>
          <w:sz w:val="20"/>
          <w:szCs w:val="20"/>
          <w:shd w:val="clear" w:color="auto" w:fill="FFFFFF"/>
        </w:rPr>
        <w:t>Arifudin</w:t>
      </w:r>
      <w:proofErr w:type="spellEnd"/>
      <w:r>
        <w:rPr>
          <w:rFonts w:ascii="Arial" w:hAnsi="Arial" w:cs="Arial"/>
          <w:color w:val="222222"/>
          <w:sz w:val="20"/>
          <w:szCs w:val="20"/>
          <w:shd w:val="clear" w:color="auto" w:fill="FFFFFF"/>
        </w:rPr>
        <w:t xml:space="preserve">, O., &amp; Kartika, I. (2026). The Role </w:t>
      </w:r>
      <w:proofErr w:type="gramStart"/>
      <w:r>
        <w:rPr>
          <w:rFonts w:ascii="Arial" w:hAnsi="Arial" w:cs="Arial"/>
          <w:color w:val="222222"/>
          <w:sz w:val="20"/>
          <w:szCs w:val="20"/>
          <w:shd w:val="clear" w:color="auto" w:fill="FFFFFF"/>
        </w:rPr>
        <w:t>Of</w:t>
      </w:r>
      <w:proofErr w:type="gramEnd"/>
      <w:r>
        <w:rPr>
          <w:rFonts w:ascii="Arial" w:hAnsi="Arial" w:cs="Arial"/>
          <w:color w:val="222222"/>
          <w:sz w:val="20"/>
          <w:szCs w:val="20"/>
          <w:shd w:val="clear" w:color="auto" w:fill="FFFFFF"/>
        </w:rPr>
        <w:t xml:space="preserve"> Teachers In Improving The Quality Of Learning In Madrasah </w:t>
      </w:r>
      <w:proofErr w:type="spellStart"/>
      <w:r>
        <w:rPr>
          <w:rFonts w:ascii="Arial" w:hAnsi="Arial" w:cs="Arial"/>
          <w:color w:val="222222"/>
          <w:sz w:val="20"/>
          <w:szCs w:val="20"/>
          <w:shd w:val="clear" w:color="auto" w:fill="FFFFFF"/>
        </w:rPr>
        <w:t>Tsanawiyah</w:t>
      </w:r>
      <w:proofErr w:type="spellEnd"/>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 xml:space="preserve">International Journal </w:t>
      </w:r>
      <w:proofErr w:type="gramStart"/>
      <w:r>
        <w:rPr>
          <w:rFonts w:ascii="Arial" w:hAnsi="Arial" w:cs="Arial"/>
          <w:i/>
          <w:iCs/>
          <w:color w:val="222222"/>
          <w:sz w:val="20"/>
          <w:szCs w:val="20"/>
          <w:shd w:val="clear" w:color="auto" w:fill="FFFFFF"/>
        </w:rPr>
        <w:t>Of</w:t>
      </w:r>
      <w:proofErr w:type="gramEnd"/>
      <w:r>
        <w:rPr>
          <w:rFonts w:ascii="Arial" w:hAnsi="Arial" w:cs="Arial"/>
          <w:i/>
          <w:iCs/>
          <w:color w:val="222222"/>
          <w:sz w:val="20"/>
          <w:szCs w:val="20"/>
          <w:shd w:val="clear" w:color="auto" w:fill="FFFFFF"/>
        </w:rPr>
        <w:t xml:space="preserve"> Science Education and Technology Management (IJSETM)</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5</w:t>
      </w:r>
      <w:r>
        <w:rPr>
          <w:rFonts w:ascii="Arial" w:hAnsi="Arial" w:cs="Arial"/>
          <w:color w:val="222222"/>
          <w:sz w:val="20"/>
          <w:szCs w:val="20"/>
          <w:shd w:val="clear" w:color="auto" w:fill="FFFFFF"/>
        </w:rPr>
        <w:t>(1), 45-56.</w:t>
      </w:r>
    </w:p>
    <w:p w:rsidR="005E1FA2" w:rsidRDefault="005E1FA2" w:rsidP="00F454F5">
      <w:pPr>
        <w:pStyle w:val="NormalWeb"/>
        <w:spacing w:before="0" w:beforeAutospacing="0"/>
        <w:rPr>
          <w:rFonts w:ascii="Arial" w:hAnsi="Arial" w:cs="Arial"/>
          <w:color w:val="222222"/>
          <w:sz w:val="20"/>
          <w:szCs w:val="20"/>
          <w:shd w:val="clear" w:color="auto" w:fill="FFFFFF"/>
        </w:rPr>
      </w:pPr>
      <w:proofErr w:type="spellStart"/>
      <w:r>
        <w:rPr>
          <w:rFonts w:ascii="Arial" w:hAnsi="Arial" w:cs="Arial"/>
          <w:color w:val="222222"/>
          <w:sz w:val="20"/>
          <w:szCs w:val="20"/>
          <w:shd w:val="clear" w:color="auto" w:fill="FFFFFF"/>
        </w:rPr>
        <w:t>Kotirde</w:t>
      </w:r>
      <w:proofErr w:type="spellEnd"/>
      <w:r>
        <w:rPr>
          <w:rFonts w:ascii="Arial" w:hAnsi="Arial" w:cs="Arial"/>
          <w:color w:val="222222"/>
          <w:sz w:val="20"/>
          <w:szCs w:val="20"/>
          <w:shd w:val="clear" w:color="auto" w:fill="FFFFFF"/>
        </w:rPr>
        <w:t xml:space="preserve">, I. Y., &amp; </w:t>
      </w:r>
      <w:proofErr w:type="spellStart"/>
      <w:r>
        <w:rPr>
          <w:rFonts w:ascii="Arial" w:hAnsi="Arial" w:cs="Arial"/>
          <w:color w:val="222222"/>
          <w:sz w:val="20"/>
          <w:szCs w:val="20"/>
          <w:shd w:val="clear" w:color="auto" w:fill="FFFFFF"/>
        </w:rPr>
        <w:t>Yunos</w:t>
      </w:r>
      <w:proofErr w:type="spellEnd"/>
      <w:r>
        <w:rPr>
          <w:rFonts w:ascii="Arial" w:hAnsi="Arial" w:cs="Arial"/>
          <w:color w:val="222222"/>
          <w:sz w:val="20"/>
          <w:szCs w:val="20"/>
          <w:shd w:val="clear" w:color="auto" w:fill="FFFFFF"/>
        </w:rPr>
        <w:t>, J. B. M. (2014). The supervisors’ role for improving the quality of teaching and learning in Nigeria secondary school educational system. </w:t>
      </w:r>
      <w:r>
        <w:rPr>
          <w:rFonts w:ascii="Arial" w:hAnsi="Arial" w:cs="Arial"/>
          <w:i/>
          <w:iCs/>
          <w:color w:val="222222"/>
          <w:sz w:val="20"/>
          <w:szCs w:val="20"/>
          <w:shd w:val="clear" w:color="auto" w:fill="FFFFFF"/>
        </w:rPr>
        <w:t>International Journal of Education and research</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2</w:t>
      </w:r>
      <w:r>
        <w:rPr>
          <w:rFonts w:ascii="Arial" w:hAnsi="Arial" w:cs="Arial"/>
          <w:color w:val="222222"/>
          <w:sz w:val="20"/>
          <w:szCs w:val="20"/>
          <w:shd w:val="clear" w:color="auto" w:fill="FFFFFF"/>
        </w:rPr>
        <w:t>(8), 53-60.</w:t>
      </w:r>
    </w:p>
    <w:p w:rsidR="00790ADA" w:rsidRPr="00AD3952" w:rsidRDefault="00790ADA" w:rsidP="00441B6F">
      <w:pPr>
        <w:pStyle w:val="Body"/>
        <w:spacing w:after="0"/>
        <w:rPr>
          <w:rFonts w:ascii="Arial" w:hAnsi="Arial" w:cs="Arial"/>
        </w:rPr>
      </w:pPr>
    </w:p>
    <w:p w:rsidR="00B01FCD" w:rsidRPr="00AD3952" w:rsidRDefault="00B01FCD" w:rsidP="00441B6F">
      <w:pPr>
        <w:pStyle w:val="Appendix"/>
        <w:spacing w:after="0"/>
        <w:jc w:val="both"/>
        <w:rPr>
          <w:rFonts w:ascii="Arial" w:hAnsi="Arial" w:cs="Arial"/>
          <w:b w:val="0"/>
          <w:sz w:val="20"/>
        </w:rPr>
      </w:pPr>
    </w:p>
    <w:sectPr w:rsidR="00B01FCD" w:rsidRPr="00AD3952" w:rsidSect="00412475">
      <w:footerReference w:type="default" r:id="rId10"/>
      <w:type w:val="continuous"/>
      <w:pgSz w:w="12240" w:h="15840"/>
      <w:pgMar w:top="720" w:right="720" w:bottom="720" w:left="72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A48B4" w:rsidRDefault="004A48B4" w:rsidP="00C37E61">
      <w:r>
        <w:separator/>
      </w:r>
    </w:p>
  </w:endnote>
  <w:endnote w:type="continuationSeparator" w:id="0">
    <w:p w:rsidR="004A48B4" w:rsidRDefault="004A48B4"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048A" w:rsidRDefault="009E048A">
    <w:pPr>
      <w:pStyle w:val="Footer"/>
      <w:rPr>
        <w:rFonts w:ascii="Arial" w:hAnsi="Arial" w:cs="Arial"/>
        <w:sz w:val="16"/>
      </w:rPr>
    </w:pPr>
  </w:p>
  <w:p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rsidR="009E048A" w:rsidRDefault="009E048A">
    <w:pPr>
      <w:pStyle w:val="Footer"/>
      <w:rPr>
        <w:rFonts w:ascii="Arial" w:hAnsi="Arial" w:cs="Arial"/>
        <w:sz w:val="16"/>
      </w:rPr>
    </w:pPr>
  </w:p>
  <w:p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A48B4" w:rsidRDefault="004A48B4" w:rsidP="00C37E61">
      <w:r>
        <w:separator/>
      </w:r>
    </w:p>
  </w:footnote>
  <w:footnote w:type="continuationSeparator" w:id="0">
    <w:p w:rsidR="004A48B4" w:rsidRDefault="004A48B4"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6529" w:rsidRPr="00296529" w:rsidRDefault="00296529" w:rsidP="00296529">
    <w:pPr>
      <w:ind w:left="2160"/>
      <w:jc w:val="center"/>
      <w:rPr>
        <w:rFonts w:ascii="Times New Roman" w:eastAsia="Calibri" w:hAnsi="Times New Roman"/>
        <w:i/>
        <w:sz w:val="18"/>
        <w:szCs w:val="22"/>
      </w:rPr>
    </w:pPr>
  </w:p>
  <w:p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9DA092B"/>
    <w:multiLevelType w:val="multilevel"/>
    <w:tmpl w:val="D4AC5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1F680DA2"/>
    <w:multiLevelType w:val="multilevel"/>
    <w:tmpl w:val="7C403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3F22C9F"/>
    <w:multiLevelType w:val="multilevel"/>
    <w:tmpl w:val="00369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A7F066D"/>
    <w:multiLevelType w:val="multilevel"/>
    <w:tmpl w:val="7EA60E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3CA5583A"/>
    <w:multiLevelType w:val="hybridMultilevel"/>
    <w:tmpl w:val="928EF0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1"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5"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7"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9"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1"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F0244B7"/>
    <w:multiLevelType w:val="multilevel"/>
    <w:tmpl w:val="A2DA1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20"/>
  </w:num>
  <w:num w:numId="3">
    <w:abstractNumId w:val="28"/>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6"/>
  </w:num>
  <w:num w:numId="9">
    <w:abstractNumId w:val="30"/>
  </w:num>
  <w:num w:numId="10">
    <w:abstractNumId w:val="2"/>
  </w:num>
  <w:num w:numId="11">
    <w:abstractNumId w:val="23"/>
  </w:num>
  <w:num w:numId="12">
    <w:abstractNumId w:val="3"/>
  </w:num>
  <w:num w:numId="13">
    <w:abstractNumId w:val="22"/>
  </w:num>
  <w:num w:numId="14">
    <w:abstractNumId w:val="9"/>
  </w:num>
  <w:num w:numId="15">
    <w:abstractNumId w:val="26"/>
  </w:num>
  <w:num w:numId="16">
    <w:abstractNumId w:val="5"/>
  </w:num>
  <w:num w:numId="17">
    <w:abstractNumId w:val="27"/>
  </w:num>
  <w:num w:numId="18">
    <w:abstractNumId w:val="18"/>
  </w:num>
  <w:num w:numId="19">
    <w:abstractNumId w:val="34"/>
  </w:num>
  <w:num w:numId="20">
    <w:abstractNumId w:val="14"/>
  </w:num>
  <w:num w:numId="21">
    <w:abstractNumId w:val="11"/>
  </w:num>
  <w:num w:numId="22">
    <w:abstractNumId w:val="17"/>
  </w:num>
  <w:num w:numId="23">
    <w:abstractNumId w:val="24"/>
  </w:num>
  <w:num w:numId="24">
    <w:abstractNumId w:val="31"/>
  </w:num>
  <w:num w:numId="25">
    <w:abstractNumId w:val="4"/>
  </w:num>
  <w:num w:numId="26">
    <w:abstractNumId w:val="21"/>
  </w:num>
  <w:num w:numId="27">
    <w:abstractNumId w:val="25"/>
  </w:num>
  <w:num w:numId="28">
    <w:abstractNumId w:val="32"/>
  </w:num>
  <w:num w:numId="29">
    <w:abstractNumId w:val="29"/>
  </w:num>
  <w:num w:numId="30">
    <w:abstractNumId w:val="12"/>
  </w:num>
  <w:num w:numId="31">
    <w:abstractNumId w:val="13"/>
  </w:num>
  <w:num w:numId="32">
    <w:abstractNumId w:val="15"/>
  </w:num>
  <w:num w:numId="33">
    <w:abstractNumId w:val="10"/>
  </w:num>
  <w:num w:numId="34">
    <w:abstractNumId w:val="33"/>
  </w:num>
  <w:num w:numId="35">
    <w:abstractNumId w:val="19"/>
  </w:num>
  <w:num w:numId="3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MjYwM7Q0M7c0NDQ3N7BQ0lEKTi0uzszPAykwrAUA5DP3BiwAAAA="/>
  </w:docVars>
  <w:rsids>
    <w:rsidRoot w:val="00AA6219"/>
    <w:rsid w:val="00000F8F"/>
    <w:rsid w:val="00030174"/>
    <w:rsid w:val="000345CF"/>
    <w:rsid w:val="0004579C"/>
    <w:rsid w:val="000651D9"/>
    <w:rsid w:val="000A47FA"/>
    <w:rsid w:val="000A65D3"/>
    <w:rsid w:val="000B1E33"/>
    <w:rsid w:val="000D689F"/>
    <w:rsid w:val="000E7B7B"/>
    <w:rsid w:val="000E7D62"/>
    <w:rsid w:val="000F3B30"/>
    <w:rsid w:val="00103357"/>
    <w:rsid w:val="00123C9F"/>
    <w:rsid w:val="00126190"/>
    <w:rsid w:val="00130F17"/>
    <w:rsid w:val="001320BF"/>
    <w:rsid w:val="001555BF"/>
    <w:rsid w:val="00163BC4"/>
    <w:rsid w:val="00191062"/>
    <w:rsid w:val="00192B72"/>
    <w:rsid w:val="00195D5F"/>
    <w:rsid w:val="001A29D8"/>
    <w:rsid w:val="001A5CAA"/>
    <w:rsid w:val="001B0427"/>
    <w:rsid w:val="001D3A51"/>
    <w:rsid w:val="001E10D2"/>
    <w:rsid w:val="001E25B4"/>
    <w:rsid w:val="001E44FE"/>
    <w:rsid w:val="00200595"/>
    <w:rsid w:val="00204835"/>
    <w:rsid w:val="0021073D"/>
    <w:rsid w:val="00230631"/>
    <w:rsid w:val="00230E43"/>
    <w:rsid w:val="00231920"/>
    <w:rsid w:val="0023195C"/>
    <w:rsid w:val="0024282C"/>
    <w:rsid w:val="002460DC"/>
    <w:rsid w:val="00250985"/>
    <w:rsid w:val="002556F6"/>
    <w:rsid w:val="002720BA"/>
    <w:rsid w:val="002811B7"/>
    <w:rsid w:val="00283105"/>
    <w:rsid w:val="00284C4C"/>
    <w:rsid w:val="00287E68"/>
    <w:rsid w:val="00296529"/>
    <w:rsid w:val="002A19CB"/>
    <w:rsid w:val="002A2AF0"/>
    <w:rsid w:val="002B27FB"/>
    <w:rsid w:val="002B685A"/>
    <w:rsid w:val="002C3500"/>
    <w:rsid w:val="002C57D2"/>
    <w:rsid w:val="002E0D56"/>
    <w:rsid w:val="00315186"/>
    <w:rsid w:val="0033343E"/>
    <w:rsid w:val="003512C2"/>
    <w:rsid w:val="00371FB6"/>
    <w:rsid w:val="003763C1"/>
    <w:rsid w:val="00376BBE"/>
    <w:rsid w:val="0039224F"/>
    <w:rsid w:val="003A43A4"/>
    <w:rsid w:val="003A7E18"/>
    <w:rsid w:val="003C4C86"/>
    <w:rsid w:val="003C6258"/>
    <w:rsid w:val="003E2904"/>
    <w:rsid w:val="00401927"/>
    <w:rsid w:val="0040231E"/>
    <w:rsid w:val="0041027F"/>
    <w:rsid w:val="00412475"/>
    <w:rsid w:val="00423789"/>
    <w:rsid w:val="00440F43"/>
    <w:rsid w:val="00441B6F"/>
    <w:rsid w:val="00446221"/>
    <w:rsid w:val="00450E62"/>
    <w:rsid w:val="004539DB"/>
    <w:rsid w:val="00471A80"/>
    <w:rsid w:val="00484013"/>
    <w:rsid w:val="004955A7"/>
    <w:rsid w:val="004A3E55"/>
    <w:rsid w:val="004A48B4"/>
    <w:rsid w:val="004D305E"/>
    <w:rsid w:val="004D4277"/>
    <w:rsid w:val="00502516"/>
    <w:rsid w:val="00505F06"/>
    <w:rsid w:val="00506828"/>
    <w:rsid w:val="0053056E"/>
    <w:rsid w:val="00554FDA"/>
    <w:rsid w:val="00576F98"/>
    <w:rsid w:val="005C1788"/>
    <w:rsid w:val="005C784C"/>
    <w:rsid w:val="005D17F6"/>
    <w:rsid w:val="005E1FA2"/>
    <w:rsid w:val="005E4741"/>
    <w:rsid w:val="005E5539"/>
    <w:rsid w:val="00602BF5"/>
    <w:rsid w:val="00617FDD"/>
    <w:rsid w:val="00633614"/>
    <w:rsid w:val="00633F68"/>
    <w:rsid w:val="00636EB2"/>
    <w:rsid w:val="006375B8"/>
    <w:rsid w:val="0066510A"/>
    <w:rsid w:val="00673F9F"/>
    <w:rsid w:val="00676C8E"/>
    <w:rsid w:val="00686953"/>
    <w:rsid w:val="00687DEA"/>
    <w:rsid w:val="00687E67"/>
    <w:rsid w:val="006967F7"/>
    <w:rsid w:val="006A250C"/>
    <w:rsid w:val="006A48D3"/>
    <w:rsid w:val="006B21D3"/>
    <w:rsid w:val="006B57D0"/>
    <w:rsid w:val="006D30FF"/>
    <w:rsid w:val="006D6940"/>
    <w:rsid w:val="006F11EC"/>
    <w:rsid w:val="0070082C"/>
    <w:rsid w:val="00701646"/>
    <w:rsid w:val="00731A9F"/>
    <w:rsid w:val="007369E6"/>
    <w:rsid w:val="00736E9D"/>
    <w:rsid w:val="00746E59"/>
    <w:rsid w:val="00754C9A"/>
    <w:rsid w:val="0075599A"/>
    <w:rsid w:val="00761D52"/>
    <w:rsid w:val="00774D87"/>
    <w:rsid w:val="0077749E"/>
    <w:rsid w:val="00790ADA"/>
    <w:rsid w:val="007A64BB"/>
    <w:rsid w:val="007D2288"/>
    <w:rsid w:val="007E088F"/>
    <w:rsid w:val="007E55E1"/>
    <w:rsid w:val="007F7B32"/>
    <w:rsid w:val="00804BC2"/>
    <w:rsid w:val="00807703"/>
    <w:rsid w:val="0081431A"/>
    <w:rsid w:val="0083216F"/>
    <w:rsid w:val="00860000"/>
    <w:rsid w:val="00863BD3"/>
    <w:rsid w:val="008641ED"/>
    <w:rsid w:val="00866D66"/>
    <w:rsid w:val="008671C6"/>
    <w:rsid w:val="008702F8"/>
    <w:rsid w:val="00875803"/>
    <w:rsid w:val="008B459E"/>
    <w:rsid w:val="008E13AE"/>
    <w:rsid w:val="008E1506"/>
    <w:rsid w:val="008E710C"/>
    <w:rsid w:val="008F69D6"/>
    <w:rsid w:val="00902823"/>
    <w:rsid w:val="00915CA6"/>
    <w:rsid w:val="00927834"/>
    <w:rsid w:val="009500A6"/>
    <w:rsid w:val="00957C18"/>
    <w:rsid w:val="009659BA"/>
    <w:rsid w:val="00983040"/>
    <w:rsid w:val="009A6D62"/>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4063"/>
    <w:rsid w:val="00AA6219"/>
    <w:rsid w:val="00AA74E0"/>
    <w:rsid w:val="00AB703F"/>
    <w:rsid w:val="00AC6BB8"/>
    <w:rsid w:val="00AD3952"/>
    <w:rsid w:val="00AE008F"/>
    <w:rsid w:val="00AF0557"/>
    <w:rsid w:val="00B01FCD"/>
    <w:rsid w:val="00B1776C"/>
    <w:rsid w:val="00B24981"/>
    <w:rsid w:val="00B52583"/>
    <w:rsid w:val="00B52896"/>
    <w:rsid w:val="00B95236"/>
    <w:rsid w:val="00B96BD9"/>
    <w:rsid w:val="00BA1B01"/>
    <w:rsid w:val="00BA2641"/>
    <w:rsid w:val="00BB37AA"/>
    <w:rsid w:val="00BC53A0"/>
    <w:rsid w:val="00BE62AD"/>
    <w:rsid w:val="00BF121F"/>
    <w:rsid w:val="00BF1F80"/>
    <w:rsid w:val="00C166EF"/>
    <w:rsid w:val="00C17EB0"/>
    <w:rsid w:val="00C23BF7"/>
    <w:rsid w:val="00C27F5F"/>
    <w:rsid w:val="00C30A0F"/>
    <w:rsid w:val="00C37E61"/>
    <w:rsid w:val="00C70F1B"/>
    <w:rsid w:val="00C71A47"/>
    <w:rsid w:val="00C7464C"/>
    <w:rsid w:val="00C85588"/>
    <w:rsid w:val="00C90914"/>
    <w:rsid w:val="00CD582A"/>
    <w:rsid w:val="00CD6755"/>
    <w:rsid w:val="00CD6856"/>
    <w:rsid w:val="00CE0089"/>
    <w:rsid w:val="00CE793C"/>
    <w:rsid w:val="00CF193C"/>
    <w:rsid w:val="00D173F1"/>
    <w:rsid w:val="00D64564"/>
    <w:rsid w:val="00D74CB0"/>
    <w:rsid w:val="00D8295D"/>
    <w:rsid w:val="00DC2A65"/>
    <w:rsid w:val="00DE15F0"/>
    <w:rsid w:val="00DE5663"/>
    <w:rsid w:val="00DE78AA"/>
    <w:rsid w:val="00E053D0"/>
    <w:rsid w:val="00E10644"/>
    <w:rsid w:val="00E15994"/>
    <w:rsid w:val="00E306F3"/>
    <w:rsid w:val="00E3114E"/>
    <w:rsid w:val="00E31A70"/>
    <w:rsid w:val="00E35B02"/>
    <w:rsid w:val="00E66496"/>
    <w:rsid w:val="00E66B35"/>
    <w:rsid w:val="00E66E10"/>
    <w:rsid w:val="00E769F6"/>
    <w:rsid w:val="00E8407C"/>
    <w:rsid w:val="00E84F3C"/>
    <w:rsid w:val="00E971CC"/>
    <w:rsid w:val="00EA012C"/>
    <w:rsid w:val="00EC6A55"/>
    <w:rsid w:val="00ED0288"/>
    <w:rsid w:val="00EE52CB"/>
    <w:rsid w:val="00EE7F61"/>
    <w:rsid w:val="00EF581D"/>
    <w:rsid w:val="00EF7FD8"/>
    <w:rsid w:val="00F051D3"/>
    <w:rsid w:val="00F06F59"/>
    <w:rsid w:val="00F17988"/>
    <w:rsid w:val="00F3257D"/>
    <w:rsid w:val="00F454F5"/>
    <w:rsid w:val="00F469F0"/>
    <w:rsid w:val="00F53273"/>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rules v:ext="edit">
        <o:r id="V:Rule2" type="connector" idref="#_x0000_s1026"/>
      </o:rules>
    </o:shapelayout>
  </w:shapeDefaults>
  <w:decimalSymbol w:val="."/>
  <w:listSeparator w:val=","/>
  <w14:docId w14:val="65986C05"/>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F454F5"/>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ind w:left="0" w:firstLine="0"/>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ms-1">
    <w:name w:val="ms-1"/>
    <w:basedOn w:val="DefaultParagraphFont"/>
    <w:rsid w:val="007A64BB"/>
  </w:style>
  <w:style w:type="character" w:customStyle="1" w:styleId="apple-converted-space">
    <w:name w:val="apple-converted-space"/>
    <w:basedOn w:val="DefaultParagraphFont"/>
    <w:rsid w:val="007A64BB"/>
  </w:style>
  <w:style w:type="character" w:styleId="Strong">
    <w:name w:val="Strong"/>
    <w:basedOn w:val="DefaultParagraphFont"/>
    <w:uiPriority w:val="22"/>
    <w:qFormat/>
    <w:rsid w:val="007A64BB"/>
    <w:rPr>
      <w:b/>
      <w:bCs/>
    </w:rPr>
  </w:style>
  <w:style w:type="paragraph" w:styleId="NormalWeb">
    <w:name w:val="Normal (Web)"/>
    <w:basedOn w:val="Normal"/>
    <w:uiPriority w:val="99"/>
    <w:semiHidden/>
    <w:unhideWhenUsed/>
    <w:rsid w:val="007A64BB"/>
    <w:pPr>
      <w:spacing w:before="100" w:beforeAutospacing="1" w:after="100" w:afterAutospacing="1"/>
    </w:pPr>
    <w:rPr>
      <w:rFonts w:ascii="Times New Roman" w:hAnsi="Times New Roman"/>
      <w:sz w:val="24"/>
      <w:szCs w:val="24"/>
      <w:lang w:val="en-PH"/>
    </w:rPr>
  </w:style>
  <w:style w:type="character" w:customStyle="1" w:styleId="Heading3Char">
    <w:name w:val="Heading 3 Char"/>
    <w:basedOn w:val="DefaultParagraphFont"/>
    <w:link w:val="Heading3"/>
    <w:semiHidden/>
    <w:rsid w:val="00F454F5"/>
    <w:rPr>
      <w:rFonts w:asciiTheme="majorHAnsi" w:eastAsiaTheme="majorEastAsia" w:hAnsiTheme="majorHAnsi" w:cstheme="majorBidi"/>
      <w:color w:val="243F60" w:themeColor="accent1" w:themeShade="7F"/>
      <w:sz w:val="24"/>
      <w:szCs w:val="24"/>
    </w:rPr>
  </w:style>
  <w:style w:type="character" w:customStyle="1" w:styleId="citation-306">
    <w:name w:val="citation-306"/>
    <w:basedOn w:val="DefaultParagraphFont"/>
    <w:rsid w:val="00F454F5"/>
  </w:style>
  <w:style w:type="character" w:customStyle="1" w:styleId="citation-305">
    <w:name w:val="citation-305"/>
    <w:basedOn w:val="DefaultParagraphFont"/>
    <w:rsid w:val="00F454F5"/>
  </w:style>
  <w:style w:type="character" w:customStyle="1" w:styleId="citation-304">
    <w:name w:val="citation-304"/>
    <w:basedOn w:val="DefaultParagraphFont"/>
    <w:rsid w:val="00F454F5"/>
  </w:style>
  <w:style w:type="character" w:customStyle="1" w:styleId="citation-303">
    <w:name w:val="citation-303"/>
    <w:basedOn w:val="DefaultParagraphFont"/>
    <w:rsid w:val="00F454F5"/>
  </w:style>
  <w:style w:type="character" w:customStyle="1" w:styleId="citation-302">
    <w:name w:val="citation-302"/>
    <w:basedOn w:val="DefaultParagraphFont"/>
    <w:rsid w:val="00F454F5"/>
  </w:style>
  <w:style w:type="character" w:customStyle="1" w:styleId="citation-301">
    <w:name w:val="citation-301"/>
    <w:basedOn w:val="DefaultParagraphFont"/>
    <w:rsid w:val="00F454F5"/>
  </w:style>
  <w:style w:type="character" w:customStyle="1" w:styleId="citation-300">
    <w:name w:val="citation-300"/>
    <w:basedOn w:val="DefaultParagraphFont"/>
    <w:rsid w:val="00F454F5"/>
  </w:style>
  <w:style w:type="character" w:customStyle="1" w:styleId="citation-299">
    <w:name w:val="citation-299"/>
    <w:basedOn w:val="DefaultParagraphFont"/>
    <w:rsid w:val="00F454F5"/>
  </w:style>
  <w:style w:type="character" w:customStyle="1" w:styleId="citation-298">
    <w:name w:val="citation-298"/>
    <w:basedOn w:val="DefaultParagraphFont"/>
    <w:rsid w:val="00F454F5"/>
  </w:style>
  <w:style w:type="character" w:customStyle="1" w:styleId="citation-297">
    <w:name w:val="citation-297"/>
    <w:basedOn w:val="DefaultParagraphFont"/>
    <w:rsid w:val="00F454F5"/>
  </w:style>
  <w:style w:type="character" w:customStyle="1" w:styleId="citation-296">
    <w:name w:val="citation-296"/>
    <w:basedOn w:val="DefaultParagraphFont"/>
    <w:rsid w:val="00F454F5"/>
  </w:style>
  <w:style w:type="character" w:customStyle="1" w:styleId="citation-295">
    <w:name w:val="citation-295"/>
    <w:basedOn w:val="DefaultParagraphFont"/>
    <w:rsid w:val="00F454F5"/>
  </w:style>
  <w:style w:type="character" w:customStyle="1" w:styleId="citation-294">
    <w:name w:val="citation-294"/>
    <w:basedOn w:val="DefaultParagraphFont"/>
    <w:rsid w:val="00F454F5"/>
  </w:style>
  <w:style w:type="character" w:customStyle="1" w:styleId="citation-293">
    <w:name w:val="citation-293"/>
    <w:basedOn w:val="DefaultParagraphFont"/>
    <w:rsid w:val="00F454F5"/>
  </w:style>
  <w:style w:type="character" w:customStyle="1" w:styleId="citation-292">
    <w:name w:val="citation-292"/>
    <w:basedOn w:val="DefaultParagraphFont"/>
    <w:rsid w:val="00F454F5"/>
  </w:style>
  <w:style w:type="character" w:customStyle="1" w:styleId="citation-291">
    <w:name w:val="citation-291"/>
    <w:basedOn w:val="DefaultParagraphFont"/>
    <w:rsid w:val="00F454F5"/>
  </w:style>
  <w:style w:type="character" w:customStyle="1" w:styleId="citation-290">
    <w:name w:val="citation-290"/>
    <w:basedOn w:val="DefaultParagraphFont"/>
    <w:rsid w:val="00F454F5"/>
  </w:style>
  <w:style w:type="character" w:customStyle="1" w:styleId="citation-289">
    <w:name w:val="citation-289"/>
    <w:basedOn w:val="DefaultParagraphFont"/>
    <w:rsid w:val="00F454F5"/>
  </w:style>
  <w:style w:type="character" w:customStyle="1" w:styleId="citation-348">
    <w:name w:val="citation-348"/>
    <w:basedOn w:val="DefaultParagraphFont"/>
    <w:rsid w:val="00F454F5"/>
  </w:style>
  <w:style w:type="character" w:customStyle="1" w:styleId="citation-347">
    <w:name w:val="citation-347"/>
    <w:basedOn w:val="DefaultParagraphFont"/>
    <w:rsid w:val="00F454F5"/>
  </w:style>
  <w:style w:type="character" w:customStyle="1" w:styleId="citation-346">
    <w:name w:val="citation-346"/>
    <w:basedOn w:val="DefaultParagraphFont"/>
    <w:rsid w:val="00F454F5"/>
  </w:style>
  <w:style w:type="character" w:customStyle="1" w:styleId="citation-345">
    <w:name w:val="citation-345"/>
    <w:basedOn w:val="DefaultParagraphFont"/>
    <w:rsid w:val="00F454F5"/>
  </w:style>
  <w:style w:type="character" w:customStyle="1" w:styleId="citation-344">
    <w:name w:val="citation-344"/>
    <w:basedOn w:val="DefaultParagraphFont"/>
    <w:rsid w:val="00F454F5"/>
  </w:style>
  <w:style w:type="character" w:customStyle="1" w:styleId="citation-343">
    <w:name w:val="citation-343"/>
    <w:basedOn w:val="DefaultParagraphFont"/>
    <w:rsid w:val="00F454F5"/>
  </w:style>
  <w:style w:type="character" w:customStyle="1" w:styleId="citation-806">
    <w:name w:val="citation-806"/>
    <w:basedOn w:val="DefaultParagraphFont"/>
    <w:rsid w:val="00E306F3"/>
  </w:style>
  <w:style w:type="character" w:customStyle="1" w:styleId="citation-805">
    <w:name w:val="citation-805"/>
    <w:basedOn w:val="DefaultParagraphFont"/>
    <w:rsid w:val="00E306F3"/>
  </w:style>
  <w:style w:type="character" w:customStyle="1" w:styleId="citation-804">
    <w:name w:val="citation-804"/>
    <w:basedOn w:val="DefaultParagraphFont"/>
    <w:rsid w:val="00E306F3"/>
  </w:style>
  <w:style w:type="character" w:customStyle="1" w:styleId="citation-803">
    <w:name w:val="citation-803"/>
    <w:basedOn w:val="DefaultParagraphFont"/>
    <w:rsid w:val="00E306F3"/>
  </w:style>
  <w:style w:type="character" w:customStyle="1" w:styleId="citation-802">
    <w:name w:val="citation-802"/>
    <w:basedOn w:val="DefaultParagraphFont"/>
    <w:rsid w:val="00E306F3"/>
  </w:style>
  <w:style w:type="character" w:customStyle="1" w:styleId="citation-801">
    <w:name w:val="citation-801"/>
    <w:basedOn w:val="DefaultParagraphFont"/>
    <w:rsid w:val="00E306F3"/>
  </w:style>
  <w:style w:type="character" w:customStyle="1" w:styleId="citation-800">
    <w:name w:val="citation-800"/>
    <w:basedOn w:val="DefaultParagraphFont"/>
    <w:rsid w:val="00E306F3"/>
  </w:style>
  <w:style w:type="character" w:customStyle="1" w:styleId="citation-799">
    <w:name w:val="citation-799"/>
    <w:basedOn w:val="DefaultParagraphFont"/>
    <w:rsid w:val="00E306F3"/>
  </w:style>
  <w:style w:type="character" w:customStyle="1" w:styleId="citation-798">
    <w:name w:val="citation-798"/>
    <w:basedOn w:val="DefaultParagraphFont"/>
    <w:rsid w:val="00E306F3"/>
  </w:style>
  <w:style w:type="character" w:customStyle="1" w:styleId="citation-797">
    <w:name w:val="citation-797"/>
    <w:basedOn w:val="DefaultParagraphFont"/>
    <w:rsid w:val="00E306F3"/>
  </w:style>
  <w:style w:type="character" w:customStyle="1" w:styleId="citation-796">
    <w:name w:val="citation-796"/>
    <w:basedOn w:val="DefaultParagraphFont"/>
    <w:rsid w:val="00E306F3"/>
  </w:style>
  <w:style w:type="character" w:customStyle="1" w:styleId="citation-795">
    <w:name w:val="citation-795"/>
    <w:basedOn w:val="DefaultParagraphFont"/>
    <w:rsid w:val="00E306F3"/>
  </w:style>
  <w:style w:type="character" w:customStyle="1" w:styleId="citation-794">
    <w:name w:val="citation-794"/>
    <w:basedOn w:val="DefaultParagraphFont"/>
    <w:rsid w:val="00E306F3"/>
  </w:style>
  <w:style w:type="character" w:customStyle="1" w:styleId="citation-793">
    <w:name w:val="citation-793"/>
    <w:basedOn w:val="DefaultParagraphFont"/>
    <w:rsid w:val="00E306F3"/>
  </w:style>
  <w:style w:type="character" w:customStyle="1" w:styleId="citation-792">
    <w:name w:val="citation-792"/>
    <w:basedOn w:val="DefaultParagraphFont"/>
    <w:rsid w:val="00E306F3"/>
  </w:style>
  <w:style w:type="character" w:customStyle="1" w:styleId="citation-791">
    <w:name w:val="citation-791"/>
    <w:basedOn w:val="DefaultParagraphFont"/>
    <w:rsid w:val="00E306F3"/>
  </w:style>
  <w:style w:type="character" w:customStyle="1" w:styleId="citation-790">
    <w:name w:val="citation-790"/>
    <w:basedOn w:val="DefaultParagraphFont"/>
    <w:rsid w:val="00E306F3"/>
  </w:style>
  <w:style w:type="character" w:customStyle="1" w:styleId="citation-789">
    <w:name w:val="citation-789"/>
    <w:basedOn w:val="DefaultParagraphFont"/>
    <w:rsid w:val="00E306F3"/>
  </w:style>
  <w:style w:type="character" w:customStyle="1" w:styleId="citation-788">
    <w:name w:val="citation-788"/>
    <w:basedOn w:val="DefaultParagraphFont"/>
    <w:rsid w:val="00E306F3"/>
  </w:style>
  <w:style w:type="character" w:customStyle="1" w:styleId="citation-787">
    <w:name w:val="citation-787"/>
    <w:basedOn w:val="DefaultParagraphFont"/>
    <w:rsid w:val="00E306F3"/>
  </w:style>
  <w:style w:type="character" w:customStyle="1" w:styleId="citation-786">
    <w:name w:val="citation-786"/>
    <w:basedOn w:val="DefaultParagraphFont"/>
    <w:rsid w:val="00E306F3"/>
  </w:style>
  <w:style w:type="character" w:customStyle="1" w:styleId="citation-785">
    <w:name w:val="citation-785"/>
    <w:basedOn w:val="DefaultParagraphFont"/>
    <w:rsid w:val="00E306F3"/>
  </w:style>
  <w:style w:type="character" w:customStyle="1" w:styleId="citation-784">
    <w:name w:val="citation-784"/>
    <w:basedOn w:val="DefaultParagraphFont"/>
    <w:rsid w:val="00E306F3"/>
  </w:style>
  <w:style w:type="character" w:customStyle="1" w:styleId="citation-783">
    <w:name w:val="citation-783"/>
    <w:basedOn w:val="DefaultParagraphFont"/>
    <w:rsid w:val="00E306F3"/>
  </w:style>
  <w:style w:type="character" w:customStyle="1" w:styleId="citation-782">
    <w:name w:val="citation-782"/>
    <w:basedOn w:val="DefaultParagraphFont"/>
    <w:rsid w:val="00E306F3"/>
  </w:style>
  <w:style w:type="paragraph" w:styleId="NoSpacing">
    <w:name w:val="No Spacing"/>
    <w:uiPriority w:val="1"/>
    <w:qFormat/>
    <w:rsid w:val="000F3B30"/>
    <w:rPr>
      <w:rFonts w:asciiTheme="minorHAnsi" w:eastAsiaTheme="minorHAnsi" w:hAnsiTheme="minorHAnsi" w:cstheme="minorBidi"/>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23811291">
      <w:bodyDiv w:val="1"/>
      <w:marLeft w:val="0"/>
      <w:marRight w:val="0"/>
      <w:marTop w:val="0"/>
      <w:marBottom w:val="0"/>
      <w:divBdr>
        <w:top w:val="none" w:sz="0" w:space="0" w:color="auto"/>
        <w:left w:val="none" w:sz="0" w:space="0" w:color="auto"/>
        <w:bottom w:val="none" w:sz="0" w:space="0" w:color="auto"/>
        <w:right w:val="none" w:sz="0" w:space="0" w:color="auto"/>
      </w:divBdr>
      <w:divsChild>
        <w:div w:id="325673290">
          <w:marLeft w:val="0"/>
          <w:marRight w:val="0"/>
          <w:marTop w:val="0"/>
          <w:marBottom w:val="0"/>
          <w:divBdr>
            <w:top w:val="none" w:sz="0" w:space="0" w:color="auto"/>
            <w:left w:val="none" w:sz="0" w:space="0" w:color="auto"/>
            <w:bottom w:val="none" w:sz="0" w:space="0" w:color="auto"/>
            <w:right w:val="none" w:sz="0" w:space="0" w:color="auto"/>
          </w:divBdr>
        </w:div>
      </w:divsChild>
    </w:div>
    <w:div w:id="143359815">
      <w:bodyDiv w:val="1"/>
      <w:marLeft w:val="0"/>
      <w:marRight w:val="0"/>
      <w:marTop w:val="0"/>
      <w:marBottom w:val="0"/>
      <w:divBdr>
        <w:top w:val="none" w:sz="0" w:space="0" w:color="auto"/>
        <w:left w:val="none" w:sz="0" w:space="0" w:color="auto"/>
        <w:bottom w:val="none" w:sz="0" w:space="0" w:color="auto"/>
        <w:right w:val="none" w:sz="0" w:space="0" w:color="auto"/>
      </w:divBdr>
      <w:divsChild>
        <w:div w:id="348915783">
          <w:marLeft w:val="0"/>
          <w:marRight w:val="0"/>
          <w:marTop w:val="0"/>
          <w:marBottom w:val="0"/>
          <w:divBdr>
            <w:top w:val="none" w:sz="0" w:space="0" w:color="auto"/>
            <w:left w:val="none" w:sz="0" w:space="0" w:color="auto"/>
            <w:bottom w:val="none" w:sz="0" w:space="0" w:color="auto"/>
            <w:right w:val="none" w:sz="0" w:space="0" w:color="auto"/>
          </w:divBdr>
        </w:div>
      </w:divsChild>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1350363">
      <w:bodyDiv w:val="1"/>
      <w:marLeft w:val="0"/>
      <w:marRight w:val="0"/>
      <w:marTop w:val="0"/>
      <w:marBottom w:val="0"/>
      <w:divBdr>
        <w:top w:val="none" w:sz="0" w:space="0" w:color="auto"/>
        <w:left w:val="none" w:sz="0" w:space="0" w:color="auto"/>
        <w:bottom w:val="none" w:sz="0" w:space="0" w:color="auto"/>
        <w:right w:val="none" w:sz="0" w:space="0" w:color="auto"/>
      </w:divBdr>
      <w:divsChild>
        <w:div w:id="257056385">
          <w:marLeft w:val="0"/>
          <w:marRight w:val="0"/>
          <w:marTop w:val="0"/>
          <w:marBottom w:val="0"/>
          <w:divBdr>
            <w:top w:val="none" w:sz="0" w:space="0" w:color="auto"/>
            <w:left w:val="none" w:sz="0" w:space="0" w:color="auto"/>
            <w:bottom w:val="none" w:sz="0" w:space="0" w:color="auto"/>
            <w:right w:val="none" w:sz="0" w:space="0" w:color="auto"/>
          </w:divBdr>
        </w:div>
      </w:divsChild>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285041631">
      <w:bodyDiv w:val="1"/>
      <w:marLeft w:val="0"/>
      <w:marRight w:val="0"/>
      <w:marTop w:val="0"/>
      <w:marBottom w:val="0"/>
      <w:divBdr>
        <w:top w:val="none" w:sz="0" w:space="0" w:color="auto"/>
        <w:left w:val="none" w:sz="0" w:space="0" w:color="auto"/>
        <w:bottom w:val="none" w:sz="0" w:space="0" w:color="auto"/>
        <w:right w:val="none" w:sz="0" w:space="0" w:color="auto"/>
      </w:divBdr>
    </w:div>
    <w:div w:id="488864735">
      <w:bodyDiv w:val="1"/>
      <w:marLeft w:val="0"/>
      <w:marRight w:val="0"/>
      <w:marTop w:val="0"/>
      <w:marBottom w:val="0"/>
      <w:divBdr>
        <w:top w:val="none" w:sz="0" w:space="0" w:color="auto"/>
        <w:left w:val="none" w:sz="0" w:space="0" w:color="auto"/>
        <w:bottom w:val="none" w:sz="0" w:space="0" w:color="auto"/>
        <w:right w:val="none" w:sz="0" w:space="0" w:color="auto"/>
      </w:divBdr>
    </w:div>
    <w:div w:id="622812405">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691422519">
      <w:bodyDiv w:val="1"/>
      <w:marLeft w:val="0"/>
      <w:marRight w:val="0"/>
      <w:marTop w:val="0"/>
      <w:marBottom w:val="0"/>
      <w:divBdr>
        <w:top w:val="none" w:sz="0" w:space="0" w:color="auto"/>
        <w:left w:val="none" w:sz="0" w:space="0" w:color="auto"/>
        <w:bottom w:val="none" w:sz="0" w:space="0" w:color="auto"/>
        <w:right w:val="none" w:sz="0" w:space="0" w:color="auto"/>
      </w:divBdr>
    </w:div>
    <w:div w:id="855196438">
      <w:bodyDiv w:val="1"/>
      <w:marLeft w:val="0"/>
      <w:marRight w:val="0"/>
      <w:marTop w:val="0"/>
      <w:marBottom w:val="0"/>
      <w:divBdr>
        <w:top w:val="none" w:sz="0" w:space="0" w:color="auto"/>
        <w:left w:val="none" w:sz="0" w:space="0" w:color="auto"/>
        <w:bottom w:val="none" w:sz="0" w:space="0" w:color="auto"/>
        <w:right w:val="none" w:sz="0" w:space="0" w:color="auto"/>
      </w:divBdr>
    </w:div>
    <w:div w:id="961107941">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6804047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218541929">
      <w:bodyDiv w:val="1"/>
      <w:marLeft w:val="0"/>
      <w:marRight w:val="0"/>
      <w:marTop w:val="0"/>
      <w:marBottom w:val="0"/>
      <w:divBdr>
        <w:top w:val="none" w:sz="0" w:space="0" w:color="auto"/>
        <w:left w:val="none" w:sz="0" w:space="0" w:color="auto"/>
        <w:bottom w:val="none" w:sz="0" w:space="0" w:color="auto"/>
        <w:right w:val="none" w:sz="0" w:space="0" w:color="auto"/>
      </w:divBdr>
    </w:div>
    <w:div w:id="1344211841">
      <w:bodyDiv w:val="1"/>
      <w:marLeft w:val="0"/>
      <w:marRight w:val="0"/>
      <w:marTop w:val="0"/>
      <w:marBottom w:val="0"/>
      <w:divBdr>
        <w:top w:val="none" w:sz="0" w:space="0" w:color="auto"/>
        <w:left w:val="none" w:sz="0" w:space="0" w:color="auto"/>
        <w:bottom w:val="none" w:sz="0" w:space="0" w:color="auto"/>
        <w:right w:val="none" w:sz="0" w:space="0" w:color="auto"/>
      </w:divBdr>
    </w:div>
    <w:div w:id="1361472051">
      <w:bodyDiv w:val="1"/>
      <w:marLeft w:val="0"/>
      <w:marRight w:val="0"/>
      <w:marTop w:val="0"/>
      <w:marBottom w:val="0"/>
      <w:divBdr>
        <w:top w:val="none" w:sz="0" w:space="0" w:color="auto"/>
        <w:left w:val="none" w:sz="0" w:space="0" w:color="auto"/>
        <w:bottom w:val="none" w:sz="0" w:space="0" w:color="auto"/>
        <w:right w:val="none" w:sz="0" w:space="0" w:color="auto"/>
      </w:divBdr>
    </w:div>
    <w:div w:id="1371689263">
      <w:bodyDiv w:val="1"/>
      <w:marLeft w:val="0"/>
      <w:marRight w:val="0"/>
      <w:marTop w:val="0"/>
      <w:marBottom w:val="0"/>
      <w:divBdr>
        <w:top w:val="none" w:sz="0" w:space="0" w:color="auto"/>
        <w:left w:val="none" w:sz="0" w:space="0" w:color="auto"/>
        <w:bottom w:val="none" w:sz="0" w:space="0" w:color="auto"/>
        <w:right w:val="none" w:sz="0" w:space="0" w:color="auto"/>
      </w:divBdr>
    </w:div>
    <w:div w:id="1415711573">
      <w:bodyDiv w:val="1"/>
      <w:marLeft w:val="0"/>
      <w:marRight w:val="0"/>
      <w:marTop w:val="0"/>
      <w:marBottom w:val="0"/>
      <w:divBdr>
        <w:top w:val="none" w:sz="0" w:space="0" w:color="auto"/>
        <w:left w:val="none" w:sz="0" w:space="0" w:color="auto"/>
        <w:bottom w:val="none" w:sz="0" w:space="0" w:color="auto"/>
        <w:right w:val="none" w:sz="0" w:space="0" w:color="auto"/>
      </w:divBdr>
    </w:div>
    <w:div w:id="1527064474">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788351150">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2078475310">
      <w:bodyDiv w:val="1"/>
      <w:marLeft w:val="0"/>
      <w:marRight w:val="0"/>
      <w:marTop w:val="0"/>
      <w:marBottom w:val="0"/>
      <w:divBdr>
        <w:top w:val="none" w:sz="0" w:space="0" w:color="auto"/>
        <w:left w:val="none" w:sz="0" w:space="0" w:color="auto"/>
        <w:bottom w:val="none" w:sz="0" w:space="0" w:color="auto"/>
        <w:right w:val="none" w:sz="0" w:space="0" w:color="auto"/>
      </w:divBdr>
      <w:divsChild>
        <w:div w:id="929050373">
          <w:marLeft w:val="0"/>
          <w:marRight w:val="0"/>
          <w:marTop w:val="0"/>
          <w:marBottom w:val="0"/>
          <w:divBdr>
            <w:top w:val="none" w:sz="0" w:space="0" w:color="auto"/>
            <w:left w:val="none" w:sz="0" w:space="0" w:color="auto"/>
            <w:bottom w:val="none" w:sz="0" w:space="0" w:color="auto"/>
            <w:right w:val="none" w:sz="0" w:space="0" w:color="auto"/>
          </w:divBdr>
        </w:div>
      </w:divsChild>
    </w:div>
    <w:div w:id="2092701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F75810-CD0E-4587-8897-707A345420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92</TotalTime>
  <Pages>8</Pages>
  <Words>4985</Words>
  <Characters>28421</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33340</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PC New 16</cp:lastModifiedBy>
  <cp:revision>34</cp:revision>
  <cp:lastPrinted>1999-07-06T11:00:00Z</cp:lastPrinted>
  <dcterms:created xsi:type="dcterms:W3CDTF">2014-10-25T14:34:00Z</dcterms:created>
  <dcterms:modified xsi:type="dcterms:W3CDTF">2026-05-12T12:20:00Z</dcterms:modified>
</cp:coreProperties>
</file>